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C5" w:rsidRPr="00015BC4" w:rsidRDefault="00D10DAD" w:rsidP="008104C5">
      <w:pPr>
        <w:pStyle w:val="1-MainHeading"/>
      </w:pPr>
      <w:bookmarkStart w:id="0" w:name="_Toc40855724"/>
      <w:bookmarkStart w:id="1" w:name="_GoBack"/>
      <w:bookmarkEnd w:id="1"/>
      <w:r w:rsidRPr="00015BC4">
        <w:t>7.08</w:t>
      </w:r>
      <w:r w:rsidRPr="00015BC4">
        <w:tab/>
        <w:t>SIPONIMOD</w:t>
      </w:r>
      <w:r w:rsidRPr="00015BC4">
        <w:br/>
        <w:t xml:space="preserve">Tablet </w:t>
      </w:r>
      <w:r w:rsidR="006432DD" w:rsidRPr="00015BC4">
        <w:t>0.25mg, 2</w:t>
      </w:r>
      <w:r w:rsidR="008104C5" w:rsidRPr="00015BC4">
        <w:t>mg,</w:t>
      </w:r>
      <w:r w:rsidR="008104C5" w:rsidRPr="00015BC4">
        <w:br/>
        <w:t>Mayzent</w:t>
      </w:r>
      <w:r w:rsidR="008104C5" w:rsidRPr="00015BC4">
        <w:rPr>
          <w:vertAlign w:val="superscript"/>
        </w:rPr>
        <w:t>®</w:t>
      </w:r>
      <w:r w:rsidR="008104C5" w:rsidRPr="00015BC4">
        <w:t>,</w:t>
      </w:r>
      <w:r w:rsidR="008104C5" w:rsidRPr="00015BC4">
        <w:br/>
        <w:t>Novartis</w:t>
      </w:r>
      <w:r w:rsidRPr="00015BC4">
        <w:t xml:space="preserve"> Pharmaceuticals Pty Ltd</w:t>
      </w:r>
      <w:r w:rsidR="008104C5" w:rsidRPr="00015BC4">
        <w:t>.</w:t>
      </w:r>
      <w:bookmarkEnd w:id="0"/>
    </w:p>
    <w:p w:rsidR="008104C5" w:rsidRPr="00015BC4" w:rsidRDefault="008104C5" w:rsidP="008104C5">
      <w:pPr>
        <w:pStyle w:val="2-SectionHeading"/>
        <w:numPr>
          <w:ilvl w:val="0"/>
          <w:numId w:val="1"/>
        </w:numPr>
      </w:pPr>
      <w:bookmarkStart w:id="2" w:name="_Toc40855726"/>
      <w:r w:rsidRPr="00015BC4">
        <w:t>Purpose of resubmission</w:t>
      </w:r>
      <w:bookmarkEnd w:id="2"/>
    </w:p>
    <w:p w:rsidR="008104C5" w:rsidRPr="00015BC4" w:rsidRDefault="008104C5" w:rsidP="008104C5">
      <w:pPr>
        <w:pStyle w:val="3-BodyText"/>
      </w:pPr>
      <w:r w:rsidRPr="00015BC4">
        <w:t xml:space="preserve">The resubmission requested a </w:t>
      </w:r>
      <w:r w:rsidR="0055519A" w:rsidRPr="00015BC4">
        <w:t>General Schedule,</w:t>
      </w:r>
      <w:r w:rsidRPr="00015BC4">
        <w:t xml:space="preserve"> Authority Required </w:t>
      </w:r>
      <w:r w:rsidR="0055519A" w:rsidRPr="00015BC4">
        <w:t xml:space="preserve">(STREAMLINED) </w:t>
      </w:r>
      <w:r w:rsidRPr="00015BC4">
        <w:t>listing for siponimod for the treatment of</w:t>
      </w:r>
      <w:r w:rsidR="00603963" w:rsidRPr="00015BC4">
        <w:t xml:space="preserve"> relapse-onset phenotypes of</w:t>
      </w:r>
      <w:r w:rsidRPr="00015BC4">
        <w:t xml:space="preserve"> </w:t>
      </w:r>
      <w:r w:rsidR="00FF514D" w:rsidRPr="00015BC4">
        <w:t>m</w:t>
      </w:r>
      <w:r w:rsidRPr="00015BC4">
        <w:t xml:space="preserve">ultiple </w:t>
      </w:r>
      <w:r w:rsidR="00FF514D" w:rsidRPr="00015BC4">
        <w:t>s</w:t>
      </w:r>
      <w:r w:rsidRPr="00015BC4">
        <w:t>clerosis</w:t>
      </w:r>
      <w:r w:rsidR="00905AAC" w:rsidRPr="00015BC4">
        <w:t xml:space="preserve"> (MS).</w:t>
      </w:r>
      <w:r w:rsidRPr="00015BC4">
        <w:t xml:space="preserve"> </w:t>
      </w:r>
    </w:p>
    <w:p w:rsidR="008104C5" w:rsidRPr="00015BC4" w:rsidRDefault="008104C5" w:rsidP="008104C5">
      <w:pPr>
        <w:pStyle w:val="3-BodyText"/>
      </w:pPr>
      <w:r w:rsidRPr="00015BC4">
        <w:t xml:space="preserve">Listing was requested on the basis of a </w:t>
      </w:r>
      <w:r w:rsidR="001B5B30" w:rsidRPr="00015BC4">
        <w:t>cost minimisation</w:t>
      </w:r>
      <w:r w:rsidRPr="00015BC4">
        <w:t xml:space="preserve"> analysis versus fingolimod.</w:t>
      </w:r>
      <w:r w:rsidR="008E2692" w:rsidRPr="00015BC4">
        <w:t xml:space="preserve"> </w:t>
      </w:r>
    </w:p>
    <w:p w:rsidR="008104C5" w:rsidRPr="00015BC4" w:rsidRDefault="008104C5" w:rsidP="008104C5">
      <w:pPr>
        <w:pStyle w:val="3-BodyText"/>
      </w:pPr>
      <w:r w:rsidRPr="00015BC4">
        <w:t>Table 1 presents key components of the clinical issues addressed by the resubmission.</w:t>
      </w:r>
      <w:r w:rsidR="00CD4A8D" w:rsidRPr="00015BC4">
        <w:t xml:space="preserve"> </w:t>
      </w:r>
    </w:p>
    <w:p w:rsidR="00D17FB5" w:rsidRPr="00015BC4" w:rsidRDefault="008104C5" w:rsidP="00D17FB5">
      <w:pPr>
        <w:pStyle w:val="TableFigureHeading"/>
        <w:rPr>
          <w:rStyle w:val="CommentReference"/>
          <w:b/>
          <w:szCs w:val="24"/>
        </w:rPr>
      </w:pPr>
      <w:bookmarkStart w:id="3" w:name="_Ref38095358"/>
      <w:r w:rsidRPr="00015BC4">
        <w:rPr>
          <w:rStyle w:val="CommentReference"/>
          <w:b/>
          <w:szCs w:val="24"/>
        </w:rPr>
        <w:t>Table</w:t>
      </w:r>
      <w:r w:rsidRPr="00015BC4">
        <w:rPr>
          <w:color w:val="000000" w:themeColor="text1"/>
        </w:rPr>
        <w:t xml:space="preserve"> </w:t>
      </w:r>
      <w:r w:rsidR="005D4204" w:rsidRPr="00015BC4">
        <w:rPr>
          <w:color w:val="000000" w:themeColor="text1"/>
        </w:rPr>
        <w:t>1</w:t>
      </w:r>
      <w:bookmarkEnd w:id="3"/>
      <w:r w:rsidRPr="00015BC4">
        <w:rPr>
          <w:rStyle w:val="CommentReference"/>
          <w:b/>
          <w:szCs w:val="24"/>
        </w:rPr>
        <w:t xml:space="preserve">: </w:t>
      </w:r>
      <w:r w:rsidR="00D17FB5" w:rsidRPr="00015BC4">
        <w:rPr>
          <w:rStyle w:val="CommentReference"/>
          <w:b/>
          <w:szCs w:val="24"/>
        </w:rPr>
        <w:t>Key components of the clinical issue addressed by the resubmission (as stated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905AAC" w:rsidRPr="00015BC4" w:rsidTr="00905AAC">
        <w:tc>
          <w:tcPr>
            <w:tcW w:w="1668" w:type="dxa"/>
            <w:vAlign w:val="center"/>
          </w:tcPr>
          <w:p w:rsidR="00905AAC" w:rsidRPr="00015BC4" w:rsidRDefault="00905AAC" w:rsidP="00905AAC">
            <w:pPr>
              <w:pStyle w:val="In-tableHeading"/>
              <w:rPr>
                <w:lang w:val="en-AU"/>
              </w:rPr>
            </w:pPr>
            <w:r w:rsidRPr="00015BC4">
              <w:rPr>
                <w:lang w:val="en-AU"/>
              </w:rPr>
              <w:t>Component</w:t>
            </w:r>
          </w:p>
        </w:tc>
        <w:tc>
          <w:tcPr>
            <w:tcW w:w="7488" w:type="dxa"/>
            <w:vAlign w:val="center"/>
          </w:tcPr>
          <w:p w:rsidR="00905AAC" w:rsidRPr="00015BC4" w:rsidRDefault="00905AAC" w:rsidP="00905AAC">
            <w:pPr>
              <w:pStyle w:val="In-tableHeading"/>
              <w:rPr>
                <w:lang w:val="en-AU"/>
              </w:rPr>
            </w:pPr>
            <w:r w:rsidRPr="00015BC4">
              <w:rPr>
                <w:lang w:val="en-AU"/>
              </w:rPr>
              <w:t>Description</w:t>
            </w:r>
          </w:p>
        </w:tc>
      </w:tr>
      <w:tr w:rsidR="00905AAC" w:rsidRPr="00015BC4" w:rsidTr="00905AAC">
        <w:tc>
          <w:tcPr>
            <w:tcW w:w="1668" w:type="dxa"/>
            <w:vAlign w:val="center"/>
          </w:tcPr>
          <w:p w:rsidR="00905AAC" w:rsidRPr="00015BC4" w:rsidRDefault="00905AAC" w:rsidP="00905AAC">
            <w:pPr>
              <w:pStyle w:val="TableText0"/>
            </w:pPr>
            <w:r w:rsidRPr="00015BC4">
              <w:t>Population</w:t>
            </w:r>
          </w:p>
        </w:tc>
        <w:tc>
          <w:tcPr>
            <w:tcW w:w="7488" w:type="dxa"/>
            <w:vAlign w:val="center"/>
          </w:tcPr>
          <w:p w:rsidR="00905AAC" w:rsidRPr="00015BC4" w:rsidRDefault="00905AAC" w:rsidP="00B45122">
            <w:pPr>
              <w:pStyle w:val="TableText0"/>
              <w:rPr>
                <w:vertAlign w:val="superscript"/>
              </w:rPr>
            </w:pPr>
            <w:r w:rsidRPr="00015BC4">
              <w:t>Patients with relapse-onset multiple sclerosis, including those with EDSS 6.0/6.5</w:t>
            </w:r>
            <w:r w:rsidRPr="00015BC4">
              <w:rPr>
                <w:vertAlign w:val="superscript"/>
              </w:rPr>
              <w:t>a</w:t>
            </w:r>
          </w:p>
        </w:tc>
      </w:tr>
      <w:tr w:rsidR="00905AAC" w:rsidRPr="00015BC4" w:rsidTr="00905AAC">
        <w:tc>
          <w:tcPr>
            <w:tcW w:w="1668" w:type="dxa"/>
            <w:vAlign w:val="center"/>
          </w:tcPr>
          <w:p w:rsidR="00905AAC" w:rsidRPr="00015BC4" w:rsidRDefault="00905AAC" w:rsidP="00905AAC">
            <w:pPr>
              <w:pStyle w:val="TableText0"/>
            </w:pPr>
            <w:r w:rsidRPr="00015BC4">
              <w:t>Intervention</w:t>
            </w:r>
          </w:p>
        </w:tc>
        <w:tc>
          <w:tcPr>
            <w:tcW w:w="7488" w:type="dxa"/>
            <w:vAlign w:val="center"/>
          </w:tcPr>
          <w:p w:rsidR="00905AAC" w:rsidRPr="00015BC4" w:rsidRDefault="00905AAC" w:rsidP="00905AAC">
            <w:pPr>
              <w:pStyle w:val="TableText0"/>
            </w:pPr>
            <w:r w:rsidRPr="00015BC4">
              <w:t>Siponimod 1 mg or 2 mg daily</w:t>
            </w:r>
          </w:p>
        </w:tc>
      </w:tr>
      <w:tr w:rsidR="00905AAC" w:rsidRPr="00015BC4" w:rsidTr="00905AAC">
        <w:tc>
          <w:tcPr>
            <w:tcW w:w="1668" w:type="dxa"/>
            <w:vAlign w:val="center"/>
          </w:tcPr>
          <w:p w:rsidR="00905AAC" w:rsidRPr="00015BC4" w:rsidRDefault="00905AAC" w:rsidP="00905AAC">
            <w:pPr>
              <w:pStyle w:val="TableText0"/>
            </w:pPr>
            <w:r w:rsidRPr="00015BC4">
              <w:t>Comparator</w:t>
            </w:r>
          </w:p>
        </w:tc>
        <w:tc>
          <w:tcPr>
            <w:tcW w:w="7488" w:type="dxa"/>
            <w:vAlign w:val="center"/>
          </w:tcPr>
          <w:p w:rsidR="00905AAC" w:rsidRPr="00015BC4" w:rsidRDefault="00905AAC" w:rsidP="00905AAC">
            <w:pPr>
              <w:pStyle w:val="TableText0"/>
            </w:pPr>
            <w:r w:rsidRPr="00015BC4">
              <w:t>Fingolimod, as the reference therapy for other DMTs</w:t>
            </w:r>
            <w:r w:rsidRPr="00015BC4">
              <w:rPr>
                <w:vertAlign w:val="superscript"/>
              </w:rPr>
              <w:t>b</w:t>
            </w:r>
          </w:p>
        </w:tc>
      </w:tr>
      <w:tr w:rsidR="00905AAC" w:rsidRPr="00015BC4" w:rsidTr="00905AAC">
        <w:tc>
          <w:tcPr>
            <w:tcW w:w="1668" w:type="dxa"/>
            <w:vAlign w:val="center"/>
          </w:tcPr>
          <w:p w:rsidR="00905AAC" w:rsidRPr="00015BC4" w:rsidRDefault="00905AAC" w:rsidP="00905AAC">
            <w:pPr>
              <w:pStyle w:val="TableText0"/>
            </w:pPr>
            <w:r w:rsidRPr="00015BC4">
              <w:t>Outcomes</w:t>
            </w:r>
          </w:p>
        </w:tc>
        <w:tc>
          <w:tcPr>
            <w:tcW w:w="7488" w:type="dxa"/>
            <w:vAlign w:val="center"/>
          </w:tcPr>
          <w:p w:rsidR="00905AAC" w:rsidRPr="00015BC4" w:rsidRDefault="00905AAC" w:rsidP="00905AAC">
            <w:pPr>
              <w:pStyle w:val="TableText0"/>
            </w:pPr>
            <w:r w:rsidRPr="00015BC4">
              <w:t>Annualised relapse rate; proportion (%) free from relapse; 3- and 6-month confirmed disability progression; and safety</w:t>
            </w:r>
          </w:p>
        </w:tc>
      </w:tr>
      <w:tr w:rsidR="00905AAC" w:rsidRPr="00015BC4" w:rsidTr="00905AAC">
        <w:tc>
          <w:tcPr>
            <w:tcW w:w="1668" w:type="dxa"/>
            <w:vAlign w:val="center"/>
          </w:tcPr>
          <w:p w:rsidR="00905AAC" w:rsidRPr="00015BC4" w:rsidRDefault="00905AAC" w:rsidP="00905AAC">
            <w:pPr>
              <w:pStyle w:val="TableText0"/>
            </w:pPr>
            <w:r w:rsidRPr="00015BC4">
              <w:t>Clinical claim</w:t>
            </w:r>
          </w:p>
        </w:tc>
        <w:tc>
          <w:tcPr>
            <w:tcW w:w="7488" w:type="dxa"/>
            <w:vAlign w:val="center"/>
          </w:tcPr>
          <w:p w:rsidR="00905AAC" w:rsidRPr="00015BC4" w:rsidRDefault="00905AAC" w:rsidP="00B45122">
            <w:pPr>
              <w:pStyle w:val="TableText0"/>
              <w:rPr>
                <w:i/>
              </w:rPr>
            </w:pPr>
            <w:r w:rsidRPr="00015BC4">
              <w:t>In patients with relapse-onset multiple sclerosis, including those with EDSS 6.0/6.5, siponimod is non-inferior to fingolimod with respect to efficacy and safety</w:t>
            </w:r>
            <w:r w:rsidRPr="00015BC4">
              <w:rPr>
                <w:vertAlign w:val="superscript"/>
              </w:rPr>
              <w:t>c</w:t>
            </w:r>
          </w:p>
        </w:tc>
      </w:tr>
    </w:tbl>
    <w:p w:rsidR="00905AAC" w:rsidRPr="00015BC4" w:rsidRDefault="00905AAC" w:rsidP="00905AAC">
      <w:pPr>
        <w:pStyle w:val="TableFigureFooter"/>
        <w:rPr>
          <w:lang w:val="en-AU"/>
        </w:rPr>
      </w:pPr>
      <w:r w:rsidRPr="00015BC4">
        <w:rPr>
          <w:lang w:val="en-AU"/>
        </w:rPr>
        <w:t>Source: Table 1.1, p3 of the resubmission</w:t>
      </w:r>
    </w:p>
    <w:p w:rsidR="00905AAC" w:rsidRPr="00015BC4" w:rsidRDefault="00905AAC" w:rsidP="00905AAC">
      <w:pPr>
        <w:pStyle w:val="TableFigureFooter"/>
        <w:rPr>
          <w:lang w:val="en-AU"/>
        </w:rPr>
      </w:pPr>
      <w:r w:rsidRPr="00015BC4">
        <w:rPr>
          <w:lang w:val="en-AU"/>
        </w:rPr>
        <w:t>DMT = disease modifying treatment; EDSS = Expanded Disability Status Scale</w:t>
      </w:r>
    </w:p>
    <w:p w:rsidR="00905AAC" w:rsidRPr="00015BC4" w:rsidRDefault="00905AAC" w:rsidP="00905AAC">
      <w:pPr>
        <w:pStyle w:val="TableFigureFooter"/>
        <w:tabs>
          <w:tab w:val="left" w:pos="284"/>
        </w:tabs>
        <w:ind w:left="284" w:hanging="284"/>
        <w:rPr>
          <w:lang w:val="en-AU"/>
        </w:rPr>
      </w:pPr>
      <w:r w:rsidRPr="00015BC4">
        <w:rPr>
          <w:vertAlign w:val="superscript"/>
          <w:lang w:val="en-AU"/>
        </w:rPr>
        <w:t>a</w:t>
      </w:r>
      <w:r w:rsidRPr="00015BC4">
        <w:rPr>
          <w:lang w:val="en-AU"/>
        </w:rPr>
        <w:tab/>
        <w:t>The previous submission described the population as patients with SPMS</w:t>
      </w:r>
    </w:p>
    <w:p w:rsidR="00905AAC" w:rsidRPr="00015BC4" w:rsidRDefault="00905AAC" w:rsidP="00905AAC">
      <w:pPr>
        <w:pStyle w:val="TableFigureFooter"/>
        <w:tabs>
          <w:tab w:val="left" w:pos="284"/>
        </w:tabs>
        <w:ind w:left="284" w:hanging="284"/>
        <w:rPr>
          <w:lang w:val="en-AU"/>
        </w:rPr>
      </w:pPr>
      <w:r w:rsidRPr="00015BC4">
        <w:rPr>
          <w:vertAlign w:val="superscript"/>
          <w:lang w:val="en-AU"/>
        </w:rPr>
        <w:t>b</w:t>
      </w:r>
      <w:r w:rsidRPr="00015BC4">
        <w:rPr>
          <w:lang w:val="en-AU"/>
        </w:rPr>
        <w:tab/>
        <w:t>The previous submission nominated placebo and multiple RRMS DMTs as the comparator</w:t>
      </w:r>
    </w:p>
    <w:p w:rsidR="00D17FB5" w:rsidRPr="00015BC4" w:rsidRDefault="00905AAC" w:rsidP="00905AAC">
      <w:pPr>
        <w:pStyle w:val="TableFigureFooter"/>
        <w:tabs>
          <w:tab w:val="left" w:pos="284"/>
        </w:tabs>
        <w:ind w:left="284" w:hanging="284"/>
        <w:rPr>
          <w:lang w:val="en-AU"/>
        </w:rPr>
      </w:pPr>
      <w:r w:rsidRPr="00015BC4">
        <w:rPr>
          <w:vertAlign w:val="superscript"/>
          <w:lang w:val="en-AU"/>
        </w:rPr>
        <w:t>c</w:t>
      </w:r>
      <w:r w:rsidRPr="00015BC4">
        <w:rPr>
          <w:lang w:val="en-AU"/>
        </w:rPr>
        <w:t xml:space="preserve"> </w:t>
      </w:r>
      <w:r w:rsidRPr="00015BC4">
        <w:rPr>
          <w:lang w:val="en-AU"/>
        </w:rPr>
        <w:tab/>
        <w:t>The previous submission made two claims. 1) In the SPMS untreated population - Superior in terms of comparative effectiveness and equivalent in terms of comparative safety over placebo and 2) in the SPMS treated population - Superior in terms of comparative effectiveness and with comparable but different safety profiles compared with interferon-beta/glatiramer acetate and natalizumab</w:t>
      </w:r>
      <w:r w:rsidR="00015BC4">
        <w:rPr>
          <w:lang w:val="en-AU"/>
        </w:rPr>
        <w:t xml:space="preserve">. </w:t>
      </w:r>
    </w:p>
    <w:p w:rsidR="008104C5" w:rsidRPr="00015BC4" w:rsidRDefault="008104C5" w:rsidP="008104C5">
      <w:pPr>
        <w:pStyle w:val="2-SectionHeading"/>
        <w:numPr>
          <w:ilvl w:val="0"/>
          <w:numId w:val="1"/>
        </w:numPr>
      </w:pPr>
      <w:bookmarkStart w:id="4" w:name="_Toc40855727"/>
      <w:r w:rsidRPr="00015BC4">
        <w:t>Background</w:t>
      </w:r>
      <w:bookmarkEnd w:id="4"/>
    </w:p>
    <w:p w:rsidR="008104C5" w:rsidRPr="00015BC4" w:rsidRDefault="008104C5" w:rsidP="008104C5">
      <w:pPr>
        <w:pStyle w:val="4-SubsectionHeading"/>
        <w:rPr>
          <w:lang w:val="en-AU"/>
        </w:rPr>
      </w:pPr>
      <w:bookmarkStart w:id="5" w:name="_Toc22897638"/>
      <w:bookmarkStart w:id="6" w:name="_Toc40855728"/>
      <w:r w:rsidRPr="00015BC4">
        <w:rPr>
          <w:lang w:val="en-AU"/>
        </w:rPr>
        <w:t>Registration status</w:t>
      </w:r>
      <w:bookmarkEnd w:id="5"/>
      <w:bookmarkEnd w:id="6"/>
    </w:p>
    <w:p w:rsidR="008104C5" w:rsidRPr="00015BC4" w:rsidRDefault="008104C5" w:rsidP="008104C5">
      <w:pPr>
        <w:pStyle w:val="3-BodyText"/>
      </w:pPr>
      <w:r w:rsidRPr="00015BC4">
        <w:rPr>
          <w:color w:val="000000" w:themeColor="text1"/>
        </w:rPr>
        <w:t xml:space="preserve">Siponimod was </w:t>
      </w:r>
      <w:r w:rsidRPr="00015BC4">
        <w:t xml:space="preserve">TGA registered on 1 November 2019 for </w:t>
      </w:r>
      <w:r w:rsidR="00905AAC" w:rsidRPr="00015BC4">
        <w:t>secondary progressive multiple sclerosis (</w:t>
      </w:r>
      <w:r w:rsidRPr="00015BC4">
        <w:t>SPMS</w:t>
      </w:r>
      <w:r w:rsidR="00905AAC" w:rsidRPr="00015BC4">
        <w:t>)</w:t>
      </w:r>
      <w:r w:rsidRPr="00015BC4">
        <w:t xml:space="preserve">. </w:t>
      </w:r>
    </w:p>
    <w:p w:rsidR="008104CA" w:rsidRPr="00015BC4" w:rsidRDefault="008104CA" w:rsidP="008104CA">
      <w:pPr>
        <w:pStyle w:val="3-BodyText"/>
      </w:pPr>
      <w:r w:rsidRPr="00015BC4">
        <w:t xml:space="preserve">The TGA registration differs </w:t>
      </w:r>
      <w:r w:rsidR="00907F87" w:rsidRPr="00015BC4">
        <w:t>from</w:t>
      </w:r>
      <w:r w:rsidR="00616160" w:rsidRPr="00015BC4">
        <w:t xml:space="preserve"> the</w:t>
      </w:r>
      <w:r w:rsidRPr="00015BC4">
        <w:t xml:space="preserve"> EMA and FDA</w:t>
      </w:r>
      <w:r w:rsidR="003A0C1E">
        <w:t>,</w:t>
      </w:r>
      <w:r w:rsidRPr="00015BC4">
        <w:t xml:space="preserve"> which require evidence of relapses (EMA)</w:t>
      </w:r>
      <w:r w:rsidR="005603FA" w:rsidRPr="00015BC4">
        <w:t>,</w:t>
      </w:r>
      <w:r w:rsidRPr="00015BC4">
        <w:t xml:space="preserve"> or</w:t>
      </w:r>
      <w:r w:rsidR="005603FA" w:rsidRPr="00015BC4">
        <w:t>,</w:t>
      </w:r>
      <w:r w:rsidRPr="00015BC4">
        <w:t xml:space="preserve"> limit</w:t>
      </w:r>
      <w:r w:rsidR="005603FA" w:rsidRPr="00015BC4">
        <w:t>s</w:t>
      </w:r>
      <w:r w:rsidRPr="00015BC4">
        <w:t xml:space="preserve"> use </w:t>
      </w:r>
      <w:r w:rsidR="0075230C" w:rsidRPr="00015BC4">
        <w:t xml:space="preserve">of siponimod </w:t>
      </w:r>
      <w:r w:rsidRPr="00015BC4">
        <w:t xml:space="preserve">to relapsing forms of MS such as RRMS (FDA), despite the regulatory dossier submitted to each jurisdiction requesting registration for the treatment of patients with </w:t>
      </w:r>
      <w:r w:rsidR="00CD4A8D" w:rsidRPr="00015BC4">
        <w:t>SPMS.</w:t>
      </w:r>
    </w:p>
    <w:p w:rsidR="008104CA" w:rsidRPr="00015BC4" w:rsidRDefault="008104CA" w:rsidP="008104CA">
      <w:pPr>
        <w:pStyle w:val="4-SubsectionHeading"/>
        <w:rPr>
          <w:lang w:val="en-AU"/>
        </w:rPr>
      </w:pPr>
      <w:bookmarkStart w:id="7" w:name="_Toc22897639"/>
      <w:bookmarkStart w:id="8" w:name="_Toc22898847"/>
      <w:bookmarkStart w:id="9" w:name="_Toc40855729"/>
      <w:r w:rsidRPr="00015BC4">
        <w:rPr>
          <w:lang w:val="en-AU"/>
        </w:rPr>
        <w:t>Previous PBAC consideration</w:t>
      </w:r>
      <w:bookmarkEnd w:id="7"/>
      <w:bookmarkEnd w:id="8"/>
      <w:bookmarkEnd w:id="9"/>
    </w:p>
    <w:p w:rsidR="008104C5" w:rsidRPr="00015BC4" w:rsidRDefault="008104C5" w:rsidP="008104C5">
      <w:pPr>
        <w:pStyle w:val="3-BodyText"/>
      </w:pPr>
      <w:r w:rsidRPr="00015BC4">
        <w:t xml:space="preserve">A </w:t>
      </w:r>
      <w:r w:rsidR="00D17FB5" w:rsidRPr="00015BC4">
        <w:t>s</w:t>
      </w:r>
      <w:r w:rsidRPr="00015BC4">
        <w:t>ummary of the key matters of concern in the resubmission is presented in Table 2</w:t>
      </w:r>
      <w:r w:rsidR="00905AAC" w:rsidRPr="00015BC4">
        <w:t>.</w:t>
      </w:r>
    </w:p>
    <w:p w:rsidR="008104C5" w:rsidRPr="00015BC4" w:rsidRDefault="008104C5" w:rsidP="00270A81">
      <w:pPr>
        <w:pStyle w:val="TableFigureHeading"/>
        <w:keepLines/>
        <w:rPr>
          <w:rStyle w:val="CommentReference"/>
          <w:b/>
        </w:rPr>
      </w:pPr>
      <w:bookmarkStart w:id="10" w:name="_Ref38095559"/>
      <w:r w:rsidRPr="00015BC4">
        <w:rPr>
          <w:rStyle w:val="CommentReference"/>
          <w:b/>
        </w:rPr>
        <w:lastRenderedPageBreak/>
        <w:t xml:space="preserve">Table </w:t>
      </w:r>
      <w:r w:rsidR="005D4204" w:rsidRPr="00015BC4">
        <w:rPr>
          <w:rStyle w:val="CommentReference"/>
          <w:b/>
        </w:rPr>
        <w:t>2</w:t>
      </w:r>
      <w:bookmarkEnd w:id="10"/>
      <w:r w:rsidRPr="00015BC4">
        <w:rPr>
          <w:rStyle w:val="CommentReference"/>
          <w:b/>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3544"/>
        <w:gridCol w:w="4344"/>
      </w:tblGrid>
      <w:tr w:rsidR="008104C5" w:rsidRPr="00015BC4" w:rsidTr="0075230C">
        <w:trPr>
          <w:cantSplit/>
          <w:tblHeader/>
        </w:trPr>
        <w:tc>
          <w:tcPr>
            <w:tcW w:w="626" w:type="pct"/>
          </w:tcPr>
          <w:p w:rsidR="008104C5" w:rsidRPr="00015BC4" w:rsidRDefault="008104C5" w:rsidP="00270A81">
            <w:pPr>
              <w:pStyle w:val="In-tableHeading"/>
              <w:keepLines/>
              <w:rPr>
                <w:lang w:val="en-AU"/>
              </w:rPr>
            </w:pPr>
            <w:r w:rsidRPr="00015BC4">
              <w:rPr>
                <w:lang w:val="en-AU"/>
              </w:rPr>
              <w:t>Component</w:t>
            </w:r>
          </w:p>
        </w:tc>
        <w:tc>
          <w:tcPr>
            <w:tcW w:w="1965" w:type="pct"/>
            <w:vAlign w:val="center"/>
          </w:tcPr>
          <w:p w:rsidR="008104C5" w:rsidRPr="00015BC4" w:rsidRDefault="008104C5" w:rsidP="00270A81">
            <w:pPr>
              <w:pStyle w:val="In-tableHeading"/>
              <w:keepLines/>
              <w:jc w:val="center"/>
              <w:rPr>
                <w:lang w:val="en-AU"/>
              </w:rPr>
            </w:pPr>
            <w:r w:rsidRPr="00015BC4">
              <w:rPr>
                <w:lang w:val="en-AU"/>
              </w:rPr>
              <w:t>Matter of concern</w:t>
            </w:r>
          </w:p>
        </w:tc>
        <w:tc>
          <w:tcPr>
            <w:tcW w:w="2409" w:type="pct"/>
            <w:vAlign w:val="center"/>
          </w:tcPr>
          <w:p w:rsidR="008104C5" w:rsidRPr="00015BC4" w:rsidRDefault="008104C5" w:rsidP="00270A81">
            <w:pPr>
              <w:pStyle w:val="In-tableHeading"/>
              <w:keepLines/>
              <w:jc w:val="center"/>
              <w:rPr>
                <w:lang w:val="en-AU"/>
              </w:rPr>
            </w:pPr>
            <w:r w:rsidRPr="00015BC4">
              <w:rPr>
                <w:lang w:val="en-AU"/>
              </w:rPr>
              <w:t>How the resubmission addresses it</w:t>
            </w:r>
          </w:p>
        </w:tc>
      </w:tr>
      <w:tr w:rsidR="008104C5" w:rsidRPr="00015BC4" w:rsidTr="0075230C">
        <w:trPr>
          <w:cantSplit/>
        </w:trPr>
        <w:tc>
          <w:tcPr>
            <w:tcW w:w="626" w:type="pct"/>
          </w:tcPr>
          <w:p w:rsidR="008104C5" w:rsidRPr="00015BC4" w:rsidRDefault="008104C5" w:rsidP="00270A81">
            <w:pPr>
              <w:pStyle w:val="TableText0"/>
              <w:keepLines/>
              <w:rPr>
                <w:color w:val="000000" w:themeColor="text1"/>
              </w:rPr>
            </w:pPr>
            <w:r w:rsidRPr="00015BC4">
              <w:rPr>
                <w:color w:val="000000" w:themeColor="text1"/>
              </w:rPr>
              <w:t>Clinical place in therapy</w:t>
            </w:r>
          </w:p>
        </w:tc>
        <w:tc>
          <w:tcPr>
            <w:tcW w:w="1965" w:type="pct"/>
          </w:tcPr>
          <w:p w:rsidR="008104C5" w:rsidRPr="00015BC4" w:rsidRDefault="008104C5" w:rsidP="00270A81">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It may be ap</w:t>
            </w:r>
            <w:r w:rsidR="00C1362C" w:rsidRPr="00015BC4">
              <w:rPr>
                <w:rFonts w:eastAsia="Times New Roman" w:cs="Arial"/>
                <w:bCs w:val="0"/>
                <w:snapToGrid w:val="0"/>
                <w:color w:val="000000" w:themeColor="text1"/>
                <w:szCs w:val="20"/>
              </w:rPr>
              <w:t xml:space="preserve">propriate to include siponimod </w:t>
            </w:r>
            <w:r w:rsidRPr="00015BC4">
              <w:rPr>
                <w:rFonts w:eastAsia="Times New Roman" w:cs="Arial"/>
                <w:bCs w:val="0"/>
                <w:snapToGrid w:val="0"/>
                <w:color w:val="000000" w:themeColor="text1"/>
                <w:szCs w:val="20"/>
              </w:rPr>
              <w:t>within the existing treatment algorithm for RMS DMTs (para 7.15</w:t>
            </w:r>
            <w:r w:rsidR="0075230C" w:rsidRPr="00015BC4">
              <w:rPr>
                <w:rFonts w:eastAsia="Times New Roman" w:cs="Arial"/>
                <w:bCs w:val="0"/>
                <w:snapToGrid w:val="0"/>
                <w:color w:val="000000" w:themeColor="text1"/>
                <w:szCs w:val="20"/>
              </w:rPr>
              <w:t>, Nov 2019 PSD</w:t>
            </w:r>
            <w:r w:rsidRPr="00015BC4">
              <w:rPr>
                <w:rFonts w:eastAsia="Times New Roman" w:cs="Arial"/>
                <w:bCs w:val="0"/>
                <w:snapToGrid w:val="0"/>
                <w:color w:val="000000" w:themeColor="text1"/>
                <w:szCs w:val="20"/>
              </w:rPr>
              <w:t>)</w:t>
            </w:r>
            <w:r w:rsidR="00905AAC" w:rsidRPr="00015BC4">
              <w:rPr>
                <w:rFonts w:eastAsia="Times New Roman" w:cs="Arial"/>
                <w:bCs w:val="0"/>
                <w:snapToGrid w:val="0"/>
                <w:color w:val="000000" w:themeColor="text1"/>
                <w:szCs w:val="20"/>
              </w:rPr>
              <w:t>.</w:t>
            </w:r>
            <w:r w:rsidR="006C3262" w:rsidRPr="00015BC4">
              <w:rPr>
                <w:rFonts w:eastAsia="Times New Roman" w:cs="Arial"/>
                <w:bCs w:val="0"/>
                <w:snapToGrid w:val="0"/>
                <w:color w:val="000000" w:themeColor="text1"/>
                <w:szCs w:val="20"/>
              </w:rPr>
              <w:br/>
            </w:r>
            <w:r w:rsidRPr="00015BC4">
              <w:rPr>
                <w:rFonts w:eastAsia="Times New Roman" w:cs="Arial"/>
                <w:bCs w:val="0"/>
                <w:snapToGrid w:val="0"/>
                <w:color w:val="000000" w:themeColor="text1"/>
                <w:szCs w:val="20"/>
              </w:rPr>
              <w:t>Any future resubmission should include consultation with clinicians abo</w:t>
            </w:r>
            <w:r w:rsidR="00C1362C" w:rsidRPr="00015BC4">
              <w:rPr>
                <w:rFonts w:eastAsia="Times New Roman" w:cs="Arial"/>
                <w:bCs w:val="0"/>
                <w:snapToGrid w:val="0"/>
                <w:color w:val="000000" w:themeColor="text1"/>
                <w:szCs w:val="20"/>
              </w:rPr>
              <w:t xml:space="preserve">ut the role of genetic testing </w:t>
            </w:r>
            <w:r w:rsidRPr="00015BC4">
              <w:rPr>
                <w:rFonts w:eastAsia="Times New Roman" w:cs="Arial"/>
                <w:bCs w:val="0"/>
                <w:snapToGrid w:val="0"/>
                <w:color w:val="000000" w:themeColor="text1"/>
                <w:szCs w:val="20"/>
              </w:rPr>
              <w:t>(para 7.6</w:t>
            </w:r>
            <w:r w:rsidR="0075230C" w:rsidRPr="00015BC4">
              <w:rPr>
                <w:rFonts w:eastAsia="Times New Roman" w:cs="Arial"/>
                <w:bCs w:val="0"/>
                <w:snapToGrid w:val="0"/>
                <w:color w:val="000000" w:themeColor="text1"/>
                <w:szCs w:val="20"/>
              </w:rPr>
              <w:t>, Nov 2019 PSD</w:t>
            </w:r>
            <w:r w:rsidRPr="00015BC4">
              <w:rPr>
                <w:rFonts w:eastAsia="Times New Roman" w:cs="Arial"/>
                <w:bCs w:val="0"/>
                <w:snapToGrid w:val="0"/>
                <w:color w:val="000000" w:themeColor="text1"/>
                <w:szCs w:val="20"/>
              </w:rPr>
              <w:t>)</w:t>
            </w:r>
            <w:r w:rsidR="00C1362C" w:rsidRPr="00015BC4">
              <w:rPr>
                <w:rFonts w:eastAsia="Times New Roman" w:cs="Arial"/>
                <w:bCs w:val="0"/>
                <w:snapToGrid w:val="0"/>
                <w:color w:val="000000" w:themeColor="text1"/>
                <w:szCs w:val="20"/>
              </w:rPr>
              <w:t>.</w:t>
            </w:r>
          </w:p>
        </w:tc>
        <w:tc>
          <w:tcPr>
            <w:tcW w:w="2409" w:type="pct"/>
          </w:tcPr>
          <w:p w:rsidR="008104C5" w:rsidRPr="00015BC4" w:rsidRDefault="008104C5" w:rsidP="00270A81">
            <w:pPr>
              <w:pStyle w:val="TableText0"/>
              <w:keepLines/>
              <w:spacing w:after="40"/>
              <w:rPr>
                <w:rFonts w:eastAsia="Times New Roman" w:cs="Arial"/>
                <w:bCs w:val="0"/>
                <w:i/>
                <w:snapToGrid w:val="0"/>
                <w:color w:val="000000" w:themeColor="text1"/>
                <w:szCs w:val="20"/>
              </w:rPr>
            </w:pPr>
            <w:r w:rsidRPr="00015BC4">
              <w:rPr>
                <w:rFonts w:eastAsia="Times New Roman" w:cs="Arial"/>
                <w:bCs w:val="0"/>
                <w:snapToGrid w:val="0"/>
                <w:color w:val="000000" w:themeColor="text1"/>
                <w:szCs w:val="20"/>
              </w:rPr>
              <w:t xml:space="preserve">Restriction amended to align </w:t>
            </w:r>
            <w:r w:rsidR="00336867" w:rsidRPr="00015BC4">
              <w:rPr>
                <w:rFonts w:eastAsia="Times New Roman" w:cs="Arial"/>
                <w:bCs w:val="0"/>
                <w:snapToGrid w:val="0"/>
                <w:color w:val="000000" w:themeColor="text1"/>
                <w:szCs w:val="20"/>
              </w:rPr>
              <w:t xml:space="preserve">more closely </w:t>
            </w:r>
            <w:r w:rsidRPr="00015BC4">
              <w:rPr>
                <w:rFonts w:eastAsia="Times New Roman" w:cs="Arial"/>
                <w:bCs w:val="0"/>
                <w:snapToGrid w:val="0"/>
                <w:color w:val="000000" w:themeColor="text1"/>
                <w:szCs w:val="20"/>
              </w:rPr>
              <w:t>with existing RRMS</w:t>
            </w:r>
            <w:r w:rsidR="003A0C1E">
              <w:rPr>
                <w:rFonts w:eastAsia="Times New Roman" w:cs="Arial"/>
                <w:bCs w:val="0"/>
                <w:snapToGrid w:val="0"/>
                <w:color w:val="000000" w:themeColor="text1"/>
                <w:szCs w:val="20"/>
              </w:rPr>
              <w:t xml:space="preserve"> listings</w:t>
            </w:r>
            <w:r w:rsidRPr="00015BC4">
              <w:rPr>
                <w:rFonts w:eastAsia="Times New Roman" w:cs="Arial"/>
                <w:bCs w:val="0"/>
                <w:snapToGrid w:val="0"/>
                <w:color w:val="000000" w:themeColor="text1"/>
                <w:szCs w:val="20"/>
              </w:rPr>
              <w:t>. Amended restriction may be broader than existing evidence, and TGA indication</w:t>
            </w:r>
            <w:r w:rsidR="00C1362C" w:rsidRPr="00015BC4">
              <w:rPr>
                <w:rFonts w:eastAsia="Times New Roman" w:cs="Arial"/>
                <w:bCs w:val="0"/>
                <w:i/>
                <w:snapToGrid w:val="0"/>
                <w:color w:val="000000" w:themeColor="text1"/>
                <w:szCs w:val="20"/>
              </w:rPr>
              <w:t>.</w:t>
            </w:r>
          </w:p>
          <w:p w:rsidR="008104C5" w:rsidRPr="00015BC4" w:rsidRDefault="008104C5" w:rsidP="00270A81">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Addressed. Genetic testing included in prescriber notes. Sponsor expressed willingness to include in cl</w:t>
            </w:r>
            <w:r w:rsidR="00C1362C" w:rsidRPr="00015BC4">
              <w:rPr>
                <w:rFonts w:eastAsia="Times New Roman" w:cs="Arial"/>
                <w:bCs w:val="0"/>
                <w:snapToGrid w:val="0"/>
                <w:color w:val="000000" w:themeColor="text1"/>
                <w:szCs w:val="20"/>
              </w:rPr>
              <w:t>inical criteria if so advised</w:t>
            </w:r>
            <w:r w:rsidR="00C1362C" w:rsidRPr="00015BC4">
              <w:rPr>
                <w:rFonts w:eastAsia="Times New Roman" w:cs="Arial"/>
                <w:bCs w:val="0"/>
                <w:i/>
                <w:snapToGrid w:val="0"/>
                <w:color w:val="000000" w:themeColor="text1"/>
                <w:szCs w:val="20"/>
              </w:rPr>
              <w:t>.</w:t>
            </w:r>
          </w:p>
        </w:tc>
      </w:tr>
      <w:tr w:rsidR="008104C5" w:rsidRPr="00015BC4" w:rsidTr="0075230C">
        <w:trPr>
          <w:cantSplit/>
        </w:trPr>
        <w:tc>
          <w:tcPr>
            <w:tcW w:w="626" w:type="pct"/>
          </w:tcPr>
          <w:p w:rsidR="008104C5" w:rsidRPr="00015BC4" w:rsidRDefault="008104C5" w:rsidP="00270A81">
            <w:pPr>
              <w:pStyle w:val="TableText0"/>
              <w:keepLines/>
              <w:rPr>
                <w:color w:val="000000" w:themeColor="text1"/>
              </w:rPr>
            </w:pPr>
            <w:r w:rsidRPr="00015BC4">
              <w:rPr>
                <w:color w:val="000000" w:themeColor="text1"/>
              </w:rPr>
              <w:t>Comparator</w:t>
            </w:r>
          </w:p>
        </w:tc>
        <w:tc>
          <w:tcPr>
            <w:tcW w:w="1965" w:type="pct"/>
          </w:tcPr>
          <w:p w:rsidR="009640F7" w:rsidRPr="00015BC4" w:rsidRDefault="008104C5" w:rsidP="00270A81">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Mixed comparator of an untreated population (placebo) and treated population (interferon beta, glatiramer acetate, natalizumab, fingolimod and ocrelizumab) was not appropriate. Placebo was the most appropriate comparator (para 7.7</w:t>
            </w:r>
            <w:r w:rsidR="0075230C" w:rsidRPr="00015BC4">
              <w:rPr>
                <w:rFonts w:eastAsia="Times New Roman" w:cs="Arial"/>
                <w:bCs w:val="0"/>
                <w:snapToGrid w:val="0"/>
                <w:color w:val="000000" w:themeColor="text1"/>
                <w:szCs w:val="20"/>
              </w:rPr>
              <w:t>, Nov 2019 PSD</w:t>
            </w:r>
            <w:r w:rsidRPr="00015BC4">
              <w:rPr>
                <w:rFonts w:eastAsia="Times New Roman" w:cs="Arial"/>
                <w:bCs w:val="0"/>
                <w:snapToGrid w:val="0"/>
                <w:color w:val="000000" w:themeColor="text1"/>
                <w:szCs w:val="20"/>
              </w:rPr>
              <w:t>)</w:t>
            </w:r>
            <w:r w:rsidR="00C1362C" w:rsidRPr="00015BC4">
              <w:rPr>
                <w:rFonts w:eastAsia="Times New Roman" w:cs="Arial"/>
                <w:bCs w:val="0"/>
                <w:snapToGrid w:val="0"/>
                <w:color w:val="000000" w:themeColor="text1"/>
                <w:szCs w:val="20"/>
              </w:rPr>
              <w:t>.</w:t>
            </w:r>
          </w:p>
        </w:tc>
        <w:tc>
          <w:tcPr>
            <w:tcW w:w="2409" w:type="pct"/>
          </w:tcPr>
          <w:p w:rsidR="008104C5" w:rsidRPr="00015BC4" w:rsidRDefault="008104C5" w:rsidP="0075099D">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The resubmission nominate</w:t>
            </w:r>
            <w:r w:rsidR="0075099D" w:rsidRPr="00015BC4">
              <w:rPr>
                <w:rFonts w:eastAsia="Times New Roman" w:cs="Arial"/>
                <w:bCs w:val="0"/>
                <w:snapToGrid w:val="0"/>
                <w:color w:val="000000" w:themeColor="text1"/>
                <w:szCs w:val="20"/>
              </w:rPr>
              <w:t>d</w:t>
            </w:r>
            <w:r w:rsidRPr="00015BC4">
              <w:rPr>
                <w:rFonts w:eastAsia="Times New Roman" w:cs="Arial"/>
                <w:bCs w:val="0"/>
                <w:snapToGrid w:val="0"/>
                <w:color w:val="000000" w:themeColor="text1"/>
                <w:szCs w:val="20"/>
              </w:rPr>
              <w:t xml:space="preserve"> fingolimod as the main comparator.</w:t>
            </w:r>
          </w:p>
        </w:tc>
      </w:tr>
      <w:tr w:rsidR="008104C5" w:rsidRPr="00015BC4" w:rsidTr="0075230C">
        <w:trPr>
          <w:cantSplit/>
        </w:trPr>
        <w:tc>
          <w:tcPr>
            <w:tcW w:w="626" w:type="pct"/>
          </w:tcPr>
          <w:p w:rsidR="008104C5" w:rsidRPr="00015BC4" w:rsidRDefault="008104C5" w:rsidP="00270A81">
            <w:pPr>
              <w:pStyle w:val="TableText0"/>
              <w:keepLines/>
              <w:rPr>
                <w:color w:val="000000" w:themeColor="text1"/>
              </w:rPr>
            </w:pPr>
            <w:r w:rsidRPr="00015BC4">
              <w:rPr>
                <w:color w:val="000000" w:themeColor="text1"/>
              </w:rPr>
              <w:t>Clinical effectiveness</w:t>
            </w:r>
          </w:p>
        </w:tc>
        <w:tc>
          <w:tcPr>
            <w:tcW w:w="1965" w:type="pct"/>
          </w:tcPr>
          <w:p w:rsidR="008104C5" w:rsidRPr="00015BC4" w:rsidRDefault="008104C5" w:rsidP="00270A81">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Indirect comparisons against DMTs were not presented, though comparisons would be limited by the quality of the available evidence for RRM</w:t>
            </w:r>
            <w:r w:rsidR="00C1362C" w:rsidRPr="00015BC4">
              <w:rPr>
                <w:rFonts w:eastAsia="Times New Roman" w:cs="Arial"/>
                <w:bCs w:val="0"/>
                <w:snapToGrid w:val="0"/>
                <w:color w:val="000000" w:themeColor="text1"/>
                <w:szCs w:val="20"/>
              </w:rPr>
              <w:t>S.</w:t>
            </w:r>
          </w:p>
        </w:tc>
        <w:tc>
          <w:tcPr>
            <w:tcW w:w="2409" w:type="pct"/>
          </w:tcPr>
          <w:p w:rsidR="008104C5" w:rsidRPr="00015BC4" w:rsidRDefault="008104C5" w:rsidP="008E2692">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Indirect comparison</w:t>
            </w:r>
            <w:r w:rsidR="00C1362C" w:rsidRPr="00015BC4">
              <w:rPr>
                <w:rFonts w:eastAsia="Times New Roman" w:cs="Arial"/>
                <w:bCs w:val="0"/>
                <w:snapToGrid w:val="0"/>
                <w:color w:val="000000" w:themeColor="text1"/>
                <w:szCs w:val="20"/>
              </w:rPr>
              <w:t xml:space="preserve"> against fingolimod presented. </w:t>
            </w:r>
            <w:r w:rsidRPr="00015BC4">
              <w:rPr>
                <w:rFonts w:eastAsia="Times New Roman" w:cs="Arial"/>
                <w:bCs w:val="0"/>
                <w:snapToGrid w:val="0"/>
                <w:color w:val="000000" w:themeColor="text1"/>
                <w:szCs w:val="20"/>
              </w:rPr>
              <w:t xml:space="preserve">As noted by PBAC, the comparisons were limited by the </w:t>
            </w:r>
            <w:r w:rsidR="008E2692" w:rsidRPr="00015BC4">
              <w:rPr>
                <w:rFonts w:eastAsia="Times New Roman" w:cs="Arial"/>
                <w:bCs w:val="0"/>
                <w:snapToGrid w:val="0"/>
                <w:color w:val="000000" w:themeColor="text1"/>
                <w:szCs w:val="20"/>
              </w:rPr>
              <w:t>exchangeability issues between the trials</w:t>
            </w:r>
            <w:r w:rsidR="00C1362C" w:rsidRPr="00015BC4">
              <w:rPr>
                <w:rFonts w:eastAsia="Times New Roman" w:cs="Arial"/>
                <w:bCs w:val="0"/>
                <w:snapToGrid w:val="0"/>
                <w:color w:val="000000" w:themeColor="text1"/>
                <w:szCs w:val="20"/>
              </w:rPr>
              <w:t>.</w:t>
            </w:r>
          </w:p>
        </w:tc>
      </w:tr>
      <w:tr w:rsidR="008104C5" w:rsidRPr="00015BC4" w:rsidTr="0075230C">
        <w:trPr>
          <w:cantSplit/>
        </w:trPr>
        <w:tc>
          <w:tcPr>
            <w:tcW w:w="626" w:type="pct"/>
          </w:tcPr>
          <w:p w:rsidR="008104C5" w:rsidRPr="00015BC4" w:rsidRDefault="008104C5" w:rsidP="00270A81">
            <w:pPr>
              <w:pStyle w:val="TableText0"/>
              <w:keepLines/>
              <w:rPr>
                <w:color w:val="000000" w:themeColor="text1"/>
              </w:rPr>
            </w:pPr>
            <w:r w:rsidRPr="00015BC4">
              <w:rPr>
                <w:color w:val="000000" w:themeColor="text1"/>
              </w:rPr>
              <w:t>Clinical Safety</w:t>
            </w:r>
          </w:p>
        </w:tc>
        <w:tc>
          <w:tcPr>
            <w:tcW w:w="1965" w:type="pct"/>
          </w:tcPr>
          <w:p w:rsidR="008104C5" w:rsidRPr="00015BC4" w:rsidRDefault="008104C5" w:rsidP="00270A81">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The PBAC considered siponimod was of inferior comparative safety to placebo (para 7.10</w:t>
            </w:r>
            <w:r w:rsidR="0075230C" w:rsidRPr="00015BC4">
              <w:rPr>
                <w:rFonts w:eastAsia="Times New Roman" w:cs="Arial"/>
                <w:bCs w:val="0"/>
                <w:snapToGrid w:val="0"/>
                <w:color w:val="000000" w:themeColor="text1"/>
                <w:szCs w:val="20"/>
              </w:rPr>
              <w:t>, Nov 2019 PSD</w:t>
            </w:r>
            <w:r w:rsidRPr="00015BC4">
              <w:rPr>
                <w:rFonts w:eastAsia="Times New Roman" w:cs="Arial"/>
                <w:bCs w:val="0"/>
                <w:snapToGrid w:val="0"/>
                <w:color w:val="000000" w:themeColor="text1"/>
                <w:szCs w:val="20"/>
              </w:rPr>
              <w:t>)</w:t>
            </w:r>
            <w:r w:rsidR="00D86ECE" w:rsidRPr="00015BC4">
              <w:rPr>
                <w:rFonts w:eastAsia="Times New Roman" w:cs="Arial"/>
                <w:bCs w:val="0"/>
                <w:snapToGrid w:val="0"/>
                <w:color w:val="000000" w:themeColor="text1"/>
                <w:szCs w:val="20"/>
              </w:rPr>
              <w:t>.</w:t>
            </w:r>
          </w:p>
        </w:tc>
        <w:tc>
          <w:tcPr>
            <w:tcW w:w="2409" w:type="pct"/>
          </w:tcPr>
          <w:p w:rsidR="008104C5" w:rsidRPr="00015BC4" w:rsidRDefault="008104C5" w:rsidP="00270A81">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 xml:space="preserve">Resubmission claims </w:t>
            </w:r>
            <w:r w:rsidR="00C1362C" w:rsidRPr="00015BC4">
              <w:rPr>
                <w:rFonts w:eastAsia="Times New Roman" w:cs="Arial"/>
                <w:bCs w:val="0"/>
                <w:snapToGrid w:val="0"/>
                <w:color w:val="000000" w:themeColor="text1"/>
                <w:szCs w:val="20"/>
              </w:rPr>
              <w:t>non-inferior</w:t>
            </w:r>
            <w:r w:rsidRPr="00015BC4">
              <w:rPr>
                <w:rFonts w:eastAsia="Times New Roman" w:cs="Arial"/>
                <w:bCs w:val="0"/>
                <w:snapToGrid w:val="0"/>
                <w:color w:val="000000" w:themeColor="text1"/>
                <w:szCs w:val="20"/>
              </w:rPr>
              <w:t xml:space="preserve"> safety to fingolimod.</w:t>
            </w:r>
          </w:p>
        </w:tc>
      </w:tr>
      <w:tr w:rsidR="008104C5" w:rsidRPr="00015BC4" w:rsidTr="0075230C">
        <w:trPr>
          <w:cantSplit/>
          <w:trHeight w:val="1068"/>
        </w:trPr>
        <w:tc>
          <w:tcPr>
            <w:tcW w:w="626" w:type="pct"/>
          </w:tcPr>
          <w:p w:rsidR="008104C5" w:rsidRPr="00015BC4" w:rsidRDefault="008104C5" w:rsidP="00270A81">
            <w:pPr>
              <w:pStyle w:val="TableText0"/>
              <w:keepLines/>
              <w:rPr>
                <w:color w:val="000000" w:themeColor="text1"/>
              </w:rPr>
            </w:pPr>
            <w:r w:rsidRPr="00015BC4">
              <w:rPr>
                <w:color w:val="000000" w:themeColor="text1"/>
              </w:rPr>
              <w:t>Cost-effectiveness</w:t>
            </w:r>
          </w:p>
        </w:tc>
        <w:tc>
          <w:tcPr>
            <w:tcW w:w="1965" w:type="pct"/>
          </w:tcPr>
          <w:p w:rsidR="008104C5" w:rsidRPr="00015BC4" w:rsidRDefault="008104C5" w:rsidP="00270A81">
            <w:pPr>
              <w:pStyle w:val="TableText0"/>
              <w:keepLines/>
              <w:spacing w:after="40"/>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Resubmission should assess cost-effectiveness of siponimod versus placebo among people with SPMS (para 7.15</w:t>
            </w:r>
            <w:r w:rsidR="0075230C" w:rsidRPr="00015BC4">
              <w:rPr>
                <w:rFonts w:eastAsia="Times New Roman" w:cs="Arial"/>
                <w:bCs w:val="0"/>
                <w:snapToGrid w:val="0"/>
                <w:color w:val="000000" w:themeColor="text1"/>
                <w:szCs w:val="20"/>
              </w:rPr>
              <w:t>, Nov 2019 PSD</w:t>
            </w:r>
            <w:r w:rsidRPr="00015BC4">
              <w:rPr>
                <w:rFonts w:eastAsia="Times New Roman" w:cs="Arial"/>
                <w:bCs w:val="0"/>
                <w:snapToGrid w:val="0"/>
                <w:color w:val="000000" w:themeColor="text1"/>
                <w:szCs w:val="20"/>
              </w:rPr>
              <w:t>)</w:t>
            </w:r>
            <w:r w:rsidR="00C1362C" w:rsidRPr="00015BC4">
              <w:rPr>
                <w:rFonts w:eastAsia="Times New Roman" w:cs="Arial"/>
                <w:bCs w:val="0"/>
                <w:snapToGrid w:val="0"/>
                <w:color w:val="000000" w:themeColor="text1"/>
                <w:szCs w:val="20"/>
              </w:rPr>
              <w:t>.</w:t>
            </w:r>
          </w:p>
          <w:p w:rsidR="008104C5" w:rsidRPr="00015BC4" w:rsidRDefault="00C1362C" w:rsidP="00270A81">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 xml:space="preserve">Alternatively, </w:t>
            </w:r>
            <w:r w:rsidR="008104C5" w:rsidRPr="00015BC4">
              <w:rPr>
                <w:rFonts w:eastAsia="Times New Roman" w:cs="Arial"/>
                <w:bCs w:val="0"/>
                <w:snapToGrid w:val="0"/>
                <w:color w:val="000000" w:themeColor="text1"/>
                <w:szCs w:val="20"/>
              </w:rPr>
              <w:t>cost-effectiveness could be informed by</w:t>
            </w:r>
            <w:r w:rsidRPr="00015BC4">
              <w:rPr>
                <w:rFonts w:eastAsia="Times New Roman" w:cs="Arial"/>
                <w:bCs w:val="0"/>
                <w:snapToGrid w:val="0"/>
                <w:color w:val="000000" w:themeColor="text1"/>
                <w:szCs w:val="20"/>
              </w:rPr>
              <w:t xml:space="preserve"> a comparison with DMTs among </w:t>
            </w:r>
            <w:r w:rsidR="008104C5" w:rsidRPr="00015BC4">
              <w:rPr>
                <w:rFonts w:eastAsia="Times New Roman" w:cs="Arial"/>
                <w:bCs w:val="0"/>
                <w:snapToGrid w:val="0"/>
                <w:color w:val="000000" w:themeColor="text1"/>
                <w:szCs w:val="20"/>
              </w:rPr>
              <w:t>people with RRMS</w:t>
            </w:r>
            <w:r w:rsidRPr="00015BC4">
              <w:rPr>
                <w:rFonts w:eastAsia="Times New Roman" w:cs="Arial"/>
                <w:bCs w:val="0"/>
                <w:snapToGrid w:val="0"/>
                <w:color w:val="000000" w:themeColor="text1"/>
                <w:szCs w:val="20"/>
              </w:rPr>
              <w:t>.</w:t>
            </w:r>
            <w:r w:rsidR="008104C5" w:rsidRPr="00015BC4">
              <w:rPr>
                <w:rFonts w:eastAsia="Times New Roman" w:cs="Arial"/>
                <w:bCs w:val="0"/>
                <w:snapToGrid w:val="0"/>
                <w:color w:val="000000" w:themeColor="text1"/>
                <w:szCs w:val="20"/>
              </w:rPr>
              <w:t xml:space="preserve"> </w:t>
            </w:r>
          </w:p>
        </w:tc>
        <w:tc>
          <w:tcPr>
            <w:tcW w:w="2409" w:type="pct"/>
          </w:tcPr>
          <w:p w:rsidR="008104C5" w:rsidRPr="00015BC4" w:rsidRDefault="008104C5" w:rsidP="00270A81">
            <w:pPr>
              <w:pStyle w:val="TableText0"/>
              <w:keepLines/>
              <w:spacing w:after="40"/>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Not addressed. No economic evaluation presented</w:t>
            </w:r>
            <w:r w:rsidR="00C1362C" w:rsidRPr="00015BC4">
              <w:rPr>
                <w:rFonts w:eastAsia="Times New Roman" w:cs="Arial"/>
                <w:bCs w:val="0"/>
                <w:snapToGrid w:val="0"/>
                <w:color w:val="000000" w:themeColor="text1"/>
                <w:szCs w:val="20"/>
              </w:rPr>
              <w:t>.</w:t>
            </w:r>
            <w:r w:rsidR="00C1362C" w:rsidRPr="00015BC4">
              <w:rPr>
                <w:rFonts w:eastAsia="Times New Roman" w:cs="Arial"/>
                <w:bCs w:val="0"/>
                <w:snapToGrid w:val="0"/>
                <w:color w:val="000000" w:themeColor="text1"/>
                <w:szCs w:val="20"/>
              </w:rPr>
              <w:br/>
            </w:r>
          </w:p>
          <w:p w:rsidR="008104C5" w:rsidRPr="00015BC4" w:rsidRDefault="008104C5" w:rsidP="008F61F9">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Partially addressed. No economic model was presented</w:t>
            </w:r>
            <w:r w:rsidR="00616160" w:rsidRPr="00015BC4">
              <w:rPr>
                <w:rFonts w:eastAsia="Times New Roman" w:cs="Arial"/>
                <w:bCs w:val="0"/>
                <w:snapToGrid w:val="0"/>
                <w:color w:val="000000" w:themeColor="text1"/>
                <w:szCs w:val="20"/>
              </w:rPr>
              <w:t>. A</w:t>
            </w:r>
            <w:r w:rsidRPr="00015BC4">
              <w:rPr>
                <w:rFonts w:eastAsia="Times New Roman" w:cs="Arial"/>
                <w:bCs w:val="0"/>
                <w:snapToGrid w:val="0"/>
                <w:color w:val="000000" w:themeColor="text1"/>
                <w:szCs w:val="20"/>
              </w:rPr>
              <w:t xml:space="preserve"> </w:t>
            </w:r>
            <w:r w:rsidR="001B5B30" w:rsidRPr="00015BC4">
              <w:rPr>
                <w:rFonts w:eastAsia="Times New Roman" w:cs="Arial"/>
                <w:bCs w:val="0"/>
                <w:snapToGrid w:val="0"/>
                <w:color w:val="000000" w:themeColor="text1"/>
                <w:szCs w:val="20"/>
              </w:rPr>
              <w:t>cost</w:t>
            </w:r>
            <w:r w:rsidR="00AA431B" w:rsidRPr="00015BC4">
              <w:rPr>
                <w:rFonts w:eastAsia="Times New Roman" w:cs="Arial"/>
                <w:bCs w:val="0"/>
                <w:snapToGrid w:val="0"/>
                <w:color w:val="000000" w:themeColor="text1"/>
                <w:szCs w:val="20"/>
              </w:rPr>
              <w:t xml:space="preserve"> </w:t>
            </w:r>
            <w:r w:rsidR="001B5B30" w:rsidRPr="00015BC4">
              <w:rPr>
                <w:rFonts w:eastAsia="Times New Roman" w:cs="Arial"/>
                <w:bCs w:val="0"/>
                <w:snapToGrid w:val="0"/>
                <w:color w:val="000000" w:themeColor="text1"/>
                <w:szCs w:val="20"/>
              </w:rPr>
              <w:t>minimisation</w:t>
            </w:r>
            <w:r w:rsidRPr="00015BC4">
              <w:rPr>
                <w:rFonts w:eastAsia="Times New Roman" w:cs="Arial"/>
                <w:bCs w:val="0"/>
                <w:snapToGrid w:val="0"/>
                <w:color w:val="000000" w:themeColor="text1"/>
                <w:szCs w:val="20"/>
              </w:rPr>
              <w:t xml:space="preserve"> to fingolimod was presented based on an indirect comparison with transitivity issues. </w:t>
            </w:r>
            <w:r w:rsidR="008F61F9" w:rsidRPr="00015BC4">
              <w:rPr>
                <w:rFonts w:eastAsia="Times New Roman" w:cs="Arial"/>
                <w:bCs w:val="0"/>
                <w:snapToGrid w:val="0"/>
                <w:color w:val="000000" w:themeColor="text1"/>
                <w:szCs w:val="20"/>
              </w:rPr>
              <w:t xml:space="preserve">To account for the uncertainty in the cost-effectiveness of fingolimod in patients with EDSS ≥ 6 who are currently untreated, the pre-PBAC response offered a lower price in this population, which </w:t>
            </w:r>
            <w:r w:rsidR="008F61F9" w:rsidRPr="0059530D">
              <w:rPr>
                <w:rFonts w:eastAsia="Times New Roman" w:cs="Arial"/>
                <w:bCs w:val="0"/>
                <w:snapToGrid w:val="0"/>
                <w:color w:val="000000" w:themeColor="text1"/>
                <w:szCs w:val="20"/>
              </w:rPr>
              <w:t>was equivalent to the cost of interferon beta.</w:t>
            </w:r>
          </w:p>
        </w:tc>
      </w:tr>
      <w:tr w:rsidR="008104C5" w:rsidRPr="00015BC4" w:rsidTr="0075230C">
        <w:trPr>
          <w:cantSplit/>
        </w:trPr>
        <w:tc>
          <w:tcPr>
            <w:tcW w:w="626" w:type="pct"/>
          </w:tcPr>
          <w:p w:rsidR="008104C5" w:rsidRPr="00015BC4" w:rsidRDefault="008104C5" w:rsidP="00270A81">
            <w:pPr>
              <w:pStyle w:val="TableText0"/>
              <w:keepLines/>
              <w:rPr>
                <w:color w:val="000000" w:themeColor="text1"/>
              </w:rPr>
            </w:pPr>
            <w:r w:rsidRPr="00015BC4">
              <w:rPr>
                <w:color w:val="000000" w:themeColor="text1"/>
              </w:rPr>
              <w:t>Financial estimates</w:t>
            </w:r>
          </w:p>
        </w:tc>
        <w:tc>
          <w:tcPr>
            <w:tcW w:w="1965" w:type="pct"/>
          </w:tcPr>
          <w:p w:rsidR="008104C5" w:rsidRPr="00015BC4" w:rsidRDefault="00C1362C" w:rsidP="00270A81">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L</w:t>
            </w:r>
            <w:r w:rsidR="008104C5" w:rsidRPr="00015BC4">
              <w:rPr>
                <w:rFonts w:eastAsia="Times New Roman" w:cs="Arial"/>
                <w:bCs w:val="0"/>
                <w:snapToGrid w:val="0"/>
                <w:color w:val="000000" w:themeColor="text1"/>
                <w:szCs w:val="20"/>
              </w:rPr>
              <w:t>ikely utilisation of siponimod to be highly uncertain given the potential RRMS patients who are experiencing progressive disease but have not been diagnosed with SPMS, and the level of clinical judgment often required in making an SPMS diagnosis (para 7.14</w:t>
            </w:r>
            <w:r w:rsidR="0075230C" w:rsidRPr="00015BC4">
              <w:rPr>
                <w:rFonts w:eastAsia="Times New Roman" w:cs="Arial"/>
                <w:bCs w:val="0"/>
                <w:snapToGrid w:val="0"/>
                <w:color w:val="000000" w:themeColor="text1"/>
                <w:szCs w:val="20"/>
              </w:rPr>
              <w:t>, Nov 2019 PSD</w:t>
            </w:r>
            <w:r w:rsidR="008104C5" w:rsidRPr="00015BC4">
              <w:rPr>
                <w:rFonts w:eastAsia="Times New Roman" w:cs="Arial"/>
                <w:bCs w:val="0"/>
                <w:snapToGrid w:val="0"/>
                <w:color w:val="000000" w:themeColor="text1"/>
                <w:szCs w:val="20"/>
              </w:rPr>
              <w:t>)</w:t>
            </w:r>
            <w:r w:rsidRPr="00015BC4">
              <w:rPr>
                <w:rFonts w:eastAsia="Times New Roman" w:cs="Arial"/>
                <w:bCs w:val="0"/>
                <w:snapToGrid w:val="0"/>
                <w:color w:val="000000" w:themeColor="text1"/>
                <w:szCs w:val="20"/>
              </w:rPr>
              <w:t>.</w:t>
            </w:r>
          </w:p>
        </w:tc>
        <w:tc>
          <w:tcPr>
            <w:tcW w:w="2409" w:type="pct"/>
          </w:tcPr>
          <w:p w:rsidR="008104C5" w:rsidRPr="00015BC4" w:rsidRDefault="008104C5" w:rsidP="00270A81">
            <w:pPr>
              <w:pStyle w:val="TableText0"/>
              <w:keepLines/>
              <w:rPr>
                <w:rFonts w:eastAsia="Times New Roman" w:cs="Arial"/>
                <w:bCs w:val="0"/>
                <w:snapToGrid w:val="0"/>
                <w:color w:val="000000" w:themeColor="text1"/>
                <w:szCs w:val="20"/>
              </w:rPr>
            </w:pPr>
            <w:r w:rsidRPr="00015BC4">
              <w:rPr>
                <w:rFonts w:eastAsia="Times New Roman" w:cs="Arial"/>
                <w:bCs w:val="0"/>
                <w:snapToGrid w:val="0"/>
                <w:color w:val="000000" w:themeColor="text1"/>
                <w:szCs w:val="20"/>
              </w:rPr>
              <w:t xml:space="preserve">Market share approach for RRMS population and </w:t>
            </w:r>
            <w:r w:rsidR="0094315C" w:rsidRPr="00015BC4">
              <w:rPr>
                <w:rFonts w:eastAsia="Times New Roman" w:cs="Arial"/>
                <w:bCs w:val="0"/>
                <w:snapToGrid w:val="0"/>
                <w:color w:val="000000" w:themeColor="text1"/>
                <w:szCs w:val="20"/>
              </w:rPr>
              <w:t xml:space="preserve">an </w:t>
            </w:r>
            <w:r w:rsidRPr="00015BC4">
              <w:rPr>
                <w:rFonts w:eastAsia="Times New Roman" w:cs="Arial"/>
                <w:bCs w:val="0"/>
                <w:snapToGrid w:val="0"/>
                <w:color w:val="000000" w:themeColor="text1"/>
                <w:szCs w:val="20"/>
              </w:rPr>
              <w:t>epidemiological approach for SPMS patients</w:t>
            </w:r>
            <w:r w:rsidR="0094315C" w:rsidRPr="00015BC4">
              <w:rPr>
                <w:rFonts w:eastAsia="Times New Roman" w:cs="Arial"/>
                <w:bCs w:val="0"/>
                <w:snapToGrid w:val="0"/>
                <w:color w:val="000000" w:themeColor="text1"/>
                <w:szCs w:val="20"/>
              </w:rPr>
              <w:t xml:space="preserve"> </w:t>
            </w:r>
            <w:r w:rsidR="0094315C" w:rsidRPr="00015BC4">
              <w:rPr>
                <w:color w:val="000000" w:themeColor="text1"/>
              </w:rPr>
              <w:t>who would not otherwise have been treated with a PBS-listed DMT</w:t>
            </w:r>
            <w:r w:rsidRPr="00015BC4">
              <w:rPr>
                <w:rFonts w:eastAsia="Times New Roman" w:cs="Arial"/>
                <w:bCs w:val="0"/>
                <w:snapToGrid w:val="0"/>
                <w:color w:val="000000" w:themeColor="text1"/>
                <w:szCs w:val="20"/>
              </w:rPr>
              <w:t xml:space="preserve">. </w:t>
            </w:r>
          </w:p>
        </w:tc>
      </w:tr>
    </w:tbl>
    <w:p w:rsidR="00C1362C" w:rsidRPr="00015BC4" w:rsidRDefault="008104C5" w:rsidP="00270A81">
      <w:pPr>
        <w:pStyle w:val="TableFigureFooter"/>
        <w:keepNext/>
        <w:keepLines/>
        <w:rPr>
          <w:lang w:val="en-AU"/>
        </w:rPr>
      </w:pPr>
      <w:r w:rsidRPr="00015BC4">
        <w:rPr>
          <w:lang w:val="en-AU"/>
        </w:rPr>
        <w:t>Sourc</w:t>
      </w:r>
      <w:r w:rsidR="00C1362C" w:rsidRPr="00015BC4">
        <w:rPr>
          <w:lang w:val="en-AU"/>
        </w:rPr>
        <w:t xml:space="preserve">e: Table P1, Sections </w:t>
      </w:r>
      <w:r w:rsidRPr="00015BC4">
        <w:rPr>
          <w:lang w:val="en-AU"/>
        </w:rPr>
        <w:t>D and E of the resubmission</w:t>
      </w:r>
      <w:r w:rsidR="00015BC4">
        <w:rPr>
          <w:lang w:val="en-AU"/>
        </w:rPr>
        <w:t xml:space="preserve">. </w:t>
      </w:r>
    </w:p>
    <w:p w:rsidR="008104C5" w:rsidRPr="00015BC4" w:rsidRDefault="008104C5" w:rsidP="00270A81">
      <w:pPr>
        <w:pStyle w:val="TableFigureFooter"/>
        <w:keepNext/>
        <w:keepLines/>
        <w:rPr>
          <w:lang w:val="en-AU"/>
        </w:rPr>
      </w:pPr>
      <w:r w:rsidRPr="00015BC4">
        <w:rPr>
          <w:lang w:val="en-AU"/>
        </w:rPr>
        <w:t>DMT = disease modifying treatment; RRMS = relapsing remitting multiple sclerosis; SPMS = secondary progressive multiple sclerosis</w:t>
      </w:r>
    </w:p>
    <w:p w:rsidR="0075230C" w:rsidRPr="00015BC4" w:rsidRDefault="0075230C" w:rsidP="00270A81">
      <w:pPr>
        <w:pStyle w:val="TableFigureFooter"/>
        <w:keepNext/>
        <w:keepLines/>
        <w:rPr>
          <w:lang w:val="en-AU"/>
        </w:rPr>
      </w:pPr>
      <w:r w:rsidRPr="00015BC4">
        <w:rPr>
          <w:lang w:val="en-AU"/>
        </w:rPr>
        <w:t xml:space="preserve">Paragraph references are to the siponimod PBAC Public Summary Document, November 2019. </w:t>
      </w:r>
    </w:p>
    <w:p w:rsidR="00D17FB5" w:rsidRPr="00015BC4" w:rsidRDefault="00D17FB5">
      <w:pPr>
        <w:rPr>
          <w:rFonts w:asciiTheme="minorHAnsi" w:hAnsiTheme="minorHAnsi" w:cs="Arial"/>
          <w:snapToGrid w:val="0"/>
          <w:color w:val="0066FF"/>
          <w:lang w:val="en-AU" w:eastAsia="en-AU"/>
        </w:rPr>
      </w:pPr>
      <w:r w:rsidRPr="00015BC4">
        <w:rPr>
          <w:color w:val="0066FF"/>
          <w:lang w:val="en-AU"/>
        </w:rPr>
        <w:br w:type="page"/>
      </w:r>
    </w:p>
    <w:p w:rsidR="003E575F" w:rsidRPr="00015BC4" w:rsidRDefault="003E575F" w:rsidP="003E575F">
      <w:pPr>
        <w:pStyle w:val="2-SectionHeading"/>
        <w:numPr>
          <w:ilvl w:val="0"/>
          <w:numId w:val="1"/>
        </w:numPr>
      </w:pPr>
      <w:bookmarkStart w:id="11" w:name="_Toc40855730"/>
      <w:bookmarkStart w:id="12" w:name="_Toc22897645"/>
      <w:bookmarkStart w:id="13" w:name="_Toc40855738"/>
      <w:bookmarkStart w:id="14" w:name="_Toc40855731"/>
      <w:r w:rsidRPr="00015BC4">
        <w:lastRenderedPageBreak/>
        <w:t>Requested listing</w:t>
      </w:r>
      <w:bookmarkEnd w:id="11"/>
    </w:p>
    <w:p w:rsidR="003E575F" w:rsidRPr="00015BC4" w:rsidRDefault="003E575F" w:rsidP="003E575F">
      <w:pPr>
        <w:pStyle w:val="3-BodyText"/>
        <w:rPr>
          <w:rStyle w:val="Hyperlink"/>
          <w:color w:val="auto"/>
          <w:u w:val="none"/>
        </w:rPr>
      </w:pPr>
      <w:r w:rsidRPr="00015BC4">
        <w:rPr>
          <w:rStyle w:val="Hyperlink"/>
          <w:color w:val="auto"/>
          <w:u w:val="none"/>
        </w:rPr>
        <w:t>The requested listing is presented below. The underlined text indicates the difference between the current DMT restrictions and the proposed siponimod restrictions.</w:t>
      </w:r>
    </w:p>
    <w:tbl>
      <w:tblPr>
        <w:tblW w:w="4992" w:type="pct"/>
        <w:tblLayout w:type="fixed"/>
        <w:tblCellMar>
          <w:left w:w="28" w:type="dxa"/>
          <w:right w:w="28" w:type="dxa"/>
        </w:tblCellMar>
        <w:tblLook w:val="0000" w:firstRow="0" w:lastRow="0" w:firstColumn="0" w:lastColumn="0" w:noHBand="0" w:noVBand="0"/>
      </w:tblPr>
      <w:tblGrid>
        <w:gridCol w:w="1583"/>
        <w:gridCol w:w="544"/>
        <w:gridCol w:w="851"/>
        <w:gridCol w:w="851"/>
        <w:gridCol w:w="2268"/>
        <w:gridCol w:w="1703"/>
        <w:gridCol w:w="1213"/>
      </w:tblGrid>
      <w:tr w:rsidR="003E575F" w:rsidRPr="00015BC4" w:rsidTr="003E575F">
        <w:trPr>
          <w:cantSplit/>
          <w:trHeight w:val="463"/>
        </w:trPr>
        <w:tc>
          <w:tcPr>
            <w:tcW w:w="1180" w:type="pct"/>
            <w:gridSpan w:val="2"/>
            <w:tcBorders>
              <w:top w:val="single" w:sz="4" w:space="0" w:color="auto"/>
              <w:bottom w:val="single" w:sz="4" w:space="0" w:color="auto"/>
            </w:tcBorders>
            <w:vAlign w:val="center"/>
          </w:tcPr>
          <w:p w:rsidR="003E575F" w:rsidRPr="00015BC4" w:rsidRDefault="003E575F" w:rsidP="003E575F">
            <w:pPr>
              <w:keepNext/>
              <w:rPr>
                <w:rFonts w:ascii="Arial Narrow" w:hAnsi="Arial Narrow"/>
                <w:b/>
                <w:sz w:val="20"/>
                <w:lang w:val="en-AU"/>
              </w:rPr>
            </w:pPr>
            <w:r w:rsidRPr="00015BC4">
              <w:rPr>
                <w:rFonts w:ascii="Arial Narrow" w:hAnsi="Arial Narrow"/>
                <w:b/>
                <w:sz w:val="20"/>
                <w:lang w:val="en-AU"/>
              </w:rPr>
              <w:t>Name, Restriction,</w:t>
            </w:r>
          </w:p>
          <w:p w:rsidR="003E575F" w:rsidRPr="00015BC4" w:rsidRDefault="003E575F" w:rsidP="003E575F">
            <w:pPr>
              <w:keepNext/>
              <w:rPr>
                <w:rFonts w:ascii="Arial Narrow" w:hAnsi="Arial Narrow"/>
                <w:b/>
                <w:sz w:val="20"/>
                <w:lang w:val="en-AU"/>
              </w:rPr>
            </w:pPr>
            <w:r w:rsidRPr="00015BC4">
              <w:rPr>
                <w:rFonts w:ascii="Arial Narrow" w:hAnsi="Arial Narrow"/>
                <w:b/>
                <w:sz w:val="20"/>
                <w:lang w:val="en-AU"/>
              </w:rPr>
              <w:t>Manner of administration and form</w:t>
            </w:r>
          </w:p>
        </w:tc>
        <w:tc>
          <w:tcPr>
            <w:tcW w:w="472" w:type="pct"/>
            <w:tcBorders>
              <w:top w:val="single" w:sz="4" w:space="0" w:color="auto"/>
              <w:bottom w:val="single" w:sz="4" w:space="0" w:color="auto"/>
            </w:tcBorders>
            <w:vAlign w:val="center"/>
          </w:tcPr>
          <w:p w:rsidR="003E575F" w:rsidRPr="00015BC4" w:rsidRDefault="003E575F" w:rsidP="003E575F">
            <w:pPr>
              <w:keepNext/>
              <w:jc w:val="center"/>
              <w:rPr>
                <w:rFonts w:ascii="Arial Narrow" w:hAnsi="Arial Narrow"/>
                <w:b/>
                <w:sz w:val="20"/>
                <w:lang w:val="en-AU"/>
              </w:rPr>
            </w:pPr>
            <w:r w:rsidRPr="00015BC4">
              <w:rPr>
                <w:rFonts w:ascii="Arial Narrow" w:hAnsi="Arial Narrow"/>
                <w:b/>
                <w:sz w:val="20"/>
                <w:lang w:val="en-AU"/>
              </w:rPr>
              <w:t>Max.</w:t>
            </w:r>
          </w:p>
          <w:p w:rsidR="003E575F" w:rsidRPr="00015BC4" w:rsidRDefault="003E575F" w:rsidP="003E575F">
            <w:pPr>
              <w:keepNext/>
              <w:jc w:val="center"/>
              <w:rPr>
                <w:rFonts w:ascii="Arial Narrow" w:hAnsi="Arial Narrow"/>
                <w:b/>
                <w:sz w:val="20"/>
                <w:lang w:val="en-AU"/>
              </w:rPr>
            </w:pPr>
            <w:r w:rsidRPr="00015BC4">
              <w:rPr>
                <w:rFonts w:ascii="Arial Narrow" w:hAnsi="Arial Narrow"/>
                <w:b/>
                <w:sz w:val="20"/>
                <w:lang w:val="en-AU"/>
              </w:rPr>
              <w:t>Qty</w:t>
            </w:r>
          </w:p>
        </w:tc>
        <w:tc>
          <w:tcPr>
            <w:tcW w:w="472" w:type="pct"/>
            <w:tcBorders>
              <w:top w:val="single" w:sz="4" w:space="0" w:color="auto"/>
              <w:bottom w:val="single" w:sz="4" w:space="0" w:color="auto"/>
            </w:tcBorders>
            <w:vAlign w:val="center"/>
          </w:tcPr>
          <w:p w:rsidR="003E575F" w:rsidRPr="00015BC4" w:rsidRDefault="003E575F" w:rsidP="003E575F">
            <w:pPr>
              <w:keepNext/>
              <w:jc w:val="center"/>
              <w:rPr>
                <w:rFonts w:ascii="Arial Narrow" w:hAnsi="Arial Narrow"/>
                <w:b/>
                <w:sz w:val="20"/>
                <w:lang w:val="en-AU"/>
              </w:rPr>
            </w:pPr>
            <w:r w:rsidRPr="00015BC4">
              <w:rPr>
                <w:rFonts w:ascii="Arial Narrow" w:hAnsi="Arial Narrow"/>
                <w:b/>
                <w:sz w:val="20"/>
                <w:lang w:val="en-AU"/>
              </w:rPr>
              <w:t>№.of</w:t>
            </w:r>
          </w:p>
          <w:p w:rsidR="003E575F" w:rsidRPr="00015BC4" w:rsidRDefault="003E575F" w:rsidP="003E575F">
            <w:pPr>
              <w:keepNext/>
              <w:jc w:val="center"/>
              <w:rPr>
                <w:rFonts w:ascii="Arial Narrow" w:hAnsi="Arial Narrow"/>
                <w:b/>
                <w:sz w:val="20"/>
                <w:lang w:val="en-AU"/>
              </w:rPr>
            </w:pPr>
            <w:r w:rsidRPr="00015BC4">
              <w:rPr>
                <w:rFonts w:ascii="Arial Narrow" w:hAnsi="Arial Narrow"/>
                <w:b/>
                <w:sz w:val="20"/>
                <w:lang w:val="en-AU"/>
              </w:rPr>
              <w:t>Rpts</w:t>
            </w:r>
          </w:p>
        </w:tc>
        <w:tc>
          <w:tcPr>
            <w:tcW w:w="1258" w:type="pct"/>
            <w:tcBorders>
              <w:top w:val="single" w:sz="4" w:space="0" w:color="auto"/>
              <w:bottom w:val="single" w:sz="4" w:space="0" w:color="auto"/>
            </w:tcBorders>
            <w:vAlign w:val="center"/>
          </w:tcPr>
          <w:p w:rsidR="003E575F" w:rsidRPr="00015BC4" w:rsidRDefault="003E575F" w:rsidP="003E575F">
            <w:pPr>
              <w:keepNext/>
              <w:jc w:val="center"/>
              <w:rPr>
                <w:rFonts w:ascii="Arial Narrow" w:hAnsi="Arial Narrow"/>
                <w:b/>
                <w:sz w:val="20"/>
                <w:lang w:val="en-AU"/>
              </w:rPr>
            </w:pPr>
            <w:r w:rsidRPr="00015BC4">
              <w:rPr>
                <w:rFonts w:ascii="Arial Narrow" w:hAnsi="Arial Narrow"/>
                <w:b/>
                <w:sz w:val="20"/>
                <w:lang w:val="en-AU"/>
              </w:rPr>
              <w:t xml:space="preserve">Dispensed Price for Max. Qty </w:t>
            </w:r>
          </w:p>
        </w:tc>
        <w:tc>
          <w:tcPr>
            <w:tcW w:w="1618" w:type="pct"/>
            <w:gridSpan w:val="2"/>
            <w:tcBorders>
              <w:top w:val="single" w:sz="4" w:space="0" w:color="auto"/>
              <w:bottom w:val="single" w:sz="4" w:space="0" w:color="auto"/>
            </w:tcBorders>
            <w:vAlign w:val="center"/>
          </w:tcPr>
          <w:p w:rsidR="003E575F" w:rsidRPr="00015BC4" w:rsidRDefault="003E575F" w:rsidP="003E575F">
            <w:pPr>
              <w:keepNext/>
              <w:jc w:val="center"/>
              <w:rPr>
                <w:rFonts w:ascii="Arial Narrow" w:hAnsi="Arial Narrow"/>
                <w:b/>
                <w:sz w:val="20"/>
                <w:lang w:val="en-AU"/>
              </w:rPr>
            </w:pPr>
            <w:r w:rsidRPr="00015BC4">
              <w:rPr>
                <w:rFonts w:ascii="Arial Narrow" w:hAnsi="Arial Narrow"/>
                <w:b/>
                <w:sz w:val="20"/>
                <w:lang w:val="en-AU"/>
              </w:rPr>
              <w:t>Proprietary Name and Manufacturer</w:t>
            </w:r>
          </w:p>
        </w:tc>
      </w:tr>
      <w:tr w:rsidR="003E575F" w:rsidRPr="00015BC4" w:rsidTr="003E575F">
        <w:trPr>
          <w:cantSplit/>
          <w:trHeight w:val="567"/>
        </w:trPr>
        <w:tc>
          <w:tcPr>
            <w:tcW w:w="1180" w:type="pct"/>
            <w:gridSpan w:val="2"/>
            <w:vAlign w:val="center"/>
          </w:tcPr>
          <w:p w:rsidR="003E575F" w:rsidRPr="00015BC4" w:rsidRDefault="003E575F" w:rsidP="003E575F">
            <w:pPr>
              <w:pStyle w:val="Tabletext"/>
              <w:rPr>
                <w:lang w:val="en-AU"/>
              </w:rPr>
            </w:pPr>
            <w:r w:rsidRPr="00015BC4">
              <w:rPr>
                <w:lang w:val="en-AU"/>
              </w:rPr>
              <w:t>SIPONIMOD</w:t>
            </w:r>
          </w:p>
          <w:p w:rsidR="003E575F" w:rsidRPr="00015BC4" w:rsidRDefault="003E575F" w:rsidP="003E575F">
            <w:pPr>
              <w:pStyle w:val="Tabletext"/>
              <w:rPr>
                <w:lang w:val="en-AU"/>
              </w:rPr>
            </w:pPr>
            <w:r w:rsidRPr="00015BC4">
              <w:rPr>
                <w:lang w:val="en-AU"/>
              </w:rPr>
              <w:t xml:space="preserve">Tablet, 0.25mg, </w:t>
            </w:r>
          </w:p>
          <w:p w:rsidR="003E575F" w:rsidRPr="00015BC4" w:rsidRDefault="003E575F" w:rsidP="003E575F">
            <w:pPr>
              <w:pStyle w:val="Tabletext"/>
              <w:rPr>
                <w:b/>
                <w:bCs/>
                <w:lang w:val="en-AU"/>
              </w:rPr>
            </w:pPr>
          </w:p>
          <w:p w:rsidR="003E575F" w:rsidRPr="00015BC4" w:rsidRDefault="003E575F" w:rsidP="003E575F">
            <w:pPr>
              <w:pStyle w:val="Tabletext"/>
              <w:rPr>
                <w:bCs/>
                <w:lang w:val="en-AU"/>
              </w:rPr>
            </w:pPr>
            <w:r w:rsidRPr="00015BC4">
              <w:rPr>
                <w:bCs/>
                <w:lang w:val="en-AU"/>
              </w:rPr>
              <w:t xml:space="preserve">Tablet, 0.25mg </w:t>
            </w:r>
          </w:p>
          <w:p w:rsidR="003E575F" w:rsidRPr="00015BC4" w:rsidRDefault="003E575F" w:rsidP="003E575F">
            <w:pPr>
              <w:pStyle w:val="Tabletext"/>
              <w:rPr>
                <w:bCs/>
                <w:lang w:val="en-AU"/>
              </w:rPr>
            </w:pPr>
          </w:p>
          <w:p w:rsidR="003E575F" w:rsidRPr="00015BC4" w:rsidRDefault="003E575F" w:rsidP="003E575F">
            <w:pPr>
              <w:pStyle w:val="Tabletext"/>
              <w:rPr>
                <w:bCs/>
                <w:lang w:val="en-AU"/>
              </w:rPr>
            </w:pPr>
            <w:r w:rsidRPr="00015BC4">
              <w:rPr>
                <w:bCs/>
                <w:lang w:val="en-AU"/>
              </w:rPr>
              <w:t>Tablet, 2mg</w:t>
            </w:r>
          </w:p>
          <w:p w:rsidR="003E575F" w:rsidRPr="00015BC4" w:rsidRDefault="003E575F" w:rsidP="003E575F">
            <w:pPr>
              <w:pStyle w:val="Tabletext"/>
              <w:rPr>
                <w:lang w:val="en-AU"/>
              </w:rPr>
            </w:pPr>
          </w:p>
        </w:tc>
        <w:tc>
          <w:tcPr>
            <w:tcW w:w="472" w:type="pct"/>
            <w:vAlign w:val="center"/>
          </w:tcPr>
          <w:p w:rsidR="003E575F" w:rsidRPr="00015BC4" w:rsidRDefault="003E575F" w:rsidP="003E575F">
            <w:pPr>
              <w:pStyle w:val="Tabletext"/>
              <w:jc w:val="center"/>
              <w:rPr>
                <w:lang w:val="en-AU"/>
              </w:rPr>
            </w:pPr>
            <w:r w:rsidRPr="00015BC4">
              <w:rPr>
                <w:lang w:val="en-AU"/>
              </w:rPr>
              <w:t>12</w:t>
            </w:r>
          </w:p>
          <w:p w:rsidR="003E575F" w:rsidRPr="00015BC4" w:rsidRDefault="003E575F" w:rsidP="003E575F">
            <w:pPr>
              <w:pStyle w:val="Tabletext"/>
              <w:jc w:val="center"/>
              <w:rPr>
                <w:lang w:val="en-AU"/>
              </w:rPr>
            </w:pPr>
          </w:p>
          <w:p w:rsidR="003E575F" w:rsidRPr="00015BC4" w:rsidRDefault="003E575F" w:rsidP="003E575F">
            <w:pPr>
              <w:pStyle w:val="Tabletext"/>
              <w:jc w:val="center"/>
              <w:rPr>
                <w:lang w:val="en-AU"/>
              </w:rPr>
            </w:pPr>
            <w:r w:rsidRPr="00015BC4">
              <w:rPr>
                <w:lang w:val="en-AU"/>
              </w:rPr>
              <w:t>120</w:t>
            </w:r>
          </w:p>
          <w:p w:rsidR="003E575F" w:rsidRPr="00015BC4" w:rsidRDefault="003E575F" w:rsidP="003E575F">
            <w:pPr>
              <w:pStyle w:val="Tabletext"/>
              <w:jc w:val="center"/>
              <w:rPr>
                <w:lang w:val="en-AU"/>
              </w:rPr>
            </w:pPr>
          </w:p>
          <w:p w:rsidR="003E575F" w:rsidRPr="00015BC4" w:rsidRDefault="003E575F" w:rsidP="003E575F">
            <w:pPr>
              <w:pStyle w:val="Tabletext"/>
              <w:jc w:val="center"/>
              <w:rPr>
                <w:lang w:val="en-AU"/>
              </w:rPr>
            </w:pPr>
            <w:r w:rsidRPr="00015BC4">
              <w:rPr>
                <w:lang w:val="en-AU"/>
              </w:rPr>
              <w:t>28</w:t>
            </w:r>
          </w:p>
        </w:tc>
        <w:tc>
          <w:tcPr>
            <w:tcW w:w="472" w:type="pct"/>
            <w:vAlign w:val="center"/>
          </w:tcPr>
          <w:p w:rsidR="003E575F" w:rsidRPr="00015BC4" w:rsidRDefault="003E575F" w:rsidP="003E575F">
            <w:pPr>
              <w:pStyle w:val="Tabletext"/>
              <w:jc w:val="center"/>
              <w:rPr>
                <w:lang w:val="en-AU"/>
              </w:rPr>
            </w:pPr>
            <w:r w:rsidRPr="00015BC4">
              <w:rPr>
                <w:lang w:val="en-AU"/>
              </w:rPr>
              <w:t>0</w:t>
            </w:r>
          </w:p>
          <w:p w:rsidR="003E575F" w:rsidRPr="00015BC4" w:rsidRDefault="003E575F" w:rsidP="003E575F">
            <w:pPr>
              <w:pStyle w:val="Tabletext"/>
              <w:jc w:val="center"/>
              <w:rPr>
                <w:lang w:val="en-AU"/>
              </w:rPr>
            </w:pPr>
          </w:p>
          <w:p w:rsidR="003E575F" w:rsidRPr="00015BC4" w:rsidRDefault="003E575F" w:rsidP="003E575F">
            <w:pPr>
              <w:pStyle w:val="Tabletext"/>
              <w:jc w:val="center"/>
              <w:rPr>
                <w:lang w:val="en-AU"/>
              </w:rPr>
            </w:pPr>
            <w:r w:rsidRPr="00015BC4">
              <w:rPr>
                <w:lang w:val="en-AU"/>
              </w:rPr>
              <w:t>5</w:t>
            </w:r>
          </w:p>
          <w:p w:rsidR="003E575F" w:rsidRPr="00015BC4" w:rsidRDefault="003E575F" w:rsidP="003E575F">
            <w:pPr>
              <w:pStyle w:val="Tabletext"/>
              <w:jc w:val="center"/>
              <w:rPr>
                <w:lang w:val="en-AU"/>
              </w:rPr>
            </w:pPr>
          </w:p>
          <w:p w:rsidR="003E575F" w:rsidRPr="00015BC4" w:rsidRDefault="003E575F" w:rsidP="003E575F">
            <w:pPr>
              <w:pStyle w:val="Tabletext"/>
              <w:jc w:val="center"/>
              <w:rPr>
                <w:lang w:val="en-AU"/>
              </w:rPr>
            </w:pPr>
            <w:r w:rsidRPr="00015BC4">
              <w:rPr>
                <w:lang w:val="en-AU"/>
              </w:rPr>
              <w:t>5</w:t>
            </w:r>
          </w:p>
        </w:tc>
        <w:tc>
          <w:tcPr>
            <w:tcW w:w="1258" w:type="pct"/>
            <w:vAlign w:val="center"/>
          </w:tcPr>
          <w:p w:rsidR="003E575F" w:rsidRPr="00015BC4" w:rsidRDefault="003E575F" w:rsidP="003E575F">
            <w:pPr>
              <w:pStyle w:val="Tabletext"/>
              <w:jc w:val="center"/>
              <w:rPr>
                <w:lang w:val="en-AU"/>
              </w:rPr>
            </w:pPr>
          </w:p>
          <w:p w:rsidR="003E575F" w:rsidRPr="00286E3F" w:rsidRDefault="003E575F" w:rsidP="003E575F">
            <w:pPr>
              <w:pStyle w:val="Tabletext"/>
              <w:jc w:val="center"/>
              <w:rPr>
                <w:lang w:val="en-AU"/>
              </w:rPr>
            </w:pPr>
            <w:r w:rsidRPr="00015BC4">
              <w:rPr>
                <w:lang w:val="en-AU"/>
              </w:rPr>
              <w:t>$</w:t>
            </w:r>
            <w:r w:rsidR="003C0833">
              <w:rPr>
                <w:noProof/>
                <w:color w:val="000000"/>
                <w:highlight w:val="black"/>
                <w:lang w:val="en-AU"/>
              </w:rPr>
              <w:t>'''''''''''''''''</w:t>
            </w:r>
            <w:r w:rsidRPr="00286E3F">
              <w:rPr>
                <w:lang w:val="en-AU"/>
              </w:rPr>
              <w:t xml:space="preserve"> published price</w:t>
            </w:r>
          </w:p>
          <w:p w:rsidR="003E575F" w:rsidRPr="00286E3F" w:rsidRDefault="003E575F" w:rsidP="003E575F">
            <w:pPr>
              <w:pStyle w:val="Tabletext"/>
              <w:jc w:val="center"/>
              <w:rPr>
                <w:lang w:val="en-AU"/>
              </w:rPr>
            </w:pPr>
            <w:r w:rsidRPr="00286E3F">
              <w:rPr>
                <w:lang w:val="en-AU"/>
              </w:rPr>
              <w:t>$</w:t>
            </w:r>
            <w:r w:rsidR="003C0833">
              <w:rPr>
                <w:noProof/>
                <w:color w:val="000000"/>
                <w:highlight w:val="black"/>
                <w:lang w:val="en-AU"/>
              </w:rPr>
              <w:t>''''''''''''''''</w:t>
            </w:r>
            <w:r w:rsidRPr="00286E3F">
              <w:rPr>
                <w:lang w:val="en-AU"/>
              </w:rPr>
              <w:t xml:space="preserve"> effective price</w:t>
            </w:r>
          </w:p>
          <w:p w:rsidR="003E575F" w:rsidRPr="00286E3F" w:rsidRDefault="003E575F" w:rsidP="003E575F">
            <w:pPr>
              <w:pStyle w:val="Tabletext"/>
              <w:jc w:val="center"/>
              <w:rPr>
                <w:lang w:val="en-AU"/>
              </w:rPr>
            </w:pPr>
            <w:r w:rsidRPr="00286E3F">
              <w:rPr>
                <w:lang w:val="en-AU"/>
              </w:rPr>
              <w:t>$</w:t>
            </w:r>
            <w:r w:rsidR="003C0833">
              <w:rPr>
                <w:noProof/>
                <w:color w:val="000000"/>
                <w:highlight w:val="black"/>
                <w:lang w:val="en-AU"/>
              </w:rPr>
              <w:t>''''''''''''''''''''</w:t>
            </w:r>
            <w:r w:rsidRPr="00286E3F">
              <w:rPr>
                <w:lang w:val="en-AU"/>
              </w:rPr>
              <w:t xml:space="preserve"> published price</w:t>
            </w:r>
          </w:p>
          <w:p w:rsidR="003E575F" w:rsidRPr="00286E3F" w:rsidRDefault="003E575F" w:rsidP="003E575F">
            <w:pPr>
              <w:pStyle w:val="Tabletext"/>
              <w:jc w:val="center"/>
              <w:rPr>
                <w:lang w:val="en-AU"/>
              </w:rPr>
            </w:pPr>
            <w:r w:rsidRPr="00286E3F">
              <w:rPr>
                <w:lang w:val="en-AU"/>
              </w:rPr>
              <w:t>$</w:t>
            </w:r>
            <w:r w:rsidR="003C0833">
              <w:rPr>
                <w:noProof/>
                <w:color w:val="000000"/>
                <w:highlight w:val="black"/>
                <w:lang w:val="en-AU"/>
              </w:rPr>
              <w:t>'''''''''''''''''''''''</w:t>
            </w:r>
            <w:r w:rsidRPr="00286E3F">
              <w:rPr>
                <w:lang w:val="en-AU"/>
              </w:rPr>
              <w:t xml:space="preserve"> effective price</w:t>
            </w:r>
          </w:p>
          <w:p w:rsidR="003E575F" w:rsidRPr="00286E3F" w:rsidRDefault="003E575F" w:rsidP="003E575F">
            <w:pPr>
              <w:pStyle w:val="Tabletext"/>
              <w:jc w:val="center"/>
              <w:rPr>
                <w:lang w:val="en-AU"/>
              </w:rPr>
            </w:pPr>
            <w:r w:rsidRPr="00286E3F">
              <w:rPr>
                <w:lang w:val="en-AU"/>
              </w:rPr>
              <w:t>$</w:t>
            </w:r>
            <w:r w:rsidR="003C0833">
              <w:rPr>
                <w:noProof/>
                <w:color w:val="000000"/>
                <w:highlight w:val="black"/>
                <w:lang w:val="en-AU"/>
              </w:rPr>
              <w:t>'''''''''''''''''''''</w:t>
            </w:r>
            <w:r w:rsidRPr="00286E3F">
              <w:rPr>
                <w:lang w:val="en-AU"/>
              </w:rPr>
              <w:t xml:space="preserve"> published price</w:t>
            </w:r>
          </w:p>
          <w:p w:rsidR="003E575F" w:rsidRPr="00015BC4" w:rsidRDefault="003E575F" w:rsidP="003E575F">
            <w:pPr>
              <w:pStyle w:val="Tabletext"/>
              <w:jc w:val="center"/>
              <w:rPr>
                <w:lang w:val="en-AU"/>
              </w:rPr>
            </w:pPr>
            <w:r w:rsidRPr="00286E3F">
              <w:rPr>
                <w:lang w:val="en-AU"/>
              </w:rPr>
              <w:t>$</w:t>
            </w:r>
            <w:r w:rsidR="003C0833">
              <w:rPr>
                <w:noProof/>
                <w:color w:val="000000"/>
                <w:highlight w:val="black"/>
                <w:lang w:val="en-AU"/>
              </w:rPr>
              <w:t>'''''''''''''''''''</w:t>
            </w:r>
            <w:r w:rsidRPr="00286E3F">
              <w:rPr>
                <w:lang w:val="en-AU"/>
              </w:rPr>
              <w:t xml:space="preserve"> effective price</w:t>
            </w:r>
          </w:p>
        </w:tc>
        <w:tc>
          <w:tcPr>
            <w:tcW w:w="945" w:type="pct"/>
            <w:vAlign w:val="center"/>
          </w:tcPr>
          <w:p w:rsidR="003E575F" w:rsidRPr="00015BC4" w:rsidRDefault="003E575F" w:rsidP="003E575F">
            <w:pPr>
              <w:keepNext/>
              <w:jc w:val="center"/>
              <w:rPr>
                <w:rFonts w:ascii="Arial Narrow" w:hAnsi="Arial Narrow"/>
                <w:sz w:val="20"/>
                <w:lang w:val="en-AU"/>
              </w:rPr>
            </w:pPr>
            <w:r w:rsidRPr="00015BC4">
              <w:rPr>
                <w:rFonts w:ascii="Arial Narrow" w:hAnsi="Arial Narrow"/>
                <w:sz w:val="20"/>
                <w:lang w:val="en-AU"/>
              </w:rPr>
              <w:t>Mayzent®</w:t>
            </w:r>
          </w:p>
        </w:tc>
        <w:tc>
          <w:tcPr>
            <w:tcW w:w="673" w:type="pct"/>
            <w:vAlign w:val="center"/>
          </w:tcPr>
          <w:p w:rsidR="003E575F" w:rsidRPr="00015BC4" w:rsidRDefault="003E575F" w:rsidP="003E575F">
            <w:pPr>
              <w:keepNext/>
              <w:jc w:val="center"/>
              <w:rPr>
                <w:rFonts w:ascii="Arial Narrow" w:hAnsi="Arial Narrow"/>
                <w:sz w:val="20"/>
                <w:lang w:val="en-AU"/>
              </w:rPr>
            </w:pPr>
            <w:r w:rsidRPr="00015BC4">
              <w:rPr>
                <w:rFonts w:ascii="Arial Narrow" w:hAnsi="Arial Narrow"/>
                <w:sz w:val="20"/>
                <w:lang w:val="en-AU"/>
              </w:rPr>
              <w:t>Novartis Pharmaceuticals Pty Ltd</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Prescriber type:</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pPr>
            <w:r w:rsidRPr="00015BC4">
              <w:fldChar w:fldCharType="begin">
                <w:ffData>
                  <w:name w:val="Check1"/>
                  <w:enabled/>
                  <w:calcOnExit w:val="0"/>
                  <w:checkBox>
                    <w:sizeAuto/>
                    <w:default w:val="0"/>
                  </w:checkBox>
                </w:ffData>
              </w:fldChar>
            </w:r>
            <w:r w:rsidRPr="00015BC4">
              <w:instrText xml:space="preserve"> FORMCHECKBOX </w:instrText>
            </w:r>
            <w:r w:rsidR="001B6B57">
              <w:fldChar w:fldCharType="separate"/>
            </w:r>
            <w:r w:rsidRPr="00015BC4">
              <w:fldChar w:fldCharType="end"/>
            </w:r>
            <w:r w:rsidRPr="00015BC4">
              <w:t xml:space="preserve">Dental  </w:t>
            </w:r>
            <w:r w:rsidRPr="00015BC4">
              <w:fldChar w:fldCharType="begin">
                <w:ffData>
                  <w:name w:val="Check1"/>
                  <w:enabled/>
                  <w:calcOnExit w:val="0"/>
                  <w:checkBox>
                    <w:sizeAuto/>
                    <w:default w:val="1"/>
                  </w:checkBox>
                </w:ffData>
              </w:fldChar>
            </w:r>
            <w:r w:rsidRPr="00015BC4">
              <w:instrText xml:space="preserve"> FORMCHECKBOX </w:instrText>
            </w:r>
            <w:r w:rsidR="001B6B57">
              <w:fldChar w:fldCharType="separate"/>
            </w:r>
            <w:r w:rsidRPr="00015BC4">
              <w:fldChar w:fldCharType="end"/>
            </w:r>
            <w:r w:rsidRPr="00015BC4">
              <w:t xml:space="preserve">Medical Practitioners  </w:t>
            </w:r>
            <w:r w:rsidRPr="00015BC4">
              <w:fldChar w:fldCharType="begin">
                <w:ffData>
                  <w:name w:val="Check1"/>
                  <w:enabled/>
                  <w:calcOnExit w:val="0"/>
                  <w:checkBox>
                    <w:sizeAuto/>
                    <w:default w:val="0"/>
                  </w:checkBox>
                </w:ffData>
              </w:fldChar>
            </w:r>
            <w:r w:rsidRPr="00015BC4">
              <w:instrText xml:space="preserve"> FORMCHECKBOX </w:instrText>
            </w:r>
            <w:r w:rsidR="001B6B57">
              <w:fldChar w:fldCharType="separate"/>
            </w:r>
            <w:r w:rsidRPr="00015BC4">
              <w:fldChar w:fldCharType="end"/>
            </w:r>
            <w:r w:rsidRPr="00015BC4">
              <w:t xml:space="preserve">Nurse practitioners </w:t>
            </w:r>
          </w:p>
          <w:p w:rsidR="003E575F" w:rsidRPr="00015BC4" w:rsidRDefault="003E575F" w:rsidP="003E575F">
            <w:pPr>
              <w:pStyle w:val="TableText0"/>
              <w:keepNext w:val="0"/>
            </w:pPr>
            <w:r w:rsidRPr="00015BC4">
              <w:fldChar w:fldCharType="begin">
                <w:ffData>
                  <w:name w:val="Check1"/>
                  <w:enabled/>
                  <w:calcOnExit w:val="0"/>
                  <w:checkBox>
                    <w:sizeAuto/>
                    <w:default w:val="0"/>
                  </w:checkBox>
                </w:ffData>
              </w:fldChar>
            </w:r>
            <w:r w:rsidRPr="00015BC4">
              <w:instrText xml:space="preserve"> FORMCHECKBOX </w:instrText>
            </w:r>
            <w:r w:rsidR="001B6B57">
              <w:fldChar w:fldCharType="separate"/>
            </w:r>
            <w:r w:rsidRPr="00015BC4">
              <w:fldChar w:fldCharType="end"/>
            </w:r>
            <w:r w:rsidRPr="00015BC4">
              <w:t xml:space="preserve">Optometrists </w:t>
            </w:r>
            <w:r w:rsidRPr="00015BC4">
              <w:fldChar w:fldCharType="begin">
                <w:ffData>
                  <w:name w:val="Check1"/>
                  <w:enabled/>
                  <w:calcOnExit w:val="0"/>
                  <w:checkBox>
                    <w:sizeAuto/>
                    <w:default w:val="0"/>
                  </w:checkBox>
                </w:ffData>
              </w:fldChar>
            </w:r>
            <w:r w:rsidRPr="00015BC4">
              <w:instrText xml:space="preserve"> FORMCHECKBOX </w:instrText>
            </w:r>
            <w:r w:rsidR="001B6B57">
              <w:fldChar w:fldCharType="separate"/>
            </w:r>
            <w:r w:rsidRPr="00015BC4">
              <w:fldChar w:fldCharType="end"/>
            </w:r>
            <w:r w:rsidRPr="00015BC4">
              <w:t>Midwives</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Episodicity:</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pPr>
            <w:r w:rsidRPr="00015BC4">
              <w:t>Chronic</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Severity:</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pPr>
            <w:r w:rsidRPr="00015BC4">
              <w:t>Nil</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Condition:</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pPr>
            <w:r w:rsidRPr="00015BC4">
              <w:t>Multiple Sclerosis</w:t>
            </w:r>
          </w:p>
        </w:tc>
      </w:tr>
      <w:tr w:rsidR="003E575F" w:rsidRPr="00015BC4" w:rsidTr="003E575F">
        <w:tblPrEx>
          <w:tblCellMar>
            <w:left w:w="108" w:type="dxa"/>
            <w:right w:w="108" w:type="dxa"/>
          </w:tblCellMar>
        </w:tblPrEx>
        <w:trPr>
          <w:cantSplit/>
          <w:trHeight w:val="125"/>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PBS Indication:</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pPr>
            <w:r w:rsidRPr="00015BC4">
              <w:t>Multiple Sclerosis</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Treatment phase:</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pPr>
            <w:r w:rsidRPr="00015BC4">
              <w:t>Initial</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i/>
              </w:rPr>
            </w:pPr>
            <w:r w:rsidRPr="00015BC4">
              <w:rPr>
                <w:b/>
              </w:rPr>
              <w:t>Restriction:</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pPr>
            <w:r w:rsidRPr="00015BC4">
              <w:fldChar w:fldCharType="begin">
                <w:ffData>
                  <w:name w:val="Check1"/>
                  <w:enabled/>
                  <w:calcOnExit w:val="0"/>
                  <w:checkBox>
                    <w:sizeAuto/>
                    <w:default w:val="0"/>
                  </w:checkBox>
                </w:ffData>
              </w:fldChar>
            </w:r>
            <w:r w:rsidRPr="00015BC4">
              <w:instrText xml:space="preserve"> FORMCHECKBOX </w:instrText>
            </w:r>
            <w:r w:rsidR="001B6B57">
              <w:fldChar w:fldCharType="separate"/>
            </w:r>
            <w:r w:rsidRPr="00015BC4">
              <w:fldChar w:fldCharType="end"/>
            </w:r>
            <w:r w:rsidRPr="00015BC4">
              <w:t>Restricted benefit</w:t>
            </w:r>
          </w:p>
          <w:p w:rsidR="003E575F" w:rsidRPr="00015BC4" w:rsidRDefault="003E575F" w:rsidP="003E575F">
            <w:pPr>
              <w:pStyle w:val="TableText0"/>
              <w:keepNext w:val="0"/>
            </w:pPr>
            <w:r w:rsidRPr="00015BC4">
              <w:fldChar w:fldCharType="begin">
                <w:ffData>
                  <w:name w:val=""/>
                  <w:enabled/>
                  <w:calcOnExit w:val="0"/>
                  <w:checkBox>
                    <w:sizeAuto/>
                    <w:default w:val="0"/>
                  </w:checkBox>
                </w:ffData>
              </w:fldChar>
            </w:r>
            <w:r w:rsidRPr="00015BC4">
              <w:instrText xml:space="preserve"> FORMCHECKBOX </w:instrText>
            </w:r>
            <w:r w:rsidR="001B6B57">
              <w:fldChar w:fldCharType="separate"/>
            </w:r>
            <w:r w:rsidRPr="00015BC4">
              <w:fldChar w:fldCharType="end"/>
            </w:r>
            <w:r w:rsidRPr="00015BC4">
              <w:t>Authority Required – In Writing</w:t>
            </w:r>
          </w:p>
          <w:p w:rsidR="003E575F" w:rsidRPr="00015BC4" w:rsidRDefault="003E575F" w:rsidP="003E575F">
            <w:pPr>
              <w:pStyle w:val="TableText0"/>
              <w:keepNext w:val="0"/>
            </w:pPr>
            <w:r w:rsidRPr="00015BC4">
              <w:fldChar w:fldCharType="begin">
                <w:ffData>
                  <w:name w:val="Check3"/>
                  <w:enabled/>
                  <w:calcOnExit w:val="0"/>
                  <w:checkBox>
                    <w:sizeAuto/>
                    <w:default w:val="0"/>
                  </w:checkBox>
                </w:ffData>
              </w:fldChar>
            </w:r>
            <w:r w:rsidRPr="00015BC4">
              <w:instrText xml:space="preserve"> FORMCHECKBOX </w:instrText>
            </w:r>
            <w:r w:rsidR="001B6B57">
              <w:fldChar w:fldCharType="separate"/>
            </w:r>
            <w:r w:rsidRPr="00015BC4">
              <w:fldChar w:fldCharType="end"/>
            </w:r>
            <w:r w:rsidRPr="00015BC4">
              <w:t>Authority Required – Telephone, Electronic</w:t>
            </w:r>
          </w:p>
          <w:p w:rsidR="003E575F" w:rsidRPr="00015BC4" w:rsidRDefault="003E575F" w:rsidP="003E575F">
            <w:pPr>
              <w:pStyle w:val="TableText0"/>
              <w:keepNext w:val="0"/>
            </w:pPr>
            <w:r w:rsidRPr="00015BC4">
              <w:fldChar w:fldCharType="begin">
                <w:ffData>
                  <w:name w:val="Check5"/>
                  <w:enabled/>
                  <w:calcOnExit w:val="0"/>
                  <w:checkBox>
                    <w:sizeAuto/>
                    <w:default w:val="1"/>
                  </w:checkBox>
                </w:ffData>
              </w:fldChar>
            </w:r>
            <w:r w:rsidRPr="00015BC4">
              <w:instrText xml:space="preserve"> FORMCHECKBOX </w:instrText>
            </w:r>
            <w:r w:rsidR="001B6B57">
              <w:fldChar w:fldCharType="separate"/>
            </w:r>
            <w:r w:rsidRPr="00015BC4">
              <w:fldChar w:fldCharType="end"/>
            </w:r>
            <w:r w:rsidRPr="00015BC4">
              <w:t>Streamlined</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Clinical criteria:</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pPr>
            <w:r w:rsidRPr="00015BC4">
              <w:t xml:space="preserve">The condition must be, </w:t>
            </w:r>
            <w:r w:rsidRPr="00015BC4">
              <w:rPr>
                <w:u w:val="single"/>
              </w:rPr>
              <w:t>or have previously been</w:t>
            </w:r>
            <w:r w:rsidRPr="00015BC4">
              <w:t xml:space="preserve"> diagnosed as clinically definite relapsing-remitting multiple sclerosis by magnetic resonance imaging of the brain and/or spinal cord; OR </w:t>
            </w:r>
          </w:p>
          <w:p w:rsidR="003E575F" w:rsidRPr="00015BC4" w:rsidRDefault="003E575F" w:rsidP="003E575F">
            <w:pPr>
              <w:pStyle w:val="TableText0"/>
              <w:keepNext w:val="0"/>
            </w:pPr>
            <w:r w:rsidRPr="00015BC4">
              <w:t xml:space="preserve">The condition must be, </w:t>
            </w:r>
            <w:r w:rsidRPr="00015BC4">
              <w:rPr>
                <w:u w:val="single"/>
              </w:rPr>
              <w:t>or have previously been</w:t>
            </w:r>
            <w:r w:rsidRPr="00015BC4">
              <w:t xml:space="preserve"> diagnosed as clinically definite relapsing-remitting multiple sclerosis by accompanying written certification provided by a radiologist that a magnetic resonance imaging scan is contraindicated because of the risk of physical (not psychological) injury to the patient, </w:t>
            </w:r>
          </w:p>
          <w:p w:rsidR="003E575F" w:rsidRPr="00015BC4" w:rsidRDefault="003E575F" w:rsidP="003E575F">
            <w:pPr>
              <w:pStyle w:val="TableText0"/>
              <w:keepNext w:val="0"/>
            </w:pPr>
            <w:r w:rsidRPr="00015BC4">
              <w:t>AND</w:t>
            </w:r>
          </w:p>
          <w:p w:rsidR="003E575F" w:rsidRPr="00015BC4" w:rsidRDefault="003E575F" w:rsidP="003E575F">
            <w:pPr>
              <w:pStyle w:val="TableText0"/>
              <w:keepNext w:val="0"/>
            </w:pPr>
            <w:r w:rsidRPr="00015BC4">
              <w:t>The treatment must be a sole PBS-subsidised disease modifying therapy for this condition,</w:t>
            </w:r>
          </w:p>
          <w:p w:rsidR="003E575F" w:rsidRPr="00015BC4" w:rsidRDefault="003E575F" w:rsidP="003E575F">
            <w:pPr>
              <w:pStyle w:val="TableText0"/>
              <w:keepNext w:val="0"/>
            </w:pPr>
            <w:r w:rsidRPr="00015BC4">
              <w:t>AND</w:t>
            </w:r>
          </w:p>
          <w:p w:rsidR="003E575F" w:rsidRPr="00015BC4" w:rsidRDefault="003E575F" w:rsidP="003E575F">
            <w:pPr>
              <w:pStyle w:val="TableText0"/>
              <w:keepNext w:val="0"/>
            </w:pPr>
            <w:r w:rsidRPr="00015BC4">
              <w:t>Patient must be ambulatory (</w:t>
            </w:r>
            <w:r w:rsidRPr="00015BC4">
              <w:rPr>
                <w:u w:val="single"/>
              </w:rPr>
              <w:t>with or</w:t>
            </w:r>
            <w:r w:rsidRPr="00015BC4">
              <w:t xml:space="preserve"> without assistance or support).</w:t>
            </w:r>
          </w:p>
          <w:p w:rsidR="003E575F" w:rsidRPr="00015BC4" w:rsidRDefault="003E575F" w:rsidP="003E575F">
            <w:pPr>
              <w:pStyle w:val="TableText0"/>
              <w:keepNext w:val="0"/>
            </w:pPr>
          </w:p>
          <w:p w:rsidR="003E575F" w:rsidRPr="00015BC4" w:rsidRDefault="003E575F" w:rsidP="003E575F">
            <w:pPr>
              <w:pStyle w:val="TableText0"/>
              <w:keepNext w:val="0"/>
            </w:pPr>
            <w:r w:rsidRPr="00015BC4">
              <w:t>Where applicable, the date of the magnetic resonance imaging scan must be recorded in the patient’s medical record.</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Prescriber Instructions:</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pPr>
            <w:r w:rsidRPr="00015BC4">
              <w:t>Patient must have a genotype test to determine their metaboliser status for the CYP2C9 metabolising enzyme, as per the TGA-approved Product Information.</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Administrative Advice:</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rPr>
                <w:rFonts w:ascii="Arial Narrow" w:hAnsi="Arial Narrow"/>
                <w:sz w:val="20"/>
                <w:lang w:val="en-AU"/>
              </w:rPr>
            </w:pPr>
            <w:r w:rsidRPr="00015BC4">
              <w:rPr>
                <w:rFonts w:ascii="Arial Narrow" w:hAnsi="Arial Narrow"/>
                <w:sz w:val="20"/>
                <w:lang w:val="en-AU"/>
              </w:rPr>
              <w:t>No increase in the maximum quantity or number of units may be authorised.</w:t>
            </w:r>
          </w:p>
          <w:p w:rsidR="003E575F" w:rsidRPr="00015BC4" w:rsidRDefault="003E575F" w:rsidP="003E575F">
            <w:pPr>
              <w:rPr>
                <w:rFonts w:ascii="Arial Narrow" w:hAnsi="Arial Narrow"/>
                <w:sz w:val="20"/>
                <w:lang w:val="en-AU"/>
              </w:rPr>
            </w:pPr>
            <w:r w:rsidRPr="00015BC4">
              <w:rPr>
                <w:rFonts w:ascii="Arial Narrow" w:hAnsi="Arial Narrow"/>
                <w:sz w:val="20"/>
                <w:lang w:val="en-AU"/>
              </w:rPr>
              <w:t>No increase in the maximum number of repeats may be authorised.</w:t>
            </w:r>
          </w:p>
          <w:p w:rsidR="003E575F" w:rsidRPr="00015BC4" w:rsidRDefault="003E575F" w:rsidP="003E575F">
            <w:pPr>
              <w:pStyle w:val="TableText0"/>
              <w:keepNext w:val="0"/>
            </w:pPr>
            <w:r w:rsidRPr="00015BC4">
              <w:t>Special Pricing Arrangements apply</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Treatment phase:</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rPr>
                <w:rFonts w:ascii="Arial Narrow" w:hAnsi="Arial Narrow"/>
                <w:sz w:val="20"/>
                <w:lang w:val="en-AU"/>
              </w:rPr>
            </w:pPr>
            <w:r w:rsidRPr="00015BC4">
              <w:rPr>
                <w:rFonts w:ascii="Arial Narrow" w:hAnsi="Arial Narrow"/>
                <w:sz w:val="20"/>
                <w:lang w:val="en-AU"/>
              </w:rPr>
              <w:t>Continuing</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Restriction:</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pPr>
            <w:r w:rsidRPr="00015BC4">
              <w:fldChar w:fldCharType="begin">
                <w:ffData>
                  <w:name w:val="Check1"/>
                  <w:enabled/>
                  <w:calcOnExit w:val="0"/>
                  <w:checkBox>
                    <w:sizeAuto/>
                    <w:default w:val="0"/>
                  </w:checkBox>
                </w:ffData>
              </w:fldChar>
            </w:r>
            <w:r w:rsidRPr="00015BC4">
              <w:instrText xml:space="preserve"> FORMCHECKBOX </w:instrText>
            </w:r>
            <w:r w:rsidR="001B6B57">
              <w:fldChar w:fldCharType="separate"/>
            </w:r>
            <w:r w:rsidRPr="00015BC4">
              <w:fldChar w:fldCharType="end"/>
            </w:r>
            <w:r w:rsidRPr="00015BC4">
              <w:t>Restricted benefit</w:t>
            </w:r>
          </w:p>
          <w:p w:rsidR="003E575F" w:rsidRPr="00015BC4" w:rsidRDefault="003E575F" w:rsidP="003E575F">
            <w:pPr>
              <w:pStyle w:val="TableText0"/>
              <w:keepNext w:val="0"/>
            </w:pPr>
            <w:r w:rsidRPr="00015BC4">
              <w:fldChar w:fldCharType="begin">
                <w:ffData>
                  <w:name w:val=""/>
                  <w:enabled/>
                  <w:calcOnExit w:val="0"/>
                  <w:checkBox>
                    <w:sizeAuto/>
                    <w:default w:val="0"/>
                  </w:checkBox>
                </w:ffData>
              </w:fldChar>
            </w:r>
            <w:r w:rsidRPr="00015BC4">
              <w:instrText xml:space="preserve"> FORMCHECKBOX </w:instrText>
            </w:r>
            <w:r w:rsidR="001B6B57">
              <w:fldChar w:fldCharType="separate"/>
            </w:r>
            <w:r w:rsidRPr="00015BC4">
              <w:fldChar w:fldCharType="end"/>
            </w:r>
            <w:r w:rsidRPr="00015BC4">
              <w:t>Authority Required – In Writing</w:t>
            </w:r>
          </w:p>
          <w:p w:rsidR="003E575F" w:rsidRPr="00015BC4" w:rsidRDefault="003E575F" w:rsidP="003E575F">
            <w:pPr>
              <w:pStyle w:val="TableText0"/>
              <w:keepNext w:val="0"/>
            </w:pPr>
            <w:r w:rsidRPr="00015BC4">
              <w:fldChar w:fldCharType="begin">
                <w:ffData>
                  <w:name w:val="Check3"/>
                  <w:enabled/>
                  <w:calcOnExit w:val="0"/>
                  <w:checkBox>
                    <w:sizeAuto/>
                    <w:default w:val="0"/>
                  </w:checkBox>
                </w:ffData>
              </w:fldChar>
            </w:r>
            <w:r w:rsidRPr="00015BC4">
              <w:instrText xml:space="preserve"> FORMCHECKBOX </w:instrText>
            </w:r>
            <w:r w:rsidR="001B6B57">
              <w:fldChar w:fldCharType="separate"/>
            </w:r>
            <w:r w:rsidRPr="00015BC4">
              <w:fldChar w:fldCharType="end"/>
            </w:r>
            <w:r w:rsidRPr="00015BC4">
              <w:t>Authority Required – Telephone, Electronic</w:t>
            </w:r>
          </w:p>
          <w:p w:rsidR="003E575F" w:rsidRPr="00015BC4" w:rsidRDefault="003E575F" w:rsidP="003E575F">
            <w:pPr>
              <w:rPr>
                <w:rFonts w:ascii="Arial" w:hAnsi="Arial"/>
                <w:sz w:val="20"/>
                <w:szCs w:val="20"/>
                <w:lang w:val="en-AU"/>
              </w:rPr>
            </w:pPr>
            <w:r w:rsidRPr="00015BC4">
              <w:rPr>
                <w:rFonts w:ascii="Arial" w:hAnsi="Arial"/>
                <w:sz w:val="20"/>
                <w:szCs w:val="20"/>
                <w:lang w:val="en-AU"/>
              </w:rPr>
              <w:fldChar w:fldCharType="begin">
                <w:ffData>
                  <w:name w:val="Check5"/>
                  <w:enabled/>
                  <w:calcOnExit w:val="0"/>
                  <w:checkBox>
                    <w:sizeAuto/>
                    <w:default w:val="1"/>
                  </w:checkBox>
                </w:ffData>
              </w:fldChar>
            </w:r>
            <w:r w:rsidRPr="00015BC4">
              <w:rPr>
                <w:rFonts w:ascii="Arial" w:hAnsi="Arial"/>
                <w:sz w:val="20"/>
                <w:szCs w:val="20"/>
                <w:lang w:val="en-AU"/>
              </w:rPr>
              <w:instrText xml:space="preserve"> FORMCHECKBOX </w:instrText>
            </w:r>
            <w:r w:rsidR="001B6B57">
              <w:rPr>
                <w:rFonts w:ascii="Arial" w:hAnsi="Arial"/>
                <w:sz w:val="20"/>
                <w:szCs w:val="20"/>
                <w:lang w:val="en-AU"/>
              </w:rPr>
            </w:r>
            <w:r w:rsidR="001B6B57">
              <w:rPr>
                <w:rFonts w:ascii="Arial" w:hAnsi="Arial"/>
                <w:sz w:val="20"/>
                <w:szCs w:val="20"/>
                <w:lang w:val="en-AU"/>
              </w:rPr>
              <w:fldChar w:fldCharType="separate"/>
            </w:r>
            <w:r w:rsidRPr="00015BC4">
              <w:rPr>
                <w:rFonts w:ascii="Arial" w:hAnsi="Arial"/>
                <w:sz w:val="20"/>
                <w:szCs w:val="20"/>
                <w:lang w:val="en-AU"/>
              </w:rPr>
              <w:fldChar w:fldCharType="end"/>
            </w:r>
            <w:r w:rsidRPr="00015BC4">
              <w:rPr>
                <w:rFonts w:ascii="Arial Narrow" w:hAnsi="Arial Narrow"/>
                <w:sz w:val="20"/>
                <w:szCs w:val="20"/>
                <w:lang w:val="en-AU"/>
              </w:rPr>
              <w:t>Streamlined</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lastRenderedPageBreak/>
              <w:t>Clinical criteria:</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rPr>
                <w:rFonts w:ascii="Arial Narrow" w:hAnsi="Arial Narrow"/>
                <w:sz w:val="20"/>
                <w:lang w:val="en-AU"/>
              </w:rPr>
            </w:pPr>
            <w:r w:rsidRPr="00015BC4">
              <w:rPr>
                <w:rFonts w:ascii="Arial Narrow" w:hAnsi="Arial Narrow"/>
                <w:sz w:val="20"/>
                <w:lang w:val="en-AU"/>
              </w:rPr>
              <w:t xml:space="preserve">The condition must be, </w:t>
            </w:r>
            <w:r w:rsidRPr="00015BC4">
              <w:rPr>
                <w:rFonts w:ascii="Arial Narrow" w:hAnsi="Arial Narrow"/>
                <w:sz w:val="20"/>
                <w:u w:val="single"/>
                <w:lang w:val="en-AU"/>
              </w:rPr>
              <w:t>or have previously been</w:t>
            </w:r>
            <w:r w:rsidRPr="00015BC4">
              <w:rPr>
                <w:rFonts w:ascii="Arial Narrow" w:hAnsi="Arial Narrow"/>
                <w:sz w:val="20"/>
                <w:lang w:val="en-AU"/>
              </w:rPr>
              <w:t xml:space="preserve"> diagnosed as clinically definite relapsing-remitting multiple sclerosis, </w:t>
            </w:r>
          </w:p>
          <w:p w:rsidR="003E575F" w:rsidRPr="00015BC4" w:rsidRDefault="003E575F" w:rsidP="003E575F">
            <w:pPr>
              <w:rPr>
                <w:rFonts w:ascii="Arial Narrow" w:hAnsi="Arial Narrow"/>
                <w:sz w:val="20"/>
                <w:lang w:val="en-AU"/>
              </w:rPr>
            </w:pPr>
            <w:r w:rsidRPr="00015BC4">
              <w:rPr>
                <w:rFonts w:ascii="Arial Narrow" w:hAnsi="Arial Narrow"/>
                <w:sz w:val="20"/>
                <w:lang w:val="en-AU"/>
              </w:rPr>
              <w:t>AND</w:t>
            </w:r>
          </w:p>
          <w:p w:rsidR="003E575F" w:rsidRPr="00015BC4" w:rsidRDefault="003E575F" w:rsidP="003E575F">
            <w:pPr>
              <w:rPr>
                <w:rFonts w:ascii="Arial Narrow" w:hAnsi="Arial Narrow"/>
                <w:sz w:val="20"/>
                <w:lang w:val="en-AU"/>
              </w:rPr>
            </w:pPr>
            <w:r w:rsidRPr="00015BC4">
              <w:rPr>
                <w:rFonts w:ascii="Arial Narrow" w:hAnsi="Arial Narrow"/>
                <w:sz w:val="20"/>
                <w:lang w:val="en-AU"/>
              </w:rPr>
              <w:t>The treatment must be a sole PBS-subsidised disease modifying therapy for this condition,</w:t>
            </w:r>
          </w:p>
          <w:p w:rsidR="003E575F" w:rsidRPr="00015BC4" w:rsidRDefault="003E575F" w:rsidP="003E575F">
            <w:pPr>
              <w:rPr>
                <w:rFonts w:ascii="Arial Narrow" w:hAnsi="Arial Narrow"/>
                <w:sz w:val="20"/>
                <w:lang w:val="en-AU"/>
              </w:rPr>
            </w:pPr>
            <w:r w:rsidRPr="00015BC4">
              <w:rPr>
                <w:rFonts w:ascii="Arial Narrow" w:hAnsi="Arial Narrow"/>
                <w:sz w:val="20"/>
                <w:lang w:val="en-AU"/>
              </w:rPr>
              <w:t>AND</w:t>
            </w:r>
          </w:p>
          <w:p w:rsidR="003E575F" w:rsidRPr="00015BC4" w:rsidRDefault="003E575F" w:rsidP="003E575F">
            <w:pPr>
              <w:rPr>
                <w:rFonts w:ascii="Arial Narrow" w:hAnsi="Arial Narrow"/>
                <w:sz w:val="20"/>
                <w:lang w:val="en-AU"/>
              </w:rPr>
            </w:pPr>
            <w:r w:rsidRPr="00015BC4">
              <w:rPr>
                <w:rFonts w:ascii="Arial Narrow" w:hAnsi="Arial Narrow"/>
                <w:sz w:val="20"/>
                <w:lang w:val="en-AU"/>
              </w:rPr>
              <w:t xml:space="preserve">Patient must have previously received PBS-subsidised treatment with this drug for this condition, </w:t>
            </w:r>
          </w:p>
          <w:p w:rsidR="003E575F" w:rsidRPr="00015BC4" w:rsidRDefault="003E575F" w:rsidP="003E575F">
            <w:pPr>
              <w:rPr>
                <w:rFonts w:ascii="Arial Narrow" w:hAnsi="Arial Narrow"/>
                <w:sz w:val="20"/>
                <w:lang w:val="en-AU"/>
              </w:rPr>
            </w:pPr>
            <w:r w:rsidRPr="00015BC4">
              <w:rPr>
                <w:rFonts w:ascii="Arial Narrow" w:hAnsi="Arial Narrow"/>
                <w:sz w:val="20"/>
                <w:lang w:val="en-AU"/>
              </w:rPr>
              <w:t>AND</w:t>
            </w:r>
          </w:p>
          <w:p w:rsidR="003E575F" w:rsidRPr="00015BC4" w:rsidRDefault="003E575F" w:rsidP="003E575F">
            <w:pPr>
              <w:rPr>
                <w:rFonts w:ascii="Arial Narrow" w:hAnsi="Arial Narrow"/>
                <w:sz w:val="20"/>
                <w:lang w:val="en-AU"/>
              </w:rPr>
            </w:pPr>
            <w:r w:rsidRPr="00015BC4">
              <w:rPr>
                <w:rFonts w:ascii="Arial Narrow" w:hAnsi="Arial Narrow"/>
                <w:sz w:val="20"/>
                <w:lang w:val="en-AU"/>
              </w:rPr>
              <w:t xml:space="preserve">Patient must not show continuing progression of disability while on treatment with this drug, </w:t>
            </w:r>
          </w:p>
          <w:p w:rsidR="003E575F" w:rsidRPr="00015BC4" w:rsidRDefault="003E575F" w:rsidP="003E575F">
            <w:pPr>
              <w:rPr>
                <w:rFonts w:ascii="Arial Narrow" w:hAnsi="Arial Narrow"/>
                <w:sz w:val="20"/>
                <w:lang w:val="en-AU"/>
              </w:rPr>
            </w:pPr>
            <w:r w:rsidRPr="00015BC4">
              <w:rPr>
                <w:rFonts w:ascii="Arial Narrow" w:hAnsi="Arial Narrow"/>
                <w:sz w:val="20"/>
                <w:lang w:val="en-AU"/>
              </w:rPr>
              <w:t>AND</w:t>
            </w:r>
          </w:p>
          <w:p w:rsidR="003E575F" w:rsidRPr="00015BC4" w:rsidRDefault="003E575F" w:rsidP="003E575F">
            <w:pPr>
              <w:rPr>
                <w:rFonts w:ascii="Arial Narrow" w:hAnsi="Arial Narrow"/>
                <w:sz w:val="20"/>
                <w:lang w:val="en-AU"/>
              </w:rPr>
            </w:pPr>
            <w:r w:rsidRPr="00015BC4">
              <w:rPr>
                <w:rFonts w:ascii="Arial Narrow" w:hAnsi="Arial Narrow"/>
                <w:sz w:val="20"/>
                <w:lang w:val="en-AU"/>
              </w:rPr>
              <w:t>Patient must have demonstrated compliance with, and an ability to tolerate this therapy.</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Prescriber Instructions:</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rPr>
                <w:rFonts w:ascii="Arial Narrow" w:hAnsi="Arial Narrow"/>
                <w:sz w:val="20"/>
                <w:lang w:val="en-AU"/>
              </w:rPr>
            </w:pPr>
            <w:r w:rsidRPr="00015BC4">
              <w:rPr>
                <w:rFonts w:ascii="Arial Narrow" w:hAnsi="Arial Narrow"/>
                <w:sz w:val="20"/>
                <w:lang w:val="en-AU"/>
              </w:rPr>
              <w:t>No increase in the maximum quantity or number of units may be authorised.</w:t>
            </w:r>
          </w:p>
          <w:p w:rsidR="003E575F" w:rsidRPr="00015BC4" w:rsidRDefault="003E575F" w:rsidP="003E575F">
            <w:pPr>
              <w:rPr>
                <w:rFonts w:ascii="Arial Narrow" w:hAnsi="Arial Narrow"/>
                <w:sz w:val="20"/>
                <w:lang w:val="en-AU"/>
              </w:rPr>
            </w:pPr>
            <w:r w:rsidRPr="00015BC4">
              <w:rPr>
                <w:rFonts w:ascii="Arial Narrow" w:hAnsi="Arial Narrow"/>
                <w:sz w:val="20"/>
                <w:lang w:val="en-AU"/>
              </w:rPr>
              <w:t>No increase in the maximum number of repeats may be authorised.</w:t>
            </w:r>
          </w:p>
          <w:p w:rsidR="003E575F" w:rsidRPr="00015BC4" w:rsidRDefault="003E575F" w:rsidP="003E575F">
            <w:pPr>
              <w:rPr>
                <w:rFonts w:ascii="Arial Narrow" w:hAnsi="Arial Narrow"/>
                <w:sz w:val="20"/>
                <w:lang w:val="en-AU"/>
              </w:rPr>
            </w:pPr>
            <w:r w:rsidRPr="00015BC4">
              <w:rPr>
                <w:rFonts w:ascii="Arial Narrow" w:hAnsi="Arial Narrow"/>
                <w:sz w:val="20"/>
                <w:lang w:val="en-AU"/>
              </w:rPr>
              <w:t>Special Pricing Arrangements apply</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Treatment phase:</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rPr>
                <w:rFonts w:ascii="Arial Narrow" w:hAnsi="Arial Narrow"/>
                <w:sz w:val="20"/>
                <w:lang w:val="en-AU"/>
              </w:rPr>
            </w:pPr>
            <w:r w:rsidRPr="00015BC4">
              <w:rPr>
                <w:rFonts w:ascii="Arial Narrow" w:hAnsi="Arial Narrow"/>
                <w:sz w:val="20"/>
                <w:lang w:val="en-AU"/>
              </w:rPr>
              <w:t>Grandfathering</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Restriction:</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rFonts w:cs="Arial"/>
                <w:szCs w:val="20"/>
              </w:rPr>
            </w:pPr>
            <w:r w:rsidRPr="00015BC4">
              <w:rPr>
                <w:rFonts w:ascii="Arial" w:hAnsi="Arial" w:cs="Arial"/>
                <w:szCs w:val="20"/>
              </w:rPr>
              <w:fldChar w:fldCharType="begin">
                <w:ffData>
                  <w:name w:val="Check1"/>
                  <w:enabled/>
                  <w:calcOnExit w:val="0"/>
                  <w:checkBox>
                    <w:sizeAuto/>
                    <w:default w:val="0"/>
                  </w:checkBox>
                </w:ffData>
              </w:fldChar>
            </w:r>
            <w:r w:rsidRPr="00015BC4">
              <w:rPr>
                <w:rFonts w:ascii="Arial" w:hAnsi="Arial" w:cs="Arial"/>
                <w:szCs w:val="20"/>
              </w:rPr>
              <w:instrText xml:space="preserve"> FORMCHECKBOX </w:instrText>
            </w:r>
            <w:r w:rsidR="001B6B57">
              <w:rPr>
                <w:rFonts w:ascii="Arial" w:hAnsi="Arial" w:cs="Arial"/>
                <w:szCs w:val="20"/>
              </w:rPr>
            </w:r>
            <w:r w:rsidR="001B6B57">
              <w:rPr>
                <w:rFonts w:ascii="Arial" w:hAnsi="Arial" w:cs="Arial"/>
                <w:szCs w:val="20"/>
              </w:rPr>
              <w:fldChar w:fldCharType="separate"/>
            </w:r>
            <w:r w:rsidRPr="00015BC4">
              <w:rPr>
                <w:rFonts w:ascii="Arial" w:hAnsi="Arial" w:cs="Arial"/>
                <w:szCs w:val="20"/>
              </w:rPr>
              <w:fldChar w:fldCharType="end"/>
            </w:r>
            <w:r w:rsidRPr="00015BC4">
              <w:rPr>
                <w:rFonts w:cs="Arial"/>
                <w:szCs w:val="20"/>
              </w:rPr>
              <w:t>Restricted benefit</w:t>
            </w:r>
          </w:p>
          <w:p w:rsidR="003E575F" w:rsidRPr="00015BC4" w:rsidRDefault="003E575F" w:rsidP="003E575F">
            <w:pPr>
              <w:pStyle w:val="TableText0"/>
              <w:keepNext w:val="0"/>
              <w:rPr>
                <w:rFonts w:cs="Arial"/>
                <w:szCs w:val="20"/>
              </w:rPr>
            </w:pPr>
            <w:r w:rsidRPr="00015BC4">
              <w:rPr>
                <w:rFonts w:cs="Arial"/>
                <w:szCs w:val="20"/>
              </w:rPr>
              <w:fldChar w:fldCharType="begin">
                <w:ffData>
                  <w:name w:val=""/>
                  <w:enabled/>
                  <w:calcOnExit w:val="0"/>
                  <w:checkBox>
                    <w:sizeAuto/>
                    <w:default w:val="0"/>
                  </w:checkBox>
                </w:ffData>
              </w:fldChar>
            </w:r>
            <w:r w:rsidRPr="00015BC4">
              <w:rPr>
                <w:rFonts w:cs="Arial"/>
                <w:szCs w:val="20"/>
              </w:rPr>
              <w:instrText xml:space="preserve"> FORMCHECKBOX </w:instrText>
            </w:r>
            <w:r w:rsidR="001B6B57">
              <w:rPr>
                <w:rFonts w:cs="Arial"/>
                <w:szCs w:val="20"/>
              </w:rPr>
            </w:r>
            <w:r w:rsidR="001B6B57">
              <w:rPr>
                <w:rFonts w:cs="Arial"/>
                <w:szCs w:val="20"/>
              </w:rPr>
              <w:fldChar w:fldCharType="separate"/>
            </w:r>
            <w:r w:rsidRPr="00015BC4">
              <w:rPr>
                <w:rFonts w:cs="Arial"/>
                <w:szCs w:val="20"/>
              </w:rPr>
              <w:fldChar w:fldCharType="end"/>
            </w:r>
            <w:r w:rsidRPr="00015BC4">
              <w:rPr>
                <w:rFonts w:cs="Arial"/>
                <w:szCs w:val="20"/>
              </w:rPr>
              <w:t>Authority Required – In Writing</w:t>
            </w:r>
          </w:p>
          <w:p w:rsidR="003E575F" w:rsidRPr="00015BC4" w:rsidRDefault="003E575F" w:rsidP="003E575F">
            <w:pPr>
              <w:pStyle w:val="TableText0"/>
              <w:keepNext w:val="0"/>
              <w:rPr>
                <w:rFonts w:cs="Arial"/>
                <w:szCs w:val="20"/>
              </w:rPr>
            </w:pPr>
            <w:r w:rsidRPr="00015BC4">
              <w:rPr>
                <w:rFonts w:cs="Arial"/>
                <w:szCs w:val="20"/>
              </w:rPr>
              <w:fldChar w:fldCharType="begin">
                <w:ffData>
                  <w:name w:val="Check3"/>
                  <w:enabled/>
                  <w:calcOnExit w:val="0"/>
                  <w:checkBox>
                    <w:sizeAuto/>
                    <w:default w:val="0"/>
                  </w:checkBox>
                </w:ffData>
              </w:fldChar>
            </w:r>
            <w:r w:rsidRPr="00015BC4">
              <w:rPr>
                <w:rFonts w:cs="Arial"/>
                <w:szCs w:val="20"/>
              </w:rPr>
              <w:instrText xml:space="preserve"> FORMCHECKBOX </w:instrText>
            </w:r>
            <w:r w:rsidR="001B6B57">
              <w:rPr>
                <w:rFonts w:cs="Arial"/>
                <w:szCs w:val="20"/>
              </w:rPr>
            </w:r>
            <w:r w:rsidR="001B6B57">
              <w:rPr>
                <w:rFonts w:cs="Arial"/>
                <w:szCs w:val="20"/>
              </w:rPr>
              <w:fldChar w:fldCharType="separate"/>
            </w:r>
            <w:r w:rsidRPr="00015BC4">
              <w:rPr>
                <w:rFonts w:cs="Arial"/>
                <w:szCs w:val="20"/>
              </w:rPr>
              <w:fldChar w:fldCharType="end"/>
            </w:r>
            <w:r w:rsidRPr="00015BC4">
              <w:rPr>
                <w:rFonts w:cs="Arial"/>
                <w:szCs w:val="20"/>
              </w:rPr>
              <w:t>Authority Required – Telephone, Electronic</w:t>
            </w:r>
          </w:p>
          <w:p w:rsidR="003E575F" w:rsidRPr="00015BC4" w:rsidRDefault="003E575F" w:rsidP="003E575F">
            <w:pPr>
              <w:rPr>
                <w:rFonts w:ascii="Arial" w:hAnsi="Arial"/>
                <w:sz w:val="20"/>
                <w:szCs w:val="20"/>
                <w:lang w:val="en-AU"/>
              </w:rPr>
            </w:pPr>
            <w:r w:rsidRPr="00015BC4">
              <w:rPr>
                <w:rFonts w:ascii="Arial Narrow" w:hAnsi="Arial Narrow"/>
                <w:sz w:val="20"/>
                <w:szCs w:val="20"/>
                <w:lang w:val="en-AU"/>
              </w:rPr>
              <w:fldChar w:fldCharType="begin">
                <w:ffData>
                  <w:name w:val="Check5"/>
                  <w:enabled/>
                  <w:calcOnExit w:val="0"/>
                  <w:checkBox>
                    <w:sizeAuto/>
                    <w:default w:val="1"/>
                  </w:checkBox>
                </w:ffData>
              </w:fldChar>
            </w:r>
            <w:r w:rsidRPr="00015BC4">
              <w:rPr>
                <w:rFonts w:ascii="Arial Narrow" w:hAnsi="Arial Narrow"/>
                <w:sz w:val="20"/>
                <w:szCs w:val="20"/>
                <w:lang w:val="en-AU"/>
              </w:rPr>
              <w:instrText xml:space="preserve"> FORMCHECKBOX </w:instrText>
            </w:r>
            <w:r w:rsidR="001B6B57">
              <w:rPr>
                <w:rFonts w:ascii="Arial Narrow" w:hAnsi="Arial Narrow"/>
                <w:sz w:val="20"/>
                <w:szCs w:val="20"/>
                <w:lang w:val="en-AU"/>
              </w:rPr>
            </w:r>
            <w:r w:rsidR="001B6B57">
              <w:rPr>
                <w:rFonts w:ascii="Arial Narrow" w:hAnsi="Arial Narrow"/>
                <w:sz w:val="20"/>
                <w:szCs w:val="20"/>
                <w:lang w:val="en-AU"/>
              </w:rPr>
              <w:fldChar w:fldCharType="separate"/>
            </w:r>
            <w:r w:rsidRPr="00015BC4">
              <w:rPr>
                <w:rFonts w:ascii="Arial Narrow" w:hAnsi="Arial Narrow"/>
                <w:sz w:val="20"/>
                <w:szCs w:val="20"/>
                <w:lang w:val="en-AU"/>
              </w:rPr>
              <w:fldChar w:fldCharType="end"/>
            </w:r>
            <w:r w:rsidRPr="00015BC4">
              <w:rPr>
                <w:rFonts w:ascii="Arial Narrow" w:hAnsi="Arial Narrow"/>
                <w:sz w:val="20"/>
                <w:szCs w:val="20"/>
                <w:lang w:val="en-AU"/>
              </w:rPr>
              <w:t>Streamlined</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Clinical criteria:</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rPr>
                <w:rFonts w:ascii="Arial Narrow" w:hAnsi="Arial Narrow"/>
                <w:sz w:val="20"/>
                <w:lang w:val="en-AU"/>
              </w:rPr>
            </w:pPr>
            <w:r w:rsidRPr="00015BC4">
              <w:rPr>
                <w:rFonts w:ascii="Arial Narrow" w:hAnsi="Arial Narrow"/>
                <w:sz w:val="20"/>
                <w:lang w:val="en-AU"/>
              </w:rPr>
              <w:t xml:space="preserve">The condition must be, </w:t>
            </w:r>
            <w:r w:rsidRPr="00015BC4">
              <w:rPr>
                <w:rFonts w:ascii="Arial Narrow" w:hAnsi="Arial Narrow"/>
                <w:sz w:val="20"/>
                <w:u w:val="single"/>
                <w:lang w:val="en-AU"/>
              </w:rPr>
              <w:t>or have previously been</w:t>
            </w:r>
            <w:r w:rsidRPr="00015BC4">
              <w:rPr>
                <w:rFonts w:ascii="Arial Narrow" w:hAnsi="Arial Narrow"/>
                <w:sz w:val="20"/>
                <w:lang w:val="en-AU"/>
              </w:rPr>
              <w:t xml:space="preserve"> diagnosed as clinically definite relapsing-remitting multiple sclerosis by magnetic resonance imaging of the brain and/or spinal cord; OR </w:t>
            </w:r>
          </w:p>
          <w:p w:rsidR="003E575F" w:rsidRPr="00015BC4" w:rsidRDefault="003E575F" w:rsidP="003E575F">
            <w:pPr>
              <w:rPr>
                <w:rFonts w:ascii="Arial Narrow" w:hAnsi="Arial Narrow"/>
                <w:sz w:val="20"/>
                <w:lang w:val="en-AU"/>
              </w:rPr>
            </w:pPr>
            <w:r w:rsidRPr="00015BC4">
              <w:rPr>
                <w:rFonts w:ascii="Arial Narrow" w:hAnsi="Arial Narrow"/>
                <w:sz w:val="20"/>
                <w:lang w:val="en-AU"/>
              </w:rPr>
              <w:t xml:space="preserve">The condition must be, </w:t>
            </w:r>
            <w:r w:rsidRPr="00015BC4">
              <w:rPr>
                <w:rFonts w:ascii="Arial Narrow" w:hAnsi="Arial Narrow"/>
                <w:sz w:val="20"/>
                <w:u w:val="single"/>
                <w:lang w:val="en-AU"/>
              </w:rPr>
              <w:t>or have previously been</w:t>
            </w:r>
            <w:r w:rsidRPr="00015BC4">
              <w:rPr>
                <w:rFonts w:ascii="Arial Narrow" w:hAnsi="Arial Narrow"/>
                <w:sz w:val="20"/>
                <w:lang w:val="en-AU"/>
              </w:rPr>
              <w:t xml:space="preserve"> diagnosed as clinically definite relapsing-remitting multiple sclerosis by accompanying written certification provided by a radiologist that a magnetic resonance imaging scan is contraindicated because of the risk of physical (not psychological) injury to the patient, </w:t>
            </w:r>
          </w:p>
          <w:p w:rsidR="003E575F" w:rsidRPr="00015BC4" w:rsidRDefault="003E575F" w:rsidP="003E575F">
            <w:pPr>
              <w:rPr>
                <w:rFonts w:ascii="Arial Narrow" w:hAnsi="Arial Narrow"/>
                <w:sz w:val="20"/>
                <w:lang w:val="en-AU"/>
              </w:rPr>
            </w:pPr>
            <w:r w:rsidRPr="00015BC4">
              <w:rPr>
                <w:rFonts w:ascii="Arial Narrow" w:hAnsi="Arial Narrow"/>
                <w:sz w:val="20"/>
                <w:lang w:val="en-AU"/>
              </w:rPr>
              <w:t>AND</w:t>
            </w:r>
          </w:p>
          <w:p w:rsidR="003E575F" w:rsidRPr="00015BC4" w:rsidRDefault="003E575F" w:rsidP="003E575F">
            <w:pPr>
              <w:rPr>
                <w:rFonts w:ascii="Arial Narrow" w:hAnsi="Arial Narrow"/>
                <w:sz w:val="20"/>
                <w:lang w:val="en-AU"/>
              </w:rPr>
            </w:pPr>
            <w:r w:rsidRPr="00015BC4">
              <w:rPr>
                <w:rFonts w:ascii="Arial Narrow" w:hAnsi="Arial Narrow"/>
                <w:sz w:val="20"/>
                <w:u w:val="single"/>
                <w:lang w:val="en-AU"/>
              </w:rPr>
              <w:t>Patient must have received treatment with this drug for this condition prior to [PBS listing date]</w:t>
            </w:r>
            <w:r w:rsidRPr="00015BC4">
              <w:rPr>
                <w:rFonts w:ascii="Arial Narrow" w:hAnsi="Arial Narrow"/>
                <w:sz w:val="20"/>
                <w:lang w:val="en-AU"/>
              </w:rPr>
              <w:t>,</w:t>
            </w:r>
          </w:p>
          <w:p w:rsidR="003E575F" w:rsidRPr="00015BC4" w:rsidRDefault="003E575F" w:rsidP="003E575F">
            <w:pPr>
              <w:rPr>
                <w:rFonts w:ascii="Arial Narrow" w:hAnsi="Arial Narrow"/>
                <w:sz w:val="20"/>
                <w:lang w:val="en-AU"/>
              </w:rPr>
            </w:pPr>
            <w:r w:rsidRPr="00015BC4">
              <w:rPr>
                <w:rFonts w:ascii="Arial Narrow" w:hAnsi="Arial Narrow"/>
                <w:sz w:val="20"/>
                <w:lang w:val="en-AU"/>
              </w:rPr>
              <w:t>AND</w:t>
            </w:r>
          </w:p>
          <w:p w:rsidR="003E575F" w:rsidRPr="00015BC4" w:rsidRDefault="003E575F" w:rsidP="003E575F">
            <w:pPr>
              <w:rPr>
                <w:rFonts w:ascii="Arial Narrow" w:hAnsi="Arial Narrow"/>
                <w:sz w:val="20"/>
                <w:lang w:val="en-AU"/>
              </w:rPr>
            </w:pPr>
            <w:r w:rsidRPr="00015BC4">
              <w:rPr>
                <w:rFonts w:ascii="Arial Narrow" w:hAnsi="Arial Narrow"/>
                <w:sz w:val="20"/>
                <w:lang w:val="en-AU"/>
              </w:rPr>
              <w:t>The treatment must be a sole PBS-subsidised disease modifying therapy for this condition,</w:t>
            </w:r>
          </w:p>
          <w:p w:rsidR="003E575F" w:rsidRPr="00015BC4" w:rsidRDefault="003E575F" w:rsidP="003E575F">
            <w:pPr>
              <w:rPr>
                <w:rFonts w:ascii="Arial Narrow" w:hAnsi="Arial Narrow"/>
                <w:sz w:val="20"/>
                <w:lang w:val="en-AU"/>
              </w:rPr>
            </w:pPr>
            <w:r w:rsidRPr="00015BC4">
              <w:rPr>
                <w:rFonts w:ascii="Arial Narrow" w:hAnsi="Arial Narrow"/>
                <w:sz w:val="20"/>
                <w:lang w:val="en-AU"/>
              </w:rPr>
              <w:t>AND</w:t>
            </w:r>
          </w:p>
          <w:p w:rsidR="003E575F" w:rsidRPr="00015BC4" w:rsidRDefault="003E575F" w:rsidP="003E575F">
            <w:pPr>
              <w:rPr>
                <w:rFonts w:ascii="Arial Narrow" w:hAnsi="Arial Narrow"/>
                <w:sz w:val="20"/>
                <w:lang w:val="en-AU"/>
              </w:rPr>
            </w:pPr>
            <w:r w:rsidRPr="00015BC4">
              <w:rPr>
                <w:rFonts w:ascii="Arial Narrow" w:hAnsi="Arial Narrow"/>
                <w:sz w:val="20"/>
                <w:lang w:val="en-AU"/>
              </w:rPr>
              <w:t>Patient must be ambulatory (</w:t>
            </w:r>
            <w:r w:rsidRPr="00015BC4">
              <w:rPr>
                <w:rFonts w:ascii="Arial Narrow" w:hAnsi="Arial Narrow"/>
                <w:sz w:val="20"/>
                <w:u w:val="single"/>
                <w:lang w:val="en-AU"/>
              </w:rPr>
              <w:t>with or</w:t>
            </w:r>
            <w:r w:rsidRPr="00015BC4">
              <w:rPr>
                <w:rFonts w:ascii="Arial Narrow" w:hAnsi="Arial Narrow"/>
                <w:sz w:val="20"/>
                <w:lang w:val="en-AU"/>
              </w:rPr>
              <w:t xml:space="preserve"> without assistance or support).</w:t>
            </w:r>
          </w:p>
          <w:p w:rsidR="003E575F" w:rsidRPr="00015BC4" w:rsidRDefault="003E575F" w:rsidP="003E575F">
            <w:pPr>
              <w:rPr>
                <w:rFonts w:ascii="Arial Narrow" w:hAnsi="Arial Narrow"/>
                <w:sz w:val="20"/>
                <w:lang w:val="en-AU"/>
              </w:rPr>
            </w:pPr>
            <w:r w:rsidRPr="00015BC4">
              <w:rPr>
                <w:rFonts w:ascii="Arial Narrow" w:hAnsi="Arial Narrow"/>
                <w:sz w:val="20"/>
                <w:lang w:val="en-AU"/>
              </w:rPr>
              <w:t>AND</w:t>
            </w:r>
          </w:p>
          <w:p w:rsidR="003E575F" w:rsidRPr="00015BC4" w:rsidRDefault="003E575F" w:rsidP="003E575F">
            <w:pPr>
              <w:rPr>
                <w:rFonts w:ascii="Arial Narrow" w:hAnsi="Arial Narrow"/>
                <w:sz w:val="20"/>
                <w:lang w:val="en-AU"/>
              </w:rPr>
            </w:pPr>
            <w:r w:rsidRPr="00015BC4">
              <w:rPr>
                <w:rFonts w:ascii="Arial Narrow" w:hAnsi="Arial Narrow"/>
                <w:sz w:val="20"/>
                <w:lang w:val="en-AU"/>
              </w:rPr>
              <w:t>Patient must not show continuing progression of disability while on treatment with this drug,</w:t>
            </w:r>
          </w:p>
          <w:p w:rsidR="003E575F" w:rsidRPr="00015BC4" w:rsidRDefault="003E575F" w:rsidP="003E575F">
            <w:pPr>
              <w:rPr>
                <w:rFonts w:ascii="Arial Narrow" w:hAnsi="Arial Narrow"/>
                <w:sz w:val="20"/>
                <w:lang w:val="en-AU"/>
              </w:rPr>
            </w:pPr>
            <w:r w:rsidRPr="00015BC4">
              <w:rPr>
                <w:rFonts w:ascii="Arial Narrow" w:hAnsi="Arial Narrow"/>
                <w:sz w:val="20"/>
                <w:lang w:val="en-AU"/>
              </w:rPr>
              <w:t>AND</w:t>
            </w:r>
          </w:p>
          <w:p w:rsidR="003E575F" w:rsidRPr="00015BC4" w:rsidRDefault="003E575F" w:rsidP="003E575F">
            <w:pPr>
              <w:rPr>
                <w:rFonts w:ascii="Arial Narrow" w:hAnsi="Arial Narrow"/>
                <w:sz w:val="20"/>
                <w:lang w:val="en-AU"/>
              </w:rPr>
            </w:pPr>
            <w:r w:rsidRPr="00015BC4">
              <w:rPr>
                <w:rFonts w:ascii="Arial Narrow" w:hAnsi="Arial Narrow"/>
                <w:sz w:val="20"/>
                <w:lang w:val="en-AU"/>
              </w:rPr>
              <w:t>Patient must have demonstrated compliance with, and an ability to tolerate this therapy.</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Prescriber Instructions:</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rPr>
                <w:rFonts w:ascii="Arial Narrow" w:hAnsi="Arial Narrow"/>
                <w:sz w:val="20"/>
                <w:lang w:val="en-AU"/>
              </w:rPr>
            </w:pPr>
            <w:r w:rsidRPr="00015BC4">
              <w:rPr>
                <w:rFonts w:ascii="Arial Narrow" w:hAnsi="Arial Narrow"/>
                <w:sz w:val="20"/>
                <w:lang w:val="en-AU"/>
              </w:rPr>
              <w:t>Patient must have a genotype test to determine their metaboliser status for the CYP2C9 metabolising enzyme, as per the TGA-approved Product Information</w:t>
            </w:r>
            <w:r w:rsidRPr="00015BC4">
              <w:rPr>
                <w:rFonts w:ascii="Arial" w:hAnsi="Arial"/>
                <w:sz w:val="20"/>
                <w:lang w:val="en-AU"/>
              </w:rPr>
              <w:t>.</w:t>
            </w:r>
          </w:p>
        </w:tc>
      </w:tr>
      <w:tr w:rsidR="003E575F" w:rsidRPr="00015BC4" w:rsidTr="003E575F">
        <w:tblPrEx>
          <w:tblCellMar>
            <w:left w:w="108" w:type="dxa"/>
            <w:right w:w="108" w:type="dxa"/>
          </w:tblCellMar>
        </w:tblPrEx>
        <w:trPr>
          <w:cantSplit/>
        </w:trPr>
        <w:tc>
          <w:tcPr>
            <w:tcW w:w="878" w:type="pct"/>
            <w:tcBorders>
              <w:top w:val="single" w:sz="4" w:space="0" w:color="auto"/>
              <w:left w:val="single" w:sz="4" w:space="0" w:color="auto"/>
              <w:bottom w:val="single" w:sz="4" w:space="0" w:color="auto"/>
              <w:right w:val="single" w:sz="4" w:space="0" w:color="auto"/>
            </w:tcBorders>
          </w:tcPr>
          <w:p w:rsidR="003E575F" w:rsidRPr="00015BC4" w:rsidRDefault="003E575F" w:rsidP="003E575F">
            <w:pPr>
              <w:pStyle w:val="TableText0"/>
              <w:keepNext w:val="0"/>
              <w:rPr>
                <w:b/>
              </w:rPr>
            </w:pPr>
            <w:r w:rsidRPr="00015BC4">
              <w:rPr>
                <w:b/>
              </w:rPr>
              <w:t>Administrative Advice:</w:t>
            </w:r>
          </w:p>
        </w:tc>
        <w:tc>
          <w:tcPr>
            <w:tcW w:w="4122" w:type="pct"/>
            <w:gridSpan w:val="6"/>
            <w:tcBorders>
              <w:top w:val="single" w:sz="4" w:space="0" w:color="auto"/>
              <w:left w:val="single" w:sz="4" w:space="0" w:color="auto"/>
              <w:bottom w:val="single" w:sz="4" w:space="0" w:color="auto"/>
              <w:right w:val="single" w:sz="4" w:space="0" w:color="auto"/>
            </w:tcBorders>
          </w:tcPr>
          <w:p w:rsidR="003E575F" w:rsidRPr="00015BC4" w:rsidRDefault="003E575F" w:rsidP="003E575F">
            <w:pPr>
              <w:rPr>
                <w:rFonts w:ascii="Arial Narrow" w:hAnsi="Arial Narrow"/>
                <w:sz w:val="20"/>
                <w:lang w:val="en-AU"/>
              </w:rPr>
            </w:pPr>
            <w:r w:rsidRPr="00015BC4">
              <w:rPr>
                <w:rFonts w:ascii="Arial Narrow" w:hAnsi="Arial Narrow"/>
                <w:sz w:val="20"/>
                <w:lang w:val="en-AU"/>
              </w:rPr>
              <w:t>No increase in the maximum quantity or number of units may be authorised.</w:t>
            </w:r>
          </w:p>
          <w:p w:rsidR="003E575F" w:rsidRPr="00015BC4" w:rsidRDefault="003E575F" w:rsidP="003E575F">
            <w:pPr>
              <w:rPr>
                <w:rFonts w:ascii="Arial Narrow" w:hAnsi="Arial Narrow"/>
                <w:sz w:val="20"/>
                <w:lang w:val="en-AU"/>
              </w:rPr>
            </w:pPr>
            <w:r w:rsidRPr="00015BC4">
              <w:rPr>
                <w:rFonts w:ascii="Arial Narrow" w:hAnsi="Arial Narrow"/>
                <w:sz w:val="20"/>
                <w:lang w:val="en-AU"/>
              </w:rPr>
              <w:t>No increase in the maximum number of repeats may be authorised.</w:t>
            </w:r>
          </w:p>
          <w:p w:rsidR="003E575F" w:rsidRPr="00015BC4" w:rsidRDefault="003E575F" w:rsidP="003E575F">
            <w:pPr>
              <w:rPr>
                <w:rFonts w:ascii="Arial Narrow" w:hAnsi="Arial Narrow"/>
                <w:sz w:val="20"/>
                <w:lang w:val="en-AU"/>
              </w:rPr>
            </w:pPr>
            <w:r w:rsidRPr="00015BC4">
              <w:rPr>
                <w:rFonts w:ascii="Arial Narrow" w:hAnsi="Arial Narrow"/>
                <w:sz w:val="20"/>
                <w:lang w:val="en-AU"/>
              </w:rPr>
              <w:t>Special Pricing Arrangements apply.</w:t>
            </w:r>
          </w:p>
        </w:tc>
      </w:tr>
    </w:tbl>
    <w:p w:rsidR="003E575F" w:rsidRPr="00015BC4" w:rsidRDefault="003E575F" w:rsidP="003E575F">
      <w:pPr>
        <w:pStyle w:val="3-BodyText"/>
        <w:numPr>
          <w:ilvl w:val="0"/>
          <w:numId w:val="0"/>
        </w:numPr>
        <w:rPr>
          <w:color w:val="000000" w:themeColor="text1"/>
        </w:rPr>
      </w:pPr>
    </w:p>
    <w:p w:rsidR="003E575F" w:rsidRPr="00015BC4" w:rsidRDefault="003E575F" w:rsidP="003E575F">
      <w:pPr>
        <w:pStyle w:val="3-BodyText"/>
        <w:rPr>
          <w:color w:val="000000" w:themeColor="text1"/>
        </w:rPr>
      </w:pPr>
      <w:r w:rsidRPr="00015BC4">
        <w:rPr>
          <w:color w:val="000000" w:themeColor="text1"/>
        </w:rPr>
        <w:t xml:space="preserve">The requested effective price was </w:t>
      </w:r>
      <w:r w:rsidR="0059530D">
        <w:rPr>
          <w:noProof/>
          <w:color w:val="000000"/>
          <w:highlight w:val="black"/>
        </w:rPr>
        <w:t>'''</w:t>
      </w:r>
      <w:r w:rsidRPr="00015BC4">
        <w:rPr>
          <w:color w:val="000000" w:themeColor="text1"/>
        </w:rPr>
        <w:t>% lower than that in the previous submission</w:t>
      </w:r>
      <w:r>
        <w:rPr>
          <w:color w:val="000000" w:themeColor="text1"/>
        </w:rPr>
        <w:t xml:space="preserve">. </w:t>
      </w:r>
    </w:p>
    <w:p w:rsidR="003E575F" w:rsidRPr="00015BC4" w:rsidRDefault="003E575F" w:rsidP="003E575F">
      <w:pPr>
        <w:pStyle w:val="3-BodyText"/>
        <w:spacing w:after="0"/>
        <w:rPr>
          <w:color w:val="000000" w:themeColor="text1"/>
        </w:rPr>
      </w:pPr>
      <w:r w:rsidRPr="00015BC4">
        <w:rPr>
          <w:color w:val="000000" w:themeColor="text1"/>
        </w:rPr>
        <w:t>The requested restriction was modified in the resubmission to align with the restriction for RRMS disease modifying treatments (DMTs). Specifically, the resubmission made the following changes to the original submission’s restriction:</w:t>
      </w:r>
    </w:p>
    <w:p w:rsidR="003E575F" w:rsidRPr="00015BC4" w:rsidRDefault="003E575F" w:rsidP="003E575F">
      <w:pPr>
        <w:pStyle w:val="ListParagraph"/>
        <w:numPr>
          <w:ilvl w:val="0"/>
          <w:numId w:val="5"/>
        </w:numPr>
        <w:spacing w:after="0"/>
        <w:ind w:left="1008" w:hanging="288"/>
        <w:rPr>
          <w:rFonts w:cstheme="minorHAnsi"/>
        </w:rPr>
      </w:pPr>
      <w:r w:rsidRPr="00015BC4">
        <w:rPr>
          <w:rFonts w:cstheme="minorHAnsi"/>
        </w:rPr>
        <w:t>amended the condition/indication to Multiple Sclerosis to align with other DMTs on the PBS, as recommended by the PBAC Secretariat;</w:t>
      </w:r>
    </w:p>
    <w:p w:rsidR="003E575F" w:rsidRPr="00015BC4" w:rsidRDefault="003E575F" w:rsidP="003E575F">
      <w:pPr>
        <w:pStyle w:val="ListParagraph"/>
        <w:numPr>
          <w:ilvl w:val="0"/>
          <w:numId w:val="5"/>
        </w:numPr>
        <w:spacing w:after="0"/>
        <w:ind w:left="1008" w:hanging="288"/>
        <w:rPr>
          <w:rFonts w:cstheme="minorHAnsi"/>
        </w:rPr>
      </w:pPr>
      <w:r w:rsidRPr="00015BC4">
        <w:rPr>
          <w:rFonts w:cstheme="minorHAnsi"/>
        </w:rPr>
        <w:t>broadly aligned the listing with other DMTs listed on the PBS;</w:t>
      </w:r>
    </w:p>
    <w:p w:rsidR="003E575F" w:rsidRPr="00015BC4" w:rsidRDefault="003E575F" w:rsidP="003E575F">
      <w:pPr>
        <w:pStyle w:val="ListParagraph"/>
        <w:numPr>
          <w:ilvl w:val="0"/>
          <w:numId w:val="5"/>
        </w:numPr>
        <w:spacing w:after="0"/>
        <w:ind w:left="1008" w:hanging="288"/>
      </w:pPr>
      <w:r w:rsidRPr="00015BC4">
        <w:t xml:space="preserve">allowed current </w:t>
      </w:r>
      <w:r w:rsidRPr="00015BC4">
        <w:rPr>
          <w:rFonts w:cstheme="minorHAnsi"/>
        </w:rPr>
        <w:t>diagnosis</w:t>
      </w:r>
      <w:r w:rsidRPr="00015BC4">
        <w:t xml:space="preserve"> of RRMS;</w:t>
      </w:r>
    </w:p>
    <w:p w:rsidR="003E575F" w:rsidRPr="00015BC4" w:rsidRDefault="003E575F" w:rsidP="003E575F">
      <w:pPr>
        <w:pStyle w:val="ListParagraph"/>
        <w:numPr>
          <w:ilvl w:val="0"/>
          <w:numId w:val="5"/>
        </w:numPr>
        <w:spacing w:after="0"/>
        <w:ind w:left="1008" w:hanging="288"/>
        <w:rPr>
          <w:rFonts w:cstheme="minorHAnsi"/>
        </w:rPr>
      </w:pPr>
      <w:r w:rsidRPr="00015BC4">
        <w:rPr>
          <w:rFonts w:cstheme="minorHAnsi"/>
        </w:rPr>
        <w:t>removed criterion on disability progression and mild/moderate disability from the initial restriction;</w:t>
      </w:r>
    </w:p>
    <w:p w:rsidR="003E575F" w:rsidRPr="00015BC4" w:rsidRDefault="003E575F" w:rsidP="003E575F">
      <w:pPr>
        <w:pStyle w:val="ListParagraph"/>
        <w:numPr>
          <w:ilvl w:val="0"/>
          <w:numId w:val="5"/>
        </w:numPr>
        <w:spacing w:after="0"/>
        <w:ind w:left="1008" w:hanging="288"/>
        <w:rPr>
          <w:rFonts w:cstheme="minorHAnsi"/>
        </w:rPr>
      </w:pPr>
      <w:r w:rsidRPr="00015BC4">
        <w:rPr>
          <w:rFonts w:cstheme="minorHAnsi"/>
        </w:rPr>
        <w:lastRenderedPageBreak/>
        <w:t>added a prescriber instruction related to genotype testing;</w:t>
      </w:r>
    </w:p>
    <w:p w:rsidR="003E575F" w:rsidRPr="00015BC4" w:rsidRDefault="003E575F" w:rsidP="003E575F">
      <w:pPr>
        <w:pStyle w:val="ListParagraph"/>
        <w:numPr>
          <w:ilvl w:val="0"/>
          <w:numId w:val="5"/>
        </w:numPr>
        <w:spacing w:after="0"/>
        <w:ind w:left="993" w:hanging="273"/>
        <w:rPr>
          <w:rFonts w:cstheme="minorHAnsi"/>
        </w:rPr>
      </w:pPr>
      <w:r w:rsidRPr="00015BC4">
        <w:rPr>
          <w:rFonts w:cstheme="minorHAnsi"/>
        </w:rPr>
        <w:t>retained the criterion ‘ambulatory (with or without assistance or support)’; and</w:t>
      </w:r>
    </w:p>
    <w:p w:rsidR="003E575F" w:rsidRPr="00015BC4" w:rsidRDefault="003E575F" w:rsidP="003E575F">
      <w:pPr>
        <w:pStyle w:val="ListParagraph"/>
        <w:numPr>
          <w:ilvl w:val="0"/>
          <w:numId w:val="5"/>
        </w:numPr>
        <w:ind w:left="1009" w:hanging="289"/>
        <w:rPr>
          <w:rFonts w:cstheme="minorHAnsi"/>
        </w:rPr>
      </w:pPr>
      <w:r w:rsidRPr="00015BC4">
        <w:rPr>
          <w:rFonts w:cstheme="minorHAnsi"/>
        </w:rPr>
        <w:t>removed the ‘sustained progression’ text from the continuation criteria (to make the criteria the same as existing DMTs).</w:t>
      </w:r>
    </w:p>
    <w:p w:rsidR="003E575F" w:rsidRPr="00015BC4" w:rsidRDefault="003E575F" w:rsidP="003E575F">
      <w:pPr>
        <w:pStyle w:val="3-BodyText"/>
      </w:pPr>
      <w:r w:rsidRPr="00015BC4">
        <w:t xml:space="preserve">The requested listing permits use in patients with RRMS or SPMS (given only a historical RRMS diagnosis is required). The PBAC noted that siponimod is only TGA registered for SPMS (not RRMS) but considered </w:t>
      </w:r>
      <w:r w:rsidR="001722F6">
        <w:t xml:space="preserve">that it may not be appropriate for the restriction to </w:t>
      </w:r>
      <w:r w:rsidR="00AC4344">
        <w:t xml:space="preserve">specifically </w:t>
      </w:r>
      <w:r w:rsidR="001722F6">
        <w:t>exclude patients with RRMS given</w:t>
      </w:r>
      <w:r w:rsidRPr="00015BC4">
        <w:t xml:space="preserve"> that it can be clinically difficult to determine when patients transition from RRMS to SPMS (</w:t>
      </w:r>
      <w:r w:rsidR="00271E5D">
        <w:t>as outlined further in paragraph 4.3</w:t>
      </w:r>
      <w:r w:rsidRPr="00015BC4">
        <w:t xml:space="preserve">). </w:t>
      </w:r>
    </w:p>
    <w:p w:rsidR="003E575F" w:rsidRPr="00015BC4" w:rsidRDefault="003E575F" w:rsidP="003E575F">
      <w:pPr>
        <w:pStyle w:val="3-BodyText"/>
      </w:pPr>
      <w:r w:rsidRPr="00015BC4">
        <w:t xml:space="preserve">The commentary and the ESC noted that the definition of SPMS would generally not include patients with low or minimal accumulated disability. The Pre-Sub-Committee Response </w:t>
      </w:r>
      <w:r w:rsidR="00F250E3">
        <w:t xml:space="preserve">(PSCR) </w:t>
      </w:r>
      <w:r w:rsidRPr="00015BC4">
        <w:t xml:space="preserve">indicated the Sponsor’s willingness to include the criterion from the original submission of, ‘patient must have mild disability in at least 3 functional systems or moderate disability in at least 1 functional system’ if requested by the PBAC. This would mean that </w:t>
      </w:r>
      <w:r w:rsidRPr="00054345">
        <w:rPr>
          <w:color w:val="000000" w:themeColor="text1"/>
        </w:rPr>
        <w:t xml:space="preserve">only patients with a disability equivalent to an </w:t>
      </w:r>
      <w:r w:rsidRPr="00015BC4">
        <w:t>Expanded Disability Status Score (</w:t>
      </w:r>
      <w:r w:rsidRPr="00054345">
        <w:rPr>
          <w:color w:val="000000" w:themeColor="text1"/>
        </w:rPr>
        <w:t>EDSS) of at least 3.0 would be eligible for treatment with siponimod</w:t>
      </w:r>
      <w:r w:rsidRPr="00015BC4">
        <w:t xml:space="preserve">. The pre-PBAC response stated that it considered that use in patients with EDSS &lt; 3 was unlikely to occur as most clinicians would chose an existing DMT as initial therapy. </w:t>
      </w:r>
      <w:r>
        <w:rPr>
          <w:bCs/>
        </w:rPr>
        <w:t>The PBAC considered</w:t>
      </w:r>
      <w:r w:rsidR="008948EA">
        <w:rPr>
          <w:bCs/>
        </w:rPr>
        <w:t xml:space="preserve"> that</w:t>
      </w:r>
      <w:r w:rsidR="008948EA" w:rsidRPr="008948EA">
        <w:rPr>
          <w:bCs/>
        </w:rPr>
        <w:t xml:space="preserve"> </w:t>
      </w:r>
      <w:r w:rsidR="008948EA">
        <w:rPr>
          <w:bCs/>
        </w:rPr>
        <w:t xml:space="preserve">the restriction should exclude use of siponimod in </w:t>
      </w:r>
      <w:r w:rsidR="008948EA">
        <w:t>patients with EDSS &lt; 3</w:t>
      </w:r>
      <w:r w:rsidR="008948EA">
        <w:rPr>
          <w:bCs/>
        </w:rPr>
        <w:t xml:space="preserve"> given</w:t>
      </w:r>
      <w:r>
        <w:rPr>
          <w:bCs/>
        </w:rPr>
        <w:t xml:space="preserve"> </w:t>
      </w:r>
      <w:r w:rsidRPr="00054345">
        <w:rPr>
          <w:bCs/>
        </w:rPr>
        <w:t xml:space="preserve">the limited clinical evidence for siponimod in </w:t>
      </w:r>
      <w:r w:rsidR="008948EA">
        <w:rPr>
          <w:bCs/>
        </w:rPr>
        <w:t>this patient population</w:t>
      </w:r>
      <w:r w:rsidRPr="00054345">
        <w:rPr>
          <w:bCs/>
        </w:rPr>
        <w:t xml:space="preserve">. </w:t>
      </w:r>
    </w:p>
    <w:p w:rsidR="003E575F" w:rsidRPr="00015BC4" w:rsidRDefault="003E575F" w:rsidP="003E575F">
      <w:pPr>
        <w:pStyle w:val="3-BodyText"/>
        <w:spacing w:after="0"/>
        <w:rPr>
          <w:color w:val="000000" w:themeColor="text1"/>
        </w:rPr>
      </w:pPr>
      <w:r w:rsidRPr="00015BC4">
        <w:rPr>
          <w:color w:val="000000" w:themeColor="text1"/>
        </w:rPr>
        <w:t>In contrast to other DMT restrictions, the requested restriction allows initiation in:</w:t>
      </w:r>
    </w:p>
    <w:p w:rsidR="003E575F" w:rsidRPr="00015BC4" w:rsidRDefault="003E575F" w:rsidP="003E575F">
      <w:pPr>
        <w:pStyle w:val="3-BodyText"/>
        <w:numPr>
          <w:ilvl w:val="0"/>
          <w:numId w:val="8"/>
        </w:numPr>
        <w:spacing w:after="0"/>
        <w:ind w:left="993" w:hanging="284"/>
        <w:rPr>
          <w:color w:val="000000" w:themeColor="text1"/>
        </w:rPr>
      </w:pPr>
      <w:r w:rsidRPr="00015BC4">
        <w:rPr>
          <w:color w:val="000000" w:themeColor="text1"/>
        </w:rPr>
        <w:t>patients with a previous diagnosis of RRMS (SPMS); and</w:t>
      </w:r>
    </w:p>
    <w:p w:rsidR="003E575F" w:rsidRPr="00015BC4" w:rsidRDefault="003E575F" w:rsidP="003E575F">
      <w:pPr>
        <w:pStyle w:val="3-BodyText"/>
        <w:numPr>
          <w:ilvl w:val="0"/>
          <w:numId w:val="8"/>
        </w:numPr>
        <w:ind w:left="993" w:hanging="284"/>
        <w:rPr>
          <w:color w:val="000000" w:themeColor="text1"/>
        </w:rPr>
      </w:pPr>
      <w:r w:rsidRPr="00015BC4">
        <w:rPr>
          <w:color w:val="000000" w:themeColor="text1"/>
        </w:rPr>
        <w:t xml:space="preserve">ambulatory patients who require assistance to initiate treatment (EDSS equivalent of 6.0 to 6.5), noting that the current </w:t>
      </w:r>
      <w:r w:rsidRPr="00015BC4">
        <w:t>RRMS DMT restrictions limit initiation of therapy to patients who are ambulant without the need for assistance or support only, which is equivalent to a maximum EDSS of 5.5</w:t>
      </w:r>
      <w:r w:rsidRPr="00015BC4">
        <w:rPr>
          <w:color w:val="000000" w:themeColor="text1"/>
        </w:rPr>
        <w:t>.</w:t>
      </w:r>
    </w:p>
    <w:p w:rsidR="003E575F" w:rsidRPr="00015BC4" w:rsidRDefault="003E575F" w:rsidP="003E575F">
      <w:pPr>
        <w:pStyle w:val="3-BodyText"/>
        <w:spacing w:after="0"/>
        <w:rPr>
          <w:b/>
        </w:rPr>
      </w:pPr>
      <w:r w:rsidRPr="00015BC4">
        <w:t>For clarity, the definitions of an EDSS score of 6.0 and 6.5 are:</w:t>
      </w:r>
    </w:p>
    <w:p w:rsidR="003E575F" w:rsidRPr="00015BC4" w:rsidRDefault="003E575F" w:rsidP="003E575F">
      <w:pPr>
        <w:pStyle w:val="3-BodyText"/>
        <w:numPr>
          <w:ilvl w:val="0"/>
          <w:numId w:val="8"/>
        </w:numPr>
        <w:spacing w:after="0"/>
        <w:ind w:left="993" w:hanging="284"/>
        <w:rPr>
          <w:rFonts w:cstheme="minorHAnsi"/>
        </w:rPr>
      </w:pPr>
      <w:r w:rsidRPr="00015BC4">
        <w:rPr>
          <w:rFonts w:cstheme="minorHAnsi"/>
        </w:rPr>
        <w:t>EDSS 6.0 – Intermittent or unilateral constant assistance required to walk 100 metres, with/without resting; and</w:t>
      </w:r>
    </w:p>
    <w:p w:rsidR="003E575F" w:rsidRPr="00015BC4" w:rsidRDefault="003E575F" w:rsidP="003E575F">
      <w:pPr>
        <w:pStyle w:val="3-BodyText"/>
        <w:numPr>
          <w:ilvl w:val="0"/>
          <w:numId w:val="8"/>
        </w:numPr>
        <w:ind w:left="993" w:hanging="284"/>
        <w:rPr>
          <w:color w:val="000000" w:themeColor="text1"/>
        </w:rPr>
      </w:pPr>
      <w:r w:rsidRPr="00015BC4">
        <w:rPr>
          <w:rFonts w:cstheme="minorHAnsi"/>
        </w:rPr>
        <w:t>EDSS 6.5 – Constant bilateral assistance (canes, crutches, braces) required to walk 20 metres without resting.</w:t>
      </w:r>
    </w:p>
    <w:p w:rsidR="003E575F" w:rsidRPr="00015BC4" w:rsidRDefault="003E575F" w:rsidP="003E575F">
      <w:pPr>
        <w:pStyle w:val="3-BodyText"/>
      </w:pPr>
      <w:r w:rsidRPr="00015BC4">
        <w:t>The requested listing included the clinical criterion ‘p</w:t>
      </w:r>
      <w:r w:rsidRPr="00015BC4">
        <w:rPr>
          <w:color w:val="000000" w:themeColor="text1"/>
        </w:rPr>
        <w:t xml:space="preserve">atient must not show continuing progression of disability while on treatment with this drug’ </w:t>
      </w:r>
      <w:r w:rsidRPr="00015BC4">
        <w:t xml:space="preserve">which aligns with that for existing RRMS DMT listings. </w:t>
      </w:r>
      <w:r>
        <w:t>T</w:t>
      </w:r>
      <w:r w:rsidRPr="00015BC4">
        <w:t xml:space="preserve">his means that for a patient commencing siponimod with EDSS 6.5, treatment must cease when patients progress to no longer being ambulant (i.e. EDSS score of </w:t>
      </w:r>
      <w:r w:rsidRPr="00015BC4">
        <w:rPr>
          <w:rFonts w:cstheme="minorHAnsi"/>
        </w:rPr>
        <w:t>≥</w:t>
      </w:r>
      <w:r w:rsidRPr="00015BC4">
        <w:t xml:space="preserve"> 7). </w:t>
      </w:r>
    </w:p>
    <w:p w:rsidR="003E575F" w:rsidRPr="00015BC4" w:rsidRDefault="003E575F" w:rsidP="003E575F">
      <w:pPr>
        <w:pStyle w:val="3-BodyText"/>
        <w:rPr>
          <w:color w:val="000000" w:themeColor="text1"/>
        </w:rPr>
      </w:pPr>
      <w:r w:rsidRPr="00015BC4">
        <w:t xml:space="preserve">The standard dose of siponimod is 2 mg once daily or 1 mg once daily for patients who are intermediate metabolisers of siponimod, based on the results of CYP2C9 genetic </w:t>
      </w:r>
      <w:r w:rsidRPr="00015BC4">
        <w:rPr>
          <w:color w:val="000000" w:themeColor="text1"/>
        </w:rPr>
        <w:t>testing</w:t>
      </w:r>
      <w:r w:rsidRPr="00015BC4">
        <w:t>. The latter is administered as 4x250 mcg tablets; t</w:t>
      </w:r>
      <w:r w:rsidRPr="00015BC4">
        <w:rPr>
          <w:color w:val="000000" w:themeColor="text1"/>
        </w:rPr>
        <w:t xml:space="preserve">he Sponsor stated it is not </w:t>
      </w:r>
      <w:r w:rsidRPr="00015BC4">
        <w:rPr>
          <w:color w:val="000000" w:themeColor="text1"/>
        </w:rPr>
        <w:lastRenderedPageBreak/>
        <w:t xml:space="preserve">currently manufacturing a 1 mg tablet form, but foreshadowed registration at a later date. </w:t>
      </w:r>
      <w:r w:rsidRPr="00015BC4">
        <w:t>The resubmission also requested listing of a titration pack (comprising 12x250 mcg tablets) to allow for a titration period of five days (one tablet on days 1 and 2, two on day 3, three on day 4 and five on day 5).</w:t>
      </w:r>
      <w:r w:rsidRPr="00015BC4">
        <w:rPr>
          <w:color w:val="000000" w:themeColor="text1"/>
        </w:rPr>
        <w:t xml:space="preserve"> While it is not usual for starter/titration packs that are of the same strength as a regular continuing strength to be PBS listed, the PSCR stated that siponimod requires refrigeration and thus it will not be possible to provide sample/starter packs to all prescribers. As such, the PBAC considered it would be reasonable to list the titration pack, </w:t>
      </w:r>
      <w:r>
        <w:rPr>
          <w:color w:val="000000" w:themeColor="text1"/>
        </w:rPr>
        <w:t>while acknowledging that</w:t>
      </w:r>
      <w:r w:rsidRPr="00015BC4">
        <w:rPr>
          <w:color w:val="000000" w:themeColor="text1"/>
        </w:rPr>
        <w:t xml:space="preserve"> PBS</w:t>
      </w:r>
      <w:r>
        <w:rPr>
          <w:color w:val="000000" w:themeColor="text1"/>
        </w:rPr>
        <w:t xml:space="preserve"> </w:t>
      </w:r>
      <w:r w:rsidRPr="00015BC4">
        <w:rPr>
          <w:color w:val="000000" w:themeColor="text1"/>
        </w:rPr>
        <w:t xml:space="preserve">reimbursement claiming rules currently </w:t>
      </w:r>
      <w:r>
        <w:rPr>
          <w:color w:val="000000" w:themeColor="text1"/>
        </w:rPr>
        <w:t xml:space="preserve">do </w:t>
      </w:r>
      <w:r w:rsidRPr="00015BC4">
        <w:rPr>
          <w:color w:val="000000" w:themeColor="text1"/>
        </w:rPr>
        <w:t xml:space="preserve">not permit claiming of </w:t>
      </w:r>
      <w:r>
        <w:rPr>
          <w:color w:val="000000" w:themeColor="text1"/>
        </w:rPr>
        <w:t>two</w:t>
      </w:r>
      <w:r w:rsidRPr="00015BC4">
        <w:rPr>
          <w:color w:val="000000" w:themeColor="text1"/>
        </w:rPr>
        <w:t xml:space="preserve"> PBS benefits of the same pharmaceutical item prescribed on the same day (colloquially referred to as ‘same day prescribing</w:t>
      </w:r>
      <w:r w:rsidR="003A0C1E">
        <w:rPr>
          <w:color w:val="000000" w:themeColor="text1"/>
        </w:rPr>
        <w:t>’</w:t>
      </w:r>
      <w:r w:rsidRPr="00015BC4">
        <w:rPr>
          <w:color w:val="000000" w:themeColor="text1"/>
        </w:rPr>
        <w:t>.</w:t>
      </w:r>
    </w:p>
    <w:p w:rsidR="003E575F" w:rsidRPr="00015BC4" w:rsidRDefault="003E575F" w:rsidP="003E575F">
      <w:pPr>
        <w:pStyle w:val="3-BodyText"/>
      </w:pPr>
      <w:r w:rsidRPr="00015BC4">
        <w:t xml:space="preserve">Before treatment with siponimod, the Product Information recommends that patients have a genotype test to determine their metaboliser status for the CYP2C9 metabolising enzyme. The PBAC considered that it would be reasonable to have words to this effect appear in the listing. However, additional words would need to clarify (1) the reimbursement status of the enzyme test, and (2) how responsibility for reimbursement could be contained to the sponsor within a PBS listing, given that </w:t>
      </w:r>
      <w:r w:rsidRPr="00015BC4">
        <w:rPr>
          <w:color w:val="000000" w:themeColor="text1"/>
        </w:rPr>
        <w:t>the resubmission stated that the sponsor would incur the cost of testing, but had not explained how this would be practically implemented</w:t>
      </w:r>
      <w:r>
        <w:t xml:space="preserve">. </w:t>
      </w:r>
    </w:p>
    <w:p w:rsidR="003E575F" w:rsidRPr="00015BC4" w:rsidRDefault="003E575F" w:rsidP="003E575F">
      <w:pPr>
        <w:pStyle w:val="3-BodyText"/>
        <w:numPr>
          <w:ilvl w:val="0"/>
          <w:numId w:val="0"/>
        </w:numPr>
        <w:ind w:left="993"/>
        <w:rPr>
          <w:color w:val="000000" w:themeColor="text1"/>
        </w:rPr>
      </w:pPr>
      <w:r w:rsidRPr="00015BC4">
        <w:rPr>
          <w:i/>
        </w:rPr>
        <w:t>For more detail on PBAC’s view, see section 7 PBAC outcome.</w:t>
      </w:r>
    </w:p>
    <w:bookmarkEnd w:id="12"/>
    <w:bookmarkEnd w:id="13"/>
    <w:p w:rsidR="008104C5" w:rsidRPr="00015BC4" w:rsidRDefault="008104C5" w:rsidP="008104C5">
      <w:pPr>
        <w:pStyle w:val="2-SectionHeading"/>
        <w:numPr>
          <w:ilvl w:val="0"/>
          <w:numId w:val="1"/>
        </w:numPr>
      </w:pPr>
      <w:r w:rsidRPr="00015BC4">
        <w:t>Population and disease</w:t>
      </w:r>
      <w:bookmarkEnd w:id="14"/>
    </w:p>
    <w:p w:rsidR="008104C5" w:rsidRPr="00015BC4" w:rsidRDefault="008104C5" w:rsidP="008104C5">
      <w:pPr>
        <w:pStyle w:val="ListParagraph"/>
        <w:numPr>
          <w:ilvl w:val="1"/>
          <w:numId w:val="1"/>
        </w:numPr>
        <w:spacing w:after="160"/>
      </w:pPr>
      <w:r w:rsidRPr="00015BC4">
        <w:t>Multiple sclerosis (MS) is a “chronic, immune-mediated disease of the central nervous system (CNS) characterised by inflammation, demyelination and axonal/neuronal destruction, ultimately leading to severe disability” (p.3 of the resubmission). MS symptoms are heterogeneous between patients, but can manifest in any of five major health problems (motor control; fatigue; continence problems; neuropsychological symptoms (such as depression, cognitive difficulties and memory loss); other neurological symptoms (such as vertigo, neuralgia and visual disturbances)). Inflammation and neurodegeneration are considered to be the underlying processes of MS. Inflammation and neurodegeneration can be seen as a spectrum in MS patients, whereby RRMS patients generally suffer from intense focal inflammatory symptoms before transitioning to SPMS which is characterised by neurodegeneration and axon loss.</w:t>
      </w:r>
      <w:r w:rsidRPr="00015BC4">
        <w:rPr>
          <w:color w:val="3366FF"/>
        </w:rPr>
        <w:t xml:space="preserve"> </w:t>
      </w:r>
    </w:p>
    <w:p w:rsidR="008104C5" w:rsidRPr="00015BC4" w:rsidRDefault="008104C5" w:rsidP="008104C5">
      <w:pPr>
        <w:pStyle w:val="ListParagraph"/>
        <w:numPr>
          <w:ilvl w:val="1"/>
          <w:numId w:val="1"/>
        </w:numPr>
        <w:spacing w:after="160"/>
      </w:pPr>
      <w:r w:rsidRPr="00015BC4">
        <w:t xml:space="preserve">SPMS is a phenotype of MS, which transitions from an RRMS phenotype. The pathology of progression from RRMS to SPMS is also considered to include meningeal inflammation, vascular dysfunction, microglial activation, chronic oxidative injury, age-related iron accumulation in the brain and the accumulation of axon mitochondrial damage. As MS progresses, impairment of the five major health problems (noted above) increases. Patients with SPMS see a progressive increase in </w:t>
      </w:r>
      <w:r w:rsidRPr="00015BC4">
        <w:lastRenderedPageBreak/>
        <w:t xml:space="preserve">neurological disability and T2 lesions, and a progressive decrease in brain volume, relapse rate and Gd-enhancing lesions. </w:t>
      </w:r>
    </w:p>
    <w:p w:rsidR="008104C5" w:rsidRPr="00015BC4" w:rsidRDefault="008104C5" w:rsidP="008104C5">
      <w:pPr>
        <w:pStyle w:val="ListParagraph"/>
        <w:numPr>
          <w:ilvl w:val="1"/>
          <w:numId w:val="1"/>
        </w:numPr>
        <w:spacing w:after="160"/>
      </w:pPr>
      <w:r w:rsidRPr="00015BC4">
        <w:t>The 2013 International Advisory Committee on Clinical Trials of MS (Lublin et al 2014) noted that ‘in most clinical contexts, SPMS is diagnosed retrospectively by a history of gradual worsening after an initial relapsing disease course, with or without acute exacerbations during the progressive course. To date, there are no clear clinical, imaging, immunologic, or pathologic criteria to determine the transition point when RRMS converts to SPMS; the transition is usually gradual’.</w:t>
      </w:r>
    </w:p>
    <w:p w:rsidR="00D057AA" w:rsidRPr="00015BC4" w:rsidRDefault="00D057AA" w:rsidP="00D057AA">
      <w:pPr>
        <w:pStyle w:val="3-BodyText"/>
      </w:pPr>
      <w:r w:rsidRPr="00015BC4">
        <w:t>In the clinical evidence (EXPAND, BOLD, FREEDOMS I &amp; II) disability is defined by the Kurtzke Expanded Disability Status Scale (EDSS)</w:t>
      </w:r>
      <w:r w:rsidR="007A4288" w:rsidRPr="00015BC4">
        <w:t>.</w:t>
      </w:r>
      <w:r w:rsidRPr="00015BC4">
        <w:t xml:space="preserve"> The resubmission noted that while the EDSS is used by MS Centres and neurologists enrolling patients in clinical trials and registries, it is not often used by general neurologists. The resubmission considered that transition to SPMS can be identified by reviewing a patient’s history of ability/disability. In the pivotal trial </w:t>
      </w:r>
      <w:r w:rsidR="00063240" w:rsidRPr="00015BC4">
        <w:t xml:space="preserve">for siponimod </w:t>
      </w:r>
      <w:r w:rsidRPr="00015BC4">
        <w:t xml:space="preserve">included in this </w:t>
      </w:r>
      <w:r w:rsidR="00063240" w:rsidRPr="00015BC4">
        <w:t>re</w:t>
      </w:r>
      <w:r w:rsidRPr="00015BC4">
        <w:t>submission (EXPAND), a physician’s summary of the clinical evidence of a patient having disability progression of at least 6 months duration, could be provided if an EDSS score was not available at study screening. Patients were also required to have a prior history of RRMS.</w:t>
      </w:r>
    </w:p>
    <w:p w:rsidR="00D5020D" w:rsidRPr="00015BC4" w:rsidRDefault="005F0A5C" w:rsidP="00D057AA">
      <w:pPr>
        <w:pStyle w:val="3-BodyText"/>
      </w:pPr>
      <w:r w:rsidRPr="00015BC4">
        <w:t>T</w:t>
      </w:r>
      <w:r w:rsidR="00D057AA" w:rsidRPr="00015BC4">
        <w:t>here are 12 DMTs listed on the PBS for patients with RRMS</w:t>
      </w:r>
      <w:r w:rsidRPr="00015BC4">
        <w:t xml:space="preserve"> that may be commenced in RRMS and can be used until</w:t>
      </w:r>
      <w:r w:rsidR="00D057AA" w:rsidRPr="00015BC4">
        <w:t xml:space="preserve"> </w:t>
      </w:r>
      <w:r w:rsidRPr="00015BC4">
        <w:t>continuing progression of disability or until the patient requires assistance to walk</w:t>
      </w:r>
      <w:r w:rsidR="00D057AA" w:rsidRPr="00015BC4">
        <w:t xml:space="preserve"> (</w:t>
      </w:r>
      <w:r w:rsidR="005E56E7" w:rsidRPr="00015BC4">
        <w:t xml:space="preserve">i.e. the DMTs must be ceased if </w:t>
      </w:r>
      <w:r w:rsidR="00D057AA" w:rsidRPr="00015BC4">
        <w:t>EDSS equivalent of &gt;5.5)</w:t>
      </w:r>
      <w:r w:rsidRPr="00015BC4">
        <w:t>. However, there is no listed therapy specifically for SPMS.</w:t>
      </w:r>
    </w:p>
    <w:p w:rsidR="008104C5" w:rsidRPr="00015BC4" w:rsidRDefault="008104C5" w:rsidP="008104C5">
      <w:pPr>
        <w:pStyle w:val="3-BodyText"/>
        <w:rPr>
          <w:color w:val="0066FF"/>
        </w:rPr>
      </w:pPr>
      <w:r w:rsidRPr="00015BC4">
        <w:rPr>
          <w:color w:val="000000" w:themeColor="text1"/>
        </w:rPr>
        <w:t>The resubmission propose</w:t>
      </w:r>
      <w:r w:rsidR="00836674" w:rsidRPr="00015BC4">
        <w:rPr>
          <w:color w:val="000000" w:themeColor="text1"/>
        </w:rPr>
        <w:t>d</w:t>
      </w:r>
      <w:r w:rsidRPr="00015BC4">
        <w:rPr>
          <w:color w:val="000000" w:themeColor="text1"/>
        </w:rPr>
        <w:t xml:space="preserve"> siponimod for use in RRMS patients (aligned with the existing </w:t>
      </w:r>
      <w:r w:rsidR="005F0A5C" w:rsidRPr="00015BC4">
        <w:rPr>
          <w:color w:val="000000" w:themeColor="text1"/>
        </w:rPr>
        <w:t xml:space="preserve">DMT </w:t>
      </w:r>
      <w:r w:rsidRPr="00015BC4">
        <w:rPr>
          <w:color w:val="000000" w:themeColor="text1"/>
        </w:rPr>
        <w:t>restriction</w:t>
      </w:r>
      <w:r w:rsidR="005F0A5C" w:rsidRPr="00015BC4">
        <w:rPr>
          <w:color w:val="000000" w:themeColor="text1"/>
        </w:rPr>
        <w:t>s</w:t>
      </w:r>
      <w:r w:rsidRPr="00015BC4">
        <w:rPr>
          <w:color w:val="000000" w:themeColor="text1"/>
        </w:rPr>
        <w:t xml:space="preserve">) as well as SPMS patients. </w:t>
      </w:r>
    </w:p>
    <w:p w:rsidR="00120056" w:rsidRPr="00015BC4" w:rsidRDefault="000D65EA" w:rsidP="008104C5">
      <w:pPr>
        <w:pStyle w:val="3-BodyText"/>
      </w:pPr>
      <w:r w:rsidRPr="00015BC4">
        <w:t xml:space="preserve">Figure 1 </w:t>
      </w:r>
      <w:r w:rsidR="00120056" w:rsidRPr="00015BC4">
        <w:t>illustrates factors associated with progression from RRMS to SPMS.</w:t>
      </w:r>
    </w:p>
    <w:p w:rsidR="000048EC" w:rsidRPr="00015BC4" w:rsidRDefault="000D65EA" w:rsidP="000048EC">
      <w:pPr>
        <w:pStyle w:val="TableFigureHeading"/>
      </w:pPr>
      <w:r w:rsidRPr="00015BC4">
        <w:lastRenderedPageBreak/>
        <w:t>Figure 1:</w:t>
      </w:r>
      <w:r w:rsidR="000048EC" w:rsidRPr="00015BC4">
        <w:t xml:space="preserve"> Disease course from RRMS to SPMS</w:t>
      </w:r>
    </w:p>
    <w:p w:rsidR="00120056" w:rsidRPr="00015BC4" w:rsidRDefault="00120056" w:rsidP="005F0A5C">
      <w:pPr>
        <w:pStyle w:val="3-BodyText"/>
        <w:numPr>
          <w:ilvl w:val="0"/>
          <w:numId w:val="0"/>
        </w:numPr>
        <w:ind w:left="720"/>
        <w:jc w:val="center"/>
        <w:rPr>
          <w:color w:val="0066FF"/>
        </w:rPr>
      </w:pPr>
      <w:r w:rsidRPr="00015BC4">
        <w:rPr>
          <w:noProof/>
        </w:rPr>
        <w:drawing>
          <wp:inline distT="0" distB="0" distL="0" distR="0" wp14:anchorId="294DB900" wp14:editId="25BF0BB2">
            <wp:extent cx="4548188" cy="363855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5748" cy="3684598"/>
                    </a:xfrm>
                    <a:prstGeom prst="rect">
                      <a:avLst/>
                    </a:prstGeom>
                  </pic:spPr>
                </pic:pic>
              </a:graphicData>
            </a:graphic>
          </wp:inline>
        </w:drawing>
      </w:r>
    </w:p>
    <w:p w:rsidR="005F0A5C" w:rsidRPr="00015BC4" w:rsidRDefault="00120056" w:rsidP="005F0A5C">
      <w:pPr>
        <w:pStyle w:val="TableFigureFooter"/>
        <w:rPr>
          <w:lang w:val="en-AU"/>
        </w:rPr>
      </w:pPr>
      <w:r w:rsidRPr="00015BC4">
        <w:rPr>
          <w:lang w:val="en-AU"/>
        </w:rPr>
        <w:t xml:space="preserve">Source: Figure 1.2, p6 of the resubmission. </w:t>
      </w:r>
    </w:p>
    <w:p w:rsidR="00120056" w:rsidRPr="00015BC4" w:rsidRDefault="00120056" w:rsidP="005F0A5C">
      <w:pPr>
        <w:pStyle w:val="TableFigureFooter"/>
        <w:rPr>
          <w:lang w:val="en-AU"/>
        </w:rPr>
      </w:pPr>
      <w:r w:rsidRPr="00015BC4">
        <w:rPr>
          <w:lang w:val="en-AU"/>
        </w:rPr>
        <w:t>T2= time taken between magnetic pulses and image capture using magnetic resonance imaging; Gd = Gadolinium</w:t>
      </w:r>
    </w:p>
    <w:p w:rsidR="00C62630" w:rsidRPr="00015BC4" w:rsidRDefault="00120056" w:rsidP="005F0A5C">
      <w:pPr>
        <w:pStyle w:val="TableFigureFooter"/>
        <w:rPr>
          <w:color w:val="0066FF"/>
          <w:lang w:val="en-AU"/>
        </w:rPr>
      </w:pPr>
      <w:r w:rsidRPr="00015BC4">
        <w:rPr>
          <w:lang w:val="en-AU"/>
        </w:rPr>
        <w:t>Note: The graph shows neurological disability, brain atrophy, frequency of inflammatory events [T1 lesions with gadolinium (GD) contrast enhancement showing blood–brain barrier breakdown] and global level of tissue damage (T2 lesions).”</w:t>
      </w:r>
    </w:p>
    <w:p w:rsidR="008104C5" w:rsidRPr="00015BC4" w:rsidRDefault="008104C5" w:rsidP="008104C5">
      <w:pPr>
        <w:pStyle w:val="2-SectionHeading"/>
        <w:numPr>
          <w:ilvl w:val="0"/>
          <w:numId w:val="1"/>
        </w:numPr>
      </w:pPr>
      <w:bookmarkStart w:id="15" w:name="_Toc40855732"/>
      <w:r w:rsidRPr="00015BC4">
        <w:t>Comparator</w:t>
      </w:r>
      <w:bookmarkEnd w:id="15"/>
    </w:p>
    <w:p w:rsidR="00836674" w:rsidRPr="00015BC4" w:rsidRDefault="00836674" w:rsidP="00C1362C">
      <w:pPr>
        <w:pStyle w:val="3-BodyText"/>
        <w:spacing w:after="0"/>
      </w:pPr>
      <w:r w:rsidRPr="00015BC4">
        <w:t>The resubmission nominated fingolimod as the main comparator as a point of reference for PBS-listed DMTs. The main arguments provided in support of this nomination were as follows:</w:t>
      </w:r>
    </w:p>
    <w:p w:rsidR="00836674" w:rsidRPr="00015BC4" w:rsidRDefault="00836674" w:rsidP="00212B4F">
      <w:pPr>
        <w:pStyle w:val="ListBullet"/>
        <w:numPr>
          <w:ilvl w:val="0"/>
          <w:numId w:val="10"/>
        </w:numPr>
        <w:jc w:val="both"/>
        <w:rPr>
          <w:lang w:val="en-AU"/>
        </w:rPr>
      </w:pPr>
      <w:r w:rsidRPr="00015BC4">
        <w:rPr>
          <w:lang w:val="en-AU"/>
        </w:rPr>
        <w:t xml:space="preserve">The PBAC considered that the cost-effectiveness of siponimod could alternatively be informed by a comparison with the DMTs among people with RRMS (paragraph 7.15, siponimod, PBAC </w:t>
      </w:r>
      <w:r w:rsidR="008F35CF">
        <w:rPr>
          <w:lang w:val="en-AU"/>
        </w:rPr>
        <w:t>PSD</w:t>
      </w:r>
      <w:r w:rsidRPr="00015BC4">
        <w:rPr>
          <w:lang w:val="en-AU"/>
        </w:rPr>
        <w:t xml:space="preserve">, November 2019). </w:t>
      </w:r>
    </w:p>
    <w:p w:rsidR="00836674" w:rsidRPr="00015BC4" w:rsidRDefault="00836674" w:rsidP="00212B4F">
      <w:pPr>
        <w:pStyle w:val="ListBullet"/>
        <w:numPr>
          <w:ilvl w:val="0"/>
          <w:numId w:val="10"/>
        </w:numPr>
        <w:jc w:val="both"/>
        <w:rPr>
          <w:lang w:val="en-AU"/>
        </w:rPr>
      </w:pPr>
      <w:r w:rsidRPr="00015BC4">
        <w:rPr>
          <w:lang w:val="en-AU"/>
        </w:rPr>
        <w:t>Cladribine, ocrelizumab and alemtuzumab were all listed on the basis of similar efficacy and safety compared with fingolimod.</w:t>
      </w:r>
    </w:p>
    <w:p w:rsidR="00836674" w:rsidRPr="00015BC4" w:rsidRDefault="00836674" w:rsidP="00212B4F">
      <w:pPr>
        <w:pStyle w:val="ListBullet"/>
        <w:numPr>
          <w:ilvl w:val="0"/>
          <w:numId w:val="10"/>
        </w:numPr>
        <w:spacing w:after="120"/>
        <w:jc w:val="both"/>
        <w:rPr>
          <w:lang w:val="en-AU"/>
        </w:rPr>
      </w:pPr>
      <w:r w:rsidRPr="00015BC4">
        <w:rPr>
          <w:lang w:val="en-AU"/>
        </w:rPr>
        <w:t xml:space="preserve">Fingolimod is a pharmacological analogue of siponimod. </w:t>
      </w:r>
    </w:p>
    <w:p w:rsidR="00836674" w:rsidRPr="00015BC4" w:rsidRDefault="00836674" w:rsidP="00836674">
      <w:pPr>
        <w:pStyle w:val="3-BodyText"/>
      </w:pPr>
      <w:r w:rsidRPr="00015BC4">
        <w:t xml:space="preserve">Given that cladribine, ocrelizumab and alemtuzumab were all listed on the basis of similar efficacy and safety compared to fingolimod, </w:t>
      </w:r>
      <w:r w:rsidR="00C23068" w:rsidRPr="00015BC4">
        <w:t xml:space="preserve">the commentary, ESC and PBAC considered that </w:t>
      </w:r>
      <w:r w:rsidRPr="00015BC4">
        <w:t>fingolimod may be considered an appropriate reference for other RRMS DMTs</w:t>
      </w:r>
      <w:r w:rsidR="00D56932" w:rsidRPr="00015BC4">
        <w:t>, among patients who are ambulatory and do not require assistance to walk</w:t>
      </w:r>
      <w:r w:rsidR="007A4288" w:rsidRPr="00015BC4">
        <w:t xml:space="preserve"> (broadly consistent with an </w:t>
      </w:r>
      <w:r w:rsidR="00D56932" w:rsidRPr="00015BC4">
        <w:t xml:space="preserve">EDSS </w:t>
      </w:r>
      <w:r w:rsidR="00D56932" w:rsidRPr="00015BC4">
        <w:rPr>
          <w:rFonts w:cstheme="minorHAnsi"/>
        </w:rPr>
        <w:t>≤</w:t>
      </w:r>
      <w:r w:rsidR="00D56932" w:rsidRPr="00015BC4">
        <w:t>5.5)</w:t>
      </w:r>
      <w:r w:rsidRPr="00015BC4">
        <w:t xml:space="preserve">. </w:t>
      </w:r>
    </w:p>
    <w:p w:rsidR="00F90411" w:rsidRPr="00015BC4" w:rsidRDefault="002855BE" w:rsidP="008745DB">
      <w:pPr>
        <w:pStyle w:val="3-BodyText"/>
      </w:pPr>
      <w:r w:rsidRPr="00015BC4">
        <w:t>The requested listing for siponimod additionally include</w:t>
      </w:r>
      <w:r w:rsidR="00D56932" w:rsidRPr="00015BC4">
        <w:t>s</w:t>
      </w:r>
      <w:r w:rsidRPr="00015BC4">
        <w:t xml:space="preserve"> ambulatory patients who require assistance to walk</w:t>
      </w:r>
      <w:r w:rsidR="008745DB" w:rsidRPr="00015BC4">
        <w:t xml:space="preserve">, while </w:t>
      </w:r>
      <w:r w:rsidR="00D56932" w:rsidRPr="00015BC4">
        <w:t xml:space="preserve">fingolimod (and other DMTs) </w:t>
      </w:r>
      <w:r w:rsidR="005E56E7" w:rsidRPr="00015BC4">
        <w:rPr>
          <w:color w:val="000000" w:themeColor="text1"/>
        </w:rPr>
        <w:t xml:space="preserve">are not PBS-subsidised </w:t>
      </w:r>
      <w:r w:rsidR="005E56E7" w:rsidRPr="00015BC4">
        <w:rPr>
          <w:color w:val="000000" w:themeColor="text1"/>
        </w:rPr>
        <w:lastRenderedPageBreak/>
        <w:t xml:space="preserve">in </w:t>
      </w:r>
      <w:r w:rsidR="00D56932" w:rsidRPr="00015BC4">
        <w:rPr>
          <w:color w:val="000000" w:themeColor="text1"/>
        </w:rPr>
        <w:t>patients who require assistance to walk. Patients with EDSS 6.0 and 6.5</w:t>
      </w:r>
      <w:r w:rsidR="007134B2" w:rsidRPr="00015BC4">
        <w:rPr>
          <w:color w:val="000000" w:themeColor="text1"/>
        </w:rPr>
        <w:t xml:space="preserve"> (defined as patients who require assistance to walk but do not require a wheelchair)</w:t>
      </w:r>
      <w:r w:rsidR="00D56932" w:rsidRPr="00015BC4">
        <w:rPr>
          <w:color w:val="000000" w:themeColor="text1"/>
        </w:rPr>
        <w:t xml:space="preserve"> </w:t>
      </w:r>
      <w:r w:rsidR="005E56E7" w:rsidRPr="00015BC4">
        <w:rPr>
          <w:color w:val="000000" w:themeColor="text1"/>
        </w:rPr>
        <w:t xml:space="preserve">i.e. patients </w:t>
      </w:r>
      <w:r w:rsidR="00D56932" w:rsidRPr="00015BC4">
        <w:rPr>
          <w:color w:val="000000" w:themeColor="text1"/>
        </w:rPr>
        <w:t xml:space="preserve">who are not </w:t>
      </w:r>
      <w:r w:rsidR="005E56E7" w:rsidRPr="00015BC4">
        <w:rPr>
          <w:color w:val="000000" w:themeColor="text1"/>
        </w:rPr>
        <w:t>eligible for PBS-subsidised DMTs</w:t>
      </w:r>
      <w:r w:rsidR="00D56932" w:rsidRPr="00015BC4">
        <w:rPr>
          <w:color w:val="000000" w:themeColor="text1"/>
        </w:rPr>
        <w:t xml:space="preserve"> make up the majority of the resubmission’s estimated </w:t>
      </w:r>
      <w:r w:rsidR="005E56E7" w:rsidRPr="00015BC4">
        <w:rPr>
          <w:color w:val="000000" w:themeColor="text1"/>
        </w:rPr>
        <w:t xml:space="preserve">incremental </w:t>
      </w:r>
      <w:r w:rsidR="00D56932" w:rsidRPr="00015BC4">
        <w:rPr>
          <w:color w:val="000000" w:themeColor="text1"/>
        </w:rPr>
        <w:t xml:space="preserve">financial impact to the PBS/RPBS. For these patients, </w:t>
      </w:r>
      <w:r w:rsidR="000D65EA" w:rsidRPr="00015BC4">
        <w:rPr>
          <w:color w:val="000000" w:themeColor="text1"/>
        </w:rPr>
        <w:t xml:space="preserve">the commentary and the ESC considered that </w:t>
      </w:r>
      <w:r w:rsidR="00D56932" w:rsidRPr="00015BC4">
        <w:rPr>
          <w:color w:val="000000" w:themeColor="text1"/>
        </w:rPr>
        <w:t>best supportive care would be the more appropriate comparator.</w:t>
      </w:r>
      <w:r w:rsidR="00F90411" w:rsidRPr="00015BC4">
        <w:t xml:space="preserve"> </w:t>
      </w:r>
      <w:r w:rsidR="000D65EA" w:rsidRPr="00015BC4">
        <w:t>T</w:t>
      </w:r>
      <w:r w:rsidR="000D65EA" w:rsidRPr="00015BC4">
        <w:rPr>
          <w:color w:val="000000" w:themeColor="text1"/>
        </w:rPr>
        <w:t xml:space="preserve">he commentary, ESC and PBAC considered that </w:t>
      </w:r>
      <w:r w:rsidR="000D65EA" w:rsidRPr="00015BC4">
        <w:t>a</w:t>
      </w:r>
      <w:r w:rsidR="00F90411" w:rsidRPr="00015BC4">
        <w:t xml:space="preserve">ccepting </w:t>
      </w:r>
      <w:r w:rsidR="00D56932" w:rsidRPr="00015BC4">
        <w:t>non-inferiority</w:t>
      </w:r>
      <w:r w:rsidR="00F90411" w:rsidRPr="00015BC4">
        <w:t xml:space="preserve"> </w:t>
      </w:r>
      <w:r w:rsidR="00D56932" w:rsidRPr="00015BC4">
        <w:t xml:space="preserve">of </w:t>
      </w:r>
      <w:r w:rsidR="00F90411" w:rsidRPr="00015BC4">
        <w:t xml:space="preserve">siponimod </w:t>
      </w:r>
      <w:r w:rsidR="00D56932" w:rsidRPr="00015BC4">
        <w:t xml:space="preserve">to fingolimod </w:t>
      </w:r>
      <w:r w:rsidR="00F90411" w:rsidRPr="00015BC4">
        <w:t>in this population would not necessarily support the cost-effectiveness of siponimod in this population as the cost-effectiveness of fingolimod in this population has not been established.</w:t>
      </w:r>
      <w:r w:rsidR="00392BF4" w:rsidRPr="00015BC4">
        <w:t xml:space="preserve"> </w:t>
      </w:r>
    </w:p>
    <w:p w:rsidR="00EE5DC0" w:rsidRPr="00015BC4" w:rsidRDefault="00EE5DC0" w:rsidP="00C435C0">
      <w:pPr>
        <w:pStyle w:val="3-BodyText"/>
      </w:pPr>
      <w:r w:rsidRPr="00015BC4">
        <w:t>The ESC noted</w:t>
      </w:r>
      <w:r w:rsidR="000D65EA" w:rsidRPr="00015BC4">
        <w:t xml:space="preserve"> that</w:t>
      </w:r>
      <w:r w:rsidRPr="00015BC4">
        <w:t xml:space="preserve"> although DMTs may be an appropriate comparator for patients with an EDSS score of 3.5-5.5, a comparison with best supportive care may also be relevant given that the cost-effectiveness of DMTs in SPMS has not previously been assessed.</w:t>
      </w:r>
    </w:p>
    <w:p w:rsidR="000C77C5" w:rsidRPr="00E62A95" w:rsidRDefault="00C435C0" w:rsidP="000C77C5">
      <w:pPr>
        <w:pStyle w:val="3-BodyText"/>
      </w:pPr>
      <w:r w:rsidRPr="00015BC4">
        <w:t xml:space="preserve">The PSCR </w:t>
      </w:r>
      <w:r w:rsidR="000D65EA" w:rsidRPr="00015BC4">
        <w:t xml:space="preserve">stated </w:t>
      </w:r>
      <w:r w:rsidRPr="00015BC4">
        <w:t>that PBS-listed DMTs are used in SPMS patients with EDSS</w:t>
      </w:r>
      <w:r w:rsidR="0048709C" w:rsidRPr="00015BC4">
        <w:t xml:space="preserve"> of 6 and</w:t>
      </w:r>
      <w:r w:rsidRPr="00015BC4">
        <w:t xml:space="preserve"> </w:t>
      </w:r>
      <w:r w:rsidRPr="00E62A95">
        <w:t>above (</w:t>
      </w:r>
      <w:r w:rsidR="003C0833">
        <w:rPr>
          <w:noProof/>
          <w:color w:val="000000"/>
          <w:highlight w:val="black"/>
        </w:rPr>
        <w:t>'''''</w:t>
      </w:r>
      <w:r w:rsidRPr="00E62A95">
        <w:t xml:space="preserve">%) as indicated in the MSBase analysis. The ESC </w:t>
      </w:r>
      <w:r w:rsidR="00A32179" w:rsidRPr="00E62A95">
        <w:t>noted</w:t>
      </w:r>
      <w:r w:rsidRPr="00E62A95">
        <w:t xml:space="preserve"> that the MSBase analysis indicated that </w:t>
      </w:r>
      <w:r w:rsidR="003C0833">
        <w:rPr>
          <w:noProof/>
          <w:color w:val="000000"/>
          <w:highlight w:val="black"/>
        </w:rPr>
        <w:t>'''''''''''</w:t>
      </w:r>
      <w:r w:rsidRPr="00E62A95">
        <w:t xml:space="preserve"> </w:t>
      </w:r>
      <w:r w:rsidR="00A32179" w:rsidRPr="00E62A95">
        <w:t>(</w:t>
      </w:r>
      <w:r w:rsidR="003C0833">
        <w:rPr>
          <w:noProof/>
          <w:color w:val="000000"/>
          <w:highlight w:val="black"/>
        </w:rPr>
        <w:t>'''''</w:t>
      </w:r>
      <w:r w:rsidR="00A32179" w:rsidRPr="00E62A95">
        <w:t xml:space="preserve">%) </w:t>
      </w:r>
      <w:r w:rsidR="00EE5DC0" w:rsidRPr="00E62A95">
        <w:t xml:space="preserve">of </w:t>
      </w:r>
      <w:r w:rsidR="00065B8C" w:rsidRPr="00E62A95">
        <w:t xml:space="preserve">Australian </w:t>
      </w:r>
      <w:r w:rsidRPr="00E62A95">
        <w:t>SPMS patients were currently using a DMT</w:t>
      </w:r>
      <w:r w:rsidR="00724383" w:rsidRPr="00E62A95">
        <w:t xml:space="preserve">, which may be PBS-supplied, </w:t>
      </w:r>
      <w:r w:rsidR="00EE5DC0" w:rsidRPr="00E62A95">
        <w:t xml:space="preserve">but the </w:t>
      </w:r>
      <w:r w:rsidR="00724383" w:rsidRPr="00E62A95">
        <w:t>proportion of SPMS</w:t>
      </w:r>
      <w:r w:rsidR="0024199C" w:rsidRPr="00E62A95">
        <w:t xml:space="preserve"> patients</w:t>
      </w:r>
      <w:r w:rsidR="00724383" w:rsidRPr="00E62A95">
        <w:t xml:space="preserve"> with an EDSS</w:t>
      </w:r>
      <w:r w:rsidR="0048709C" w:rsidRPr="00E62A95">
        <w:t xml:space="preserve"> 6 and</w:t>
      </w:r>
      <w:r w:rsidR="00724383" w:rsidRPr="00E62A95">
        <w:t xml:space="preserve"> above</w:t>
      </w:r>
      <w:r w:rsidR="0024199C" w:rsidRPr="00E62A95">
        <w:t xml:space="preserve"> </w:t>
      </w:r>
      <w:r w:rsidR="00724383" w:rsidRPr="00E62A95">
        <w:t xml:space="preserve">using DMTs was not </w:t>
      </w:r>
      <w:r w:rsidR="00BF73A6" w:rsidRPr="00E62A95">
        <w:t>provided. The ESC considered the</w:t>
      </w:r>
      <w:r w:rsidR="00724383" w:rsidRPr="00E62A95">
        <w:t>s</w:t>
      </w:r>
      <w:r w:rsidR="00BF73A6" w:rsidRPr="00E62A95">
        <w:t>e</w:t>
      </w:r>
      <w:r w:rsidR="00724383" w:rsidRPr="00E62A95">
        <w:t xml:space="preserve"> data would be informative</w:t>
      </w:r>
      <w:r w:rsidR="001B32F5" w:rsidRPr="00E62A95">
        <w:t>, however t</w:t>
      </w:r>
      <w:r w:rsidR="000C77C5" w:rsidRPr="00E62A95">
        <w:t>he pre-PBAC response stated that the sponsor does not have access to DMT usage data split by EDSS</w:t>
      </w:r>
      <w:r w:rsidR="00724383" w:rsidRPr="00E62A95">
        <w:t xml:space="preserve">. </w:t>
      </w:r>
    </w:p>
    <w:p w:rsidR="00EA7AC4" w:rsidRPr="00015BC4" w:rsidRDefault="00724383" w:rsidP="000C77C5">
      <w:pPr>
        <w:pStyle w:val="3-BodyText"/>
      </w:pPr>
      <w:r w:rsidRPr="00E62A95">
        <w:t xml:space="preserve">The ESC acknowledged that </w:t>
      </w:r>
      <w:r w:rsidR="003C0833">
        <w:rPr>
          <w:noProof/>
          <w:color w:val="000000"/>
          <w:highlight w:val="black"/>
        </w:rPr>
        <w:t>''''''''''</w:t>
      </w:r>
      <w:r w:rsidRPr="00E62A95">
        <w:t xml:space="preserve"> </w:t>
      </w:r>
      <w:r w:rsidR="00065B8C" w:rsidRPr="00E62A95">
        <w:t>(</w:t>
      </w:r>
      <w:r w:rsidR="003C0833">
        <w:rPr>
          <w:noProof/>
          <w:color w:val="000000"/>
          <w:highlight w:val="black"/>
        </w:rPr>
        <w:t>'''''</w:t>
      </w:r>
      <w:r w:rsidR="00065B8C" w:rsidRPr="00015BC4">
        <w:t xml:space="preserve">%) of the Australian </w:t>
      </w:r>
      <w:r w:rsidRPr="00015BC4">
        <w:t>SPMS patients had an EDSS</w:t>
      </w:r>
      <w:r w:rsidR="0048709C" w:rsidRPr="00015BC4">
        <w:t xml:space="preserve"> of 6 and</w:t>
      </w:r>
      <w:r w:rsidRPr="00015BC4">
        <w:t xml:space="preserve"> above and thus there </w:t>
      </w:r>
      <w:r w:rsidR="00C61D40" w:rsidRPr="00015BC4">
        <w:t>may be</w:t>
      </w:r>
      <w:r w:rsidR="000C5F00" w:rsidRPr="00015BC4">
        <w:t xml:space="preserve"> </w:t>
      </w:r>
      <w:r w:rsidRPr="00015BC4">
        <w:t>use of DMTs in SPMS</w:t>
      </w:r>
      <w:r w:rsidR="0024199C" w:rsidRPr="00015BC4">
        <w:t xml:space="preserve"> patients</w:t>
      </w:r>
      <w:r w:rsidRPr="00015BC4">
        <w:t xml:space="preserve"> with an EDSS </w:t>
      </w:r>
      <w:r w:rsidR="0048709C" w:rsidRPr="00015BC4">
        <w:t xml:space="preserve">of 6 and </w:t>
      </w:r>
      <w:r w:rsidRPr="00015BC4">
        <w:t>above</w:t>
      </w:r>
      <w:r w:rsidR="00C435C0" w:rsidRPr="00015BC4">
        <w:t>, but there were also some who were not using</w:t>
      </w:r>
      <w:r w:rsidR="0024199C" w:rsidRPr="00015BC4">
        <w:t xml:space="preserve"> a</w:t>
      </w:r>
      <w:r w:rsidR="00C435C0" w:rsidRPr="00015BC4">
        <w:t xml:space="preserve"> DMT, where</w:t>
      </w:r>
      <w:r w:rsidR="00065B8C" w:rsidRPr="00015BC4">
        <w:t xml:space="preserve"> the ESC considered </w:t>
      </w:r>
      <w:r w:rsidR="00C435C0" w:rsidRPr="00015BC4">
        <w:t>BSC would be the appropriate comparator.</w:t>
      </w:r>
      <w:r w:rsidR="0024199C" w:rsidRPr="00015BC4">
        <w:t xml:space="preserve"> </w:t>
      </w:r>
    </w:p>
    <w:p w:rsidR="00C435C0" w:rsidRPr="00015BC4" w:rsidRDefault="0024199C" w:rsidP="00C435C0">
      <w:pPr>
        <w:pStyle w:val="3-BodyText"/>
      </w:pPr>
      <w:r w:rsidRPr="00015BC4">
        <w:t>The ESC further considered that the cost-effectiveness of DMTs, including siponimod, in patients with an EDSS score of 3.5-5.5 was not likely to be transferable to patients</w:t>
      </w:r>
      <w:r w:rsidR="0048709C" w:rsidRPr="00015BC4">
        <w:t xml:space="preserve"> with higher EDSS scores</w:t>
      </w:r>
      <w:r w:rsidRPr="00015BC4">
        <w:t>.</w:t>
      </w:r>
    </w:p>
    <w:p w:rsidR="00836674" w:rsidRPr="00015BC4" w:rsidRDefault="00836674" w:rsidP="00836674">
      <w:pPr>
        <w:pStyle w:val="3-BodyText"/>
      </w:pPr>
      <w:r w:rsidRPr="00015BC4">
        <w:t xml:space="preserve">In the context of the </w:t>
      </w:r>
      <w:r w:rsidR="001B5B30" w:rsidRPr="00015BC4">
        <w:t>cost minimisation</w:t>
      </w:r>
      <w:r w:rsidRPr="00015BC4">
        <w:t xml:space="preserve"> approach taken by the resubmission, a further consideration for PBAC is that, under Section 101(3B) of the </w:t>
      </w:r>
      <w:r w:rsidRPr="00015BC4">
        <w:rPr>
          <w:i/>
        </w:rPr>
        <w:t>National Health Act 1953</w:t>
      </w:r>
      <w:r w:rsidRPr="00015BC4">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w:t>
      </w:r>
    </w:p>
    <w:p w:rsidR="00435B8C" w:rsidRPr="00015BC4" w:rsidRDefault="00836674" w:rsidP="00836674">
      <w:pPr>
        <w:pStyle w:val="3-BodyText"/>
      </w:pPr>
      <w:r w:rsidRPr="00015BC4">
        <w:t>For the requested population, the following PBS-listed medicines may be considered alternative therapies because they could be replaced in practice: interferon</w:t>
      </w:r>
      <w:r w:rsidR="006824EC" w:rsidRPr="00015BC4">
        <w:t xml:space="preserve"> beta[s]</w:t>
      </w:r>
      <w:r w:rsidRPr="00015BC4">
        <w:t xml:space="preserve">, glatiramer acetate, natalizumab, fingolimod, teriflunomide, dimethyl fumarate, alemtuzumab, ocrelizumab and cladribine. </w:t>
      </w:r>
    </w:p>
    <w:p w:rsidR="00836674" w:rsidRPr="00015BC4" w:rsidRDefault="00435B8C" w:rsidP="00435B8C">
      <w:pPr>
        <w:pStyle w:val="3-BodyText"/>
      </w:pPr>
      <w:r w:rsidRPr="00015BC4">
        <w:t xml:space="preserve">Fingolimod and natalizumab were recommended on a cost-effectiveness basis compared with </w:t>
      </w:r>
      <w:r w:rsidR="003021C4" w:rsidRPr="00015BC4">
        <w:t>interferon beta-</w:t>
      </w:r>
      <w:r w:rsidRPr="00015BC4">
        <w:t xml:space="preserve">1a and </w:t>
      </w:r>
      <w:r w:rsidR="003021C4" w:rsidRPr="00015BC4">
        <w:t>interferon beta-</w:t>
      </w:r>
      <w:r w:rsidRPr="00015BC4">
        <w:t xml:space="preserve">1b, respectively. Ocrelizumab and cladribine were listed on a cost minimisation basis with fingolimod and </w:t>
      </w:r>
      <w:r w:rsidRPr="00015BC4">
        <w:lastRenderedPageBreak/>
        <w:t xml:space="preserve">alemtuzumab was listed on a cost minimisation basis with both fingolimod and natalizumab. </w:t>
      </w:r>
      <w:r w:rsidR="00F554A6" w:rsidRPr="00015BC4">
        <w:t>T</w:t>
      </w:r>
      <w:r w:rsidRPr="00015BC4">
        <w:t xml:space="preserve">he PBAC </w:t>
      </w:r>
      <w:r w:rsidR="00F554A6" w:rsidRPr="00015BC4">
        <w:t>w</w:t>
      </w:r>
      <w:r w:rsidR="00985F37" w:rsidRPr="00015BC4">
        <w:t>as</w:t>
      </w:r>
      <w:r w:rsidRPr="00015BC4">
        <w:t xml:space="preserve"> satisfied that siponimod provides, for some patients, a significant improvement in effectiveness and safety over </w:t>
      </w:r>
      <w:r w:rsidR="003021C4" w:rsidRPr="00015BC4">
        <w:t>interferon beta</w:t>
      </w:r>
      <w:r w:rsidRPr="00015BC4">
        <w:t xml:space="preserve"> for the purposes of Section 101 (3B) of the </w:t>
      </w:r>
      <w:r w:rsidRPr="00015BC4">
        <w:rPr>
          <w:i/>
        </w:rPr>
        <w:t>National Health Act 1953.</w:t>
      </w:r>
      <w:r w:rsidR="00F554A6" w:rsidRPr="00015BC4">
        <w:rPr>
          <w:i/>
        </w:rPr>
        <w:t xml:space="preserve"> </w:t>
      </w:r>
      <w:r w:rsidR="00F554A6" w:rsidRPr="00015BC4">
        <w:t>The PBAC noted</w:t>
      </w:r>
      <w:r w:rsidR="003021C4" w:rsidRPr="00015BC4">
        <w:t xml:space="preserve"> that,</w:t>
      </w:r>
      <w:r w:rsidR="00F554A6" w:rsidRPr="00015BC4">
        <w:t xml:space="preserve"> based on the pricing approach proposed in the </w:t>
      </w:r>
      <w:r w:rsidR="00985F37" w:rsidRPr="00015BC4">
        <w:t xml:space="preserve">resubmission and </w:t>
      </w:r>
      <w:r w:rsidR="00F554A6" w:rsidRPr="00015BC4">
        <w:t>pre-PBAC response</w:t>
      </w:r>
      <w:r w:rsidR="003021C4" w:rsidRPr="00015BC4">
        <w:t>,</w:t>
      </w:r>
      <w:r w:rsidR="00F554A6" w:rsidRPr="00015BC4">
        <w:t xml:space="preserve"> the cost of siponimod would be less than that of fingolimod and treatments that have been listed on a cost-minimisation basis versus fingolimod.</w:t>
      </w:r>
    </w:p>
    <w:p w:rsidR="00ED7E46" w:rsidRPr="00015BC4" w:rsidRDefault="00ED7E46" w:rsidP="00ED7E46">
      <w:pPr>
        <w:pStyle w:val="3-BodyText"/>
        <w:numPr>
          <w:ilvl w:val="0"/>
          <w:numId w:val="0"/>
        </w:numPr>
        <w:ind w:left="720"/>
      </w:pPr>
      <w:r w:rsidRPr="00015BC4">
        <w:rPr>
          <w:i/>
        </w:rPr>
        <w:t>For more detail on PBAC’s view, see section 7 PBAC outcome.</w:t>
      </w:r>
    </w:p>
    <w:p w:rsidR="008104C5" w:rsidRPr="00015BC4" w:rsidRDefault="008104C5" w:rsidP="008104C5">
      <w:pPr>
        <w:pStyle w:val="2-SectionHeading"/>
        <w:numPr>
          <w:ilvl w:val="0"/>
          <w:numId w:val="1"/>
        </w:numPr>
      </w:pPr>
      <w:bookmarkStart w:id="16" w:name="_Toc40855733"/>
      <w:bookmarkStart w:id="17" w:name="_Toc22897640"/>
      <w:r w:rsidRPr="00015BC4">
        <w:t>Consideration of the evidence</w:t>
      </w:r>
      <w:bookmarkEnd w:id="16"/>
    </w:p>
    <w:p w:rsidR="00FE01C5" w:rsidRPr="00015BC4" w:rsidRDefault="00ED7E46" w:rsidP="0094418C">
      <w:pPr>
        <w:pStyle w:val="4-SubsectionHeading"/>
        <w:rPr>
          <w:lang w:val="en-AU"/>
        </w:rPr>
      </w:pPr>
      <w:bookmarkStart w:id="18" w:name="_Toc40855734"/>
      <w:r w:rsidRPr="00015BC4">
        <w:rPr>
          <w:lang w:val="en-AU"/>
        </w:rPr>
        <w:t>Sponsor hearing</w:t>
      </w:r>
    </w:p>
    <w:p w:rsidR="00FE01C5" w:rsidRPr="00015BC4" w:rsidRDefault="00FE01C5" w:rsidP="00FE01C5">
      <w:pPr>
        <w:widowControl w:val="0"/>
        <w:numPr>
          <w:ilvl w:val="1"/>
          <w:numId w:val="1"/>
        </w:numPr>
        <w:spacing w:after="120"/>
        <w:jc w:val="both"/>
        <w:rPr>
          <w:rFonts w:asciiTheme="minorHAnsi" w:hAnsiTheme="minorHAnsi" w:cs="Arial"/>
          <w:bCs/>
          <w:snapToGrid w:val="0"/>
          <w:lang w:val="en-AU"/>
        </w:rPr>
      </w:pPr>
      <w:r w:rsidRPr="00015BC4">
        <w:rPr>
          <w:rFonts w:asciiTheme="minorHAnsi" w:hAnsiTheme="minorHAnsi" w:cs="Arial"/>
          <w:bCs/>
          <w:snapToGrid w:val="0"/>
          <w:lang w:val="en-AU"/>
        </w:rPr>
        <w:t>There was no hearing for this item.</w:t>
      </w:r>
    </w:p>
    <w:p w:rsidR="00ED7E46" w:rsidRPr="00015BC4" w:rsidRDefault="00ED7E46" w:rsidP="0094418C">
      <w:pPr>
        <w:pStyle w:val="4-SubsectionHeading"/>
        <w:rPr>
          <w:lang w:val="en-AU"/>
        </w:rPr>
      </w:pPr>
      <w:r w:rsidRPr="00015BC4">
        <w:rPr>
          <w:lang w:val="en-AU"/>
        </w:rPr>
        <w:t>Consumer comments</w:t>
      </w:r>
    </w:p>
    <w:p w:rsidR="00ED7E46" w:rsidRPr="00015BC4" w:rsidRDefault="00ED7E46" w:rsidP="00ED7E46">
      <w:pPr>
        <w:widowControl w:val="0"/>
        <w:numPr>
          <w:ilvl w:val="1"/>
          <w:numId w:val="1"/>
        </w:numPr>
        <w:spacing w:after="120"/>
        <w:jc w:val="both"/>
        <w:rPr>
          <w:rFonts w:asciiTheme="minorHAnsi" w:hAnsiTheme="minorHAnsi" w:cs="Arial"/>
          <w:bCs/>
          <w:snapToGrid w:val="0"/>
          <w:lang w:val="en-AU"/>
        </w:rPr>
      </w:pPr>
      <w:r w:rsidRPr="00015BC4">
        <w:rPr>
          <w:rFonts w:asciiTheme="minorHAnsi" w:hAnsiTheme="minorHAnsi" w:cs="Arial"/>
          <w:bCs/>
          <w:snapToGrid w:val="0"/>
          <w:lang w:val="en-AU"/>
        </w:rPr>
        <w:t>The PBAC noted and welcomed the input from individuals (</w:t>
      </w:r>
      <w:r w:rsidR="00DD06C0" w:rsidRPr="00015BC4">
        <w:rPr>
          <w:rFonts w:asciiTheme="minorHAnsi" w:hAnsiTheme="minorHAnsi" w:cs="Arial"/>
          <w:bCs/>
          <w:snapToGrid w:val="0"/>
          <w:lang w:val="en-AU"/>
        </w:rPr>
        <w:t>2</w:t>
      </w:r>
      <w:r w:rsidRPr="00015BC4">
        <w:rPr>
          <w:rFonts w:asciiTheme="minorHAnsi" w:hAnsiTheme="minorHAnsi" w:cs="Arial"/>
          <w:bCs/>
          <w:snapToGrid w:val="0"/>
          <w:lang w:val="en-AU"/>
        </w:rPr>
        <w:t xml:space="preserve">), and </w:t>
      </w:r>
      <w:r w:rsidR="00DD06C0" w:rsidRPr="00015BC4">
        <w:rPr>
          <w:rFonts w:asciiTheme="minorHAnsi" w:hAnsiTheme="minorHAnsi" w:cs="Arial"/>
          <w:bCs/>
          <w:snapToGrid w:val="0"/>
          <w:lang w:val="en-AU"/>
        </w:rPr>
        <w:t>the Australian and New Zealand Association of Neurologists</w:t>
      </w:r>
      <w:r w:rsidR="00471D8C" w:rsidRPr="00015BC4">
        <w:rPr>
          <w:rFonts w:asciiTheme="minorHAnsi" w:hAnsiTheme="minorHAnsi" w:cs="Arial"/>
          <w:bCs/>
          <w:snapToGrid w:val="0"/>
          <w:lang w:val="en-AU"/>
        </w:rPr>
        <w:t xml:space="preserve"> (ANZAN</w:t>
      </w:r>
      <w:r w:rsidRPr="00015BC4">
        <w:rPr>
          <w:rFonts w:asciiTheme="minorHAnsi" w:hAnsiTheme="minorHAnsi" w:cs="Arial"/>
          <w:bCs/>
          <w:snapToGrid w:val="0"/>
          <w:lang w:val="en-AU"/>
        </w:rPr>
        <w:t>) via the Consumer Comments facility on the PBS website. The comments</w:t>
      </w:r>
      <w:r w:rsidR="00471D8C" w:rsidRPr="00015BC4">
        <w:rPr>
          <w:rFonts w:asciiTheme="minorHAnsi" w:hAnsiTheme="minorHAnsi" w:cs="Arial"/>
          <w:bCs/>
          <w:snapToGrid w:val="0"/>
          <w:lang w:val="en-AU"/>
        </w:rPr>
        <w:t xml:space="preserve"> from ANZAN supported the listing of siponimod for patients with relapsing </w:t>
      </w:r>
      <w:r w:rsidR="00572248" w:rsidRPr="00015BC4">
        <w:rPr>
          <w:rFonts w:asciiTheme="minorHAnsi" w:hAnsiTheme="minorHAnsi" w:cs="Arial"/>
          <w:bCs/>
          <w:snapToGrid w:val="0"/>
          <w:lang w:val="en-AU"/>
        </w:rPr>
        <w:t xml:space="preserve">forms of </w:t>
      </w:r>
      <w:r w:rsidR="00471D8C" w:rsidRPr="00015BC4">
        <w:rPr>
          <w:rFonts w:asciiTheme="minorHAnsi" w:hAnsiTheme="minorHAnsi" w:cs="Arial"/>
          <w:bCs/>
          <w:snapToGrid w:val="0"/>
          <w:lang w:val="en-AU"/>
        </w:rPr>
        <w:t>MS with an EDSS of up to 6.5</w:t>
      </w:r>
      <w:r w:rsidR="00572248" w:rsidRPr="00015BC4">
        <w:rPr>
          <w:rFonts w:asciiTheme="minorHAnsi" w:hAnsiTheme="minorHAnsi" w:cs="Arial"/>
          <w:bCs/>
          <w:snapToGrid w:val="0"/>
          <w:lang w:val="en-AU"/>
        </w:rPr>
        <w:t>. ANZAN also noted that, while the safety profile of siponimod appears similar to that of fingolimod, the titrated starting dose with siponimod avoids the bradycardia (and consequent first dose monitoring) seen with fingolimod</w:t>
      </w:r>
      <w:r w:rsidR="00131C5E" w:rsidRPr="00015BC4">
        <w:rPr>
          <w:rFonts w:asciiTheme="minorHAnsi" w:hAnsiTheme="minorHAnsi" w:cs="Arial"/>
          <w:bCs/>
          <w:snapToGrid w:val="0"/>
          <w:lang w:val="en-AU"/>
        </w:rPr>
        <w:t>.</w:t>
      </w:r>
      <w:r w:rsidR="00471D8C" w:rsidRPr="00015BC4">
        <w:rPr>
          <w:rFonts w:asciiTheme="minorHAnsi" w:hAnsiTheme="minorHAnsi" w:cs="Arial"/>
          <w:bCs/>
          <w:snapToGrid w:val="0"/>
          <w:lang w:val="en-AU"/>
        </w:rPr>
        <w:t xml:space="preserve"> </w:t>
      </w:r>
      <w:r w:rsidR="00131C5E" w:rsidRPr="00015BC4">
        <w:rPr>
          <w:rFonts w:asciiTheme="minorHAnsi" w:hAnsiTheme="minorHAnsi" w:cs="Arial"/>
          <w:bCs/>
          <w:snapToGrid w:val="0"/>
          <w:lang w:val="en-AU"/>
        </w:rPr>
        <w:t xml:space="preserve">Comments from </w:t>
      </w:r>
      <w:r w:rsidR="00471D8C" w:rsidRPr="00015BC4">
        <w:rPr>
          <w:rFonts w:asciiTheme="minorHAnsi" w:hAnsiTheme="minorHAnsi" w:cs="Arial"/>
          <w:bCs/>
          <w:snapToGrid w:val="0"/>
          <w:lang w:val="en-AU"/>
        </w:rPr>
        <w:t>patients described the importance of having effective treatments for SPMS for when their condition progress</w:t>
      </w:r>
      <w:r w:rsidR="00131C5E" w:rsidRPr="00015BC4">
        <w:rPr>
          <w:rFonts w:asciiTheme="minorHAnsi" w:hAnsiTheme="minorHAnsi" w:cs="Arial"/>
          <w:bCs/>
          <w:snapToGrid w:val="0"/>
          <w:lang w:val="en-AU"/>
        </w:rPr>
        <w:t>es</w:t>
      </w:r>
      <w:r w:rsidR="00471D8C" w:rsidRPr="00015BC4">
        <w:rPr>
          <w:rFonts w:asciiTheme="minorHAnsi" w:hAnsiTheme="minorHAnsi" w:cs="Arial"/>
          <w:bCs/>
          <w:snapToGrid w:val="0"/>
          <w:lang w:val="en-AU"/>
        </w:rPr>
        <w:t xml:space="preserve">. </w:t>
      </w:r>
    </w:p>
    <w:p w:rsidR="008104C5" w:rsidRPr="00015BC4" w:rsidRDefault="008104C5" w:rsidP="008104C5">
      <w:pPr>
        <w:pStyle w:val="4-SubsectionHeading"/>
        <w:rPr>
          <w:lang w:val="en-AU"/>
        </w:rPr>
      </w:pPr>
      <w:r w:rsidRPr="00015BC4">
        <w:rPr>
          <w:lang w:val="en-AU"/>
        </w:rPr>
        <w:t>Clinical trials</w:t>
      </w:r>
      <w:bookmarkEnd w:id="17"/>
      <w:bookmarkEnd w:id="18"/>
    </w:p>
    <w:p w:rsidR="008104C5" w:rsidRPr="00015BC4" w:rsidRDefault="008104C5" w:rsidP="00C1362C">
      <w:pPr>
        <w:pStyle w:val="3-BodyText"/>
        <w:spacing w:after="0"/>
      </w:pPr>
      <w:r w:rsidRPr="00015BC4">
        <w:rPr>
          <w:snapToGrid/>
        </w:rPr>
        <w:t>The resubmission was based on the following trials:</w:t>
      </w:r>
    </w:p>
    <w:p w:rsidR="00836674" w:rsidRPr="00015BC4" w:rsidRDefault="00836674" w:rsidP="00212B4F">
      <w:pPr>
        <w:pStyle w:val="ListBullet"/>
        <w:numPr>
          <w:ilvl w:val="0"/>
          <w:numId w:val="11"/>
        </w:numPr>
        <w:jc w:val="both"/>
        <w:rPr>
          <w:lang w:val="en-AU"/>
        </w:rPr>
      </w:pPr>
      <w:r w:rsidRPr="00015BC4">
        <w:rPr>
          <w:snapToGrid w:val="0"/>
          <w:lang w:val="en-AU"/>
        </w:rPr>
        <w:t xml:space="preserve">EXPAND (N=1,651), a multicentre, randomised, double-blind, parallel-group, placebo controlled variable treatment duration study evaluating the efficacy and safety of siponimod in patients with SPMS. In the Core </w:t>
      </w:r>
      <w:r w:rsidR="007A4288" w:rsidRPr="00015BC4">
        <w:rPr>
          <w:snapToGrid w:val="0"/>
          <w:lang w:val="en-AU"/>
        </w:rPr>
        <w:t>p</w:t>
      </w:r>
      <w:r w:rsidRPr="00015BC4">
        <w:rPr>
          <w:snapToGrid w:val="0"/>
          <w:lang w:val="en-AU"/>
        </w:rPr>
        <w:t>art</w:t>
      </w:r>
      <w:r w:rsidR="007A4288" w:rsidRPr="00015BC4">
        <w:rPr>
          <w:snapToGrid w:val="0"/>
          <w:lang w:val="en-AU"/>
        </w:rPr>
        <w:t xml:space="preserve"> of the trial</w:t>
      </w:r>
      <w:r w:rsidRPr="00015BC4">
        <w:rPr>
          <w:snapToGrid w:val="0"/>
          <w:lang w:val="en-AU"/>
        </w:rPr>
        <w:t xml:space="preserve">, eligible patients were randomised (2:1) to receive either siponimod 2 mg or placebo. The duration of the Core </w:t>
      </w:r>
      <w:r w:rsidR="007A4288" w:rsidRPr="00015BC4">
        <w:rPr>
          <w:snapToGrid w:val="0"/>
          <w:lang w:val="en-AU"/>
        </w:rPr>
        <w:t>p</w:t>
      </w:r>
      <w:r w:rsidRPr="00015BC4">
        <w:rPr>
          <w:snapToGrid w:val="0"/>
          <w:lang w:val="en-AU"/>
        </w:rPr>
        <w:t>art was event-driven and terminated when a pre-defined number of confirmed disability progression (CDP) events had occurred. If patients had CDP confirmed over a 6 month period (6-month CDP) they could elect to stay on blinded treatment, or switch to open-label siponimod or another DMT. This trial was considered by the PBAC</w:t>
      </w:r>
      <w:r w:rsidR="0048431A" w:rsidRPr="00015BC4">
        <w:rPr>
          <w:snapToGrid w:val="0"/>
          <w:lang w:val="en-AU"/>
        </w:rPr>
        <w:t xml:space="preserve"> as part of</w:t>
      </w:r>
      <w:r w:rsidRPr="00015BC4">
        <w:rPr>
          <w:snapToGrid w:val="0"/>
          <w:lang w:val="en-AU"/>
        </w:rPr>
        <w:t xml:space="preserve"> the previous siponimod submission.</w:t>
      </w:r>
      <w:r w:rsidRPr="00015BC4">
        <w:rPr>
          <w:i/>
          <w:snapToGrid w:val="0"/>
          <w:lang w:val="en-AU"/>
        </w:rPr>
        <w:t xml:space="preserve"> </w:t>
      </w:r>
    </w:p>
    <w:p w:rsidR="00836674" w:rsidRPr="00015BC4" w:rsidRDefault="00836674" w:rsidP="00212B4F">
      <w:pPr>
        <w:pStyle w:val="ListBullet"/>
        <w:numPr>
          <w:ilvl w:val="0"/>
          <w:numId w:val="11"/>
        </w:numPr>
        <w:jc w:val="both"/>
        <w:rPr>
          <w:lang w:val="en-AU"/>
        </w:rPr>
      </w:pPr>
      <w:r w:rsidRPr="00015BC4">
        <w:rPr>
          <w:lang w:val="en-AU"/>
        </w:rPr>
        <w:t>BOLD, a randomised, double-blind, placebo controlled, multicentre, adaptive dose-ranging study (N=275) in patients with RRMS. This trial has not been previously considered by the PBAC.</w:t>
      </w:r>
    </w:p>
    <w:p w:rsidR="00836674" w:rsidRPr="00015BC4" w:rsidRDefault="00836674" w:rsidP="00212B4F">
      <w:pPr>
        <w:pStyle w:val="ListBullet"/>
        <w:numPr>
          <w:ilvl w:val="0"/>
          <w:numId w:val="11"/>
        </w:numPr>
        <w:jc w:val="both"/>
        <w:rPr>
          <w:lang w:val="en-AU"/>
        </w:rPr>
      </w:pPr>
      <w:r w:rsidRPr="00015BC4">
        <w:rPr>
          <w:lang w:val="en-AU"/>
        </w:rPr>
        <w:t xml:space="preserve">FREEDOMS I (N=1,272), a 24-month randomised, multicentre, placebo-controlled, parallel group study designed to evaluate the efficacy, safety, and tolerability of two doses of fingolimod (1.25 mg and 0.5 mg) compared with placebo. </w:t>
      </w:r>
    </w:p>
    <w:p w:rsidR="00836674" w:rsidRPr="00015BC4" w:rsidRDefault="00836674" w:rsidP="00212B4F">
      <w:pPr>
        <w:pStyle w:val="ListBullet"/>
        <w:numPr>
          <w:ilvl w:val="0"/>
          <w:numId w:val="11"/>
        </w:numPr>
        <w:spacing w:after="120"/>
        <w:jc w:val="both"/>
        <w:rPr>
          <w:lang w:val="en-AU"/>
        </w:rPr>
      </w:pPr>
      <w:r w:rsidRPr="00015BC4">
        <w:rPr>
          <w:lang w:val="en-AU"/>
        </w:rPr>
        <w:lastRenderedPageBreak/>
        <w:t xml:space="preserve">FREEDOMS II (N=1,083), similarly designed to FREEDOMS I except it was conducted predominantly in the USA (101 of 117 centres), incorporating FDA requirements that were not included in FREEDOMS I, such as Holter monitoring. </w:t>
      </w:r>
    </w:p>
    <w:p w:rsidR="00D56932" w:rsidRPr="00015BC4" w:rsidRDefault="00D56932" w:rsidP="00D56932">
      <w:pPr>
        <w:pStyle w:val="ListBullet"/>
        <w:spacing w:after="120"/>
        <w:ind w:left="851"/>
        <w:jc w:val="both"/>
        <w:rPr>
          <w:lang w:val="en-AU"/>
        </w:rPr>
      </w:pPr>
      <w:r w:rsidRPr="00015BC4">
        <w:rPr>
          <w:lang w:val="en-AU"/>
        </w:rPr>
        <w:t>Although not considered in the previous siponimod submission, FREEDOMS I and/or II have previously been considered in submissions for fingolimod (March 2011), alemtuzumab (July 2014) and cladribine (July 2018).</w:t>
      </w:r>
    </w:p>
    <w:p w:rsidR="008104C5" w:rsidRPr="00015BC4" w:rsidRDefault="008104C5" w:rsidP="008104C5">
      <w:pPr>
        <w:pStyle w:val="3-BodyText"/>
      </w:pPr>
      <w:r w:rsidRPr="00015BC4">
        <w:rPr>
          <w:snapToGrid/>
        </w:rPr>
        <w:t xml:space="preserve">Details of the trials presented in the </w:t>
      </w:r>
      <w:r w:rsidR="00735189" w:rsidRPr="00015BC4">
        <w:rPr>
          <w:snapToGrid/>
        </w:rPr>
        <w:t>re</w:t>
      </w:r>
      <w:r w:rsidRPr="00015BC4">
        <w:rPr>
          <w:snapToGrid/>
        </w:rPr>
        <w:t xml:space="preserve">submission are provided in </w:t>
      </w:r>
      <w:r w:rsidRPr="00015BC4">
        <w:t>Table 3.</w:t>
      </w:r>
      <w:r w:rsidRPr="00015BC4">
        <w:rPr>
          <w:snapToGrid/>
        </w:rPr>
        <w:t xml:space="preserve"> </w:t>
      </w:r>
    </w:p>
    <w:p w:rsidR="00836674" w:rsidRPr="00015BC4" w:rsidRDefault="008104C5" w:rsidP="00C1362C">
      <w:pPr>
        <w:pStyle w:val="TableFigureHeading"/>
        <w:widowControl w:val="0"/>
      </w:pPr>
      <w:bookmarkStart w:id="19" w:name="_Ref38095661"/>
      <w:r w:rsidRPr="00015BC4">
        <w:rPr>
          <w:rStyle w:val="CommentReference"/>
          <w:b/>
          <w:szCs w:val="24"/>
        </w:rPr>
        <w:t>Table</w:t>
      </w:r>
      <w:r w:rsidRPr="00015BC4">
        <w:rPr>
          <w:color w:val="000000" w:themeColor="text1"/>
        </w:rPr>
        <w:t xml:space="preserve"> </w:t>
      </w:r>
      <w:r w:rsidR="005D4204" w:rsidRPr="00015BC4">
        <w:rPr>
          <w:color w:val="000000" w:themeColor="text1"/>
        </w:rPr>
        <w:t>3</w:t>
      </w:r>
      <w:bookmarkEnd w:id="19"/>
      <w:r w:rsidRPr="00015BC4">
        <w:rPr>
          <w:rStyle w:val="CommentReference"/>
          <w:b/>
          <w:szCs w:val="24"/>
        </w:rPr>
        <w:t xml:space="preserve">: </w:t>
      </w:r>
      <w:r w:rsidR="00836674" w:rsidRPr="00015BC4">
        <w:rPr>
          <w:rStyle w:val="CommentReference"/>
          <w:b/>
          <w:szCs w:val="24"/>
        </w:rPr>
        <w:t xml:space="preserve">Trials and associated reports presented in the </w:t>
      </w:r>
      <w:r w:rsidR="00735189" w:rsidRPr="00015BC4">
        <w:rPr>
          <w:rStyle w:val="CommentReference"/>
          <w:b/>
          <w:szCs w:val="24"/>
        </w:rPr>
        <w:t>re</w:t>
      </w:r>
      <w:r w:rsidR="00836674" w:rsidRPr="00015BC4">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836674" w:rsidRPr="00015BC4" w:rsidTr="00A312B5">
        <w:trPr>
          <w:tblHeader/>
        </w:trPr>
        <w:tc>
          <w:tcPr>
            <w:tcW w:w="796" w:type="pct"/>
          </w:tcPr>
          <w:p w:rsidR="00836674" w:rsidRPr="00015BC4" w:rsidRDefault="00836674" w:rsidP="00C1362C">
            <w:pPr>
              <w:pStyle w:val="In-tableHeading"/>
              <w:widowControl w:val="0"/>
              <w:rPr>
                <w:lang w:val="en-AU"/>
              </w:rPr>
            </w:pPr>
            <w:r w:rsidRPr="00015BC4">
              <w:rPr>
                <w:lang w:val="en-AU"/>
              </w:rPr>
              <w:t>Trial ID</w:t>
            </w:r>
          </w:p>
        </w:tc>
        <w:tc>
          <w:tcPr>
            <w:tcW w:w="3027" w:type="pct"/>
          </w:tcPr>
          <w:p w:rsidR="00836674" w:rsidRPr="00015BC4" w:rsidRDefault="00836674" w:rsidP="00C1362C">
            <w:pPr>
              <w:pStyle w:val="In-tableHeading"/>
              <w:widowControl w:val="0"/>
              <w:rPr>
                <w:lang w:val="en-AU"/>
              </w:rPr>
            </w:pPr>
            <w:r w:rsidRPr="00015BC4">
              <w:rPr>
                <w:lang w:val="en-AU"/>
              </w:rPr>
              <w:t>Protocol title/ Publication title</w:t>
            </w:r>
          </w:p>
        </w:tc>
        <w:tc>
          <w:tcPr>
            <w:tcW w:w="1177" w:type="pct"/>
          </w:tcPr>
          <w:p w:rsidR="00836674" w:rsidRPr="00015BC4" w:rsidRDefault="00836674" w:rsidP="00C1362C">
            <w:pPr>
              <w:pStyle w:val="In-tableHeading"/>
              <w:widowControl w:val="0"/>
              <w:rPr>
                <w:lang w:val="en-AU"/>
              </w:rPr>
            </w:pPr>
            <w:r w:rsidRPr="00015BC4">
              <w:rPr>
                <w:lang w:val="en-AU"/>
              </w:rPr>
              <w:t>Publication citation</w:t>
            </w:r>
          </w:p>
        </w:tc>
      </w:tr>
      <w:tr w:rsidR="00836674" w:rsidRPr="00015BC4" w:rsidTr="00A312B5">
        <w:trPr>
          <w:trHeight w:val="314"/>
        </w:trPr>
        <w:tc>
          <w:tcPr>
            <w:tcW w:w="796" w:type="pct"/>
            <w:vMerge w:val="restart"/>
          </w:tcPr>
          <w:p w:rsidR="00836674" w:rsidRPr="00015BC4" w:rsidRDefault="00836674" w:rsidP="00C1362C">
            <w:pPr>
              <w:pStyle w:val="TableText0"/>
              <w:widowControl w:val="0"/>
            </w:pPr>
            <w:r w:rsidRPr="00015BC4">
              <w:t>STUDY 2304 (EXPAND)</w:t>
            </w:r>
          </w:p>
        </w:tc>
        <w:tc>
          <w:tcPr>
            <w:tcW w:w="3027" w:type="pct"/>
            <w:tcBorders>
              <w:bottom w:val="nil"/>
            </w:tcBorders>
          </w:tcPr>
          <w:p w:rsidR="00836674" w:rsidRPr="00015BC4" w:rsidRDefault="00836674" w:rsidP="00C1362C">
            <w:pPr>
              <w:pStyle w:val="PBACTableText"/>
              <w:keepNext/>
              <w:widowControl w:val="0"/>
              <w:rPr>
                <w:rFonts w:cs="Arial"/>
                <w:lang w:val="en-AU"/>
              </w:rPr>
            </w:pPr>
            <w:r w:rsidRPr="00015BC4">
              <w:rPr>
                <w:rFonts w:cs="Arial"/>
                <w:lang w:val="en-AU"/>
              </w:rPr>
              <w:t xml:space="preserve">CBAF312A2304. A multicenter, randomized, double-blind, parallel-group, placebo-controlled variable treatment duration study evaluating the efficacy and safety of Siponimod (BAF312) in patients with secondary progressive multiple sclerosis followed by extended treatment with open-label BAF312. </w:t>
            </w:r>
          </w:p>
        </w:tc>
        <w:tc>
          <w:tcPr>
            <w:tcW w:w="1177" w:type="pct"/>
            <w:tcBorders>
              <w:bottom w:val="nil"/>
            </w:tcBorders>
          </w:tcPr>
          <w:p w:rsidR="00836674" w:rsidRPr="00015BC4" w:rsidRDefault="00836674" w:rsidP="00C1362C">
            <w:pPr>
              <w:pStyle w:val="TableText0"/>
              <w:widowControl w:val="0"/>
            </w:pPr>
            <w:r w:rsidRPr="00015BC4">
              <w:rPr>
                <w:rFonts w:cs="Arial"/>
              </w:rPr>
              <w:t>21 February 2018</w:t>
            </w:r>
          </w:p>
        </w:tc>
      </w:tr>
      <w:tr w:rsidR="00836674" w:rsidRPr="00015BC4" w:rsidTr="00A312B5">
        <w:trPr>
          <w:trHeight w:val="314"/>
        </w:trPr>
        <w:tc>
          <w:tcPr>
            <w:tcW w:w="796" w:type="pct"/>
            <w:vMerge/>
          </w:tcPr>
          <w:p w:rsidR="00836674" w:rsidRPr="00015BC4" w:rsidRDefault="00836674" w:rsidP="00C1362C">
            <w:pPr>
              <w:pStyle w:val="TableText0"/>
              <w:widowControl w:val="0"/>
            </w:pPr>
          </w:p>
        </w:tc>
        <w:tc>
          <w:tcPr>
            <w:tcW w:w="3027" w:type="pct"/>
            <w:tcBorders>
              <w:top w:val="nil"/>
              <w:bottom w:val="nil"/>
              <w:right w:val="single" w:sz="4" w:space="0" w:color="auto"/>
            </w:tcBorders>
          </w:tcPr>
          <w:p w:rsidR="00836674" w:rsidRPr="00015BC4" w:rsidRDefault="00836674" w:rsidP="00C1362C">
            <w:pPr>
              <w:pStyle w:val="PBACTableText"/>
              <w:keepNext/>
              <w:widowControl w:val="0"/>
              <w:rPr>
                <w:rFonts w:cs="Arial"/>
                <w:lang w:val="en-AU"/>
              </w:rPr>
            </w:pPr>
            <w:r w:rsidRPr="00015BC4">
              <w:rPr>
                <w:rStyle w:val="EndnoteReference"/>
                <w:rFonts w:eastAsia="MS Gothic" w:cs="Arial"/>
                <w:lang w:val="en-AU"/>
              </w:rPr>
              <w:t xml:space="preserve">Kappos L, Bar-Or A, Cree B, Fox R, Giovannoni G, Gold R, et al. </w:t>
            </w:r>
            <w:r w:rsidRPr="00015BC4">
              <w:rPr>
                <w:rFonts w:cs="Arial"/>
                <w:lang w:val="en-AU"/>
              </w:rPr>
              <w:t xml:space="preserve">Siponimod versus placebo in secondary progressive multiple sclerosis (EXPAND): a double-blind, randomised, phase 3 study. </w:t>
            </w:r>
          </w:p>
        </w:tc>
        <w:tc>
          <w:tcPr>
            <w:tcW w:w="1177" w:type="pct"/>
            <w:tcBorders>
              <w:top w:val="nil"/>
              <w:left w:val="single" w:sz="4" w:space="0" w:color="auto"/>
              <w:bottom w:val="nil"/>
            </w:tcBorders>
          </w:tcPr>
          <w:p w:rsidR="00836674" w:rsidRPr="00015BC4" w:rsidRDefault="00836674" w:rsidP="00C1362C">
            <w:pPr>
              <w:pStyle w:val="TableText0"/>
              <w:widowControl w:val="0"/>
            </w:pPr>
            <w:r w:rsidRPr="00015BC4">
              <w:rPr>
                <w:i/>
              </w:rPr>
              <w:t xml:space="preserve">Lancet </w:t>
            </w:r>
            <w:r w:rsidRPr="00015BC4">
              <w:t>2018; 391: 1263-1273</w:t>
            </w:r>
          </w:p>
        </w:tc>
      </w:tr>
      <w:tr w:rsidR="00836674" w:rsidRPr="00015BC4" w:rsidTr="00A312B5">
        <w:tc>
          <w:tcPr>
            <w:tcW w:w="796" w:type="pct"/>
            <w:vMerge w:val="restart"/>
            <w:tcBorders>
              <w:top w:val="single" w:sz="4" w:space="0" w:color="auto"/>
            </w:tcBorders>
          </w:tcPr>
          <w:p w:rsidR="00836674" w:rsidRPr="00015BC4" w:rsidRDefault="00836674" w:rsidP="00C1362C">
            <w:pPr>
              <w:pStyle w:val="TableText0"/>
              <w:widowControl w:val="0"/>
            </w:pPr>
            <w:r w:rsidRPr="00015BC4">
              <w:t>STUDY 2201</w:t>
            </w:r>
          </w:p>
          <w:p w:rsidR="00836674" w:rsidRPr="00015BC4" w:rsidRDefault="00836674" w:rsidP="00C1362C">
            <w:pPr>
              <w:pStyle w:val="TableText0"/>
              <w:widowControl w:val="0"/>
            </w:pPr>
            <w:r w:rsidRPr="00015BC4">
              <w:t>(BOLD)</w:t>
            </w:r>
          </w:p>
        </w:tc>
        <w:tc>
          <w:tcPr>
            <w:tcW w:w="3027" w:type="pct"/>
            <w:tcBorders>
              <w:top w:val="single" w:sz="4" w:space="0" w:color="auto"/>
              <w:bottom w:val="nil"/>
            </w:tcBorders>
          </w:tcPr>
          <w:p w:rsidR="00836674" w:rsidRPr="00015BC4" w:rsidRDefault="00836674" w:rsidP="00C1362C">
            <w:pPr>
              <w:pStyle w:val="PBACTableText"/>
              <w:keepNext/>
              <w:widowControl w:val="0"/>
              <w:rPr>
                <w:lang w:val="en-AU"/>
              </w:rPr>
            </w:pPr>
            <w:r w:rsidRPr="00015BC4">
              <w:rPr>
                <w:lang w:val="en-AU"/>
              </w:rPr>
              <w:t>CBAF312A2201. A phase II, double-blind, randomized, multi-center, adaptive dose-ranging, placebo-controlled, parallel-group study evaluating safety, tolerability and efficacy on MRI lesion parameters and determining the dose response curve of BAF312 given orally once daily in patients with relapsing</w:t>
            </w:r>
            <w:r w:rsidR="00FD6787" w:rsidRPr="00015BC4">
              <w:rPr>
                <w:lang w:val="en-AU"/>
              </w:rPr>
              <w:t xml:space="preserve"> </w:t>
            </w:r>
            <w:r w:rsidRPr="00015BC4">
              <w:rPr>
                <w:lang w:val="en-AU"/>
              </w:rPr>
              <w:t xml:space="preserve">remitting multiple sclerosis. </w:t>
            </w:r>
          </w:p>
        </w:tc>
        <w:tc>
          <w:tcPr>
            <w:tcW w:w="1177" w:type="pct"/>
            <w:tcBorders>
              <w:top w:val="single" w:sz="4" w:space="0" w:color="auto"/>
              <w:bottom w:val="nil"/>
            </w:tcBorders>
          </w:tcPr>
          <w:p w:rsidR="00836674" w:rsidRPr="00015BC4" w:rsidRDefault="00836674" w:rsidP="00C1362C">
            <w:pPr>
              <w:pStyle w:val="TableText0"/>
              <w:widowControl w:val="0"/>
            </w:pPr>
            <w:r w:rsidRPr="00015BC4">
              <w:rPr>
                <w:i/>
              </w:rPr>
              <w:t xml:space="preserve">CSR </w:t>
            </w:r>
            <w:r w:rsidRPr="00015BC4">
              <w:t>2012</w:t>
            </w:r>
          </w:p>
        </w:tc>
      </w:tr>
      <w:tr w:rsidR="00836674" w:rsidRPr="00015BC4" w:rsidTr="00A312B5">
        <w:tc>
          <w:tcPr>
            <w:tcW w:w="796" w:type="pct"/>
            <w:vMerge/>
          </w:tcPr>
          <w:p w:rsidR="00836674" w:rsidRPr="00015BC4" w:rsidRDefault="00836674" w:rsidP="00C1362C">
            <w:pPr>
              <w:pStyle w:val="TableText0"/>
              <w:widowControl w:val="0"/>
            </w:pPr>
          </w:p>
        </w:tc>
        <w:tc>
          <w:tcPr>
            <w:tcW w:w="3027" w:type="pct"/>
            <w:tcBorders>
              <w:top w:val="nil"/>
              <w:bottom w:val="nil"/>
            </w:tcBorders>
          </w:tcPr>
          <w:p w:rsidR="00836674" w:rsidRPr="00015BC4" w:rsidRDefault="00836674" w:rsidP="00C1362C">
            <w:pPr>
              <w:pStyle w:val="PBACTableText"/>
              <w:keepNext/>
              <w:widowControl w:val="0"/>
              <w:rPr>
                <w:lang w:val="en-AU"/>
              </w:rPr>
            </w:pPr>
            <w:r w:rsidRPr="00015BC4">
              <w:rPr>
                <w:lang w:val="en-AU"/>
              </w:rPr>
              <w:t xml:space="preserve">Selmaj, K., et al.)  Siponimod for patients with relapsing-remitting multiple sclerosis (BOLD): an adaptive, dose-ranging, randomised, phase 2 study. </w:t>
            </w:r>
          </w:p>
        </w:tc>
        <w:tc>
          <w:tcPr>
            <w:tcW w:w="1177" w:type="pct"/>
            <w:tcBorders>
              <w:top w:val="nil"/>
              <w:bottom w:val="nil"/>
            </w:tcBorders>
          </w:tcPr>
          <w:p w:rsidR="00836674" w:rsidRPr="00015BC4" w:rsidRDefault="00836674" w:rsidP="00C1362C">
            <w:pPr>
              <w:pStyle w:val="TableText0"/>
              <w:widowControl w:val="0"/>
            </w:pPr>
            <w:r w:rsidRPr="00015BC4">
              <w:rPr>
                <w:i/>
              </w:rPr>
              <w:t>The Lancet Neurology</w:t>
            </w:r>
            <w:r w:rsidRPr="00015BC4">
              <w:t xml:space="preserve"> 2013; 12(8): 756-767</w:t>
            </w:r>
          </w:p>
        </w:tc>
      </w:tr>
      <w:tr w:rsidR="00836674" w:rsidRPr="00015BC4" w:rsidTr="00A312B5">
        <w:trPr>
          <w:trHeight w:val="92"/>
        </w:trPr>
        <w:tc>
          <w:tcPr>
            <w:tcW w:w="796" w:type="pct"/>
            <w:vMerge w:val="restart"/>
            <w:tcBorders>
              <w:top w:val="single" w:sz="4" w:space="0" w:color="auto"/>
            </w:tcBorders>
          </w:tcPr>
          <w:p w:rsidR="00836674" w:rsidRPr="00015BC4" w:rsidRDefault="00836674" w:rsidP="00C1362C">
            <w:pPr>
              <w:pStyle w:val="TableText0"/>
              <w:widowControl w:val="0"/>
            </w:pPr>
            <w:r w:rsidRPr="00015BC4">
              <w:t>FREEDOMS I</w:t>
            </w:r>
          </w:p>
        </w:tc>
        <w:tc>
          <w:tcPr>
            <w:tcW w:w="3027" w:type="pct"/>
            <w:tcBorders>
              <w:top w:val="single" w:sz="4" w:space="0" w:color="auto"/>
              <w:bottom w:val="nil"/>
            </w:tcBorders>
          </w:tcPr>
          <w:p w:rsidR="00836674" w:rsidRPr="00015BC4" w:rsidRDefault="00836674" w:rsidP="00C1362C">
            <w:pPr>
              <w:pStyle w:val="PBACTableText"/>
              <w:keepNext/>
              <w:widowControl w:val="0"/>
              <w:rPr>
                <w:lang w:val="en-AU"/>
              </w:rPr>
            </w:pPr>
            <w:r w:rsidRPr="00015BC4">
              <w:rPr>
                <w:lang w:val="en-AU"/>
              </w:rPr>
              <w:t xml:space="preserve">FTY720D2301. A 24-month double-blind, randomized, multicenter, placebo controlled, parallel-group study comparing the efficacy and safety of FTY720 1.25 mg and 0.5 mg administered orally once daily versus placebo in patients with relapsing-remitting multiple sclerosis. </w:t>
            </w:r>
          </w:p>
        </w:tc>
        <w:tc>
          <w:tcPr>
            <w:tcW w:w="1177" w:type="pct"/>
            <w:tcBorders>
              <w:top w:val="single" w:sz="4" w:space="0" w:color="auto"/>
              <w:bottom w:val="nil"/>
            </w:tcBorders>
          </w:tcPr>
          <w:p w:rsidR="00836674" w:rsidRPr="00015BC4" w:rsidRDefault="00836674" w:rsidP="00C1362C">
            <w:pPr>
              <w:pStyle w:val="TableText0"/>
              <w:widowControl w:val="0"/>
              <w:rPr>
                <w:i/>
                <w:szCs w:val="18"/>
              </w:rPr>
            </w:pPr>
            <w:r w:rsidRPr="00015BC4">
              <w:rPr>
                <w:i/>
                <w:szCs w:val="18"/>
              </w:rPr>
              <w:t>CSR</w:t>
            </w:r>
          </w:p>
        </w:tc>
      </w:tr>
      <w:tr w:rsidR="00836674" w:rsidRPr="00015BC4" w:rsidTr="00A312B5">
        <w:trPr>
          <w:trHeight w:val="92"/>
        </w:trPr>
        <w:tc>
          <w:tcPr>
            <w:tcW w:w="796" w:type="pct"/>
            <w:vMerge/>
          </w:tcPr>
          <w:p w:rsidR="00836674" w:rsidRPr="00015BC4" w:rsidRDefault="00836674" w:rsidP="00C1362C">
            <w:pPr>
              <w:pStyle w:val="TableText0"/>
              <w:widowControl w:val="0"/>
            </w:pPr>
          </w:p>
        </w:tc>
        <w:tc>
          <w:tcPr>
            <w:tcW w:w="3027" w:type="pct"/>
            <w:tcBorders>
              <w:top w:val="nil"/>
              <w:bottom w:val="nil"/>
            </w:tcBorders>
          </w:tcPr>
          <w:p w:rsidR="00836674" w:rsidRPr="00015BC4" w:rsidRDefault="00836674" w:rsidP="00C1362C">
            <w:pPr>
              <w:pStyle w:val="PBACTableText"/>
              <w:keepNext/>
              <w:widowControl w:val="0"/>
              <w:rPr>
                <w:lang w:val="en-AU"/>
              </w:rPr>
            </w:pPr>
            <w:r w:rsidRPr="00015BC4">
              <w:rPr>
                <w:lang w:val="en-AU"/>
              </w:rPr>
              <w:t>Kappos, L., et al. A placebo-controlled trial of oral fingolimod in relapsing multiple sclerosis.</w:t>
            </w:r>
          </w:p>
        </w:tc>
        <w:tc>
          <w:tcPr>
            <w:tcW w:w="1177" w:type="pct"/>
            <w:tcBorders>
              <w:top w:val="nil"/>
              <w:bottom w:val="nil"/>
            </w:tcBorders>
          </w:tcPr>
          <w:p w:rsidR="00836674" w:rsidRPr="00015BC4" w:rsidRDefault="00836674" w:rsidP="00C1362C">
            <w:pPr>
              <w:pStyle w:val="TableText0"/>
              <w:widowControl w:val="0"/>
              <w:rPr>
                <w:szCs w:val="18"/>
              </w:rPr>
            </w:pPr>
            <w:r w:rsidRPr="00015BC4">
              <w:rPr>
                <w:i/>
                <w:szCs w:val="18"/>
              </w:rPr>
              <w:t xml:space="preserve">NEJM </w:t>
            </w:r>
            <w:r w:rsidRPr="00015BC4">
              <w:rPr>
                <w:szCs w:val="18"/>
              </w:rPr>
              <w:t>2010; 362(5): 387-401.</w:t>
            </w:r>
          </w:p>
        </w:tc>
      </w:tr>
      <w:tr w:rsidR="00836674" w:rsidRPr="00015BC4" w:rsidTr="00A312B5">
        <w:tc>
          <w:tcPr>
            <w:tcW w:w="796" w:type="pct"/>
            <w:vMerge w:val="restart"/>
            <w:tcBorders>
              <w:top w:val="single" w:sz="4" w:space="0" w:color="auto"/>
            </w:tcBorders>
          </w:tcPr>
          <w:p w:rsidR="00836674" w:rsidRPr="00015BC4" w:rsidRDefault="00836674" w:rsidP="00C1362C">
            <w:pPr>
              <w:pStyle w:val="TableText0"/>
              <w:widowControl w:val="0"/>
            </w:pPr>
            <w:r w:rsidRPr="00015BC4">
              <w:t>FREEDOMS II</w:t>
            </w:r>
          </w:p>
        </w:tc>
        <w:tc>
          <w:tcPr>
            <w:tcW w:w="3027" w:type="pct"/>
            <w:tcBorders>
              <w:top w:val="single" w:sz="4" w:space="0" w:color="auto"/>
              <w:bottom w:val="nil"/>
            </w:tcBorders>
          </w:tcPr>
          <w:p w:rsidR="00836674" w:rsidRPr="00015BC4" w:rsidRDefault="00836674" w:rsidP="00C1362C">
            <w:pPr>
              <w:pStyle w:val="PBACTableText"/>
              <w:keepNext/>
              <w:widowControl w:val="0"/>
              <w:rPr>
                <w:lang w:val="en-AU"/>
              </w:rPr>
            </w:pPr>
            <w:r w:rsidRPr="00015BC4">
              <w:rPr>
                <w:lang w:val="en-AU"/>
              </w:rPr>
              <w:t xml:space="preserve">FTY720D2309. A 24-month double-blind, randomized, multicenter, placebo controlled, parallel-group study comparing the efficacy and safety of 0.5 mg and 1.25 mg fingolimod (FTY720) administered orally once daily versus placebo in patients with relapsing-remitting multiple sclerosis. </w:t>
            </w:r>
          </w:p>
        </w:tc>
        <w:tc>
          <w:tcPr>
            <w:tcW w:w="1177" w:type="pct"/>
            <w:tcBorders>
              <w:top w:val="single" w:sz="4" w:space="0" w:color="auto"/>
              <w:bottom w:val="nil"/>
            </w:tcBorders>
          </w:tcPr>
          <w:p w:rsidR="00836674" w:rsidRPr="00015BC4" w:rsidRDefault="00836674" w:rsidP="00C1362C">
            <w:pPr>
              <w:pStyle w:val="TableText0"/>
              <w:widowControl w:val="0"/>
              <w:rPr>
                <w:i/>
                <w:szCs w:val="18"/>
              </w:rPr>
            </w:pPr>
            <w:r w:rsidRPr="00015BC4">
              <w:t>January 2012</w:t>
            </w:r>
          </w:p>
        </w:tc>
      </w:tr>
      <w:tr w:rsidR="00836674" w:rsidRPr="00015BC4" w:rsidTr="00A312B5">
        <w:tc>
          <w:tcPr>
            <w:tcW w:w="796" w:type="pct"/>
            <w:vMerge/>
          </w:tcPr>
          <w:p w:rsidR="00836674" w:rsidRPr="00015BC4" w:rsidRDefault="00836674" w:rsidP="00C1362C">
            <w:pPr>
              <w:pStyle w:val="TableText0"/>
              <w:widowControl w:val="0"/>
            </w:pPr>
          </w:p>
        </w:tc>
        <w:tc>
          <w:tcPr>
            <w:tcW w:w="3027" w:type="pct"/>
            <w:tcBorders>
              <w:top w:val="nil"/>
              <w:bottom w:val="single" w:sz="4" w:space="0" w:color="auto"/>
            </w:tcBorders>
          </w:tcPr>
          <w:p w:rsidR="00836674" w:rsidRPr="00015BC4" w:rsidRDefault="00836674" w:rsidP="00C1362C">
            <w:pPr>
              <w:pStyle w:val="PBACTableText"/>
              <w:keepNext/>
              <w:widowControl w:val="0"/>
              <w:rPr>
                <w:lang w:val="en-AU"/>
              </w:rPr>
            </w:pPr>
            <w:r w:rsidRPr="00015BC4">
              <w:rPr>
                <w:lang w:val="en-AU"/>
              </w:rPr>
              <w:t>Calabresi, P. A., et al. Safety and efficacy of fingolimod in patients with relapsing-remitting multiple sclerosis (FREEDOMS II): a double-blind, randomised, placebo-controlled, phase 3 trial.</w:t>
            </w:r>
          </w:p>
        </w:tc>
        <w:tc>
          <w:tcPr>
            <w:tcW w:w="1177" w:type="pct"/>
            <w:tcBorders>
              <w:top w:val="nil"/>
              <w:bottom w:val="single" w:sz="4" w:space="0" w:color="auto"/>
            </w:tcBorders>
          </w:tcPr>
          <w:p w:rsidR="00836674" w:rsidRPr="00015BC4" w:rsidRDefault="00836674" w:rsidP="00C1362C">
            <w:pPr>
              <w:pStyle w:val="TableText0"/>
              <w:widowControl w:val="0"/>
              <w:rPr>
                <w:szCs w:val="18"/>
              </w:rPr>
            </w:pPr>
            <w:r w:rsidRPr="00015BC4">
              <w:rPr>
                <w:i/>
                <w:szCs w:val="18"/>
              </w:rPr>
              <w:t xml:space="preserve">The Lancet Neurology </w:t>
            </w:r>
            <w:r w:rsidRPr="00015BC4">
              <w:rPr>
                <w:szCs w:val="18"/>
              </w:rPr>
              <w:t>2014; 13 (6): 545-556</w:t>
            </w:r>
          </w:p>
        </w:tc>
      </w:tr>
    </w:tbl>
    <w:p w:rsidR="00836674" w:rsidRPr="00015BC4" w:rsidRDefault="00836674" w:rsidP="00C1362C">
      <w:pPr>
        <w:pStyle w:val="TableFigureFooter"/>
        <w:keepNext/>
        <w:spacing w:after="0"/>
        <w:rPr>
          <w:sz w:val="20"/>
          <w:lang w:val="en-AU"/>
        </w:rPr>
      </w:pPr>
      <w:r w:rsidRPr="00015BC4">
        <w:rPr>
          <w:lang w:val="en-AU"/>
        </w:rPr>
        <w:t>Source: Table 2.7, p52-57 and Table 2.8, pp 58-59 of the resubmission.</w:t>
      </w:r>
    </w:p>
    <w:p w:rsidR="008104C5" w:rsidRPr="00015BC4" w:rsidRDefault="008104C5" w:rsidP="008104C5">
      <w:pPr>
        <w:pStyle w:val="TableFigureFooter"/>
        <w:rPr>
          <w:sz w:val="20"/>
          <w:lang w:val="en-AU"/>
        </w:rPr>
      </w:pPr>
    </w:p>
    <w:p w:rsidR="008104C5" w:rsidRPr="00015BC4" w:rsidRDefault="008104C5" w:rsidP="008104C5">
      <w:pPr>
        <w:pStyle w:val="3-BodyText"/>
      </w:pPr>
      <w:r w:rsidRPr="00015BC4">
        <w:t xml:space="preserve">The key features of the included evidence are summarised in Table 4. </w:t>
      </w:r>
    </w:p>
    <w:p w:rsidR="00523CB9" w:rsidRPr="00015BC4" w:rsidRDefault="008104C5" w:rsidP="00523CB9">
      <w:pPr>
        <w:pStyle w:val="TableFigureHeading"/>
        <w:rPr>
          <w:rStyle w:val="CommentReference"/>
          <w:b/>
          <w:szCs w:val="24"/>
        </w:rPr>
      </w:pPr>
      <w:bookmarkStart w:id="20" w:name="_Ref38095701"/>
      <w:r w:rsidRPr="00015BC4">
        <w:rPr>
          <w:rStyle w:val="CommentReference"/>
          <w:b/>
          <w:szCs w:val="24"/>
        </w:rPr>
        <w:lastRenderedPageBreak/>
        <w:t>Table</w:t>
      </w:r>
      <w:r w:rsidRPr="00015BC4">
        <w:rPr>
          <w:color w:val="000000" w:themeColor="text1"/>
        </w:rPr>
        <w:t xml:space="preserve"> </w:t>
      </w:r>
      <w:r w:rsidR="005D4204" w:rsidRPr="00015BC4">
        <w:rPr>
          <w:color w:val="000000" w:themeColor="text1"/>
        </w:rPr>
        <w:t>4</w:t>
      </w:r>
      <w:bookmarkEnd w:id="20"/>
      <w:r w:rsidRPr="00015BC4">
        <w:rPr>
          <w:rStyle w:val="CommentReference"/>
          <w:b/>
          <w:szCs w:val="24"/>
        </w:rPr>
        <w:t>:</w:t>
      </w:r>
      <w:r w:rsidR="00523CB9" w:rsidRPr="00015BC4">
        <w:rPr>
          <w:rStyle w:val="CommentReference"/>
          <w:b/>
          <w:szCs w:val="24"/>
        </w:rPr>
        <w:t xml:space="preserve">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5"/>
        <w:gridCol w:w="830"/>
        <w:gridCol w:w="1389"/>
        <w:gridCol w:w="1100"/>
        <w:gridCol w:w="1518"/>
        <w:gridCol w:w="2905"/>
      </w:tblGrid>
      <w:tr w:rsidR="00523CB9" w:rsidRPr="00015BC4" w:rsidTr="00A312B5">
        <w:trPr>
          <w:tblHeader/>
        </w:trPr>
        <w:tc>
          <w:tcPr>
            <w:tcW w:w="707" w:type="pct"/>
            <w:shd w:val="clear" w:color="auto" w:fill="auto"/>
            <w:vAlign w:val="center"/>
          </w:tcPr>
          <w:p w:rsidR="00523CB9" w:rsidRPr="00015BC4" w:rsidRDefault="00523CB9" w:rsidP="00A312B5">
            <w:pPr>
              <w:pStyle w:val="In-tableHeading"/>
              <w:rPr>
                <w:lang w:val="en-AU"/>
              </w:rPr>
            </w:pPr>
            <w:r w:rsidRPr="00015BC4">
              <w:rPr>
                <w:lang w:val="en-AU"/>
              </w:rPr>
              <w:t>Trial</w:t>
            </w:r>
          </w:p>
        </w:tc>
        <w:tc>
          <w:tcPr>
            <w:tcW w:w="460" w:type="pct"/>
            <w:shd w:val="clear" w:color="auto" w:fill="auto"/>
            <w:vAlign w:val="center"/>
          </w:tcPr>
          <w:p w:rsidR="00523CB9" w:rsidRPr="00015BC4" w:rsidRDefault="00523CB9" w:rsidP="00A312B5">
            <w:pPr>
              <w:pStyle w:val="In-tableHeading"/>
              <w:jc w:val="center"/>
              <w:rPr>
                <w:lang w:val="en-AU"/>
              </w:rPr>
            </w:pPr>
            <w:r w:rsidRPr="00015BC4">
              <w:rPr>
                <w:lang w:val="en-AU"/>
              </w:rPr>
              <w:t>N</w:t>
            </w:r>
          </w:p>
        </w:tc>
        <w:tc>
          <w:tcPr>
            <w:tcW w:w="770" w:type="pct"/>
            <w:shd w:val="clear" w:color="auto" w:fill="auto"/>
            <w:vAlign w:val="center"/>
          </w:tcPr>
          <w:p w:rsidR="00523CB9" w:rsidRPr="00015BC4" w:rsidRDefault="00523CB9" w:rsidP="00A312B5">
            <w:pPr>
              <w:pStyle w:val="In-tableHeading"/>
              <w:jc w:val="center"/>
              <w:rPr>
                <w:lang w:val="en-AU"/>
              </w:rPr>
            </w:pPr>
            <w:r w:rsidRPr="00015BC4">
              <w:rPr>
                <w:lang w:val="en-AU"/>
              </w:rPr>
              <w:t>Design/ duration</w:t>
            </w:r>
          </w:p>
        </w:tc>
        <w:tc>
          <w:tcPr>
            <w:tcW w:w="610" w:type="pct"/>
            <w:shd w:val="clear" w:color="auto" w:fill="auto"/>
            <w:vAlign w:val="center"/>
          </w:tcPr>
          <w:p w:rsidR="00523CB9" w:rsidRPr="00015BC4" w:rsidRDefault="00523CB9" w:rsidP="00A312B5">
            <w:pPr>
              <w:pStyle w:val="In-tableHeading"/>
              <w:jc w:val="center"/>
              <w:rPr>
                <w:lang w:val="en-AU"/>
              </w:rPr>
            </w:pPr>
            <w:r w:rsidRPr="00015BC4">
              <w:rPr>
                <w:lang w:val="en-AU"/>
              </w:rPr>
              <w:t>Risk of bias</w:t>
            </w:r>
          </w:p>
        </w:tc>
        <w:tc>
          <w:tcPr>
            <w:tcW w:w="842" w:type="pct"/>
            <w:shd w:val="clear" w:color="auto" w:fill="auto"/>
            <w:vAlign w:val="center"/>
          </w:tcPr>
          <w:p w:rsidR="00523CB9" w:rsidRPr="00015BC4" w:rsidRDefault="00523CB9" w:rsidP="00A312B5">
            <w:pPr>
              <w:pStyle w:val="In-tableHeading"/>
              <w:jc w:val="center"/>
              <w:rPr>
                <w:lang w:val="en-AU"/>
              </w:rPr>
            </w:pPr>
            <w:r w:rsidRPr="00015BC4">
              <w:rPr>
                <w:lang w:val="en-AU"/>
              </w:rPr>
              <w:t>Patient population</w:t>
            </w:r>
          </w:p>
        </w:tc>
        <w:tc>
          <w:tcPr>
            <w:tcW w:w="1611" w:type="pct"/>
            <w:shd w:val="clear" w:color="auto" w:fill="auto"/>
            <w:vAlign w:val="center"/>
          </w:tcPr>
          <w:p w:rsidR="00523CB9" w:rsidRPr="00015BC4" w:rsidRDefault="00523CB9" w:rsidP="00A312B5">
            <w:pPr>
              <w:pStyle w:val="In-tableHeading"/>
              <w:jc w:val="center"/>
              <w:rPr>
                <w:lang w:val="en-AU"/>
              </w:rPr>
            </w:pPr>
            <w:r w:rsidRPr="00015BC4">
              <w:rPr>
                <w:lang w:val="en-AU"/>
              </w:rPr>
              <w:t>Outcomes</w:t>
            </w:r>
          </w:p>
        </w:tc>
      </w:tr>
      <w:tr w:rsidR="00523CB9" w:rsidRPr="00015BC4" w:rsidTr="00A312B5">
        <w:tc>
          <w:tcPr>
            <w:tcW w:w="5000" w:type="pct"/>
            <w:gridSpan w:val="6"/>
            <w:shd w:val="clear" w:color="auto" w:fill="auto"/>
            <w:vAlign w:val="center"/>
          </w:tcPr>
          <w:p w:rsidR="00523CB9" w:rsidRPr="00015BC4" w:rsidRDefault="00523CB9" w:rsidP="00A312B5">
            <w:pPr>
              <w:pStyle w:val="In-tableHeading"/>
              <w:rPr>
                <w:lang w:val="en-AU"/>
              </w:rPr>
            </w:pPr>
            <w:r w:rsidRPr="00015BC4">
              <w:rPr>
                <w:lang w:val="en-AU"/>
              </w:rPr>
              <w:t>Siponimod versus placebo</w:t>
            </w:r>
          </w:p>
        </w:tc>
      </w:tr>
      <w:tr w:rsidR="00523CB9" w:rsidRPr="00015BC4" w:rsidTr="00A312B5">
        <w:tc>
          <w:tcPr>
            <w:tcW w:w="707" w:type="pct"/>
            <w:shd w:val="clear" w:color="auto" w:fill="auto"/>
            <w:vAlign w:val="center"/>
          </w:tcPr>
          <w:p w:rsidR="00523CB9" w:rsidRPr="00015BC4" w:rsidRDefault="00523CB9" w:rsidP="00A312B5">
            <w:pPr>
              <w:pStyle w:val="TableText0"/>
            </w:pPr>
            <w:r w:rsidRPr="00015BC4">
              <w:t>EXPAND</w:t>
            </w:r>
          </w:p>
        </w:tc>
        <w:tc>
          <w:tcPr>
            <w:tcW w:w="460" w:type="pct"/>
            <w:shd w:val="clear" w:color="auto" w:fill="auto"/>
            <w:vAlign w:val="center"/>
          </w:tcPr>
          <w:p w:rsidR="00523CB9" w:rsidRPr="00015BC4" w:rsidRDefault="00523CB9" w:rsidP="00A312B5">
            <w:pPr>
              <w:pStyle w:val="TableText0"/>
              <w:jc w:val="center"/>
            </w:pPr>
            <w:r w:rsidRPr="00015BC4">
              <w:t>1651</w:t>
            </w:r>
          </w:p>
        </w:tc>
        <w:tc>
          <w:tcPr>
            <w:tcW w:w="770" w:type="pct"/>
            <w:shd w:val="clear" w:color="auto" w:fill="auto"/>
            <w:vAlign w:val="center"/>
          </w:tcPr>
          <w:p w:rsidR="00523CB9" w:rsidRPr="00015BC4" w:rsidRDefault="00523CB9" w:rsidP="00A312B5">
            <w:pPr>
              <w:pStyle w:val="TableText0"/>
              <w:jc w:val="center"/>
            </w:pPr>
            <w:r w:rsidRPr="00015BC4">
              <w:t>R, MC, DB 36 months</w:t>
            </w:r>
          </w:p>
        </w:tc>
        <w:tc>
          <w:tcPr>
            <w:tcW w:w="610" w:type="pct"/>
            <w:shd w:val="clear" w:color="auto" w:fill="auto"/>
            <w:vAlign w:val="center"/>
          </w:tcPr>
          <w:p w:rsidR="00523CB9" w:rsidRPr="00015BC4" w:rsidRDefault="00523CB9" w:rsidP="00A312B5">
            <w:pPr>
              <w:pStyle w:val="TableText0"/>
              <w:jc w:val="center"/>
            </w:pPr>
            <w:r w:rsidRPr="00015BC4">
              <w:t>Unknown</w:t>
            </w:r>
          </w:p>
        </w:tc>
        <w:tc>
          <w:tcPr>
            <w:tcW w:w="842" w:type="pct"/>
            <w:shd w:val="clear" w:color="auto" w:fill="auto"/>
            <w:vAlign w:val="center"/>
          </w:tcPr>
          <w:p w:rsidR="00523CB9" w:rsidRPr="00015BC4" w:rsidRDefault="00523CB9" w:rsidP="00A312B5">
            <w:pPr>
              <w:pStyle w:val="TableText0"/>
              <w:jc w:val="center"/>
            </w:pPr>
            <w:r w:rsidRPr="00015BC4">
              <w:t>SPMS</w:t>
            </w:r>
          </w:p>
        </w:tc>
        <w:tc>
          <w:tcPr>
            <w:tcW w:w="1611" w:type="pct"/>
            <w:shd w:val="clear" w:color="auto" w:fill="auto"/>
            <w:vAlign w:val="center"/>
          </w:tcPr>
          <w:p w:rsidR="00523CB9" w:rsidRPr="00015BC4" w:rsidRDefault="00523CB9" w:rsidP="00A312B5">
            <w:pPr>
              <w:pStyle w:val="TableText0"/>
              <w:jc w:val="center"/>
            </w:pPr>
            <w:r w:rsidRPr="00015BC4">
              <w:t>CDP-24; CDP 12; ARR; % relapse free</w:t>
            </w:r>
          </w:p>
        </w:tc>
      </w:tr>
      <w:tr w:rsidR="00523CB9" w:rsidRPr="00015BC4" w:rsidTr="00A312B5">
        <w:tc>
          <w:tcPr>
            <w:tcW w:w="707" w:type="pct"/>
            <w:shd w:val="clear" w:color="auto" w:fill="auto"/>
            <w:vAlign w:val="center"/>
          </w:tcPr>
          <w:p w:rsidR="00523CB9" w:rsidRPr="00015BC4" w:rsidRDefault="00523CB9" w:rsidP="00A312B5">
            <w:pPr>
              <w:pStyle w:val="TableText0"/>
            </w:pPr>
            <w:r w:rsidRPr="00015BC4">
              <w:t>BOLD</w:t>
            </w:r>
          </w:p>
        </w:tc>
        <w:tc>
          <w:tcPr>
            <w:tcW w:w="460" w:type="pct"/>
            <w:shd w:val="clear" w:color="auto" w:fill="auto"/>
            <w:vAlign w:val="center"/>
          </w:tcPr>
          <w:p w:rsidR="00523CB9" w:rsidRPr="00015BC4" w:rsidRDefault="00523CB9" w:rsidP="00A312B5">
            <w:pPr>
              <w:pStyle w:val="TableText0"/>
              <w:jc w:val="center"/>
            </w:pPr>
            <w:r w:rsidRPr="00015BC4">
              <w:t>275</w:t>
            </w:r>
          </w:p>
        </w:tc>
        <w:tc>
          <w:tcPr>
            <w:tcW w:w="770" w:type="pct"/>
            <w:shd w:val="clear" w:color="auto" w:fill="auto"/>
            <w:vAlign w:val="center"/>
          </w:tcPr>
          <w:p w:rsidR="00523CB9" w:rsidRPr="00015BC4" w:rsidRDefault="00523CB9" w:rsidP="00A312B5">
            <w:pPr>
              <w:pStyle w:val="TableText0"/>
              <w:jc w:val="center"/>
            </w:pPr>
            <w:r w:rsidRPr="00015BC4">
              <w:t>R, DB, MC AD, 6 months</w:t>
            </w:r>
          </w:p>
        </w:tc>
        <w:tc>
          <w:tcPr>
            <w:tcW w:w="610" w:type="pct"/>
            <w:shd w:val="clear" w:color="auto" w:fill="auto"/>
            <w:vAlign w:val="center"/>
          </w:tcPr>
          <w:p w:rsidR="00523CB9" w:rsidRPr="00015BC4" w:rsidRDefault="00523CB9" w:rsidP="00A312B5">
            <w:pPr>
              <w:pStyle w:val="TableText0"/>
              <w:jc w:val="center"/>
            </w:pPr>
            <w:r w:rsidRPr="00015BC4">
              <w:t>Low</w:t>
            </w:r>
          </w:p>
        </w:tc>
        <w:tc>
          <w:tcPr>
            <w:tcW w:w="842" w:type="pct"/>
            <w:shd w:val="clear" w:color="auto" w:fill="auto"/>
            <w:vAlign w:val="center"/>
          </w:tcPr>
          <w:p w:rsidR="00523CB9" w:rsidRPr="00015BC4" w:rsidRDefault="00523CB9" w:rsidP="00A312B5">
            <w:pPr>
              <w:pStyle w:val="TableText0"/>
              <w:jc w:val="center"/>
            </w:pPr>
            <w:r w:rsidRPr="00015BC4">
              <w:t>RRMS</w:t>
            </w:r>
          </w:p>
        </w:tc>
        <w:tc>
          <w:tcPr>
            <w:tcW w:w="1611" w:type="pct"/>
            <w:shd w:val="clear" w:color="auto" w:fill="auto"/>
            <w:vAlign w:val="center"/>
          </w:tcPr>
          <w:p w:rsidR="00523CB9" w:rsidRPr="00015BC4" w:rsidRDefault="00523CB9" w:rsidP="00A312B5">
            <w:pPr>
              <w:pStyle w:val="TableText0"/>
              <w:jc w:val="center"/>
            </w:pPr>
            <w:r w:rsidRPr="00015BC4">
              <w:t xml:space="preserve">CUAL-3 months: ARR; % relapse free </w:t>
            </w:r>
          </w:p>
        </w:tc>
      </w:tr>
      <w:tr w:rsidR="00523CB9" w:rsidRPr="00015BC4" w:rsidTr="00A312B5">
        <w:tc>
          <w:tcPr>
            <w:tcW w:w="5000" w:type="pct"/>
            <w:gridSpan w:val="6"/>
            <w:shd w:val="clear" w:color="auto" w:fill="auto"/>
            <w:vAlign w:val="center"/>
          </w:tcPr>
          <w:p w:rsidR="00523CB9" w:rsidRPr="00015BC4" w:rsidRDefault="00523CB9" w:rsidP="00A312B5">
            <w:pPr>
              <w:pStyle w:val="In-tableHeading"/>
              <w:rPr>
                <w:lang w:val="en-AU"/>
              </w:rPr>
            </w:pPr>
            <w:r w:rsidRPr="00015BC4">
              <w:rPr>
                <w:lang w:val="en-AU"/>
              </w:rPr>
              <w:t xml:space="preserve">Fingolimod vs placebo </w:t>
            </w:r>
          </w:p>
        </w:tc>
      </w:tr>
      <w:tr w:rsidR="00523CB9" w:rsidRPr="00015BC4" w:rsidTr="00A312B5">
        <w:trPr>
          <w:trHeight w:val="269"/>
        </w:trPr>
        <w:tc>
          <w:tcPr>
            <w:tcW w:w="707" w:type="pct"/>
            <w:shd w:val="clear" w:color="auto" w:fill="auto"/>
            <w:vAlign w:val="center"/>
          </w:tcPr>
          <w:p w:rsidR="00523CB9" w:rsidRPr="00015BC4" w:rsidRDefault="00523CB9" w:rsidP="00A312B5">
            <w:pPr>
              <w:pStyle w:val="TableText0"/>
            </w:pPr>
            <w:r w:rsidRPr="00015BC4">
              <w:t>FREEDOMS I</w:t>
            </w:r>
          </w:p>
        </w:tc>
        <w:tc>
          <w:tcPr>
            <w:tcW w:w="460" w:type="pct"/>
            <w:shd w:val="clear" w:color="auto" w:fill="auto"/>
            <w:vAlign w:val="center"/>
          </w:tcPr>
          <w:p w:rsidR="00523CB9" w:rsidRPr="00015BC4" w:rsidRDefault="00523CB9" w:rsidP="00A312B5">
            <w:pPr>
              <w:pStyle w:val="TableText0"/>
              <w:jc w:val="center"/>
            </w:pPr>
            <w:r w:rsidRPr="00015BC4">
              <w:t>1250</w:t>
            </w:r>
          </w:p>
        </w:tc>
        <w:tc>
          <w:tcPr>
            <w:tcW w:w="770" w:type="pct"/>
            <w:shd w:val="clear" w:color="auto" w:fill="auto"/>
            <w:vAlign w:val="center"/>
          </w:tcPr>
          <w:p w:rsidR="00523CB9" w:rsidRPr="00015BC4" w:rsidRDefault="00523CB9" w:rsidP="00A312B5">
            <w:pPr>
              <w:pStyle w:val="TableText0"/>
              <w:jc w:val="center"/>
            </w:pPr>
            <w:r w:rsidRPr="00015BC4">
              <w:t>R, MC 24 months</w:t>
            </w:r>
          </w:p>
        </w:tc>
        <w:tc>
          <w:tcPr>
            <w:tcW w:w="610" w:type="pct"/>
            <w:shd w:val="clear" w:color="auto" w:fill="auto"/>
            <w:vAlign w:val="center"/>
          </w:tcPr>
          <w:p w:rsidR="00523CB9" w:rsidRPr="00015BC4" w:rsidRDefault="00523CB9" w:rsidP="00A312B5">
            <w:pPr>
              <w:pStyle w:val="TableText0"/>
              <w:jc w:val="center"/>
            </w:pPr>
            <w:r w:rsidRPr="00015BC4">
              <w:t>High</w:t>
            </w:r>
          </w:p>
        </w:tc>
        <w:tc>
          <w:tcPr>
            <w:tcW w:w="842" w:type="pct"/>
            <w:shd w:val="clear" w:color="auto" w:fill="auto"/>
            <w:vAlign w:val="center"/>
          </w:tcPr>
          <w:p w:rsidR="00523CB9" w:rsidRPr="00015BC4" w:rsidRDefault="00523CB9" w:rsidP="00A312B5">
            <w:pPr>
              <w:pStyle w:val="TableText0"/>
              <w:jc w:val="center"/>
            </w:pPr>
            <w:r w:rsidRPr="00015BC4">
              <w:t>RRMS</w:t>
            </w:r>
          </w:p>
        </w:tc>
        <w:tc>
          <w:tcPr>
            <w:tcW w:w="1611" w:type="pct"/>
            <w:shd w:val="clear" w:color="auto" w:fill="auto"/>
            <w:vAlign w:val="center"/>
          </w:tcPr>
          <w:p w:rsidR="00523CB9" w:rsidRPr="00015BC4" w:rsidRDefault="00523CB9" w:rsidP="00A312B5">
            <w:pPr>
              <w:pStyle w:val="TableText0"/>
              <w:jc w:val="center"/>
            </w:pPr>
            <w:r w:rsidRPr="00015BC4">
              <w:t>CDP-24; CDP 12; ARR; % relapse free</w:t>
            </w:r>
          </w:p>
        </w:tc>
      </w:tr>
      <w:tr w:rsidR="00523CB9" w:rsidRPr="00015BC4" w:rsidTr="00A312B5">
        <w:tc>
          <w:tcPr>
            <w:tcW w:w="707" w:type="pct"/>
            <w:shd w:val="clear" w:color="auto" w:fill="auto"/>
            <w:vAlign w:val="center"/>
          </w:tcPr>
          <w:p w:rsidR="00523CB9" w:rsidRPr="00015BC4" w:rsidRDefault="00523CB9" w:rsidP="00A312B5">
            <w:pPr>
              <w:pStyle w:val="TableText0"/>
            </w:pPr>
            <w:r w:rsidRPr="00015BC4">
              <w:t>FREEDOMS II</w:t>
            </w:r>
          </w:p>
        </w:tc>
        <w:tc>
          <w:tcPr>
            <w:tcW w:w="460" w:type="pct"/>
            <w:shd w:val="clear" w:color="auto" w:fill="auto"/>
            <w:vAlign w:val="center"/>
          </w:tcPr>
          <w:p w:rsidR="00523CB9" w:rsidRPr="00015BC4" w:rsidRDefault="00523CB9" w:rsidP="00A312B5">
            <w:pPr>
              <w:pStyle w:val="TableText0"/>
              <w:jc w:val="center"/>
            </w:pPr>
            <w:r w:rsidRPr="00015BC4">
              <w:t>1083</w:t>
            </w:r>
          </w:p>
        </w:tc>
        <w:tc>
          <w:tcPr>
            <w:tcW w:w="770" w:type="pct"/>
            <w:shd w:val="clear" w:color="auto" w:fill="auto"/>
            <w:vAlign w:val="center"/>
          </w:tcPr>
          <w:p w:rsidR="00523CB9" w:rsidRPr="00015BC4" w:rsidRDefault="00523CB9" w:rsidP="00A312B5">
            <w:pPr>
              <w:pStyle w:val="TableText0"/>
              <w:jc w:val="center"/>
            </w:pPr>
            <w:r w:rsidRPr="00015BC4">
              <w:t xml:space="preserve">R, MC 24 months </w:t>
            </w:r>
          </w:p>
        </w:tc>
        <w:tc>
          <w:tcPr>
            <w:tcW w:w="610" w:type="pct"/>
            <w:shd w:val="clear" w:color="auto" w:fill="auto"/>
            <w:vAlign w:val="center"/>
          </w:tcPr>
          <w:p w:rsidR="00523CB9" w:rsidRPr="00015BC4" w:rsidRDefault="00523CB9" w:rsidP="00A312B5">
            <w:pPr>
              <w:pStyle w:val="TableText0"/>
              <w:jc w:val="center"/>
            </w:pPr>
            <w:r w:rsidRPr="00015BC4">
              <w:t>High</w:t>
            </w:r>
          </w:p>
        </w:tc>
        <w:tc>
          <w:tcPr>
            <w:tcW w:w="842" w:type="pct"/>
            <w:shd w:val="clear" w:color="auto" w:fill="auto"/>
            <w:vAlign w:val="center"/>
          </w:tcPr>
          <w:p w:rsidR="00523CB9" w:rsidRPr="00015BC4" w:rsidRDefault="00523CB9" w:rsidP="00A312B5">
            <w:pPr>
              <w:pStyle w:val="TableText0"/>
              <w:jc w:val="center"/>
            </w:pPr>
            <w:r w:rsidRPr="00015BC4">
              <w:t>RRMS</w:t>
            </w:r>
          </w:p>
        </w:tc>
        <w:tc>
          <w:tcPr>
            <w:tcW w:w="1611" w:type="pct"/>
            <w:shd w:val="clear" w:color="auto" w:fill="auto"/>
            <w:vAlign w:val="center"/>
          </w:tcPr>
          <w:p w:rsidR="00523CB9" w:rsidRPr="00015BC4" w:rsidRDefault="00523CB9" w:rsidP="00A312B5">
            <w:pPr>
              <w:pStyle w:val="TableText0"/>
              <w:jc w:val="center"/>
            </w:pPr>
            <w:r w:rsidRPr="00015BC4">
              <w:t>CDP-24; CDP 12; ARR; % relapse free</w:t>
            </w:r>
          </w:p>
        </w:tc>
      </w:tr>
    </w:tbl>
    <w:p w:rsidR="00523CB9" w:rsidRPr="00015BC4" w:rsidRDefault="00523CB9" w:rsidP="00523CB9">
      <w:pPr>
        <w:pStyle w:val="TableFigureFooter"/>
        <w:rPr>
          <w:lang w:val="en-AU"/>
        </w:rPr>
      </w:pPr>
      <w:r w:rsidRPr="00015BC4">
        <w:rPr>
          <w:lang w:val="en-AU"/>
        </w:rPr>
        <w:t>Source: pp61-114 of the resubmission.</w:t>
      </w:r>
    </w:p>
    <w:p w:rsidR="00523CB9" w:rsidRPr="00015BC4" w:rsidRDefault="00523CB9" w:rsidP="00523CB9">
      <w:pPr>
        <w:pStyle w:val="TableFigureFooter"/>
        <w:spacing w:after="0"/>
        <w:jc w:val="both"/>
        <w:rPr>
          <w:lang w:val="en-AU"/>
        </w:rPr>
      </w:pPr>
      <w:r w:rsidRPr="00015BC4">
        <w:rPr>
          <w:lang w:val="en-AU"/>
        </w:rPr>
        <w:t>AD = Adaptive dosing; ARR = annualised relapse rate. DB = double blind; CDP = confirmed disability progression CUAL = combined unique active lesions; MC = multi-centre; R = randomised; RRMS = relapsing remitting multiple sclerosis; SPMS = secondary progressive multiple sclerosis</w:t>
      </w:r>
    </w:p>
    <w:p w:rsidR="00D40D5E" w:rsidRPr="00015BC4" w:rsidRDefault="00D40D5E" w:rsidP="00523CB9">
      <w:pPr>
        <w:pStyle w:val="TableFigureFooter"/>
        <w:spacing w:after="0"/>
        <w:jc w:val="both"/>
        <w:rPr>
          <w:lang w:val="en-AU"/>
        </w:rPr>
      </w:pPr>
    </w:p>
    <w:p w:rsidR="00D40D5E" w:rsidRPr="00015BC4" w:rsidRDefault="00D40D5E" w:rsidP="00D40D5E">
      <w:pPr>
        <w:pStyle w:val="3-BodyText"/>
      </w:pPr>
      <w:r w:rsidRPr="00015BC4">
        <w:t>Enrolment in the EXPAND trial was predicated on investigator attestation that a patient had at least 6 months of progressive increase in disability in the absence of, or independent of, relapses; these attestations were not collected at several study sites. Clinical experts and the FDA noted that this left open the possibility for misclassification of some patients</w:t>
      </w:r>
      <w:r w:rsidR="00417B14" w:rsidRPr="00015BC4">
        <w:t>.</w:t>
      </w:r>
    </w:p>
    <w:p w:rsidR="00417B14" w:rsidRPr="00015BC4" w:rsidRDefault="00417B14" w:rsidP="00D40D5E">
      <w:pPr>
        <w:pStyle w:val="3-BodyText"/>
      </w:pPr>
      <w:r w:rsidRPr="00015BC4">
        <w:t>The</w:t>
      </w:r>
      <w:r w:rsidRPr="00015BC4">
        <w:rPr>
          <w:rFonts w:cs="Calibri"/>
          <w:iCs/>
          <w:color w:val="000000"/>
        </w:rPr>
        <w:t xml:space="preserve"> FDA’s evaluation of siponimod noted a “dual database access issue” that may have resulted in the unblinding of several participants</w:t>
      </w:r>
      <w:r w:rsidR="00FC6F4E" w:rsidRPr="00015BC4">
        <w:rPr>
          <w:rFonts w:cs="Calibri"/>
          <w:iCs/>
          <w:color w:val="000000"/>
        </w:rPr>
        <w:t xml:space="preserve">. The </w:t>
      </w:r>
      <w:r w:rsidR="008C3980">
        <w:rPr>
          <w:rFonts w:cs="Calibri"/>
          <w:iCs/>
          <w:color w:val="000000"/>
        </w:rPr>
        <w:t xml:space="preserve">PSCR </w:t>
      </w:r>
      <w:r w:rsidR="00FC6F4E" w:rsidRPr="00015BC4">
        <w:rPr>
          <w:rFonts w:cs="Calibri"/>
          <w:iCs/>
          <w:color w:val="000000"/>
        </w:rPr>
        <w:t>acknowledged this issue, and presented a sensitivity analysis which examined the impact of excluding all data from affected participants, which increased the hazard ratio for the 3-month CDP outcome from 0.79 (95% CI 0.65, 0.95) to 0.80 (95% CI 0.66, 0.97). The ESC was satisfied this ‘dual database access issue’ was unlikely to affect the validity of the outcomes of the EXPAND trial.</w:t>
      </w:r>
      <w:r w:rsidRPr="00015BC4">
        <w:rPr>
          <w:rFonts w:cs="Calibri"/>
          <w:iCs/>
          <w:color w:val="000000"/>
        </w:rPr>
        <w:t xml:space="preserve"> </w:t>
      </w:r>
    </w:p>
    <w:p w:rsidR="0065577A" w:rsidRPr="00015BC4" w:rsidRDefault="00D56932" w:rsidP="00D40D5E">
      <w:pPr>
        <w:pStyle w:val="3-BodyText"/>
        <w:rPr>
          <w:rFonts w:ascii="Arial Narrow" w:eastAsiaTheme="majorEastAsia" w:hAnsi="Arial Narrow" w:cstheme="majorBidi"/>
          <w:b/>
          <w:bCs/>
          <w:snapToGrid/>
          <w:sz w:val="20"/>
        </w:rPr>
      </w:pPr>
      <w:r w:rsidRPr="00015BC4">
        <w:t xml:space="preserve">Table </w:t>
      </w:r>
      <w:r w:rsidRPr="00015BC4">
        <w:rPr>
          <w:color w:val="000000" w:themeColor="text1"/>
        </w:rPr>
        <w:t>5</w:t>
      </w:r>
      <w:r w:rsidRPr="00015BC4">
        <w:t xml:space="preserve"> </w:t>
      </w:r>
      <w:r w:rsidR="0065577A" w:rsidRPr="00015BC4">
        <w:t>presents a brief summary of the trial populations</w:t>
      </w:r>
      <w:r w:rsidR="0065577A" w:rsidRPr="00015BC4">
        <w:rPr>
          <w:rFonts w:ascii="Arial Narrow" w:eastAsiaTheme="majorEastAsia" w:hAnsi="Arial Narrow" w:cstheme="majorBidi"/>
          <w:b/>
          <w:bCs/>
          <w:snapToGrid/>
          <w:sz w:val="20"/>
        </w:rPr>
        <w:t xml:space="preserve">. </w:t>
      </w:r>
    </w:p>
    <w:p w:rsidR="00C649B7" w:rsidRDefault="00C649B7">
      <w:pPr>
        <w:rPr>
          <w:rFonts w:ascii="Arial Narrow" w:eastAsiaTheme="majorEastAsia" w:hAnsi="Arial Narrow" w:cstheme="majorBidi"/>
          <w:b/>
          <w:bCs/>
          <w:sz w:val="20"/>
          <w:lang w:val="en-AU" w:eastAsia="en-AU"/>
        </w:rPr>
      </w:pPr>
      <w:bookmarkStart w:id="21" w:name="_Ref40693999"/>
      <w:r>
        <w:br w:type="page"/>
      </w:r>
    </w:p>
    <w:p w:rsidR="00D40D5E" w:rsidRPr="00015BC4" w:rsidRDefault="00EE62EB" w:rsidP="00EE62EB">
      <w:pPr>
        <w:pStyle w:val="TableFigureHeading"/>
      </w:pPr>
      <w:r w:rsidRPr="00015BC4">
        <w:lastRenderedPageBreak/>
        <w:t xml:space="preserve">Table </w:t>
      </w:r>
      <w:r w:rsidR="005D4204" w:rsidRPr="00015BC4">
        <w:rPr>
          <w:color w:val="000000" w:themeColor="text1"/>
        </w:rPr>
        <w:t>5</w:t>
      </w:r>
      <w:bookmarkEnd w:id="21"/>
      <w:r w:rsidRPr="00015BC4">
        <w:t>: Summary of trial populations</w:t>
      </w:r>
    </w:p>
    <w:tbl>
      <w:tblPr>
        <w:tblStyle w:val="TableGrid"/>
        <w:tblW w:w="0" w:type="auto"/>
        <w:tblCellMar>
          <w:left w:w="29" w:type="dxa"/>
          <w:right w:w="29" w:type="dxa"/>
        </w:tblCellMar>
        <w:tblLook w:val="04A0" w:firstRow="1" w:lastRow="0" w:firstColumn="1" w:lastColumn="0" w:noHBand="0" w:noVBand="1"/>
      </w:tblPr>
      <w:tblGrid>
        <w:gridCol w:w="2830"/>
        <w:gridCol w:w="2127"/>
        <w:gridCol w:w="1997"/>
        <w:gridCol w:w="1031"/>
        <w:gridCol w:w="1032"/>
      </w:tblGrid>
      <w:tr w:rsidR="004D2176" w:rsidRPr="00015BC4" w:rsidTr="00D56932">
        <w:trPr>
          <w:tblHeader/>
        </w:trPr>
        <w:tc>
          <w:tcPr>
            <w:tcW w:w="2830" w:type="dxa"/>
            <w:vMerge w:val="restart"/>
          </w:tcPr>
          <w:p w:rsidR="004D2176" w:rsidRPr="00015BC4" w:rsidRDefault="004D2176" w:rsidP="00AE6C55">
            <w:pPr>
              <w:pStyle w:val="TableFigureHeading"/>
              <w:keepNext w:val="0"/>
            </w:pPr>
          </w:p>
        </w:tc>
        <w:tc>
          <w:tcPr>
            <w:tcW w:w="2127" w:type="dxa"/>
            <w:vMerge w:val="restart"/>
            <w:vAlign w:val="center"/>
          </w:tcPr>
          <w:p w:rsidR="004D2176" w:rsidRPr="00015BC4" w:rsidRDefault="004D2176" w:rsidP="00AE6C55">
            <w:pPr>
              <w:pStyle w:val="TableFigureHeading"/>
              <w:jc w:val="center"/>
            </w:pPr>
            <w:r w:rsidRPr="00015BC4">
              <w:t>EXPAND</w:t>
            </w:r>
          </w:p>
        </w:tc>
        <w:tc>
          <w:tcPr>
            <w:tcW w:w="1997" w:type="dxa"/>
            <w:vMerge w:val="restart"/>
            <w:vAlign w:val="center"/>
          </w:tcPr>
          <w:p w:rsidR="004D2176" w:rsidRPr="00015BC4" w:rsidRDefault="004D2176" w:rsidP="00AE6C55">
            <w:pPr>
              <w:pStyle w:val="TableFigureHeading"/>
              <w:jc w:val="center"/>
            </w:pPr>
            <w:r w:rsidRPr="00015BC4">
              <w:t>BOLD</w:t>
            </w:r>
          </w:p>
        </w:tc>
        <w:tc>
          <w:tcPr>
            <w:tcW w:w="2063" w:type="dxa"/>
            <w:gridSpan w:val="2"/>
            <w:vAlign w:val="center"/>
          </w:tcPr>
          <w:p w:rsidR="004D2176" w:rsidRPr="00015BC4" w:rsidRDefault="004D2176" w:rsidP="00AE6C55">
            <w:pPr>
              <w:pStyle w:val="TableFigureHeading"/>
              <w:keepNext w:val="0"/>
              <w:jc w:val="center"/>
            </w:pPr>
            <w:r w:rsidRPr="00015BC4">
              <w:t>FREEDOMS</w:t>
            </w:r>
          </w:p>
        </w:tc>
      </w:tr>
      <w:tr w:rsidR="004D2176" w:rsidRPr="00015BC4" w:rsidTr="00D56932">
        <w:trPr>
          <w:tblHeader/>
        </w:trPr>
        <w:tc>
          <w:tcPr>
            <w:tcW w:w="2830" w:type="dxa"/>
            <w:vMerge/>
          </w:tcPr>
          <w:p w:rsidR="004D2176" w:rsidRPr="00015BC4" w:rsidRDefault="004D2176" w:rsidP="00AE6C55">
            <w:pPr>
              <w:pStyle w:val="TableFigureHeading"/>
              <w:keepNext w:val="0"/>
            </w:pPr>
          </w:p>
        </w:tc>
        <w:tc>
          <w:tcPr>
            <w:tcW w:w="2127" w:type="dxa"/>
            <w:vMerge/>
            <w:vAlign w:val="center"/>
          </w:tcPr>
          <w:p w:rsidR="004D2176" w:rsidRPr="00015BC4" w:rsidRDefault="004D2176" w:rsidP="00AE6C55">
            <w:pPr>
              <w:pStyle w:val="TableFigureHeading"/>
              <w:keepNext w:val="0"/>
              <w:jc w:val="center"/>
            </w:pPr>
          </w:p>
        </w:tc>
        <w:tc>
          <w:tcPr>
            <w:tcW w:w="1997" w:type="dxa"/>
            <w:vMerge/>
            <w:vAlign w:val="center"/>
          </w:tcPr>
          <w:p w:rsidR="004D2176" w:rsidRPr="00015BC4" w:rsidRDefault="004D2176" w:rsidP="00AE6C55">
            <w:pPr>
              <w:pStyle w:val="TableFigureHeading"/>
              <w:keepNext w:val="0"/>
              <w:jc w:val="center"/>
            </w:pPr>
          </w:p>
        </w:tc>
        <w:tc>
          <w:tcPr>
            <w:tcW w:w="1031" w:type="dxa"/>
            <w:vAlign w:val="center"/>
          </w:tcPr>
          <w:p w:rsidR="004D2176" w:rsidRPr="00015BC4" w:rsidRDefault="004D2176" w:rsidP="00AE6C55">
            <w:pPr>
              <w:pStyle w:val="TableFigureHeading"/>
              <w:keepNext w:val="0"/>
              <w:jc w:val="center"/>
            </w:pPr>
            <w:r w:rsidRPr="00015BC4">
              <w:t xml:space="preserve">I </w:t>
            </w:r>
          </w:p>
        </w:tc>
        <w:tc>
          <w:tcPr>
            <w:tcW w:w="1032" w:type="dxa"/>
          </w:tcPr>
          <w:p w:rsidR="004D2176" w:rsidRPr="00015BC4" w:rsidRDefault="004D2176" w:rsidP="00AE6C55">
            <w:pPr>
              <w:pStyle w:val="TableFigureHeading"/>
              <w:keepNext w:val="0"/>
              <w:jc w:val="center"/>
            </w:pPr>
            <w:r w:rsidRPr="00015BC4">
              <w:t>II</w:t>
            </w:r>
          </w:p>
        </w:tc>
      </w:tr>
      <w:tr w:rsidR="00D56932" w:rsidRPr="00015BC4" w:rsidTr="00B96C7A">
        <w:tc>
          <w:tcPr>
            <w:tcW w:w="9017" w:type="dxa"/>
            <w:gridSpan w:val="5"/>
          </w:tcPr>
          <w:p w:rsidR="00D56932" w:rsidRPr="00015BC4" w:rsidRDefault="00D56932" w:rsidP="00AE6C55">
            <w:pPr>
              <w:pStyle w:val="TableText0"/>
              <w:keepNext w:val="0"/>
              <w:rPr>
                <w:b/>
              </w:rPr>
            </w:pPr>
            <w:r w:rsidRPr="00015BC4">
              <w:rPr>
                <w:b/>
              </w:rPr>
              <w:t xml:space="preserve">Key inclusion criteria </w:t>
            </w:r>
          </w:p>
        </w:tc>
      </w:tr>
      <w:tr w:rsidR="001A700C" w:rsidRPr="00015BC4" w:rsidTr="00D56932">
        <w:tc>
          <w:tcPr>
            <w:tcW w:w="2830" w:type="dxa"/>
          </w:tcPr>
          <w:p w:rsidR="001A700C" w:rsidRPr="00015BC4" w:rsidRDefault="001A700C" w:rsidP="00AE6C55">
            <w:pPr>
              <w:pStyle w:val="TableText0"/>
              <w:keepNext w:val="0"/>
            </w:pPr>
            <w:r w:rsidRPr="00015BC4">
              <w:t>Age</w:t>
            </w:r>
          </w:p>
        </w:tc>
        <w:tc>
          <w:tcPr>
            <w:tcW w:w="2127" w:type="dxa"/>
            <w:vAlign w:val="center"/>
          </w:tcPr>
          <w:p w:rsidR="001A700C" w:rsidRPr="00015BC4" w:rsidRDefault="001A700C" w:rsidP="00D56932">
            <w:pPr>
              <w:pStyle w:val="TableText0"/>
              <w:keepNext w:val="0"/>
              <w:jc w:val="center"/>
            </w:pPr>
            <w:r w:rsidRPr="00015BC4">
              <w:t>Aged 18 to 60 years (inclusive)</w:t>
            </w:r>
          </w:p>
        </w:tc>
        <w:tc>
          <w:tcPr>
            <w:tcW w:w="4060" w:type="dxa"/>
            <w:gridSpan w:val="3"/>
            <w:vAlign w:val="center"/>
          </w:tcPr>
          <w:p w:rsidR="001A700C" w:rsidRPr="00015BC4" w:rsidRDefault="001A700C" w:rsidP="00D56932">
            <w:pPr>
              <w:pStyle w:val="TableText0"/>
              <w:keepNext w:val="0"/>
              <w:jc w:val="center"/>
            </w:pPr>
            <w:r w:rsidRPr="00015BC4">
              <w:t>Aged 18 to 55 years (inclusive)</w:t>
            </w:r>
          </w:p>
        </w:tc>
      </w:tr>
      <w:tr w:rsidR="001A700C" w:rsidRPr="00015BC4" w:rsidTr="00D56932">
        <w:tc>
          <w:tcPr>
            <w:tcW w:w="2830" w:type="dxa"/>
          </w:tcPr>
          <w:p w:rsidR="001A700C" w:rsidRPr="00015BC4" w:rsidRDefault="001A700C" w:rsidP="00AE6C55">
            <w:pPr>
              <w:pStyle w:val="TableText0"/>
              <w:keepNext w:val="0"/>
            </w:pPr>
            <w:r w:rsidRPr="00015BC4">
              <w:t xml:space="preserve">Disease </w:t>
            </w:r>
            <w:r w:rsidR="001B4C10" w:rsidRPr="00015BC4">
              <w:t>diagnosis</w:t>
            </w:r>
          </w:p>
        </w:tc>
        <w:tc>
          <w:tcPr>
            <w:tcW w:w="2127" w:type="dxa"/>
          </w:tcPr>
          <w:p w:rsidR="001A700C" w:rsidRPr="00015BC4" w:rsidRDefault="001A700C" w:rsidP="00AE6C55">
            <w:pPr>
              <w:pStyle w:val="PBACTableText"/>
              <w:rPr>
                <w:lang w:val="en-AU"/>
              </w:rPr>
            </w:pPr>
            <w:r w:rsidRPr="00015BC4">
              <w:rPr>
                <w:lang w:val="en-AU"/>
              </w:rPr>
              <w:t>Prior history of relapsing-remitting MS (RRMS) (2010 Revised McDonald criteria, Polman et al 2011).</w:t>
            </w:r>
          </w:p>
          <w:p w:rsidR="001A700C" w:rsidRPr="00015BC4" w:rsidRDefault="001A700C" w:rsidP="001B4C10">
            <w:pPr>
              <w:pStyle w:val="PBACTableText"/>
              <w:rPr>
                <w:b/>
                <w:lang w:val="en-AU"/>
              </w:rPr>
            </w:pPr>
            <w:r w:rsidRPr="00015BC4">
              <w:rPr>
                <w:lang w:val="en-AU"/>
              </w:rPr>
              <w:t>Secondary progressive course</w:t>
            </w:r>
            <w:r w:rsidR="00B50139" w:rsidRPr="00015BC4">
              <w:rPr>
                <w:vertAlign w:val="superscript"/>
                <w:lang w:val="en-AU"/>
              </w:rPr>
              <w:t>a</w:t>
            </w:r>
          </w:p>
        </w:tc>
        <w:tc>
          <w:tcPr>
            <w:tcW w:w="1997" w:type="dxa"/>
          </w:tcPr>
          <w:p w:rsidR="001A700C" w:rsidRPr="00015BC4" w:rsidRDefault="001A700C" w:rsidP="00EF7E32">
            <w:pPr>
              <w:pStyle w:val="PBACTableText"/>
              <w:rPr>
                <w:lang w:val="en-AU"/>
              </w:rPr>
            </w:pPr>
            <w:r w:rsidRPr="00015BC4">
              <w:rPr>
                <w:lang w:val="en-AU"/>
              </w:rPr>
              <w:t>A diagnosis of MS as defined by Revised McDonald criteria (Polman et al 2011)</w:t>
            </w:r>
          </w:p>
          <w:p w:rsidR="00EE62EB" w:rsidRPr="00015BC4" w:rsidRDefault="00EE62EB" w:rsidP="00EE62EB">
            <w:pPr>
              <w:pStyle w:val="PBACTableText"/>
              <w:spacing w:after="0"/>
              <w:rPr>
                <w:vertAlign w:val="superscript"/>
                <w:lang w:val="en-AU"/>
              </w:rPr>
            </w:pPr>
            <w:r w:rsidRPr="00015BC4">
              <w:rPr>
                <w:lang w:val="en-AU"/>
              </w:rPr>
              <w:t>A relapse remitting disease course</w:t>
            </w:r>
            <w:r w:rsidRPr="00015BC4">
              <w:rPr>
                <w:vertAlign w:val="superscript"/>
                <w:lang w:val="en-AU"/>
              </w:rPr>
              <w:t>c</w:t>
            </w:r>
          </w:p>
        </w:tc>
        <w:tc>
          <w:tcPr>
            <w:tcW w:w="2063" w:type="dxa"/>
            <w:gridSpan w:val="2"/>
          </w:tcPr>
          <w:p w:rsidR="001A700C" w:rsidRPr="00015BC4" w:rsidRDefault="001A700C" w:rsidP="00B50139">
            <w:pPr>
              <w:pStyle w:val="PBACTableText"/>
              <w:rPr>
                <w:lang w:val="en-AU"/>
              </w:rPr>
            </w:pPr>
            <w:r w:rsidRPr="00015BC4">
              <w:rPr>
                <w:lang w:val="en-AU"/>
              </w:rPr>
              <w:t>A diagnosis of MS as defined by McDonald criteria (2005)</w:t>
            </w:r>
          </w:p>
          <w:p w:rsidR="00B50139" w:rsidRPr="00015BC4" w:rsidRDefault="00B50139" w:rsidP="00B50139">
            <w:pPr>
              <w:pStyle w:val="PBACTableText"/>
              <w:rPr>
                <w:lang w:val="en-AU"/>
              </w:rPr>
            </w:pPr>
            <w:r w:rsidRPr="00015BC4">
              <w:rPr>
                <w:lang w:val="en-AU"/>
              </w:rPr>
              <w:t>A relapse remitting disease course</w:t>
            </w:r>
            <w:r w:rsidRPr="00015BC4">
              <w:rPr>
                <w:vertAlign w:val="superscript"/>
                <w:lang w:val="en-AU"/>
              </w:rPr>
              <w:t>d</w:t>
            </w:r>
          </w:p>
        </w:tc>
      </w:tr>
      <w:tr w:rsidR="001B4C10" w:rsidRPr="00015BC4" w:rsidTr="00D56932">
        <w:tc>
          <w:tcPr>
            <w:tcW w:w="2830" w:type="dxa"/>
          </w:tcPr>
          <w:p w:rsidR="001B4C10" w:rsidRPr="00015BC4" w:rsidRDefault="001B4C10" w:rsidP="00AE6C55">
            <w:pPr>
              <w:pStyle w:val="TableText0"/>
              <w:keepNext w:val="0"/>
            </w:pPr>
            <w:r w:rsidRPr="00015BC4">
              <w:t>EDSS</w:t>
            </w:r>
          </w:p>
        </w:tc>
        <w:tc>
          <w:tcPr>
            <w:tcW w:w="2127" w:type="dxa"/>
          </w:tcPr>
          <w:p w:rsidR="001B4C10" w:rsidRPr="00015BC4" w:rsidRDefault="001B4C10" w:rsidP="001B4C10">
            <w:pPr>
              <w:pStyle w:val="PBACTableText"/>
              <w:rPr>
                <w:vertAlign w:val="superscript"/>
                <w:lang w:val="en-AU"/>
              </w:rPr>
            </w:pPr>
            <w:r w:rsidRPr="00015BC4">
              <w:rPr>
                <w:lang w:val="en-AU"/>
              </w:rPr>
              <w:t>EDSS score of 3.0 to 6.5 (inclusive).</w:t>
            </w:r>
            <w:r w:rsidR="00EF7E32" w:rsidRPr="00015BC4">
              <w:rPr>
                <w:vertAlign w:val="superscript"/>
                <w:lang w:val="en-AU"/>
              </w:rPr>
              <w:t>b</w:t>
            </w:r>
          </w:p>
        </w:tc>
        <w:tc>
          <w:tcPr>
            <w:tcW w:w="1997" w:type="dxa"/>
          </w:tcPr>
          <w:p w:rsidR="001B4C10" w:rsidRPr="00015BC4" w:rsidRDefault="001B4C10" w:rsidP="00AE6C55">
            <w:pPr>
              <w:pStyle w:val="PBACTableText"/>
              <w:rPr>
                <w:lang w:val="en-AU"/>
              </w:rPr>
            </w:pPr>
            <w:r w:rsidRPr="00015BC4">
              <w:rPr>
                <w:lang w:val="en-AU"/>
              </w:rPr>
              <w:t>EDSS score of 0 to 5.0 (inclusive).</w:t>
            </w:r>
          </w:p>
        </w:tc>
        <w:tc>
          <w:tcPr>
            <w:tcW w:w="2063" w:type="dxa"/>
            <w:gridSpan w:val="2"/>
          </w:tcPr>
          <w:p w:rsidR="001B4C10" w:rsidRPr="00015BC4" w:rsidRDefault="001B4C10" w:rsidP="00EF7E32">
            <w:pPr>
              <w:pStyle w:val="PBACTableText"/>
              <w:spacing w:before="0"/>
              <w:rPr>
                <w:lang w:val="en-AU"/>
              </w:rPr>
            </w:pPr>
            <w:r w:rsidRPr="00015BC4">
              <w:rPr>
                <w:lang w:val="en-AU"/>
              </w:rPr>
              <w:t>EDSS score of 0 to 5.5 (inclusive).</w:t>
            </w:r>
          </w:p>
        </w:tc>
      </w:tr>
      <w:tr w:rsidR="001E6C9D" w:rsidRPr="00015BC4" w:rsidTr="00AE6C55">
        <w:tc>
          <w:tcPr>
            <w:tcW w:w="9017" w:type="dxa"/>
            <w:gridSpan w:val="5"/>
          </w:tcPr>
          <w:p w:rsidR="001E6C9D" w:rsidRPr="00015BC4" w:rsidRDefault="001E6C9D" w:rsidP="00AE6C55">
            <w:pPr>
              <w:pStyle w:val="TableText0"/>
              <w:keepNext w:val="0"/>
              <w:rPr>
                <w:b/>
                <w:vertAlign w:val="superscript"/>
              </w:rPr>
            </w:pPr>
            <w:r w:rsidRPr="00015BC4">
              <w:rPr>
                <w:b/>
              </w:rPr>
              <w:t>Key baseline characteristics</w:t>
            </w:r>
            <w:r w:rsidR="00EE62EB" w:rsidRPr="00015BC4">
              <w:rPr>
                <w:b/>
                <w:vertAlign w:val="superscript"/>
              </w:rPr>
              <w:t>e</w:t>
            </w:r>
          </w:p>
        </w:tc>
      </w:tr>
      <w:tr w:rsidR="001A700C" w:rsidRPr="00015BC4" w:rsidTr="00D56932">
        <w:tc>
          <w:tcPr>
            <w:tcW w:w="2830" w:type="dxa"/>
          </w:tcPr>
          <w:p w:rsidR="001A700C" w:rsidRPr="00015BC4" w:rsidRDefault="001B4C10" w:rsidP="00AE6C55">
            <w:pPr>
              <w:pStyle w:val="TableText0"/>
              <w:keepNext w:val="0"/>
              <w:rPr>
                <w:vertAlign w:val="superscript"/>
              </w:rPr>
            </w:pPr>
            <w:r w:rsidRPr="00015BC4">
              <w:t xml:space="preserve">Mean </w:t>
            </w:r>
            <w:r w:rsidR="001A700C" w:rsidRPr="00015BC4">
              <w:t>Age, years</w:t>
            </w:r>
          </w:p>
        </w:tc>
        <w:tc>
          <w:tcPr>
            <w:tcW w:w="2127" w:type="dxa"/>
          </w:tcPr>
          <w:p w:rsidR="001A700C" w:rsidRPr="00015BC4" w:rsidRDefault="001A700C" w:rsidP="001A700C">
            <w:pPr>
              <w:pStyle w:val="TableText0"/>
              <w:keepNext w:val="0"/>
              <w:jc w:val="center"/>
            </w:pPr>
            <w:r w:rsidRPr="00015BC4">
              <w:t>48.</w:t>
            </w:r>
            <w:r w:rsidR="001B4C10" w:rsidRPr="00015BC4">
              <w:t>0</w:t>
            </w:r>
          </w:p>
        </w:tc>
        <w:tc>
          <w:tcPr>
            <w:tcW w:w="1997" w:type="dxa"/>
          </w:tcPr>
          <w:p w:rsidR="001A700C" w:rsidRPr="00015BC4" w:rsidRDefault="001A700C" w:rsidP="001A700C">
            <w:pPr>
              <w:pStyle w:val="TableText0"/>
              <w:keepNext w:val="0"/>
              <w:jc w:val="center"/>
            </w:pPr>
            <w:r w:rsidRPr="00015BC4">
              <w:t>36.3</w:t>
            </w:r>
          </w:p>
        </w:tc>
        <w:tc>
          <w:tcPr>
            <w:tcW w:w="1031" w:type="dxa"/>
          </w:tcPr>
          <w:p w:rsidR="001A700C" w:rsidRPr="00015BC4" w:rsidRDefault="001B4C10" w:rsidP="001B4C10">
            <w:pPr>
              <w:pStyle w:val="TableText0"/>
              <w:keepNext w:val="0"/>
              <w:jc w:val="center"/>
            </w:pPr>
            <w:r w:rsidRPr="00015BC4">
              <w:t>36.9</w:t>
            </w:r>
          </w:p>
        </w:tc>
        <w:tc>
          <w:tcPr>
            <w:tcW w:w="1032" w:type="dxa"/>
          </w:tcPr>
          <w:p w:rsidR="001A700C" w:rsidRPr="00015BC4" w:rsidRDefault="001B4C10" w:rsidP="001B4C10">
            <w:pPr>
              <w:pStyle w:val="TableText0"/>
              <w:keepNext w:val="0"/>
              <w:jc w:val="center"/>
            </w:pPr>
            <w:r w:rsidRPr="00015BC4">
              <w:t>40.4</w:t>
            </w:r>
          </w:p>
        </w:tc>
      </w:tr>
      <w:tr w:rsidR="001A700C" w:rsidRPr="00015BC4" w:rsidTr="00D56932">
        <w:tc>
          <w:tcPr>
            <w:tcW w:w="2830" w:type="dxa"/>
          </w:tcPr>
          <w:p w:rsidR="001A700C" w:rsidRPr="00015BC4" w:rsidRDefault="001B4C10" w:rsidP="00D56932">
            <w:pPr>
              <w:pStyle w:val="TableText0"/>
              <w:keepNext w:val="0"/>
            </w:pPr>
            <w:r w:rsidRPr="00015BC4">
              <w:t xml:space="preserve">Mean time since MS diagnosis, years </w:t>
            </w:r>
          </w:p>
        </w:tc>
        <w:tc>
          <w:tcPr>
            <w:tcW w:w="2127" w:type="dxa"/>
          </w:tcPr>
          <w:p w:rsidR="001A700C" w:rsidRPr="00015BC4" w:rsidRDefault="001B4C10" w:rsidP="001B4C10">
            <w:pPr>
              <w:pStyle w:val="TableText0"/>
              <w:keepNext w:val="0"/>
              <w:jc w:val="center"/>
            </w:pPr>
            <w:r w:rsidRPr="00015BC4">
              <w:t>12.</w:t>
            </w:r>
            <w:r w:rsidR="001E6C9D" w:rsidRPr="00015BC4">
              <w:t>6</w:t>
            </w:r>
          </w:p>
        </w:tc>
        <w:tc>
          <w:tcPr>
            <w:tcW w:w="1997" w:type="dxa"/>
          </w:tcPr>
          <w:p w:rsidR="001A700C" w:rsidRPr="00015BC4" w:rsidRDefault="001E6C9D" w:rsidP="001E6C9D">
            <w:pPr>
              <w:pStyle w:val="TableText0"/>
              <w:keepNext w:val="0"/>
              <w:jc w:val="center"/>
            </w:pPr>
            <w:r w:rsidRPr="00015BC4">
              <w:t>4.4</w:t>
            </w:r>
          </w:p>
        </w:tc>
        <w:tc>
          <w:tcPr>
            <w:tcW w:w="1031" w:type="dxa"/>
          </w:tcPr>
          <w:p w:rsidR="001A700C" w:rsidRPr="00015BC4" w:rsidRDefault="001E6C9D" w:rsidP="001E6C9D">
            <w:pPr>
              <w:pStyle w:val="TableText0"/>
              <w:keepNext w:val="0"/>
              <w:jc w:val="center"/>
            </w:pPr>
            <w:r w:rsidRPr="00015BC4">
              <w:t>5.0</w:t>
            </w:r>
          </w:p>
        </w:tc>
        <w:tc>
          <w:tcPr>
            <w:tcW w:w="1032" w:type="dxa"/>
          </w:tcPr>
          <w:p w:rsidR="001A700C" w:rsidRPr="00015BC4" w:rsidRDefault="001E6C9D" w:rsidP="001E6C9D">
            <w:pPr>
              <w:pStyle w:val="TableText0"/>
              <w:keepNext w:val="0"/>
              <w:jc w:val="center"/>
            </w:pPr>
            <w:r w:rsidRPr="00015BC4">
              <w:t>6.1</w:t>
            </w:r>
          </w:p>
        </w:tc>
      </w:tr>
      <w:tr w:rsidR="001A700C" w:rsidRPr="00015BC4" w:rsidTr="00D56932">
        <w:tc>
          <w:tcPr>
            <w:tcW w:w="2830" w:type="dxa"/>
          </w:tcPr>
          <w:p w:rsidR="001A700C" w:rsidRPr="00015BC4" w:rsidRDefault="001E6C9D" w:rsidP="00AE6C55">
            <w:pPr>
              <w:pStyle w:val="TableText0"/>
              <w:keepNext w:val="0"/>
            </w:pPr>
            <w:r w:rsidRPr="00015BC4">
              <w:t xml:space="preserve">Mean relapses in last 2 years </w:t>
            </w:r>
          </w:p>
        </w:tc>
        <w:tc>
          <w:tcPr>
            <w:tcW w:w="2127" w:type="dxa"/>
          </w:tcPr>
          <w:p w:rsidR="001A700C" w:rsidRPr="00015BC4" w:rsidRDefault="001E6C9D" w:rsidP="001E6C9D">
            <w:pPr>
              <w:pStyle w:val="TableText0"/>
              <w:keepNext w:val="0"/>
              <w:jc w:val="center"/>
            </w:pPr>
            <w:r w:rsidRPr="00015BC4">
              <w:t>0.7</w:t>
            </w:r>
          </w:p>
        </w:tc>
        <w:tc>
          <w:tcPr>
            <w:tcW w:w="1997" w:type="dxa"/>
          </w:tcPr>
          <w:p w:rsidR="001A700C" w:rsidRPr="00015BC4" w:rsidRDefault="001E6C9D" w:rsidP="001E6C9D">
            <w:pPr>
              <w:pStyle w:val="TableText0"/>
              <w:keepNext w:val="0"/>
              <w:jc w:val="center"/>
            </w:pPr>
            <w:r w:rsidRPr="00015BC4">
              <w:t>2.0</w:t>
            </w:r>
          </w:p>
        </w:tc>
        <w:tc>
          <w:tcPr>
            <w:tcW w:w="1031" w:type="dxa"/>
          </w:tcPr>
          <w:p w:rsidR="001A700C" w:rsidRPr="00015BC4" w:rsidRDefault="001E6C9D" w:rsidP="001E6C9D">
            <w:pPr>
              <w:pStyle w:val="TableText0"/>
              <w:keepNext w:val="0"/>
              <w:jc w:val="center"/>
            </w:pPr>
            <w:r w:rsidRPr="00015BC4">
              <w:t>2.1</w:t>
            </w:r>
          </w:p>
        </w:tc>
        <w:tc>
          <w:tcPr>
            <w:tcW w:w="1032" w:type="dxa"/>
          </w:tcPr>
          <w:p w:rsidR="001A700C" w:rsidRPr="00015BC4" w:rsidRDefault="001E6C9D" w:rsidP="001E6C9D">
            <w:pPr>
              <w:pStyle w:val="TableText0"/>
              <w:keepNext w:val="0"/>
              <w:jc w:val="center"/>
            </w:pPr>
            <w:r w:rsidRPr="00015BC4">
              <w:t>2.2</w:t>
            </w:r>
          </w:p>
        </w:tc>
      </w:tr>
      <w:tr w:rsidR="001A700C" w:rsidRPr="00015BC4" w:rsidTr="00D56932">
        <w:tc>
          <w:tcPr>
            <w:tcW w:w="2830" w:type="dxa"/>
          </w:tcPr>
          <w:p w:rsidR="001A700C" w:rsidRPr="00015BC4" w:rsidRDefault="001E6C9D" w:rsidP="00AE6C55">
            <w:pPr>
              <w:pStyle w:val="TableText0"/>
              <w:keepNext w:val="0"/>
            </w:pPr>
            <w:r w:rsidRPr="00015BC4">
              <w:t>Mean EDSS</w:t>
            </w:r>
          </w:p>
        </w:tc>
        <w:tc>
          <w:tcPr>
            <w:tcW w:w="2127" w:type="dxa"/>
          </w:tcPr>
          <w:p w:rsidR="001A700C" w:rsidRPr="00015BC4" w:rsidRDefault="001E6C9D" w:rsidP="001E6C9D">
            <w:pPr>
              <w:pStyle w:val="TableText0"/>
              <w:keepNext w:val="0"/>
              <w:jc w:val="center"/>
            </w:pPr>
            <w:r w:rsidRPr="00015BC4">
              <w:t>5.4</w:t>
            </w:r>
          </w:p>
        </w:tc>
        <w:tc>
          <w:tcPr>
            <w:tcW w:w="1997" w:type="dxa"/>
          </w:tcPr>
          <w:p w:rsidR="001A700C" w:rsidRPr="00015BC4" w:rsidRDefault="001E6C9D" w:rsidP="001E6C9D">
            <w:pPr>
              <w:pStyle w:val="TableText0"/>
              <w:keepNext w:val="0"/>
              <w:jc w:val="center"/>
            </w:pPr>
            <w:r w:rsidRPr="00015BC4">
              <w:t>2.4</w:t>
            </w:r>
          </w:p>
        </w:tc>
        <w:tc>
          <w:tcPr>
            <w:tcW w:w="1031" w:type="dxa"/>
          </w:tcPr>
          <w:p w:rsidR="001A700C" w:rsidRPr="00015BC4" w:rsidRDefault="001E6C9D" w:rsidP="001E6C9D">
            <w:pPr>
              <w:pStyle w:val="TableText0"/>
              <w:keepNext w:val="0"/>
              <w:jc w:val="center"/>
            </w:pPr>
            <w:r w:rsidRPr="00015BC4">
              <w:t>2.4</w:t>
            </w:r>
          </w:p>
        </w:tc>
        <w:tc>
          <w:tcPr>
            <w:tcW w:w="1032" w:type="dxa"/>
          </w:tcPr>
          <w:p w:rsidR="001A700C" w:rsidRPr="00015BC4" w:rsidRDefault="001E6C9D" w:rsidP="001E6C9D">
            <w:pPr>
              <w:pStyle w:val="TableText0"/>
              <w:keepNext w:val="0"/>
              <w:jc w:val="center"/>
            </w:pPr>
            <w:r w:rsidRPr="00015BC4">
              <w:t>2.4</w:t>
            </w:r>
          </w:p>
        </w:tc>
      </w:tr>
      <w:tr w:rsidR="00EE62EB" w:rsidRPr="00015BC4" w:rsidTr="00AE6C55">
        <w:tc>
          <w:tcPr>
            <w:tcW w:w="9017" w:type="dxa"/>
            <w:gridSpan w:val="5"/>
          </w:tcPr>
          <w:p w:rsidR="00EE62EB" w:rsidRPr="00015BC4" w:rsidRDefault="00EE62EB" w:rsidP="00EE62EB">
            <w:pPr>
              <w:pStyle w:val="TableText0"/>
              <w:keepNext w:val="0"/>
              <w:rPr>
                <w:b/>
              </w:rPr>
            </w:pPr>
            <w:r w:rsidRPr="00015BC4">
              <w:rPr>
                <w:b/>
              </w:rPr>
              <w:t>Trial duration</w:t>
            </w:r>
          </w:p>
        </w:tc>
      </w:tr>
      <w:tr w:rsidR="00A603FC" w:rsidRPr="00015BC4" w:rsidTr="00D56932">
        <w:tc>
          <w:tcPr>
            <w:tcW w:w="2830" w:type="dxa"/>
          </w:tcPr>
          <w:p w:rsidR="00A603FC" w:rsidRPr="00015BC4" w:rsidRDefault="00A603FC" w:rsidP="00AE6C55">
            <w:pPr>
              <w:pStyle w:val="TableText0"/>
              <w:keepNext w:val="0"/>
            </w:pPr>
            <w:r w:rsidRPr="00015BC4">
              <w:t>Max follow-up</w:t>
            </w:r>
            <w:r w:rsidR="00B50139" w:rsidRPr="00015BC4">
              <w:t>, months</w:t>
            </w:r>
            <w:r w:rsidRPr="00015BC4">
              <w:t xml:space="preserve"> for outcomes included in indirect comparison</w:t>
            </w:r>
          </w:p>
        </w:tc>
        <w:tc>
          <w:tcPr>
            <w:tcW w:w="2127" w:type="dxa"/>
            <w:vAlign w:val="center"/>
          </w:tcPr>
          <w:p w:rsidR="00A603FC" w:rsidRPr="00015BC4" w:rsidRDefault="00A603FC" w:rsidP="00D56932">
            <w:pPr>
              <w:pStyle w:val="TableText0"/>
              <w:keepNext w:val="0"/>
              <w:jc w:val="center"/>
            </w:pPr>
            <w:r w:rsidRPr="00015BC4">
              <w:t>36</w:t>
            </w:r>
          </w:p>
        </w:tc>
        <w:tc>
          <w:tcPr>
            <w:tcW w:w="1997" w:type="dxa"/>
            <w:vAlign w:val="center"/>
          </w:tcPr>
          <w:p w:rsidR="00A603FC" w:rsidRPr="00015BC4" w:rsidRDefault="00A603FC" w:rsidP="00D56932">
            <w:pPr>
              <w:pStyle w:val="TableText0"/>
              <w:keepNext w:val="0"/>
              <w:jc w:val="center"/>
            </w:pPr>
            <w:r w:rsidRPr="00015BC4">
              <w:t>6</w:t>
            </w:r>
          </w:p>
        </w:tc>
        <w:tc>
          <w:tcPr>
            <w:tcW w:w="1031" w:type="dxa"/>
            <w:vAlign w:val="center"/>
          </w:tcPr>
          <w:p w:rsidR="00A603FC" w:rsidRPr="00015BC4" w:rsidRDefault="00A603FC" w:rsidP="00D56932">
            <w:pPr>
              <w:pStyle w:val="TableText0"/>
              <w:keepNext w:val="0"/>
              <w:jc w:val="center"/>
            </w:pPr>
            <w:r w:rsidRPr="00015BC4">
              <w:t>24</w:t>
            </w:r>
          </w:p>
        </w:tc>
        <w:tc>
          <w:tcPr>
            <w:tcW w:w="1032" w:type="dxa"/>
            <w:vAlign w:val="center"/>
          </w:tcPr>
          <w:p w:rsidR="00A603FC" w:rsidRPr="00015BC4" w:rsidRDefault="00A603FC" w:rsidP="00D56932">
            <w:pPr>
              <w:pStyle w:val="TableText0"/>
              <w:keepNext w:val="0"/>
              <w:jc w:val="center"/>
            </w:pPr>
            <w:r w:rsidRPr="00015BC4">
              <w:t>24</w:t>
            </w:r>
          </w:p>
        </w:tc>
      </w:tr>
    </w:tbl>
    <w:p w:rsidR="001A700C" w:rsidRPr="00015BC4" w:rsidRDefault="001A700C" w:rsidP="00EE62EB">
      <w:pPr>
        <w:pStyle w:val="TableFigureFooter"/>
        <w:rPr>
          <w:lang w:val="en-AU"/>
        </w:rPr>
      </w:pPr>
      <w:r w:rsidRPr="00015BC4">
        <w:rPr>
          <w:lang w:val="en-AU"/>
        </w:rPr>
        <w:t xml:space="preserve">Tables 2.13 </w:t>
      </w:r>
      <w:r w:rsidR="00EE62EB" w:rsidRPr="00015BC4">
        <w:rPr>
          <w:lang w:val="en-AU"/>
        </w:rPr>
        <w:t xml:space="preserve">- </w:t>
      </w:r>
      <w:r w:rsidRPr="00015BC4">
        <w:rPr>
          <w:lang w:val="en-AU"/>
        </w:rPr>
        <w:t>2.</w:t>
      </w:r>
      <w:r w:rsidR="00EE62EB" w:rsidRPr="00015BC4">
        <w:rPr>
          <w:lang w:val="en-AU"/>
        </w:rPr>
        <w:t>20</w:t>
      </w:r>
      <w:r w:rsidRPr="00015BC4">
        <w:rPr>
          <w:lang w:val="en-AU"/>
        </w:rPr>
        <w:t>, pp77-</w:t>
      </w:r>
      <w:r w:rsidR="00EE62EB" w:rsidRPr="00015BC4">
        <w:rPr>
          <w:lang w:val="en-AU"/>
        </w:rPr>
        <w:t>91</w:t>
      </w:r>
      <w:r w:rsidRPr="00015BC4">
        <w:rPr>
          <w:lang w:val="en-AU"/>
        </w:rPr>
        <w:t xml:space="preserve"> of the resubmission</w:t>
      </w:r>
      <w:r w:rsidR="00B50139" w:rsidRPr="00015BC4">
        <w:rPr>
          <w:lang w:val="en-AU"/>
        </w:rPr>
        <w:t>. EDSS = expanded disability status scale; MS = multiple sclerosis</w:t>
      </w:r>
    </w:p>
    <w:p w:rsidR="00EF7E32" w:rsidRPr="00015BC4" w:rsidRDefault="00EF7E32" w:rsidP="00C94A84">
      <w:pPr>
        <w:pStyle w:val="TableFigureFooter"/>
        <w:tabs>
          <w:tab w:val="left" w:pos="288"/>
        </w:tabs>
        <w:ind w:left="280" w:hanging="280"/>
        <w:rPr>
          <w:lang w:val="en-AU"/>
        </w:rPr>
      </w:pPr>
      <w:r w:rsidRPr="00015BC4">
        <w:rPr>
          <w:vertAlign w:val="superscript"/>
          <w:lang w:val="en-AU"/>
        </w:rPr>
        <w:t>a</w:t>
      </w:r>
      <w:r w:rsidRPr="00015BC4">
        <w:rPr>
          <w:lang w:val="en-AU"/>
        </w:rPr>
        <w:tab/>
        <w:t>defined by a progressive increase in disability (of at least 6 months duration) in the absence of relapses or independent of, relapses (confirmed by investigator at least 6 months prior to enrolment).</w:t>
      </w:r>
    </w:p>
    <w:p w:rsidR="00EE62EB" w:rsidRPr="00015BC4" w:rsidRDefault="00EF7E32" w:rsidP="00C94A84">
      <w:pPr>
        <w:pStyle w:val="TableFigureFooter"/>
        <w:tabs>
          <w:tab w:val="left" w:pos="288"/>
        </w:tabs>
        <w:ind w:left="280" w:hanging="280"/>
        <w:rPr>
          <w:lang w:val="en-AU"/>
        </w:rPr>
      </w:pPr>
      <w:r w:rsidRPr="00015BC4">
        <w:rPr>
          <w:vertAlign w:val="superscript"/>
          <w:lang w:val="en-AU"/>
        </w:rPr>
        <w:t>b</w:t>
      </w:r>
      <w:r w:rsidRPr="00015BC4">
        <w:rPr>
          <w:lang w:val="en-AU"/>
        </w:rPr>
        <w:tab/>
      </w:r>
      <w:r w:rsidR="00A603FC" w:rsidRPr="00015BC4">
        <w:rPr>
          <w:lang w:val="en-AU"/>
        </w:rPr>
        <w:t>in EXPANDS, EDSS inclusion criteria stated “ Documented EDSS progression in the 2 years prior to study - ≥1 point for patients with EDSS &lt;6.0, and ≥0.5 point for patients with EDSS ≥6.0 (If documented EDSS scores not available, a written summary of the clinical evidence of disability progression in the previous 2 years, and retrospective assessment of EDSS score from data up to 2 years prior to screening had to be submitted for central review)”</w:t>
      </w:r>
    </w:p>
    <w:p w:rsidR="00EE62EB" w:rsidRPr="00015BC4" w:rsidRDefault="00EF7E32" w:rsidP="00C94A84">
      <w:pPr>
        <w:pStyle w:val="TableFigureFooter"/>
        <w:tabs>
          <w:tab w:val="left" w:pos="288"/>
        </w:tabs>
        <w:ind w:left="280" w:hanging="280"/>
        <w:rPr>
          <w:lang w:val="en-AU"/>
        </w:rPr>
      </w:pPr>
      <w:r w:rsidRPr="00015BC4">
        <w:rPr>
          <w:vertAlign w:val="superscript"/>
          <w:lang w:val="en-AU"/>
        </w:rPr>
        <w:t>c</w:t>
      </w:r>
      <w:r w:rsidR="00EE62EB" w:rsidRPr="00015BC4">
        <w:rPr>
          <w:vertAlign w:val="superscript"/>
          <w:lang w:val="en-AU"/>
        </w:rPr>
        <w:tab/>
      </w:r>
      <w:r w:rsidR="00EE62EB" w:rsidRPr="00015BC4">
        <w:rPr>
          <w:lang w:val="en-AU"/>
        </w:rPr>
        <w:t>with:</w:t>
      </w:r>
      <w:r w:rsidR="00832F0C">
        <w:rPr>
          <w:lang w:val="en-AU"/>
        </w:rPr>
        <w:t xml:space="preserve"> </w:t>
      </w:r>
      <w:r w:rsidR="00EE62EB" w:rsidRPr="00015BC4">
        <w:rPr>
          <w:lang w:val="en-AU"/>
        </w:rPr>
        <w:t>At least 1 documented relapse during the previous year, or 2 documented relapses during the previous 2 years, or a positive Gd-enhanced MRI scan at screening (in case the first MRI scan obtained at screening was negative, a second scan could be obtained 1 month later)</w:t>
      </w:r>
    </w:p>
    <w:p w:rsidR="00EE62EB" w:rsidRPr="00015BC4" w:rsidRDefault="00EE62EB" w:rsidP="00C94A84">
      <w:pPr>
        <w:pStyle w:val="TableFigureFooter"/>
        <w:tabs>
          <w:tab w:val="left" w:pos="288"/>
        </w:tabs>
        <w:rPr>
          <w:lang w:val="en-AU"/>
        </w:rPr>
      </w:pPr>
      <w:r w:rsidRPr="00015BC4">
        <w:rPr>
          <w:vertAlign w:val="superscript"/>
          <w:lang w:val="en-AU"/>
        </w:rPr>
        <w:t>d</w:t>
      </w:r>
      <w:r w:rsidRPr="00015BC4">
        <w:rPr>
          <w:lang w:val="en-AU"/>
        </w:rPr>
        <w:tab/>
        <w:t>with at least 1 documented relapse during the previous year, or2 documented relapses during the previous 2 years</w:t>
      </w:r>
    </w:p>
    <w:p w:rsidR="001E6C9D" w:rsidRPr="00015BC4" w:rsidRDefault="00EE62EB" w:rsidP="00D56932">
      <w:pPr>
        <w:pStyle w:val="TableFigureFooter"/>
        <w:tabs>
          <w:tab w:val="left" w:pos="284"/>
        </w:tabs>
        <w:contextualSpacing w:val="0"/>
        <w:rPr>
          <w:lang w:val="en-AU"/>
        </w:rPr>
      </w:pPr>
      <w:r w:rsidRPr="00015BC4">
        <w:rPr>
          <w:vertAlign w:val="superscript"/>
          <w:lang w:val="en-AU"/>
        </w:rPr>
        <w:t>e</w:t>
      </w:r>
      <w:r w:rsidR="00EF7E32" w:rsidRPr="00015BC4">
        <w:rPr>
          <w:lang w:val="en-AU"/>
        </w:rPr>
        <w:tab/>
        <w:t>means were calculated during evaluat</w:t>
      </w:r>
      <w:r w:rsidR="002C6D4B" w:rsidRPr="00015BC4">
        <w:rPr>
          <w:lang w:val="en-AU"/>
        </w:rPr>
        <w:t>ion by weighted average of mean</w:t>
      </w:r>
      <w:r w:rsidR="00EF7E32" w:rsidRPr="00015BC4">
        <w:rPr>
          <w:lang w:val="en-AU"/>
        </w:rPr>
        <w:t xml:space="preserve"> the means of the trial arms.</w:t>
      </w:r>
    </w:p>
    <w:p w:rsidR="0065577A" w:rsidRPr="00015BC4" w:rsidRDefault="0065577A" w:rsidP="0065577A">
      <w:pPr>
        <w:pStyle w:val="3-BodyText"/>
      </w:pPr>
      <w:r w:rsidRPr="00015BC4">
        <w:t xml:space="preserve">The EXPAND trial (of siponimod versus placebo) and the FREEDOMS trials (of fingolimod versus placebo) included patients with different baseline characteristics; </w:t>
      </w:r>
      <w:r w:rsidR="00D56932" w:rsidRPr="00015BC4">
        <w:t>b</w:t>
      </w:r>
      <w:r w:rsidRPr="00015BC4">
        <w:t>oth relapse and progression outcomes are likely to be substantially affected by these differences.</w:t>
      </w:r>
    </w:p>
    <w:p w:rsidR="0065577A" w:rsidRPr="00015BC4" w:rsidRDefault="0065577A" w:rsidP="0065577A">
      <w:pPr>
        <w:pStyle w:val="3-BodyText"/>
      </w:pPr>
      <w:r w:rsidRPr="00015BC4">
        <w:t xml:space="preserve">The BOLD trial was a dose finding trial with a small sample size, and only a six month maximum duration of double-blind placebo controlled treatment in patients with RRMS. The BOLD trial was not designed to adequately assess the effectiveness of siponimod. </w:t>
      </w:r>
    </w:p>
    <w:p w:rsidR="0065577A" w:rsidRDefault="0065577A" w:rsidP="00D56932">
      <w:pPr>
        <w:pStyle w:val="3-BodyText"/>
        <w:spacing w:after="0"/>
      </w:pPr>
      <w:r w:rsidRPr="00015BC4">
        <w:t xml:space="preserve">The FREEDOMS I and II trials included patients on a different part of the MS disability spectrum </w:t>
      </w:r>
      <w:r w:rsidR="00D56932" w:rsidRPr="00015BC4">
        <w:t>compared with the</w:t>
      </w:r>
      <w:r w:rsidRPr="00015BC4">
        <w:t xml:space="preserve"> EXPAND trial (baseline EDSS of 0-5.5 compared to 3-6.5). Though the inclusion criteria appear to have substantial overlap in the </w:t>
      </w:r>
      <w:r w:rsidR="001135E5" w:rsidRPr="00015BC4">
        <w:t>EDSS criteria, the following differences prevent a reliable indirect comparison:</w:t>
      </w:r>
    </w:p>
    <w:p w:rsidR="00C649B7" w:rsidRPr="00015BC4" w:rsidRDefault="00C649B7" w:rsidP="00C649B7">
      <w:pPr>
        <w:pStyle w:val="3-BodyText"/>
        <w:numPr>
          <w:ilvl w:val="0"/>
          <w:numId w:val="0"/>
        </w:numPr>
        <w:spacing w:after="0"/>
        <w:ind w:left="720"/>
      </w:pPr>
    </w:p>
    <w:p w:rsidR="001135E5" w:rsidRPr="00015BC4" w:rsidRDefault="001135E5" w:rsidP="00212B4F">
      <w:pPr>
        <w:pStyle w:val="ListParagraph"/>
        <w:numPr>
          <w:ilvl w:val="0"/>
          <w:numId w:val="6"/>
        </w:numPr>
        <w:spacing w:after="0"/>
        <w:ind w:left="993" w:hanging="284"/>
      </w:pPr>
      <w:r w:rsidRPr="00015BC4">
        <w:t xml:space="preserve">Patients in the EXPAND trial had substantially higher EDSS scores at baseline than patients in the other trials and the definition of disability progression may not </w:t>
      </w:r>
      <w:r w:rsidRPr="00015BC4">
        <w:lastRenderedPageBreak/>
        <w:t xml:space="preserve">measure comparable effect at different EDSS scores. </w:t>
      </w:r>
      <w:r w:rsidR="003374FD" w:rsidRPr="00015BC4">
        <w:t>S</w:t>
      </w:r>
      <w:r w:rsidRPr="00015BC4">
        <w:t>ince</w:t>
      </w:r>
      <w:r w:rsidR="002212F6" w:rsidRPr="00015BC4">
        <w:t xml:space="preserve"> the</w:t>
      </w:r>
      <w:r w:rsidRPr="00015BC4">
        <w:t xml:space="preserve"> fingolimod trials </w:t>
      </w:r>
      <w:r w:rsidR="00B41097" w:rsidRPr="00015BC4">
        <w:t>did not recruit</w:t>
      </w:r>
      <w:r w:rsidRPr="00015BC4">
        <w:t xml:space="preserve"> patients with EDSS scores higher than 5.5</w:t>
      </w:r>
      <w:r w:rsidR="00B41097" w:rsidRPr="00015BC4">
        <w:t xml:space="preserve"> at baseline</w:t>
      </w:r>
      <w:r w:rsidRPr="00015BC4">
        <w:t>, there is a potential for imbalance in the EDSS increases required to qualify for progression. The EDSS scale is non-linear, meaning that there is no equivalence between</w:t>
      </w:r>
      <w:r w:rsidR="003374FD" w:rsidRPr="00015BC4">
        <w:t xml:space="preserve"> 0.5 or</w:t>
      </w:r>
      <w:r w:rsidRPr="00015BC4">
        <w:t xml:space="preserve"> 1</w:t>
      </w:r>
      <w:r w:rsidR="003374FD" w:rsidRPr="00015BC4">
        <w:t>.0</w:t>
      </w:r>
      <w:r w:rsidRPr="00015BC4">
        <w:t xml:space="preserve"> point increases at different levels of the scale. Consequently, when trials have different EDSS populations (i.e. EXPAND and FREEDOMS I and II), the basis for establishing an equivalence in progression related outcomes, even when using the same disability outcome, is questionable. </w:t>
      </w:r>
    </w:p>
    <w:p w:rsidR="001A700C" w:rsidRPr="00015BC4" w:rsidRDefault="001135E5" w:rsidP="00212B4F">
      <w:pPr>
        <w:pStyle w:val="ListParagraph"/>
        <w:numPr>
          <w:ilvl w:val="0"/>
          <w:numId w:val="6"/>
        </w:numPr>
        <w:ind w:left="993" w:hanging="284"/>
      </w:pPr>
      <w:r w:rsidRPr="00015BC4">
        <w:t xml:space="preserve">The pivotal EXPAND trial had a substantially lower average number of relapses in the previous two years at baseline than in the other trials making a comparison of ARR ratios between EXPAND and the fingolimod trials challenging to interpret. </w:t>
      </w:r>
    </w:p>
    <w:p w:rsidR="008104C5" w:rsidRPr="00015BC4" w:rsidRDefault="008104C5" w:rsidP="008104C5">
      <w:pPr>
        <w:pStyle w:val="4-SubsectionHeading"/>
        <w:rPr>
          <w:lang w:val="en-AU"/>
        </w:rPr>
      </w:pPr>
      <w:bookmarkStart w:id="22" w:name="_Toc22897641"/>
      <w:bookmarkStart w:id="23" w:name="_Toc40855735"/>
      <w:r w:rsidRPr="00015BC4">
        <w:rPr>
          <w:lang w:val="en-AU"/>
        </w:rPr>
        <w:t>Comparative effectiveness</w:t>
      </w:r>
      <w:bookmarkEnd w:id="22"/>
      <w:bookmarkEnd w:id="23"/>
    </w:p>
    <w:p w:rsidR="008104C5" w:rsidRPr="00015BC4" w:rsidRDefault="008104C5" w:rsidP="008104C5">
      <w:pPr>
        <w:pStyle w:val="3-BodyText"/>
        <w:rPr>
          <w:color w:val="000000" w:themeColor="text1"/>
        </w:rPr>
      </w:pPr>
      <w:r w:rsidRPr="00015BC4">
        <w:rPr>
          <w:color w:val="000000" w:themeColor="text1"/>
        </w:rPr>
        <w:t xml:space="preserve">The resubmission presented the results of the EXPAND trial, unchanged from the previous submission, as well as results from </w:t>
      </w:r>
      <w:r w:rsidR="00D56932" w:rsidRPr="00015BC4">
        <w:rPr>
          <w:color w:val="000000" w:themeColor="text1"/>
        </w:rPr>
        <w:t xml:space="preserve">the BOLD and </w:t>
      </w:r>
      <w:r w:rsidRPr="00015BC4">
        <w:rPr>
          <w:color w:val="000000" w:themeColor="text1"/>
        </w:rPr>
        <w:t xml:space="preserve">the FREEDOMS I and II trials. The resubmission then conducted an indirect comparison of siponimod and fingolimod informed by the included trials. </w:t>
      </w:r>
    </w:p>
    <w:p w:rsidR="008104C5" w:rsidRPr="00015BC4" w:rsidRDefault="00D56932" w:rsidP="008104C5">
      <w:pPr>
        <w:pStyle w:val="3-BodyText"/>
      </w:pPr>
      <w:r w:rsidRPr="00015BC4">
        <w:t>Table 6</w:t>
      </w:r>
      <w:r w:rsidR="008104C5" w:rsidRPr="00015BC4">
        <w:t xml:space="preserve"> presents results of 3/6 month CDP </w:t>
      </w:r>
      <w:r w:rsidR="00A84A63" w:rsidRPr="00015BC4">
        <w:t xml:space="preserve">in the included evidence. </w:t>
      </w:r>
      <w:r w:rsidR="00D91CEC" w:rsidRPr="00015BC4">
        <w:t>For the indirect comparisons, an odds ratio &lt;1 favours siponimod.</w:t>
      </w:r>
    </w:p>
    <w:p w:rsidR="000048EC" w:rsidRPr="00015BC4" w:rsidRDefault="000048EC">
      <w:pPr>
        <w:rPr>
          <w:rStyle w:val="CommentReference"/>
          <w:lang w:val="en-AU"/>
        </w:rPr>
      </w:pPr>
      <w:bookmarkStart w:id="24" w:name="_Ref38095866"/>
    </w:p>
    <w:p w:rsidR="00A84A63" w:rsidRPr="00015BC4" w:rsidRDefault="008104C5" w:rsidP="00270A81">
      <w:pPr>
        <w:keepNext/>
        <w:keepLines/>
        <w:rPr>
          <w:rStyle w:val="CommentReference"/>
          <w:lang w:val="en-AU"/>
        </w:rPr>
      </w:pPr>
      <w:r w:rsidRPr="00015BC4">
        <w:rPr>
          <w:rStyle w:val="CommentReference"/>
          <w:lang w:val="en-AU"/>
        </w:rPr>
        <w:t>Table</w:t>
      </w:r>
      <w:r w:rsidRPr="00015BC4">
        <w:rPr>
          <w:rFonts w:ascii="Arial Narrow" w:hAnsi="Arial Narrow"/>
          <w:color w:val="000000" w:themeColor="text1"/>
          <w:sz w:val="20"/>
          <w:lang w:val="en-AU"/>
        </w:rPr>
        <w:t xml:space="preserve"> </w:t>
      </w:r>
      <w:r w:rsidR="005D4204" w:rsidRPr="00015BC4">
        <w:rPr>
          <w:rFonts w:ascii="Arial Narrow" w:hAnsi="Arial Narrow"/>
          <w:b/>
          <w:color w:val="000000" w:themeColor="text1"/>
          <w:sz w:val="20"/>
          <w:lang w:val="en-AU"/>
        </w:rPr>
        <w:t>6</w:t>
      </w:r>
      <w:bookmarkEnd w:id="24"/>
      <w:r w:rsidRPr="00015BC4">
        <w:rPr>
          <w:rStyle w:val="CommentReference"/>
          <w:lang w:val="en-AU"/>
        </w:rPr>
        <w:t xml:space="preserve">: </w:t>
      </w:r>
      <w:r w:rsidR="00114078" w:rsidRPr="00015BC4">
        <w:rPr>
          <w:rStyle w:val="CommentReference"/>
          <w:lang w:val="en-AU"/>
        </w:rPr>
        <w:t>Results of 3-month and 6</w:t>
      </w:r>
      <w:r w:rsidR="00A84A63" w:rsidRPr="00015BC4">
        <w:rPr>
          <w:rStyle w:val="CommentReference"/>
          <w:lang w:val="en-AU"/>
        </w:rPr>
        <w:t xml:space="preserve">-month CDP in the </w:t>
      </w:r>
      <w:r w:rsidR="00E71706" w:rsidRPr="00015BC4">
        <w:rPr>
          <w:rStyle w:val="CommentReference"/>
          <w:lang w:val="en-AU"/>
        </w:rPr>
        <w:t>included evidence</w:t>
      </w:r>
    </w:p>
    <w:tbl>
      <w:tblPr>
        <w:tblStyle w:val="TableGrid"/>
        <w:tblW w:w="0" w:type="auto"/>
        <w:tblCellMar>
          <w:left w:w="28" w:type="dxa"/>
          <w:right w:w="28" w:type="dxa"/>
        </w:tblCellMar>
        <w:tblLook w:val="04A0" w:firstRow="1" w:lastRow="0" w:firstColumn="1" w:lastColumn="0" w:noHBand="0" w:noVBand="1"/>
      </w:tblPr>
      <w:tblGrid>
        <w:gridCol w:w="4106"/>
        <w:gridCol w:w="1559"/>
        <w:gridCol w:w="1560"/>
        <w:gridCol w:w="1792"/>
      </w:tblGrid>
      <w:tr w:rsidR="00D91CEC" w:rsidRPr="00015BC4" w:rsidTr="00B56E6B">
        <w:tc>
          <w:tcPr>
            <w:tcW w:w="4106" w:type="dxa"/>
          </w:tcPr>
          <w:p w:rsidR="00D91CEC" w:rsidRPr="00015BC4" w:rsidRDefault="00D91CEC" w:rsidP="00270A81">
            <w:pPr>
              <w:keepNext/>
              <w:keepLines/>
              <w:rPr>
                <w:rStyle w:val="CommentReference"/>
                <w:lang w:val="en-AU"/>
              </w:rPr>
            </w:pPr>
          </w:p>
        </w:tc>
        <w:tc>
          <w:tcPr>
            <w:tcW w:w="1559" w:type="dxa"/>
            <w:vAlign w:val="center"/>
          </w:tcPr>
          <w:p w:rsidR="00D91CEC" w:rsidRPr="00015BC4" w:rsidRDefault="00D91CEC" w:rsidP="00270A81">
            <w:pPr>
              <w:keepNext/>
              <w:keepLines/>
              <w:jc w:val="center"/>
              <w:rPr>
                <w:rStyle w:val="CommentReference"/>
                <w:lang w:val="en-AU"/>
              </w:rPr>
            </w:pPr>
            <w:r w:rsidRPr="00015BC4">
              <w:rPr>
                <w:rStyle w:val="CommentReference"/>
                <w:lang w:val="en-AU"/>
              </w:rPr>
              <w:t>DMT, n/N (%)</w:t>
            </w:r>
          </w:p>
        </w:tc>
        <w:tc>
          <w:tcPr>
            <w:tcW w:w="1560" w:type="dxa"/>
            <w:vAlign w:val="center"/>
          </w:tcPr>
          <w:p w:rsidR="00D91CEC" w:rsidRPr="00015BC4" w:rsidRDefault="00D91CEC" w:rsidP="00270A81">
            <w:pPr>
              <w:keepNext/>
              <w:keepLines/>
              <w:jc w:val="center"/>
              <w:rPr>
                <w:rStyle w:val="CommentReference"/>
                <w:lang w:val="en-AU"/>
              </w:rPr>
            </w:pPr>
            <w:r w:rsidRPr="00015BC4">
              <w:rPr>
                <w:rStyle w:val="CommentReference"/>
                <w:lang w:val="en-AU"/>
              </w:rPr>
              <w:t>Placebo, n/N (%)</w:t>
            </w:r>
          </w:p>
        </w:tc>
        <w:tc>
          <w:tcPr>
            <w:tcW w:w="1792" w:type="dxa"/>
            <w:vAlign w:val="center"/>
          </w:tcPr>
          <w:p w:rsidR="00D91CEC" w:rsidRPr="00015BC4" w:rsidRDefault="00CF3731" w:rsidP="00270A81">
            <w:pPr>
              <w:keepNext/>
              <w:keepLines/>
              <w:jc w:val="center"/>
              <w:rPr>
                <w:rStyle w:val="CommentReference"/>
                <w:lang w:val="en-AU"/>
              </w:rPr>
            </w:pPr>
            <w:r w:rsidRPr="00015BC4">
              <w:rPr>
                <w:rStyle w:val="CommentReference"/>
                <w:lang w:val="en-AU"/>
              </w:rPr>
              <w:t>O</w:t>
            </w:r>
            <w:r w:rsidR="00D91CEC" w:rsidRPr="00015BC4">
              <w:rPr>
                <w:rStyle w:val="CommentReference"/>
                <w:lang w:val="en-AU"/>
              </w:rPr>
              <w:t>dds ratio (95% CI)</w:t>
            </w:r>
          </w:p>
        </w:tc>
      </w:tr>
      <w:tr w:rsidR="00D91CEC" w:rsidRPr="00015BC4" w:rsidTr="00B56E6B">
        <w:tc>
          <w:tcPr>
            <w:tcW w:w="9017" w:type="dxa"/>
            <w:gridSpan w:val="4"/>
            <w:vAlign w:val="center"/>
          </w:tcPr>
          <w:p w:rsidR="00D91CEC" w:rsidRPr="00015BC4" w:rsidRDefault="00D91CEC" w:rsidP="00270A81">
            <w:pPr>
              <w:keepNext/>
              <w:keepLines/>
              <w:rPr>
                <w:rStyle w:val="CommentReference"/>
                <w:lang w:val="en-AU"/>
              </w:rPr>
            </w:pPr>
            <w:r w:rsidRPr="00015BC4">
              <w:rPr>
                <w:rStyle w:val="CommentReference"/>
                <w:lang w:val="en-AU"/>
              </w:rPr>
              <w:t>3-month CDP</w:t>
            </w:r>
          </w:p>
        </w:tc>
      </w:tr>
      <w:tr w:rsidR="00CF3731" w:rsidRPr="00015BC4" w:rsidTr="00B56E6B">
        <w:tc>
          <w:tcPr>
            <w:tcW w:w="4106" w:type="dxa"/>
            <w:tcBorders>
              <w:bottom w:val="double" w:sz="4" w:space="0" w:color="auto"/>
            </w:tcBorders>
          </w:tcPr>
          <w:p w:rsidR="00CF3731" w:rsidRPr="00015BC4" w:rsidRDefault="00CF3731" w:rsidP="00270A81">
            <w:pPr>
              <w:keepNext/>
              <w:keepLines/>
              <w:rPr>
                <w:rStyle w:val="CommentReference"/>
                <w:b w:val="0"/>
                <w:lang w:val="en-AU"/>
              </w:rPr>
            </w:pPr>
            <w:r w:rsidRPr="00015BC4">
              <w:rPr>
                <w:rStyle w:val="CommentReference"/>
                <w:b w:val="0"/>
                <w:lang w:val="en-AU"/>
              </w:rPr>
              <w:t>EXPAND SIP vs PBO (SPMS; EDSS 3.0-6.5)</w:t>
            </w:r>
          </w:p>
        </w:tc>
        <w:tc>
          <w:tcPr>
            <w:tcW w:w="1559" w:type="dxa"/>
            <w:tcBorders>
              <w:bottom w:val="double" w:sz="4" w:space="0" w:color="auto"/>
            </w:tcBorders>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288/1096 (26.3)</w:t>
            </w:r>
          </w:p>
        </w:tc>
        <w:tc>
          <w:tcPr>
            <w:tcW w:w="1560" w:type="dxa"/>
            <w:tcBorders>
              <w:bottom w:val="double" w:sz="4" w:space="0" w:color="auto"/>
            </w:tcBorders>
            <w:vAlign w:val="center"/>
          </w:tcPr>
          <w:p w:rsidR="00CF3731" w:rsidRPr="00015BC4" w:rsidRDefault="00CF3731" w:rsidP="00270A81">
            <w:pPr>
              <w:keepNext/>
              <w:keepLines/>
              <w:jc w:val="center"/>
              <w:rPr>
                <w:rStyle w:val="CommentReference"/>
                <w:b w:val="0"/>
                <w:lang w:val="en-AU"/>
              </w:rPr>
            </w:pPr>
            <w:r w:rsidRPr="00015BC4">
              <w:rPr>
                <w:rStyle w:val="CommentReference"/>
                <w:b w:val="0"/>
                <w:lang w:val="en-AU"/>
              </w:rPr>
              <w:t>173/545 (31.7)</w:t>
            </w:r>
          </w:p>
        </w:tc>
        <w:tc>
          <w:tcPr>
            <w:tcW w:w="1792" w:type="dxa"/>
            <w:tcBorders>
              <w:bottom w:val="double" w:sz="4" w:space="0" w:color="auto"/>
            </w:tcBorders>
            <w:vAlign w:val="center"/>
          </w:tcPr>
          <w:p w:rsidR="00CF3731" w:rsidRPr="00015BC4" w:rsidRDefault="00CF3731" w:rsidP="00270A81">
            <w:pPr>
              <w:keepNext/>
              <w:keepLines/>
              <w:jc w:val="center"/>
              <w:rPr>
                <w:rStyle w:val="CommentReference"/>
                <w:b w:val="0"/>
                <w:lang w:val="en-AU"/>
              </w:rPr>
            </w:pPr>
            <w:r w:rsidRPr="00015BC4">
              <w:rPr>
                <w:rFonts w:ascii="Arial Narrow" w:hAnsi="Arial Narrow"/>
                <w:b/>
                <w:sz w:val="20"/>
                <w:lang w:val="en-AU"/>
              </w:rPr>
              <w:t>0.77 (0.61, 0.96)</w:t>
            </w:r>
          </w:p>
        </w:tc>
      </w:tr>
      <w:tr w:rsidR="00CF3731" w:rsidRPr="00015BC4" w:rsidTr="00B56E6B">
        <w:tc>
          <w:tcPr>
            <w:tcW w:w="4106" w:type="dxa"/>
            <w:tcBorders>
              <w:top w:val="double" w:sz="4" w:space="0" w:color="auto"/>
            </w:tcBorders>
          </w:tcPr>
          <w:p w:rsidR="00CF3731" w:rsidRPr="00015BC4" w:rsidRDefault="00CF3731" w:rsidP="00270A81">
            <w:pPr>
              <w:keepNext/>
              <w:keepLines/>
              <w:rPr>
                <w:rStyle w:val="CommentReference"/>
                <w:b w:val="0"/>
                <w:lang w:val="en-AU"/>
              </w:rPr>
            </w:pPr>
            <w:r w:rsidRPr="00015BC4">
              <w:rPr>
                <w:rStyle w:val="CommentReference"/>
                <w:b w:val="0"/>
                <w:lang w:val="en-AU"/>
              </w:rPr>
              <w:t>FREEDOMS I FIN vs PBO (RRMS, EDSS 0-5.5)</w:t>
            </w:r>
          </w:p>
        </w:tc>
        <w:tc>
          <w:tcPr>
            <w:tcW w:w="1559" w:type="dxa"/>
            <w:tcBorders>
              <w:top w:val="double" w:sz="4" w:space="0" w:color="auto"/>
            </w:tcBorders>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62/421 (14.7)</w:t>
            </w:r>
          </w:p>
        </w:tc>
        <w:tc>
          <w:tcPr>
            <w:tcW w:w="1560" w:type="dxa"/>
            <w:tcBorders>
              <w:top w:val="double" w:sz="4" w:space="0" w:color="auto"/>
            </w:tcBorders>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89/415 (21.4)</w:t>
            </w:r>
          </w:p>
        </w:tc>
        <w:tc>
          <w:tcPr>
            <w:tcW w:w="1792" w:type="dxa"/>
            <w:tcBorders>
              <w:top w:val="double" w:sz="4" w:space="0" w:color="auto"/>
            </w:tcBorders>
          </w:tcPr>
          <w:p w:rsidR="00CF3731" w:rsidRPr="00015BC4" w:rsidRDefault="00CF3731" w:rsidP="00270A81">
            <w:pPr>
              <w:pStyle w:val="PBACTableText"/>
              <w:keepNext/>
              <w:keepLines/>
              <w:spacing w:before="0" w:after="0"/>
              <w:jc w:val="center"/>
              <w:rPr>
                <w:rStyle w:val="CommentReference"/>
                <w:b w:val="0"/>
                <w:lang w:val="en-AU"/>
              </w:rPr>
            </w:pPr>
            <w:r w:rsidRPr="00015BC4">
              <w:rPr>
                <w:b/>
                <w:lang w:val="en-AU"/>
              </w:rPr>
              <w:t>0.63 (0.44, 0.90)</w:t>
            </w:r>
          </w:p>
        </w:tc>
      </w:tr>
      <w:tr w:rsidR="00CF3731" w:rsidRPr="00015BC4" w:rsidTr="00B56E6B">
        <w:tc>
          <w:tcPr>
            <w:tcW w:w="4106" w:type="dxa"/>
          </w:tcPr>
          <w:p w:rsidR="00CF3731" w:rsidRPr="00015BC4" w:rsidRDefault="00CF3731" w:rsidP="00270A81">
            <w:pPr>
              <w:keepNext/>
              <w:keepLines/>
              <w:rPr>
                <w:rStyle w:val="CommentReference"/>
                <w:b w:val="0"/>
                <w:lang w:val="en-AU"/>
              </w:rPr>
            </w:pPr>
            <w:r w:rsidRPr="00015BC4">
              <w:rPr>
                <w:rStyle w:val="CommentReference"/>
                <w:b w:val="0"/>
                <w:lang w:val="en-AU"/>
              </w:rPr>
              <w:t>FREEDOMS II FIN vs PBO (RRMS, EDSS 0-5.5)</w:t>
            </w:r>
          </w:p>
        </w:tc>
        <w:tc>
          <w:tcPr>
            <w:tcW w:w="1559" w:type="dxa"/>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71/357 (19.9)</w:t>
            </w:r>
          </w:p>
        </w:tc>
        <w:tc>
          <w:tcPr>
            <w:tcW w:w="1560" w:type="dxa"/>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84/353 (23.8)</w:t>
            </w:r>
          </w:p>
        </w:tc>
        <w:tc>
          <w:tcPr>
            <w:tcW w:w="1792" w:type="dxa"/>
          </w:tcPr>
          <w:p w:rsidR="00CF3731" w:rsidRPr="00015BC4" w:rsidRDefault="00CF3731" w:rsidP="00270A81">
            <w:pPr>
              <w:pStyle w:val="PBACTableText"/>
              <w:keepNext/>
              <w:keepLines/>
              <w:spacing w:before="0" w:after="0"/>
              <w:jc w:val="center"/>
              <w:rPr>
                <w:rStyle w:val="CommentReference"/>
                <w:b w:val="0"/>
                <w:lang w:val="en-AU"/>
              </w:rPr>
            </w:pPr>
            <w:r w:rsidRPr="00015BC4">
              <w:rPr>
                <w:lang w:val="en-AU"/>
              </w:rPr>
              <w:t>0.79 (0.56, 01.14)</w:t>
            </w:r>
          </w:p>
        </w:tc>
      </w:tr>
      <w:tr w:rsidR="00CF3731" w:rsidRPr="00015BC4" w:rsidTr="00B56E6B">
        <w:tc>
          <w:tcPr>
            <w:tcW w:w="4106" w:type="dxa"/>
          </w:tcPr>
          <w:p w:rsidR="00CF3731" w:rsidRPr="00015BC4" w:rsidRDefault="00CF3731" w:rsidP="00270A81">
            <w:pPr>
              <w:keepNext/>
              <w:keepLines/>
              <w:rPr>
                <w:rStyle w:val="CommentReference"/>
                <w:b w:val="0"/>
                <w:lang w:val="en-AU"/>
              </w:rPr>
            </w:pPr>
            <w:r w:rsidRPr="00015BC4">
              <w:rPr>
                <w:rStyle w:val="CommentReference"/>
                <w:b w:val="0"/>
                <w:lang w:val="en-AU"/>
              </w:rPr>
              <w:t>FREEDOMS I/II FIN vs PBO (RRMS, EDSS 0-5.5)</w:t>
            </w:r>
          </w:p>
        </w:tc>
        <w:tc>
          <w:tcPr>
            <w:tcW w:w="1559" w:type="dxa"/>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133/778 (17.1)</w:t>
            </w:r>
          </w:p>
        </w:tc>
        <w:tc>
          <w:tcPr>
            <w:tcW w:w="1560" w:type="dxa"/>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173/768 (22.5)</w:t>
            </w:r>
          </w:p>
        </w:tc>
        <w:tc>
          <w:tcPr>
            <w:tcW w:w="1792" w:type="dxa"/>
          </w:tcPr>
          <w:p w:rsidR="00CF3731" w:rsidRPr="00015BC4" w:rsidRDefault="00CF3731" w:rsidP="00270A81">
            <w:pPr>
              <w:pStyle w:val="PBACTableText"/>
              <w:keepNext/>
              <w:keepLines/>
              <w:spacing w:before="0" w:after="0"/>
              <w:jc w:val="center"/>
              <w:rPr>
                <w:rStyle w:val="CommentReference"/>
                <w:b w:val="0"/>
                <w:lang w:val="en-AU"/>
              </w:rPr>
            </w:pPr>
            <w:r w:rsidRPr="00015BC4">
              <w:rPr>
                <w:b/>
                <w:lang w:val="en-AU"/>
              </w:rPr>
              <w:t>0.71 (0.55, 0.91)</w:t>
            </w:r>
          </w:p>
        </w:tc>
      </w:tr>
      <w:tr w:rsidR="00CF3731" w:rsidRPr="00015BC4" w:rsidTr="00B56E6B">
        <w:tc>
          <w:tcPr>
            <w:tcW w:w="7225" w:type="dxa"/>
            <w:gridSpan w:val="3"/>
            <w:vAlign w:val="center"/>
          </w:tcPr>
          <w:p w:rsidR="00CF3731" w:rsidRPr="00015BC4" w:rsidRDefault="00114078" w:rsidP="00270A81">
            <w:pPr>
              <w:keepNext/>
              <w:keepLines/>
              <w:jc w:val="right"/>
              <w:rPr>
                <w:rStyle w:val="CommentReference"/>
                <w:b w:val="0"/>
                <w:lang w:val="en-AU"/>
              </w:rPr>
            </w:pPr>
            <w:r w:rsidRPr="00015BC4">
              <w:rPr>
                <w:rStyle w:val="CommentReference"/>
                <w:b w:val="0"/>
                <w:lang w:val="en-AU"/>
              </w:rPr>
              <w:t>Indirect</w:t>
            </w:r>
            <w:r w:rsidRPr="00015BC4">
              <w:rPr>
                <w:rStyle w:val="CommentReference"/>
                <w:b w:val="0"/>
                <w:vertAlign w:val="superscript"/>
                <w:lang w:val="en-AU"/>
              </w:rPr>
              <w:t>a</w:t>
            </w:r>
            <w:r w:rsidRPr="00015BC4">
              <w:rPr>
                <w:rStyle w:val="CommentReference"/>
                <w:b w:val="0"/>
                <w:lang w:val="en-AU"/>
              </w:rPr>
              <w:t>, EXPAND vs FREEDOM I/II (36 vs 24 months)</w:t>
            </w:r>
          </w:p>
        </w:tc>
        <w:tc>
          <w:tcPr>
            <w:tcW w:w="1792" w:type="dxa"/>
            <w:vAlign w:val="center"/>
          </w:tcPr>
          <w:p w:rsidR="00CF3731" w:rsidRPr="00015BC4" w:rsidRDefault="00CF3731" w:rsidP="00270A81">
            <w:pPr>
              <w:pStyle w:val="PBACTableText"/>
              <w:keepNext/>
              <w:keepLines/>
              <w:spacing w:before="0" w:after="0"/>
              <w:jc w:val="center"/>
              <w:rPr>
                <w:rStyle w:val="CommentReference"/>
                <w:b w:val="0"/>
                <w:lang w:val="en-AU"/>
              </w:rPr>
            </w:pPr>
            <w:r w:rsidRPr="00015BC4">
              <w:rPr>
                <w:lang w:val="en-AU"/>
              </w:rPr>
              <w:t>1.085 (0.773, 1.522)</w:t>
            </w:r>
          </w:p>
        </w:tc>
      </w:tr>
      <w:tr w:rsidR="00CF3731" w:rsidRPr="00015BC4" w:rsidTr="00B56E6B">
        <w:tc>
          <w:tcPr>
            <w:tcW w:w="9017" w:type="dxa"/>
            <w:gridSpan w:val="4"/>
            <w:vAlign w:val="center"/>
          </w:tcPr>
          <w:p w:rsidR="00CF3731" w:rsidRPr="00015BC4" w:rsidRDefault="00CF3731" w:rsidP="00270A81">
            <w:pPr>
              <w:keepNext/>
              <w:keepLines/>
              <w:rPr>
                <w:rStyle w:val="CommentReference"/>
                <w:lang w:val="en-AU"/>
              </w:rPr>
            </w:pPr>
            <w:r w:rsidRPr="00015BC4">
              <w:rPr>
                <w:rStyle w:val="CommentReference"/>
                <w:lang w:val="en-AU"/>
              </w:rPr>
              <w:t>6-month CDP</w:t>
            </w:r>
          </w:p>
        </w:tc>
      </w:tr>
      <w:tr w:rsidR="00CF3731" w:rsidRPr="00015BC4" w:rsidTr="00B56E6B">
        <w:tc>
          <w:tcPr>
            <w:tcW w:w="4106" w:type="dxa"/>
            <w:tcBorders>
              <w:bottom w:val="double" w:sz="4" w:space="0" w:color="auto"/>
            </w:tcBorders>
          </w:tcPr>
          <w:p w:rsidR="00CF3731" w:rsidRPr="00015BC4" w:rsidRDefault="00CF3731" w:rsidP="00270A81">
            <w:pPr>
              <w:keepNext/>
              <w:keepLines/>
              <w:rPr>
                <w:rStyle w:val="CommentReference"/>
                <w:b w:val="0"/>
                <w:lang w:val="en-AU"/>
              </w:rPr>
            </w:pPr>
            <w:r w:rsidRPr="00015BC4">
              <w:rPr>
                <w:rStyle w:val="CommentReference"/>
                <w:b w:val="0"/>
                <w:lang w:val="en-AU"/>
              </w:rPr>
              <w:t>EXPAND SIP vs PBO (SPMS; EDSS 3.0-6.5)</w:t>
            </w:r>
          </w:p>
        </w:tc>
        <w:tc>
          <w:tcPr>
            <w:tcW w:w="1559" w:type="dxa"/>
            <w:tcBorders>
              <w:bottom w:val="double" w:sz="4" w:space="0" w:color="auto"/>
            </w:tcBorders>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218/1096 (19.9)</w:t>
            </w:r>
          </w:p>
        </w:tc>
        <w:tc>
          <w:tcPr>
            <w:tcW w:w="1560" w:type="dxa"/>
            <w:tcBorders>
              <w:bottom w:val="double" w:sz="4" w:space="0" w:color="auto"/>
            </w:tcBorders>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139/545 (25.5)</w:t>
            </w:r>
          </w:p>
        </w:tc>
        <w:tc>
          <w:tcPr>
            <w:tcW w:w="1792" w:type="dxa"/>
            <w:tcBorders>
              <w:bottom w:val="double" w:sz="4" w:space="0" w:color="auto"/>
            </w:tcBorders>
            <w:vAlign w:val="center"/>
          </w:tcPr>
          <w:p w:rsidR="00CF3731" w:rsidRPr="00015BC4" w:rsidRDefault="00CF3731" w:rsidP="00270A81">
            <w:pPr>
              <w:pStyle w:val="PBACTabletext0"/>
              <w:keepNext/>
              <w:keepLines/>
              <w:widowControl w:val="0"/>
              <w:spacing w:before="0" w:after="0"/>
              <w:jc w:val="center"/>
              <w:rPr>
                <w:rStyle w:val="CommentReference"/>
                <w:szCs w:val="20"/>
                <w:lang w:val="en-AU"/>
              </w:rPr>
            </w:pPr>
            <w:r w:rsidRPr="00015BC4">
              <w:rPr>
                <w:b/>
                <w:lang w:val="en-AU"/>
              </w:rPr>
              <w:t>0.73 (0.57, 0.92)</w:t>
            </w:r>
          </w:p>
        </w:tc>
      </w:tr>
      <w:tr w:rsidR="00CF3731" w:rsidRPr="00015BC4" w:rsidTr="00B56E6B">
        <w:tc>
          <w:tcPr>
            <w:tcW w:w="4106" w:type="dxa"/>
            <w:tcBorders>
              <w:top w:val="double" w:sz="4" w:space="0" w:color="auto"/>
            </w:tcBorders>
          </w:tcPr>
          <w:p w:rsidR="00CF3731" w:rsidRPr="00015BC4" w:rsidRDefault="00CF3731" w:rsidP="00270A81">
            <w:pPr>
              <w:keepNext/>
              <w:keepLines/>
              <w:rPr>
                <w:rStyle w:val="CommentReference"/>
                <w:b w:val="0"/>
                <w:lang w:val="en-AU"/>
              </w:rPr>
            </w:pPr>
            <w:r w:rsidRPr="00015BC4">
              <w:rPr>
                <w:rStyle w:val="CommentReference"/>
                <w:b w:val="0"/>
                <w:lang w:val="en-AU"/>
              </w:rPr>
              <w:t>FREEDOMS I FIN vs PBO (RRMS, EDSS 0-5.5)</w:t>
            </w:r>
          </w:p>
        </w:tc>
        <w:tc>
          <w:tcPr>
            <w:tcW w:w="1559" w:type="dxa"/>
            <w:tcBorders>
              <w:top w:val="double" w:sz="4" w:space="0" w:color="auto"/>
            </w:tcBorders>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42/421 (10.0)</w:t>
            </w:r>
          </w:p>
        </w:tc>
        <w:tc>
          <w:tcPr>
            <w:tcW w:w="1560" w:type="dxa"/>
            <w:tcBorders>
              <w:top w:val="double" w:sz="4" w:space="0" w:color="auto"/>
            </w:tcBorders>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69/415 (16.6)</w:t>
            </w:r>
          </w:p>
        </w:tc>
        <w:tc>
          <w:tcPr>
            <w:tcW w:w="1792" w:type="dxa"/>
            <w:tcBorders>
              <w:top w:val="double" w:sz="4" w:space="0" w:color="auto"/>
            </w:tcBorders>
          </w:tcPr>
          <w:p w:rsidR="00CF3731" w:rsidRPr="00015BC4" w:rsidRDefault="00CF3731" w:rsidP="00270A81">
            <w:pPr>
              <w:pStyle w:val="PBACTableText"/>
              <w:keepNext/>
              <w:keepLines/>
              <w:spacing w:before="0" w:after="0"/>
              <w:jc w:val="center"/>
              <w:rPr>
                <w:rStyle w:val="CommentReference"/>
                <w:b w:val="0"/>
                <w:lang w:val="en-AU"/>
              </w:rPr>
            </w:pPr>
            <w:r w:rsidRPr="00015BC4">
              <w:rPr>
                <w:b/>
                <w:lang w:val="en-AU"/>
              </w:rPr>
              <w:t>0.56 (0.37, 0.84)</w:t>
            </w:r>
          </w:p>
        </w:tc>
      </w:tr>
      <w:tr w:rsidR="00CF3731" w:rsidRPr="00015BC4" w:rsidTr="00B56E6B">
        <w:tc>
          <w:tcPr>
            <w:tcW w:w="4106" w:type="dxa"/>
          </w:tcPr>
          <w:p w:rsidR="00CF3731" w:rsidRPr="00015BC4" w:rsidRDefault="00CF3731" w:rsidP="00270A81">
            <w:pPr>
              <w:keepNext/>
              <w:keepLines/>
              <w:rPr>
                <w:rStyle w:val="CommentReference"/>
                <w:b w:val="0"/>
                <w:lang w:val="en-AU"/>
              </w:rPr>
            </w:pPr>
            <w:r w:rsidRPr="00015BC4">
              <w:rPr>
                <w:rStyle w:val="CommentReference"/>
                <w:b w:val="0"/>
                <w:lang w:val="en-AU"/>
              </w:rPr>
              <w:t>FREEDOMS II FIN vs PBO (RRMS, EDSS 0-5.5)</w:t>
            </w:r>
          </w:p>
        </w:tc>
        <w:tc>
          <w:tcPr>
            <w:tcW w:w="1559" w:type="dxa"/>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35/357 (9.8)</w:t>
            </w:r>
          </w:p>
        </w:tc>
        <w:tc>
          <w:tcPr>
            <w:tcW w:w="1560" w:type="dxa"/>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49/353 (13.9)</w:t>
            </w:r>
          </w:p>
        </w:tc>
        <w:tc>
          <w:tcPr>
            <w:tcW w:w="1792" w:type="dxa"/>
          </w:tcPr>
          <w:p w:rsidR="00CF3731" w:rsidRPr="00015BC4" w:rsidRDefault="00CF3731" w:rsidP="00270A81">
            <w:pPr>
              <w:pStyle w:val="PBACTableText"/>
              <w:keepNext/>
              <w:keepLines/>
              <w:spacing w:before="0" w:after="0"/>
              <w:jc w:val="center"/>
              <w:rPr>
                <w:rStyle w:val="CommentReference"/>
                <w:b w:val="0"/>
                <w:lang w:val="en-AU"/>
              </w:rPr>
            </w:pPr>
            <w:r w:rsidRPr="00015BC4">
              <w:rPr>
                <w:lang w:val="en-AU"/>
              </w:rPr>
              <w:t>0.67 (0.43, 1.07)</w:t>
            </w:r>
          </w:p>
        </w:tc>
      </w:tr>
      <w:tr w:rsidR="00CF3731" w:rsidRPr="00015BC4" w:rsidTr="00B56E6B">
        <w:tc>
          <w:tcPr>
            <w:tcW w:w="4106" w:type="dxa"/>
          </w:tcPr>
          <w:p w:rsidR="00CF3731" w:rsidRPr="00015BC4" w:rsidRDefault="00CF3731" w:rsidP="00270A81">
            <w:pPr>
              <w:keepNext/>
              <w:keepLines/>
              <w:rPr>
                <w:rStyle w:val="CommentReference"/>
                <w:b w:val="0"/>
                <w:lang w:val="en-AU"/>
              </w:rPr>
            </w:pPr>
            <w:r w:rsidRPr="00015BC4">
              <w:rPr>
                <w:rStyle w:val="CommentReference"/>
                <w:b w:val="0"/>
                <w:lang w:val="en-AU"/>
              </w:rPr>
              <w:t>FREEDOMS I/II FIN vs PBO (RRMS, EDSS 0-5.5)</w:t>
            </w:r>
          </w:p>
        </w:tc>
        <w:tc>
          <w:tcPr>
            <w:tcW w:w="1559" w:type="dxa"/>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77/778 (9.9)</w:t>
            </w:r>
          </w:p>
        </w:tc>
        <w:tc>
          <w:tcPr>
            <w:tcW w:w="1560" w:type="dxa"/>
            <w:vAlign w:val="center"/>
          </w:tcPr>
          <w:p w:rsidR="00CF3731" w:rsidRPr="00015BC4" w:rsidRDefault="00CF3731" w:rsidP="00270A81">
            <w:pPr>
              <w:keepNext/>
              <w:keepLines/>
              <w:jc w:val="center"/>
              <w:rPr>
                <w:rStyle w:val="CommentReference"/>
                <w:b w:val="0"/>
                <w:lang w:val="en-AU"/>
              </w:rPr>
            </w:pPr>
            <w:r w:rsidRPr="00015BC4">
              <w:rPr>
                <w:rFonts w:ascii="Arial Narrow" w:hAnsi="Arial Narrow"/>
                <w:sz w:val="20"/>
                <w:lang w:val="en-AU"/>
              </w:rPr>
              <w:t>118/768 (15.4)</w:t>
            </w:r>
          </w:p>
        </w:tc>
        <w:tc>
          <w:tcPr>
            <w:tcW w:w="1792" w:type="dxa"/>
          </w:tcPr>
          <w:p w:rsidR="00CF3731" w:rsidRPr="00015BC4" w:rsidRDefault="00CF3731" w:rsidP="00270A81">
            <w:pPr>
              <w:pStyle w:val="PBACTableText"/>
              <w:keepNext/>
              <w:keepLines/>
              <w:spacing w:before="0" w:after="0"/>
              <w:jc w:val="center"/>
              <w:rPr>
                <w:rStyle w:val="CommentReference"/>
                <w:b w:val="0"/>
                <w:lang w:val="en-AU"/>
              </w:rPr>
            </w:pPr>
            <w:r w:rsidRPr="00015BC4">
              <w:rPr>
                <w:b/>
                <w:lang w:val="en-AU"/>
              </w:rPr>
              <w:t>0.61 (0.45, 0.82)</w:t>
            </w:r>
          </w:p>
        </w:tc>
      </w:tr>
      <w:tr w:rsidR="00CF3731" w:rsidRPr="00015BC4" w:rsidTr="00B56E6B">
        <w:tc>
          <w:tcPr>
            <w:tcW w:w="7225" w:type="dxa"/>
            <w:gridSpan w:val="3"/>
            <w:vAlign w:val="center"/>
          </w:tcPr>
          <w:p w:rsidR="00CF3731" w:rsidRPr="00015BC4" w:rsidRDefault="00114078" w:rsidP="00270A81">
            <w:pPr>
              <w:keepNext/>
              <w:keepLines/>
              <w:jc w:val="right"/>
              <w:rPr>
                <w:rStyle w:val="CommentReference"/>
                <w:b w:val="0"/>
                <w:lang w:val="en-AU"/>
              </w:rPr>
            </w:pPr>
            <w:r w:rsidRPr="00015BC4">
              <w:rPr>
                <w:rStyle w:val="CommentReference"/>
                <w:b w:val="0"/>
                <w:lang w:val="en-AU"/>
              </w:rPr>
              <w:t>Indirect</w:t>
            </w:r>
            <w:r w:rsidRPr="00015BC4">
              <w:rPr>
                <w:rStyle w:val="CommentReference"/>
                <w:b w:val="0"/>
                <w:vertAlign w:val="superscript"/>
                <w:lang w:val="en-AU"/>
              </w:rPr>
              <w:t>a</w:t>
            </w:r>
            <w:r w:rsidRPr="00015BC4">
              <w:rPr>
                <w:rStyle w:val="CommentReference"/>
                <w:b w:val="0"/>
                <w:lang w:val="en-AU"/>
              </w:rPr>
              <w:t>, EXPAND vs FREEDOM I/II (36 vs 24 months)</w:t>
            </w:r>
          </w:p>
        </w:tc>
        <w:tc>
          <w:tcPr>
            <w:tcW w:w="1792" w:type="dxa"/>
            <w:vAlign w:val="center"/>
          </w:tcPr>
          <w:p w:rsidR="00CF3731" w:rsidRPr="00015BC4" w:rsidRDefault="00CF3731" w:rsidP="00270A81">
            <w:pPr>
              <w:keepNext/>
              <w:keepLines/>
              <w:jc w:val="center"/>
              <w:rPr>
                <w:rStyle w:val="CommentReference"/>
                <w:b w:val="0"/>
                <w:lang w:val="en-AU"/>
              </w:rPr>
            </w:pPr>
            <w:r w:rsidRPr="00015BC4">
              <w:rPr>
                <w:rStyle w:val="CommentReference"/>
                <w:b w:val="0"/>
                <w:lang w:val="en-AU"/>
              </w:rPr>
              <w:t>1.197 (0.815, 1.757)</w:t>
            </w:r>
          </w:p>
        </w:tc>
      </w:tr>
    </w:tbl>
    <w:p w:rsidR="00A84A63" w:rsidRPr="00015BC4" w:rsidRDefault="00A84A63" w:rsidP="00270A81">
      <w:pPr>
        <w:pStyle w:val="TableFooter"/>
        <w:keepNext/>
        <w:keepLines/>
        <w:rPr>
          <w:lang w:val="en-AU"/>
        </w:rPr>
      </w:pPr>
      <w:r w:rsidRPr="00015BC4">
        <w:rPr>
          <w:lang w:val="en-AU"/>
        </w:rPr>
        <w:t xml:space="preserve">Source: Table 2.32 and 2.33, p119 and p121, Table 2.56, p146 and Table 2.60, p150 of the resubmission. </w:t>
      </w:r>
    </w:p>
    <w:p w:rsidR="00A84A63" w:rsidRPr="00015BC4" w:rsidRDefault="00A84A63" w:rsidP="00270A81">
      <w:pPr>
        <w:pStyle w:val="TableFooter"/>
        <w:keepNext/>
        <w:keepLines/>
        <w:jc w:val="both"/>
        <w:rPr>
          <w:lang w:val="en-AU"/>
        </w:rPr>
      </w:pPr>
      <w:r w:rsidRPr="00015BC4">
        <w:rPr>
          <w:lang w:val="en-AU"/>
        </w:rPr>
        <w:t>CDP=confirmed disability progression; CI=confide</w:t>
      </w:r>
      <w:r w:rsidR="00CF3731" w:rsidRPr="00015BC4">
        <w:rPr>
          <w:lang w:val="en-AU"/>
        </w:rPr>
        <w:t xml:space="preserve">nce interval; </w:t>
      </w:r>
      <w:r w:rsidR="00114078" w:rsidRPr="00015BC4">
        <w:rPr>
          <w:lang w:val="en-AU"/>
        </w:rPr>
        <w:t xml:space="preserve">EDSS = Expanded Disability Status Scale; </w:t>
      </w:r>
      <w:r w:rsidR="00CF3731" w:rsidRPr="00015BC4">
        <w:rPr>
          <w:lang w:val="en-AU"/>
        </w:rPr>
        <w:t xml:space="preserve">FIN = fingolimod; </w:t>
      </w:r>
      <w:r w:rsidRPr="00015BC4">
        <w:rPr>
          <w:lang w:val="en-AU"/>
        </w:rPr>
        <w:t xml:space="preserve">n=number of subjects with events; N=number of subjects in the analysis; OR=odds ratio; </w:t>
      </w:r>
      <w:r w:rsidR="00CF3731" w:rsidRPr="00015BC4">
        <w:rPr>
          <w:lang w:val="en-AU"/>
        </w:rPr>
        <w:t>RRMS = relapsing-remitting multiple sclerosis; SIP = siponimod; SPMS = secondary progressive multiple sclerosis</w:t>
      </w:r>
    </w:p>
    <w:p w:rsidR="00A84A63" w:rsidRPr="00015BC4" w:rsidRDefault="00A84A63" w:rsidP="00270A81">
      <w:pPr>
        <w:pStyle w:val="TableFooter"/>
        <w:keepNext/>
        <w:keepLines/>
        <w:rPr>
          <w:lang w:val="en-AU"/>
        </w:rPr>
      </w:pPr>
      <w:r w:rsidRPr="00015BC4">
        <w:rPr>
          <w:lang w:val="en-AU"/>
        </w:rPr>
        <w:t>Bold typography indicates statistically significant differences between groups</w:t>
      </w:r>
    </w:p>
    <w:p w:rsidR="00A84A63" w:rsidRPr="00015BC4" w:rsidRDefault="00A84A63" w:rsidP="00270A81">
      <w:pPr>
        <w:pStyle w:val="PBACtablefooter"/>
        <w:keepNext/>
        <w:keepLines/>
        <w:tabs>
          <w:tab w:val="left" w:pos="284"/>
        </w:tabs>
        <w:spacing w:before="0" w:after="120"/>
        <w:ind w:left="284" w:hanging="284"/>
        <w:rPr>
          <w:lang w:val="en-AU"/>
        </w:rPr>
      </w:pPr>
      <w:r w:rsidRPr="00015BC4">
        <w:rPr>
          <w:vertAlign w:val="superscript"/>
          <w:lang w:val="en-AU"/>
        </w:rPr>
        <w:t>a</w:t>
      </w:r>
      <w:r w:rsidRPr="00015BC4">
        <w:rPr>
          <w:lang w:val="en-AU"/>
        </w:rPr>
        <w:tab/>
        <w:t xml:space="preserve">Indirect comparison via Bucher’s method </w:t>
      </w:r>
    </w:p>
    <w:p w:rsidR="008104C5" w:rsidRPr="00015BC4" w:rsidRDefault="008104C5" w:rsidP="008104C5">
      <w:pPr>
        <w:pStyle w:val="3-BodyText"/>
        <w:rPr>
          <w:i/>
        </w:rPr>
      </w:pPr>
      <w:r w:rsidRPr="00015BC4">
        <w:t xml:space="preserve">The </w:t>
      </w:r>
      <w:r w:rsidR="00C27623" w:rsidRPr="00015BC4">
        <w:t xml:space="preserve">ARR </w:t>
      </w:r>
      <w:r w:rsidRPr="00015BC4">
        <w:t xml:space="preserve">results are shown in </w:t>
      </w:r>
      <w:r w:rsidR="00D56932" w:rsidRPr="00015BC4">
        <w:t>Table 7</w:t>
      </w:r>
      <w:r w:rsidR="00114078" w:rsidRPr="00015BC4">
        <w:t>.</w:t>
      </w:r>
    </w:p>
    <w:p w:rsidR="00E61DB4" w:rsidRDefault="00E61DB4">
      <w:pPr>
        <w:rPr>
          <w:rStyle w:val="CommentReference"/>
          <w:lang w:val="en-AU"/>
        </w:rPr>
      </w:pPr>
      <w:bookmarkStart w:id="25" w:name="_Ref38096283"/>
      <w:r>
        <w:rPr>
          <w:rStyle w:val="CommentReference"/>
          <w:lang w:val="en-AU"/>
        </w:rPr>
        <w:br w:type="page"/>
      </w:r>
    </w:p>
    <w:p w:rsidR="00A84A63" w:rsidRPr="00015BC4" w:rsidRDefault="008104C5" w:rsidP="00A84A63">
      <w:pPr>
        <w:keepNext/>
        <w:rPr>
          <w:rStyle w:val="CommentReference"/>
          <w:lang w:val="en-AU"/>
        </w:rPr>
      </w:pPr>
      <w:r w:rsidRPr="00015BC4">
        <w:rPr>
          <w:rStyle w:val="CommentReference"/>
          <w:lang w:val="en-AU"/>
        </w:rPr>
        <w:lastRenderedPageBreak/>
        <w:t>Table</w:t>
      </w:r>
      <w:r w:rsidRPr="00015BC4">
        <w:rPr>
          <w:rFonts w:ascii="Arial Narrow" w:hAnsi="Arial Narrow"/>
          <w:color w:val="000000" w:themeColor="text1"/>
          <w:sz w:val="20"/>
          <w:lang w:val="en-AU"/>
        </w:rPr>
        <w:t xml:space="preserve"> </w:t>
      </w:r>
      <w:r w:rsidR="005D4204" w:rsidRPr="00015BC4">
        <w:rPr>
          <w:rFonts w:ascii="Arial Narrow" w:hAnsi="Arial Narrow"/>
          <w:b/>
          <w:color w:val="000000" w:themeColor="text1"/>
          <w:sz w:val="20"/>
          <w:lang w:val="en-AU"/>
        </w:rPr>
        <w:t>7</w:t>
      </w:r>
      <w:bookmarkEnd w:id="25"/>
      <w:r w:rsidRPr="00015BC4">
        <w:rPr>
          <w:rStyle w:val="CommentReference"/>
          <w:lang w:val="en-AU"/>
        </w:rPr>
        <w:t xml:space="preserve">: </w:t>
      </w:r>
      <w:r w:rsidR="00A84A63" w:rsidRPr="00015BC4">
        <w:rPr>
          <w:rStyle w:val="CommentReference"/>
          <w:lang w:val="en-AU"/>
        </w:rPr>
        <w:t xml:space="preserve">Results of annualised relapse rate in the included evidence </w:t>
      </w:r>
    </w:p>
    <w:tbl>
      <w:tblPr>
        <w:tblStyle w:val="TableGrid"/>
        <w:tblW w:w="0" w:type="auto"/>
        <w:tblCellMar>
          <w:left w:w="28" w:type="dxa"/>
          <w:right w:w="28" w:type="dxa"/>
        </w:tblCellMar>
        <w:tblLook w:val="04A0" w:firstRow="1" w:lastRow="0" w:firstColumn="1" w:lastColumn="0" w:noHBand="0" w:noVBand="1"/>
      </w:tblPr>
      <w:tblGrid>
        <w:gridCol w:w="3775"/>
        <w:gridCol w:w="1800"/>
        <w:gridCol w:w="1890"/>
        <w:gridCol w:w="1552"/>
      </w:tblGrid>
      <w:tr w:rsidR="00114078" w:rsidRPr="00015BC4" w:rsidTr="00273796">
        <w:tc>
          <w:tcPr>
            <w:tcW w:w="3775" w:type="dxa"/>
          </w:tcPr>
          <w:p w:rsidR="00114078" w:rsidRPr="00015BC4" w:rsidRDefault="00114078" w:rsidP="00883747">
            <w:pPr>
              <w:rPr>
                <w:rStyle w:val="CommentReference"/>
                <w:lang w:val="en-AU"/>
              </w:rPr>
            </w:pPr>
          </w:p>
        </w:tc>
        <w:tc>
          <w:tcPr>
            <w:tcW w:w="1800" w:type="dxa"/>
            <w:vAlign w:val="center"/>
          </w:tcPr>
          <w:p w:rsidR="00114078" w:rsidRPr="00015BC4" w:rsidRDefault="00114078" w:rsidP="00883747">
            <w:pPr>
              <w:jc w:val="center"/>
              <w:rPr>
                <w:rStyle w:val="CommentReference"/>
                <w:lang w:val="en-AU"/>
              </w:rPr>
            </w:pPr>
            <w:r w:rsidRPr="00015BC4">
              <w:rPr>
                <w:rStyle w:val="CommentReference"/>
                <w:lang w:val="en-AU"/>
              </w:rPr>
              <w:t>DMT</w:t>
            </w:r>
            <w:r w:rsidR="00273796" w:rsidRPr="00015BC4">
              <w:rPr>
                <w:rStyle w:val="CommentReference"/>
                <w:lang w:val="en-AU"/>
              </w:rPr>
              <w:t>, ARR (95% CI)</w:t>
            </w:r>
          </w:p>
        </w:tc>
        <w:tc>
          <w:tcPr>
            <w:tcW w:w="1890" w:type="dxa"/>
            <w:vAlign w:val="center"/>
          </w:tcPr>
          <w:p w:rsidR="00114078" w:rsidRPr="00015BC4" w:rsidRDefault="00114078" w:rsidP="00883747">
            <w:pPr>
              <w:jc w:val="center"/>
              <w:rPr>
                <w:rStyle w:val="CommentReference"/>
                <w:lang w:val="en-AU"/>
              </w:rPr>
            </w:pPr>
            <w:r w:rsidRPr="00015BC4">
              <w:rPr>
                <w:rStyle w:val="CommentReference"/>
                <w:lang w:val="en-AU"/>
              </w:rPr>
              <w:t xml:space="preserve">Placebo, </w:t>
            </w:r>
            <w:r w:rsidR="00273796" w:rsidRPr="00015BC4">
              <w:rPr>
                <w:rStyle w:val="CommentReference"/>
                <w:lang w:val="en-AU"/>
              </w:rPr>
              <w:t>ARR (95% CI)</w:t>
            </w:r>
          </w:p>
        </w:tc>
        <w:tc>
          <w:tcPr>
            <w:tcW w:w="1552" w:type="dxa"/>
            <w:vAlign w:val="center"/>
          </w:tcPr>
          <w:p w:rsidR="00114078" w:rsidRPr="00015BC4" w:rsidRDefault="00114078" w:rsidP="00883747">
            <w:pPr>
              <w:jc w:val="center"/>
              <w:rPr>
                <w:rStyle w:val="CommentReference"/>
                <w:lang w:val="en-AU"/>
              </w:rPr>
            </w:pPr>
            <w:r w:rsidRPr="00015BC4">
              <w:rPr>
                <w:rStyle w:val="CommentReference"/>
                <w:lang w:val="en-AU"/>
              </w:rPr>
              <w:t>ARR ratio (95% CI)</w:t>
            </w:r>
          </w:p>
        </w:tc>
      </w:tr>
      <w:tr w:rsidR="00114078" w:rsidRPr="00015BC4" w:rsidTr="00273796">
        <w:tc>
          <w:tcPr>
            <w:tcW w:w="3775" w:type="dxa"/>
            <w:tcBorders>
              <w:bottom w:val="single" w:sz="4" w:space="0" w:color="auto"/>
            </w:tcBorders>
            <w:vAlign w:val="center"/>
          </w:tcPr>
          <w:p w:rsidR="00114078" w:rsidRPr="00015BC4" w:rsidRDefault="00114078" w:rsidP="00B56E6B">
            <w:pPr>
              <w:rPr>
                <w:rStyle w:val="CommentReference"/>
                <w:b w:val="0"/>
                <w:lang w:val="en-AU"/>
              </w:rPr>
            </w:pPr>
            <w:r w:rsidRPr="00015BC4">
              <w:rPr>
                <w:rStyle w:val="CommentReference"/>
                <w:b w:val="0"/>
                <w:lang w:val="en-AU"/>
              </w:rPr>
              <w:t>EXPAND SIP vs PBO (SPMS; EDSS 3.0-6.5)</w:t>
            </w:r>
          </w:p>
        </w:tc>
        <w:tc>
          <w:tcPr>
            <w:tcW w:w="1800" w:type="dxa"/>
            <w:tcBorders>
              <w:bottom w:val="single" w:sz="4" w:space="0" w:color="auto"/>
            </w:tcBorders>
          </w:tcPr>
          <w:p w:rsidR="00114078" w:rsidRPr="00015BC4" w:rsidRDefault="00114078" w:rsidP="00114078">
            <w:pPr>
              <w:pStyle w:val="PBACTabletext0"/>
              <w:keepNext/>
              <w:spacing w:before="0" w:after="0" w:line="256" w:lineRule="auto"/>
              <w:jc w:val="center"/>
              <w:rPr>
                <w:lang w:val="en-AU"/>
              </w:rPr>
            </w:pPr>
            <w:r w:rsidRPr="00015BC4">
              <w:rPr>
                <w:lang w:val="en-AU"/>
              </w:rPr>
              <w:t>0.071</w:t>
            </w:r>
          </w:p>
          <w:p w:rsidR="00114078" w:rsidRPr="00015BC4" w:rsidRDefault="00114078" w:rsidP="00114078">
            <w:pPr>
              <w:jc w:val="center"/>
              <w:rPr>
                <w:rStyle w:val="CommentReference"/>
                <w:b w:val="0"/>
                <w:szCs w:val="20"/>
                <w:lang w:val="en-AU"/>
              </w:rPr>
            </w:pPr>
            <w:r w:rsidRPr="00015BC4">
              <w:rPr>
                <w:rFonts w:ascii="Arial Narrow" w:hAnsi="Arial Narrow"/>
                <w:sz w:val="20"/>
                <w:szCs w:val="20"/>
                <w:lang w:val="en-AU"/>
              </w:rPr>
              <w:t>(0.055, 0.092)</w:t>
            </w:r>
          </w:p>
        </w:tc>
        <w:tc>
          <w:tcPr>
            <w:tcW w:w="1890" w:type="dxa"/>
            <w:tcBorders>
              <w:bottom w:val="single" w:sz="4" w:space="0" w:color="auto"/>
            </w:tcBorders>
            <w:vAlign w:val="center"/>
          </w:tcPr>
          <w:p w:rsidR="00114078" w:rsidRPr="00015BC4" w:rsidRDefault="00114078" w:rsidP="00114078">
            <w:pPr>
              <w:pStyle w:val="PBACTabletext0"/>
              <w:keepNext/>
              <w:spacing w:before="0" w:after="0" w:line="256" w:lineRule="auto"/>
              <w:jc w:val="center"/>
              <w:rPr>
                <w:lang w:val="en-AU"/>
              </w:rPr>
            </w:pPr>
            <w:r w:rsidRPr="00015BC4">
              <w:rPr>
                <w:lang w:val="en-AU"/>
              </w:rPr>
              <w:t>0.160</w:t>
            </w:r>
          </w:p>
          <w:p w:rsidR="00114078" w:rsidRPr="00015BC4" w:rsidRDefault="00114078" w:rsidP="00114078">
            <w:pPr>
              <w:jc w:val="center"/>
              <w:rPr>
                <w:rStyle w:val="CommentReference"/>
                <w:b w:val="0"/>
                <w:szCs w:val="20"/>
                <w:lang w:val="en-AU"/>
              </w:rPr>
            </w:pPr>
            <w:r w:rsidRPr="00015BC4">
              <w:rPr>
                <w:rFonts w:ascii="Arial Narrow" w:hAnsi="Arial Narrow"/>
                <w:sz w:val="20"/>
                <w:szCs w:val="20"/>
                <w:lang w:val="en-AU"/>
              </w:rPr>
              <w:t>(0.123, 0.207)</w:t>
            </w:r>
          </w:p>
        </w:tc>
        <w:tc>
          <w:tcPr>
            <w:tcW w:w="1552" w:type="dxa"/>
            <w:tcBorders>
              <w:bottom w:val="single" w:sz="4" w:space="0" w:color="auto"/>
            </w:tcBorders>
            <w:vAlign w:val="center"/>
          </w:tcPr>
          <w:p w:rsidR="00114078" w:rsidRPr="00015BC4" w:rsidRDefault="00114078" w:rsidP="00114078">
            <w:pPr>
              <w:pStyle w:val="TableText0"/>
              <w:jc w:val="center"/>
              <w:rPr>
                <w:b/>
                <w:szCs w:val="20"/>
              </w:rPr>
            </w:pPr>
            <w:r w:rsidRPr="00015BC4">
              <w:rPr>
                <w:b/>
                <w:szCs w:val="20"/>
              </w:rPr>
              <w:t>0.445</w:t>
            </w:r>
          </w:p>
          <w:p w:rsidR="00114078" w:rsidRPr="00015BC4" w:rsidRDefault="00114078" w:rsidP="00114078">
            <w:pPr>
              <w:jc w:val="center"/>
              <w:rPr>
                <w:rStyle w:val="CommentReference"/>
                <w:b w:val="0"/>
                <w:szCs w:val="20"/>
                <w:lang w:val="en-AU"/>
              </w:rPr>
            </w:pPr>
            <w:r w:rsidRPr="00015BC4">
              <w:rPr>
                <w:rFonts w:ascii="Arial Narrow" w:hAnsi="Arial Narrow"/>
                <w:b/>
                <w:sz w:val="20"/>
                <w:szCs w:val="20"/>
                <w:lang w:val="en-AU"/>
              </w:rPr>
              <w:t>(0.337, 0.587)</w:t>
            </w:r>
          </w:p>
        </w:tc>
      </w:tr>
      <w:tr w:rsidR="00114078" w:rsidRPr="00015BC4" w:rsidTr="00273796">
        <w:tc>
          <w:tcPr>
            <w:tcW w:w="3775" w:type="dxa"/>
            <w:tcBorders>
              <w:bottom w:val="double" w:sz="4" w:space="0" w:color="auto"/>
            </w:tcBorders>
            <w:vAlign w:val="center"/>
          </w:tcPr>
          <w:p w:rsidR="00114078" w:rsidRPr="00015BC4" w:rsidRDefault="00114078" w:rsidP="00B56E6B">
            <w:pPr>
              <w:rPr>
                <w:rStyle w:val="CommentReference"/>
                <w:b w:val="0"/>
                <w:lang w:val="en-AU"/>
              </w:rPr>
            </w:pPr>
            <w:r w:rsidRPr="00015BC4">
              <w:rPr>
                <w:rStyle w:val="CommentReference"/>
                <w:b w:val="0"/>
                <w:lang w:val="en-AU"/>
              </w:rPr>
              <w:t>BOLD SIP vs PBO (RRMS; EDSS 0-5.0)</w:t>
            </w:r>
          </w:p>
        </w:tc>
        <w:tc>
          <w:tcPr>
            <w:tcW w:w="1800" w:type="dxa"/>
            <w:tcBorders>
              <w:bottom w:val="double" w:sz="4" w:space="0" w:color="auto"/>
            </w:tcBorders>
          </w:tcPr>
          <w:p w:rsidR="00114078" w:rsidRPr="00015BC4" w:rsidRDefault="00114078" w:rsidP="00114078">
            <w:pPr>
              <w:pStyle w:val="PBACTabletext0"/>
              <w:keepNext/>
              <w:spacing w:before="0" w:after="0" w:line="257" w:lineRule="auto"/>
              <w:jc w:val="center"/>
              <w:rPr>
                <w:lang w:val="en-AU"/>
              </w:rPr>
            </w:pPr>
            <w:r w:rsidRPr="00015BC4">
              <w:rPr>
                <w:lang w:val="en-AU"/>
              </w:rPr>
              <w:t>0.20</w:t>
            </w:r>
          </w:p>
          <w:p w:rsidR="00114078" w:rsidRPr="00015BC4" w:rsidRDefault="00114078" w:rsidP="00114078">
            <w:pPr>
              <w:jc w:val="center"/>
              <w:rPr>
                <w:rFonts w:ascii="Arial Narrow" w:hAnsi="Arial Narrow"/>
                <w:sz w:val="20"/>
                <w:szCs w:val="20"/>
                <w:lang w:val="en-AU"/>
              </w:rPr>
            </w:pPr>
            <w:r w:rsidRPr="00015BC4">
              <w:rPr>
                <w:rFonts w:ascii="Arial Narrow" w:hAnsi="Arial Narrow"/>
                <w:sz w:val="20"/>
                <w:szCs w:val="20"/>
                <w:lang w:val="en-AU"/>
              </w:rPr>
              <w:t>(0.081,0.478)</w:t>
            </w:r>
          </w:p>
        </w:tc>
        <w:tc>
          <w:tcPr>
            <w:tcW w:w="1890" w:type="dxa"/>
            <w:tcBorders>
              <w:bottom w:val="double" w:sz="4" w:space="0" w:color="auto"/>
            </w:tcBorders>
            <w:vAlign w:val="center"/>
          </w:tcPr>
          <w:p w:rsidR="00114078" w:rsidRPr="00015BC4" w:rsidRDefault="00114078" w:rsidP="00114078">
            <w:pPr>
              <w:pStyle w:val="PBACTabletext0"/>
              <w:keepNext/>
              <w:spacing w:before="0" w:after="0" w:line="257" w:lineRule="auto"/>
              <w:jc w:val="center"/>
              <w:rPr>
                <w:lang w:val="en-AU"/>
              </w:rPr>
            </w:pPr>
            <w:r w:rsidRPr="00015BC4">
              <w:rPr>
                <w:lang w:val="en-AU"/>
              </w:rPr>
              <w:t>0.580</w:t>
            </w:r>
          </w:p>
          <w:p w:rsidR="00114078" w:rsidRPr="00015BC4" w:rsidRDefault="00114078" w:rsidP="00114078">
            <w:pPr>
              <w:jc w:val="center"/>
              <w:rPr>
                <w:rStyle w:val="CommentReference"/>
                <w:b w:val="0"/>
                <w:szCs w:val="20"/>
                <w:lang w:val="en-AU"/>
              </w:rPr>
            </w:pPr>
            <w:r w:rsidRPr="00015BC4">
              <w:rPr>
                <w:rFonts w:ascii="Arial Narrow" w:hAnsi="Arial Narrow"/>
                <w:sz w:val="20"/>
                <w:szCs w:val="20"/>
                <w:lang w:val="en-AU"/>
              </w:rPr>
              <w:t>(0.337,1.002)</w:t>
            </w:r>
          </w:p>
        </w:tc>
        <w:tc>
          <w:tcPr>
            <w:tcW w:w="1552" w:type="dxa"/>
            <w:tcBorders>
              <w:bottom w:val="double" w:sz="4" w:space="0" w:color="auto"/>
            </w:tcBorders>
            <w:vAlign w:val="center"/>
          </w:tcPr>
          <w:p w:rsidR="00114078" w:rsidRPr="00015BC4" w:rsidRDefault="00114078" w:rsidP="00114078">
            <w:pPr>
              <w:pStyle w:val="TableText0"/>
              <w:jc w:val="center"/>
              <w:rPr>
                <w:b/>
                <w:szCs w:val="20"/>
              </w:rPr>
            </w:pPr>
            <w:r w:rsidRPr="00015BC4">
              <w:rPr>
                <w:b/>
                <w:szCs w:val="20"/>
              </w:rPr>
              <w:t>0.340</w:t>
            </w:r>
          </w:p>
          <w:p w:rsidR="00114078" w:rsidRPr="00015BC4" w:rsidRDefault="00114078" w:rsidP="00114078">
            <w:pPr>
              <w:jc w:val="center"/>
              <w:rPr>
                <w:rFonts w:ascii="Arial Narrow" w:hAnsi="Arial Narrow"/>
                <w:b/>
                <w:sz w:val="20"/>
                <w:szCs w:val="20"/>
                <w:lang w:val="en-AU"/>
              </w:rPr>
            </w:pPr>
            <w:r w:rsidRPr="00015BC4">
              <w:rPr>
                <w:rFonts w:ascii="Arial Narrow" w:hAnsi="Arial Narrow"/>
                <w:b/>
                <w:sz w:val="20"/>
                <w:szCs w:val="20"/>
                <w:lang w:val="en-AU"/>
              </w:rPr>
              <w:t>(0.121, 0.956)</w:t>
            </w:r>
          </w:p>
        </w:tc>
      </w:tr>
      <w:tr w:rsidR="00B56E6B" w:rsidRPr="00015BC4" w:rsidTr="00273796">
        <w:tc>
          <w:tcPr>
            <w:tcW w:w="3775" w:type="dxa"/>
            <w:tcBorders>
              <w:top w:val="double" w:sz="4" w:space="0" w:color="auto"/>
            </w:tcBorders>
            <w:vAlign w:val="center"/>
          </w:tcPr>
          <w:p w:rsidR="00B56E6B" w:rsidRPr="00015BC4" w:rsidRDefault="00B56E6B" w:rsidP="00B56E6B">
            <w:pPr>
              <w:rPr>
                <w:rStyle w:val="CommentReference"/>
                <w:b w:val="0"/>
                <w:lang w:val="en-AU"/>
              </w:rPr>
            </w:pPr>
            <w:r w:rsidRPr="00015BC4">
              <w:rPr>
                <w:rStyle w:val="CommentReference"/>
                <w:b w:val="0"/>
                <w:lang w:val="en-AU"/>
              </w:rPr>
              <w:t>FREEDOMS I FIN vs PBO (RRMS, EDSS 0-5.5)</w:t>
            </w:r>
          </w:p>
        </w:tc>
        <w:tc>
          <w:tcPr>
            <w:tcW w:w="1800" w:type="dxa"/>
            <w:tcBorders>
              <w:top w:val="double" w:sz="4" w:space="0" w:color="auto"/>
            </w:tcBorders>
          </w:tcPr>
          <w:p w:rsidR="00B56E6B" w:rsidRPr="00015BC4" w:rsidRDefault="00B56E6B" w:rsidP="00B56E6B">
            <w:pPr>
              <w:jc w:val="center"/>
              <w:rPr>
                <w:rFonts w:ascii="Arial Narrow" w:hAnsi="Arial Narrow"/>
                <w:sz w:val="20"/>
                <w:lang w:val="en-AU"/>
              </w:rPr>
            </w:pPr>
            <w:r w:rsidRPr="00015BC4">
              <w:rPr>
                <w:rFonts w:ascii="Arial Narrow" w:hAnsi="Arial Narrow"/>
                <w:sz w:val="20"/>
                <w:lang w:val="en-AU"/>
              </w:rPr>
              <w:t>0.211</w:t>
            </w:r>
          </w:p>
          <w:p w:rsidR="00B56E6B" w:rsidRPr="00015BC4" w:rsidRDefault="00B56E6B" w:rsidP="00B56E6B">
            <w:pPr>
              <w:jc w:val="center"/>
              <w:rPr>
                <w:rStyle w:val="CommentReference"/>
                <w:b w:val="0"/>
                <w:lang w:val="en-AU"/>
              </w:rPr>
            </w:pPr>
            <w:r w:rsidRPr="00015BC4">
              <w:rPr>
                <w:rFonts w:ascii="Arial Narrow" w:hAnsi="Arial Narrow"/>
                <w:sz w:val="20"/>
                <w:lang w:val="en-AU"/>
              </w:rPr>
              <w:t xml:space="preserve"> (0.178, 0.250)</w:t>
            </w:r>
          </w:p>
        </w:tc>
        <w:tc>
          <w:tcPr>
            <w:tcW w:w="1890" w:type="dxa"/>
            <w:tcBorders>
              <w:top w:val="double" w:sz="4" w:space="0" w:color="auto"/>
            </w:tcBorders>
          </w:tcPr>
          <w:p w:rsidR="00B56E6B" w:rsidRPr="00015BC4" w:rsidRDefault="00B56E6B" w:rsidP="00B56E6B">
            <w:pPr>
              <w:jc w:val="center"/>
              <w:rPr>
                <w:rFonts w:ascii="Arial Narrow" w:hAnsi="Arial Narrow"/>
                <w:sz w:val="20"/>
                <w:lang w:val="en-AU"/>
              </w:rPr>
            </w:pPr>
            <w:r w:rsidRPr="00015BC4">
              <w:rPr>
                <w:rFonts w:ascii="Arial Narrow" w:hAnsi="Arial Narrow"/>
                <w:sz w:val="20"/>
                <w:lang w:val="en-AU"/>
              </w:rPr>
              <w:t xml:space="preserve">0.469 </w:t>
            </w:r>
          </w:p>
          <w:p w:rsidR="00B56E6B" w:rsidRPr="00015BC4" w:rsidRDefault="00B56E6B" w:rsidP="00B56E6B">
            <w:pPr>
              <w:jc w:val="center"/>
              <w:rPr>
                <w:rStyle w:val="CommentReference"/>
                <w:b w:val="0"/>
                <w:lang w:val="en-AU"/>
              </w:rPr>
            </w:pPr>
            <w:r w:rsidRPr="00015BC4">
              <w:rPr>
                <w:rFonts w:ascii="Arial Narrow" w:hAnsi="Arial Narrow"/>
                <w:sz w:val="20"/>
                <w:lang w:val="en-AU"/>
              </w:rPr>
              <w:t>(0.412, 0.533)</w:t>
            </w:r>
          </w:p>
        </w:tc>
        <w:tc>
          <w:tcPr>
            <w:tcW w:w="1552" w:type="dxa"/>
            <w:tcBorders>
              <w:top w:val="double" w:sz="4" w:space="0" w:color="auto"/>
            </w:tcBorders>
          </w:tcPr>
          <w:p w:rsidR="00B56E6B" w:rsidRPr="00015BC4" w:rsidRDefault="00B56E6B" w:rsidP="00B56E6B">
            <w:pPr>
              <w:pStyle w:val="PBACTableText"/>
              <w:spacing w:before="0" w:after="0"/>
              <w:jc w:val="center"/>
              <w:rPr>
                <w:b/>
                <w:lang w:val="en-AU"/>
              </w:rPr>
            </w:pPr>
            <w:r w:rsidRPr="00015BC4">
              <w:rPr>
                <w:b/>
                <w:lang w:val="en-AU"/>
              </w:rPr>
              <w:t xml:space="preserve">0.450 </w:t>
            </w:r>
          </w:p>
          <w:p w:rsidR="00B56E6B" w:rsidRPr="00015BC4" w:rsidRDefault="00B56E6B" w:rsidP="00B56E6B">
            <w:pPr>
              <w:pStyle w:val="PBACTableText"/>
              <w:spacing w:before="0" w:after="0"/>
              <w:jc w:val="center"/>
              <w:rPr>
                <w:rStyle w:val="CommentReference"/>
                <w:b w:val="0"/>
                <w:lang w:val="en-AU"/>
              </w:rPr>
            </w:pPr>
            <w:r w:rsidRPr="00015BC4">
              <w:rPr>
                <w:b/>
                <w:lang w:val="en-AU"/>
              </w:rPr>
              <w:t>(0.365, 0.556)</w:t>
            </w:r>
          </w:p>
        </w:tc>
      </w:tr>
      <w:tr w:rsidR="00B56E6B" w:rsidRPr="00015BC4" w:rsidTr="00273796">
        <w:tc>
          <w:tcPr>
            <w:tcW w:w="3775" w:type="dxa"/>
            <w:vAlign w:val="center"/>
          </w:tcPr>
          <w:p w:rsidR="00B56E6B" w:rsidRPr="00015BC4" w:rsidRDefault="00B56E6B" w:rsidP="00B56E6B">
            <w:pPr>
              <w:rPr>
                <w:rStyle w:val="CommentReference"/>
                <w:b w:val="0"/>
                <w:lang w:val="en-AU"/>
              </w:rPr>
            </w:pPr>
            <w:r w:rsidRPr="00015BC4">
              <w:rPr>
                <w:rStyle w:val="CommentReference"/>
                <w:b w:val="0"/>
                <w:lang w:val="en-AU"/>
              </w:rPr>
              <w:t>FREEDOMS II FIN vs PBO (RRMS, EDSS 0-5.5)</w:t>
            </w:r>
          </w:p>
        </w:tc>
        <w:tc>
          <w:tcPr>
            <w:tcW w:w="1800" w:type="dxa"/>
          </w:tcPr>
          <w:p w:rsidR="00B56E6B" w:rsidRPr="00015BC4" w:rsidRDefault="00B56E6B" w:rsidP="00B56E6B">
            <w:pPr>
              <w:jc w:val="center"/>
              <w:rPr>
                <w:rFonts w:ascii="Arial Narrow" w:hAnsi="Arial Narrow"/>
                <w:sz w:val="20"/>
                <w:lang w:val="en-AU"/>
              </w:rPr>
            </w:pPr>
            <w:r w:rsidRPr="00015BC4">
              <w:rPr>
                <w:rFonts w:ascii="Arial Narrow" w:hAnsi="Arial Narrow"/>
                <w:sz w:val="20"/>
                <w:lang w:val="en-AU"/>
              </w:rPr>
              <w:t xml:space="preserve">0.204 </w:t>
            </w:r>
          </w:p>
          <w:p w:rsidR="00B56E6B" w:rsidRPr="00015BC4" w:rsidRDefault="00B56E6B" w:rsidP="00B56E6B">
            <w:pPr>
              <w:jc w:val="center"/>
              <w:rPr>
                <w:rStyle w:val="CommentReference"/>
                <w:b w:val="0"/>
                <w:lang w:val="en-AU"/>
              </w:rPr>
            </w:pPr>
            <w:r w:rsidRPr="00015BC4">
              <w:rPr>
                <w:rFonts w:ascii="Arial Narrow" w:hAnsi="Arial Narrow"/>
                <w:sz w:val="20"/>
                <w:lang w:val="en-AU"/>
              </w:rPr>
              <w:t>(0.168, 0.249)</w:t>
            </w:r>
          </w:p>
        </w:tc>
        <w:tc>
          <w:tcPr>
            <w:tcW w:w="1890" w:type="dxa"/>
          </w:tcPr>
          <w:p w:rsidR="00B56E6B" w:rsidRPr="00015BC4" w:rsidRDefault="00B56E6B" w:rsidP="00B56E6B">
            <w:pPr>
              <w:jc w:val="center"/>
              <w:rPr>
                <w:rFonts w:ascii="Arial Narrow" w:hAnsi="Arial Narrow"/>
                <w:sz w:val="20"/>
                <w:lang w:val="en-AU"/>
              </w:rPr>
            </w:pPr>
            <w:r w:rsidRPr="00015BC4">
              <w:rPr>
                <w:rFonts w:ascii="Arial Narrow" w:hAnsi="Arial Narrow"/>
                <w:sz w:val="20"/>
                <w:lang w:val="en-AU"/>
              </w:rPr>
              <w:t xml:space="preserve">0.394 </w:t>
            </w:r>
          </w:p>
          <w:p w:rsidR="00B56E6B" w:rsidRPr="00015BC4" w:rsidRDefault="00B56E6B" w:rsidP="00B56E6B">
            <w:pPr>
              <w:jc w:val="center"/>
              <w:rPr>
                <w:rStyle w:val="CommentReference"/>
                <w:b w:val="0"/>
                <w:lang w:val="en-AU"/>
              </w:rPr>
            </w:pPr>
            <w:r w:rsidRPr="00015BC4">
              <w:rPr>
                <w:rFonts w:ascii="Arial Narrow" w:hAnsi="Arial Narrow"/>
                <w:sz w:val="20"/>
                <w:lang w:val="en-AU"/>
              </w:rPr>
              <w:t>(0.336, 0.462)</w:t>
            </w:r>
          </w:p>
        </w:tc>
        <w:tc>
          <w:tcPr>
            <w:tcW w:w="1552" w:type="dxa"/>
          </w:tcPr>
          <w:p w:rsidR="00B56E6B" w:rsidRPr="00015BC4" w:rsidRDefault="00B56E6B" w:rsidP="00B56E6B">
            <w:pPr>
              <w:pStyle w:val="PBACTableText"/>
              <w:spacing w:before="0" w:after="0"/>
              <w:jc w:val="center"/>
              <w:rPr>
                <w:b/>
                <w:lang w:val="en-AU"/>
              </w:rPr>
            </w:pPr>
            <w:r w:rsidRPr="00015BC4">
              <w:rPr>
                <w:b/>
                <w:lang w:val="en-AU"/>
              </w:rPr>
              <w:t xml:space="preserve">0.519 </w:t>
            </w:r>
          </w:p>
          <w:p w:rsidR="00B56E6B" w:rsidRPr="00015BC4" w:rsidRDefault="00B56E6B" w:rsidP="00B56E6B">
            <w:pPr>
              <w:pStyle w:val="PBACTableText"/>
              <w:spacing w:before="0" w:after="0"/>
              <w:jc w:val="center"/>
              <w:rPr>
                <w:rStyle w:val="CommentReference"/>
                <w:szCs w:val="20"/>
                <w:lang w:val="en-AU"/>
              </w:rPr>
            </w:pPr>
            <w:r w:rsidRPr="00015BC4">
              <w:rPr>
                <w:b/>
                <w:lang w:val="en-AU"/>
              </w:rPr>
              <w:t>(0.404, 0.667)</w:t>
            </w:r>
          </w:p>
        </w:tc>
      </w:tr>
      <w:tr w:rsidR="00B56E6B" w:rsidRPr="00015BC4" w:rsidTr="00273796">
        <w:tc>
          <w:tcPr>
            <w:tcW w:w="3775" w:type="dxa"/>
            <w:vAlign w:val="center"/>
          </w:tcPr>
          <w:p w:rsidR="00B56E6B" w:rsidRPr="00015BC4" w:rsidRDefault="00B56E6B" w:rsidP="00B56E6B">
            <w:pPr>
              <w:rPr>
                <w:rStyle w:val="CommentReference"/>
                <w:b w:val="0"/>
                <w:lang w:val="en-AU"/>
              </w:rPr>
            </w:pPr>
            <w:r w:rsidRPr="00015BC4">
              <w:rPr>
                <w:rStyle w:val="CommentReference"/>
                <w:b w:val="0"/>
                <w:lang w:val="en-AU"/>
              </w:rPr>
              <w:t>FREEDOMS I/II FIN vs PBO (RRMS, EDSS 0-5.5)</w:t>
            </w:r>
          </w:p>
        </w:tc>
        <w:tc>
          <w:tcPr>
            <w:tcW w:w="1800" w:type="dxa"/>
          </w:tcPr>
          <w:p w:rsidR="00B56E6B" w:rsidRPr="00015BC4" w:rsidRDefault="00B56E6B" w:rsidP="00B56E6B">
            <w:pPr>
              <w:jc w:val="center"/>
              <w:rPr>
                <w:rFonts w:ascii="Arial Narrow" w:hAnsi="Arial Narrow"/>
                <w:sz w:val="20"/>
                <w:lang w:val="en-AU"/>
              </w:rPr>
            </w:pPr>
            <w:r w:rsidRPr="00015BC4">
              <w:rPr>
                <w:rFonts w:ascii="Arial Narrow" w:hAnsi="Arial Narrow"/>
                <w:sz w:val="20"/>
                <w:lang w:val="en-AU"/>
              </w:rPr>
              <w:t xml:space="preserve">0.209 </w:t>
            </w:r>
          </w:p>
          <w:p w:rsidR="00B56E6B" w:rsidRPr="00015BC4" w:rsidRDefault="00B56E6B" w:rsidP="00B56E6B">
            <w:pPr>
              <w:jc w:val="center"/>
              <w:rPr>
                <w:rStyle w:val="CommentReference"/>
                <w:b w:val="0"/>
                <w:lang w:val="en-AU"/>
              </w:rPr>
            </w:pPr>
            <w:r w:rsidRPr="00015BC4">
              <w:rPr>
                <w:rFonts w:ascii="Arial Narrow" w:hAnsi="Arial Narrow"/>
                <w:sz w:val="20"/>
                <w:lang w:val="en-AU"/>
              </w:rPr>
              <w:t>(0.184, 0.2380</w:t>
            </w:r>
          </w:p>
        </w:tc>
        <w:tc>
          <w:tcPr>
            <w:tcW w:w="1890" w:type="dxa"/>
          </w:tcPr>
          <w:p w:rsidR="00B56E6B" w:rsidRPr="00015BC4" w:rsidRDefault="00B56E6B" w:rsidP="00B56E6B">
            <w:pPr>
              <w:jc w:val="center"/>
              <w:rPr>
                <w:rFonts w:ascii="Arial Narrow" w:hAnsi="Arial Narrow"/>
                <w:sz w:val="20"/>
                <w:lang w:val="en-AU"/>
              </w:rPr>
            </w:pPr>
            <w:r w:rsidRPr="00015BC4">
              <w:rPr>
                <w:rFonts w:ascii="Arial Narrow" w:hAnsi="Arial Narrow"/>
                <w:sz w:val="20"/>
                <w:lang w:val="en-AU"/>
              </w:rPr>
              <w:t xml:space="preserve">0.438 </w:t>
            </w:r>
          </w:p>
          <w:p w:rsidR="00B56E6B" w:rsidRPr="00015BC4" w:rsidRDefault="00B56E6B" w:rsidP="00B56E6B">
            <w:pPr>
              <w:jc w:val="center"/>
              <w:rPr>
                <w:rStyle w:val="CommentReference"/>
                <w:b w:val="0"/>
                <w:lang w:val="en-AU"/>
              </w:rPr>
            </w:pPr>
            <w:r w:rsidRPr="00015BC4">
              <w:rPr>
                <w:rFonts w:ascii="Arial Narrow" w:hAnsi="Arial Narrow"/>
                <w:sz w:val="20"/>
                <w:lang w:val="en-AU"/>
              </w:rPr>
              <w:t>(0.396, 0.485)</w:t>
            </w:r>
          </w:p>
        </w:tc>
        <w:tc>
          <w:tcPr>
            <w:tcW w:w="1552" w:type="dxa"/>
          </w:tcPr>
          <w:p w:rsidR="00B56E6B" w:rsidRPr="00015BC4" w:rsidRDefault="00B56E6B" w:rsidP="00B56E6B">
            <w:pPr>
              <w:pStyle w:val="PBACTableText"/>
              <w:spacing w:before="0" w:after="0"/>
              <w:jc w:val="center"/>
              <w:rPr>
                <w:b/>
                <w:lang w:val="en-AU"/>
              </w:rPr>
            </w:pPr>
            <w:r w:rsidRPr="00015BC4">
              <w:rPr>
                <w:b/>
                <w:lang w:val="en-AU"/>
              </w:rPr>
              <w:t xml:space="preserve">0.477 </w:t>
            </w:r>
          </w:p>
          <w:p w:rsidR="00B56E6B" w:rsidRPr="00015BC4" w:rsidRDefault="00B56E6B" w:rsidP="00B56E6B">
            <w:pPr>
              <w:pStyle w:val="PBACTableText"/>
              <w:spacing w:before="0" w:after="0"/>
              <w:jc w:val="center"/>
              <w:rPr>
                <w:rStyle w:val="CommentReference"/>
                <w:b w:val="0"/>
                <w:lang w:val="en-AU"/>
              </w:rPr>
            </w:pPr>
            <w:r w:rsidRPr="00015BC4">
              <w:rPr>
                <w:b/>
                <w:lang w:val="en-AU"/>
              </w:rPr>
              <w:t>(0.406, 0.561)</w:t>
            </w:r>
          </w:p>
        </w:tc>
      </w:tr>
      <w:tr w:rsidR="00B56E6B" w:rsidRPr="00015BC4" w:rsidTr="00273796">
        <w:tc>
          <w:tcPr>
            <w:tcW w:w="7465" w:type="dxa"/>
            <w:gridSpan w:val="3"/>
            <w:vAlign w:val="center"/>
          </w:tcPr>
          <w:p w:rsidR="00B56E6B" w:rsidRPr="00015BC4" w:rsidRDefault="00B56E6B" w:rsidP="00B56E6B">
            <w:pPr>
              <w:jc w:val="right"/>
              <w:rPr>
                <w:rStyle w:val="CommentReference"/>
                <w:b w:val="0"/>
                <w:lang w:val="en-AU"/>
              </w:rPr>
            </w:pPr>
            <w:r w:rsidRPr="00015BC4">
              <w:rPr>
                <w:rStyle w:val="CommentReference"/>
                <w:b w:val="0"/>
                <w:lang w:val="en-AU"/>
              </w:rPr>
              <w:t>Indirect</w:t>
            </w:r>
            <w:r w:rsidRPr="00015BC4">
              <w:rPr>
                <w:rStyle w:val="CommentReference"/>
                <w:b w:val="0"/>
                <w:vertAlign w:val="superscript"/>
                <w:lang w:val="en-AU"/>
              </w:rPr>
              <w:t>a</w:t>
            </w:r>
            <w:r w:rsidRPr="00015BC4">
              <w:rPr>
                <w:rStyle w:val="CommentReference"/>
                <w:b w:val="0"/>
                <w:lang w:val="en-AU"/>
              </w:rPr>
              <w:t>, EXPAND vs FREEDOM I/II (36 vs 24 months)</w:t>
            </w:r>
          </w:p>
        </w:tc>
        <w:tc>
          <w:tcPr>
            <w:tcW w:w="1552" w:type="dxa"/>
          </w:tcPr>
          <w:p w:rsidR="00B56E6B" w:rsidRPr="00015BC4" w:rsidRDefault="00B56E6B" w:rsidP="00B56E6B">
            <w:pPr>
              <w:pStyle w:val="TableText0"/>
              <w:jc w:val="center"/>
            </w:pPr>
            <w:r w:rsidRPr="00015BC4">
              <w:t>0.713</w:t>
            </w:r>
          </w:p>
          <w:p w:rsidR="00B56E6B" w:rsidRPr="00015BC4" w:rsidRDefault="00B56E6B" w:rsidP="00B56E6B">
            <w:pPr>
              <w:pStyle w:val="PBACTableText"/>
              <w:spacing w:before="0" w:after="0"/>
              <w:jc w:val="center"/>
              <w:rPr>
                <w:rStyle w:val="CommentReference"/>
                <w:b w:val="0"/>
                <w:lang w:val="en-AU"/>
              </w:rPr>
            </w:pPr>
            <w:r w:rsidRPr="00015BC4">
              <w:rPr>
                <w:lang w:val="en-AU"/>
              </w:rPr>
              <w:t>(0.250, 2.029)</w:t>
            </w:r>
          </w:p>
        </w:tc>
      </w:tr>
      <w:tr w:rsidR="00B56E6B" w:rsidRPr="00015BC4" w:rsidTr="00273796">
        <w:tc>
          <w:tcPr>
            <w:tcW w:w="7465" w:type="dxa"/>
            <w:gridSpan w:val="3"/>
            <w:vAlign w:val="center"/>
          </w:tcPr>
          <w:p w:rsidR="00B56E6B" w:rsidRPr="00015BC4" w:rsidRDefault="00B56E6B" w:rsidP="00B56E6B">
            <w:pPr>
              <w:jc w:val="right"/>
              <w:rPr>
                <w:rStyle w:val="CommentReference"/>
                <w:b w:val="0"/>
                <w:lang w:val="en-AU"/>
              </w:rPr>
            </w:pPr>
            <w:r w:rsidRPr="00015BC4">
              <w:rPr>
                <w:rStyle w:val="CommentReference"/>
                <w:b w:val="0"/>
                <w:lang w:val="en-AU"/>
              </w:rPr>
              <w:t>Indirect</w:t>
            </w:r>
            <w:r w:rsidRPr="00015BC4">
              <w:rPr>
                <w:rStyle w:val="CommentReference"/>
                <w:b w:val="0"/>
                <w:vertAlign w:val="superscript"/>
                <w:lang w:val="en-AU"/>
              </w:rPr>
              <w:t>a</w:t>
            </w:r>
            <w:r w:rsidRPr="00015BC4">
              <w:rPr>
                <w:rStyle w:val="CommentReference"/>
                <w:b w:val="0"/>
                <w:lang w:val="en-AU"/>
              </w:rPr>
              <w:t>, BOLD vs FREEDOM I/II (6 vs 24 months)</w:t>
            </w:r>
          </w:p>
        </w:tc>
        <w:tc>
          <w:tcPr>
            <w:tcW w:w="1552" w:type="dxa"/>
          </w:tcPr>
          <w:p w:rsidR="00B56E6B" w:rsidRPr="00015BC4" w:rsidRDefault="00B56E6B" w:rsidP="00B56E6B">
            <w:pPr>
              <w:pStyle w:val="TableText0"/>
              <w:jc w:val="center"/>
            </w:pPr>
            <w:r w:rsidRPr="00015BC4">
              <w:t>0.933</w:t>
            </w:r>
          </w:p>
          <w:p w:rsidR="00B56E6B" w:rsidRPr="00015BC4" w:rsidRDefault="00B56E6B" w:rsidP="00B56E6B">
            <w:pPr>
              <w:pStyle w:val="PBACTableText"/>
              <w:spacing w:before="0" w:after="0"/>
              <w:jc w:val="center"/>
              <w:rPr>
                <w:lang w:val="en-AU"/>
              </w:rPr>
            </w:pPr>
            <w:r w:rsidRPr="00015BC4">
              <w:rPr>
                <w:lang w:val="en-AU"/>
              </w:rPr>
              <w:t>(0.677, 1.286)</w:t>
            </w:r>
          </w:p>
        </w:tc>
      </w:tr>
    </w:tbl>
    <w:p w:rsidR="00A84A63" w:rsidRPr="00015BC4" w:rsidRDefault="00A84A63" w:rsidP="00A84A63">
      <w:pPr>
        <w:pStyle w:val="TableFooter"/>
        <w:rPr>
          <w:lang w:val="en-AU"/>
        </w:rPr>
      </w:pPr>
      <w:r w:rsidRPr="00015BC4">
        <w:rPr>
          <w:lang w:val="en-AU"/>
        </w:rPr>
        <w:t xml:space="preserve">Source: Table 2.26, p114 and </w:t>
      </w:r>
      <w:r w:rsidRPr="00015BC4">
        <w:rPr>
          <w:rStyle w:val="CommentReference"/>
          <w:b w:val="0"/>
          <w:sz w:val="18"/>
          <w:szCs w:val="18"/>
          <w:lang w:val="en-AU"/>
        </w:rPr>
        <w:t>Table 2.27,</w:t>
      </w:r>
      <w:r w:rsidRPr="00015BC4">
        <w:rPr>
          <w:rStyle w:val="CommentReference"/>
          <w:b w:val="0"/>
          <w:sz w:val="18"/>
          <w:szCs w:val="24"/>
          <w:lang w:val="en-AU"/>
        </w:rPr>
        <w:t xml:space="preserve"> p115</w:t>
      </w:r>
      <w:r w:rsidRPr="00015BC4">
        <w:rPr>
          <w:rStyle w:val="CommentReference"/>
          <w:b w:val="0"/>
          <w:lang w:val="en-AU"/>
        </w:rPr>
        <w:t xml:space="preserve">, </w:t>
      </w:r>
      <w:r w:rsidRPr="00015BC4">
        <w:rPr>
          <w:lang w:val="en-AU"/>
        </w:rPr>
        <w:t>Table 2.54, p144 and Table 2.58, p149</w:t>
      </w:r>
      <w:r w:rsidRPr="00015BC4">
        <w:rPr>
          <w:rStyle w:val="CommentReference"/>
          <w:b w:val="0"/>
          <w:sz w:val="18"/>
          <w:szCs w:val="24"/>
          <w:lang w:val="en-AU"/>
        </w:rPr>
        <w:t xml:space="preserve"> </w:t>
      </w:r>
      <w:r w:rsidRPr="00015BC4">
        <w:rPr>
          <w:lang w:val="en-AU"/>
        </w:rPr>
        <w:t>of the resubmission</w:t>
      </w:r>
    </w:p>
    <w:p w:rsidR="00A84A63" w:rsidRPr="00015BC4" w:rsidRDefault="00A84A63" w:rsidP="00A84A63">
      <w:pPr>
        <w:pStyle w:val="PBACtablefooter"/>
        <w:keepNext/>
        <w:spacing w:before="0"/>
        <w:rPr>
          <w:lang w:val="en-AU"/>
        </w:rPr>
      </w:pPr>
      <w:r w:rsidRPr="00015BC4">
        <w:rPr>
          <w:lang w:val="en-AU"/>
        </w:rPr>
        <w:t xml:space="preserve">ARR=annualised relapse rate; CI=confidence interval; </w:t>
      </w:r>
      <w:r w:rsidR="00B56E6B" w:rsidRPr="00015BC4">
        <w:rPr>
          <w:lang w:val="en-AU"/>
        </w:rPr>
        <w:t>EDSS = Expanded Disability Status Scale; FIN = fingolimod;</w:t>
      </w:r>
      <w:r w:rsidRPr="00015BC4">
        <w:rPr>
          <w:lang w:val="en-AU"/>
        </w:rPr>
        <w:t xml:space="preserve"> n=overall number of relapses in the analysis period for all subjects; N=number of subjects in the analysis; </w:t>
      </w:r>
      <w:r w:rsidR="00B56E6B" w:rsidRPr="00015BC4">
        <w:rPr>
          <w:lang w:val="en-AU"/>
        </w:rPr>
        <w:t>OR=odds ratio; RRMS = relapsing-remitting multiple sclerosis; SIP = siponimod; SPMS = secondary progressive multiple sclerosis</w:t>
      </w:r>
    </w:p>
    <w:p w:rsidR="00A84A63" w:rsidRPr="00015BC4" w:rsidRDefault="00A84A63" w:rsidP="00B56E6B">
      <w:pPr>
        <w:pStyle w:val="TableFooter"/>
        <w:keepNext/>
        <w:tabs>
          <w:tab w:val="left" w:pos="284"/>
        </w:tabs>
        <w:ind w:left="284" w:hanging="284"/>
        <w:jc w:val="both"/>
        <w:rPr>
          <w:lang w:val="en-AU"/>
        </w:rPr>
      </w:pPr>
      <w:r w:rsidRPr="00015BC4">
        <w:rPr>
          <w:vertAlign w:val="superscript"/>
          <w:lang w:val="en-AU"/>
        </w:rPr>
        <w:t>a</w:t>
      </w:r>
      <w:r w:rsidRPr="00015BC4">
        <w:rPr>
          <w:lang w:val="en-AU"/>
        </w:rPr>
        <w:tab/>
        <w:t xml:space="preserve">Indirect comparison via Bucher’s method </w:t>
      </w:r>
    </w:p>
    <w:p w:rsidR="00A84A63" w:rsidRPr="00015BC4" w:rsidRDefault="00A84A63" w:rsidP="00A84A63">
      <w:pPr>
        <w:pStyle w:val="TableFooter"/>
        <w:rPr>
          <w:lang w:val="en-AU"/>
        </w:rPr>
      </w:pPr>
      <w:r w:rsidRPr="00015BC4">
        <w:rPr>
          <w:lang w:val="en-AU"/>
        </w:rPr>
        <w:t>Bold typography indicates statistically significant differences between groups</w:t>
      </w:r>
    </w:p>
    <w:p w:rsidR="008104C5" w:rsidRPr="00015BC4" w:rsidRDefault="008104C5" w:rsidP="008104C5">
      <w:pPr>
        <w:rPr>
          <w:rStyle w:val="CommentReference"/>
          <w:rFonts w:ascii="Times New Roman" w:hAnsi="Times New Roman"/>
          <w:b w:val="0"/>
          <w:sz w:val="24"/>
          <w:szCs w:val="24"/>
          <w:lang w:val="en-AU"/>
        </w:rPr>
      </w:pPr>
    </w:p>
    <w:p w:rsidR="008104C5" w:rsidRPr="00015BC4" w:rsidRDefault="00DF2080" w:rsidP="008104C5">
      <w:pPr>
        <w:pStyle w:val="3-BodyText"/>
      </w:pPr>
      <w:r w:rsidRPr="00015BC4">
        <w:t>Table 8</w:t>
      </w:r>
      <w:r w:rsidR="008104C5" w:rsidRPr="00015BC4">
        <w:t xml:space="preserve"> presents pooled results for proportio</w:t>
      </w:r>
      <w:r w:rsidR="00B56E6B" w:rsidRPr="00015BC4">
        <w:t>n of patients remaining relapse-</w:t>
      </w:r>
      <w:r w:rsidR="008104C5" w:rsidRPr="00015BC4">
        <w:t>free.</w:t>
      </w:r>
    </w:p>
    <w:p w:rsidR="00E71706" w:rsidRPr="00015BC4" w:rsidRDefault="008104C5" w:rsidP="00270A81">
      <w:pPr>
        <w:keepNext/>
        <w:keepLines/>
        <w:rPr>
          <w:rStyle w:val="CommentReference"/>
          <w:lang w:val="en-AU"/>
        </w:rPr>
      </w:pPr>
      <w:bookmarkStart w:id="26" w:name="_Ref38096476"/>
      <w:r w:rsidRPr="00015BC4">
        <w:rPr>
          <w:rStyle w:val="CommentReference"/>
          <w:lang w:val="en-AU"/>
        </w:rPr>
        <w:t>Table</w:t>
      </w:r>
      <w:r w:rsidRPr="00015BC4">
        <w:rPr>
          <w:color w:val="000000" w:themeColor="text1"/>
          <w:sz w:val="20"/>
          <w:lang w:val="en-AU"/>
        </w:rPr>
        <w:t xml:space="preserve"> </w:t>
      </w:r>
      <w:r w:rsidR="005D4204" w:rsidRPr="00015BC4">
        <w:rPr>
          <w:b/>
          <w:color w:val="000000" w:themeColor="text1"/>
          <w:sz w:val="20"/>
          <w:lang w:val="en-AU"/>
        </w:rPr>
        <w:t>8</w:t>
      </w:r>
      <w:bookmarkEnd w:id="26"/>
      <w:r w:rsidRPr="00015BC4">
        <w:rPr>
          <w:rStyle w:val="CommentReference"/>
          <w:lang w:val="en-AU"/>
        </w:rPr>
        <w:t xml:space="preserve">: </w:t>
      </w:r>
      <w:r w:rsidR="00E71706" w:rsidRPr="00015BC4">
        <w:rPr>
          <w:rStyle w:val="CommentReference"/>
          <w:lang w:val="en-AU"/>
        </w:rPr>
        <w:t xml:space="preserve">Proportion relapse-free </w:t>
      </w:r>
      <w:r w:rsidR="00B56E6B" w:rsidRPr="00015BC4">
        <w:rPr>
          <w:rStyle w:val="CommentReference"/>
          <w:lang w:val="en-AU"/>
        </w:rPr>
        <w:t>in the included evidence</w:t>
      </w:r>
    </w:p>
    <w:tbl>
      <w:tblPr>
        <w:tblStyle w:val="TableGrid"/>
        <w:tblW w:w="0" w:type="auto"/>
        <w:tblCellMar>
          <w:left w:w="28" w:type="dxa"/>
          <w:right w:w="28" w:type="dxa"/>
        </w:tblCellMar>
        <w:tblLook w:val="04A0" w:firstRow="1" w:lastRow="0" w:firstColumn="1" w:lastColumn="0" w:noHBand="0" w:noVBand="1"/>
      </w:tblPr>
      <w:tblGrid>
        <w:gridCol w:w="4531"/>
        <w:gridCol w:w="1418"/>
        <w:gridCol w:w="1417"/>
        <w:gridCol w:w="1651"/>
      </w:tblGrid>
      <w:tr w:rsidR="00483B7E" w:rsidRPr="00015BC4" w:rsidTr="00483B7E">
        <w:tc>
          <w:tcPr>
            <w:tcW w:w="4531" w:type="dxa"/>
          </w:tcPr>
          <w:p w:rsidR="00B56E6B" w:rsidRPr="00015BC4" w:rsidRDefault="00B56E6B" w:rsidP="00270A81">
            <w:pPr>
              <w:keepNext/>
              <w:keepLines/>
              <w:rPr>
                <w:rStyle w:val="CommentReference"/>
                <w:lang w:val="en-AU"/>
              </w:rPr>
            </w:pPr>
          </w:p>
        </w:tc>
        <w:tc>
          <w:tcPr>
            <w:tcW w:w="1418" w:type="dxa"/>
            <w:vAlign w:val="center"/>
          </w:tcPr>
          <w:p w:rsidR="00B56E6B" w:rsidRPr="00015BC4" w:rsidRDefault="00B56E6B" w:rsidP="00270A81">
            <w:pPr>
              <w:keepNext/>
              <w:keepLines/>
              <w:jc w:val="center"/>
              <w:rPr>
                <w:rStyle w:val="CommentReference"/>
                <w:lang w:val="en-AU"/>
              </w:rPr>
            </w:pPr>
            <w:r w:rsidRPr="00015BC4">
              <w:rPr>
                <w:rStyle w:val="CommentReference"/>
                <w:lang w:val="en-AU"/>
              </w:rPr>
              <w:t>DMT, n/N (%)</w:t>
            </w:r>
          </w:p>
        </w:tc>
        <w:tc>
          <w:tcPr>
            <w:tcW w:w="1417" w:type="dxa"/>
            <w:vAlign w:val="center"/>
          </w:tcPr>
          <w:p w:rsidR="00B56E6B" w:rsidRPr="00015BC4" w:rsidRDefault="00B56E6B" w:rsidP="00270A81">
            <w:pPr>
              <w:keepNext/>
              <w:keepLines/>
              <w:jc w:val="center"/>
              <w:rPr>
                <w:rStyle w:val="CommentReference"/>
                <w:lang w:val="en-AU"/>
              </w:rPr>
            </w:pPr>
            <w:r w:rsidRPr="00015BC4">
              <w:rPr>
                <w:rStyle w:val="CommentReference"/>
                <w:lang w:val="en-AU"/>
              </w:rPr>
              <w:t>Placebo, n/N (%)</w:t>
            </w:r>
          </w:p>
        </w:tc>
        <w:tc>
          <w:tcPr>
            <w:tcW w:w="1651" w:type="dxa"/>
            <w:vAlign w:val="center"/>
          </w:tcPr>
          <w:p w:rsidR="00B56E6B" w:rsidRPr="00015BC4" w:rsidRDefault="00B56E6B" w:rsidP="00270A81">
            <w:pPr>
              <w:keepNext/>
              <w:keepLines/>
              <w:jc w:val="center"/>
              <w:rPr>
                <w:rStyle w:val="CommentReference"/>
                <w:lang w:val="en-AU"/>
              </w:rPr>
            </w:pPr>
            <w:r w:rsidRPr="00015BC4">
              <w:rPr>
                <w:rStyle w:val="CommentReference"/>
                <w:lang w:val="en-AU"/>
              </w:rPr>
              <w:t>Odds ratio (95% CI)</w:t>
            </w:r>
          </w:p>
        </w:tc>
      </w:tr>
      <w:tr w:rsidR="00B56E6B" w:rsidRPr="00015BC4" w:rsidTr="00483B7E">
        <w:tc>
          <w:tcPr>
            <w:tcW w:w="4531" w:type="dxa"/>
            <w:tcBorders>
              <w:bottom w:val="single" w:sz="4" w:space="0" w:color="auto"/>
            </w:tcBorders>
          </w:tcPr>
          <w:p w:rsidR="00B56E6B" w:rsidRPr="00015BC4" w:rsidRDefault="00B56E6B" w:rsidP="00270A81">
            <w:pPr>
              <w:keepNext/>
              <w:keepLines/>
              <w:rPr>
                <w:rStyle w:val="CommentReference"/>
                <w:b w:val="0"/>
                <w:lang w:val="en-AU"/>
              </w:rPr>
            </w:pPr>
            <w:r w:rsidRPr="00015BC4">
              <w:rPr>
                <w:rStyle w:val="CommentReference"/>
                <w:b w:val="0"/>
                <w:lang w:val="en-AU"/>
              </w:rPr>
              <w:t>EXPAND SIP vs PBO (SPMS; EDSS 3.0-6.5), 36 months</w:t>
            </w:r>
          </w:p>
        </w:tc>
        <w:tc>
          <w:tcPr>
            <w:tcW w:w="1418" w:type="dxa"/>
            <w:tcBorders>
              <w:bottom w:val="single" w:sz="4" w:space="0" w:color="auto"/>
            </w:tcBorders>
          </w:tcPr>
          <w:p w:rsidR="00B56E6B" w:rsidRPr="00015BC4" w:rsidRDefault="00B56E6B" w:rsidP="00270A81">
            <w:pPr>
              <w:keepNext/>
              <w:keepLines/>
              <w:jc w:val="center"/>
              <w:rPr>
                <w:rStyle w:val="CommentReference"/>
                <w:lang w:val="en-AU"/>
              </w:rPr>
            </w:pPr>
            <w:r w:rsidRPr="00015BC4">
              <w:rPr>
                <w:rFonts w:ascii="Arial Narrow" w:hAnsi="Arial Narrow"/>
                <w:sz w:val="20"/>
                <w:lang w:val="en-AU"/>
              </w:rPr>
              <w:t>986/1099 (89.7)</w:t>
            </w:r>
          </w:p>
        </w:tc>
        <w:tc>
          <w:tcPr>
            <w:tcW w:w="1417" w:type="dxa"/>
            <w:tcBorders>
              <w:bottom w:val="single" w:sz="4" w:space="0" w:color="auto"/>
            </w:tcBorders>
          </w:tcPr>
          <w:p w:rsidR="00B56E6B" w:rsidRPr="00015BC4" w:rsidRDefault="00B56E6B" w:rsidP="00270A81">
            <w:pPr>
              <w:keepNext/>
              <w:keepLines/>
              <w:jc w:val="center"/>
              <w:rPr>
                <w:rStyle w:val="CommentReference"/>
                <w:lang w:val="en-AU"/>
              </w:rPr>
            </w:pPr>
            <w:r w:rsidRPr="00015BC4">
              <w:rPr>
                <w:rFonts w:ascii="Arial Narrow" w:hAnsi="Arial Narrow"/>
                <w:sz w:val="20"/>
                <w:lang w:val="en-AU"/>
              </w:rPr>
              <w:t>444/546 (81.3)</w:t>
            </w:r>
          </w:p>
        </w:tc>
        <w:tc>
          <w:tcPr>
            <w:tcW w:w="1651" w:type="dxa"/>
            <w:tcBorders>
              <w:bottom w:val="single" w:sz="4" w:space="0" w:color="auto"/>
            </w:tcBorders>
            <w:vAlign w:val="center"/>
          </w:tcPr>
          <w:p w:rsidR="00B56E6B" w:rsidRPr="00015BC4" w:rsidRDefault="00B56E6B" w:rsidP="00270A81">
            <w:pPr>
              <w:keepNext/>
              <w:keepLines/>
              <w:jc w:val="center"/>
              <w:rPr>
                <w:rStyle w:val="CommentReference"/>
                <w:b w:val="0"/>
                <w:lang w:val="en-AU"/>
              </w:rPr>
            </w:pPr>
            <w:r w:rsidRPr="00015BC4">
              <w:rPr>
                <w:rFonts w:ascii="Arial Narrow" w:hAnsi="Arial Narrow"/>
                <w:b/>
                <w:sz w:val="20"/>
                <w:lang w:val="en-AU"/>
              </w:rPr>
              <w:t>2.00 (1.50, 2.68)</w:t>
            </w:r>
          </w:p>
        </w:tc>
      </w:tr>
      <w:tr w:rsidR="00B56E6B" w:rsidRPr="00015BC4" w:rsidTr="00483B7E">
        <w:trPr>
          <w:trHeight w:val="70"/>
        </w:trPr>
        <w:tc>
          <w:tcPr>
            <w:tcW w:w="4531" w:type="dxa"/>
            <w:tcBorders>
              <w:bottom w:val="double" w:sz="4" w:space="0" w:color="auto"/>
            </w:tcBorders>
          </w:tcPr>
          <w:p w:rsidR="00B56E6B" w:rsidRPr="00015BC4" w:rsidRDefault="00B56E6B" w:rsidP="00270A81">
            <w:pPr>
              <w:keepNext/>
              <w:keepLines/>
              <w:rPr>
                <w:rStyle w:val="CommentReference"/>
                <w:b w:val="0"/>
                <w:lang w:val="en-AU"/>
              </w:rPr>
            </w:pPr>
            <w:r w:rsidRPr="00015BC4">
              <w:rPr>
                <w:rStyle w:val="CommentReference"/>
                <w:b w:val="0"/>
                <w:lang w:val="en-AU"/>
              </w:rPr>
              <w:t>BOLD SIP vs PBO (RRMS; EDSS 0-5.0), 6 months</w:t>
            </w:r>
          </w:p>
        </w:tc>
        <w:tc>
          <w:tcPr>
            <w:tcW w:w="1418" w:type="dxa"/>
            <w:tcBorders>
              <w:bottom w:val="double" w:sz="4" w:space="0" w:color="auto"/>
            </w:tcBorders>
          </w:tcPr>
          <w:p w:rsidR="00B56E6B" w:rsidRPr="00015BC4" w:rsidRDefault="00B56E6B" w:rsidP="00270A81">
            <w:pPr>
              <w:keepNext/>
              <w:keepLines/>
              <w:jc w:val="center"/>
              <w:rPr>
                <w:rFonts w:ascii="Arial Narrow" w:hAnsi="Arial Narrow"/>
                <w:b/>
                <w:sz w:val="20"/>
                <w:lang w:val="en-AU"/>
              </w:rPr>
            </w:pPr>
            <w:r w:rsidRPr="00015BC4">
              <w:rPr>
                <w:rFonts w:ascii="Arial Narrow" w:hAnsi="Arial Narrow"/>
                <w:sz w:val="20"/>
                <w:lang w:val="en-AU"/>
              </w:rPr>
              <w:t>45</w:t>
            </w:r>
            <w:r w:rsidRPr="00015BC4">
              <w:rPr>
                <w:rFonts w:ascii="Arial Narrow" w:hAnsi="Arial Narrow"/>
                <w:sz w:val="20"/>
                <w:vertAlign w:val="superscript"/>
                <w:lang w:val="en-AU"/>
              </w:rPr>
              <w:t>a</w:t>
            </w:r>
            <w:r w:rsidRPr="00015BC4">
              <w:rPr>
                <w:rFonts w:ascii="Arial Narrow" w:hAnsi="Arial Narrow"/>
                <w:sz w:val="20"/>
                <w:lang w:val="en-AU"/>
              </w:rPr>
              <w:t>/49 (92.0)</w:t>
            </w:r>
          </w:p>
        </w:tc>
        <w:tc>
          <w:tcPr>
            <w:tcW w:w="1417" w:type="dxa"/>
            <w:tcBorders>
              <w:bottom w:val="double" w:sz="4" w:space="0" w:color="auto"/>
            </w:tcBorders>
          </w:tcPr>
          <w:p w:rsidR="00B56E6B" w:rsidRPr="00015BC4" w:rsidRDefault="00B56E6B" w:rsidP="00270A81">
            <w:pPr>
              <w:keepNext/>
              <w:keepLines/>
              <w:jc w:val="center"/>
              <w:rPr>
                <w:rFonts w:ascii="Arial Narrow" w:hAnsi="Arial Narrow"/>
                <w:b/>
                <w:sz w:val="20"/>
                <w:lang w:val="en-AU"/>
              </w:rPr>
            </w:pPr>
            <w:r w:rsidRPr="00015BC4">
              <w:rPr>
                <w:rFonts w:ascii="Arial Narrow" w:hAnsi="Arial Narrow"/>
                <w:sz w:val="20"/>
                <w:lang w:val="en-AU"/>
              </w:rPr>
              <w:t>32</w:t>
            </w:r>
            <w:r w:rsidRPr="00015BC4">
              <w:rPr>
                <w:rFonts w:ascii="Arial Narrow" w:hAnsi="Arial Narrow"/>
                <w:sz w:val="20"/>
                <w:vertAlign w:val="superscript"/>
                <w:lang w:val="en-AU"/>
              </w:rPr>
              <w:t>a</w:t>
            </w:r>
            <w:r w:rsidRPr="00015BC4">
              <w:rPr>
                <w:rFonts w:ascii="Arial Narrow" w:hAnsi="Arial Narrow"/>
                <w:sz w:val="20"/>
                <w:lang w:val="en-AU"/>
              </w:rPr>
              <w:t>/45 (72.0)</w:t>
            </w:r>
          </w:p>
        </w:tc>
        <w:tc>
          <w:tcPr>
            <w:tcW w:w="1651" w:type="dxa"/>
            <w:tcBorders>
              <w:bottom w:val="double" w:sz="4" w:space="0" w:color="auto"/>
            </w:tcBorders>
          </w:tcPr>
          <w:p w:rsidR="00B56E6B" w:rsidRPr="00015BC4" w:rsidRDefault="00B56E6B" w:rsidP="00270A81">
            <w:pPr>
              <w:keepNext/>
              <w:keepLines/>
              <w:jc w:val="center"/>
              <w:rPr>
                <w:rFonts w:ascii="Arial Narrow" w:hAnsi="Arial Narrow"/>
                <w:b/>
                <w:sz w:val="20"/>
                <w:vertAlign w:val="superscript"/>
                <w:lang w:val="en-AU"/>
              </w:rPr>
            </w:pPr>
            <w:r w:rsidRPr="00015BC4">
              <w:rPr>
                <w:rFonts w:ascii="Arial Narrow" w:hAnsi="Arial Narrow"/>
                <w:b/>
                <w:sz w:val="20"/>
                <w:lang w:val="en-AU"/>
              </w:rPr>
              <w:t>4.12 (1.33, 14.68)</w:t>
            </w:r>
            <w:r w:rsidR="00483B7E" w:rsidRPr="00015BC4">
              <w:rPr>
                <w:rFonts w:ascii="Arial Narrow" w:hAnsi="Arial Narrow"/>
                <w:b/>
                <w:sz w:val="20"/>
                <w:vertAlign w:val="superscript"/>
                <w:lang w:val="en-AU"/>
              </w:rPr>
              <w:t>b</w:t>
            </w:r>
          </w:p>
        </w:tc>
      </w:tr>
      <w:tr w:rsidR="00B56E6B" w:rsidRPr="00015BC4" w:rsidTr="00483B7E">
        <w:tc>
          <w:tcPr>
            <w:tcW w:w="4531" w:type="dxa"/>
            <w:tcBorders>
              <w:top w:val="double" w:sz="4" w:space="0" w:color="auto"/>
            </w:tcBorders>
          </w:tcPr>
          <w:p w:rsidR="00B56E6B" w:rsidRPr="00015BC4" w:rsidRDefault="00B56E6B" w:rsidP="00270A81">
            <w:pPr>
              <w:keepNext/>
              <w:keepLines/>
              <w:rPr>
                <w:rStyle w:val="CommentReference"/>
                <w:b w:val="0"/>
                <w:lang w:val="en-AU"/>
              </w:rPr>
            </w:pPr>
            <w:r w:rsidRPr="00015BC4">
              <w:rPr>
                <w:rStyle w:val="CommentReference"/>
                <w:b w:val="0"/>
                <w:lang w:val="en-AU"/>
              </w:rPr>
              <w:t>FREEDOMS I FIN vs PBO (RRMS, EDSS 0-5.5)</w:t>
            </w:r>
            <w:r w:rsidR="00483B7E" w:rsidRPr="00015BC4">
              <w:rPr>
                <w:rStyle w:val="CommentReference"/>
                <w:b w:val="0"/>
                <w:lang w:val="en-AU"/>
              </w:rPr>
              <w:t>, 24 months</w:t>
            </w:r>
          </w:p>
        </w:tc>
        <w:tc>
          <w:tcPr>
            <w:tcW w:w="1418" w:type="dxa"/>
            <w:tcBorders>
              <w:top w:val="double" w:sz="4" w:space="0" w:color="auto"/>
            </w:tcBorders>
          </w:tcPr>
          <w:p w:rsidR="00B56E6B" w:rsidRPr="00015BC4" w:rsidRDefault="00B56E6B" w:rsidP="00270A81">
            <w:pPr>
              <w:keepNext/>
              <w:keepLines/>
              <w:jc w:val="center"/>
              <w:rPr>
                <w:rStyle w:val="CommentReference"/>
                <w:b w:val="0"/>
                <w:szCs w:val="20"/>
                <w:lang w:val="en-AU"/>
              </w:rPr>
            </w:pPr>
            <w:r w:rsidRPr="00015BC4">
              <w:rPr>
                <w:rFonts w:ascii="Arial Narrow" w:hAnsi="Arial Narrow"/>
                <w:sz w:val="20"/>
                <w:szCs w:val="20"/>
                <w:lang w:val="en-AU"/>
              </w:rPr>
              <w:t>299/425 (70.4)</w:t>
            </w:r>
          </w:p>
        </w:tc>
        <w:tc>
          <w:tcPr>
            <w:tcW w:w="1417" w:type="dxa"/>
            <w:tcBorders>
              <w:top w:val="double" w:sz="4" w:space="0" w:color="auto"/>
            </w:tcBorders>
          </w:tcPr>
          <w:p w:rsidR="00B56E6B" w:rsidRPr="00015BC4" w:rsidRDefault="00B56E6B" w:rsidP="00270A81">
            <w:pPr>
              <w:keepNext/>
              <w:keepLines/>
              <w:jc w:val="center"/>
              <w:rPr>
                <w:rStyle w:val="CommentReference"/>
                <w:b w:val="0"/>
                <w:szCs w:val="20"/>
                <w:lang w:val="en-AU"/>
              </w:rPr>
            </w:pPr>
            <w:r w:rsidRPr="00015BC4">
              <w:rPr>
                <w:rFonts w:ascii="Arial Narrow" w:hAnsi="Arial Narrow"/>
                <w:sz w:val="20"/>
                <w:szCs w:val="20"/>
                <w:lang w:val="en-AU"/>
              </w:rPr>
              <w:t>191/418 (45.7)</w:t>
            </w:r>
          </w:p>
        </w:tc>
        <w:tc>
          <w:tcPr>
            <w:tcW w:w="1651" w:type="dxa"/>
            <w:tcBorders>
              <w:top w:val="double" w:sz="4" w:space="0" w:color="auto"/>
            </w:tcBorders>
          </w:tcPr>
          <w:p w:rsidR="00B56E6B" w:rsidRPr="00015BC4" w:rsidRDefault="00B56E6B" w:rsidP="00270A81">
            <w:pPr>
              <w:pStyle w:val="PBACTableText"/>
              <w:keepNext/>
              <w:keepLines/>
              <w:spacing w:before="0" w:after="0"/>
              <w:jc w:val="center"/>
              <w:rPr>
                <w:rStyle w:val="CommentReference"/>
                <w:b w:val="0"/>
                <w:szCs w:val="20"/>
                <w:lang w:val="en-AU"/>
              </w:rPr>
            </w:pPr>
            <w:r w:rsidRPr="00015BC4">
              <w:rPr>
                <w:b/>
                <w:lang w:val="en-AU"/>
              </w:rPr>
              <w:t>2.82 (2.12, 3.74)</w:t>
            </w:r>
          </w:p>
        </w:tc>
      </w:tr>
      <w:tr w:rsidR="00483B7E" w:rsidRPr="00015BC4" w:rsidTr="00483B7E">
        <w:tc>
          <w:tcPr>
            <w:tcW w:w="4531" w:type="dxa"/>
          </w:tcPr>
          <w:p w:rsidR="00B56E6B" w:rsidRPr="00015BC4" w:rsidRDefault="00B56E6B" w:rsidP="00270A81">
            <w:pPr>
              <w:keepNext/>
              <w:keepLines/>
              <w:rPr>
                <w:rStyle w:val="CommentReference"/>
                <w:b w:val="0"/>
                <w:lang w:val="en-AU"/>
              </w:rPr>
            </w:pPr>
            <w:r w:rsidRPr="00015BC4">
              <w:rPr>
                <w:rStyle w:val="CommentReference"/>
                <w:b w:val="0"/>
                <w:lang w:val="en-AU"/>
              </w:rPr>
              <w:t>FREEDOMS II FIN vs PBO (RRMS, EDSS 0-5.5)</w:t>
            </w:r>
            <w:r w:rsidR="00483B7E" w:rsidRPr="00015BC4">
              <w:rPr>
                <w:rStyle w:val="CommentReference"/>
                <w:b w:val="0"/>
                <w:lang w:val="en-AU"/>
              </w:rPr>
              <w:t>, 24 months</w:t>
            </w:r>
          </w:p>
        </w:tc>
        <w:tc>
          <w:tcPr>
            <w:tcW w:w="1418" w:type="dxa"/>
          </w:tcPr>
          <w:p w:rsidR="00B56E6B" w:rsidRPr="00015BC4" w:rsidRDefault="00B56E6B" w:rsidP="00270A81">
            <w:pPr>
              <w:keepNext/>
              <w:keepLines/>
              <w:jc w:val="center"/>
              <w:rPr>
                <w:rStyle w:val="CommentReference"/>
                <w:b w:val="0"/>
                <w:szCs w:val="20"/>
                <w:lang w:val="en-AU"/>
              </w:rPr>
            </w:pPr>
            <w:r w:rsidRPr="00015BC4">
              <w:rPr>
                <w:rFonts w:ascii="Arial Narrow" w:hAnsi="Arial Narrow"/>
                <w:sz w:val="20"/>
                <w:szCs w:val="20"/>
                <w:lang w:val="en-AU"/>
              </w:rPr>
              <w:t>256/358 (71.5)</w:t>
            </w:r>
          </w:p>
        </w:tc>
        <w:tc>
          <w:tcPr>
            <w:tcW w:w="1417" w:type="dxa"/>
          </w:tcPr>
          <w:p w:rsidR="00B56E6B" w:rsidRPr="00015BC4" w:rsidRDefault="00B56E6B" w:rsidP="00270A81">
            <w:pPr>
              <w:keepNext/>
              <w:keepLines/>
              <w:jc w:val="center"/>
              <w:rPr>
                <w:rStyle w:val="CommentReference"/>
                <w:b w:val="0"/>
                <w:szCs w:val="20"/>
                <w:lang w:val="en-AU"/>
              </w:rPr>
            </w:pPr>
            <w:r w:rsidRPr="00015BC4">
              <w:rPr>
                <w:rFonts w:ascii="Arial Narrow" w:hAnsi="Arial Narrow"/>
                <w:sz w:val="20"/>
                <w:szCs w:val="20"/>
                <w:lang w:val="en-AU"/>
              </w:rPr>
              <w:t>187/355 (52.7)</w:t>
            </w:r>
          </w:p>
        </w:tc>
        <w:tc>
          <w:tcPr>
            <w:tcW w:w="1651" w:type="dxa"/>
          </w:tcPr>
          <w:p w:rsidR="00B56E6B" w:rsidRPr="00015BC4" w:rsidRDefault="00B56E6B" w:rsidP="00270A81">
            <w:pPr>
              <w:pStyle w:val="PBACTableText"/>
              <w:keepNext/>
              <w:keepLines/>
              <w:spacing w:before="0" w:after="0"/>
              <w:jc w:val="center"/>
              <w:rPr>
                <w:rStyle w:val="CommentReference"/>
                <w:b w:val="0"/>
                <w:szCs w:val="20"/>
                <w:lang w:val="en-AU"/>
              </w:rPr>
            </w:pPr>
            <w:r w:rsidRPr="00015BC4">
              <w:rPr>
                <w:b/>
                <w:lang w:val="en-AU"/>
              </w:rPr>
              <w:t>2.25 (1.65, 3.07)</w:t>
            </w:r>
          </w:p>
        </w:tc>
      </w:tr>
      <w:tr w:rsidR="00B56E6B" w:rsidRPr="00015BC4" w:rsidTr="00483B7E">
        <w:tc>
          <w:tcPr>
            <w:tcW w:w="4531" w:type="dxa"/>
          </w:tcPr>
          <w:p w:rsidR="00B56E6B" w:rsidRPr="00015BC4" w:rsidRDefault="00B56E6B" w:rsidP="00270A81">
            <w:pPr>
              <w:keepNext/>
              <w:keepLines/>
              <w:rPr>
                <w:rStyle w:val="CommentReference"/>
                <w:b w:val="0"/>
                <w:lang w:val="en-AU"/>
              </w:rPr>
            </w:pPr>
            <w:r w:rsidRPr="00015BC4">
              <w:rPr>
                <w:rStyle w:val="CommentReference"/>
                <w:b w:val="0"/>
                <w:lang w:val="en-AU"/>
              </w:rPr>
              <w:t>FREEDOMS I/II FIN vs PBO (RRMS, EDSS 0-5.5)</w:t>
            </w:r>
          </w:p>
        </w:tc>
        <w:tc>
          <w:tcPr>
            <w:tcW w:w="1418" w:type="dxa"/>
          </w:tcPr>
          <w:p w:rsidR="00B56E6B" w:rsidRPr="00015BC4" w:rsidRDefault="00B56E6B" w:rsidP="00270A81">
            <w:pPr>
              <w:keepNext/>
              <w:keepLines/>
              <w:jc w:val="center"/>
              <w:rPr>
                <w:rStyle w:val="CommentReference"/>
                <w:szCs w:val="20"/>
                <w:lang w:val="en-AU"/>
              </w:rPr>
            </w:pPr>
            <w:r w:rsidRPr="00015BC4">
              <w:rPr>
                <w:rFonts w:ascii="Arial Narrow" w:hAnsi="Arial Narrow"/>
                <w:sz w:val="20"/>
                <w:szCs w:val="20"/>
                <w:lang w:val="en-AU"/>
              </w:rPr>
              <w:t>555/783 (70.9)</w:t>
            </w:r>
          </w:p>
        </w:tc>
        <w:tc>
          <w:tcPr>
            <w:tcW w:w="1417" w:type="dxa"/>
          </w:tcPr>
          <w:p w:rsidR="00B56E6B" w:rsidRPr="00015BC4" w:rsidRDefault="00B56E6B" w:rsidP="00270A81">
            <w:pPr>
              <w:keepNext/>
              <w:keepLines/>
              <w:jc w:val="center"/>
              <w:rPr>
                <w:rStyle w:val="CommentReference"/>
                <w:szCs w:val="20"/>
                <w:lang w:val="en-AU"/>
              </w:rPr>
            </w:pPr>
            <w:r w:rsidRPr="00015BC4">
              <w:rPr>
                <w:rFonts w:ascii="Arial Narrow" w:hAnsi="Arial Narrow"/>
                <w:sz w:val="20"/>
                <w:szCs w:val="20"/>
                <w:lang w:val="en-AU"/>
              </w:rPr>
              <w:t>373/773 (48.3)</w:t>
            </w:r>
          </w:p>
        </w:tc>
        <w:tc>
          <w:tcPr>
            <w:tcW w:w="1651" w:type="dxa"/>
          </w:tcPr>
          <w:p w:rsidR="00B56E6B" w:rsidRPr="00015BC4" w:rsidRDefault="00B56E6B" w:rsidP="00270A81">
            <w:pPr>
              <w:pStyle w:val="PBACTableText"/>
              <w:keepNext/>
              <w:keepLines/>
              <w:spacing w:before="0" w:after="0"/>
              <w:jc w:val="center"/>
              <w:rPr>
                <w:rStyle w:val="CommentReference"/>
                <w:b w:val="0"/>
                <w:szCs w:val="20"/>
                <w:lang w:val="en-AU"/>
              </w:rPr>
            </w:pPr>
            <w:r w:rsidRPr="00015BC4">
              <w:rPr>
                <w:b/>
                <w:lang w:val="en-AU"/>
              </w:rPr>
              <w:t>2.54 (2.05, 3.17)</w:t>
            </w:r>
          </w:p>
        </w:tc>
      </w:tr>
      <w:tr w:rsidR="00B56E6B" w:rsidRPr="00015BC4" w:rsidTr="00483B7E">
        <w:tc>
          <w:tcPr>
            <w:tcW w:w="7366" w:type="dxa"/>
            <w:gridSpan w:val="3"/>
            <w:vAlign w:val="center"/>
          </w:tcPr>
          <w:p w:rsidR="00B56E6B" w:rsidRPr="00015BC4" w:rsidRDefault="00B56E6B" w:rsidP="00270A81">
            <w:pPr>
              <w:keepNext/>
              <w:keepLines/>
              <w:jc w:val="right"/>
              <w:rPr>
                <w:rStyle w:val="CommentReference"/>
                <w:b w:val="0"/>
                <w:lang w:val="en-AU"/>
              </w:rPr>
            </w:pPr>
            <w:r w:rsidRPr="00015BC4">
              <w:rPr>
                <w:rStyle w:val="CommentReference"/>
                <w:b w:val="0"/>
                <w:lang w:val="en-AU"/>
              </w:rPr>
              <w:t>Indirect</w:t>
            </w:r>
            <w:r w:rsidR="00483B7E" w:rsidRPr="00015BC4">
              <w:rPr>
                <w:rStyle w:val="CommentReference"/>
                <w:b w:val="0"/>
                <w:vertAlign w:val="superscript"/>
                <w:lang w:val="en-AU"/>
              </w:rPr>
              <w:t>c</w:t>
            </w:r>
            <w:r w:rsidRPr="00015BC4">
              <w:rPr>
                <w:rStyle w:val="CommentReference"/>
                <w:b w:val="0"/>
                <w:lang w:val="en-AU"/>
              </w:rPr>
              <w:t>, EXPAND vs FREEDOM I/II (36 vs 24 months)</w:t>
            </w:r>
          </w:p>
        </w:tc>
        <w:tc>
          <w:tcPr>
            <w:tcW w:w="1651" w:type="dxa"/>
            <w:vAlign w:val="center"/>
          </w:tcPr>
          <w:p w:rsidR="00B56E6B" w:rsidRPr="00015BC4" w:rsidRDefault="00B56E6B" w:rsidP="00270A81">
            <w:pPr>
              <w:pStyle w:val="PBACTableText"/>
              <w:keepNext/>
              <w:keepLines/>
              <w:spacing w:before="0" w:after="0"/>
              <w:jc w:val="center"/>
              <w:rPr>
                <w:rStyle w:val="CommentReference"/>
                <w:b w:val="0"/>
                <w:lang w:val="en-AU"/>
              </w:rPr>
            </w:pPr>
            <w:r w:rsidRPr="00015BC4">
              <w:rPr>
                <w:lang w:val="en-AU"/>
              </w:rPr>
              <w:t>0.787 (0.548,1.132)</w:t>
            </w:r>
          </w:p>
        </w:tc>
      </w:tr>
      <w:tr w:rsidR="00B56E6B" w:rsidRPr="00015BC4" w:rsidTr="00483B7E">
        <w:tc>
          <w:tcPr>
            <w:tcW w:w="7366" w:type="dxa"/>
            <w:gridSpan w:val="3"/>
            <w:vAlign w:val="center"/>
          </w:tcPr>
          <w:p w:rsidR="00B56E6B" w:rsidRPr="00015BC4" w:rsidRDefault="00B56E6B" w:rsidP="00270A81">
            <w:pPr>
              <w:keepNext/>
              <w:keepLines/>
              <w:jc w:val="right"/>
              <w:rPr>
                <w:rStyle w:val="CommentReference"/>
                <w:b w:val="0"/>
                <w:lang w:val="en-AU"/>
              </w:rPr>
            </w:pPr>
            <w:r w:rsidRPr="00015BC4">
              <w:rPr>
                <w:rStyle w:val="CommentReference"/>
                <w:b w:val="0"/>
                <w:lang w:val="en-AU"/>
              </w:rPr>
              <w:t>Indirect</w:t>
            </w:r>
            <w:r w:rsidR="00483B7E" w:rsidRPr="00015BC4">
              <w:rPr>
                <w:rStyle w:val="CommentReference"/>
                <w:b w:val="0"/>
                <w:vertAlign w:val="superscript"/>
                <w:lang w:val="en-AU"/>
              </w:rPr>
              <w:t>c</w:t>
            </w:r>
            <w:r w:rsidRPr="00015BC4">
              <w:rPr>
                <w:rStyle w:val="CommentReference"/>
                <w:b w:val="0"/>
                <w:lang w:val="en-AU"/>
              </w:rPr>
              <w:t>, BOLD vs FREEDOM I/II (6 vs 24 months)</w:t>
            </w:r>
          </w:p>
        </w:tc>
        <w:tc>
          <w:tcPr>
            <w:tcW w:w="1651" w:type="dxa"/>
            <w:vAlign w:val="center"/>
          </w:tcPr>
          <w:p w:rsidR="00B56E6B" w:rsidRPr="00015BC4" w:rsidRDefault="00483B7E" w:rsidP="00270A81">
            <w:pPr>
              <w:pStyle w:val="PBACTableText"/>
              <w:keepNext/>
              <w:keepLines/>
              <w:spacing w:before="0" w:after="0"/>
              <w:jc w:val="center"/>
              <w:rPr>
                <w:lang w:val="en-AU"/>
              </w:rPr>
            </w:pPr>
            <w:r w:rsidRPr="00015BC4">
              <w:rPr>
                <w:lang w:val="en-AU"/>
              </w:rPr>
              <w:t>1.622 (0.478, 5.500)</w:t>
            </w:r>
          </w:p>
        </w:tc>
      </w:tr>
    </w:tbl>
    <w:p w:rsidR="00E71706" w:rsidRPr="00015BC4" w:rsidRDefault="00E71706" w:rsidP="00270A81">
      <w:pPr>
        <w:pStyle w:val="TableFooter"/>
        <w:keepNext/>
        <w:keepLines/>
        <w:rPr>
          <w:lang w:val="en-AU"/>
        </w:rPr>
      </w:pPr>
      <w:r w:rsidRPr="00015BC4">
        <w:rPr>
          <w:lang w:val="en-AU"/>
        </w:rPr>
        <w:t xml:space="preserve">Source: </w:t>
      </w:r>
      <w:r w:rsidRPr="00015BC4">
        <w:rPr>
          <w:rStyle w:val="CommentReference"/>
          <w:b w:val="0"/>
          <w:sz w:val="18"/>
          <w:szCs w:val="18"/>
          <w:lang w:val="en-AU"/>
        </w:rPr>
        <w:t>Tables 2.30 and 2.31, p118</w:t>
      </w:r>
      <w:r w:rsidRPr="00015BC4">
        <w:rPr>
          <w:rStyle w:val="CommentReference"/>
          <w:b w:val="0"/>
          <w:lang w:val="en-AU"/>
        </w:rPr>
        <w:t xml:space="preserve">, </w:t>
      </w:r>
      <w:r w:rsidRPr="00015BC4">
        <w:rPr>
          <w:lang w:val="en-AU"/>
        </w:rPr>
        <w:t xml:space="preserve">Table 2.55, p145 and Table 2.59, p149 of the resubmission </w:t>
      </w:r>
    </w:p>
    <w:p w:rsidR="00483B7E" w:rsidRPr="00015BC4" w:rsidRDefault="00483B7E" w:rsidP="00270A81">
      <w:pPr>
        <w:pStyle w:val="PBACtablefooter"/>
        <w:keepNext/>
        <w:keepLines/>
        <w:spacing w:before="0"/>
        <w:jc w:val="both"/>
        <w:rPr>
          <w:lang w:val="en-AU"/>
        </w:rPr>
      </w:pPr>
      <w:r w:rsidRPr="00015BC4">
        <w:rPr>
          <w:lang w:val="en-AU"/>
        </w:rPr>
        <w:t>CI=confidence interval; EDSS = Expanded Disability Status Scale; FIN = fingolimod; n=overall number of relapses in the analysis period for all subjects; N=number of subjects in the analysis; OR=odds ratio; RRMS = relapsing-remitting multiple sclerosis; SIP = siponimod; SPMS = secondary progressive multiple sclerosis</w:t>
      </w:r>
    </w:p>
    <w:p w:rsidR="00E71706" w:rsidRPr="00015BC4" w:rsidRDefault="00E71706" w:rsidP="00270A81">
      <w:pPr>
        <w:pStyle w:val="TableFooter"/>
        <w:keepNext/>
        <w:keepLines/>
        <w:tabs>
          <w:tab w:val="left" w:pos="284"/>
        </w:tabs>
        <w:ind w:left="284" w:hanging="284"/>
        <w:rPr>
          <w:lang w:val="en-AU"/>
        </w:rPr>
      </w:pPr>
      <w:r w:rsidRPr="00015BC4">
        <w:rPr>
          <w:vertAlign w:val="superscript"/>
          <w:lang w:val="en-AU"/>
        </w:rPr>
        <w:t>a</w:t>
      </w:r>
      <w:r w:rsidRPr="00015BC4">
        <w:rPr>
          <w:lang w:val="en-AU"/>
        </w:rPr>
        <w:tab/>
        <w:t>back calculated during the evaluation from the percentage and the sample size.</w:t>
      </w:r>
    </w:p>
    <w:p w:rsidR="00E71706" w:rsidRPr="00015BC4" w:rsidRDefault="00E71706" w:rsidP="00270A81">
      <w:pPr>
        <w:pStyle w:val="TableFooter"/>
        <w:keepNext/>
        <w:keepLines/>
        <w:tabs>
          <w:tab w:val="left" w:pos="284"/>
        </w:tabs>
        <w:ind w:left="284" w:hanging="284"/>
        <w:jc w:val="both"/>
        <w:rPr>
          <w:lang w:val="en-AU"/>
        </w:rPr>
      </w:pPr>
      <w:r w:rsidRPr="00015BC4">
        <w:rPr>
          <w:vertAlign w:val="superscript"/>
          <w:lang w:val="en-AU"/>
        </w:rPr>
        <w:t>b</w:t>
      </w:r>
      <w:r w:rsidRPr="00015BC4">
        <w:rPr>
          <w:vertAlign w:val="superscript"/>
          <w:lang w:val="en-AU"/>
        </w:rPr>
        <w:tab/>
      </w:r>
      <w:r w:rsidRPr="00015BC4">
        <w:rPr>
          <w:lang w:val="en-AU"/>
        </w:rPr>
        <w:t>For BOLD, pairwise comparison of treatments to placebo are based on odds ratios estimated from a logistic regression model adjusted for treatment group and using number of relapses in the previous 2 years as a covariate. Proportions estimated from the logistic regression model</w:t>
      </w:r>
    </w:p>
    <w:p w:rsidR="00E71706" w:rsidRPr="00015BC4" w:rsidRDefault="00E71706" w:rsidP="00270A81">
      <w:pPr>
        <w:pStyle w:val="TableFooter"/>
        <w:keepNext/>
        <w:keepLines/>
        <w:tabs>
          <w:tab w:val="left" w:pos="284"/>
        </w:tabs>
        <w:rPr>
          <w:lang w:val="en-AU"/>
        </w:rPr>
      </w:pPr>
      <w:r w:rsidRPr="00015BC4">
        <w:rPr>
          <w:vertAlign w:val="superscript"/>
          <w:lang w:val="en-AU"/>
        </w:rPr>
        <w:t>c</w:t>
      </w:r>
      <w:r w:rsidRPr="00015BC4">
        <w:rPr>
          <w:lang w:val="en-AU"/>
        </w:rPr>
        <w:tab/>
        <w:t xml:space="preserve">Indirect comparison via Bucher’s method </w:t>
      </w:r>
    </w:p>
    <w:p w:rsidR="00E71706" w:rsidRPr="00015BC4" w:rsidRDefault="00E71706" w:rsidP="00E71706">
      <w:pPr>
        <w:pStyle w:val="TableFooter"/>
        <w:rPr>
          <w:lang w:val="en-AU"/>
        </w:rPr>
      </w:pPr>
      <w:r w:rsidRPr="00015BC4">
        <w:rPr>
          <w:lang w:val="en-AU"/>
        </w:rPr>
        <w:t>Bold typography indicates statistically significant differences between groups</w:t>
      </w:r>
      <w:r w:rsidR="008104C5" w:rsidRPr="00015BC4">
        <w:rPr>
          <w:lang w:val="en-AU"/>
        </w:rPr>
        <w:t>.</w:t>
      </w:r>
    </w:p>
    <w:p w:rsidR="008104C5" w:rsidRPr="00015BC4" w:rsidRDefault="008104C5" w:rsidP="00E71706">
      <w:pPr>
        <w:pStyle w:val="TableFooter"/>
        <w:rPr>
          <w:lang w:val="en-AU"/>
        </w:rPr>
      </w:pPr>
      <w:r w:rsidRPr="00015BC4">
        <w:rPr>
          <w:lang w:val="en-AU"/>
        </w:rPr>
        <w:t xml:space="preserve"> </w:t>
      </w:r>
    </w:p>
    <w:p w:rsidR="00523CB9" w:rsidRPr="00015BC4" w:rsidRDefault="00523CB9" w:rsidP="00523CB9">
      <w:pPr>
        <w:pStyle w:val="3-BodyText"/>
      </w:pPr>
      <w:r w:rsidRPr="00015BC4">
        <w:t xml:space="preserve">The resubmission stated that the indirect comparison </w:t>
      </w:r>
      <w:r w:rsidR="00DF2080" w:rsidRPr="00015BC4">
        <w:t xml:space="preserve">of siponimod and fingolimod </w:t>
      </w:r>
      <w:r w:rsidRPr="00015BC4">
        <w:t>was undertaken at the request of the PBAC in response to views from various stakeholders (PBAC, ESC, clinicians group [ANZAN] and health practitioners) that recognise MS as a single disease across a spectrum (PPMS Stakeholder meeting – outcome statement, Nov 2018)</w:t>
      </w:r>
      <w:r w:rsidR="00015BC4">
        <w:t xml:space="preserve">. </w:t>
      </w:r>
    </w:p>
    <w:p w:rsidR="00AC692D" w:rsidRPr="00015BC4" w:rsidRDefault="00523CB9" w:rsidP="00245485">
      <w:pPr>
        <w:pStyle w:val="3-BodyText"/>
      </w:pPr>
      <w:r w:rsidRPr="00015BC4">
        <w:t>The indirect comparisons of the EXPAND trial versus the FREEDOMS trials had substantial exchangeability issues</w:t>
      </w:r>
      <w:r w:rsidR="00D56932" w:rsidRPr="00015BC4">
        <w:t xml:space="preserve"> </w:t>
      </w:r>
      <w:r w:rsidR="003374FD" w:rsidRPr="00015BC4">
        <w:t>(</w:t>
      </w:r>
      <w:r w:rsidR="00D56932" w:rsidRPr="00015BC4">
        <w:t xml:space="preserve">see Table </w:t>
      </w:r>
      <w:r w:rsidR="00D56932" w:rsidRPr="00015BC4">
        <w:rPr>
          <w:color w:val="000000" w:themeColor="text1"/>
        </w:rPr>
        <w:t>5</w:t>
      </w:r>
      <w:r w:rsidR="003374FD" w:rsidRPr="00015BC4">
        <w:t>)</w:t>
      </w:r>
      <w:r w:rsidRPr="00015BC4">
        <w:t xml:space="preserve">. Key differences between EXPAND and the other trials were: baseline EDSS, age, time since diagnosis, number of relapses in </w:t>
      </w:r>
      <w:r w:rsidRPr="00015BC4">
        <w:lastRenderedPageBreak/>
        <w:t>the past two years, and proportion of female patients. All of these differences would be expected to affect results of an indirect comparison.</w:t>
      </w:r>
      <w:r w:rsidR="00483B7E" w:rsidRPr="00015BC4">
        <w:t xml:space="preserve"> Additionally, t</w:t>
      </w:r>
      <w:r w:rsidRPr="00015BC4">
        <w:t xml:space="preserve">here were differences in treatment duration (24 months in FREEDOMS I and II versus 36 months in EXPAND) that could affect the indirect comparison. </w:t>
      </w:r>
    </w:p>
    <w:p w:rsidR="00DF2080" w:rsidRPr="00015BC4" w:rsidRDefault="00DF2080" w:rsidP="00DF2080">
      <w:pPr>
        <w:pStyle w:val="3-BodyText"/>
        <w:rPr>
          <w:rFonts w:ascii="Arial" w:hAnsi="Arial"/>
        </w:rPr>
      </w:pPr>
      <w:r w:rsidRPr="00015BC4">
        <w:t>During the evaluation, it was noted that the Institute for Clinical and Effectiveness Research (ICER) report on siponimod (2019 p30) had considered that</w:t>
      </w:r>
      <w:r w:rsidR="00B857DA" w:rsidRPr="00015BC4">
        <w:t>, in the EXPAND trial,</w:t>
      </w:r>
      <w:r w:rsidRPr="00015BC4">
        <w:t xml:space="preserve"> subgroups defined by the presence or absence of gadolinium-enhancing lesions and by the presence or absence of relapses in the prior two years (both associated with disease activity) were not statistically significantly different from each other, although in both cases the point estimates for </w:t>
      </w:r>
      <w:r w:rsidR="00084875" w:rsidRPr="00015BC4">
        <w:t>CDP</w:t>
      </w:r>
      <w:r w:rsidRPr="00015BC4">
        <w:t xml:space="preserve"> were more favourable in patients with active disease (HRs 0.64 vs 0.82 and 0.67 vs. 0.87, respectively). The report also noted that post-hoc analyses using three different methods to control for the confounding impact of </w:t>
      </w:r>
      <w:r w:rsidRPr="00015BC4">
        <w:rPr>
          <w:iCs/>
        </w:rPr>
        <w:t xml:space="preserve">on-study </w:t>
      </w:r>
      <w:r w:rsidRPr="00015BC4">
        <w:t xml:space="preserve">relapses suggested a smaller but relatively consistent risk reduction amongst non-relapsing groups for disability progression with siponimod. The report also referred to FDA analyses in subgroups with non-active disease (e.g., patients who did not relapse in the two years prior to </w:t>
      </w:r>
      <w:r w:rsidRPr="00015BC4">
        <w:rPr>
          <w:iCs/>
        </w:rPr>
        <w:t xml:space="preserve">or during </w:t>
      </w:r>
      <w:r w:rsidRPr="00015BC4">
        <w:t>the study).</w:t>
      </w:r>
      <w:r w:rsidRPr="00015BC4">
        <w:rPr>
          <w:sz w:val="15"/>
          <w:szCs w:val="15"/>
        </w:rPr>
        <w:t xml:space="preserve"> </w:t>
      </w:r>
      <w:r w:rsidRPr="00015BC4">
        <w:t xml:space="preserve">The FDA concluded that these analyses supported the hypothesis that the delay in 3-month CDP was more clearly related to the anti-inflammatory effect of siponimod (yielding a significant treatment effect on the relapsing or active aspect of the disease) than to an effect on the poorly understood degenerative component of the disease. </w:t>
      </w:r>
    </w:p>
    <w:p w:rsidR="007B65B4" w:rsidRPr="00015BC4" w:rsidRDefault="007B65B4" w:rsidP="00B20D70">
      <w:pPr>
        <w:pStyle w:val="3-BodyText"/>
      </w:pPr>
      <w:r w:rsidRPr="00015BC4">
        <w:t>The PSCR included the results of post-hoc analyses of the EXPAND trials for time to sustained deterioration to EDSS ≥</w:t>
      </w:r>
      <w:r w:rsidR="004F6F0B" w:rsidRPr="00015BC4">
        <w:t xml:space="preserve"> </w:t>
      </w:r>
      <w:r w:rsidRPr="00015BC4">
        <w:t xml:space="preserve">7.0 </w:t>
      </w:r>
      <w:r w:rsidR="00B20D70" w:rsidRPr="00015BC4">
        <w:t>and subgroup analyses by EDSS for</w:t>
      </w:r>
      <w:r w:rsidRPr="00015BC4">
        <w:t xml:space="preserve"> cortical grey matter atrophy. </w:t>
      </w:r>
    </w:p>
    <w:p w:rsidR="00523CB9" w:rsidRDefault="00523CB9" w:rsidP="00B96C7A">
      <w:pPr>
        <w:pStyle w:val="3-BodyText"/>
      </w:pPr>
      <w:r w:rsidRPr="00015BC4">
        <w:t>Though the resubmission used results from the BOLD trial to conduct indirect comparisons between more similar trial populations in ARR rate and in proportion of patients remaining relapse-free, the BOLD trial</w:t>
      </w:r>
      <w:r w:rsidR="00A74E6E" w:rsidRPr="00015BC4">
        <w:t xml:space="preserve"> was designed as a dose finding study, and consequently had small patient numbers</w:t>
      </w:r>
      <w:r w:rsidR="00C443D9" w:rsidRPr="00015BC4">
        <w:t xml:space="preserve"> and </w:t>
      </w:r>
      <w:r w:rsidRPr="00015BC4">
        <w:t xml:space="preserve">only had 6 months of placebo controlled treatment versus 24 months in the fingolimod trials. The ARR ratio versus placebo </w:t>
      </w:r>
      <w:r w:rsidR="00A74E6E" w:rsidRPr="00015BC4">
        <w:t>had a wide confidence interval with an upper bounds approaching 1 (0.956)</w:t>
      </w:r>
      <w:r w:rsidRPr="00015BC4">
        <w:t xml:space="preserve"> making it unreasonable to claim non-inferiority to fingolimod based on this indirect comparison.</w:t>
      </w:r>
      <w:r w:rsidR="00A74E6E" w:rsidRPr="00015BC4">
        <w:t xml:space="preserve"> </w:t>
      </w:r>
      <w:r w:rsidR="00C443D9" w:rsidRPr="00015BC4">
        <w:t>The</w:t>
      </w:r>
      <w:r w:rsidR="00A74E6E" w:rsidRPr="00015BC4">
        <w:t xml:space="preserve"> comparison of patients remaining relapse</w:t>
      </w:r>
      <w:r w:rsidR="00DF2080" w:rsidRPr="00015BC4">
        <w:t>-</w:t>
      </w:r>
      <w:r w:rsidR="00A74E6E" w:rsidRPr="00015BC4">
        <w:t xml:space="preserve">free at different endpoints (6 months in BOLD and 24 months in FREEDOMS I and II), </w:t>
      </w:r>
      <w:r w:rsidR="00C443D9" w:rsidRPr="00015BC4">
        <w:t>was</w:t>
      </w:r>
      <w:r w:rsidR="00A74E6E" w:rsidRPr="00015BC4">
        <w:t xml:space="preserve"> not easily interpretable. </w:t>
      </w:r>
      <w:r w:rsidR="00DF2080" w:rsidRPr="00015BC4">
        <w:t>Additionally, t</w:t>
      </w:r>
      <w:r w:rsidRPr="00015BC4">
        <w:t xml:space="preserve">he indirect comparison of </w:t>
      </w:r>
      <w:r w:rsidR="004F6F0B" w:rsidRPr="00015BC4">
        <w:t xml:space="preserve">the </w:t>
      </w:r>
      <w:r w:rsidRPr="00015BC4">
        <w:t>proportion of patients remaining relapse-free between BOLD and FREEDOMS I and II would be expected to be biased against the treatment with the longer treatment duration (fingolimod in FREEDOMS I and II).</w:t>
      </w:r>
    </w:p>
    <w:p w:rsidR="00884247" w:rsidRPr="00015BC4" w:rsidRDefault="00B857DA" w:rsidP="00884247">
      <w:pPr>
        <w:pStyle w:val="3-BodyText"/>
      </w:pPr>
      <w:r w:rsidRPr="00015BC4">
        <w:t>T</w:t>
      </w:r>
      <w:r w:rsidR="00884247" w:rsidRPr="00015BC4">
        <w:t>he ESC</w:t>
      </w:r>
      <w:r w:rsidR="00D4776D" w:rsidRPr="00015BC4">
        <w:t xml:space="preserve"> </w:t>
      </w:r>
      <w:r w:rsidRPr="00015BC4">
        <w:t>consider</w:t>
      </w:r>
      <w:r w:rsidR="00D4776D" w:rsidRPr="00015BC4">
        <w:t>e</w:t>
      </w:r>
      <w:r w:rsidRPr="00015BC4">
        <w:t>d</w:t>
      </w:r>
      <w:r w:rsidR="00D4776D" w:rsidRPr="00015BC4">
        <w:t xml:space="preserve"> that ideally the indirect comparisons would have matched based on EDSS, however</w:t>
      </w:r>
      <w:r w:rsidR="00755FDB" w:rsidRPr="00015BC4">
        <w:t xml:space="preserve"> </w:t>
      </w:r>
      <w:r w:rsidR="00D4776D" w:rsidRPr="00015BC4">
        <w:t>the</w:t>
      </w:r>
      <w:r w:rsidR="00755FDB" w:rsidRPr="00015BC4">
        <w:t xml:space="preserve"> substantial transitivity issues between the </w:t>
      </w:r>
      <w:r w:rsidR="00D4776D" w:rsidRPr="00015BC4">
        <w:t>sipon</w:t>
      </w:r>
      <w:r w:rsidRPr="00015BC4">
        <w:t>i</w:t>
      </w:r>
      <w:r w:rsidR="00D4776D" w:rsidRPr="00015BC4">
        <w:t>m</w:t>
      </w:r>
      <w:r w:rsidRPr="00015BC4">
        <w:t>o</w:t>
      </w:r>
      <w:r w:rsidR="00D4776D" w:rsidRPr="00015BC4">
        <w:t xml:space="preserve">d and fingolimod </w:t>
      </w:r>
      <w:r w:rsidR="00755FDB" w:rsidRPr="00015BC4">
        <w:t>trials</w:t>
      </w:r>
      <w:r w:rsidR="00A75BE2" w:rsidRPr="00015BC4">
        <w:t>,</w:t>
      </w:r>
      <w:r w:rsidR="00D4776D" w:rsidRPr="00015BC4">
        <w:t xml:space="preserve"> which resulted from them enrolling patients at fundamentally different parts of the disease trajectory</w:t>
      </w:r>
      <w:r w:rsidR="00A75BE2" w:rsidRPr="00015BC4">
        <w:t>,</w:t>
      </w:r>
      <w:r w:rsidR="00D4776D" w:rsidRPr="00015BC4">
        <w:t xml:space="preserve"> could not be overcome. The ESC noted these difference</w:t>
      </w:r>
      <w:r w:rsidR="00A75BE2" w:rsidRPr="00015BC4">
        <w:t>s</w:t>
      </w:r>
      <w:r w:rsidR="00D4776D" w:rsidRPr="00015BC4">
        <w:t xml:space="preserve"> impacted on the outcomes</w:t>
      </w:r>
      <w:r w:rsidR="00A75BE2" w:rsidRPr="00015BC4">
        <w:t xml:space="preserve"> measured given expected differences in the number of relapses and </w:t>
      </w:r>
      <w:r w:rsidR="0048709C" w:rsidRPr="00015BC4">
        <w:t xml:space="preserve">nature of the </w:t>
      </w:r>
      <w:r w:rsidR="00A75BE2" w:rsidRPr="00015BC4">
        <w:t>progression</w:t>
      </w:r>
      <w:r w:rsidR="00015BC4">
        <w:t xml:space="preserve">. </w:t>
      </w:r>
      <w:r w:rsidR="00755FDB" w:rsidRPr="00015BC4">
        <w:t xml:space="preserve"> </w:t>
      </w:r>
    </w:p>
    <w:p w:rsidR="00B24D6B" w:rsidRPr="00015BC4" w:rsidRDefault="00B24D6B" w:rsidP="00B24D6B">
      <w:pPr>
        <w:pStyle w:val="3-BodyText"/>
      </w:pPr>
      <w:r w:rsidRPr="00015BC4">
        <w:lastRenderedPageBreak/>
        <w:t xml:space="preserve">The PSCR argued that while the fingolimod trials did not include patients with EDSS of 6.0 or more, real world registry data from the MSBase database suggest approximately </w:t>
      </w:r>
      <w:r w:rsidR="003C0833">
        <w:rPr>
          <w:noProof/>
          <w:color w:val="000000"/>
          <w:highlight w:val="black"/>
        </w:rPr>
        <w:t>'''''</w:t>
      </w:r>
      <w:r w:rsidRPr="00015BC4">
        <w:t xml:space="preserve">% of patients at this level of disability are treated with a DMT, and as such there is already use in this population where cost-effectiveness has not been established. The ESC noted </w:t>
      </w:r>
      <w:r w:rsidR="003C0833">
        <w:rPr>
          <w:noProof/>
          <w:color w:val="000000"/>
          <w:highlight w:val="black"/>
        </w:rPr>
        <w:t>'''''</w:t>
      </w:r>
      <w:r w:rsidRPr="00015BC4">
        <w:t>% of SPMS patients, rather than SPMS patients with EDSS of 6 or more, were treated with a DMT in the MSBase database. The PSCR further argued that listing siponimod at a similar price to fingolimod would allow the realisation of an opportunity benefit in moving use of DMTs with unknown cost-effective</w:t>
      </w:r>
      <w:r w:rsidR="00B857DA" w:rsidRPr="00015BC4">
        <w:t>ness</w:t>
      </w:r>
      <w:r w:rsidRPr="00015BC4">
        <w:t xml:space="preserve"> to a treatment with a known benefit in patients with an EDSS 6.0 or more at no additional cost. The ESC noted the cost-effectiveness of DMTs in these patients with higher levels of disability </w:t>
      </w:r>
      <w:r w:rsidR="00A75BE2" w:rsidRPr="00015BC4">
        <w:t xml:space="preserve">and less active disease </w:t>
      </w:r>
      <w:r w:rsidRPr="00015BC4">
        <w:t xml:space="preserve">was unknown, </w:t>
      </w:r>
      <w:r w:rsidR="00A75BE2" w:rsidRPr="00015BC4">
        <w:t>however</w:t>
      </w:r>
      <w:r w:rsidRPr="00015BC4">
        <w:t xml:space="preserve"> based on the subgroup a</w:t>
      </w:r>
      <w:r w:rsidR="00A75BE2" w:rsidRPr="00015BC4">
        <w:t>nalyses of the EXPAND trial</w:t>
      </w:r>
      <w:r w:rsidRPr="00015BC4">
        <w:t>, siponimod was likely to be less cost-effective in these patients given the apparent reduced efficacy.</w:t>
      </w:r>
      <w:r w:rsidR="00A75BE2" w:rsidRPr="00015BC4">
        <w:t xml:space="preserve"> The ESC therefore considered the current fingolimod price may not be justified in the proposed expanded population.</w:t>
      </w:r>
    </w:p>
    <w:p w:rsidR="007A5446" w:rsidRPr="00015BC4" w:rsidRDefault="00C179E4" w:rsidP="007757A5">
      <w:pPr>
        <w:pStyle w:val="3-BodyText"/>
      </w:pPr>
      <w:r w:rsidRPr="00015BC4">
        <w:t xml:space="preserve">The PSCR included the results of a </w:t>
      </w:r>
      <w:r w:rsidRPr="00015BC4">
        <w:rPr>
          <w:bCs/>
        </w:rPr>
        <w:t>matching adjusted indirect comparison (</w:t>
      </w:r>
      <w:r w:rsidRPr="00015BC4">
        <w:t xml:space="preserve">MAIC) comparing siponimod with </w:t>
      </w:r>
      <w:r w:rsidR="00D62C9B" w:rsidRPr="00015BC4">
        <w:t>interferon</w:t>
      </w:r>
      <w:r w:rsidRPr="00015BC4">
        <w:t xml:space="preserve"> (Samjoo et al 2020)</w:t>
      </w:r>
      <w:r w:rsidRPr="00015BC4">
        <w:rPr>
          <w:rStyle w:val="FootnoteReference"/>
        </w:rPr>
        <w:footnoteReference w:id="1"/>
      </w:r>
      <w:r w:rsidRPr="00015BC4">
        <w:t xml:space="preserve"> as evidence of the superiority of siponimod to interferon beta with respect to time to confirmed disability progression at 6 months (</w:t>
      </w:r>
      <w:r w:rsidR="00D62C9B" w:rsidRPr="00015BC4">
        <w:t xml:space="preserve">interferon beta-1a </w:t>
      </w:r>
      <w:r w:rsidRPr="00015BC4">
        <w:t>HR 0.43, 95%</w:t>
      </w:r>
      <w:r w:rsidR="00A06228" w:rsidRPr="00015BC4">
        <w:t xml:space="preserve"> </w:t>
      </w:r>
      <w:r w:rsidRPr="00015BC4">
        <w:t>CI: 0.20, 0.93</w:t>
      </w:r>
      <w:r w:rsidR="00D62C9B" w:rsidRPr="00015BC4">
        <w:t>; interferon beta-1b HR 0.55, 95% CI: 0.33, 0.91</w:t>
      </w:r>
      <w:r w:rsidRPr="00015BC4">
        <w:t xml:space="preserve">). However, the ESC noted that in this study there was no statistically significant difference in the Annualised Relapse Rates (ARR) between siponimod and </w:t>
      </w:r>
      <w:r w:rsidR="00957EF5" w:rsidRPr="00015BC4">
        <w:t xml:space="preserve">interferon beta-1b </w:t>
      </w:r>
      <w:r w:rsidRPr="00015BC4">
        <w:t>(RR 0.90, 95% CI: 0.</w:t>
      </w:r>
      <w:r w:rsidR="00D62C9B" w:rsidRPr="00015BC4" w:rsidDel="00D62C9B">
        <w:t xml:space="preserve"> </w:t>
      </w:r>
      <w:r w:rsidRPr="00015BC4">
        <w:t xml:space="preserve">51, 1.59). </w:t>
      </w:r>
      <w:r w:rsidR="00070CA5" w:rsidRPr="00015BC4">
        <w:t>Overall, the PBAC was satisfied that siponimod provides, for some patients, a significant improvement in effectiveness and safety over interferon beta</w:t>
      </w:r>
      <w:r w:rsidR="00A44FCC" w:rsidRPr="00015BC4">
        <w:t>.</w:t>
      </w:r>
    </w:p>
    <w:p w:rsidR="008104C5" w:rsidRPr="00015BC4" w:rsidRDefault="008104C5" w:rsidP="00483B7E">
      <w:pPr>
        <w:pStyle w:val="4-SubsectionHeading"/>
        <w:rPr>
          <w:lang w:val="en-AU"/>
        </w:rPr>
      </w:pPr>
      <w:bookmarkStart w:id="27" w:name="_Toc22897642"/>
      <w:bookmarkStart w:id="28" w:name="_Toc40855736"/>
      <w:r w:rsidRPr="00015BC4">
        <w:rPr>
          <w:lang w:val="en-AU"/>
        </w:rPr>
        <w:t>Comparative harms</w:t>
      </w:r>
      <w:bookmarkEnd w:id="27"/>
      <w:bookmarkEnd w:id="28"/>
    </w:p>
    <w:p w:rsidR="008104C5" w:rsidRDefault="0048418C" w:rsidP="008104C5">
      <w:pPr>
        <w:pStyle w:val="3-BodyText"/>
      </w:pPr>
      <w:r w:rsidRPr="00015BC4">
        <w:t xml:space="preserve">Table 9 </w:t>
      </w:r>
      <w:r w:rsidR="008104C5" w:rsidRPr="00015BC4">
        <w:t xml:space="preserve">presents key safety outcomes identified by the PBAC (i.e. </w:t>
      </w:r>
      <w:r w:rsidR="005B11F5" w:rsidRPr="00015BC4">
        <w:t>a</w:t>
      </w:r>
      <w:r w:rsidR="008104C5" w:rsidRPr="00015BC4">
        <w:t xml:space="preserve">ny AEs, bradycardia, hypertension, nausea and liver function) at the November PBAC meeting for siponimod (paragraph 6.20, siponimod, PBAC </w:t>
      </w:r>
      <w:r w:rsidR="008F35CF">
        <w:t>PSD</w:t>
      </w:r>
      <w:r w:rsidR="008104C5" w:rsidRPr="00015BC4">
        <w:t>, November 2019)</w:t>
      </w:r>
      <w:r w:rsidR="00883747" w:rsidRPr="00015BC4">
        <w:t xml:space="preserve"> and an indirect comparison with fingolimod for these events. </w:t>
      </w:r>
    </w:p>
    <w:p w:rsidR="00C649B7" w:rsidRDefault="00C649B7">
      <w:pPr>
        <w:rPr>
          <w:rStyle w:val="CommentReference"/>
          <w:lang w:val="en-AU"/>
        </w:rPr>
      </w:pPr>
      <w:bookmarkStart w:id="29" w:name="_Ref38097403"/>
      <w:r>
        <w:rPr>
          <w:rStyle w:val="CommentReference"/>
          <w:lang w:val="en-AU"/>
        </w:rPr>
        <w:br w:type="page"/>
      </w:r>
    </w:p>
    <w:p w:rsidR="008104C5" w:rsidRPr="00015BC4" w:rsidRDefault="008104C5" w:rsidP="008104C5">
      <w:pPr>
        <w:rPr>
          <w:lang w:val="en-AU"/>
        </w:rPr>
      </w:pPr>
      <w:r w:rsidRPr="00015BC4">
        <w:rPr>
          <w:rStyle w:val="CommentReference"/>
          <w:lang w:val="en-AU"/>
        </w:rPr>
        <w:lastRenderedPageBreak/>
        <w:t>Table</w:t>
      </w:r>
      <w:r w:rsidR="0048418C" w:rsidRPr="00015BC4">
        <w:rPr>
          <w:rStyle w:val="CommentReference"/>
          <w:lang w:val="en-AU"/>
        </w:rPr>
        <w:t xml:space="preserve"> 9</w:t>
      </w:r>
      <w:bookmarkEnd w:id="29"/>
      <w:r w:rsidRPr="00015BC4">
        <w:rPr>
          <w:rFonts w:ascii="Arial Narrow" w:hAnsi="Arial Narrow"/>
          <w:color w:val="000000" w:themeColor="text1"/>
          <w:sz w:val="20"/>
          <w:lang w:val="en-AU"/>
        </w:rPr>
        <w:t>:</w:t>
      </w:r>
      <w:r w:rsidRPr="00015BC4">
        <w:rPr>
          <w:rStyle w:val="CommentReference"/>
          <w:lang w:val="en-AU"/>
        </w:rPr>
        <w:t xml:space="preserve"> Indirect comparison – siponimod (EXPAND) vs fingolimod (FREEDOMS I/II) – key safety outcomes</w:t>
      </w:r>
    </w:p>
    <w:tbl>
      <w:tblPr>
        <w:tblStyle w:val="TableGrid"/>
        <w:tblW w:w="5000" w:type="pct"/>
        <w:tblLayout w:type="fixed"/>
        <w:tblCellMar>
          <w:left w:w="28" w:type="dxa"/>
          <w:right w:w="28" w:type="dxa"/>
        </w:tblCellMar>
        <w:tblLook w:val="0000" w:firstRow="0" w:lastRow="0" w:firstColumn="0" w:lastColumn="0" w:noHBand="0" w:noVBand="0"/>
      </w:tblPr>
      <w:tblGrid>
        <w:gridCol w:w="1255"/>
        <w:gridCol w:w="900"/>
        <w:gridCol w:w="904"/>
        <w:gridCol w:w="1105"/>
        <w:gridCol w:w="963"/>
        <w:gridCol w:w="992"/>
        <w:gridCol w:w="1078"/>
        <w:gridCol w:w="1820"/>
      </w:tblGrid>
      <w:tr w:rsidR="00483B7E" w:rsidRPr="00015BC4" w:rsidTr="00883747">
        <w:tc>
          <w:tcPr>
            <w:tcW w:w="696" w:type="pct"/>
            <w:vMerge w:val="restart"/>
            <w:vAlign w:val="center"/>
          </w:tcPr>
          <w:p w:rsidR="00483B7E" w:rsidRPr="00015BC4" w:rsidRDefault="00483B7E" w:rsidP="00883747">
            <w:pPr>
              <w:pStyle w:val="TableFigureHeading"/>
            </w:pPr>
            <w:r w:rsidRPr="00015BC4">
              <w:t>Adverse event</w:t>
            </w:r>
          </w:p>
        </w:tc>
        <w:tc>
          <w:tcPr>
            <w:tcW w:w="1613" w:type="pct"/>
            <w:gridSpan w:val="3"/>
          </w:tcPr>
          <w:p w:rsidR="00483B7E" w:rsidRPr="00015BC4" w:rsidRDefault="00483B7E" w:rsidP="00883747">
            <w:pPr>
              <w:pStyle w:val="TableFigureHeading"/>
              <w:jc w:val="center"/>
            </w:pPr>
            <w:r w:rsidRPr="00015BC4">
              <w:t>Siponimod 2mg</w:t>
            </w:r>
          </w:p>
        </w:tc>
        <w:tc>
          <w:tcPr>
            <w:tcW w:w="1682" w:type="pct"/>
            <w:gridSpan w:val="3"/>
          </w:tcPr>
          <w:p w:rsidR="00483B7E" w:rsidRPr="00015BC4" w:rsidRDefault="00483B7E" w:rsidP="00883747">
            <w:pPr>
              <w:pStyle w:val="TableFigureHeading"/>
              <w:jc w:val="center"/>
            </w:pPr>
            <w:r w:rsidRPr="00015BC4">
              <w:t>Fingolimod 0.5mg</w:t>
            </w:r>
          </w:p>
        </w:tc>
        <w:tc>
          <w:tcPr>
            <w:tcW w:w="1009" w:type="pct"/>
            <w:vMerge w:val="restart"/>
          </w:tcPr>
          <w:p w:rsidR="00483B7E" w:rsidRPr="00015BC4" w:rsidRDefault="00483B7E" w:rsidP="00883747">
            <w:pPr>
              <w:pStyle w:val="TableFigureHeading"/>
              <w:jc w:val="center"/>
            </w:pPr>
            <w:r w:rsidRPr="00015BC4">
              <w:t>Indirect effect</w:t>
            </w:r>
          </w:p>
          <w:p w:rsidR="00483B7E" w:rsidRPr="00015BC4" w:rsidRDefault="00483B7E" w:rsidP="00883747">
            <w:pPr>
              <w:pStyle w:val="TableFigureHeading"/>
              <w:jc w:val="center"/>
            </w:pPr>
            <w:r w:rsidRPr="00015BC4">
              <w:t>OR (95% CI)</w:t>
            </w:r>
            <w:r w:rsidRPr="00015BC4">
              <w:rPr>
                <w:vertAlign w:val="superscript"/>
              </w:rPr>
              <w:t>a</w:t>
            </w:r>
          </w:p>
          <w:p w:rsidR="00483B7E" w:rsidRPr="00015BC4" w:rsidRDefault="00483B7E" w:rsidP="00883747">
            <w:pPr>
              <w:pStyle w:val="TableFigureHeading"/>
              <w:jc w:val="center"/>
            </w:pPr>
            <w:r w:rsidRPr="00015BC4">
              <w:t>p value</w:t>
            </w:r>
          </w:p>
        </w:tc>
      </w:tr>
      <w:tr w:rsidR="00483B7E" w:rsidRPr="00015BC4" w:rsidTr="00883747">
        <w:tc>
          <w:tcPr>
            <w:tcW w:w="696" w:type="pct"/>
            <w:vMerge/>
            <w:vAlign w:val="center"/>
          </w:tcPr>
          <w:p w:rsidR="00483B7E" w:rsidRPr="00015BC4" w:rsidRDefault="00483B7E" w:rsidP="00883747">
            <w:pPr>
              <w:pStyle w:val="TableFigureHeading"/>
            </w:pPr>
          </w:p>
        </w:tc>
        <w:tc>
          <w:tcPr>
            <w:tcW w:w="499" w:type="pct"/>
          </w:tcPr>
          <w:p w:rsidR="00483B7E" w:rsidRPr="00015BC4" w:rsidRDefault="00483B7E" w:rsidP="00883747">
            <w:pPr>
              <w:pStyle w:val="TableFigureHeading"/>
              <w:jc w:val="center"/>
            </w:pPr>
            <w:r w:rsidRPr="00015BC4">
              <w:t>SIP</w:t>
            </w:r>
          </w:p>
        </w:tc>
        <w:tc>
          <w:tcPr>
            <w:tcW w:w="501" w:type="pct"/>
          </w:tcPr>
          <w:p w:rsidR="00483B7E" w:rsidRPr="00015BC4" w:rsidRDefault="00483B7E" w:rsidP="00883747">
            <w:pPr>
              <w:pStyle w:val="TableFigureHeading"/>
              <w:jc w:val="center"/>
            </w:pPr>
            <w:r w:rsidRPr="00015BC4">
              <w:t>PBO</w:t>
            </w:r>
          </w:p>
        </w:tc>
        <w:tc>
          <w:tcPr>
            <w:tcW w:w="613" w:type="pct"/>
            <w:vMerge w:val="restart"/>
          </w:tcPr>
          <w:p w:rsidR="00483B7E" w:rsidRPr="00015BC4" w:rsidRDefault="00483B7E" w:rsidP="00883747">
            <w:pPr>
              <w:pStyle w:val="TableFigureHeading"/>
              <w:jc w:val="center"/>
            </w:pPr>
            <w:r w:rsidRPr="00015BC4">
              <w:t>OR</w:t>
            </w:r>
          </w:p>
          <w:p w:rsidR="00483B7E" w:rsidRPr="00015BC4" w:rsidRDefault="00483B7E" w:rsidP="00883747">
            <w:pPr>
              <w:pStyle w:val="TableFigureHeading"/>
              <w:jc w:val="center"/>
            </w:pPr>
            <w:r w:rsidRPr="00015BC4">
              <w:t>(95%CI)</w:t>
            </w:r>
          </w:p>
        </w:tc>
        <w:tc>
          <w:tcPr>
            <w:tcW w:w="534" w:type="pct"/>
          </w:tcPr>
          <w:p w:rsidR="00483B7E" w:rsidRPr="00015BC4" w:rsidRDefault="00483B7E" w:rsidP="00883747">
            <w:pPr>
              <w:pStyle w:val="TableFigureHeading"/>
              <w:jc w:val="center"/>
            </w:pPr>
            <w:r w:rsidRPr="00015BC4">
              <w:t>FIN</w:t>
            </w:r>
          </w:p>
        </w:tc>
        <w:tc>
          <w:tcPr>
            <w:tcW w:w="550" w:type="pct"/>
          </w:tcPr>
          <w:p w:rsidR="00483B7E" w:rsidRPr="00015BC4" w:rsidRDefault="00483B7E" w:rsidP="00883747">
            <w:pPr>
              <w:pStyle w:val="TableFigureHeading"/>
              <w:jc w:val="center"/>
            </w:pPr>
            <w:r w:rsidRPr="00015BC4">
              <w:t>PBO</w:t>
            </w:r>
          </w:p>
        </w:tc>
        <w:tc>
          <w:tcPr>
            <w:tcW w:w="598" w:type="pct"/>
            <w:vMerge w:val="restart"/>
          </w:tcPr>
          <w:p w:rsidR="00483B7E" w:rsidRPr="00015BC4" w:rsidRDefault="00483B7E" w:rsidP="00883747">
            <w:pPr>
              <w:pStyle w:val="TableFigureHeading"/>
              <w:jc w:val="center"/>
            </w:pPr>
            <w:r w:rsidRPr="00015BC4">
              <w:t>OR</w:t>
            </w:r>
          </w:p>
          <w:p w:rsidR="00483B7E" w:rsidRPr="00015BC4" w:rsidRDefault="00483B7E" w:rsidP="00883747">
            <w:pPr>
              <w:pStyle w:val="TableFigureHeading"/>
              <w:jc w:val="center"/>
            </w:pPr>
            <w:r w:rsidRPr="00015BC4">
              <w:t>(95%CI)</w:t>
            </w:r>
          </w:p>
        </w:tc>
        <w:tc>
          <w:tcPr>
            <w:tcW w:w="1009" w:type="pct"/>
            <w:vMerge/>
          </w:tcPr>
          <w:p w:rsidR="00483B7E" w:rsidRPr="00015BC4" w:rsidRDefault="00483B7E" w:rsidP="00883747">
            <w:pPr>
              <w:pStyle w:val="TableFigureHeading"/>
              <w:jc w:val="center"/>
              <w:rPr>
                <w:highlight w:val="yellow"/>
              </w:rPr>
            </w:pPr>
          </w:p>
        </w:tc>
      </w:tr>
      <w:tr w:rsidR="00483B7E" w:rsidRPr="00015BC4" w:rsidTr="00883747">
        <w:tc>
          <w:tcPr>
            <w:tcW w:w="696" w:type="pct"/>
            <w:vMerge/>
            <w:vAlign w:val="center"/>
          </w:tcPr>
          <w:p w:rsidR="00483B7E" w:rsidRPr="00015BC4" w:rsidRDefault="00483B7E" w:rsidP="00883747">
            <w:pPr>
              <w:pStyle w:val="PBACTableText"/>
              <w:spacing w:before="0" w:after="0"/>
              <w:rPr>
                <w:lang w:val="en-AU"/>
              </w:rPr>
            </w:pPr>
          </w:p>
        </w:tc>
        <w:tc>
          <w:tcPr>
            <w:tcW w:w="499" w:type="pct"/>
          </w:tcPr>
          <w:p w:rsidR="00483B7E" w:rsidRPr="00015BC4" w:rsidRDefault="00483B7E" w:rsidP="00883747">
            <w:pPr>
              <w:pStyle w:val="PBACTableText"/>
              <w:spacing w:before="0" w:after="0"/>
              <w:jc w:val="center"/>
              <w:rPr>
                <w:b/>
                <w:lang w:val="en-AU"/>
              </w:rPr>
            </w:pPr>
            <w:r w:rsidRPr="00015BC4">
              <w:rPr>
                <w:b/>
                <w:lang w:val="en-AU"/>
              </w:rPr>
              <w:t>n/N (%)</w:t>
            </w:r>
          </w:p>
        </w:tc>
        <w:tc>
          <w:tcPr>
            <w:tcW w:w="501" w:type="pct"/>
          </w:tcPr>
          <w:p w:rsidR="00483B7E" w:rsidRPr="00015BC4" w:rsidRDefault="00483B7E" w:rsidP="00883747">
            <w:pPr>
              <w:pStyle w:val="PBACTableText"/>
              <w:spacing w:before="0" w:after="0"/>
              <w:jc w:val="center"/>
              <w:rPr>
                <w:b/>
                <w:lang w:val="en-AU"/>
              </w:rPr>
            </w:pPr>
            <w:r w:rsidRPr="00015BC4">
              <w:rPr>
                <w:b/>
                <w:lang w:val="en-AU"/>
              </w:rPr>
              <w:t>n/N (%)</w:t>
            </w:r>
          </w:p>
        </w:tc>
        <w:tc>
          <w:tcPr>
            <w:tcW w:w="613" w:type="pct"/>
            <w:vMerge/>
          </w:tcPr>
          <w:p w:rsidR="00483B7E" w:rsidRPr="00015BC4" w:rsidRDefault="00483B7E" w:rsidP="00883747">
            <w:pPr>
              <w:pStyle w:val="PBACTableText"/>
              <w:spacing w:before="0" w:after="0"/>
              <w:jc w:val="center"/>
              <w:rPr>
                <w:lang w:val="en-AU"/>
              </w:rPr>
            </w:pPr>
          </w:p>
        </w:tc>
        <w:tc>
          <w:tcPr>
            <w:tcW w:w="534" w:type="pct"/>
          </w:tcPr>
          <w:p w:rsidR="00483B7E" w:rsidRPr="00015BC4" w:rsidRDefault="00483B7E" w:rsidP="00883747">
            <w:pPr>
              <w:pStyle w:val="PBACTableText"/>
              <w:spacing w:before="0" w:after="0"/>
              <w:jc w:val="center"/>
              <w:rPr>
                <w:b/>
                <w:lang w:val="en-AU"/>
              </w:rPr>
            </w:pPr>
            <w:r w:rsidRPr="00015BC4">
              <w:rPr>
                <w:b/>
                <w:lang w:val="en-AU"/>
              </w:rPr>
              <w:t>n/N (%)</w:t>
            </w:r>
          </w:p>
        </w:tc>
        <w:tc>
          <w:tcPr>
            <w:tcW w:w="550" w:type="pct"/>
          </w:tcPr>
          <w:p w:rsidR="00483B7E" w:rsidRPr="00015BC4" w:rsidRDefault="00483B7E" w:rsidP="00883747">
            <w:pPr>
              <w:pStyle w:val="PBACTableText"/>
              <w:spacing w:before="0" w:after="0"/>
              <w:jc w:val="center"/>
              <w:rPr>
                <w:b/>
                <w:lang w:val="en-AU"/>
              </w:rPr>
            </w:pPr>
            <w:r w:rsidRPr="00015BC4">
              <w:rPr>
                <w:b/>
                <w:lang w:val="en-AU"/>
              </w:rPr>
              <w:t>n/N (%)</w:t>
            </w:r>
          </w:p>
        </w:tc>
        <w:tc>
          <w:tcPr>
            <w:tcW w:w="598" w:type="pct"/>
            <w:vMerge/>
          </w:tcPr>
          <w:p w:rsidR="00483B7E" w:rsidRPr="00015BC4" w:rsidRDefault="00483B7E" w:rsidP="00883747">
            <w:pPr>
              <w:pStyle w:val="PBACTableText"/>
              <w:spacing w:before="0" w:after="0"/>
              <w:jc w:val="center"/>
              <w:rPr>
                <w:lang w:val="en-AU"/>
              </w:rPr>
            </w:pPr>
          </w:p>
        </w:tc>
        <w:tc>
          <w:tcPr>
            <w:tcW w:w="1009" w:type="pct"/>
            <w:vMerge/>
          </w:tcPr>
          <w:p w:rsidR="00483B7E" w:rsidRPr="00015BC4" w:rsidRDefault="00483B7E" w:rsidP="00883747">
            <w:pPr>
              <w:pStyle w:val="PBACTableText"/>
              <w:spacing w:before="0" w:after="0"/>
              <w:jc w:val="center"/>
              <w:rPr>
                <w:highlight w:val="yellow"/>
                <w:lang w:val="en-AU"/>
              </w:rPr>
            </w:pPr>
          </w:p>
        </w:tc>
      </w:tr>
      <w:tr w:rsidR="00483B7E" w:rsidRPr="00015BC4" w:rsidTr="00883747">
        <w:tc>
          <w:tcPr>
            <w:tcW w:w="696" w:type="pct"/>
            <w:vAlign w:val="center"/>
          </w:tcPr>
          <w:p w:rsidR="00483B7E" w:rsidRPr="00015BC4" w:rsidRDefault="00483B7E" w:rsidP="00883747">
            <w:pPr>
              <w:pStyle w:val="PBACTableText"/>
              <w:spacing w:before="0" w:after="0"/>
              <w:rPr>
                <w:lang w:val="en-AU"/>
              </w:rPr>
            </w:pPr>
            <w:r w:rsidRPr="00015BC4">
              <w:rPr>
                <w:lang w:val="en-AU"/>
              </w:rPr>
              <w:t>Any AE</w:t>
            </w:r>
          </w:p>
        </w:tc>
        <w:tc>
          <w:tcPr>
            <w:tcW w:w="499" w:type="pct"/>
          </w:tcPr>
          <w:p w:rsidR="00483B7E" w:rsidRPr="00015BC4" w:rsidRDefault="00483B7E" w:rsidP="00883747">
            <w:pPr>
              <w:pStyle w:val="PBACTableText"/>
              <w:spacing w:before="0" w:after="0"/>
              <w:jc w:val="center"/>
              <w:rPr>
                <w:lang w:val="en-AU"/>
              </w:rPr>
            </w:pPr>
            <w:r w:rsidRPr="00015BC4">
              <w:rPr>
                <w:lang w:val="en-AU"/>
              </w:rPr>
              <w:t>975/1099 (88.7)</w:t>
            </w:r>
          </w:p>
        </w:tc>
        <w:tc>
          <w:tcPr>
            <w:tcW w:w="501" w:type="pct"/>
          </w:tcPr>
          <w:p w:rsidR="00483B7E" w:rsidRPr="00015BC4" w:rsidRDefault="00483B7E" w:rsidP="00883747">
            <w:pPr>
              <w:pStyle w:val="PBACTableText"/>
              <w:spacing w:before="0" w:after="0"/>
              <w:jc w:val="center"/>
              <w:rPr>
                <w:lang w:val="en-AU"/>
              </w:rPr>
            </w:pPr>
            <w:r w:rsidRPr="00015BC4">
              <w:rPr>
                <w:lang w:val="en-AU"/>
              </w:rPr>
              <w:t>445/546 (81.5)</w:t>
            </w:r>
          </w:p>
        </w:tc>
        <w:tc>
          <w:tcPr>
            <w:tcW w:w="613" w:type="pct"/>
          </w:tcPr>
          <w:p w:rsidR="00483B7E" w:rsidRPr="00015BC4" w:rsidRDefault="00483B7E" w:rsidP="00883747">
            <w:pPr>
              <w:pStyle w:val="PBACTableText"/>
              <w:spacing w:before="0" w:after="0"/>
              <w:jc w:val="center"/>
              <w:rPr>
                <w:b/>
                <w:lang w:val="en-AU"/>
              </w:rPr>
            </w:pPr>
            <w:r w:rsidRPr="00015BC4">
              <w:rPr>
                <w:b/>
                <w:lang w:val="en-AU"/>
              </w:rPr>
              <w:t>1.78</w:t>
            </w:r>
          </w:p>
          <w:p w:rsidR="00483B7E" w:rsidRPr="00015BC4" w:rsidRDefault="00483B7E" w:rsidP="00883747">
            <w:pPr>
              <w:pStyle w:val="PBACTableText"/>
              <w:spacing w:before="0" w:after="0"/>
              <w:jc w:val="center"/>
              <w:rPr>
                <w:b/>
                <w:lang w:val="en-AU"/>
              </w:rPr>
            </w:pPr>
            <w:r w:rsidRPr="00015BC4">
              <w:rPr>
                <w:b/>
                <w:lang w:val="en-AU"/>
              </w:rPr>
              <w:t>(1.34, 2.37)</w:t>
            </w:r>
          </w:p>
        </w:tc>
        <w:tc>
          <w:tcPr>
            <w:tcW w:w="534" w:type="pct"/>
          </w:tcPr>
          <w:p w:rsidR="00483B7E" w:rsidRPr="00015BC4" w:rsidRDefault="00483B7E" w:rsidP="00883747">
            <w:pPr>
              <w:pStyle w:val="PBACTableText"/>
              <w:spacing w:before="0" w:after="0"/>
              <w:jc w:val="center"/>
              <w:rPr>
                <w:lang w:val="en-AU"/>
              </w:rPr>
            </w:pPr>
            <w:r w:rsidRPr="00015BC4">
              <w:rPr>
                <w:lang w:val="en-AU"/>
              </w:rPr>
              <w:t>751/783 (95.9)</w:t>
            </w:r>
          </w:p>
        </w:tc>
        <w:tc>
          <w:tcPr>
            <w:tcW w:w="550" w:type="pct"/>
          </w:tcPr>
          <w:p w:rsidR="00483B7E" w:rsidRPr="00015BC4" w:rsidRDefault="00483B7E" w:rsidP="00883747">
            <w:pPr>
              <w:pStyle w:val="PBACTableText"/>
              <w:spacing w:before="0" w:after="0"/>
              <w:jc w:val="center"/>
              <w:rPr>
                <w:lang w:val="en-AU"/>
              </w:rPr>
            </w:pPr>
            <w:r w:rsidRPr="00015BC4">
              <w:rPr>
                <w:lang w:val="en-AU"/>
              </w:rPr>
              <w:t>730/773 (94.4)</w:t>
            </w:r>
          </w:p>
        </w:tc>
        <w:tc>
          <w:tcPr>
            <w:tcW w:w="598" w:type="pct"/>
          </w:tcPr>
          <w:p w:rsidR="00483B7E" w:rsidRPr="00015BC4" w:rsidRDefault="00483B7E" w:rsidP="00883747">
            <w:pPr>
              <w:pStyle w:val="PBACTableText"/>
              <w:spacing w:before="0" w:after="0"/>
              <w:jc w:val="center"/>
              <w:rPr>
                <w:lang w:val="en-AU"/>
              </w:rPr>
            </w:pPr>
            <w:r w:rsidRPr="00015BC4">
              <w:rPr>
                <w:lang w:val="en-AU"/>
              </w:rPr>
              <w:t>1.39</w:t>
            </w:r>
          </w:p>
          <w:p w:rsidR="00483B7E" w:rsidRPr="00015BC4" w:rsidRDefault="00483B7E" w:rsidP="00883747">
            <w:pPr>
              <w:pStyle w:val="PBACTableText"/>
              <w:spacing w:before="0" w:after="0"/>
              <w:jc w:val="center"/>
              <w:rPr>
                <w:lang w:val="en-AU"/>
              </w:rPr>
            </w:pPr>
            <w:r w:rsidRPr="00015BC4">
              <w:rPr>
                <w:lang w:val="en-AU"/>
              </w:rPr>
              <w:t>(0.87,2.22)</w:t>
            </w:r>
          </w:p>
        </w:tc>
        <w:tc>
          <w:tcPr>
            <w:tcW w:w="1009" w:type="pct"/>
          </w:tcPr>
          <w:p w:rsidR="00483B7E" w:rsidRPr="00015BC4" w:rsidRDefault="00483B7E" w:rsidP="00883747">
            <w:pPr>
              <w:pStyle w:val="PBACTableText"/>
              <w:spacing w:before="0" w:after="0"/>
              <w:jc w:val="center"/>
              <w:rPr>
                <w:lang w:val="en-AU"/>
              </w:rPr>
            </w:pPr>
            <w:r w:rsidRPr="00015BC4">
              <w:rPr>
                <w:lang w:val="en-AU"/>
              </w:rPr>
              <w:t>1.281 (0.740, 2.216)</w:t>
            </w:r>
          </w:p>
          <w:p w:rsidR="00483B7E" w:rsidRPr="00015BC4" w:rsidRDefault="00483B7E" w:rsidP="00883747">
            <w:pPr>
              <w:pStyle w:val="PBACTableText"/>
              <w:spacing w:before="0" w:after="0"/>
              <w:jc w:val="center"/>
              <w:rPr>
                <w:lang w:val="en-AU"/>
              </w:rPr>
            </w:pPr>
            <w:r w:rsidRPr="00015BC4">
              <w:rPr>
                <w:lang w:val="en-AU"/>
              </w:rPr>
              <w:t>p=0.38</w:t>
            </w:r>
          </w:p>
        </w:tc>
      </w:tr>
      <w:tr w:rsidR="00483B7E" w:rsidRPr="00015BC4" w:rsidTr="00883747">
        <w:tc>
          <w:tcPr>
            <w:tcW w:w="696" w:type="pct"/>
            <w:vAlign w:val="center"/>
          </w:tcPr>
          <w:p w:rsidR="00483B7E" w:rsidRPr="00015BC4" w:rsidRDefault="00483B7E" w:rsidP="00883747">
            <w:pPr>
              <w:pStyle w:val="PBACTableText"/>
              <w:spacing w:before="0" w:after="0"/>
              <w:rPr>
                <w:lang w:val="en-AU"/>
              </w:rPr>
            </w:pPr>
            <w:r w:rsidRPr="00015BC4">
              <w:rPr>
                <w:lang w:val="en-AU"/>
              </w:rPr>
              <w:t>Bradycardia</w:t>
            </w:r>
          </w:p>
        </w:tc>
        <w:tc>
          <w:tcPr>
            <w:tcW w:w="499" w:type="pct"/>
          </w:tcPr>
          <w:p w:rsidR="00483B7E" w:rsidRPr="00015BC4" w:rsidRDefault="00483B7E" w:rsidP="00883747">
            <w:pPr>
              <w:pStyle w:val="PBACTableText"/>
              <w:spacing w:before="0" w:after="0"/>
              <w:jc w:val="center"/>
              <w:rPr>
                <w:lang w:val="en-AU"/>
              </w:rPr>
            </w:pPr>
            <w:r w:rsidRPr="00015BC4">
              <w:rPr>
                <w:lang w:val="en-AU"/>
              </w:rPr>
              <w:t>50/1099 (4.5)</w:t>
            </w:r>
          </w:p>
        </w:tc>
        <w:tc>
          <w:tcPr>
            <w:tcW w:w="501" w:type="pct"/>
          </w:tcPr>
          <w:p w:rsidR="00483B7E" w:rsidRPr="00015BC4" w:rsidRDefault="00483B7E" w:rsidP="00883747">
            <w:pPr>
              <w:pStyle w:val="PBACTableText"/>
              <w:spacing w:before="0" w:after="0"/>
              <w:jc w:val="center"/>
              <w:rPr>
                <w:lang w:val="en-AU"/>
              </w:rPr>
            </w:pPr>
            <w:r w:rsidRPr="00015BC4">
              <w:rPr>
                <w:lang w:val="en-AU"/>
              </w:rPr>
              <w:t>14/546 (2.6)</w:t>
            </w:r>
          </w:p>
        </w:tc>
        <w:tc>
          <w:tcPr>
            <w:tcW w:w="613" w:type="pct"/>
          </w:tcPr>
          <w:p w:rsidR="00483B7E" w:rsidRPr="00015BC4" w:rsidRDefault="00483B7E" w:rsidP="00883747">
            <w:pPr>
              <w:pStyle w:val="PBACTableText"/>
              <w:spacing w:before="0" w:after="0"/>
              <w:jc w:val="center"/>
              <w:rPr>
                <w:lang w:val="en-AU"/>
              </w:rPr>
            </w:pPr>
            <w:r w:rsidRPr="00015BC4">
              <w:rPr>
                <w:lang w:val="en-AU"/>
              </w:rPr>
              <w:t>1.81</w:t>
            </w:r>
          </w:p>
          <w:p w:rsidR="00483B7E" w:rsidRPr="00015BC4" w:rsidRDefault="00483B7E" w:rsidP="00883747">
            <w:pPr>
              <w:pStyle w:val="PBACTableText"/>
              <w:spacing w:before="0" w:after="0"/>
              <w:jc w:val="center"/>
              <w:rPr>
                <w:lang w:val="en-AU"/>
              </w:rPr>
            </w:pPr>
            <w:r w:rsidRPr="00015BC4">
              <w:rPr>
                <w:lang w:val="en-AU"/>
              </w:rPr>
              <w:t>(0.99, 3.31)</w:t>
            </w:r>
          </w:p>
        </w:tc>
        <w:tc>
          <w:tcPr>
            <w:tcW w:w="534" w:type="pct"/>
          </w:tcPr>
          <w:p w:rsidR="00DF2080" w:rsidRPr="00015BC4" w:rsidRDefault="00483B7E" w:rsidP="00883747">
            <w:pPr>
              <w:pStyle w:val="PBACTableText"/>
              <w:spacing w:before="0" w:after="0"/>
              <w:jc w:val="center"/>
              <w:rPr>
                <w:lang w:val="en-AU"/>
              </w:rPr>
            </w:pPr>
            <w:r w:rsidRPr="00015BC4">
              <w:rPr>
                <w:lang w:val="en-AU"/>
              </w:rPr>
              <w:t xml:space="preserve">8/783 </w:t>
            </w:r>
          </w:p>
          <w:p w:rsidR="00483B7E" w:rsidRPr="00015BC4" w:rsidRDefault="00483B7E" w:rsidP="00883747">
            <w:pPr>
              <w:pStyle w:val="PBACTableText"/>
              <w:spacing w:before="0" w:after="0"/>
              <w:jc w:val="center"/>
              <w:rPr>
                <w:lang w:val="en-AU"/>
              </w:rPr>
            </w:pPr>
            <w:r w:rsidRPr="00015BC4">
              <w:rPr>
                <w:lang w:val="en-AU"/>
              </w:rPr>
              <w:t>(1.0)</w:t>
            </w:r>
          </w:p>
        </w:tc>
        <w:tc>
          <w:tcPr>
            <w:tcW w:w="550" w:type="pct"/>
          </w:tcPr>
          <w:p w:rsidR="00DF2080" w:rsidRPr="00015BC4" w:rsidRDefault="00483B7E" w:rsidP="00883747">
            <w:pPr>
              <w:pStyle w:val="PBACTableText"/>
              <w:spacing w:before="0" w:after="0"/>
              <w:jc w:val="center"/>
              <w:rPr>
                <w:lang w:val="en-AU"/>
              </w:rPr>
            </w:pPr>
            <w:r w:rsidRPr="00015BC4">
              <w:rPr>
                <w:lang w:val="en-AU"/>
              </w:rPr>
              <w:t xml:space="preserve">5/773 </w:t>
            </w:r>
          </w:p>
          <w:p w:rsidR="00483B7E" w:rsidRPr="00015BC4" w:rsidRDefault="00483B7E" w:rsidP="00883747">
            <w:pPr>
              <w:pStyle w:val="PBACTableText"/>
              <w:spacing w:before="0" w:after="0"/>
              <w:jc w:val="center"/>
              <w:rPr>
                <w:lang w:val="en-AU"/>
              </w:rPr>
            </w:pPr>
            <w:r w:rsidRPr="00015BC4">
              <w:rPr>
                <w:lang w:val="en-AU"/>
              </w:rPr>
              <w:t>(0.6)</w:t>
            </w:r>
          </w:p>
        </w:tc>
        <w:tc>
          <w:tcPr>
            <w:tcW w:w="598" w:type="pct"/>
          </w:tcPr>
          <w:p w:rsidR="00483B7E" w:rsidRPr="00015BC4" w:rsidRDefault="00483B7E" w:rsidP="00883747">
            <w:pPr>
              <w:pStyle w:val="PBACTableText"/>
              <w:spacing w:before="0" w:after="0"/>
              <w:jc w:val="center"/>
              <w:rPr>
                <w:lang w:val="en-AU"/>
              </w:rPr>
            </w:pPr>
            <w:r w:rsidRPr="00015BC4">
              <w:rPr>
                <w:lang w:val="en-AU"/>
              </w:rPr>
              <w:t>1.57</w:t>
            </w:r>
          </w:p>
          <w:p w:rsidR="00483B7E" w:rsidRPr="00015BC4" w:rsidRDefault="00483B7E" w:rsidP="00883747">
            <w:pPr>
              <w:pStyle w:val="PBACTableText"/>
              <w:spacing w:before="0" w:after="0"/>
              <w:jc w:val="center"/>
              <w:rPr>
                <w:highlight w:val="yellow"/>
                <w:lang w:val="en-AU"/>
              </w:rPr>
            </w:pPr>
            <w:r w:rsidRPr="00015BC4">
              <w:rPr>
                <w:lang w:val="en-AU"/>
              </w:rPr>
              <w:t>(0.50,4.90)</w:t>
            </w:r>
          </w:p>
        </w:tc>
        <w:tc>
          <w:tcPr>
            <w:tcW w:w="1009" w:type="pct"/>
          </w:tcPr>
          <w:p w:rsidR="00483B7E" w:rsidRPr="00015BC4" w:rsidRDefault="00483B7E" w:rsidP="00883747">
            <w:pPr>
              <w:pStyle w:val="PBACTableText"/>
              <w:spacing w:before="0" w:after="0"/>
              <w:jc w:val="center"/>
              <w:rPr>
                <w:lang w:val="en-AU"/>
              </w:rPr>
            </w:pPr>
            <w:r w:rsidRPr="00015BC4">
              <w:rPr>
                <w:lang w:val="en-AU"/>
              </w:rPr>
              <w:t>1.153 (0.317, 4.192)</w:t>
            </w:r>
          </w:p>
          <w:p w:rsidR="00483B7E" w:rsidRPr="00015BC4" w:rsidRDefault="00483B7E" w:rsidP="00883747">
            <w:pPr>
              <w:pStyle w:val="PBACTableText"/>
              <w:spacing w:before="0" w:after="0"/>
              <w:jc w:val="center"/>
              <w:rPr>
                <w:highlight w:val="yellow"/>
                <w:lang w:val="en-AU"/>
              </w:rPr>
            </w:pPr>
            <w:r w:rsidRPr="00015BC4">
              <w:rPr>
                <w:lang w:val="en-AU"/>
              </w:rPr>
              <w:t>p=0.83</w:t>
            </w:r>
          </w:p>
        </w:tc>
      </w:tr>
      <w:tr w:rsidR="00483B7E" w:rsidRPr="00015BC4" w:rsidTr="00883747">
        <w:tc>
          <w:tcPr>
            <w:tcW w:w="696" w:type="pct"/>
            <w:vAlign w:val="center"/>
          </w:tcPr>
          <w:p w:rsidR="00483B7E" w:rsidRPr="00015BC4" w:rsidRDefault="00483B7E" w:rsidP="00883747">
            <w:pPr>
              <w:pStyle w:val="PBACTableText"/>
              <w:spacing w:before="0" w:after="0"/>
              <w:rPr>
                <w:lang w:val="en-AU"/>
              </w:rPr>
            </w:pPr>
            <w:r w:rsidRPr="00015BC4">
              <w:rPr>
                <w:lang w:val="en-AU"/>
              </w:rPr>
              <w:t>Hypertension</w:t>
            </w:r>
          </w:p>
        </w:tc>
        <w:tc>
          <w:tcPr>
            <w:tcW w:w="499" w:type="pct"/>
          </w:tcPr>
          <w:p w:rsidR="00483B7E" w:rsidRPr="00015BC4" w:rsidRDefault="00483B7E" w:rsidP="00883747">
            <w:pPr>
              <w:pStyle w:val="PBACTableText"/>
              <w:spacing w:before="0" w:after="0"/>
              <w:jc w:val="center"/>
              <w:rPr>
                <w:lang w:val="en-AU"/>
              </w:rPr>
            </w:pPr>
            <w:r w:rsidRPr="00015BC4">
              <w:rPr>
                <w:lang w:val="en-AU"/>
              </w:rPr>
              <w:t>115/1099 (10.5)</w:t>
            </w:r>
          </w:p>
        </w:tc>
        <w:tc>
          <w:tcPr>
            <w:tcW w:w="501" w:type="pct"/>
          </w:tcPr>
          <w:p w:rsidR="00483B7E" w:rsidRPr="00015BC4" w:rsidRDefault="00483B7E" w:rsidP="00883747">
            <w:pPr>
              <w:pStyle w:val="PBACTableText"/>
              <w:spacing w:before="0" w:after="0"/>
              <w:jc w:val="center"/>
              <w:rPr>
                <w:lang w:val="en-AU"/>
              </w:rPr>
            </w:pPr>
            <w:r w:rsidRPr="00015BC4">
              <w:rPr>
                <w:lang w:val="en-AU"/>
              </w:rPr>
              <w:t>41/546 (7.5)</w:t>
            </w:r>
          </w:p>
        </w:tc>
        <w:tc>
          <w:tcPr>
            <w:tcW w:w="613" w:type="pct"/>
          </w:tcPr>
          <w:p w:rsidR="00483B7E" w:rsidRPr="00015BC4" w:rsidRDefault="00483B7E" w:rsidP="00883747">
            <w:pPr>
              <w:pStyle w:val="PBACTableText"/>
              <w:spacing w:before="0" w:after="0"/>
              <w:jc w:val="center"/>
              <w:rPr>
                <w:lang w:val="en-AU"/>
              </w:rPr>
            </w:pPr>
            <w:r w:rsidRPr="00015BC4">
              <w:rPr>
                <w:lang w:val="en-AU"/>
              </w:rPr>
              <w:t>1.44</w:t>
            </w:r>
          </w:p>
          <w:p w:rsidR="00483B7E" w:rsidRPr="00015BC4" w:rsidRDefault="00483B7E" w:rsidP="00883747">
            <w:pPr>
              <w:pStyle w:val="PBACTableText"/>
              <w:spacing w:before="0" w:after="0"/>
              <w:jc w:val="center"/>
              <w:rPr>
                <w:lang w:val="en-AU"/>
              </w:rPr>
            </w:pPr>
            <w:r w:rsidRPr="00015BC4">
              <w:rPr>
                <w:lang w:val="en-AU"/>
              </w:rPr>
              <w:t>(0.99, 2.09)</w:t>
            </w:r>
          </w:p>
        </w:tc>
        <w:tc>
          <w:tcPr>
            <w:tcW w:w="534" w:type="pct"/>
          </w:tcPr>
          <w:p w:rsidR="00DF2080" w:rsidRPr="00015BC4" w:rsidRDefault="00483B7E" w:rsidP="00883747">
            <w:pPr>
              <w:pStyle w:val="PBACTableText"/>
              <w:spacing w:before="0" w:after="0"/>
              <w:jc w:val="center"/>
              <w:rPr>
                <w:lang w:val="en-AU"/>
              </w:rPr>
            </w:pPr>
            <w:r w:rsidRPr="00015BC4">
              <w:rPr>
                <w:lang w:val="en-AU"/>
              </w:rPr>
              <w:t xml:space="preserve">24/783 </w:t>
            </w:r>
          </w:p>
          <w:p w:rsidR="00483B7E" w:rsidRPr="00015BC4" w:rsidRDefault="00483B7E" w:rsidP="00883747">
            <w:pPr>
              <w:pStyle w:val="PBACTableText"/>
              <w:spacing w:before="0" w:after="0"/>
              <w:jc w:val="center"/>
              <w:rPr>
                <w:lang w:val="en-AU"/>
              </w:rPr>
            </w:pPr>
            <w:r w:rsidRPr="00015BC4">
              <w:rPr>
                <w:lang w:val="en-AU"/>
              </w:rPr>
              <w:t>(3.1)</w:t>
            </w:r>
          </w:p>
        </w:tc>
        <w:tc>
          <w:tcPr>
            <w:tcW w:w="550" w:type="pct"/>
          </w:tcPr>
          <w:p w:rsidR="00DF2080" w:rsidRPr="00015BC4" w:rsidRDefault="00483B7E" w:rsidP="00883747">
            <w:pPr>
              <w:pStyle w:val="PBACTableText"/>
              <w:spacing w:before="0" w:after="0"/>
              <w:jc w:val="center"/>
              <w:rPr>
                <w:lang w:val="en-AU"/>
              </w:rPr>
            </w:pPr>
            <w:r w:rsidRPr="00015BC4">
              <w:rPr>
                <w:lang w:val="en-AU"/>
              </w:rPr>
              <w:t xml:space="preserve">6/773 </w:t>
            </w:r>
          </w:p>
          <w:p w:rsidR="00483B7E" w:rsidRPr="00015BC4" w:rsidRDefault="00483B7E" w:rsidP="00883747">
            <w:pPr>
              <w:pStyle w:val="PBACTableText"/>
              <w:spacing w:before="0" w:after="0"/>
              <w:jc w:val="center"/>
              <w:rPr>
                <w:lang w:val="en-AU"/>
              </w:rPr>
            </w:pPr>
            <w:r w:rsidRPr="00015BC4">
              <w:rPr>
                <w:lang w:val="en-AU"/>
              </w:rPr>
              <w:t>(0.8)</w:t>
            </w:r>
          </w:p>
        </w:tc>
        <w:tc>
          <w:tcPr>
            <w:tcW w:w="598" w:type="pct"/>
          </w:tcPr>
          <w:p w:rsidR="00483B7E" w:rsidRPr="00015BC4" w:rsidRDefault="00483B7E" w:rsidP="00883747">
            <w:pPr>
              <w:pStyle w:val="PBACTableText"/>
              <w:spacing w:before="0" w:after="0"/>
              <w:jc w:val="center"/>
              <w:rPr>
                <w:b/>
                <w:lang w:val="en-AU"/>
              </w:rPr>
            </w:pPr>
            <w:r w:rsidRPr="00015BC4">
              <w:rPr>
                <w:b/>
                <w:lang w:val="en-AU"/>
              </w:rPr>
              <w:t>4.03</w:t>
            </w:r>
          </w:p>
          <w:p w:rsidR="00483B7E" w:rsidRPr="00015BC4" w:rsidRDefault="00483B7E" w:rsidP="00883747">
            <w:pPr>
              <w:pStyle w:val="PBACTableText"/>
              <w:spacing w:before="0" w:after="0"/>
              <w:jc w:val="center"/>
              <w:rPr>
                <w:b/>
                <w:highlight w:val="yellow"/>
                <w:lang w:val="en-AU"/>
              </w:rPr>
            </w:pPr>
            <w:r w:rsidRPr="00015BC4">
              <w:rPr>
                <w:b/>
                <w:lang w:val="en-AU"/>
              </w:rPr>
              <w:t>(1.64,9.93)</w:t>
            </w:r>
          </w:p>
        </w:tc>
        <w:tc>
          <w:tcPr>
            <w:tcW w:w="1009" w:type="pct"/>
          </w:tcPr>
          <w:p w:rsidR="00483B7E" w:rsidRPr="00015BC4" w:rsidRDefault="00483B7E" w:rsidP="00883747">
            <w:pPr>
              <w:pStyle w:val="PBACTableText"/>
              <w:spacing w:before="0" w:after="0"/>
              <w:jc w:val="center"/>
              <w:rPr>
                <w:b/>
                <w:lang w:val="en-AU"/>
              </w:rPr>
            </w:pPr>
            <w:r w:rsidRPr="00015BC4">
              <w:rPr>
                <w:b/>
                <w:lang w:val="en-AU"/>
              </w:rPr>
              <w:t>0.357 (0.135, 0.947)</w:t>
            </w:r>
          </w:p>
          <w:p w:rsidR="00483B7E" w:rsidRPr="00015BC4" w:rsidRDefault="00483B7E" w:rsidP="00883747">
            <w:pPr>
              <w:pStyle w:val="PBACTableText"/>
              <w:spacing w:before="0" w:after="0"/>
              <w:jc w:val="center"/>
              <w:rPr>
                <w:highlight w:val="yellow"/>
                <w:lang w:val="en-AU"/>
              </w:rPr>
            </w:pPr>
            <w:r w:rsidRPr="00015BC4">
              <w:rPr>
                <w:b/>
                <w:lang w:val="en-AU"/>
              </w:rPr>
              <w:t>p=0.04</w:t>
            </w:r>
          </w:p>
        </w:tc>
      </w:tr>
      <w:tr w:rsidR="00483B7E" w:rsidRPr="00015BC4" w:rsidTr="00883747">
        <w:tc>
          <w:tcPr>
            <w:tcW w:w="696" w:type="pct"/>
            <w:vAlign w:val="center"/>
          </w:tcPr>
          <w:p w:rsidR="00483B7E" w:rsidRPr="00015BC4" w:rsidRDefault="00483B7E" w:rsidP="00883747">
            <w:pPr>
              <w:pStyle w:val="PBACTableText"/>
              <w:spacing w:before="0" w:after="0"/>
              <w:rPr>
                <w:lang w:val="en-AU"/>
              </w:rPr>
            </w:pPr>
            <w:r w:rsidRPr="00015BC4">
              <w:rPr>
                <w:lang w:val="en-AU"/>
              </w:rPr>
              <w:t>Nausea</w:t>
            </w:r>
          </w:p>
        </w:tc>
        <w:tc>
          <w:tcPr>
            <w:tcW w:w="499" w:type="pct"/>
          </w:tcPr>
          <w:p w:rsidR="00483B7E" w:rsidRPr="00015BC4" w:rsidRDefault="00483B7E" w:rsidP="00883747">
            <w:pPr>
              <w:pStyle w:val="PBACTableText"/>
              <w:spacing w:before="0" w:after="0"/>
              <w:jc w:val="center"/>
              <w:rPr>
                <w:lang w:val="en-AU"/>
              </w:rPr>
            </w:pPr>
            <w:r w:rsidRPr="00015BC4">
              <w:rPr>
                <w:lang w:val="en-AU"/>
              </w:rPr>
              <w:t>74/1099 (6.7)</w:t>
            </w:r>
          </w:p>
        </w:tc>
        <w:tc>
          <w:tcPr>
            <w:tcW w:w="501" w:type="pct"/>
          </w:tcPr>
          <w:p w:rsidR="00483B7E" w:rsidRPr="00015BC4" w:rsidRDefault="00483B7E" w:rsidP="00883747">
            <w:pPr>
              <w:pStyle w:val="PBACTableText"/>
              <w:spacing w:before="0" w:after="0"/>
              <w:jc w:val="center"/>
              <w:rPr>
                <w:lang w:val="en-AU"/>
              </w:rPr>
            </w:pPr>
            <w:r w:rsidRPr="00015BC4">
              <w:rPr>
                <w:lang w:val="en-AU"/>
              </w:rPr>
              <w:t>19/546 (3.5)</w:t>
            </w:r>
          </w:p>
        </w:tc>
        <w:tc>
          <w:tcPr>
            <w:tcW w:w="613" w:type="pct"/>
          </w:tcPr>
          <w:p w:rsidR="00483B7E" w:rsidRPr="00015BC4" w:rsidRDefault="00483B7E" w:rsidP="00883747">
            <w:pPr>
              <w:pStyle w:val="PBACTableText"/>
              <w:spacing w:before="0" w:after="0"/>
              <w:jc w:val="center"/>
              <w:rPr>
                <w:b/>
                <w:lang w:val="en-AU"/>
              </w:rPr>
            </w:pPr>
            <w:r w:rsidRPr="00015BC4">
              <w:rPr>
                <w:b/>
                <w:lang w:val="en-AU"/>
              </w:rPr>
              <w:t>2.00</w:t>
            </w:r>
          </w:p>
          <w:p w:rsidR="00483B7E" w:rsidRPr="00015BC4" w:rsidRDefault="00483B7E" w:rsidP="00883747">
            <w:pPr>
              <w:pStyle w:val="PBACTableText"/>
              <w:spacing w:before="0" w:after="0"/>
              <w:jc w:val="center"/>
              <w:rPr>
                <w:b/>
                <w:lang w:val="en-AU"/>
              </w:rPr>
            </w:pPr>
            <w:r w:rsidRPr="00015BC4">
              <w:rPr>
                <w:b/>
                <w:lang w:val="en-AU"/>
              </w:rPr>
              <w:t>(1.20, 3.35)</w:t>
            </w:r>
          </w:p>
        </w:tc>
        <w:tc>
          <w:tcPr>
            <w:tcW w:w="534" w:type="pct"/>
          </w:tcPr>
          <w:p w:rsidR="00DF2080" w:rsidRPr="00015BC4" w:rsidRDefault="00483B7E" w:rsidP="00883747">
            <w:pPr>
              <w:pStyle w:val="PBACTableText"/>
              <w:spacing w:before="0" w:after="0"/>
              <w:jc w:val="center"/>
              <w:rPr>
                <w:lang w:val="en-AU"/>
              </w:rPr>
            </w:pPr>
            <w:r w:rsidRPr="00015BC4">
              <w:rPr>
                <w:lang w:val="en-AU"/>
              </w:rPr>
              <w:t xml:space="preserve">41/783 </w:t>
            </w:r>
          </w:p>
          <w:p w:rsidR="00483B7E" w:rsidRPr="00015BC4" w:rsidRDefault="00483B7E" w:rsidP="00883747">
            <w:pPr>
              <w:pStyle w:val="PBACTableText"/>
              <w:spacing w:before="0" w:after="0"/>
              <w:jc w:val="center"/>
              <w:rPr>
                <w:lang w:val="en-AU"/>
              </w:rPr>
            </w:pPr>
            <w:r w:rsidRPr="00015BC4">
              <w:rPr>
                <w:lang w:val="en-AU"/>
              </w:rPr>
              <w:t>(5.2)</w:t>
            </w:r>
          </w:p>
        </w:tc>
        <w:tc>
          <w:tcPr>
            <w:tcW w:w="550" w:type="pct"/>
          </w:tcPr>
          <w:p w:rsidR="00DF2080" w:rsidRPr="00015BC4" w:rsidRDefault="00483B7E" w:rsidP="00883747">
            <w:pPr>
              <w:pStyle w:val="PBACTableText"/>
              <w:spacing w:before="0" w:after="0"/>
              <w:jc w:val="center"/>
              <w:rPr>
                <w:lang w:val="en-AU"/>
              </w:rPr>
            </w:pPr>
            <w:r w:rsidRPr="00015BC4">
              <w:rPr>
                <w:lang w:val="en-AU"/>
              </w:rPr>
              <w:t xml:space="preserve">32/773 </w:t>
            </w:r>
          </w:p>
          <w:p w:rsidR="00483B7E" w:rsidRPr="00015BC4" w:rsidRDefault="00483B7E" w:rsidP="00883747">
            <w:pPr>
              <w:pStyle w:val="PBACTableText"/>
              <w:spacing w:before="0" w:after="0"/>
              <w:jc w:val="center"/>
              <w:rPr>
                <w:lang w:val="en-AU"/>
              </w:rPr>
            </w:pPr>
            <w:r w:rsidRPr="00015BC4">
              <w:rPr>
                <w:lang w:val="en-AU"/>
              </w:rPr>
              <w:t>(4.1)</w:t>
            </w:r>
          </w:p>
        </w:tc>
        <w:tc>
          <w:tcPr>
            <w:tcW w:w="598" w:type="pct"/>
          </w:tcPr>
          <w:p w:rsidR="00483B7E" w:rsidRPr="00015BC4" w:rsidRDefault="00483B7E" w:rsidP="00883747">
            <w:pPr>
              <w:pStyle w:val="PBACTableText"/>
              <w:spacing w:before="0" w:after="0"/>
              <w:jc w:val="center"/>
              <w:rPr>
                <w:highlight w:val="yellow"/>
                <w:lang w:val="en-AU"/>
              </w:rPr>
            </w:pPr>
            <w:r w:rsidRPr="00015BC4">
              <w:rPr>
                <w:lang w:val="en-AU"/>
              </w:rPr>
              <w:t>1.28 (0.60,2.72)</w:t>
            </w:r>
          </w:p>
        </w:tc>
        <w:tc>
          <w:tcPr>
            <w:tcW w:w="1009" w:type="pct"/>
          </w:tcPr>
          <w:p w:rsidR="00483B7E" w:rsidRPr="00015BC4" w:rsidRDefault="00483B7E" w:rsidP="00883747">
            <w:pPr>
              <w:pStyle w:val="PBACTableText"/>
              <w:spacing w:before="0" w:after="0"/>
              <w:jc w:val="center"/>
              <w:rPr>
                <w:lang w:val="en-AU"/>
              </w:rPr>
            </w:pPr>
            <w:r w:rsidRPr="00015BC4">
              <w:rPr>
                <w:lang w:val="en-AU"/>
              </w:rPr>
              <w:t>1.563 (0.627, 3.896)</w:t>
            </w:r>
          </w:p>
          <w:p w:rsidR="00483B7E" w:rsidRPr="00015BC4" w:rsidRDefault="00483B7E" w:rsidP="00883747">
            <w:pPr>
              <w:pStyle w:val="PBACTableText"/>
              <w:spacing w:before="0" w:after="0"/>
              <w:jc w:val="center"/>
              <w:rPr>
                <w:highlight w:val="yellow"/>
                <w:lang w:val="en-AU"/>
              </w:rPr>
            </w:pPr>
            <w:r w:rsidRPr="00015BC4">
              <w:rPr>
                <w:lang w:val="en-AU"/>
              </w:rPr>
              <w:t>p=0.34</w:t>
            </w:r>
          </w:p>
        </w:tc>
      </w:tr>
      <w:tr w:rsidR="00483B7E" w:rsidRPr="00015BC4" w:rsidTr="00883747">
        <w:tc>
          <w:tcPr>
            <w:tcW w:w="696" w:type="pct"/>
            <w:vAlign w:val="center"/>
          </w:tcPr>
          <w:p w:rsidR="00483B7E" w:rsidRPr="00015BC4" w:rsidRDefault="00483B7E" w:rsidP="00883747">
            <w:pPr>
              <w:pStyle w:val="PBACTableText"/>
              <w:spacing w:before="0" w:after="0"/>
              <w:rPr>
                <w:lang w:val="en-AU"/>
              </w:rPr>
            </w:pPr>
            <w:r w:rsidRPr="00015BC4">
              <w:rPr>
                <w:lang w:val="en-AU"/>
              </w:rPr>
              <w:t>Raised LFTs</w:t>
            </w:r>
          </w:p>
        </w:tc>
        <w:tc>
          <w:tcPr>
            <w:tcW w:w="499" w:type="pct"/>
          </w:tcPr>
          <w:p w:rsidR="00483B7E" w:rsidRPr="00015BC4" w:rsidRDefault="00483B7E" w:rsidP="00883747">
            <w:pPr>
              <w:pStyle w:val="PBACTableText"/>
              <w:spacing w:before="0" w:after="0"/>
              <w:jc w:val="center"/>
              <w:rPr>
                <w:lang w:val="en-AU"/>
              </w:rPr>
            </w:pPr>
            <w:r w:rsidRPr="00015BC4">
              <w:rPr>
                <w:lang w:val="en-AU"/>
              </w:rPr>
              <w:t>108/1099 (9.8)</w:t>
            </w:r>
          </w:p>
        </w:tc>
        <w:tc>
          <w:tcPr>
            <w:tcW w:w="501" w:type="pct"/>
          </w:tcPr>
          <w:p w:rsidR="00483B7E" w:rsidRPr="00015BC4" w:rsidRDefault="00483B7E" w:rsidP="00883747">
            <w:pPr>
              <w:pStyle w:val="PBACTableText"/>
              <w:spacing w:before="0" w:after="0"/>
              <w:jc w:val="center"/>
              <w:rPr>
                <w:lang w:val="en-AU"/>
              </w:rPr>
            </w:pPr>
            <w:r w:rsidRPr="00015BC4">
              <w:rPr>
                <w:lang w:val="en-AU"/>
              </w:rPr>
              <w:t>14/546 (2.6)</w:t>
            </w:r>
          </w:p>
        </w:tc>
        <w:tc>
          <w:tcPr>
            <w:tcW w:w="613" w:type="pct"/>
          </w:tcPr>
          <w:p w:rsidR="00483B7E" w:rsidRPr="00015BC4" w:rsidRDefault="00483B7E" w:rsidP="00883747">
            <w:pPr>
              <w:pStyle w:val="PBACTableText"/>
              <w:spacing w:before="0" w:after="0"/>
              <w:jc w:val="center"/>
              <w:rPr>
                <w:b/>
                <w:lang w:val="en-AU"/>
              </w:rPr>
            </w:pPr>
            <w:r w:rsidRPr="00015BC4">
              <w:rPr>
                <w:b/>
                <w:lang w:val="en-AU"/>
              </w:rPr>
              <w:t>4.14</w:t>
            </w:r>
          </w:p>
          <w:p w:rsidR="00483B7E" w:rsidRPr="00015BC4" w:rsidRDefault="00483B7E" w:rsidP="00883747">
            <w:pPr>
              <w:pStyle w:val="PBACTableText"/>
              <w:spacing w:before="0" w:after="0"/>
              <w:jc w:val="center"/>
              <w:rPr>
                <w:b/>
                <w:lang w:val="en-AU"/>
              </w:rPr>
            </w:pPr>
            <w:r w:rsidRPr="00015BC4">
              <w:rPr>
                <w:b/>
                <w:lang w:val="en-AU"/>
              </w:rPr>
              <w:t>(2.35, 7.30)</w:t>
            </w:r>
          </w:p>
        </w:tc>
        <w:tc>
          <w:tcPr>
            <w:tcW w:w="534" w:type="pct"/>
          </w:tcPr>
          <w:p w:rsidR="00483B7E" w:rsidRPr="00015BC4" w:rsidRDefault="00483B7E" w:rsidP="00883747">
            <w:pPr>
              <w:pStyle w:val="PBACTableText"/>
              <w:spacing w:before="0" w:after="0"/>
              <w:jc w:val="center"/>
              <w:rPr>
                <w:lang w:val="en-AU"/>
              </w:rPr>
            </w:pPr>
            <w:r w:rsidRPr="00015BC4">
              <w:rPr>
                <w:lang w:val="en-AU"/>
              </w:rPr>
              <w:t>123/783 (15.7)</w:t>
            </w:r>
          </w:p>
        </w:tc>
        <w:tc>
          <w:tcPr>
            <w:tcW w:w="550" w:type="pct"/>
          </w:tcPr>
          <w:p w:rsidR="00DF2080" w:rsidRPr="00015BC4" w:rsidRDefault="00483B7E" w:rsidP="00883747">
            <w:pPr>
              <w:pStyle w:val="PBACTableText"/>
              <w:spacing w:before="0" w:after="0"/>
              <w:jc w:val="center"/>
              <w:rPr>
                <w:lang w:val="en-AU"/>
              </w:rPr>
            </w:pPr>
            <w:r w:rsidRPr="00015BC4">
              <w:rPr>
                <w:lang w:val="en-AU"/>
              </w:rPr>
              <w:t xml:space="preserve">32/773 </w:t>
            </w:r>
          </w:p>
          <w:p w:rsidR="00483B7E" w:rsidRPr="00015BC4" w:rsidRDefault="00483B7E" w:rsidP="00883747">
            <w:pPr>
              <w:pStyle w:val="PBACTableText"/>
              <w:spacing w:before="0" w:after="0"/>
              <w:jc w:val="center"/>
              <w:rPr>
                <w:lang w:val="en-AU"/>
              </w:rPr>
            </w:pPr>
            <w:r w:rsidRPr="00015BC4">
              <w:rPr>
                <w:lang w:val="en-AU"/>
              </w:rPr>
              <w:t>(4.1)</w:t>
            </w:r>
          </w:p>
        </w:tc>
        <w:tc>
          <w:tcPr>
            <w:tcW w:w="598" w:type="pct"/>
          </w:tcPr>
          <w:p w:rsidR="00483B7E" w:rsidRPr="00015BC4" w:rsidRDefault="00483B7E" w:rsidP="00883747">
            <w:pPr>
              <w:pStyle w:val="PBACTableText"/>
              <w:spacing w:before="0" w:after="0"/>
              <w:jc w:val="center"/>
              <w:rPr>
                <w:b/>
                <w:lang w:val="en-AU"/>
              </w:rPr>
            </w:pPr>
            <w:r w:rsidRPr="00015BC4">
              <w:rPr>
                <w:b/>
                <w:lang w:val="en-AU"/>
              </w:rPr>
              <w:t>4.46 (2.29,8.66)</w:t>
            </w:r>
          </w:p>
        </w:tc>
        <w:tc>
          <w:tcPr>
            <w:tcW w:w="1009" w:type="pct"/>
          </w:tcPr>
          <w:p w:rsidR="00483B7E" w:rsidRPr="00015BC4" w:rsidRDefault="00483B7E" w:rsidP="00883747">
            <w:pPr>
              <w:pStyle w:val="PBACTableText"/>
              <w:spacing w:before="0" w:after="0"/>
              <w:jc w:val="center"/>
              <w:rPr>
                <w:lang w:val="en-AU"/>
              </w:rPr>
            </w:pPr>
            <w:r w:rsidRPr="00015BC4">
              <w:rPr>
                <w:lang w:val="en-AU"/>
              </w:rPr>
              <w:t>0.928 (0.387, 2.224)</w:t>
            </w:r>
          </w:p>
          <w:p w:rsidR="00483B7E" w:rsidRPr="00015BC4" w:rsidRDefault="00483B7E" w:rsidP="00883747">
            <w:pPr>
              <w:pStyle w:val="PBACTableText"/>
              <w:spacing w:before="0" w:after="0"/>
              <w:jc w:val="center"/>
              <w:rPr>
                <w:highlight w:val="yellow"/>
                <w:lang w:val="en-AU"/>
              </w:rPr>
            </w:pPr>
            <w:r w:rsidRPr="00015BC4">
              <w:rPr>
                <w:lang w:val="en-AU"/>
              </w:rPr>
              <w:t>p=0.87</w:t>
            </w:r>
          </w:p>
        </w:tc>
      </w:tr>
    </w:tbl>
    <w:p w:rsidR="00483B7E" w:rsidRPr="00015BC4" w:rsidRDefault="00483B7E" w:rsidP="00483B7E">
      <w:pPr>
        <w:pStyle w:val="TableFooter"/>
        <w:rPr>
          <w:lang w:val="en-AU"/>
        </w:rPr>
      </w:pPr>
      <w:r w:rsidRPr="00015BC4">
        <w:rPr>
          <w:lang w:val="en-AU"/>
        </w:rPr>
        <w:t>Source: Table 2.61, p152 of the resubmission.</w:t>
      </w:r>
    </w:p>
    <w:p w:rsidR="00483B7E" w:rsidRPr="00015BC4" w:rsidRDefault="00483B7E" w:rsidP="00483B7E">
      <w:pPr>
        <w:pStyle w:val="TableFooter"/>
        <w:rPr>
          <w:lang w:val="en-AU"/>
        </w:rPr>
      </w:pPr>
      <w:r w:rsidRPr="00015BC4">
        <w:rPr>
          <w:lang w:val="en-AU"/>
        </w:rPr>
        <w:t>CI=confidence interval, FIN=fingolimod, OR=odds ratio, PBO=placebo</w:t>
      </w:r>
      <w:r w:rsidR="00DF2080" w:rsidRPr="00015BC4">
        <w:rPr>
          <w:lang w:val="en-AU"/>
        </w:rPr>
        <w:t>,</w:t>
      </w:r>
      <w:r w:rsidRPr="00015BC4">
        <w:rPr>
          <w:lang w:val="en-AU"/>
        </w:rPr>
        <w:t xml:space="preserve"> SIP=siponimod </w:t>
      </w:r>
    </w:p>
    <w:p w:rsidR="00483B7E" w:rsidRPr="00015BC4" w:rsidRDefault="00483B7E" w:rsidP="00483B7E">
      <w:pPr>
        <w:pStyle w:val="TableFooter"/>
        <w:rPr>
          <w:lang w:val="en-AU"/>
        </w:rPr>
      </w:pPr>
      <w:r w:rsidRPr="00015BC4">
        <w:rPr>
          <w:lang w:val="en-AU"/>
        </w:rPr>
        <w:t>Bold typography indicates statistically significant differences between groups</w:t>
      </w:r>
    </w:p>
    <w:p w:rsidR="009F6BB5" w:rsidRPr="00015BC4" w:rsidRDefault="00483B7E" w:rsidP="00B857DA">
      <w:pPr>
        <w:pStyle w:val="TableFooter"/>
        <w:tabs>
          <w:tab w:val="left" w:pos="284"/>
        </w:tabs>
        <w:spacing w:after="120"/>
        <w:rPr>
          <w:rFonts w:asciiTheme="minorHAnsi" w:hAnsiTheme="minorHAnsi" w:cs="Arial"/>
          <w:snapToGrid w:val="0"/>
          <w:lang w:val="en-AU" w:eastAsia="en-AU"/>
        </w:rPr>
      </w:pPr>
      <w:r w:rsidRPr="00015BC4">
        <w:rPr>
          <w:vertAlign w:val="superscript"/>
          <w:lang w:val="en-AU"/>
        </w:rPr>
        <w:t>a</w:t>
      </w:r>
      <w:r w:rsidRPr="00015BC4">
        <w:rPr>
          <w:lang w:val="en-AU"/>
        </w:rPr>
        <w:tab/>
        <w:t xml:space="preserve">Indirect comparison via Bucher’s method </w:t>
      </w:r>
    </w:p>
    <w:p w:rsidR="008104C5" w:rsidRPr="00015BC4" w:rsidRDefault="008104C5" w:rsidP="008104C5">
      <w:pPr>
        <w:pStyle w:val="3-BodyText"/>
      </w:pPr>
      <w:r w:rsidRPr="00015BC4">
        <w:t xml:space="preserve">Siponimod and fingolimod were associated with a statistically significant increase in abnormal liver function </w:t>
      </w:r>
      <w:r w:rsidR="00883747" w:rsidRPr="00015BC4">
        <w:t>results compared to placebo (OR=</w:t>
      </w:r>
      <w:r w:rsidRPr="00015BC4">
        <w:t>4.14, 95%CI 2.35, 7.30 an</w:t>
      </w:r>
      <w:r w:rsidR="00883747" w:rsidRPr="00015BC4">
        <w:t xml:space="preserve">d OR=4.46, 95% CI 2.29, 8.66). There </w:t>
      </w:r>
      <w:r w:rsidRPr="00015BC4">
        <w:t>were no statistically significant differences between siponimod and fingolimod for any AE, bradycardia or raised LFTs. Siponimod appeared to be associated with less hyperten</w:t>
      </w:r>
      <w:r w:rsidR="00883747" w:rsidRPr="00015BC4">
        <w:t>sion compared to fingolimod (OR=</w:t>
      </w:r>
      <w:r w:rsidRPr="00015BC4">
        <w:t>0.350, 95% CI</w:t>
      </w:r>
      <w:r w:rsidR="00883747" w:rsidRPr="00015BC4">
        <w:t>:</w:t>
      </w:r>
      <w:r w:rsidRPr="00015BC4">
        <w:t xml:space="preserve"> 0.135, 0.947</w:t>
      </w:r>
      <w:r w:rsidR="00A74E6E" w:rsidRPr="00015BC4">
        <w:t xml:space="preserve">), though differences in placebo </w:t>
      </w:r>
      <w:r w:rsidR="001B5CBC" w:rsidRPr="00015BC4">
        <w:t>preclude a conclusion of comparative safety.</w:t>
      </w:r>
    </w:p>
    <w:p w:rsidR="008104C5" w:rsidRPr="00015BC4" w:rsidRDefault="008104C5" w:rsidP="008104C5">
      <w:pPr>
        <w:pStyle w:val="4-SubsectionHeading"/>
        <w:rPr>
          <w:lang w:val="en-AU"/>
        </w:rPr>
      </w:pPr>
      <w:bookmarkStart w:id="30" w:name="_Toc22897644"/>
      <w:bookmarkStart w:id="31" w:name="_Toc40855737"/>
      <w:r w:rsidRPr="00015BC4">
        <w:rPr>
          <w:lang w:val="en-AU"/>
        </w:rPr>
        <w:t>Clinical claim</w:t>
      </w:r>
      <w:bookmarkEnd w:id="30"/>
      <w:bookmarkEnd w:id="31"/>
    </w:p>
    <w:p w:rsidR="00523CB9" w:rsidRPr="00015BC4" w:rsidRDefault="00523CB9" w:rsidP="00523CB9">
      <w:pPr>
        <w:pStyle w:val="3-BodyText"/>
      </w:pPr>
      <w:r w:rsidRPr="00015BC4">
        <w:t xml:space="preserve">The resubmission stated siponimod was non-inferior to fingolimod with respect to efficacy and safety in patients with relapse-onset MS, including patients with the </w:t>
      </w:r>
      <w:r w:rsidR="00B9450D" w:rsidRPr="00015BC4">
        <w:t>‘</w:t>
      </w:r>
      <w:r w:rsidRPr="00015BC4">
        <w:t>highest unmet need</w:t>
      </w:r>
      <w:r w:rsidR="00B9450D" w:rsidRPr="00015BC4">
        <w:t>’</w:t>
      </w:r>
      <w:r w:rsidRPr="00015BC4">
        <w:t xml:space="preserve"> (equivalent EDSS up to and including 6.5).</w:t>
      </w:r>
    </w:p>
    <w:p w:rsidR="00523CB9" w:rsidRPr="00015BC4" w:rsidRDefault="00523CB9" w:rsidP="00523CB9">
      <w:pPr>
        <w:pStyle w:val="3-BodyText"/>
      </w:pPr>
      <w:r w:rsidRPr="00015BC4">
        <w:t xml:space="preserve">The </w:t>
      </w:r>
      <w:r w:rsidR="00883747" w:rsidRPr="00015BC4">
        <w:t>re</w:t>
      </w:r>
      <w:r w:rsidRPr="00015BC4">
        <w:t xml:space="preserve">submission’s clinical claim could be considered to encompass three sub populations, or three portions of the relapsing MS spectrum: (1) the higher disability end of the spectrum (consistent with EDSS </w:t>
      </w:r>
      <w:r w:rsidR="00883747" w:rsidRPr="00015BC4">
        <w:t>6</w:t>
      </w:r>
      <w:r w:rsidR="00DF2080" w:rsidRPr="00015BC4">
        <w:t>.0</w:t>
      </w:r>
      <w:r w:rsidR="00883747" w:rsidRPr="00015BC4">
        <w:t>-</w:t>
      </w:r>
      <w:r w:rsidRPr="00015BC4">
        <w:t>6.5), which the resubmission referred to as ‘highest unmet need population’; (2) the lower end of the disability spectrum (consistent with EDSS 0-2.5</w:t>
      </w:r>
      <w:r w:rsidR="00556895" w:rsidRPr="00015BC4">
        <w:t>)</w:t>
      </w:r>
      <w:r w:rsidRPr="00015BC4">
        <w:t xml:space="preserve">; and </w:t>
      </w:r>
      <w:r w:rsidR="00556895" w:rsidRPr="00015BC4">
        <w:t>(</w:t>
      </w:r>
      <w:r w:rsidRPr="00015BC4">
        <w:t>3) the patients in between (EDSS 3</w:t>
      </w:r>
      <w:r w:rsidR="00DF2080" w:rsidRPr="00015BC4">
        <w:t>.0</w:t>
      </w:r>
      <w:r w:rsidRPr="00015BC4">
        <w:t>-5.5).</w:t>
      </w:r>
    </w:p>
    <w:p w:rsidR="00523CB9" w:rsidRPr="00015BC4" w:rsidRDefault="00523CB9" w:rsidP="00523CB9">
      <w:pPr>
        <w:pStyle w:val="3-BodyText"/>
      </w:pPr>
      <w:r w:rsidRPr="00015BC4">
        <w:t xml:space="preserve">For the higher end of the spectrum, the comparator trials of fingolimod </w:t>
      </w:r>
      <w:r w:rsidR="00DF2080" w:rsidRPr="00015BC4">
        <w:t xml:space="preserve">versus placebo </w:t>
      </w:r>
      <w:r w:rsidRPr="00015BC4">
        <w:t xml:space="preserve">(FREEDOMS I and II) included only RRMS patients with a maximum EDSS score at baseline of 5.5), noting the exclusion of high EDSS population (EDSS 6.0-6.5). Because there was no evidence </w:t>
      </w:r>
      <w:r w:rsidR="00DF2080" w:rsidRPr="00015BC4">
        <w:t>for fingolimod in</w:t>
      </w:r>
      <w:r w:rsidRPr="00015BC4">
        <w:t xml:space="preserve"> this high EDSS population</w:t>
      </w:r>
      <w:r w:rsidR="00315CE4" w:rsidRPr="00015BC4">
        <w:t xml:space="preserve"> the ESC considered the indirect comparisons were uninformative for evaluating a clinical claim for siponimod v</w:t>
      </w:r>
      <w:r w:rsidR="003B00F8" w:rsidRPr="00015BC4">
        <w:t>ersu</w:t>
      </w:r>
      <w:r w:rsidR="00315CE4" w:rsidRPr="00015BC4">
        <w:t>s fingolimod in this population</w:t>
      </w:r>
      <w:r w:rsidR="00015BC4">
        <w:t xml:space="preserve">. </w:t>
      </w:r>
      <w:r w:rsidR="00315CE4" w:rsidRPr="00015BC4">
        <w:t xml:space="preserve"> </w:t>
      </w:r>
    </w:p>
    <w:p w:rsidR="00523CB9" w:rsidRPr="00015BC4" w:rsidRDefault="00523CB9" w:rsidP="00523CB9">
      <w:pPr>
        <w:pStyle w:val="3-BodyText"/>
      </w:pPr>
      <w:r w:rsidRPr="00015BC4">
        <w:t>For the lower end of the spectrum, the pivotal EXPAND trial did not include less progressed patients (EDSS 0-2.5)</w:t>
      </w:r>
      <w:r w:rsidR="00DF2080" w:rsidRPr="00015BC4">
        <w:t>. T</w:t>
      </w:r>
      <w:r w:rsidRPr="00015BC4">
        <w:t xml:space="preserve">hough the BOLD trial </w:t>
      </w:r>
      <w:r w:rsidR="003374FD" w:rsidRPr="00015BC4">
        <w:t>included patients in this EDSS range</w:t>
      </w:r>
      <w:r w:rsidRPr="00015BC4">
        <w:t xml:space="preserve">, the </w:t>
      </w:r>
      <w:r w:rsidR="00EB1DBF" w:rsidRPr="00015BC4">
        <w:t xml:space="preserve">ARR ratio estimates versus placebo had a wide confidence interval approaching 1, </w:t>
      </w:r>
      <w:r w:rsidRPr="00015BC4">
        <w:t xml:space="preserve">and so could not reasonably claim </w:t>
      </w:r>
      <w:r w:rsidR="00DF2080" w:rsidRPr="00015BC4">
        <w:t xml:space="preserve">non-inferiority </w:t>
      </w:r>
      <w:r w:rsidRPr="00015BC4">
        <w:t>to fingolimod based on this comparison.</w:t>
      </w:r>
      <w:r w:rsidR="00315CE4" w:rsidRPr="00015BC4">
        <w:t xml:space="preserve"> </w:t>
      </w:r>
      <w:r w:rsidRPr="00015BC4">
        <w:t xml:space="preserve">Consequently, </w:t>
      </w:r>
      <w:r w:rsidR="0071134D" w:rsidRPr="00015BC4">
        <w:t xml:space="preserve">the ESC considered </w:t>
      </w:r>
      <w:r w:rsidRPr="00015BC4">
        <w:t xml:space="preserve">no reasonable claim can be </w:t>
      </w:r>
      <w:r w:rsidRPr="00015BC4">
        <w:lastRenderedPageBreak/>
        <w:t>made for this sub-population</w:t>
      </w:r>
      <w:r w:rsidR="0048418C" w:rsidRPr="00015BC4">
        <w:t>, and considered that t</w:t>
      </w:r>
      <w:r w:rsidRPr="00015BC4">
        <w:t>his concern could be addressed by amending the requested restriction to exclude less progressed patients</w:t>
      </w:r>
      <w:r w:rsidR="00015BC4">
        <w:t xml:space="preserve">. </w:t>
      </w:r>
      <w:r w:rsidR="005B11F5" w:rsidRPr="00015BC4">
        <w:t>In the PSCR  it was noted that the sponsor would agree to restriction criteria that</w:t>
      </w:r>
      <w:r w:rsidR="0071134D" w:rsidRPr="00015BC4">
        <w:t xml:space="preserve"> would limit use to</w:t>
      </w:r>
      <w:r w:rsidR="005B11F5" w:rsidRPr="00015BC4">
        <w:t xml:space="preserve"> patients </w:t>
      </w:r>
      <w:r w:rsidR="0071134D" w:rsidRPr="00015BC4">
        <w:t>with</w:t>
      </w:r>
      <w:r w:rsidR="005B11F5" w:rsidRPr="00015BC4">
        <w:t xml:space="preserve"> disability that was equivalent to an EDSS of at least 3.0</w:t>
      </w:r>
      <w:r w:rsidR="003B00F8" w:rsidRPr="00015BC4">
        <w:t>, if requested by the PBAC</w:t>
      </w:r>
      <w:r w:rsidR="005B11F5" w:rsidRPr="00015BC4">
        <w:t>.</w:t>
      </w:r>
    </w:p>
    <w:p w:rsidR="00523CB9" w:rsidRPr="00015BC4" w:rsidRDefault="00523CB9" w:rsidP="00523CB9">
      <w:pPr>
        <w:pStyle w:val="3-BodyText"/>
      </w:pPr>
      <w:r w:rsidRPr="00015BC4">
        <w:t>Lastly, in patients with disability consistent with EDSS 3</w:t>
      </w:r>
      <w:r w:rsidR="00DF2080" w:rsidRPr="00015BC4">
        <w:t>.0</w:t>
      </w:r>
      <w:r w:rsidRPr="00015BC4">
        <w:t>-5.5, both the EXPAND and the FREEDOMS I and II trials included this population, and each trial support</w:t>
      </w:r>
      <w:r w:rsidR="00DF2080" w:rsidRPr="00015BC4">
        <w:t>ed</w:t>
      </w:r>
      <w:r w:rsidRPr="00015BC4">
        <w:t xml:space="preserve"> that the intervention </w:t>
      </w:r>
      <w:r w:rsidR="00DF2080" w:rsidRPr="00015BC4">
        <w:t>wa</w:t>
      </w:r>
      <w:r w:rsidRPr="00015BC4">
        <w:t xml:space="preserve">s superior in efficacy to placebo. However, because the trials include other, differing parts of the MS disease spectrum, the ‘average’ patient </w:t>
      </w:r>
      <w:r w:rsidR="00DF2080" w:rsidRPr="00015BC4">
        <w:t xml:space="preserve">in </w:t>
      </w:r>
      <w:r w:rsidRPr="00015BC4">
        <w:t xml:space="preserve">EXPAND and FREEDOMS I and II </w:t>
      </w:r>
      <w:r w:rsidR="00DF2080" w:rsidRPr="00015BC4">
        <w:t>we</w:t>
      </w:r>
      <w:r w:rsidRPr="00015BC4">
        <w:t xml:space="preserve">re substantially different, and the resulting indirect comparisons </w:t>
      </w:r>
      <w:r w:rsidR="00DF2080" w:rsidRPr="00015BC4">
        <w:t xml:space="preserve">had </w:t>
      </w:r>
      <w:r w:rsidRPr="00015BC4">
        <w:t>critical issues</w:t>
      </w:r>
      <w:r w:rsidR="00315CE4" w:rsidRPr="00015BC4">
        <w:t xml:space="preserve">. The ESC considered there were substantial exchangeability issues with the EXPAND and FREEDOMS trials in this population, </w:t>
      </w:r>
      <w:r w:rsidR="000A15B0" w:rsidRPr="00015BC4">
        <w:t xml:space="preserve">and </w:t>
      </w:r>
      <w:r w:rsidRPr="00015BC4">
        <w:t>comparing EDSS</w:t>
      </w:r>
      <w:r w:rsidR="00DF2080" w:rsidRPr="00015BC4">
        <w:t>-</w:t>
      </w:r>
      <w:r w:rsidRPr="00015BC4">
        <w:t>based progression between two populations with markedly different average EDSS scores at baseline</w:t>
      </w:r>
      <w:r w:rsidR="000A15B0" w:rsidRPr="00015BC4">
        <w:t xml:space="preserve"> was not considered valid. The ESC</w:t>
      </w:r>
      <w:r w:rsidR="00AC692D" w:rsidRPr="00015BC4">
        <w:t xml:space="preserve"> considered </w:t>
      </w:r>
      <w:r w:rsidR="000A15B0" w:rsidRPr="00015BC4">
        <w:t>the</w:t>
      </w:r>
      <w:r w:rsidR="00AC692D" w:rsidRPr="00015BC4">
        <w:t xml:space="preserve"> clinical claim</w:t>
      </w:r>
      <w:r w:rsidR="000A15B0" w:rsidRPr="00015BC4">
        <w:t xml:space="preserve"> of non-inferior efficacy</w:t>
      </w:r>
      <w:r w:rsidR="00AC692D" w:rsidRPr="00015BC4">
        <w:t xml:space="preserve"> for this population </w:t>
      </w:r>
      <w:r w:rsidR="000A15B0" w:rsidRPr="00015BC4">
        <w:t>to be</w:t>
      </w:r>
      <w:r w:rsidR="00AC692D" w:rsidRPr="00015BC4">
        <w:t xml:space="preserve"> highly uncertain.</w:t>
      </w:r>
    </w:p>
    <w:p w:rsidR="00F16EE3" w:rsidRPr="00015BC4" w:rsidRDefault="00F16EE3" w:rsidP="00F16EE3">
      <w:pPr>
        <w:pStyle w:val="3-BodyText"/>
      </w:pPr>
      <w:r w:rsidRPr="00015BC4">
        <w:t>The PBAC considered that the claim of non-inferior comparative effectiveness</w:t>
      </w:r>
      <w:r w:rsidR="00F7347C" w:rsidRPr="00015BC4">
        <w:t xml:space="preserve"> to fingolimod was likely to be reasonable, however considered there was residual uncertainty due to the exchangeability issues with the clinical trials.</w:t>
      </w:r>
      <w:r w:rsidRPr="00015BC4">
        <w:t xml:space="preserve"> </w:t>
      </w:r>
    </w:p>
    <w:p w:rsidR="00F16EE3" w:rsidRPr="00015BC4" w:rsidRDefault="00F16EE3" w:rsidP="00F16EE3">
      <w:pPr>
        <w:pStyle w:val="3-BodyText"/>
      </w:pPr>
      <w:r w:rsidRPr="00015BC4">
        <w:t>The PBAC considered that the claim of non-inferior comparative safety</w:t>
      </w:r>
      <w:r w:rsidR="00F7347C" w:rsidRPr="00015BC4">
        <w:t xml:space="preserve"> to fingolimod</w:t>
      </w:r>
      <w:r w:rsidRPr="00015BC4">
        <w:t xml:space="preserve"> was reasonable</w:t>
      </w:r>
      <w:r w:rsidR="00F7347C" w:rsidRPr="00015BC4">
        <w:t>.</w:t>
      </w:r>
    </w:p>
    <w:p w:rsidR="003E575F" w:rsidRPr="00015BC4" w:rsidRDefault="003E575F" w:rsidP="003E575F">
      <w:pPr>
        <w:pStyle w:val="4-SubsectionHeading"/>
        <w:rPr>
          <w:lang w:val="en-AU"/>
        </w:rPr>
      </w:pPr>
      <w:r w:rsidRPr="00015BC4">
        <w:rPr>
          <w:lang w:val="en-AU"/>
        </w:rPr>
        <w:t xml:space="preserve">Economic analysis </w:t>
      </w:r>
    </w:p>
    <w:p w:rsidR="003E575F" w:rsidRPr="00015BC4" w:rsidRDefault="003E575F" w:rsidP="003E575F">
      <w:pPr>
        <w:pStyle w:val="3-BodyText"/>
      </w:pPr>
      <w:r w:rsidRPr="00015BC4">
        <w:rPr>
          <w:color w:val="000000" w:themeColor="text1"/>
        </w:rPr>
        <w:t xml:space="preserve">The resubmission presented a cost minimisation analysis against fingolimod. In the previous submission, a cost utility analysis was presented against placebo and </w:t>
      </w:r>
      <w:r w:rsidRPr="00015BC4">
        <w:rPr>
          <w:rFonts w:cs="Calibri"/>
        </w:rPr>
        <w:t>versus interferon-beta/glatiramer acetate; and siponimod versus natalizumab</w:t>
      </w:r>
      <w:r w:rsidRPr="00015BC4">
        <w:rPr>
          <w:color w:val="000000" w:themeColor="text1"/>
        </w:rPr>
        <w:t>.</w:t>
      </w:r>
    </w:p>
    <w:p w:rsidR="003E575F" w:rsidRPr="00015BC4" w:rsidRDefault="003E575F" w:rsidP="003E575F">
      <w:pPr>
        <w:pStyle w:val="3-BodyText"/>
      </w:pPr>
      <w:r w:rsidRPr="00015BC4">
        <w:t>The equi-effective doses were estimated as siponimod 2 mg daily and fingolimod 0.5 mg daily.</w:t>
      </w:r>
    </w:p>
    <w:p w:rsidR="003E575F" w:rsidRPr="00015BC4" w:rsidRDefault="003E575F" w:rsidP="003E575F">
      <w:pPr>
        <w:pStyle w:val="3-BodyText"/>
        <w:rPr>
          <w:color w:val="000000" w:themeColor="text1"/>
        </w:rPr>
      </w:pPr>
      <w:r w:rsidRPr="00015BC4">
        <w:t xml:space="preserve">The resubmission did not state the proposed equi-effective doses for the siponimod 1 mg daily maintenance dose (administered as 4*0.25mg tablets), but requested a price for 120 tablets (which provides 30 days of treatment) that was equal to the price of 28 * 2 mg tablets (which provides 28 days of treatment). </w:t>
      </w:r>
    </w:p>
    <w:p w:rsidR="003E575F" w:rsidRPr="00015BC4" w:rsidRDefault="003E575F" w:rsidP="003E575F">
      <w:pPr>
        <w:pStyle w:val="3-BodyText"/>
        <w:rPr>
          <w:color w:val="000000" w:themeColor="text1"/>
        </w:rPr>
      </w:pPr>
      <w:r w:rsidRPr="00015BC4">
        <w:t xml:space="preserve">Table 10 presents the results of a cost minimisation analysis presented in the resubmission. Because both siponimod and fingolimod are daily tablets with equivalent pack sizes and maximum quantities, a side-by-side comparison of the requested siponimod price and the fingolimod price was presented. </w:t>
      </w:r>
    </w:p>
    <w:p w:rsidR="003E575F" w:rsidRPr="00015BC4" w:rsidRDefault="003E575F" w:rsidP="003E575F">
      <w:pPr>
        <w:pStyle w:val="TableFigureHeading"/>
        <w:rPr>
          <w:rStyle w:val="CommentReference"/>
          <w:b/>
          <w:szCs w:val="24"/>
          <w:vertAlign w:val="superscript"/>
        </w:rPr>
      </w:pPr>
      <w:bookmarkStart w:id="32" w:name="_Ref38098619"/>
      <w:r w:rsidRPr="00015BC4">
        <w:rPr>
          <w:rStyle w:val="CommentReference"/>
          <w:b/>
        </w:rPr>
        <w:lastRenderedPageBreak/>
        <w:t xml:space="preserve">Table </w:t>
      </w:r>
      <w:r w:rsidRPr="00015BC4">
        <w:rPr>
          <w:color w:val="000000" w:themeColor="text1"/>
        </w:rPr>
        <w:t>10</w:t>
      </w:r>
      <w:bookmarkEnd w:id="32"/>
      <w:r w:rsidRPr="00015BC4">
        <w:rPr>
          <w:rStyle w:val="CommentReference"/>
          <w:szCs w:val="24"/>
        </w:rPr>
        <w:t>:</w:t>
      </w:r>
      <w:r w:rsidRPr="00015BC4">
        <w:rPr>
          <w:rStyle w:val="CommentReference"/>
          <w:b/>
          <w:szCs w:val="24"/>
        </w:rPr>
        <w:t xml:space="preserve"> Results of the cost minimisation analysis </w:t>
      </w:r>
      <w:r w:rsidRPr="00015BC4">
        <w:rPr>
          <w:rStyle w:val="CommentReference"/>
          <w:b/>
          <w:szCs w:val="24"/>
          <w:vertAlign w:val="superscript"/>
        </w:rPr>
        <w:t>a</w:t>
      </w:r>
    </w:p>
    <w:tbl>
      <w:tblPr>
        <w:tblStyle w:val="TableGrid"/>
        <w:tblW w:w="9535" w:type="dxa"/>
        <w:tblCellMar>
          <w:left w:w="29" w:type="dxa"/>
          <w:right w:w="29" w:type="dxa"/>
        </w:tblCellMar>
        <w:tblLook w:val="04A0" w:firstRow="1" w:lastRow="0" w:firstColumn="1" w:lastColumn="0" w:noHBand="0" w:noVBand="1"/>
      </w:tblPr>
      <w:tblGrid>
        <w:gridCol w:w="2425"/>
        <w:gridCol w:w="1260"/>
        <w:gridCol w:w="3150"/>
        <w:gridCol w:w="2700"/>
      </w:tblGrid>
      <w:tr w:rsidR="003E575F" w:rsidRPr="00015BC4" w:rsidTr="003E575F">
        <w:trPr>
          <w:trHeight w:val="552"/>
        </w:trPr>
        <w:tc>
          <w:tcPr>
            <w:tcW w:w="2425" w:type="dxa"/>
            <w:vAlign w:val="center"/>
            <w:hideMark/>
          </w:tcPr>
          <w:p w:rsidR="003E575F" w:rsidRPr="00015BC4" w:rsidRDefault="003E575F" w:rsidP="003E575F">
            <w:pPr>
              <w:pStyle w:val="TableFigureHeading"/>
            </w:pPr>
            <w:r w:rsidRPr="00015BC4">
              <w:t>Drug, strength &amp; form</w:t>
            </w:r>
          </w:p>
        </w:tc>
        <w:tc>
          <w:tcPr>
            <w:tcW w:w="1260" w:type="dxa"/>
            <w:vAlign w:val="center"/>
            <w:hideMark/>
          </w:tcPr>
          <w:p w:rsidR="003E575F" w:rsidRPr="00015BC4" w:rsidRDefault="003E575F" w:rsidP="003E575F">
            <w:pPr>
              <w:pStyle w:val="TableFigureHeading"/>
              <w:jc w:val="center"/>
            </w:pPr>
            <w:r w:rsidRPr="00015BC4">
              <w:t>Max quantity</w:t>
            </w:r>
          </w:p>
        </w:tc>
        <w:tc>
          <w:tcPr>
            <w:tcW w:w="3150" w:type="dxa"/>
            <w:vAlign w:val="center"/>
            <w:hideMark/>
          </w:tcPr>
          <w:p w:rsidR="003E575F" w:rsidRPr="00015BC4" w:rsidRDefault="003E575F" w:rsidP="003E575F">
            <w:pPr>
              <w:pStyle w:val="TableFigureHeading"/>
              <w:jc w:val="center"/>
            </w:pPr>
            <w:r w:rsidRPr="00015BC4">
              <w:t>Pricing status</w:t>
            </w:r>
          </w:p>
        </w:tc>
        <w:tc>
          <w:tcPr>
            <w:tcW w:w="2700" w:type="dxa"/>
            <w:vAlign w:val="center"/>
            <w:hideMark/>
          </w:tcPr>
          <w:p w:rsidR="003E575F" w:rsidRPr="00015BC4" w:rsidRDefault="003E575F" w:rsidP="003E575F">
            <w:pPr>
              <w:pStyle w:val="TableFigureHeading"/>
              <w:jc w:val="center"/>
            </w:pPr>
            <w:r w:rsidRPr="00015BC4">
              <w:t>AEMP</w:t>
            </w:r>
          </w:p>
        </w:tc>
      </w:tr>
      <w:tr w:rsidR="003E575F" w:rsidRPr="00015BC4" w:rsidTr="003E575F">
        <w:trPr>
          <w:trHeight w:val="70"/>
        </w:trPr>
        <w:tc>
          <w:tcPr>
            <w:tcW w:w="2425" w:type="dxa"/>
            <w:vAlign w:val="center"/>
          </w:tcPr>
          <w:p w:rsidR="003E575F" w:rsidRPr="00015BC4" w:rsidRDefault="003E575F" w:rsidP="003E575F">
            <w:pPr>
              <w:pStyle w:val="Tabletext"/>
              <w:keepNext/>
              <w:rPr>
                <w:lang w:val="en-AU" w:eastAsia="en-AU"/>
              </w:rPr>
            </w:pPr>
            <w:r w:rsidRPr="00015BC4">
              <w:rPr>
                <w:lang w:val="en-AU" w:eastAsia="en-AU"/>
              </w:rPr>
              <w:t>Fingolimod 0.25mg capsule</w:t>
            </w:r>
          </w:p>
        </w:tc>
        <w:tc>
          <w:tcPr>
            <w:tcW w:w="1260" w:type="dxa"/>
          </w:tcPr>
          <w:p w:rsidR="003E575F" w:rsidRPr="00015BC4" w:rsidRDefault="003E575F" w:rsidP="003E575F">
            <w:pPr>
              <w:pStyle w:val="Tabletext"/>
              <w:keepNext/>
              <w:jc w:val="center"/>
              <w:rPr>
                <w:lang w:val="en-AU" w:eastAsia="en-AU"/>
              </w:rPr>
            </w:pPr>
            <w:r w:rsidRPr="00015BC4">
              <w:rPr>
                <w:lang w:val="en-AU" w:eastAsia="en-AU"/>
              </w:rPr>
              <w:t>28</w:t>
            </w:r>
          </w:p>
        </w:tc>
        <w:tc>
          <w:tcPr>
            <w:tcW w:w="3150" w:type="dxa"/>
            <w:noWrap/>
          </w:tcPr>
          <w:p w:rsidR="003E575F" w:rsidRPr="00015BC4" w:rsidRDefault="003E575F" w:rsidP="003E575F">
            <w:pPr>
              <w:pStyle w:val="Tabletext"/>
              <w:keepNext/>
              <w:jc w:val="center"/>
              <w:rPr>
                <w:lang w:val="en-AU" w:eastAsia="en-AU"/>
              </w:rPr>
            </w:pPr>
            <w:r w:rsidRPr="00015BC4">
              <w:rPr>
                <w:lang w:val="en-AU" w:eastAsia="en-AU"/>
              </w:rPr>
              <w:t>Effective</w:t>
            </w:r>
          </w:p>
        </w:tc>
        <w:tc>
          <w:tcPr>
            <w:tcW w:w="2700" w:type="dxa"/>
          </w:tcPr>
          <w:p w:rsidR="003E575F" w:rsidRPr="00015BC4" w:rsidRDefault="003E575F" w:rsidP="003E575F">
            <w:pPr>
              <w:pStyle w:val="Tabletext"/>
              <w:keepNext/>
              <w:jc w:val="center"/>
              <w:rPr>
                <w:bCs/>
                <w:lang w:val="en-AU" w:eastAsia="en-AU"/>
              </w:rPr>
            </w:pPr>
            <w:r w:rsidRPr="00015BC4">
              <w:rPr>
                <w:bCs/>
                <w:lang w:val="en-AU" w:eastAsia="en-AU"/>
              </w:rPr>
              <w:t>$</w:t>
            </w:r>
            <w:r w:rsidR="003C0833">
              <w:rPr>
                <w:b/>
                <w:bCs/>
                <w:noProof/>
                <w:color w:val="000000"/>
                <w:highlight w:val="black"/>
                <w:lang w:val="en-AU" w:eastAsia="en-AU"/>
              </w:rPr>
              <w:t>''''''''''''''''''</w:t>
            </w:r>
          </w:p>
        </w:tc>
      </w:tr>
      <w:tr w:rsidR="003E575F" w:rsidRPr="00015BC4" w:rsidTr="003E575F">
        <w:trPr>
          <w:trHeight w:val="70"/>
        </w:trPr>
        <w:tc>
          <w:tcPr>
            <w:tcW w:w="2425" w:type="dxa"/>
            <w:vAlign w:val="center"/>
            <w:hideMark/>
          </w:tcPr>
          <w:p w:rsidR="003E575F" w:rsidRPr="00015BC4" w:rsidRDefault="003E575F" w:rsidP="003E575F">
            <w:pPr>
              <w:pStyle w:val="Tabletext"/>
              <w:keepNext/>
              <w:rPr>
                <w:lang w:val="en-AU" w:eastAsia="en-AU"/>
              </w:rPr>
            </w:pPr>
            <w:r w:rsidRPr="00015BC4">
              <w:rPr>
                <w:lang w:val="en-AU" w:eastAsia="en-AU"/>
              </w:rPr>
              <w:t>Fingolimod 0.5mg capsule</w:t>
            </w:r>
          </w:p>
        </w:tc>
        <w:tc>
          <w:tcPr>
            <w:tcW w:w="1260" w:type="dxa"/>
            <w:noWrap/>
            <w:hideMark/>
          </w:tcPr>
          <w:p w:rsidR="003E575F" w:rsidRPr="00015BC4" w:rsidRDefault="003E575F" w:rsidP="003E575F">
            <w:pPr>
              <w:pStyle w:val="Tabletext"/>
              <w:keepNext/>
              <w:jc w:val="center"/>
              <w:rPr>
                <w:lang w:val="en-AU" w:eastAsia="en-AU"/>
              </w:rPr>
            </w:pPr>
            <w:r w:rsidRPr="00015BC4">
              <w:rPr>
                <w:lang w:val="en-AU" w:eastAsia="en-AU"/>
              </w:rPr>
              <w:t>28</w:t>
            </w:r>
          </w:p>
        </w:tc>
        <w:tc>
          <w:tcPr>
            <w:tcW w:w="3150" w:type="dxa"/>
            <w:noWrap/>
            <w:hideMark/>
          </w:tcPr>
          <w:p w:rsidR="003E575F" w:rsidRPr="00015BC4" w:rsidRDefault="003E575F" w:rsidP="003E575F">
            <w:pPr>
              <w:pStyle w:val="Tabletext"/>
              <w:keepNext/>
              <w:jc w:val="center"/>
              <w:rPr>
                <w:lang w:val="en-AU" w:eastAsia="en-AU"/>
              </w:rPr>
            </w:pPr>
            <w:r w:rsidRPr="00015BC4">
              <w:rPr>
                <w:lang w:val="en-AU" w:eastAsia="en-AU"/>
              </w:rPr>
              <w:t>Effective</w:t>
            </w:r>
          </w:p>
        </w:tc>
        <w:tc>
          <w:tcPr>
            <w:tcW w:w="2700" w:type="dxa"/>
            <w:noWrap/>
            <w:hideMark/>
          </w:tcPr>
          <w:p w:rsidR="003E575F" w:rsidRPr="00015BC4" w:rsidRDefault="003E575F" w:rsidP="003E575F">
            <w:pPr>
              <w:pStyle w:val="Tabletext"/>
              <w:keepNext/>
              <w:jc w:val="center"/>
              <w:rPr>
                <w:bCs/>
                <w:lang w:val="en-AU" w:eastAsia="en-AU"/>
              </w:rPr>
            </w:pPr>
            <w:r w:rsidRPr="00015BC4">
              <w:rPr>
                <w:bCs/>
                <w:lang w:val="en-AU" w:eastAsia="en-AU"/>
              </w:rPr>
              <w:t>$</w:t>
            </w:r>
            <w:r w:rsidR="003C0833">
              <w:rPr>
                <w:b/>
                <w:bCs/>
                <w:noProof/>
                <w:color w:val="000000"/>
                <w:highlight w:val="black"/>
                <w:lang w:val="en-AU" w:eastAsia="en-AU"/>
              </w:rPr>
              <w:t>'''''''''''''''''</w:t>
            </w:r>
          </w:p>
        </w:tc>
      </w:tr>
      <w:tr w:rsidR="003E575F" w:rsidRPr="00015BC4" w:rsidTr="003E575F">
        <w:trPr>
          <w:trHeight w:val="70"/>
        </w:trPr>
        <w:tc>
          <w:tcPr>
            <w:tcW w:w="2425" w:type="dxa"/>
            <w:vAlign w:val="center"/>
          </w:tcPr>
          <w:p w:rsidR="003E575F" w:rsidRPr="00015BC4" w:rsidRDefault="003E575F" w:rsidP="003E575F">
            <w:pPr>
              <w:pStyle w:val="Tabletext"/>
              <w:keepNext/>
              <w:rPr>
                <w:lang w:val="en-AU" w:eastAsia="en-AU"/>
              </w:rPr>
            </w:pPr>
            <w:r w:rsidRPr="00015BC4">
              <w:rPr>
                <w:lang w:val="en-AU" w:eastAsia="en-AU"/>
              </w:rPr>
              <w:t>Fingolimod 0.5mg capsule</w:t>
            </w:r>
          </w:p>
        </w:tc>
        <w:tc>
          <w:tcPr>
            <w:tcW w:w="1260" w:type="dxa"/>
            <w:noWrap/>
            <w:vAlign w:val="center"/>
          </w:tcPr>
          <w:p w:rsidR="003E575F" w:rsidRPr="00015BC4" w:rsidRDefault="003E575F" w:rsidP="003E575F">
            <w:pPr>
              <w:pStyle w:val="Tabletext"/>
              <w:keepNext/>
              <w:jc w:val="center"/>
              <w:rPr>
                <w:lang w:val="en-AU" w:eastAsia="en-AU"/>
              </w:rPr>
            </w:pPr>
            <w:r w:rsidRPr="00015BC4">
              <w:rPr>
                <w:lang w:val="en-AU" w:eastAsia="en-AU"/>
              </w:rPr>
              <w:t>28</w:t>
            </w:r>
          </w:p>
        </w:tc>
        <w:tc>
          <w:tcPr>
            <w:tcW w:w="3150" w:type="dxa"/>
            <w:noWrap/>
            <w:vAlign w:val="center"/>
          </w:tcPr>
          <w:p w:rsidR="003E575F" w:rsidRPr="00015BC4" w:rsidRDefault="003E575F" w:rsidP="003E575F">
            <w:pPr>
              <w:pStyle w:val="Tabletext"/>
              <w:keepNext/>
              <w:jc w:val="center"/>
              <w:rPr>
                <w:lang w:val="en-AU" w:eastAsia="en-AU"/>
              </w:rPr>
            </w:pPr>
            <w:r w:rsidRPr="00015BC4">
              <w:rPr>
                <w:lang w:val="en-AU" w:eastAsia="en-AU"/>
              </w:rPr>
              <w:t xml:space="preserve">Effective, net of SPA &amp; </w:t>
            </w:r>
            <w:r w:rsidR="0059530D">
              <w:rPr>
                <w:noProof/>
                <w:color w:val="000000"/>
                <w:highlight w:val="black"/>
                <w:lang w:val="en-AU" w:eastAsia="en-AU"/>
              </w:rPr>
              <w:t>''''''''' '''''''''''''''</w:t>
            </w:r>
            <w:r w:rsidRPr="00015BC4">
              <w:rPr>
                <w:lang w:val="en-AU" w:eastAsia="en-AU"/>
              </w:rPr>
              <w:t>*</w:t>
            </w:r>
          </w:p>
        </w:tc>
        <w:tc>
          <w:tcPr>
            <w:tcW w:w="2700" w:type="dxa"/>
            <w:noWrap/>
            <w:vAlign w:val="center"/>
          </w:tcPr>
          <w:p w:rsidR="003E575F" w:rsidRPr="00015BC4" w:rsidRDefault="003E575F" w:rsidP="003E575F">
            <w:pPr>
              <w:pStyle w:val="Tabletext"/>
              <w:keepNext/>
              <w:jc w:val="center"/>
              <w:rPr>
                <w:bCs/>
                <w:lang w:val="en-AU" w:eastAsia="en-AU"/>
              </w:rPr>
            </w:pPr>
            <w:r w:rsidRPr="00015BC4">
              <w:rPr>
                <w:bCs/>
                <w:lang w:val="en-AU" w:eastAsia="en-AU"/>
              </w:rPr>
              <w:t>$</w:t>
            </w:r>
            <w:r w:rsidR="003C0833">
              <w:rPr>
                <w:b/>
                <w:bCs/>
                <w:noProof/>
                <w:color w:val="000000"/>
                <w:highlight w:val="black"/>
                <w:lang w:val="en-AU" w:eastAsia="en-AU"/>
              </w:rPr>
              <w:t>''''''''''''''''</w:t>
            </w:r>
          </w:p>
        </w:tc>
      </w:tr>
      <w:tr w:rsidR="003E575F" w:rsidRPr="00015BC4" w:rsidTr="003E575F">
        <w:trPr>
          <w:trHeight w:val="70"/>
        </w:trPr>
        <w:tc>
          <w:tcPr>
            <w:tcW w:w="2425" w:type="dxa"/>
            <w:vAlign w:val="center"/>
            <w:hideMark/>
          </w:tcPr>
          <w:p w:rsidR="003E575F" w:rsidRPr="00015BC4" w:rsidRDefault="003E575F" w:rsidP="003E575F">
            <w:pPr>
              <w:pStyle w:val="TableText0"/>
            </w:pPr>
            <w:r w:rsidRPr="00015BC4">
              <w:t>Siponimod 0.25mg tablet</w:t>
            </w:r>
          </w:p>
        </w:tc>
        <w:tc>
          <w:tcPr>
            <w:tcW w:w="1260" w:type="dxa"/>
            <w:noWrap/>
            <w:hideMark/>
          </w:tcPr>
          <w:p w:rsidR="003E575F" w:rsidRPr="00015BC4" w:rsidRDefault="003E575F" w:rsidP="003E575F">
            <w:pPr>
              <w:pStyle w:val="TableText0"/>
              <w:jc w:val="center"/>
            </w:pPr>
            <w:r w:rsidRPr="00015BC4">
              <w:t>12</w:t>
            </w:r>
          </w:p>
        </w:tc>
        <w:tc>
          <w:tcPr>
            <w:tcW w:w="3150" w:type="dxa"/>
            <w:noWrap/>
            <w:hideMark/>
          </w:tcPr>
          <w:p w:rsidR="003E575F" w:rsidRPr="00015BC4" w:rsidRDefault="003E575F" w:rsidP="003E575F">
            <w:pPr>
              <w:pStyle w:val="TableText0"/>
              <w:jc w:val="center"/>
            </w:pPr>
            <w:r w:rsidRPr="00015BC4">
              <w:t>Effective</w:t>
            </w:r>
            <w:r w:rsidRPr="00015BC4">
              <w:rPr>
                <w:vertAlign w:val="superscript"/>
              </w:rPr>
              <w:t>b</w:t>
            </w:r>
          </w:p>
        </w:tc>
        <w:tc>
          <w:tcPr>
            <w:tcW w:w="2700" w:type="dxa"/>
            <w:noWrap/>
            <w:hideMark/>
          </w:tcPr>
          <w:p w:rsidR="003E575F" w:rsidRPr="00015BC4" w:rsidRDefault="003E575F" w:rsidP="003E575F">
            <w:pPr>
              <w:pStyle w:val="TableText0"/>
              <w:jc w:val="center"/>
            </w:pPr>
            <w:r w:rsidRPr="00015BC4">
              <w:t>$</w:t>
            </w:r>
            <w:r w:rsidR="003C0833">
              <w:rPr>
                <w:b/>
                <w:noProof/>
                <w:color w:val="000000"/>
                <w:highlight w:val="black"/>
              </w:rPr>
              <w:t>'''''''''''''''</w:t>
            </w:r>
          </w:p>
        </w:tc>
      </w:tr>
      <w:tr w:rsidR="003E575F" w:rsidRPr="00015BC4" w:rsidTr="003E575F">
        <w:trPr>
          <w:trHeight w:val="70"/>
        </w:trPr>
        <w:tc>
          <w:tcPr>
            <w:tcW w:w="2425" w:type="dxa"/>
            <w:vAlign w:val="center"/>
          </w:tcPr>
          <w:p w:rsidR="003E575F" w:rsidRPr="00015BC4" w:rsidRDefault="003E575F" w:rsidP="003E575F">
            <w:pPr>
              <w:pStyle w:val="TableText0"/>
            </w:pPr>
            <w:r w:rsidRPr="00015BC4">
              <w:t>Siponimod 0.25mg tablet</w:t>
            </w:r>
          </w:p>
        </w:tc>
        <w:tc>
          <w:tcPr>
            <w:tcW w:w="1260" w:type="dxa"/>
            <w:noWrap/>
          </w:tcPr>
          <w:p w:rsidR="003E575F" w:rsidRPr="00015BC4" w:rsidRDefault="003E575F" w:rsidP="003E575F">
            <w:pPr>
              <w:pStyle w:val="TableText0"/>
              <w:jc w:val="center"/>
            </w:pPr>
            <w:r w:rsidRPr="00015BC4">
              <w:t>120</w:t>
            </w:r>
          </w:p>
        </w:tc>
        <w:tc>
          <w:tcPr>
            <w:tcW w:w="3150" w:type="dxa"/>
            <w:noWrap/>
          </w:tcPr>
          <w:p w:rsidR="003E575F" w:rsidRPr="00015BC4" w:rsidRDefault="003E575F" w:rsidP="003E575F">
            <w:pPr>
              <w:pStyle w:val="TableText0"/>
              <w:jc w:val="center"/>
            </w:pPr>
            <w:r w:rsidRPr="00015BC4">
              <w:t>Effective</w:t>
            </w:r>
            <w:r w:rsidRPr="00015BC4">
              <w:rPr>
                <w:vertAlign w:val="superscript"/>
              </w:rPr>
              <w:t>b</w:t>
            </w:r>
          </w:p>
        </w:tc>
        <w:tc>
          <w:tcPr>
            <w:tcW w:w="2700" w:type="dxa"/>
            <w:noWrap/>
          </w:tcPr>
          <w:p w:rsidR="003E575F" w:rsidRPr="00015BC4" w:rsidRDefault="003E575F" w:rsidP="003E575F">
            <w:pPr>
              <w:pStyle w:val="TableText0"/>
              <w:jc w:val="center"/>
            </w:pPr>
            <w:r w:rsidRPr="00015BC4">
              <w:t>$</w:t>
            </w:r>
            <w:r w:rsidR="003C0833">
              <w:rPr>
                <w:b/>
                <w:noProof/>
                <w:color w:val="000000"/>
                <w:highlight w:val="black"/>
              </w:rPr>
              <w:t>''''''''''''''''''</w:t>
            </w:r>
          </w:p>
        </w:tc>
      </w:tr>
      <w:tr w:rsidR="003E575F" w:rsidRPr="00015BC4" w:rsidTr="003E575F">
        <w:trPr>
          <w:trHeight w:val="70"/>
        </w:trPr>
        <w:tc>
          <w:tcPr>
            <w:tcW w:w="2425" w:type="dxa"/>
            <w:vAlign w:val="center"/>
          </w:tcPr>
          <w:p w:rsidR="003E575F" w:rsidRPr="00015BC4" w:rsidRDefault="003E575F" w:rsidP="003E575F">
            <w:pPr>
              <w:pStyle w:val="TableText0"/>
            </w:pPr>
            <w:r w:rsidRPr="00015BC4">
              <w:t>Siponimod 2mg tablet</w:t>
            </w:r>
          </w:p>
        </w:tc>
        <w:tc>
          <w:tcPr>
            <w:tcW w:w="1260" w:type="dxa"/>
            <w:noWrap/>
          </w:tcPr>
          <w:p w:rsidR="003E575F" w:rsidRPr="00015BC4" w:rsidRDefault="003E575F" w:rsidP="003E575F">
            <w:pPr>
              <w:pStyle w:val="TableText0"/>
              <w:jc w:val="center"/>
            </w:pPr>
            <w:r w:rsidRPr="00015BC4">
              <w:t>28</w:t>
            </w:r>
          </w:p>
        </w:tc>
        <w:tc>
          <w:tcPr>
            <w:tcW w:w="3150" w:type="dxa"/>
            <w:noWrap/>
          </w:tcPr>
          <w:p w:rsidR="003E575F" w:rsidRPr="00015BC4" w:rsidRDefault="003E575F" w:rsidP="003E575F">
            <w:pPr>
              <w:pStyle w:val="TableText0"/>
              <w:jc w:val="center"/>
            </w:pPr>
            <w:r w:rsidRPr="00015BC4">
              <w:t>Effective</w:t>
            </w:r>
            <w:r w:rsidRPr="00015BC4">
              <w:rPr>
                <w:vertAlign w:val="superscript"/>
              </w:rPr>
              <w:t>b</w:t>
            </w:r>
          </w:p>
        </w:tc>
        <w:tc>
          <w:tcPr>
            <w:tcW w:w="2700" w:type="dxa"/>
            <w:noWrap/>
          </w:tcPr>
          <w:p w:rsidR="003E575F" w:rsidRPr="00015BC4" w:rsidRDefault="003E575F" w:rsidP="003E575F">
            <w:pPr>
              <w:pStyle w:val="TableText0"/>
              <w:jc w:val="center"/>
            </w:pPr>
            <w:r w:rsidRPr="00015BC4">
              <w:t>$</w:t>
            </w:r>
            <w:r w:rsidR="003C0833">
              <w:rPr>
                <w:b/>
                <w:noProof/>
                <w:color w:val="000000"/>
                <w:highlight w:val="black"/>
              </w:rPr>
              <w:t>''''''''''''''''</w:t>
            </w:r>
          </w:p>
        </w:tc>
      </w:tr>
    </w:tbl>
    <w:p w:rsidR="003E575F" w:rsidRPr="00015BC4" w:rsidRDefault="003E575F" w:rsidP="003E575F">
      <w:pPr>
        <w:pStyle w:val="TableFooter"/>
        <w:keepNext/>
        <w:jc w:val="both"/>
        <w:rPr>
          <w:lang w:val="en-AU"/>
        </w:rPr>
      </w:pPr>
      <w:r w:rsidRPr="00015BC4">
        <w:rPr>
          <w:lang w:val="en-AU"/>
        </w:rPr>
        <w:t>Source Tables 3.2 and 3.3, pp172-173 of the resubmission.</w:t>
      </w:r>
    </w:p>
    <w:p w:rsidR="003E575F" w:rsidRPr="00015BC4" w:rsidRDefault="003E575F" w:rsidP="003E575F">
      <w:pPr>
        <w:pStyle w:val="TableFooter"/>
        <w:keepNext/>
        <w:jc w:val="both"/>
        <w:rPr>
          <w:lang w:val="en-AU"/>
        </w:rPr>
      </w:pPr>
      <w:r w:rsidRPr="00015BC4">
        <w:rPr>
          <w:lang w:val="en-AU"/>
        </w:rPr>
        <w:t>AEMP = Australian ex-manufacturer price; DPMQ = dispensed price per maximum quantity; PTP = price to pharmacist</w:t>
      </w:r>
    </w:p>
    <w:p w:rsidR="003E575F" w:rsidRPr="00015BC4" w:rsidRDefault="003E575F" w:rsidP="003E575F">
      <w:pPr>
        <w:pStyle w:val="TableFooter"/>
        <w:keepNext/>
        <w:tabs>
          <w:tab w:val="left" w:pos="284"/>
        </w:tabs>
        <w:ind w:left="284" w:hanging="284"/>
        <w:jc w:val="both"/>
        <w:rPr>
          <w:lang w:val="en-AU"/>
        </w:rPr>
      </w:pPr>
      <w:r w:rsidRPr="00015BC4">
        <w:rPr>
          <w:sz w:val="16"/>
          <w:lang w:val="en-AU"/>
        </w:rPr>
        <w:t>*</w:t>
      </w:r>
      <w:r w:rsidRPr="00015BC4">
        <w:rPr>
          <w:sz w:val="16"/>
          <w:lang w:val="en-AU"/>
        </w:rPr>
        <w:tab/>
      </w:r>
      <w:r w:rsidRPr="00015BC4">
        <w:rPr>
          <w:lang w:val="en-AU"/>
        </w:rPr>
        <w:t xml:space="preserve">Effective price net of SPA and SC rebates at </w:t>
      </w:r>
      <w:r w:rsidR="0059530D">
        <w:rPr>
          <w:noProof/>
          <w:color w:val="000000"/>
          <w:highlight w:val="black"/>
          <w:lang w:val="en-AU"/>
        </w:rPr>
        <w:t>'''''''''''''' '''''''''''' '''' ''''''''''''''''''''''''''''''''''''''</w:t>
      </w:r>
      <w:r w:rsidRPr="00015BC4">
        <w:rPr>
          <w:lang w:val="en-AU"/>
        </w:rPr>
        <w:t>; **Pricing as of Feb 2020</w:t>
      </w:r>
    </w:p>
    <w:p w:rsidR="003E575F" w:rsidRPr="00015BC4" w:rsidRDefault="003E575F" w:rsidP="003E575F">
      <w:pPr>
        <w:pStyle w:val="TableFooter"/>
        <w:keepNext/>
        <w:tabs>
          <w:tab w:val="left" w:pos="284"/>
        </w:tabs>
        <w:ind w:left="284" w:hanging="284"/>
        <w:jc w:val="both"/>
        <w:rPr>
          <w:lang w:val="en-AU"/>
        </w:rPr>
      </w:pPr>
      <w:r w:rsidRPr="00015BC4">
        <w:rPr>
          <w:vertAlign w:val="superscript"/>
          <w:lang w:val="en-AU"/>
        </w:rPr>
        <w:t xml:space="preserve">a </w:t>
      </w:r>
      <w:r w:rsidRPr="00015BC4">
        <w:rPr>
          <w:vertAlign w:val="superscript"/>
          <w:lang w:val="en-AU"/>
        </w:rPr>
        <w:tab/>
      </w:r>
      <w:r w:rsidRPr="00015BC4">
        <w:rPr>
          <w:lang w:val="en-AU"/>
        </w:rPr>
        <w:t xml:space="preserve">Special Pricing Arrangement (SPA) is requested for listing siponimod on the PBS – to be discussed with the Pricing Section following PBAC recommendation. Note that the proposed Published price of siponimod 0.25mg*120 and 2mg*28 is the same as that for fingolimod 0.25mg*28 and 0.5 mg*28 as at 1 February 2020. </w:t>
      </w:r>
    </w:p>
    <w:p w:rsidR="003E575F" w:rsidRPr="00015BC4" w:rsidRDefault="003E575F" w:rsidP="003E575F">
      <w:pPr>
        <w:pStyle w:val="TableFooter"/>
        <w:keepNext/>
        <w:tabs>
          <w:tab w:val="left" w:pos="284"/>
        </w:tabs>
        <w:spacing w:after="120"/>
        <w:ind w:left="284" w:hanging="284"/>
        <w:jc w:val="both"/>
        <w:rPr>
          <w:lang w:val="en-AU"/>
        </w:rPr>
      </w:pPr>
      <w:r w:rsidRPr="00015BC4">
        <w:rPr>
          <w:vertAlign w:val="superscript"/>
          <w:lang w:val="en-AU"/>
        </w:rPr>
        <w:t xml:space="preserve">b </w:t>
      </w:r>
      <w:r w:rsidRPr="00015BC4">
        <w:rPr>
          <w:vertAlign w:val="superscript"/>
          <w:lang w:val="en-AU"/>
        </w:rPr>
        <w:tab/>
      </w:r>
      <w:r w:rsidRPr="00015BC4">
        <w:rPr>
          <w:lang w:val="en-AU"/>
        </w:rPr>
        <w:t xml:space="preserve">The proposed Effective price is equivalent to the fingolimod price after the SPA and subsidisation cap (SC) rebates, and is lower than that proposed in the original submission </w:t>
      </w:r>
    </w:p>
    <w:p w:rsidR="003E575F" w:rsidRPr="00015BC4" w:rsidRDefault="003E575F" w:rsidP="003E575F">
      <w:pPr>
        <w:pStyle w:val="3-BodyText"/>
      </w:pPr>
      <w:r w:rsidRPr="00015BC4">
        <w:t xml:space="preserve">The resubmission proposed that the effective price of fingolimod </w:t>
      </w:r>
      <w:r w:rsidR="0059530D">
        <w:rPr>
          <w:noProof/>
          <w:color w:val="000000"/>
          <w:highlight w:val="black"/>
        </w:rPr>
        <w:t>'''''''''''' ''''''''''''' '''''' '''''''' ''''''''''' ''''''' ''''''' '''''''''''''''''' ''''''''''''' '''''''''''''''' '''''''''' '''''''' '''''''' ''''''' '''''''' '''''''''''' '''''' '''''''''''''''''''' ''''''' ''''''''''''''''''''''''' '''''''''' ''''''' '''''''''' ''''''''''''''''' '''' ''''' '''''''''' ''''' '''''''''' ''' '''' ''''''' '''''''''''''' ''''''''' ''''' '''''''''''''''''''''' '''''' '''''''''''''''''' '''''''' ''''''''' '''' '''''''' '''''''''' '''''''' ''''''''''''''' ''' ''''' ''''''''''''''''''' '''''''''''''''''' '''' '''''''''''''' ''''''' '''' ''''''' '''''''''''''''''' ''''''''''''' ''''''''''''''''''' '''''' ''''''''''' '''''''''''' '''''''' '''''' '''''''''''''''''' '''''''''''''' '''''''''' ''''' '''''' ''''''''''''''' ''''''''' '''''''''''''' ''''''' ''''''''''''''''''''' ''''''''' '''''''''' ''''''''''' '''''''''''' ''''''''''' ''''''' '''''''''''''''' ''''' ''''''' ''''''' ''''''' ''''''' ''''''''''''' ''''''''''' '''' '''''''''''''''''''' ''''''''' '''' '''''' '''''''''''''' ''''''''''</w:t>
      </w:r>
      <w:r w:rsidRPr="00015BC4">
        <w:rPr>
          <w:color w:val="000000" w:themeColor="text1"/>
        </w:rPr>
        <w:t xml:space="preserve">, the price reduction required is estimated at </w:t>
      </w:r>
      <w:r w:rsidR="003C0833">
        <w:rPr>
          <w:noProof/>
          <w:color w:val="000000"/>
          <w:highlight w:val="black"/>
        </w:rPr>
        <w:t>'''''''</w:t>
      </w:r>
      <w:r w:rsidRPr="00015BC4">
        <w:rPr>
          <w:color w:val="000000" w:themeColor="text1"/>
        </w:rPr>
        <w:t xml:space="preserve">%. The PBAC considered the </w:t>
      </w:r>
      <w:r w:rsidR="0059530D">
        <w:rPr>
          <w:noProof/>
          <w:color w:val="000000"/>
          <w:highlight w:val="black"/>
        </w:rPr>
        <w:t>''''''''''''''' '''''''''''' '''''''' ''''''' ''''''''' ''''''' ''''''''''''' '''''''''</w:t>
      </w:r>
      <w:r w:rsidRPr="00015BC4">
        <w:rPr>
          <w:color w:val="000000" w:themeColor="text1"/>
        </w:rPr>
        <w:t xml:space="preserve"> would be more appropriate to use in the cost-minimisation analysis versus fingolimod.</w:t>
      </w:r>
    </w:p>
    <w:p w:rsidR="003E575F" w:rsidRPr="00015BC4" w:rsidRDefault="003E575F" w:rsidP="003E575F">
      <w:pPr>
        <w:pStyle w:val="3-BodyText"/>
        <w:rPr>
          <w:color w:val="000000" w:themeColor="text1"/>
        </w:rPr>
      </w:pPr>
      <w:r w:rsidRPr="00015BC4">
        <w:rPr>
          <w:color w:val="000000" w:themeColor="text1"/>
        </w:rPr>
        <w:t xml:space="preserve">The cost minimisation analysis presented in the submission was based on claim of non-inferiority which the ESC considered was not well supported by the clinical evidence presented. </w:t>
      </w:r>
    </w:p>
    <w:p w:rsidR="003E575F" w:rsidRPr="00286E3F" w:rsidRDefault="003E575F" w:rsidP="003E575F">
      <w:pPr>
        <w:pStyle w:val="3-BodyText"/>
        <w:rPr>
          <w:color w:val="000000" w:themeColor="text1"/>
        </w:rPr>
      </w:pPr>
      <w:r w:rsidRPr="00015BC4">
        <w:t xml:space="preserve">As previously noted, the majority of the financial impact in the resubmission’s financial estimates was in the patient population with higher EDSS disability. The ESC considered that a cost minimisation price against fingolimod was unlikely to be appropriate in this population. </w:t>
      </w:r>
      <w:r w:rsidRPr="00015BC4">
        <w:rPr>
          <w:color w:val="000000" w:themeColor="text1"/>
        </w:rPr>
        <w:t xml:space="preserve">The ESC considered siponimod is likely to be less cost effective in the expanded population given the apparent reduced efficacy when used to treat less active disease, and hence a price equivalent to that of fingolimod may not be </w:t>
      </w:r>
      <w:r w:rsidRPr="00286E3F">
        <w:rPr>
          <w:color w:val="000000" w:themeColor="text1"/>
        </w:rPr>
        <w:t xml:space="preserve">justified in the expanded population. </w:t>
      </w:r>
    </w:p>
    <w:p w:rsidR="003E575F" w:rsidRPr="00286E3F" w:rsidRDefault="003E575F" w:rsidP="003E575F">
      <w:pPr>
        <w:pStyle w:val="3-BodyText"/>
        <w:rPr>
          <w:color w:val="000000" w:themeColor="text1"/>
        </w:rPr>
      </w:pPr>
      <w:r w:rsidRPr="00286E3F">
        <w:rPr>
          <w:color w:val="000000" w:themeColor="text1"/>
        </w:rPr>
        <w:t xml:space="preserve">The pre-PBAC response offered a reduced price for siponimod based on a weighted cost minimisation approach, with the fingolimod price to apply for the proportion of use that would replace fingolimod and </w:t>
      </w:r>
      <w:r w:rsidRPr="0059530D">
        <w:rPr>
          <w:color w:val="000000" w:themeColor="text1"/>
        </w:rPr>
        <w:t>other DMTs (</w:t>
      </w:r>
      <w:r w:rsidRPr="0059530D">
        <w:rPr>
          <w:rFonts w:cstheme="minorHAnsi"/>
          <w:color w:val="000000" w:themeColor="text1"/>
        </w:rPr>
        <w:t>≤</w:t>
      </w:r>
      <w:r w:rsidRPr="0059530D">
        <w:rPr>
          <w:color w:val="000000" w:themeColor="text1"/>
        </w:rPr>
        <w:t xml:space="preserve"> EDSS 5.5); and for the interferon beta price (weighted for use of its four forms) to apply for use in patients with EDSS </w:t>
      </w:r>
      <w:r w:rsidRPr="0059530D">
        <w:rPr>
          <w:rFonts w:cstheme="minorHAnsi"/>
          <w:color w:val="000000" w:themeColor="text1"/>
        </w:rPr>
        <w:t>≥</w:t>
      </w:r>
      <w:r w:rsidRPr="0059530D">
        <w:rPr>
          <w:color w:val="000000" w:themeColor="text1"/>
        </w:rPr>
        <w:t xml:space="preserve"> 6.0 where cost-effectiveness was uncertain. The pre-PBAC response stated that interferon beta represents the ‘minimum value’ in patients with EDSS </w:t>
      </w:r>
      <w:r w:rsidRPr="0059530D">
        <w:rPr>
          <w:rFonts w:cstheme="minorHAnsi"/>
          <w:color w:val="000000" w:themeColor="text1"/>
        </w:rPr>
        <w:t>≥</w:t>
      </w:r>
      <w:r w:rsidRPr="0059530D">
        <w:rPr>
          <w:color w:val="000000" w:themeColor="text1"/>
        </w:rPr>
        <w:t xml:space="preserve"> 6.0 treated and untreated. However, the weighted proportions</w:t>
      </w:r>
      <w:r w:rsidRPr="00286E3F">
        <w:rPr>
          <w:color w:val="000000" w:themeColor="text1"/>
        </w:rPr>
        <w:t xml:space="preserve"> only appeared to be applied to the group of patients with EDSS </w:t>
      </w:r>
      <w:r w:rsidRPr="00286E3F">
        <w:rPr>
          <w:rFonts w:cstheme="minorHAnsi"/>
          <w:color w:val="000000" w:themeColor="text1"/>
        </w:rPr>
        <w:t>≥</w:t>
      </w:r>
      <w:r w:rsidRPr="00286E3F">
        <w:rPr>
          <w:color w:val="000000" w:themeColor="text1"/>
        </w:rPr>
        <w:t xml:space="preserve"> 6.0 who are currently untreated.</w:t>
      </w:r>
    </w:p>
    <w:p w:rsidR="003E575F" w:rsidRPr="00840BDF" w:rsidRDefault="003E575F" w:rsidP="003E575F">
      <w:pPr>
        <w:pStyle w:val="3-BodyText"/>
        <w:rPr>
          <w:color w:val="000000" w:themeColor="text1"/>
        </w:rPr>
      </w:pPr>
      <w:r w:rsidRPr="00015BC4">
        <w:rPr>
          <w:color w:val="000000" w:themeColor="text1"/>
        </w:rPr>
        <w:lastRenderedPageBreak/>
        <w:t xml:space="preserve">The Sponsor </w:t>
      </w:r>
      <w:r w:rsidRPr="00840BDF">
        <w:rPr>
          <w:color w:val="000000" w:themeColor="text1"/>
        </w:rPr>
        <w:t xml:space="preserve">proposed a weighting of </w:t>
      </w:r>
      <w:r w:rsidR="003C0833">
        <w:rPr>
          <w:noProof/>
          <w:color w:val="000000"/>
          <w:highlight w:val="black"/>
        </w:rPr>
        <w:t>'''''</w:t>
      </w:r>
      <w:r w:rsidRPr="00840BDF">
        <w:rPr>
          <w:color w:val="000000" w:themeColor="text1"/>
        </w:rPr>
        <w:t xml:space="preserve">% to the price of fingolimod and </w:t>
      </w:r>
      <w:r w:rsidR="003C0833">
        <w:rPr>
          <w:noProof/>
          <w:color w:val="000000"/>
          <w:highlight w:val="black"/>
        </w:rPr>
        <w:t>'''''</w:t>
      </w:r>
      <w:r w:rsidRPr="00840BDF">
        <w:rPr>
          <w:color w:val="000000" w:themeColor="text1"/>
        </w:rPr>
        <w:t>% to the price of interferon beta, based on Years 5 and 6 of the revised utilisation estimates. The resulting proposed weighted AEMP is presented in the table below.</w:t>
      </w:r>
    </w:p>
    <w:p w:rsidR="003E575F" w:rsidRPr="00840BDF" w:rsidRDefault="003E575F" w:rsidP="003E575F">
      <w:pPr>
        <w:rPr>
          <w:rFonts w:ascii="Arial Narrow" w:hAnsi="Arial Narrow"/>
          <w:b/>
          <w:sz w:val="20"/>
          <w:szCs w:val="20"/>
          <w:lang w:val="en-AU"/>
        </w:rPr>
      </w:pPr>
      <w:r w:rsidRPr="00840BDF">
        <w:rPr>
          <w:rFonts w:ascii="Arial Narrow" w:hAnsi="Arial Narrow"/>
          <w:b/>
          <w:sz w:val="20"/>
          <w:szCs w:val="20"/>
          <w:lang w:val="en-AU"/>
        </w:rPr>
        <w:t>Table 11: Summary of the weighted pricing approach proposed in the pre-PBAC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2519"/>
        <w:gridCol w:w="1993"/>
        <w:gridCol w:w="2117"/>
      </w:tblGrid>
      <w:tr w:rsidR="003E575F" w:rsidRPr="00840BDF" w:rsidTr="003E575F">
        <w:trPr>
          <w:cantSplit/>
          <w:trHeight w:val="256"/>
        </w:trPr>
        <w:tc>
          <w:tcPr>
            <w:tcW w:w="1324" w:type="pct"/>
          </w:tcPr>
          <w:p w:rsidR="003E575F" w:rsidRPr="00840BDF" w:rsidRDefault="003E575F" w:rsidP="003E575F">
            <w:pPr>
              <w:jc w:val="both"/>
              <w:rPr>
                <w:rFonts w:ascii="Arial Narrow" w:hAnsi="Arial Narrow"/>
                <w:b/>
                <w:sz w:val="20"/>
                <w:lang w:val="en-AU"/>
              </w:rPr>
            </w:pPr>
            <w:r w:rsidRPr="00840BDF">
              <w:rPr>
                <w:rFonts w:ascii="Arial Narrow" w:hAnsi="Arial Narrow"/>
                <w:b/>
                <w:sz w:val="20"/>
                <w:lang w:val="en-AU"/>
              </w:rPr>
              <w:t>Population</w:t>
            </w:r>
          </w:p>
        </w:tc>
        <w:tc>
          <w:tcPr>
            <w:tcW w:w="1397" w:type="pct"/>
          </w:tcPr>
          <w:p w:rsidR="003E575F" w:rsidRPr="00840BDF" w:rsidRDefault="003E575F" w:rsidP="003E575F">
            <w:pPr>
              <w:jc w:val="center"/>
              <w:rPr>
                <w:rFonts w:ascii="Arial Narrow" w:hAnsi="Arial Narrow"/>
                <w:b/>
                <w:sz w:val="20"/>
                <w:lang w:val="en-AU"/>
              </w:rPr>
            </w:pPr>
            <w:r w:rsidRPr="00840BDF">
              <w:rPr>
                <w:rFonts w:ascii="Arial Narrow" w:hAnsi="Arial Narrow"/>
                <w:b/>
                <w:sz w:val="20"/>
                <w:lang w:val="en-AU"/>
              </w:rPr>
              <w:t>Comparator/basis for pricing offer</w:t>
            </w:r>
          </w:p>
        </w:tc>
        <w:tc>
          <w:tcPr>
            <w:tcW w:w="1105" w:type="pct"/>
          </w:tcPr>
          <w:p w:rsidR="003E575F" w:rsidRPr="00840BDF" w:rsidRDefault="003E575F" w:rsidP="003E575F">
            <w:pPr>
              <w:jc w:val="center"/>
              <w:rPr>
                <w:rFonts w:ascii="Arial Narrow" w:hAnsi="Arial Narrow"/>
                <w:b/>
                <w:sz w:val="20"/>
                <w:lang w:val="en-AU"/>
              </w:rPr>
            </w:pPr>
            <w:r w:rsidRPr="00840BDF">
              <w:rPr>
                <w:rFonts w:ascii="Arial Narrow" w:hAnsi="Arial Narrow"/>
                <w:b/>
                <w:sz w:val="20"/>
                <w:lang w:val="en-AU"/>
              </w:rPr>
              <w:t>Weight</w:t>
            </w:r>
          </w:p>
          <w:p w:rsidR="003E575F" w:rsidRPr="00840BDF" w:rsidRDefault="003E575F" w:rsidP="003E575F">
            <w:pPr>
              <w:jc w:val="center"/>
              <w:rPr>
                <w:rFonts w:ascii="Arial Narrow" w:hAnsi="Arial Narrow"/>
                <w:b/>
                <w:sz w:val="20"/>
                <w:lang w:val="en-AU"/>
              </w:rPr>
            </w:pPr>
            <w:r w:rsidRPr="00840BDF">
              <w:rPr>
                <w:rFonts w:ascii="Arial Narrow" w:hAnsi="Arial Narrow"/>
                <w:b/>
                <w:sz w:val="20"/>
                <w:lang w:val="en-AU"/>
              </w:rPr>
              <w:t>(relative utilisation)</w:t>
            </w:r>
          </w:p>
        </w:tc>
        <w:tc>
          <w:tcPr>
            <w:tcW w:w="1174" w:type="pct"/>
          </w:tcPr>
          <w:p w:rsidR="003E575F" w:rsidRPr="00840BDF" w:rsidRDefault="003E575F" w:rsidP="003E575F">
            <w:pPr>
              <w:jc w:val="center"/>
              <w:rPr>
                <w:rFonts w:ascii="Arial Narrow" w:hAnsi="Arial Narrow"/>
                <w:b/>
                <w:sz w:val="20"/>
                <w:lang w:val="en-AU"/>
              </w:rPr>
            </w:pPr>
            <w:r w:rsidRPr="00840BDF">
              <w:rPr>
                <w:rFonts w:ascii="Arial Narrow" w:hAnsi="Arial Narrow"/>
                <w:b/>
                <w:sz w:val="20"/>
                <w:lang w:val="en-AU"/>
              </w:rPr>
              <w:t>Price (AEMP)</w:t>
            </w:r>
          </w:p>
        </w:tc>
      </w:tr>
      <w:tr w:rsidR="003E575F" w:rsidRPr="00840BDF" w:rsidTr="003E575F">
        <w:trPr>
          <w:cantSplit/>
          <w:trHeight w:val="236"/>
        </w:trPr>
        <w:tc>
          <w:tcPr>
            <w:tcW w:w="1324" w:type="pct"/>
          </w:tcPr>
          <w:p w:rsidR="003E575F" w:rsidRPr="00840BDF" w:rsidRDefault="003E575F" w:rsidP="003E575F">
            <w:pPr>
              <w:rPr>
                <w:rFonts w:ascii="Arial Narrow" w:hAnsi="Arial Narrow"/>
                <w:b/>
                <w:sz w:val="20"/>
                <w:lang w:val="en-AU"/>
              </w:rPr>
            </w:pPr>
            <w:r w:rsidRPr="00840BDF">
              <w:rPr>
                <w:rFonts w:ascii="Arial Narrow" w:hAnsi="Arial Narrow"/>
                <w:b/>
                <w:sz w:val="20"/>
                <w:lang w:val="en-AU"/>
              </w:rPr>
              <w:t>Patients currently on a DMT</w:t>
            </w:r>
          </w:p>
        </w:tc>
        <w:tc>
          <w:tcPr>
            <w:tcW w:w="1397" w:type="pct"/>
          </w:tcPr>
          <w:p w:rsidR="003E575F" w:rsidRPr="00840BDF" w:rsidRDefault="003E575F" w:rsidP="003E575F">
            <w:pPr>
              <w:jc w:val="center"/>
              <w:rPr>
                <w:rFonts w:ascii="Arial Narrow" w:hAnsi="Arial Narrow"/>
                <w:sz w:val="20"/>
                <w:lang w:val="en-AU"/>
              </w:rPr>
            </w:pPr>
            <w:r w:rsidRPr="00840BDF">
              <w:rPr>
                <w:rFonts w:ascii="Arial Narrow" w:hAnsi="Arial Narrow"/>
                <w:sz w:val="20"/>
                <w:lang w:val="en-AU"/>
              </w:rPr>
              <w:t>fingolimod</w:t>
            </w:r>
          </w:p>
        </w:tc>
        <w:tc>
          <w:tcPr>
            <w:tcW w:w="1105" w:type="pct"/>
          </w:tcPr>
          <w:p w:rsidR="003E575F" w:rsidRPr="003C0833" w:rsidRDefault="003C0833" w:rsidP="003E575F">
            <w:pPr>
              <w:jc w:val="center"/>
              <w:rPr>
                <w:rFonts w:ascii="Arial Narrow" w:hAnsi="Arial Narrow"/>
                <w:sz w:val="20"/>
                <w:highlight w:val="black"/>
                <w:lang w:val="en-AU"/>
              </w:rPr>
            </w:pPr>
            <w:r>
              <w:rPr>
                <w:rFonts w:ascii="Arial Narrow" w:hAnsi="Arial Narrow"/>
                <w:noProof/>
                <w:color w:val="000000"/>
                <w:sz w:val="20"/>
                <w:highlight w:val="black"/>
                <w:lang w:val="en-AU"/>
              </w:rPr>
              <w:t>'''''''''''</w:t>
            </w:r>
          </w:p>
        </w:tc>
        <w:tc>
          <w:tcPr>
            <w:tcW w:w="1174" w:type="pct"/>
          </w:tcPr>
          <w:p w:rsidR="003E575F" w:rsidRPr="00840BDF" w:rsidRDefault="003E575F" w:rsidP="003E575F">
            <w:pPr>
              <w:jc w:val="center"/>
              <w:rPr>
                <w:rFonts w:ascii="Arial Narrow" w:hAnsi="Arial Narrow"/>
                <w:sz w:val="20"/>
                <w:lang w:val="en-AU"/>
              </w:rPr>
            </w:pPr>
            <w:r w:rsidRPr="00840BDF">
              <w:rPr>
                <w:rFonts w:ascii="Arial Narrow" w:hAnsi="Arial Narrow"/>
                <w:sz w:val="20"/>
                <w:lang w:val="en-AU"/>
              </w:rPr>
              <w:t>$</w:t>
            </w:r>
            <w:r w:rsidR="003C0833">
              <w:rPr>
                <w:rFonts w:ascii="Arial Narrow" w:hAnsi="Arial Narrow"/>
                <w:noProof/>
                <w:color w:val="000000"/>
                <w:sz w:val="20"/>
                <w:highlight w:val="black"/>
                <w:lang w:val="en-AU"/>
              </w:rPr>
              <w:t>''''''''''''''''''''''</w:t>
            </w:r>
          </w:p>
        </w:tc>
      </w:tr>
      <w:tr w:rsidR="003E575F" w:rsidRPr="00840BDF" w:rsidTr="003E575F">
        <w:trPr>
          <w:cantSplit/>
          <w:trHeight w:val="127"/>
        </w:trPr>
        <w:tc>
          <w:tcPr>
            <w:tcW w:w="1324" w:type="pct"/>
          </w:tcPr>
          <w:p w:rsidR="003E575F" w:rsidRPr="00840BDF" w:rsidRDefault="003E575F" w:rsidP="003E575F">
            <w:pPr>
              <w:rPr>
                <w:rFonts w:ascii="Arial Narrow" w:hAnsi="Arial Narrow"/>
                <w:b/>
                <w:sz w:val="20"/>
                <w:lang w:val="en-AU"/>
              </w:rPr>
            </w:pPr>
            <w:r w:rsidRPr="00840BDF">
              <w:rPr>
                <w:rFonts w:ascii="Arial Narrow" w:hAnsi="Arial Narrow"/>
                <w:b/>
                <w:sz w:val="20"/>
                <w:lang w:val="en-AU"/>
              </w:rPr>
              <w:t xml:space="preserve">Patients not currently on a DMT with EDSS ≥ 6 </w:t>
            </w:r>
            <w:r w:rsidRPr="00840BDF">
              <w:rPr>
                <w:rFonts w:ascii="Arial Narrow" w:hAnsi="Arial Narrow"/>
                <w:b/>
                <w:sz w:val="20"/>
                <w:vertAlign w:val="superscript"/>
                <w:lang w:val="en-AU"/>
              </w:rPr>
              <w:t>a</w:t>
            </w:r>
            <w:r w:rsidRPr="00840BDF">
              <w:rPr>
                <w:rFonts w:ascii="Arial Narrow" w:hAnsi="Arial Narrow"/>
                <w:b/>
                <w:sz w:val="20"/>
                <w:lang w:val="en-AU"/>
              </w:rPr>
              <w:t xml:space="preserve"> </w:t>
            </w:r>
          </w:p>
        </w:tc>
        <w:tc>
          <w:tcPr>
            <w:tcW w:w="1397" w:type="pct"/>
          </w:tcPr>
          <w:p w:rsidR="003E575F" w:rsidRPr="00840BDF" w:rsidRDefault="003E575F" w:rsidP="003E575F">
            <w:pPr>
              <w:jc w:val="center"/>
              <w:rPr>
                <w:rFonts w:ascii="Arial Narrow" w:hAnsi="Arial Narrow"/>
                <w:sz w:val="20"/>
                <w:lang w:val="en-AU"/>
              </w:rPr>
            </w:pPr>
            <w:r w:rsidRPr="0059530D">
              <w:rPr>
                <w:rFonts w:ascii="Arial Narrow" w:hAnsi="Arial Narrow"/>
                <w:sz w:val="20"/>
                <w:lang w:val="en-AU"/>
              </w:rPr>
              <w:t>interferon beta</w:t>
            </w:r>
          </w:p>
          <w:p w:rsidR="003E575F" w:rsidRPr="00840BDF" w:rsidRDefault="003E575F" w:rsidP="003E575F">
            <w:pPr>
              <w:jc w:val="center"/>
              <w:rPr>
                <w:rFonts w:ascii="Arial Narrow" w:hAnsi="Arial Narrow"/>
                <w:sz w:val="20"/>
                <w:lang w:val="en-AU"/>
              </w:rPr>
            </w:pPr>
          </w:p>
        </w:tc>
        <w:tc>
          <w:tcPr>
            <w:tcW w:w="1105" w:type="pct"/>
          </w:tcPr>
          <w:p w:rsidR="003E575F" w:rsidRPr="003C0833" w:rsidRDefault="003C0833" w:rsidP="003E575F">
            <w:pPr>
              <w:jc w:val="center"/>
              <w:rPr>
                <w:rFonts w:ascii="Arial Narrow" w:hAnsi="Arial Narrow"/>
                <w:sz w:val="20"/>
                <w:highlight w:val="black"/>
                <w:lang w:val="en-AU"/>
              </w:rPr>
            </w:pPr>
            <w:r>
              <w:rPr>
                <w:rFonts w:ascii="Arial Narrow" w:hAnsi="Arial Narrow"/>
                <w:noProof/>
                <w:color w:val="000000"/>
                <w:sz w:val="20"/>
                <w:highlight w:val="black"/>
                <w:lang w:val="en-AU"/>
              </w:rPr>
              <w:t>''''''''''</w:t>
            </w:r>
          </w:p>
        </w:tc>
        <w:tc>
          <w:tcPr>
            <w:tcW w:w="1174" w:type="pct"/>
          </w:tcPr>
          <w:p w:rsidR="003E575F" w:rsidRPr="00840BDF" w:rsidRDefault="003E575F" w:rsidP="003E575F">
            <w:pPr>
              <w:jc w:val="center"/>
              <w:rPr>
                <w:rFonts w:ascii="Arial Narrow" w:hAnsi="Arial Narrow"/>
                <w:sz w:val="20"/>
                <w:lang w:val="en-AU"/>
              </w:rPr>
            </w:pPr>
            <w:r w:rsidRPr="00840BDF">
              <w:rPr>
                <w:rFonts w:ascii="Arial Narrow" w:hAnsi="Arial Narrow"/>
                <w:sz w:val="20"/>
                <w:lang w:val="en-AU"/>
              </w:rPr>
              <w:t>$</w:t>
            </w:r>
            <w:r w:rsidR="003C0833">
              <w:rPr>
                <w:rFonts w:ascii="Arial Narrow" w:hAnsi="Arial Narrow"/>
                <w:noProof/>
                <w:color w:val="000000"/>
                <w:sz w:val="20"/>
                <w:highlight w:val="black"/>
                <w:lang w:val="en-AU"/>
              </w:rPr>
              <w:t>''''''''''''''''</w:t>
            </w:r>
          </w:p>
        </w:tc>
      </w:tr>
      <w:tr w:rsidR="003E575F" w:rsidRPr="00840BDF" w:rsidTr="003E575F">
        <w:trPr>
          <w:cantSplit/>
          <w:trHeight w:val="127"/>
        </w:trPr>
        <w:tc>
          <w:tcPr>
            <w:tcW w:w="1324" w:type="pct"/>
          </w:tcPr>
          <w:p w:rsidR="003E575F" w:rsidRPr="00840BDF" w:rsidRDefault="003E575F" w:rsidP="003E575F">
            <w:pPr>
              <w:rPr>
                <w:rFonts w:ascii="Arial Narrow" w:hAnsi="Arial Narrow"/>
                <w:b/>
                <w:sz w:val="20"/>
                <w:lang w:val="en-AU"/>
              </w:rPr>
            </w:pPr>
            <w:r w:rsidRPr="00840BDF">
              <w:rPr>
                <w:rFonts w:ascii="Arial Narrow" w:hAnsi="Arial Narrow"/>
                <w:b/>
                <w:sz w:val="20"/>
                <w:lang w:val="en-AU"/>
              </w:rPr>
              <w:t>Weighted AEMP</w:t>
            </w:r>
          </w:p>
        </w:tc>
        <w:tc>
          <w:tcPr>
            <w:tcW w:w="1397" w:type="pct"/>
          </w:tcPr>
          <w:p w:rsidR="003E575F" w:rsidRPr="00840BDF" w:rsidRDefault="003E575F" w:rsidP="003E575F">
            <w:pPr>
              <w:jc w:val="center"/>
              <w:rPr>
                <w:rFonts w:ascii="Arial Narrow" w:hAnsi="Arial Narrow"/>
                <w:sz w:val="20"/>
                <w:lang w:val="en-AU"/>
              </w:rPr>
            </w:pPr>
          </w:p>
        </w:tc>
        <w:tc>
          <w:tcPr>
            <w:tcW w:w="1105" w:type="pct"/>
          </w:tcPr>
          <w:p w:rsidR="003E575F" w:rsidRPr="00840BDF" w:rsidRDefault="003E575F" w:rsidP="003E575F">
            <w:pPr>
              <w:jc w:val="center"/>
              <w:rPr>
                <w:rFonts w:ascii="Arial Narrow" w:hAnsi="Arial Narrow"/>
                <w:sz w:val="20"/>
                <w:lang w:val="en-AU"/>
              </w:rPr>
            </w:pPr>
          </w:p>
        </w:tc>
        <w:tc>
          <w:tcPr>
            <w:tcW w:w="1174" w:type="pct"/>
          </w:tcPr>
          <w:p w:rsidR="003E575F" w:rsidRPr="00840BDF" w:rsidRDefault="003E575F" w:rsidP="003E575F">
            <w:pPr>
              <w:jc w:val="center"/>
              <w:rPr>
                <w:rFonts w:ascii="Arial Narrow" w:hAnsi="Arial Narrow"/>
                <w:sz w:val="20"/>
                <w:vertAlign w:val="superscript"/>
                <w:lang w:val="en-AU"/>
              </w:rPr>
            </w:pPr>
            <w:r w:rsidRPr="00840BDF">
              <w:rPr>
                <w:rFonts w:ascii="Arial Narrow" w:hAnsi="Arial Narrow"/>
                <w:sz w:val="20"/>
                <w:lang w:val="en-AU"/>
              </w:rPr>
              <w:t>$</w:t>
            </w:r>
            <w:r w:rsidR="003C0833">
              <w:rPr>
                <w:rFonts w:ascii="Arial Narrow" w:hAnsi="Arial Narrow"/>
                <w:noProof/>
                <w:color w:val="000000"/>
                <w:sz w:val="20"/>
                <w:highlight w:val="black"/>
                <w:lang w:val="en-AU"/>
              </w:rPr>
              <w:t>''''''''''''''''''''''</w:t>
            </w:r>
            <w:r w:rsidRPr="00840BDF">
              <w:rPr>
                <w:rFonts w:ascii="Arial Narrow" w:hAnsi="Arial Narrow"/>
                <w:sz w:val="20"/>
                <w:lang w:val="en-AU"/>
              </w:rPr>
              <w:t xml:space="preserve"> </w:t>
            </w:r>
            <w:r w:rsidRPr="00840BDF">
              <w:rPr>
                <w:rFonts w:ascii="Arial Narrow" w:hAnsi="Arial Narrow"/>
                <w:sz w:val="20"/>
                <w:vertAlign w:val="superscript"/>
                <w:lang w:val="en-AU"/>
              </w:rPr>
              <w:t>b</w:t>
            </w:r>
          </w:p>
        </w:tc>
      </w:tr>
    </w:tbl>
    <w:p w:rsidR="003E575F" w:rsidRPr="00840BDF" w:rsidRDefault="003E575F" w:rsidP="003E575F">
      <w:pPr>
        <w:pStyle w:val="3-BodyText"/>
        <w:numPr>
          <w:ilvl w:val="0"/>
          <w:numId w:val="0"/>
        </w:numPr>
        <w:spacing w:after="0"/>
        <w:jc w:val="left"/>
        <w:rPr>
          <w:rFonts w:ascii="Arial Narrow" w:hAnsi="Arial Narrow"/>
          <w:color w:val="000000" w:themeColor="text1"/>
          <w:sz w:val="20"/>
          <w:szCs w:val="20"/>
        </w:rPr>
      </w:pPr>
      <w:r w:rsidRPr="00840BDF">
        <w:rPr>
          <w:rFonts w:ascii="Arial Narrow" w:hAnsi="Arial Narrow"/>
          <w:color w:val="000000" w:themeColor="text1"/>
          <w:sz w:val="20"/>
          <w:szCs w:val="20"/>
        </w:rPr>
        <w:t>Source: Table 1 of the Pre-PBAC Response and Attachment 17 Revised Utilisation and Financial Estimates</w:t>
      </w:r>
    </w:p>
    <w:p w:rsidR="003E575F" w:rsidRPr="00840BDF" w:rsidRDefault="003E575F" w:rsidP="003E575F">
      <w:pPr>
        <w:pStyle w:val="3-BodyText"/>
        <w:numPr>
          <w:ilvl w:val="0"/>
          <w:numId w:val="0"/>
        </w:numPr>
        <w:spacing w:after="0"/>
        <w:jc w:val="left"/>
        <w:rPr>
          <w:rFonts w:ascii="Arial Narrow" w:hAnsi="Arial Narrow"/>
          <w:color w:val="000000" w:themeColor="text1"/>
          <w:sz w:val="20"/>
          <w:szCs w:val="20"/>
        </w:rPr>
      </w:pPr>
      <w:r w:rsidRPr="00840BDF">
        <w:rPr>
          <w:rFonts w:ascii="Arial Narrow" w:hAnsi="Arial Narrow"/>
          <w:color w:val="000000" w:themeColor="text1"/>
          <w:sz w:val="20"/>
          <w:szCs w:val="20"/>
          <w:vertAlign w:val="superscript"/>
        </w:rPr>
        <w:t>a</w:t>
      </w:r>
      <w:r w:rsidRPr="00840BDF">
        <w:rPr>
          <w:rFonts w:ascii="Arial Narrow" w:hAnsi="Arial Narrow"/>
          <w:color w:val="000000" w:themeColor="text1"/>
          <w:sz w:val="20"/>
          <w:szCs w:val="20"/>
        </w:rPr>
        <w:t xml:space="preserve"> The pre-PBAC response  stated this was the ‘High Unmet Need group (treated and untreated)’ group but, in the spreadsheet provided, </w:t>
      </w:r>
      <w:r w:rsidRPr="0059530D">
        <w:rPr>
          <w:rFonts w:ascii="Arial Narrow" w:hAnsi="Arial Narrow"/>
          <w:color w:val="000000" w:themeColor="text1"/>
          <w:sz w:val="20"/>
          <w:szCs w:val="20"/>
        </w:rPr>
        <w:t>the interferon beta price</w:t>
      </w:r>
      <w:r w:rsidRPr="00840BDF">
        <w:rPr>
          <w:rFonts w:ascii="Arial Narrow" w:hAnsi="Arial Narrow"/>
          <w:color w:val="000000" w:themeColor="text1"/>
          <w:sz w:val="20"/>
          <w:szCs w:val="20"/>
        </w:rPr>
        <w:t xml:space="preserve"> was only applied to patients not currently on a DMT with EDSS ≥ 6.</w:t>
      </w:r>
    </w:p>
    <w:p w:rsidR="003E575F" w:rsidRPr="00015BC4" w:rsidRDefault="003E575F" w:rsidP="003E575F">
      <w:pPr>
        <w:pStyle w:val="3-BodyText"/>
        <w:numPr>
          <w:ilvl w:val="0"/>
          <w:numId w:val="0"/>
        </w:numPr>
        <w:spacing w:after="240"/>
        <w:jc w:val="left"/>
        <w:rPr>
          <w:rFonts w:ascii="Arial Narrow" w:hAnsi="Arial Narrow"/>
          <w:color w:val="000000" w:themeColor="text1"/>
          <w:sz w:val="20"/>
          <w:szCs w:val="20"/>
        </w:rPr>
      </w:pPr>
      <w:r w:rsidRPr="00840BDF">
        <w:rPr>
          <w:rFonts w:ascii="Arial Narrow" w:hAnsi="Arial Narrow"/>
          <w:color w:val="000000" w:themeColor="text1"/>
          <w:sz w:val="20"/>
          <w:szCs w:val="20"/>
          <w:vertAlign w:val="superscript"/>
        </w:rPr>
        <w:t xml:space="preserve">b </w:t>
      </w:r>
      <w:r w:rsidRPr="00840BDF">
        <w:rPr>
          <w:rFonts w:ascii="Arial Narrow" w:hAnsi="Arial Narrow"/>
          <w:color w:val="000000" w:themeColor="text1"/>
          <w:sz w:val="20"/>
          <w:szCs w:val="20"/>
        </w:rPr>
        <w:t>Proposed AEMP for the 2 mg and 0.25 mg maintenance packs.</w:t>
      </w:r>
    </w:p>
    <w:p w:rsidR="003E575F" w:rsidRPr="00015BC4" w:rsidRDefault="003E575F" w:rsidP="003E575F">
      <w:pPr>
        <w:pStyle w:val="4-SubsectionHeading"/>
        <w:rPr>
          <w:lang w:val="en-AU"/>
        </w:rPr>
      </w:pPr>
      <w:bookmarkStart w:id="33" w:name="_Toc22897646"/>
      <w:bookmarkStart w:id="34" w:name="_Toc40855739"/>
      <w:r w:rsidRPr="00015BC4">
        <w:rPr>
          <w:lang w:val="en-AU"/>
        </w:rPr>
        <w:t>Drug cost/patient/year</w:t>
      </w:r>
      <w:bookmarkEnd w:id="33"/>
      <w:bookmarkEnd w:id="34"/>
    </w:p>
    <w:p w:rsidR="003E575F" w:rsidRPr="00015BC4" w:rsidRDefault="003E575F" w:rsidP="003E575F">
      <w:pPr>
        <w:pStyle w:val="TableFigureHeading"/>
        <w:rPr>
          <w:rStyle w:val="CommentReference"/>
          <w:b/>
          <w:szCs w:val="24"/>
        </w:rPr>
      </w:pPr>
      <w:r w:rsidRPr="00015BC4">
        <w:rPr>
          <w:rStyle w:val="CommentReference"/>
          <w:b/>
          <w:szCs w:val="24"/>
        </w:rPr>
        <w:t xml:space="preserve">Table </w:t>
      </w:r>
      <w:r w:rsidRPr="00015BC4">
        <w:rPr>
          <w:color w:val="000000" w:themeColor="text1"/>
        </w:rPr>
        <w:t xml:space="preserve">12: </w:t>
      </w:r>
      <w:r w:rsidRPr="00015BC4">
        <w:rPr>
          <w:rStyle w:val="CommentReference"/>
          <w:b/>
          <w:szCs w:val="24"/>
        </w:rPr>
        <w:t>Drug cost per patient for siponimod and fingolimod (pre-PBAC response)</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1"/>
        <w:gridCol w:w="1882"/>
        <w:gridCol w:w="1882"/>
        <w:gridCol w:w="1882"/>
        <w:gridCol w:w="1878"/>
      </w:tblGrid>
      <w:tr w:rsidR="003E575F" w:rsidRPr="00015BC4" w:rsidTr="003E575F">
        <w:trPr>
          <w:cantSplit/>
          <w:tblHeader/>
        </w:trPr>
        <w:tc>
          <w:tcPr>
            <w:tcW w:w="818" w:type="pct"/>
            <w:shd w:val="clear" w:color="auto" w:fill="auto"/>
            <w:vAlign w:val="center"/>
          </w:tcPr>
          <w:p w:rsidR="003E575F" w:rsidRPr="00015BC4" w:rsidRDefault="003E575F" w:rsidP="003E575F">
            <w:pPr>
              <w:pStyle w:val="In-tableHeading"/>
              <w:jc w:val="center"/>
              <w:rPr>
                <w:lang w:val="en-AU"/>
              </w:rPr>
            </w:pPr>
          </w:p>
        </w:tc>
        <w:tc>
          <w:tcPr>
            <w:tcW w:w="1046" w:type="pct"/>
            <w:shd w:val="clear" w:color="auto" w:fill="auto"/>
            <w:vAlign w:val="center"/>
          </w:tcPr>
          <w:p w:rsidR="003E575F" w:rsidRPr="00015BC4" w:rsidRDefault="003E575F" w:rsidP="003E575F">
            <w:pPr>
              <w:pStyle w:val="In-tableHeading"/>
              <w:jc w:val="center"/>
              <w:rPr>
                <w:lang w:val="en-AU"/>
              </w:rPr>
            </w:pPr>
            <w:r w:rsidRPr="00015BC4">
              <w:rPr>
                <w:lang w:val="en-AU"/>
              </w:rPr>
              <w:t>Siponimod</w:t>
            </w:r>
          </w:p>
          <w:p w:rsidR="003E575F" w:rsidRPr="00015BC4" w:rsidRDefault="003E575F" w:rsidP="003E575F">
            <w:pPr>
              <w:pStyle w:val="In-tableHeading"/>
              <w:jc w:val="center"/>
              <w:rPr>
                <w:lang w:val="en-AU"/>
              </w:rPr>
            </w:pPr>
            <w:r w:rsidRPr="00015BC4">
              <w:rPr>
                <w:lang w:val="en-AU"/>
              </w:rPr>
              <w:t xml:space="preserve">Trial dose </w:t>
            </w:r>
          </w:p>
        </w:tc>
        <w:tc>
          <w:tcPr>
            <w:tcW w:w="1046" w:type="pct"/>
            <w:shd w:val="clear" w:color="auto" w:fill="auto"/>
            <w:vAlign w:val="center"/>
          </w:tcPr>
          <w:p w:rsidR="003E575F" w:rsidRPr="00015BC4" w:rsidRDefault="003E575F" w:rsidP="003E575F">
            <w:pPr>
              <w:pStyle w:val="In-tableHeading"/>
              <w:jc w:val="center"/>
              <w:rPr>
                <w:lang w:val="en-AU"/>
              </w:rPr>
            </w:pPr>
            <w:r w:rsidRPr="00015BC4">
              <w:rPr>
                <w:lang w:val="en-AU"/>
              </w:rPr>
              <w:t>Siponimod</w:t>
            </w:r>
          </w:p>
          <w:p w:rsidR="003E575F" w:rsidRPr="00015BC4" w:rsidRDefault="003E575F" w:rsidP="003E575F">
            <w:pPr>
              <w:pStyle w:val="In-tableHeading"/>
              <w:jc w:val="center"/>
              <w:rPr>
                <w:lang w:val="en-AU"/>
              </w:rPr>
            </w:pPr>
            <w:r w:rsidRPr="00015BC4">
              <w:rPr>
                <w:lang w:val="en-AU"/>
              </w:rPr>
              <w:t>Financial estimates</w:t>
            </w:r>
          </w:p>
        </w:tc>
        <w:tc>
          <w:tcPr>
            <w:tcW w:w="1046" w:type="pct"/>
            <w:shd w:val="clear" w:color="auto" w:fill="auto"/>
            <w:vAlign w:val="center"/>
          </w:tcPr>
          <w:p w:rsidR="003E575F" w:rsidRPr="00015BC4" w:rsidRDefault="003E575F" w:rsidP="003E575F">
            <w:pPr>
              <w:pStyle w:val="In-tableHeading"/>
              <w:jc w:val="center"/>
              <w:rPr>
                <w:lang w:val="en-AU"/>
              </w:rPr>
            </w:pPr>
            <w:r w:rsidRPr="00015BC4">
              <w:rPr>
                <w:lang w:val="en-AU"/>
              </w:rPr>
              <w:t>Fingolimod</w:t>
            </w:r>
          </w:p>
          <w:p w:rsidR="003E575F" w:rsidRPr="00015BC4" w:rsidRDefault="003E575F" w:rsidP="003E575F">
            <w:pPr>
              <w:pStyle w:val="In-tableHeading"/>
              <w:jc w:val="center"/>
              <w:rPr>
                <w:lang w:val="en-AU"/>
              </w:rPr>
            </w:pPr>
            <w:r w:rsidRPr="00015BC4">
              <w:rPr>
                <w:lang w:val="en-AU"/>
              </w:rPr>
              <w:t xml:space="preserve">Trial dose </w:t>
            </w:r>
          </w:p>
        </w:tc>
        <w:tc>
          <w:tcPr>
            <w:tcW w:w="1046" w:type="pct"/>
          </w:tcPr>
          <w:p w:rsidR="003E575F" w:rsidRPr="00015BC4" w:rsidRDefault="003E575F" w:rsidP="003E575F">
            <w:pPr>
              <w:pStyle w:val="In-tableHeading"/>
              <w:jc w:val="center"/>
              <w:rPr>
                <w:lang w:val="en-AU"/>
              </w:rPr>
            </w:pPr>
            <w:r w:rsidRPr="00015BC4">
              <w:rPr>
                <w:lang w:val="en-AU"/>
              </w:rPr>
              <w:t>Fingolimod</w:t>
            </w:r>
          </w:p>
          <w:p w:rsidR="003E575F" w:rsidRPr="00015BC4" w:rsidRDefault="003E575F" w:rsidP="003E575F">
            <w:pPr>
              <w:pStyle w:val="In-tableHeading"/>
              <w:jc w:val="center"/>
              <w:rPr>
                <w:lang w:val="en-AU"/>
              </w:rPr>
            </w:pPr>
            <w:r w:rsidRPr="00015BC4">
              <w:rPr>
                <w:lang w:val="en-AU"/>
              </w:rPr>
              <w:t>Financial estimates</w:t>
            </w:r>
          </w:p>
        </w:tc>
      </w:tr>
      <w:tr w:rsidR="003E575F" w:rsidRPr="00015BC4" w:rsidTr="003E575F">
        <w:trPr>
          <w:cantSplit/>
        </w:trPr>
        <w:tc>
          <w:tcPr>
            <w:tcW w:w="818" w:type="pct"/>
            <w:shd w:val="clear" w:color="auto" w:fill="auto"/>
            <w:vAlign w:val="center"/>
          </w:tcPr>
          <w:p w:rsidR="003E575F" w:rsidRPr="00015BC4" w:rsidRDefault="003E575F" w:rsidP="003E575F">
            <w:pPr>
              <w:pStyle w:val="TableText0"/>
            </w:pPr>
            <w:r w:rsidRPr="00015BC4">
              <w:t>Mean dose</w:t>
            </w:r>
          </w:p>
        </w:tc>
        <w:tc>
          <w:tcPr>
            <w:tcW w:w="1046" w:type="pct"/>
            <w:shd w:val="clear" w:color="auto" w:fill="auto"/>
            <w:vAlign w:val="center"/>
          </w:tcPr>
          <w:p w:rsidR="003E575F" w:rsidRPr="00015BC4" w:rsidRDefault="003E575F" w:rsidP="003E575F">
            <w:pPr>
              <w:pStyle w:val="TableText0"/>
              <w:jc w:val="center"/>
            </w:pPr>
            <w:r w:rsidRPr="00015BC4">
              <w:t>2 mg</w:t>
            </w:r>
          </w:p>
        </w:tc>
        <w:tc>
          <w:tcPr>
            <w:tcW w:w="1046" w:type="pct"/>
            <w:shd w:val="clear" w:color="auto" w:fill="auto"/>
            <w:vAlign w:val="center"/>
          </w:tcPr>
          <w:p w:rsidR="003E575F" w:rsidRPr="00015BC4" w:rsidRDefault="003E575F" w:rsidP="003E575F">
            <w:pPr>
              <w:pStyle w:val="TableText0"/>
              <w:jc w:val="center"/>
            </w:pPr>
            <w:r w:rsidRPr="00015BC4">
              <w:t>2 mg</w:t>
            </w:r>
          </w:p>
        </w:tc>
        <w:tc>
          <w:tcPr>
            <w:tcW w:w="1046" w:type="pct"/>
            <w:shd w:val="clear" w:color="auto" w:fill="auto"/>
            <w:vAlign w:val="center"/>
          </w:tcPr>
          <w:p w:rsidR="003E575F" w:rsidRPr="00015BC4" w:rsidRDefault="003E575F" w:rsidP="003E575F">
            <w:pPr>
              <w:pStyle w:val="TableText0"/>
              <w:jc w:val="center"/>
            </w:pPr>
            <w:r w:rsidRPr="00015BC4">
              <w:t>0.5 mg</w:t>
            </w:r>
          </w:p>
        </w:tc>
        <w:tc>
          <w:tcPr>
            <w:tcW w:w="1046" w:type="pct"/>
          </w:tcPr>
          <w:p w:rsidR="003E575F" w:rsidRPr="00015BC4" w:rsidRDefault="003E575F" w:rsidP="003E575F">
            <w:pPr>
              <w:pStyle w:val="TableText0"/>
              <w:jc w:val="center"/>
            </w:pPr>
            <w:r w:rsidRPr="00015BC4">
              <w:t>0.5 mg</w:t>
            </w:r>
          </w:p>
        </w:tc>
      </w:tr>
      <w:tr w:rsidR="003E575F" w:rsidRPr="00015BC4" w:rsidTr="003E575F">
        <w:trPr>
          <w:cantSplit/>
        </w:trPr>
        <w:tc>
          <w:tcPr>
            <w:tcW w:w="818" w:type="pct"/>
            <w:shd w:val="clear" w:color="auto" w:fill="auto"/>
            <w:vAlign w:val="center"/>
          </w:tcPr>
          <w:p w:rsidR="003E575F" w:rsidRPr="00015BC4" w:rsidRDefault="003E575F" w:rsidP="003E575F">
            <w:pPr>
              <w:pStyle w:val="TableText0"/>
            </w:pPr>
            <w:r w:rsidRPr="00015BC4">
              <w:t xml:space="preserve">Cost/patient/year </w:t>
            </w:r>
          </w:p>
        </w:tc>
        <w:tc>
          <w:tcPr>
            <w:tcW w:w="1046" w:type="pct"/>
            <w:shd w:val="clear" w:color="auto" w:fill="auto"/>
            <w:vAlign w:val="center"/>
          </w:tcPr>
          <w:p w:rsidR="003E575F" w:rsidRPr="00015BC4" w:rsidRDefault="003E575F" w:rsidP="003E575F">
            <w:pPr>
              <w:pStyle w:val="TableText0"/>
              <w:jc w:val="center"/>
              <w:rPr>
                <w:vertAlign w:val="superscript"/>
              </w:rPr>
            </w:pPr>
            <w:r w:rsidRPr="00015BC4">
              <w:t>$</w:t>
            </w:r>
            <w:r w:rsidR="003C0833">
              <w:rPr>
                <w:noProof/>
                <w:color w:val="000000"/>
                <w:highlight w:val="black"/>
              </w:rPr>
              <w:t>'''''''''''''''''''''''</w:t>
            </w:r>
          </w:p>
        </w:tc>
        <w:tc>
          <w:tcPr>
            <w:tcW w:w="1046" w:type="pct"/>
            <w:shd w:val="clear" w:color="auto" w:fill="auto"/>
            <w:vAlign w:val="center"/>
          </w:tcPr>
          <w:p w:rsidR="003E575F" w:rsidRPr="00015BC4" w:rsidRDefault="003E575F" w:rsidP="003E575F">
            <w:pPr>
              <w:pStyle w:val="TableText0"/>
              <w:jc w:val="center"/>
              <w:rPr>
                <w:vertAlign w:val="superscript"/>
              </w:rPr>
            </w:pPr>
            <w:r w:rsidRPr="00015BC4">
              <w:t>$</w:t>
            </w:r>
            <w:r w:rsidR="003C0833">
              <w:rPr>
                <w:noProof/>
                <w:color w:val="000000"/>
                <w:highlight w:val="black"/>
              </w:rPr>
              <w:t>'''''''''''''''''''''</w:t>
            </w:r>
          </w:p>
        </w:tc>
        <w:tc>
          <w:tcPr>
            <w:tcW w:w="1046" w:type="pct"/>
            <w:shd w:val="clear" w:color="auto" w:fill="auto"/>
            <w:vAlign w:val="center"/>
          </w:tcPr>
          <w:p w:rsidR="003E575F" w:rsidRPr="00015BC4" w:rsidRDefault="003E575F" w:rsidP="003E575F">
            <w:pPr>
              <w:pStyle w:val="TableText0"/>
              <w:jc w:val="center"/>
              <w:rPr>
                <w:vertAlign w:val="superscript"/>
              </w:rPr>
            </w:pPr>
            <w:r w:rsidRPr="00015BC4">
              <w:t>$</w:t>
            </w:r>
            <w:r w:rsidR="003C0833">
              <w:rPr>
                <w:noProof/>
                <w:color w:val="000000"/>
                <w:highlight w:val="black"/>
              </w:rPr>
              <w:t>'''''''''''''''''''''''</w:t>
            </w:r>
            <w:r w:rsidRPr="00015BC4">
              <w:t xml:space="preserve"> </w:t>
            </w:r>
            <w:r w:rsidRPr="00015BC4">
              <w:rPr>
                <w:vertAlign w:val="superscript"/>
              </w:rPr>
              <w:t>a</w:t>
            </w:r>
          </w:p>
        </w:tc>
        <w:tc>
          <w:tcPr>
            <w:tcW w:w="1046" w:type="pct"/>
          </w:tcPr>
          <w:p w:rsidR="003E575F" w:rsidRPr="00015BC4" w:rsidRDefault="003E575F" w:rsidP="003E575F">
            <w:pPr>
              <w:pStyle w:val="TableText0"/>
              <w:jc w:val="center"/>
            </w:pPr>
            <w:r w:rsidRPr="00015BC4">
              <w:t>$</w:t>
            </w:r>
            <w:r w:rsidR="003C0833">
              <w:rPr>
                <w:noProof/>
                <w:color w:val="000000"/>
                <w:highlight w:val="black"/>
              </w:rPr>
              <w:t>'''''''''''''''''''''''</w:t>
            </w:r>
            <w:r w:rsidRPr="00015BC4">
              <w:t xml:space="preserve"> </w:t>
            </w:r>
            <w:r w:rsidRPr="00015BC4">
              <w:rPr>
                <w:vertAlign w:val="superscript"/>
              </w:rPr>
              <w:t>a</w:t>
            </w:r>
          </w:p>
        </w:tc>
      </w:tr>
    </w:tbl>
    <w:p w:rsidR="003E575F" w:rsidRPr="00015BC4" w:rsidRDefault="003E575F" w:rsidP="003E575F">
      <w:pPr>
        <w:pStyle w:val="TableFigureFooter"/>
        <w:rPr>
          <w:lang w:val="en-AU"/>
        </w:rPr>
      </w:pPr>
      <w:r w:rsidRPr="00015BC4">
        <w:rPr>
          <w:lang w:val="en-AU"/>
        </w:rPr>
        <w:t>Source: Tables 3.2 and 3.3, pp172-173 of the resubmission, and the revised financial estimates spreadsheet provided in the pre-PBAC response.</w:t>
      </w:r>
    </w:p>
    <w:p w:rsidR="003E575F" w:rsidRPr="00015BC4" w:rsidRDefault="003E575F" w:rsidP="003E575F">
      <w:pPr>
        <w:pStyle w:val="TableFigureFooter"/>
        <w:rPr>
          <w:lang w:val="en-AU"/>
        </w:rPr>
      </w:pPr>
      <w:r w:rsidRPr="00015BC4">
        <w:rPr>
          <w:vertAlign w:val="superscript"/>
          <w:lang w:val="en-AU"/>
        </w:rPr>
        <w:t>a</w:t>
      </w:r>
      <w:r w:rsidRPr="00015BC4">
        <w:rPr>
          <w:lang w:val="en-AU"/>
        </w:rPr>
        <w:t xml:space="preserve"> Including the rebate of approximately </w:t>
      </w:r>
      <w:r w:rsidR="003C0833">
        <w:rPr>
          <w:noProof/>
          <w:color w:val="000000"/>
          <w:highlight w:val="black"/>
          <w:lang w:val="en-AU"/>
        </w:rPr>
        <w:t>'''</w:t>
      </w:r>
      <w:r w:rsidRPr="00015BC4">
        <w:rPr>
          <w:lang w:val="en-AU"/>
        </w:rPr>
        <w:t>% to account for the RSA rebate, as proposed in the resubmission. Using the effective price of fingolimod would result in a cost/patient/year of $</w:t>
      </w:r>
      <w:r w:rsidR="003C0833">
        <w:rPr>
          <w:noProof/>
          <w:color w:val="000000"/>
          <w:highlight w:val="black"/>
          <w:lang w:val="en-AU"/>
        </w:rPr>
        <w:t>'''''''''''''''</w:t>
      </w:r>
    </w:p>
    <w:p w:rsidR="003E575F" w:rsidRPr="00015BC4" w:rsidRDefault="003E575F" w:rsidP="003E575F">
      <w:pPr>
        <w:pStyle w:val="ListParagraph"/>
        <w:numPr>
          <w:ilvl w:val="1"/>
          <w:numId w:val="1"/>
        </w:numPr>
        <w:rPr>
          <w:rFonts w:cstheme="minorHAnsi"/>
        </w:rPr>
      </w:pPr>
      <w:r w:rsidRPr="00015BC4">
        <w:t>The cost of siponimod per year is $</w:t>
      </w:r>
      <w:r w:rsidR="003C0833">
        <w:rPr>
          <w:noProof/>
          <w:color w:val="000000"/>
          <w:highlight w:val="black"/>
        </w:rPr>
        <w:t>''''''''''''''''''''</w:t>
      </w:r>
      <w:r w:rsidRPr="00015BC4">
        <w:t>, representing 13.04 packs per year with a requested effective DPMQ of $</w:t>
      </w:r>
      <w:r w:rsidR="003C0833">
        <w:rPr>
          <w:noProof/>
          <w:color w:val="000000"/>
          <w:highlight w:val="black"/>
        </w:rPr>
        <w:t>''''''''''''''''</w:t>
      </w:r>
      <w:r w:rsidRPr="00015BC4">
        <w:t xml:space="preserve"> proposed in the Pre-PBAC Response. Treatment is ongoing until a patient no longer satisfies the criteria in the PBS restrictions for continuing treatment. The cost per patient per year was reduced from $</w:t>
      </w:r>
      <w:r w:rsidR="003C0833">
        <w:rPr>
          <w:noProof/>
          <w:color w:val="000000"/>
          <w:highlight w:val="black"/>
        </w:rPr>
        <w:t>''''''''''''''''''''</w:t>
      </w:r>
      <w:r w:rsidRPr="00015BC4">
        <w:t xml:space="preserve"> in the previous submission and $</w:t>
      </w:r>
      <w:r w:rsidR="003C0833">
        <w:rPr>
          <w:noProof/>
          <w:color w:val="000000"/>
          <w:highlight w:val="black"/>
        </w:rPr>
        <w:t>''''''''''''''''''''</w:t>
      </w:r>
      <w:r w:rsidRPr="00015BC4">
        <w:t xml:space="preserve"> in the resubmission base case.</w:t>
      </w:r>
    </w:p>
    <w:p w:rsidR="003E575F" w:rsidRPr="00015BC4" w:rsidRDefault="003E575F" w:rsidP="003E575F">
      <w:pPr>
        <w:pStyle w:val="4-SubsectionHeading"/>
        <w:rPr>
          <w:lang w:val="en-AU"/>
        </w:rPr>
      </w:pPr>
      <w:bookmarkStart w:id="35" w:name="_Toc22897647"/>
      <w:bookmarkStart w:id="36" w:name="_Toc40855740"/>
      <w:r w:rsidRPr="00015BC4">
        <w:rPr>
          <w:lang w:val="en-AU"/>
        </w:rPr>
        <w:t>Estimated PBS usage &amp; financial implications</w:t>
      </w:r>
      <w:bookmarkEnd w:id="35"/>
      <w:bookmarkEnd w:id="36"/>
    </w:p>
    <w:p w:rsidR="003E575F" w:rsidRPr="00015BC4" w:rsidRDefault="003E575F" w:rsidP="003E575F">
      <w:pPr>
        <w:pStyle w:val="3-BodyText"/>
        <w:rPr>
          <w:color w:val="000000" w:themeColor="text1"/>
        </w:rPr>
      </w:pPr>
      <w:r w:rsidRPr="00015BC4">
        <w:t>This resubmission was not considered by DUSC</w:t>
      </w:r>
      <w:r w:rsidRPr="00015BC4">
        <w:rPr>
          <w:color w:val="0070C0"/>
        </w:rPr>
        <w:t xml:space="preserve">. </w:t>
      </w:r>
      <w:r w:rsidRPr="00015BC4">
        <w:rPr>
          <w:color w:val="000000" w:themeColor="text1"/>
        </w:rPr>
        <w:t xml:space="preserve">The resubmission took an epidemiological approach to estimate the financial impact of patients receiving siponimod who would not otherwise have been treated with a PBS-listed DMT and a market share approach to estimate the financial impact in patients who would be treated with an RRMS DMT. Overall, given the challenges in diagnosing SPMS, the financial estimates were highly uncertain. </w:t>
      </w:r>
    </w:p>
    <w:p w:rsidR="003E575F" w:rsidRPr="00015BC4" w:rsidRDefault="003E575F" w:rsidP="003E575F">
      <w:pPr>
        <w:pStyle w:val="3-BodyText"/>
        <w:rPr>
          <w:color w:val="000000" w:themeColor="text1"/>
        </w:rPr>
      </w:pPr>
      <w:r w:rsidRPr="00015BC4">
        <w:t>The Pre</w:t>
      </w:r>
      <w:r w:rsidRPr="00015BC4">
        <w:rPr>
          <w:color w:val="000000" w:themeColor="text1"/>
        </w:rPr>
        <w:t xml:space="preserve">-PBAC Response included revised utilisation and financial estimates in response to the ESC Advice and due to the revised weighted cost minimisation analysis approach proposed. </w:t>
      </w:r>
      <w:r w:rsidRPr="00015BC4">
        <w:t xml:space="preserve">Table 13 presents key inputs for the financial estimates, updated with changes proposed in the Pre-PBAC Response. </w:t>
      </w:r>
    </w:p>
    <w:p w:rsidR="003E575F" w:rsidRPr="00015BC4" w:rsidRDefault="003E575F" w:rsidP="003E575F">
      <w:pPr>
        <w:pStyle w:val="TableFigureHeading"/>
        <w:rPr>
          <w:rStyle w:val="CommentReference"/>
          <w:b/>
          <w:szCs w:val="24"/>
        </w:rPr>
      </w:pPr>
      <w:bookmarkStart w:id="37" w:name="_Ref38101734"/>
      <w:r w:rsidRPr="00015BC4">
        <w:rPr>
          <w:rStyle w:val="CommentReference"/>
          <w:b/>
          <w:szCs w:val="24"/>
        </w:rPr>
        <w:lastRenderedPageBreak/>
        <w:t xml:space="preserve">Table </w:t>
      </w:r>
      <w:r w:rsidRPr="00015BC4">
        <w:rPr>
          <w:color w:val="000000" w:themeColor="text1"/>
        </w:rPr>
        <w:t>13</w:t>
      </w:r>
      <w:bookmarkEnd w:id="37"/>
      <w:r w:rsidRPr="00015BC4">
        <w:rPr>
          <w:color w:val="000000" w:themeColor="text1"/>
        </w:rPr>
        <w:t xml:space="preserve">: </w:t>
      </w:r>
      <w:r w:rsidRPr="00015BC4">
        <w:rPr>
          <w:rStyle w:val="CommentReference"/>
          <w:b/>
          <w:szCs w:val="24"/>
        </w:rPr>
        <w:t>Key inputs for financial estimates including Pre-PBAC Response updates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820"/>
        <w:gridCol w:w="3068"/>
      </w:tblGrid>
      <w:tr w:rsidR="003E575F" w:rsidRPr="00015BC4" w:rsidTr="003E575F">
        <w:trPr>
          <w:tblHeader/>
        </w:trPr>
        <w:tc>
          <w:tcPr>
            <w:tcW w:w="626" w:type="pct"/>
            <w:shd w:val="clear" w:color="auto" w:fill="auto"/>
          </w:tcPr>
          <w:p w:rsidR="003E575F" w:rsidRPr="00015BC4" w:rsidRDefault="003E575F" w:rsidP="003E575F">
            <w:pPr>
              <w:pStyle w:val="In-tableHeading"/>
              <w:keepNext w:val="0"/>
              <w:rPr>
                <w:lang w:val="en-AU"/>
              </w:rPr>
            </w:pPr>
            <w:r w:rsidRPr="00015BC4">
              <w:rPr>
                <w:lang w:val="en-AU"/>
              </w:rPr>
              <w:t>Parameter</w:t>
            </w:r>
          </w:p>
        </w:tc>
        <w:tc>
          <w:tcPr>
            <w:tcW w:w="2673" w:type="pct"/>
            <w:shd w:val="clear" w:color="auto" w:fill="auto"/>
          </w:tcPr>
          <w:p w:rsidR="003E575F" w:rsidRPr="00015BC4" w:rsidRDefault="003E575F" w:rsidP="003E575F">
            <w:pPr>
              <w:pStyle w:val="In-tableHeading"/>
              <w:keepNext w:val="0"/>
              <w:rPr>
                <w:lang w:val="en-AU"/>
              </w:rPr>
            </w:pPr>
            <w:r w:rsidRPr="00015BC4">
              <w:rPr>
                <w:lang w:val="en-AU"/>
              </w:rPr>
              <w:t>Value applied and source</w:t>
            </w:r>
          </w:p>
        </w:tc>
        <w:tc>
          <w:tcPr>
            <w:tcW w:w="1701" w:type="pct"/>
            <w:shd w:val="clear" w:color="auto" w:fill="auto"/>
          </w:tcPr>
          <w:p w:rsidR="003E575F" w:rsidRPr="00015BC4" w:rsidRDefault="003E575F" w:rsidP="003E575F">
            <w:pPr>
              <w:pStyle w:val="In-tableHeading"/>
              <w:keepNext w:val="0"/>
              <w:rPr>
                <w:lang w:val="en-AU"/>
              </w:rPr>
            </w:pPr>
            <w:r w:rsidRPr="00015BC4">
              <w:rPr>
                <w:lang w:val="en-AU"/>
              </w:rPr>
              <w:t>Comment</w:t>
            </w:r>
          </w:p>
        </w:tc>
      </w:tr>
      <w:tr w:rsidR="003E575F" w:rsidRPr="00015BC4" w:rsidTr="003E575F">
        <w:tc>
          <w:tcPr>
            <w:tcW w:w="626" w:type="pct"/>
            <w:shd w:val="clear" w:color="auto" w:fill="auto"/>
          </w:tcPr>
          <w:p w:rsidR="003E575F" w:rsidRPr="00015BC4" w:rsidRDefault="003E575F" w:rsidP="003E575F">
            <w:pPr>
              <w:pStyle w:val="TableText0"/>
              <w:keepNext w:val="0"/>
            </w:pPr>
            <w:r w:rsidRPr="00015BC4">
              <w:t>% patients in (EDSS 6.0/6.5)</w:t>
            </w:r>
          </w:p>
        </w:tc>
        <w:tc>
          <w:tcPr>
            <w:tcW w:w="2673" w:type="pct"/>
            <w:shd w:val="clear" w:color="auto" w:fill="auto"/>
          </w:tcPr>
          <w:p w:rsidR="003E575F" w:rsidRPr="00015BC4" w:rsidRDefault="003E575F" w:rsidP="003E575F">
            <w:pPr>
              <w:pStyle w:val="TableText0"/>
              <w:keepNext w:val="0"/>
            </w:pPr>
            <w:r w:rsidRPr="00015BC4">
              <w:t xml:space="preserve">The EDSS distribution for the whole MS population, and the proportion of patients EDSS 6.0 and above was sourced from the Global MSBase registry. The proportion of patients EDSS 6.0 and above was </w:t>
            </w:r>
            <w:r w:rsidRPr="00015BC4">
              <w:rPr>
                <w:b/>
                <w:u w:val="single"/>
              </w:rPr>
              <w:t>19.61%</w:t>
            </w:r>
            <w:r w:rsidRPr="00015BC4">
              <w:t xml:space="preserve"> (excluding EDSS 10).</w:t>
            </w:r>
          </w:p>
          <w:p w:rsidR="003E575F" w:rsidRPr="00015BC4" w:rsidRDefault="003E575F" w:rsidP="003E575F">
            <w:pPr>
              <w:pStyle w:val="TableText0"/>
              <w:keepNext w:val="0"/>
            </w:pPr>
          </w:p>
          <w:p w:rsidR="003E575F" w:rsidRPr="00015BC4" w:rsidRDefault="003E575F" w:rsidP="003E575F">
            <w:pPr>
              <w:pStyle w:val="TableText0"/>
              <w:keepNext w:val="0"/>
            </w:pPr>
            <w:r w:rsidRPr="00015BC4">
              <w:t>Pre-PBAC Response:</w:t>
            </w:r>
          </w:p>
          <w:p w:rsidR="003E575F" w:rsidRPr="00015BC4" w:rsidRDefault="003E575F" w:rsidP="003E575F">
            <w:pPr>
              <w:pStyle w:val="TableText0"/>
              <w:keepNext w:val="0"/>
            </w:pPr>
            <w:r w:rsidRPr="00015BC4">
              <w:t>Updated to 18.35% to include only patients between EDSS 6.0-8.0.</w:t>
            </w:r>
          </w:p>
        </w:tc>
        <w:tc>
          <w:tcPr>
            <w:tcW w:w="1701" w:type="pct"/>
            <w:shd w:val="clear" w:color="auto" w:fill="auto"/>
          </w:tcPr>
          <w:p w:rsidR="003E575F" w:rsidRPr="00015BC4" w:rsidRDefault="003E575F" w:rsidP="003E575F">
            <w:pPr>
              <w:pStyle w:val="TableText0"/>
              <w:keepNext w:val="0"/>
            </w:pPr>
            <w:r w:rsidRPr="00015BC4">
              <w:t>Given the difficulty in diagnosing SPMS, the SPMS population who are not currently receiving treatment remains uncertain. The estimate of 19.61% was based on patients with an EDSS of 6.0 and above. However, patients with EDSS 6.0 and 6.5 (consistent with listing and evidence) would be 11.9%. The ESC agreed with the commentary and considered using the proportion of patients only in EDSS 6.0-6.5 was appropriate.</w:t>
            </w:r>
          </w:p>
        </w:tc>
      </w:tr>
      <w:tr w:rsidR="003E575F" w:rsidRPr="00015BC4" w:rsidTr="003E575F">
        <w:tc>
          <w:tcPr>
            <w:tcW w:w="626" w:type="pct"/>
            <w:shd w:val="clear" w:color="auto" w:fill="auto"/>
          </w:tcPr>
          <w:p w:rsidR="003E575F" w:rsidRPr="00015BC4" w:rsidRDefault="003E575F" w:rsidP="003E575F">
            <w:pPr>
              <w:pStyle w:val="TableText0"/>
              <w:keepNext w:val="0"/>
            </w:pPr>
            <w:r w:rsidRPr="00015BC4">
              <w:t>% patients with EDSS 6.0/6.5 treated with a DMT</w:t>
            </w:r>
          </w:p>
        </w:tc>
        <w:tc>
          <w:tcPr>
            <w:tcW w:w="2673" w:type="pct"/>
            <w:shd w:val="clear" w:color="auto" w:fill="auto"/>
          </w:tcPr>
          <w:p w:rsidR="003E575F" w:rsidRPr="00840BDF" w:rsidRDefault="003C0833" w:rsidP="003E575F">
            <w:pPr>
              <w:pStyle w:val="TableText0"/>
              <w:keepNext w:val="0"/>
            </w:pPr>
            <w:r>
              <w:rPr>
                <w:b/>
                <w:noProof/>
                <w:color w:val="000000"/>
                <w:highlight w:val="black"/>
                <w:u w:val="single"/>
              </w:rPr>
              <w:t>'''''</w:t>
            </w:r>
            <w:r w:rsidR="003E575F" w:rsidRPr="00840BDF">
              <w:rPr>
                <w:b/>
                <w:u w:val="single"/>
              </w:rPr>
              <w:t>%</w:t>
            </w:r>
            <w:r w:rsidR="003E575F" w:rsidRPr="00840BDF">
              <w:t xml:space="preserve"> based on the </w:t>
            </w:r>
            <w:r>
              <w:rPr>
                <w:noProof/>
                <w:color w:val="000000"/>
                <w:highlight w:val="black"/>
              </w:rPr>
              <w:t>''''''''''</w:t>
            </w:r>
            <w:r w:rsidR="003E575F" w:rsidRPr="00840BDF">
              <w:t>% from MSBase patient cohort (Australian set).</w:t>
            </w:r>
          </w:p>
          <w:p w:rsidR="003E575F" w:rsidRPr="00840BDF" w:rsidRDefault="003E575F" w:rsidP="003E575F">
            <w:pPr>
              <w:pStyle w:val="TableText0"/>
              <w:keepNext w:val="0"/>
            </w:pPr>
          </w:p>
          <w:p w:rsidR="003E575F" w:rsidRPr="00840BDF" w:rsidRDefault="003E575F" w:rsidP="003E575F">
            <w:pPr>
              <w:pStyle w:val="TableText0"/>
              <w:keepNext w:val="0"/>
            </w:pPr>
            <w:r w:rsidRPr="00840BDF">
              <w:t xml:space="preserve">Pre-PBAC Response: Uses the </w:t>
            </w:r>
            <w:r w:rsidR="003C0833">
              <w:rPr>
                <w:noProof/>
                <w:color w:val="000000"/>
                <w:highlight w:val="black"/>
              </w:rPr>
              <w:t>'''''''''</w:t>
            </w:r>
            <w:r w:rsidRPr="00840BDF">
              <w:t>% value from MS Base Australian registry data.</w:t>
            </w:r>
          </w:p>
        </w:tc>
        <w:tc>
          <w:tcPr>
            <w:tcW w:w="1701" w:type="pct"/>
            <w:shd w:val="clear" w:color="auto" w:fill="auto"/>
          </w:tcPr>
          <w:p w:rsidR="003E575F" w:rsidRPr="00840BDF" w:rsidRDefault="003E575F" w:rsidP="003E575F">
            <w:pPr>
              <w:pStyle w:val="TableText0"/>
              <w:keepNext w:val="0"/>
            </w:pPr>
          </w:p>
        </w:tc>
      </w:tr>
      <w:tr w:rsidR="003E575F" w:rsidRPr="00015BC4" w:rsidTr="003E575F">
        <w:tc>
          <w:tcPr>
            <w:tcW w:w="626" w:type="pct"/>
            <w:shd w:val="clear" w:color="auto" w:fill="auto"/>
          </w:tcPr>
          <w:p w:rsidR="003E575F" w:rsidRPr="00015BC4" w:rsidRDefault="003E575F" w:rsidP="003E575F">
            <w:pPr>
              <w:pStyle w:val="TableText0"/>
              <w:keepNext w:val="0"/>
            </w:pPr>
            <w:r w:rsidRPr="00015BC4">
              <w:t>Uptake Epi approach</w:t>
            </w:r>
          </w:p>
        </w:tc>
        <w:tc>
          <w:tcPr>
            <w:tcW w:w="2673" w:type="pct"/>
            <w:shd w:val="clear" w:color="auto" w:fill="auto"/>
          </w:tcPr>
          <w:p w:rsidR="003E575F" w:rsidRPr="00840BDF" w:rsidRDefault="003E575F" w:rsidP="003E575F">
            <w:pPr>
              <w:pStyle w:val="TableText0"/>
              <w:keepNext w:val="0"/>
              <w:rPr>
                <w:rStyle w:val="CommentReference"/>
              </w:rPr>
            </w:pPr>
            <w:r w:rsidRPr="00840BDF">
              <w:rPr>
                <w:rStyle w:val="CommentReference"/>
              </w:rPr>
              <w:t>Uptake</w:t>
            </w:r>
          </w:p>
          <w:tbl>
            <w:tblPr>
              <w:tblStyle w:val="TableGrid"/>
              <w:tblW w:w="0" w:type="auto"/>
              <w:tblLayout w:type="fixed"/>
              <w:tblCellMar>
                <w:left w:w="29" w:type="dxa"/>
                <w:right w:w="29" w:type="dxa"/>
              </w:tblCellMar>
              <w:tblLook w:val="04A0" w:firstRow="1" w:lastRow="0" w:firstColumn="1" w:lastColumn="0" w:noHBand="0" w:noVBand="1"/>
            </w:tblPr>
            <w:tblGrid>
              <w:gridCol w:w="1089"/>
              <w:gridCol w:w="539"/>
              <w:gridCol w:w="569"/>
              <w:gridCol w:w="539"/>
              <w:gridCol w:w="539"/>
              <w:gridCol w:w="669"/>
              <w:gridCol w:w="508"/>
            </w:tblGrid>
            <w:tr w:rsidR="003E575F" w:rsidRPr="00840BDF" w:rsidTr="003E575F">
              <w:tc>
                <w:tcPr>
                  <w:tcW w:w="1089" w:type="dxa"/>
                </w:tcPr>
                <w:p w:rsidR="003E575F" w:rsidRPr="00840BDF" w:rsidRDefault="003E575F" w:rsidP="003E575F">
                  <w:pPr>
                    <w:pStyle w:val="TableText0"/>
                    <w:keepNext w:val="0"/>
                    <w:rPr>
                      <w:b/>
                    </w:rPr>
                  </w:pPr>
                  <w:r w:rsidRPr="00840BDF">
                    <w:rPr>
                      <w:b/>
                    </w:rPr>
                    <w:t>Year</w:t>
                  </w:r>
                </w:p>
              </w:tc>
              <w:tc>
                <w:tcPr>
                  <w:tcW w:w="539" w:type="dxa"/>
                </w:tcPr>
                <w:p w:rsidR="003E575F" w:rsidRPr="00840BDF" w:rsidRDefault="003E575F" w:rsidP="003E575F">
                  <w:pPr>
                    <w:pStyle w:val="TableText0"/>
                    <w:keepNext w:val="0"/>
                    <w:jc w:val="center"/>
                    <w:rPr>
                      <w:b/>
                    </w:rPr>
                  </w:pPr>
                  <w:r w:rsidRPr="00840BDF">
                    <w:rPr>
                      <w:b/>
                    </w:rPr>
                    <w:t>2021</w:t>
                  </w:r>
                </w:p>
              </w:tc>
              <w:tc>
                <w:tcPr>
                  <w:tcW w:w="569" w:type="dxa"/>
                </w:tcPr>
                <w:p w:rsidR="003E575F" w:rsidRPr="00840BDF" w:rsidRDefault="003E575F" w:rsidP="003E575F">
                  <w:pPr>
                    <w:pStyle w:val="TableText0"/>
                    <w:keepNext w:val="0"/>
                    <w:jc w:val="center"/>
                    <w:rPr>
                      <w:b/>
                    </w:rPr>
                  </w:pPr>
                  <w:r w:rsidRPr="00840BDF">
                    <w:rPr>
                      <w:b/>
                    </w:rPr>
                    <w:t>2022</w:t>
                  </w:r>
                </w:p>
              </w:tc>
              <w:tc>
                <w:tcPr>
                  <w:tcW w:w="539" w:type="dxa"/>
                </w:tcPr>
                <w:p w:rsidR="003E575F" w:rsidRPr="00840BDF" w:rsidRDefault="003E575F" w:rsidP="003E575F">
                  <w:pPr>
                    <w:pStyle w:val="TableText0"/>
                    <w:keepNext w:val="0"/>
                    <w:jc w:val="center"/>
                    <w:rPr>
                      <w:b/>
                    </w:rPr>
                  </w:pPr>
                  <w:r w:rsidRPr="00840BDF">
                    <w:rPr>
                      <w:b/>
                    </w:rPr>
                    <w:t>2023</w:t>
                  </w:r>
                </w:p>
              </w:tc>
              <w:tc>
                <w:tcPr>
                  <w:tcW w:w="539" w:type="dxa"/>
                </w:tcPr>
                <w:p w:rsidR="003E575F" w:rsidRPr="00840BDF" w:rsidRDefault="003E575F" w:rsidP="003E575F">
                  <w:pPr>
                    <w:pStyle w:val="TableText0"/>
                    <w:keepNext w:val="0"/>
                    <w:jc w:val="center"/>
                    <w:rPr>
                      <w:b/>
                    </w:rPr>
                  </w:pPr>
                  <w:r w:rsidRPr="00840BDF">
                    <w:rPr>
                      <w:b/>
                    </w:rPr>
                    <w:t>2024</w:t>
                  </w:r>
                </w:p>
              </w:tc>
              <w:tc>
                <w:tcPr>
                  <w:tcW w:w="669" w:type="dxa"/>
                </w:tcPr>
                <w:p w:rsidR="003E575F" w:rsidRPr="00840BDF" w:rsidRDefault="003E575F" w:rsidP="003E575F">
                  <w:pPr>
                    <w:pStyle w:val="TableText0"/>
                    <w:keepNext w:val="0"/>
                    <w:jc w:val="center"/>
                    <w:rPr>
                      <w:b/>
                    </w:rPr>
                  </w:pPr>
                  <w:r w:rsidRPr="00840BDF">
                    <w:rPr>
                      <w:b/>
                    </w:rPr>
                    <w:t>2025</w:t>
                  </w:r>
                </w:p>
              </w:tc>
              <w:tc>
                <w:tcPr>
                  <w:tcW w:w="508" w:type="dxa"/>
                </w:tcPr>
                <w:p w:rsidR="003E575F" w:rsidRPr="00840BDF" w:rsidRDefault="003E575F" w:rsidP="003E575F">
                  <w:pPr>
                    <w:pStyle w:val="TableText0"/>
                    <w:keepNext w:val="0"/>
                    <w:jc w:val="center"/>
                    <w:rPr>
                      <w:b/>
                    </w:rPr>
                  </w:pPr>
                  <w:r w:rsidRPr="00840BDF">
                    <w:rPr>
                      <w:b/>
                    </w:rPr>
                    <w:t>2026</w:t>
                  </w:r>
                </w:p>
              </w:tc>
            </w:tr>
            <w:tr w:rsidR="003E575F" w:rsidRPr="00840BDF" w:rsidTr="003E575F">
              <w:tc>
                <w:tcPr>
                  <w:tcW w:w="1089" w:type="dxa"/>
                </w:tcPr>
                <w:p w:rsidR="003E575F" w:rsidRPr="00840BDF" w:rsidRDefault="003E575F" w:rsidP="003E575F">
                  <w:pPr>
                    <w:pStyle w:val="TableText0"/>
                    <w:keepNext w:val="0"/>
                  </w:pPr>
                  <w:r w:rsidRPr="00840BDF">
                    <w:t>Resubmission</w:t>
                  </w:r>
                </w:p>
              </w:tc>
              <w:tc>
                <w:tcPr>
                  <w:tcW w:w="539" w:type="dxa"/>
                </w:tcPr>
                <w:p w:rsidR="003E575F" w:rsidRPr="00840BDF" w:rsidRDefault="0059530D" w:rsidP="003E575F">
                  <w:pPr>
                    <w:pStyle w:val="TableText0"/>
                    <w:keepNext w:val="0"/>
                    <w:jc w:val="center"/>
                  </w:pPr>
                  <w:r>
                    <w:rPr>
                      <w:noProof/>
                      <w:color w:val="000000"/>
                      <w:highlight w:val="black"/>
                    </w:rPr>
                    <w:t>'''''''</w:t>
                  </w:r>
                  <w:r w:rsidR="003E575F" w:rsidRPr="00840BDF">
                    <w:t>%</w:t>
                  </w:r>
                </w:p>
              </w:tc>
              <w:tc>
                <w:tcPr>
                  <w:tcW w:w="569" w:type="dxa"/>
                </w:tcPr>
                <w:p w:rsidR="003E575F" w:rsidRPr="00840BDF" w:rsidRDefault="0059530D" w:rsidP="003E575F">
                  <w:pPr>
                    <w:pStyle w:val="TableText0"/>
                    <w:keepNext w:val="0"/>
                    <w:jc w:val="center"/>
                  </w:pPr>
                  <w:r>
                    <w:rPr>
                      <w:noProof/>
                      <w:color w:val="000000"/>
                      <w:highlight w:val="black"/>
                    </w:rPr>
                    <w:t>''''''</w:t>
                  </w:r>
                  <w:r w:rsidR="003E575F" w:rsidRPr="00840BDF">
                    <w:t>%</w:t>
                  </w:r>
                </w:p>
              </w:tc>
              <w:tc>
                <w:tcPr>
                  <w:tcW w:w="539" w:type="dxa"/>
                </w:tcPr>
                <w:p w:rsidR="003E575F" w:rsidRPr="00840BDF" w:rsidRDefault="0059530D" w:rsidP="003E575F">
                  <w:pPr>
                    <w:pStyle w:val="TableText0"/>
                    <w:keepNext w:val="0"/>
                    <w:jc w:val="center"/>
                  </w:pPr>
                  <w:r>
                    <w:rPr>
                      <w:noProof/>
                      <w:color w:val="000000"/>
                      <w:highlight w:val="black"/>
                    </w:rPr>
                    <w:t>'''''</w:t>
                  </w:r>
                  <w:r w:rsidR="003E575F" w:rsidRPr="00840BDF">
                    <w:t>%</w:t>
                  </w:r>
                </w:p>
              </w:tc>
              <w:tc>
                <w:tcPr>
                  <w:tcW w:w="539" w:type="dxa"/>
                </w:tcPr>
                <w:p w:rsidR="003E575F" w:rsidRPr="00840BDF" w:rsidRDefault="0059530D" w:rsidP="003E575F">
                  <w:pPr>
                    <w:pStyle w:val="TableText0"/>
                    <w:keepNext w:val="0"/>
                    <w:jc w:val="center"/>
                  </w:pPr>
                  <w:r>
                    <w:rPr>
                      <w:noProof/>
                      <w:color w:val="000000"/>
                      <w:highlight w:val="black"/>
                    </w:rPr>
                    <w:t>'''''''</w:t>
                  </w:r>
                  <w:r w:rsidR="003E575F" w:rsidRPr="00840BDF">
                    <w:t>%</w:t>
                  </w:r>
                </w:p>
              </w:tc>
              <w:tc>
                <w:tcPr>
                  <w:tcW w:w="669" w:type="dxa"/>
                </w:tcPr>
                <w:p w:rsidR="003E575F" w:rsidRPr="00840BDF" w:rsidRDefault="0059530D" w:rsidP="003E575F">
                  <w:pPr>
                    <w:pStyle w:val="TableText0"/>
                    <w:keepNext w:val="0"/>
                    <w:jc w:val="center"/>
                  </w:pPr>
                  <w:r>
                    <w:rPr>
                      <w:noProof/>
                      <w:color w:val="000000"/>
                      <w:highlight w:val="black"/>
                    </w:rPr>
                    <w:t>'''''</w:t>
                  </w:r>
                  <w:r w:rsidR="003E575F" w:rsidRPr="00840BDF">
                    <w:t>%</w:t>
                  </w:r>
                </w:p>
              </w:tc>
              <w:tc>
                <w:tcPr>
                  <w:tcW w:w="508" w:type="dxa"/>
                </w:tcPr>
                <w:p w:rsidR="003E575F" w:rsidRPr="00840BDF" w:rsidRDefault="0059530D" w:rsidP="003E575F">
                  <w:pPr>
                    <w:pStyle w:val="TableText0"/>
                    <w:keepNext w:val="0"/>
                    <w:jc w:val="center"/>
                  </w:pPr>
                  <w:r>
                    <w:rPr>
                      <w:noProof/>
                      <w:color w:val="000000"/>
                      <w:highlight w:val="black"/>
                    </w:rPr>
                    <w:t>'''''''</w:t>
                  </w:r>
                  <w:r w:rsidR="003E575F" w:rsidRPr="00840BDF">
                    <w:t>%</w:t>
                  </w:r>
                </w:p>
              </w:tc>
            </w:tr>
            <w:tr w:rsidR="003E575F" w:rsidRPr="00840BDF" w:rsidTr="003E575F">
              <w:tc>
                <w:tcPr>
                  <w:tcW w:w="1089" w:type="dxa"/>
                </w:tcPr>
                <w:p w:rsidR="003E575F" w:rsidRPr="00840BDF" w:rsidRDefault="003E575F" w:rsidP="003E575F">
                  <w:pPr>
                    <w:pStyle w:val="TableText0"/>
                    <w:keepNext w:val="0"/>
                  </w:pPr>
                  <w:r w:rsidRPr="00840BDF">
                    <w:t>Previous sub (untreated)</w:t>
                  </w:r>
                </w:p>
              </w:tc>
              <w:tc>
                <w:tcPr>
                  <w:tcW w:w="539" w:type="dxa"/>
                  <w:vAlign w:val="center"/>
                </w:tcPr>
                <w:p w:rsidR="003E575F" w:rsidRPr="00840BDF" w:rsidRDefault="0059530D" w:rsidP="003E575F">
                  <w:pPr>
                    <w:pStyle w:val="TableText0"/>
                    <w:keepNext w:val="0"/>
                    <w:jc w:val="center"/>
                  </w:pPr>
                  <w:r>
                    <w:rPr>
                      <w:noProof/>
                      <w:color w:val="000000"/>
                      <w:szCs w:val="20"/>
                      <w:highlight w:val="black"/>
                    </w:rPr>
                    <w:t>''''''</w:t>
                  </w:r>
                  <w:r w:rsidR="003E575F" w:rsidRPr="00840BDF">
                    <w:rPr>
                      <w:szCs w:val="20"/>
                    </w:rPr>
                    <w:t>%</w:t>
                  </w:r>
                </w:p>
              </w:tc>
              <w:tc>
                <w:tcPr>
                  <w:tcW w:w="569" w:type="dxa"/>
                  <w:vAlign w:val="center"/>
                </w:tcPr>
                <w:p w:rsidR="003E575F" w:rsidRPr="00840BDF" w:rsidRDefault="0059530D" w:rsidP="003E575F">
                  <w:pPr>
                    <w:pStyle w:val="TableText0"/>
                    <w:keepNext w:val="0"/>
                    <w:jc w:val="center"/>
                  </w:pPr>
                  <w:r>
                    <w:rPr>
                      <w:noProof/>
                      <w:color w:val="000000"/>
                      <w:szCs w:val="20"/>
                      <w:highlight w:val="black"/>
                    </w:rPr>
                    <w:t>''''''</w:t>
                  </w:r>
                  <w:r w:rsidR="003E575F" w:rsidRPr="00840BDF">
                    <w:rPr>
                      <w:szCs w:val="20"/>
                    </w:rPr>
                    <w:t>%</w:t>
                  </w:r>
                </w:p>
              </w:tc>
              <w:tc>
                <w:tcPr>
                  <w:tcW w:w="539" w:type="dxa"/>
                  <w:vAlign w:val="center"/>
                </w:tcPr>
                <w:p w:rsidR="003E575F" w:rsidRPr="00840BDF" w:rsidRDefault="0059530D" w:rsidP="003E575F">
                  <w:pPr>
                    <w:pStyle w:val="TableText0"/>
                    <w:keepNext w:val="0"/>
                    <w:jc w:val="center"/>
                  </w:pPr>
                  <w:r>
                    <w:rPr>
                      <w:noProof/>
                      <w:color w:val="000000"/>
                      <w:szCs w:val="20"/>
                      <w:highlight w:val="black"/>
                    </w:rPr>
                    <w:t>'''''''</w:t>
                  </w:r>
                  <w:r w:rsidR="003E575F" w:rsidRPr="00840BDF">
                    <w:rPr>
                      <w:szCs w:val="20"/>
                    </w:rPr>
                    <w:t>%</w:t>
                  </w:r>
                </w:p>
              </w:tc>
              <w:tc>
                <w:tcPr>
                  <w:tcW w:w="539" w:type="dxa"/>
                  <w:vAlign w:val="center"/>
                </w:tcPr>
                <w:p w:rsidR="003E575F" w:rsidRPr="00840BDF" w:rsidRDefault="0059530D" w:rsidP="003E575F">
                  <w:pPr>
                    <w:pStyle w:val="TableText0"/>
                    <w:keepNext w:val="0"/>
                    <w:jc w:val="center"/>
                  </w:pPr>
                  <w:r>
                    <w:rPr>
                      <w:noProof/>
                      <w:color w:val="000000"/>
                      <w:szCs w:val="20"/>
                      <w:highlight w:val="black"/>
                    </w:rPr>
                    <w:t>'''''''</w:t>
                  </w:r>
                  <w:r w:rsidR="003E575F" w:rsidRPr="00840BDF">
                    <w:rPr>
                      <w:szCs w:val="20"/>
                    </w:rPr>
                    <w:t>%</w:t>
                  </w:r>
                </w:p>
              </w:tc>
              <w:tc>
                <w:tcPr>
                  <w:tcW w:w="669" w:type="dxa"/>
                  <w:vAlign w:val="center"/>
                </w:tcPr>
                <w:p w:rsidR="003E575F" w:rsidRPr="00840BDF" w:rsidRDefault="0059530D" w:rsidP="003E575F">
                  <w:pPr>
                    <w:pStyle w:val="TableText0"/>
                    <w:keepNext w:val="0"/>
                    <w:jc w:val="center"/>
                  </w:pPr>
                  <w:r>
                    <w:rPr>
                      <w:noProof/>
                      <w:color w:val="000000"/>
                      <w:szCs w:val="20"/>
                      <w:highlight w:val="black"/>
                    </w:rPr>
                    <w:t>''''''</w:t>
                  </w:r>
                  <w:r w:rsidR="003E575F" w:rsidRPr="00840BDF">
                    <w:rPr>
                      <w:szCs w:val="20"/>
                    </w:rPr>
                    <w:t>%</w:t>
                  </w:r>
                </w:p>
              </w:tc>
              <w:tc>
                <w:tcPr>
                  <w:tcW w:w="508" w:type="dxa"/>
                  <w:vAlign w:val="center"/>
                </w:tcPr>
                <w:p w:rsidR="003E575F" w:rsidRPr="00840BDF" w:rsidRDefault="0059530D" w:rsidP="003E575F">
                  <w:pPr>
                    <w:pStyle w:val="TableText0"/>
                    <w:keepNext w:val="0"/>
                    <w:jc w:val="center"/>
                  </w:pPr>
                  <w:r>
                    <w:rPr>
                      <w:noProof/>
                      <w:color w:val="000000"/>
                      <w:szCs w:val="20"/>
                      <w:highlight w:val="black"/>
                    </w:rPr>
                    <w:t>''''''</w:t>
                  </w:r>
                  <w:r w:rsidR="003E575F" w:rsidRPr="00840BDF">
                    <w:rPr>
                      <w:szCs w:val="20"/>
                    </w:rPr>
                    <w:t>%</w:t>
                  </w:r>
                </w:p>
              </w:tc>
            </w:tr>
          </w:tbl>
          <w:p w:rsidR="003E575F" w:rsidRPr="00840BDF" w:rsidRDefault="003E575F" w:rsidP="003E575F">
            <w:pPr>
              <w:pStyle w:val="TableFooter"/>
              <w:rPr>
                <w:lang w:val="en-AU"/>
              </w:rPr>
            </w:pPr>
            <w:r w:rsidRPr="00840BDF">
              <w:rPr>
                <w:lang w:val="en-AU"/>
              </w:rPr>
              <w:t>Source: p182-183 of the resubmission.</w:t>
            </w:r>
          </w:p>
          <w:p w:rsidR="003E575F" w:rsidRPr="00840BDF" w:rsidRDefault="003E575F" w:rsidP="008F35CF">
            <w:pPr>
              <w:pStyle w:val="TableText0"/>
              <w:keepNext w:val="0"/>
            </w:pPr>
            <w:r w:rsidRPr="00840BDF">
              <w:t>In its previous consideration, the PBAC noted that DUSC considered the uptake rate applied to untreated MS patients in Year 1 in the original submission (</w:t>
            </w:r>
            <w:r w:rsidR="0059530D">
              <w:rPr>
                <w:noProof/>
                <w:color w:val="000000"/>
                <w:highlight w:val="black"/>
              </w:rPr>
              <w:t>'''''''</w:t>
            </w:r>
            <w:r w:rsidRPr="00840BDF">
              <w:t xml:space="preserve">%) to be low and that the rate to likely to be “much higher in Year 1 as there are little to no other treatment options” (paragraph 6.54, siponimod, PBAC </w:t>
            </w:r>
            <w:r w:rsidR="008F35CF">
              <w:t>PSD</w:t>
            </w:r>
            <w:r w:rsidRPr="00840BDF">
              <w:t xml:space="preserve"> November 2019). The resubmission considered that these patients are not routinely visiting a neurologist, and may not even have a relationship with a neurologist, so mobilising them to seek treatment is likely to be a lengthy process. </w:t>
            </w:r>
          </w:p>
        </w:tc>
        <w:tc>
          <w:tcPr>
            <w:tcW w:w="1701" w:type="pct"/>
            <w:shd w:val="clear" w:color="auto" w:fill="auto"/>
          </w:tcPr>
          <w:p w:rsidR="003E575F" w:rsidRPr="00015BC4" w:rsidRDefault="003E575F" w:rsidP="003E575F">
            <w:pPr>
              <w:pStyle w:val="TableText0"/>
              <w:keepNext w:val="0"/>
            </w:pPr>
            <w:r w:rsidRPr="00015BC4">
              <w:t xml:space="preserve">In relation to the previous submission, DUSC considered that, in the untreated population the uptake is likely be to be much higher than </w:t>
            </w:r>
            <w:r w:rsidR="0059530D">
              <w:rPr>
                <w:noProof/>
                <w:color w:val="000000"/>
                <w:highlight w:val="black"/>
              </w:rPr>
              <w:t>''''''</w:t>
            </w:r>
            <w:r w:rsidRPr="00015BC4">
              <w:t xml:space="preserve">% in Year 1 as there are little to no other treatment options (p1, Siponimod DUSC advice, November 2019). </w:t>
            </w:r>
          </w:p>
        </w:tc>
      </w:tr>
      <w:tr w:rsidR="003E575F" w:rsidRPr="00015BC4" w:rsidTr="003E575F">
        <w:tc>
          <w:tcPr>
            <w:tcW w:w="626" w:type="pct"/>
            <w:vAlign w:val="center"/>
          </w:tcPr>
          <w:p w:rsidR="003E575F" w:rsidRPr="00015BC4" w:rsidRDefault="003E575F" w:rsidP="003E575F">
            <w:pPr>
              <w:pStyle w:val="TableText0"/>
              <w:keepNext w:val="0"/>
            </w:pPr>
            <w:r w:rsidRPr="00015BC4">
              <w:t xml:space="preserve">Persistence to siponimod </w:t>
            </w:r>
          </w:p>
        </w:tc>
        <w:tc>
          <w:tcPr>
            <w:tcW w:w="2673" w:type="pct"/>
            <w:vAlign w:val="center"/>
          </w:tcPr>
          <w:p w:rsidR="003E575F" w:rsidRPr="00840BDF" w:rsidRDefault="003E575F" w:rsidP="003E575F">
            <w:pPr>
              <w:pStyle w:val="TableText0"/>
              <w:keepNext w:val="0"/>
              <w:rPr>
                <w:b/>
              </w:rPr>
            </w:pPr>
            <w:r w:rsidRPr="00840BDF">
              <w:rPr>
                <w:b/>
              </w:rPr>
              <w:t>Proportion of siponimod patients remaining on treatment</w:t>
            </w:r>
          </w:p>
          <w:tbl>
            <w:tblPr>
              <w:tblStyle w:val="TableGrid"/>
              <w:tblW w:w="0" w:type="auto"/>
              <w:tblLayout w:type="fixed"/>
              <w:tblCellMar>
                <w:left w:w="29" w:type="dxa"/>
                <w:right w:w="29" w:type="dxa"/>
              </w:tblCellMar>
              <w:tblLook w:val="04A0" w:firstRow="1" w:lastRow="0" w:firstColumn="1" w:lastColumn="0" w:noHBand="0" w:noVBand="1"/>
            </w:tblPr>
            <w:tblGrid>
              <w:gridCol w:w="979"/>
              <w:gridCol w:w="634"/>
              <w:gridCol w:w="635"/>
              <w:gridCol w:w="634"/>
              <w:gridCol w:w="635"/>
              <w:gridCol w:w="634"/>
              <w:gridCol w:w="635"/>
            </w:tblGrid>
            <w:tr w:rsidR="003E575F" w:rsidRPr="00840BDF" w:rsidTr="003E575F">
              <w:tc>
                <w:tcPr>
                  <w:tcW w:w="979" w:type="dxa"/>
                </w:tcPr>
                <w:p w:rsidR="003E575F" w:rsidRPr="00840BDF" w:rsidRDefault="003E575F" w:rsidP="003E575F">
                  <w:pPr>
                    <w:pStyle w:val="TableText0"/>
                    <w:keepNext w:val="0"/>
                    <w:rPr>
                      <w:b/>
                    </w:rPr>
                  </w:pPr>
                  <w:r w:rsidRPr="00840BDF">
                    <w:rPr>
                      <w:b/>
                    </w:rPr>
                    <w:t>Year</w:t>
                  </w:r>
                </w:p>
              </w:tc>
              <w:tc>
                <w:tcPr>
                  <w:tcW w:w="634" w:type="dxa"/>
                  <w:vAlign w:val="center"/>
                </w:tcPr>
                <w:p w:rsidR="003E575F" w:rsidRPr="00840BDF" w:rsidRDefault="003E575F" w:rsidP="003E575F">
                  <w:pPr>
                    <w:pStyle w:val="TableText0"/>
                    <w:keepNext w:val="0"/>
                    <w:jc w:val="center"/>
                    <w:rPr>
                      <w:b/>
                    </w:rPr>
                  </w:pPr>
                  <w:r w:rsidRPr="00840BDF">
                    <w:rPr>
                      <w:b/>
                    </w:rPr>
                    <w:t>2021</w:t>
                  </w:r>
                </w:p>
              </w:tc>
              <w:tc>
                <w:tcPr>
                  <w:tcW w:w="635" w:type="dxa"/>
                  <w:vAlign w:val="center"/>
                </w:tcPr>
                <w:p w:rsidR="003E575F" w:rsidRPr="00840BDF" w:rsidRDefault="003E575F" w:rsidP="003E575F">
                  <w:pPr>
                    <w:pStyle w:val="TableText0"/>
                    <w:keepNext w:val="0"/>
                    <w:jc w:val="center"/>
                    <w:rPr>
                      <w:b/>
                    </w:rPr>
                  </w:pPr>
                  <w:r w:rsidRPr="00840BDF">
                    <w:rPr>
                      <w:b/>
                    </w:rPr>
                    <w:t>2022</w:t>
                  </w:r>
                </w:p>
              </w:tc>
              <w:tc>
                <w:tcPr>
                  <w:tcW w:w="634" w:type="dxa"/>
                  <w:vAlign w:val="center"/>
                </w:tcPr>
                <w:p w:rsidR="003E575F" w:rsidRPr="00840BDF" w:rsidRDefault="003E575F" w:rsidP="003E575F">
                  <w:pPr>
                    <w:pStyle w:val="TableText0"/>
                    <w:keepNext w:val="0"/>
                    <w:jc w:val="center"/>
                    <w:rPr>
                      <w:b/>
                    </w:rPr>
                  </w:pPr>
                  <w:r w:rsidRPr="00840BDF">
                    <w:rPr>
                      <w:b/>
                    </w:rPr>
                    <w:t>2023</w:t>
                  </w:r>
                </w:p>
              </w:tc>
              <w:tc>
                <w:tcPr>
                  <w:tcW w:w="635" w:type="dxa"/>
                  <w:vAlign w:val="center"/>
                </w:tcPr>
                <w:p w:rsidR="003E575F" w:rsidRPr="00840BDF" w:rsidRDefault="003E575F" w:rsidP="003E575F">
                  <w:pPr>
                    <w:pStyle w:val="TableText0"/>
                    <w:keepNext w:val="0"/>
                    <w:jc w:val="center"/>
                    <w:rPr>
                      <w:b/>
                    </w:rPr>
                  </w:pPr>
                  <w:r w:rsidRPr="00840BDF">
                    <w:rPr>
                      <w:b/>
                    </w:rPr>
                    <w:t>2024</w:t>
                  </w:r>
                </w:p>
              </w:tc>
              <w:tc>
                <w:tcPr>
                  <w:tcW w:w="634" w:type="dxa"/>
                  <w:vAlign w:val="center"/>
                </w:tcPr>
                <w:p w:rsidR="003E575F" w:rsidRPr="00840BDF" w:rsidRDefault="003E575F" w:rsidP="003E575F">
                  <w:pPr>
                    <w:pStyle w:val="TableText0"/>
                    <w:keepNext w:val="0"/>
                    <w:jc w:val="center"/>
                    <w:rPr>
                      <w:b/>
                    </w:rPr>
                  </w:pPr>
                  <w:r w:rsidRPr="00840BDF">
                    <w:rPr>
                      <w:b/>
                    </w:rPr>
                    <w:t>2025</w:t>
                  </w:r>
                </w:p>
              </w:tc>
              <w:tc>
                <w:tcPr>
                  <w:tcW w:w="635" w:type="dxa"/>
                  <w:vAlign w:val="center"/>
                </w:tcPr>
                <w:p w:rsidR="003E575F" w:rsidRPr="00840BDF" w:rsidRDefault="003E575F" w:rsidP="003E575F">
                  <w:pPr>
                    <w:pStyle w:val="TableText0"/>
                    <w:keepNext w:val="0"/>
                    <w:jc w:val="center"/>
                    <w:rPr>
                      <w:b/>
                    </w:rPr>
                  </w:pPr>
                  <w:r w:rsidRPr="00840BDF">
                    <w:rPr>
                      <w:b/>
                    </w:rPr>
                    <w:t>2026</w:t>
                  </w:r>
                </w:p>
              </w:tc>
            </w:tr>
            <w:tr w:rsidR="003E575F" w:rsidRPr="00840BDF" w:rsidTr="003E575F">
              <w:tc>
                <w:tcPr>
                  <w:tcW w:w="979" w:type="dxa"/>
                  <w:vAlign w:val="bottom"/>
                </w:tcPr>
                <w:p w:rsidR="003E575F" w:rsidRPr="00840BDF" w:rsidRDefault="003E575F" w:rsidP="003E575F">
                  <w:pPr>
                    <w:pStyle w:val="PBACTableText"/>
                    <w:rPr>
                      <w:lang w:val="en-AU"/>
                    </w:rPr>
                  </w:pPr>
                  <w:r w:rsidRPr="00840BDF">
                    <w:rPr>
                      <w:lang w:val="en-AU"/>
                    </w:rPr>
                    <w:t>Continuation rates</w:t>
                  </w:r>
                </w:p>
              </w:tc>
              <w:tc>
                <w:tcPr>
                  <w:tcW w:w="634" w:type="dxa"/>
                  <w:vAlign w:val="center"/>
                </w:tcPr>
                <w:p w:rsidR="003E575F" w:rsidRPr="00840BDF" w:rsidRDefault="003E575F" w:rsidP="003E575F">
                  <w:pPr>
                    <w:pStyle w:val="PBACTableText"/>
                    <w:jc w:val="center"/>
                    <w:rPr>
                      <w:lang w:val="en-AU"/>
                    </w:rPr>
                  </w:pPr>
                  <w:r w:rsidRPr="00840BDF">
                    <w:rPr>
                      <w:lang w:val="en-AU"/>
                    </w:rPr>
                    <w:t>0.723</w:t>
                  </w:r>
                </w:p>
              </w:tc>
              <w:tc>
                <w:tcPr>
                  <w:tcW w:w="635" w:type="dxa"/>
                  <w:vAlign w:val="center"/>
                </w:tcPr>
                <w:p w:rsidR="003E575F" w:rsidRPr="00840BDF" w:rsidRDefault="003E575F" w:rsidP="003E575F">
                  <w:pPr>
                    <w:pStyle w:val="PBACTableText"/>
                    <w:jc w:val="center"/>
                    <w:rPr>
                      <w:lang w:val="en-AU"/>
                    </w:rPr>
                  </w:pPr>
                  <w:r w:rsidRPr="00840BDF">
                    <w:rPr>
                      <w:lang w:val="en-AU"/>
                    </w:rPr>
                    <w:t>0.64</w:t>
                  </w:r>
                </w:p>
              </w:tc>
              <w:tc>
                <w:tcPr>
                  <w:tcW w:w="634" w:type="dxa"/>
                  <w:vAlign w:val="center"/>
                </w:tcPr>
                <w:p w:rsidR="003E575F" w:rsidRPr="00840BDF" w:rsidRDefault="003E575F" w:rsidP="003E575F">
                  <w:pPr>
                    <w:pStyle w:val="PBACTableText"/>
                    <w:jc w:val="center"/>
                    <w:rPr>
                      <w:lang w:val="en-AU"/>
                    </w:rPr>
                  </w:pPr>
                  <w:r w:rsidRPr="00840BDF">
                    <w:rPr>
                      <w:lang w:val="en-AU"/>
                    </w:rPr>
                    <w:t>0.591</w:t>
                  </w:r>
                </w:p>
              </w:tc>
              <w:tc>
                <w:tcPr>
                  <w:tcW w:w="635" w:type="dxa"/>
                  <w:vAlign w:val="center"/>
                </w:tcPr>
                <w:p w:rsidR="003E575F" w:rsidRPr="00840BDF" w:rsidRDefault="003E575F" w:rsidP="003E575F">
                  <w:pPr>
                    <w:pStyle w:val="PBACTableText"/>
                    <w:jc w:val="center"/>
                    <w:rPr>
                      <w:lang w:val="en-AU"/>
                    </w:rPr>
                  </w:pPr>
                  <w:r w:rsidRPr="00840BDF">
                    <w:rPr>
                      <w:lang w:val="en-AU"/>
                    </w:rPr>
                    <w:t>0.556</w:t>
                  </w:r>
                </w:p>
              </w:tc>
              <w:tc>
                <w:tcPr>
                  <w:tcW w:w="634" w:type="dxa"/>
                  <w:vAlign w:val="center"/>
                </w:tcPr>
                <w:p w:rsidR="003E575F" w:rsidRPr="00840BDF" w:rsidRDefault="003E575F" w:rsidP="003E575F">
                  <w:pPr>
                    <w:pStyle w:val="PBACTableText"/>
                    <w:jc w:val="center"/>
                    <w:rPr>
                      <w:lang w:val="en-AU"/>
                    </w:rPr>
                  </w:pPr>
                  <w:r w:rsidRPr="00840BDF">
                    <w:rPr>
                      <w:lang w:val="en-AU"/>
                    </w:rPr>
                    <w:t>0.53</w:t>
                  </w:r>
                </w:p>
              </w:tc>
              <w:tc>
                <w:tcPr>
                  <w:tcW w:w="635" w:type="dxa"/>
                  <w:vAlign w:val="center"/>
                </w:tcPr>
                <w:p w:rsidR="003E575F" w:rsidRPr="00840BDF" w:rsidRDefault="003E575F" w:rsidP="003E575F">
                  <w:pPr>
                    <w:pStyle w:val="PBACTableText"/>
                    <w:jc w:val="center"/>
                    <w:rPr>
                      <w:lang w:val="en-AU"/>
                    </w:rPr>
                  </w:pPr>
                  <w:r w:rsidRPr="00840BDF">
                    <w:rPr>
                      <w:lang w:val="en-AU"/>
                    </w:rPr>
                    <w:t>0.508</w:t>
                  </w:r>
                </w:p>
              </w:tc>
            </w:tr>
          </w:tbl>
          <w:p w:rsidR="003E575F" w:rsidRPr="00840BDF" w:rsidRDefault="003E575F" w:rsidP="003E575F">
            <w:pPr>
              <w:pStyle w:val="TableFooter"/>
              <w:spacing w:after="40"/>
              <w:rPr>
                <w:lang w:val="en-AU"/>
              </w:rPr>
            </w:pPr>
            <w:r w:rsidRPr="00840BDF">
              <w:rPr>
                <w:lang w:val="en-AU"/>
              </w:rPr>
              <w:t xml:space="preserve">Source: Table 4.9, p185 of the resubmission. </w:t>
            </w:r>
          </w:p>
          <w:p w:rsidR="003E575F" w:rsidRPr="00840BDF" w:rsidRDefault="003E575F" w:rsidP="003E575F">
            <w:pPr>
              <w:pStyle w:val="TableText0"/>
              <w:keepNext w:val="0"/>
              <w:spacing w:after="40"/>
            </w:pPr>
            <w:r w:rsidRPr="00840BDF">
              <w:t xml:space="preserve">The resubmission used a 10% PBS Sample to extrapolate persistence of fingolimod. Fingolimod was considered a viable proxy for estimating persistence to siponimod in untreated siponimod population as they are pharmaceutical analogues. </w:t>
            </w:r>
          </w:p>
          <w:p w:rsidR="003E575F" w:rsidRPr="00840BDF" w:rsidRDefault="003E575F" w:rsidP="003E575F">
            <w:pPr>
              <w:pStyle w:val="TableText0"/>
              <w:keepNext w:val="0"/>
            </w:pPr>
            <w:r w:rsidRPr="00840BDF">
              <w:t>No adjustment was made for persistence and compliance in the market share section of the model. It was assumed that currently, observed persistence and compliance to other DMTs will also apply to siponimod. This assumption may lead to a slight overestimate of siponimod scripts where they replace cladribine and alemtuzumab which are annual treatments and are therefore likely to have higher compliance than a daily therapy.</w:t>
            </w:r>
          </w:p>
        </w:tc>
        <w:tc>
          <w:tcPr>
            <w:tcW w:w="1701" w:type="pct"/>
          </w:tcPr>
          <w:p w:rsidR="003E575F" w:rsidRPr="00015BC4" w:rsidRDefault="003E575F" w:rsidP="003E575F">
            <w:pPr>
              <w:pStyle w:val="TableText0"/>
              <w:keepNext w:val="0"/>
              <w:spacing w:after="40"/>
            </w:pPr>
            <w:r w:rsidRPr="00015BC4">
              <w:t>In relation to the previous submission, DUSC considered that the assumptions that the treatment persistence of siponimod would be the same as fingolimod for the RRMS population were not adequately justified (p1, Siponimod DUSC advice, November 2019).</w:t>
            </w:r>
          </w:p>
          <w:p w:rsidR="003E575F" w:rsidRPr="00015BC4" w:rsidRDefault="003E575F" w:rsidP="003E575F">
            <w:pPr>
              <w:pStyle w:val="TableText0"/>
              <w:keepNext w:val="0"/>
            </w:pPr>
            <w:r w:rsidRPr="00015BC4">
              <w:t xml:space="preserve">The resubmission did not address this. </w:t>
            </w:r>
          </w:p>
        </w:tc>
      </w:tr>
      <w:tr w:rsidR="003E575F" w:rsidRPr="00015BC4" w:rsidTr="003E575F">
        <w:tc>
          <w:tcPr>
            <w:tcW w:w="626" w:type="pct"/>
            <w:shd w:val="clear" w:color="auto" w:fill="auto"/>
          </w:tcPr>
          <w:p w:rsidR="003E575F" w:rsidRPr="00015BC4" w:rsidRDefault="003E575F" w:rsidP="003E575F">
            <w:pPr>
              <w:pStyle w:val="TableText0"/>
              <w:keepNext w:val="0"/>
            </w:pPr>
            <w:r w:rsidRPr="00015BC4">
              <w:rPr>
                <w:szCs w:val="20"/>
              </w:rPr>
              <w:t xml:space="preserve">% scripts replaced by siponimod  </w:t>
            </w:r>
          </w:p>
        </w:tc>
        <w:tc>
          <w:tcPr>
            <w:tcW w:w="2673" w:type="pct"/>
            <w:shd w:val="clear" w:color="auto" w:fill="auto"/>
          </w:tcPr>
          <w:p w:rsidR="003E575F" w:rsidRPr="00015BC4" w:rsidRDefault="003E575F" w:rsidP="003E575F">
            <w:pPr>
              <w:pStyle w:val="TableText0"/>
              <w:keepNext w:val="0"/>
              <w:rPr>
                <w:rStyle w:val="CommentReference"/>
              </w:rPr>
            </w:pPr>
            <w:r w:rsidRPr="00015BC4">
              <w:rPr>
                <w:rStyle w:val="CommentReference"/>
              </w:rPr>
              <w:t xml:space="preserve">Proportion of DMT scripts replaced by siponimod </w:t>
            </w:r>
          </w:p>
          <w:tbl>
            <w:tblPr>
              <w:tblStyle w:val="TableGrid"/>
              <w:tblW w:w="4647" w:type="dxa"/>
              <w:tblLayout w:type="fixed"/>
              <w:tblCellMar>
                <w:left w:w="29" w:type="dxa"/>
                <w:right w:w="29" w:type="dxa"/>
              </w:tblCellMar>
              <w:tblLook w:val="04A0" w:firstRow="1" w:lastRow="0" w:firstColumn="1" w:lastColumn="0" w:noHBand="0" w:noVBand="1"/>
            </w:tblPr>
            <w:tblGrid>
              <w:gridCol w:w="1245"/>
              <w:gridCol w:w="567"/>
              <w:gridCol w:w="567"/>
              <w:gridCol w:w="567"/>
              <w:gridCol w:w="567"/>
              <w:gridCol w:w="567"/>
              <w:gridCol w:w="567"/>
            </w:tblGrid>
            <w:tr w:rsidR="003E575F" w:rsidRPr="00015BC4" w:rsidTr="003E575F">
              <w:tc>
                <w:tcPr>
                  <w:tcW w:w="1245" w:type="dxa"/>
                </w:tcPr>
                <w:p w:rsidR="003E575F" w:rsidRPr="00015BC4" w:rsidRDefault="003E575F" w:rsidP="003E575F">
                  <w:pPr>
                    <w:pStyle w:val="TableText0"/>
                    <w:keepNext w:val="0"/>
                    <w:rPr>
                      <w:b/>
                    </w:rPr>
                  </w:pPr>
                  <w:r w:rsidRPr="00015BC4">
                    <w:rPr>
                      <w:b/>
                    </w:rPr>
                    <w:t>Year</w:t>
                  </w:r>
                </w:p>
              </w:tc>
              <w:tc>
                <w:tcPr>
                  <w:tcW w:w="567" w:type="dxa"/>
                  <w:vAlign w:val="center"/>
                </w:tcPr>
                <w:p w:rsidR="003E575F" w:rsidRPr="00015BC4" w:rsidRDefault="003E575F" w:rsidP="003E575F">
                  <w:pPr>
                    <w:pStyle w:val="TableText0"/>
                    <w:keepNext w:val="0"/>
                    <w:jc w:val="center"/>
                    <w:rPr>
                      <w:b/>
                    </w:rPr>
                  </w:pPr>
                  <w:r w:rsidRPr="00015BC4">
                    <w:rPr>
                      <w:b/>
                    </w:rPr>
                    <w:t>2021</w:t>
                  </w:r>
                </w:p>
              </w:tc>
              <w:tc>
                <w:tcPr>
                  <w:tcW w:w="567" w:type="dxa"/>
                  <w:vAlign w:val="center"/>
                </w:tcPr>
                <w:p w:rsidR="003E575F" w:rsidRPr="00015BC4" w:rsidRDefault="003E575F" w:rsidP="003E575F">
                  <w:pPr>
                    <w:pStyle w:val="TableText0"/>
                    <w:keepNext w:val="0"/>
                    <w:jc w:val="center"/>
                    <w:rPr>
                      <w:b/>
                    </w:rPr>
                  </w:pPr>
                  <w:r w:rsidRPr="00015BC4">
                    <w:rPr>
                      <w:b/>
                    </w:rPr>
                    <w:t>2022</w:t>
                  </w:r>
                </w:p>
              </w:tc>
              <w:tc>
                <w:tcPr>
                  <w:tcW w:w="567" w:type="dxa"/>
                  <w:vAlign w:val="center"/>
                </w:tcPr>
                <w:p w:rsidR="003E575F" w:rsidRPr="00015BC4" w:rsidRDefault="003E575F" w:rsidP="003E575F">
                  <w:pPr>
                    <w:pStyle w:val="TableText0"/>
                    <w:keepNext w:val="0"/>
                    <w:jc w:val="center"/>
                    <w:rPr>
                      <w:b/>
                    </w:rPr>
                  </w:pPr>
                  <w:r w:rsidRPr="00015BC4">
                    <w:rPr>
                      <w:b/>
                    </w:rPr>
                    <w:t>2023</w:t>
                  </w:r>
                </w:p>
              </w:tc>
              <w:tc>
                <w:tcPr>
                  <w:tcW w:w="567" w:type="dxa"/>
                  <w:vAlign w:val="center"/>
                </w:tcPr>
                <w:p w:rsidR="003E575F" w:rsidRPr="00015BC4" w:rsidRDefault="003E575F" w:rsidP="003E575F">
                  <w:pPr>
                    <w:pStyle w:val="TableText0"/>
                    <w:keepNext w:val="0"/>
                    <w:jc w:val="center"/>
                    <w:rPr>
                      <w:b/>
                    </w:rPr>
                  </w:pPr>
                  <w:r w:rsidRPr="00015BC4">
                    <w:rPr>
                      <w:b/>
                    </w:rPr>
                    <w:t>2024</w:t>
                  </w:r>
                </w:p>
              </w:tc>
              <w:tc>
                <w:tcPr>
                  <w:tcW w:w="567" w:type="dxa"/>
                  <w:vAlign w:val="center"/>
                </w:tcPr>
                <w:p w:rsidR="003E575F" w:rsidRPr="00015BC4" w:rsidRDefault="003E575F" w:rsidP="003E575F">
                  <w:pPr>
                    <w:pStyle w:val="TableText0"/>
                    <w:keepNext w:val="0"/>
                    <w:jc w:val="center"/>
                    <w:rPr>
                      <w:b/>
                    </w:rPr>
                  </w:pPr>
                  <w:r w:rsidRPr="00015BC4">
                    <w:rPr>
                      <w:b/>
                    </w:rPr>
                    <w:t>2025</w:t>
                  </w:r>
                </w:p>
              </w:tc>
              <w:tc>
                <w:tcPr>
                  <w:tcW w:w="567" w:type="dxa"/>
                  <w:vAlign w:val="center"/>
                </w:tcPr>
                <w:p w:rsidR="003E575F" w:rsidRPr="00015BC4" w:rsidRDefault="003E575F" w:rsidP="003E575F">
                  <w:pPr>
                    <w:pStyle w:val="TableText0"/>
                    <w:keepNext w:val="0"/>
                    <w:jc w:val="center"/>
                    <w:rPr>
                      <w:b/>
                    </w:rPr>
                  </w:pPr>
                  <w:r w:rsidRPr="00015BC4">
                    <w:rPr>
                      <w:b/>
                    </w:rPr>
                    <w:t>2026</w:t>
                  </w:r>
                </w:p>
              </w:tc>
            </w:tr>
            <w:tr w:rsidR="003E575F" w:rsidRPr="00015BC4" w:rsidTr="003E575F">
              <w:tc>
                <w:tcPr>
                  <w:tcW w:w="1245" w:type="dxa"/>
                </w:tcPr>
                <w:p w:rsidR="003E575F" w:rsidRPr="00015BC4" w:rsidRDefault="003E575F" w:rsidP="003E575F">
                  <w:pPr>
                    <w:pStyle w:val="TableText0"/>
                    <w:keepNext w:val="0"/>
                  </w:pPr>
                  <w:r w:rsidRPr="00015BC4">
                    <w:t>all RRMS DMTs</w:t>
                  </w:r>
                </w:p>
              </w:tc>
              <w:tc>
                <w:tcPr>
                  <w:tcW w:w="567" w:type="dxa"/>
                  <w:vAlign w:val="center"/>
                </w:tcPr>
                <w:p w:rsidR="003E575F" w:rsidRPr="00015BC4" w:rsidRDefault="0059530D" w:rsidP="003E575F">
                  <w:pPr>
                    <w:pStyle w:val="TableText0"/>
                    <w:keepNext w:val="0"/>
                    <w:jc w:val="center"/>
                  </w:pPr>
                  <w:r>
                    <w:rPr>
                      <w:noProof/>
                      <w:color w:val="000000"/>
                      <w:highlight w:val="black"/>
                    </w:rPr>
                    <w:t>'''</w:t>
                  </w:r>
                  <w:r w:rsidR="003E575F" w:rsidRPr="00015BC4">
                    <w:t>%</w:t>
                  </w:r>
                </w:p>
              </w:tc>
              <w:tc>
                <w:tcPr>
                  <w:tcW w:w="567" w:type="dxa"/>
                  <w:vAlign w:val="center"/>
                </w:tcPr>
                <w:p w:rsidR="003E575F" w:rsidRPr="00015BC4" w:rsidRDefault="0059530D" w:rsidP="003E575F">
                  <w:pPr>
                    <w:pStyle w:val="TableText0"/>
                    <w:keepNext w:val="0"/>
                    <w:jc w:val="center"/>
                  </w:pPr>
                  <w:r>
                    <w:rPr>
                      <w:noProof/>
                      <w:color w:val="000000"/>
                      <w:highlight w:val="black"/>
                    </w:rPr>
                    <w:t>'''</w:t>
                  </w:r>
                  <w:r w:rsidR="003E575F" w:rsidRPr="00015BC4">
                    <w:t>%</w:t>
                  </w:r>
                </w:p>
              </w:tc>
              <w:tc>
                <w:tcPr>
                  <w:tcW w:w="567" w:type="dxa"/>
                  <w:vAlign w:val="center"/>
                </w:tcPr>
                <w:p w:rsidR="003E575F" w:rsidRPr="00015BC4" w:rsidRDefault="0059530D" w:rsidP="003E575F">
                  <w:pPr>
                    <w:pStyle w:val="TableText0"/>
                    <w:keepNext w:val="0"/>
                    <w:jc w:val="center"/>
                  </w:pPr>
                  <w:r>
                    <w:rPr>
                      <w:noProof/>
                      <w:color w:val="000000"/>
                      <w:highlight w:val="black"/>
                    </w:rPr>
                    <w:t>''''</w:t>
                  </w:r>
                  <w:r w:rsidR="003E575F" w:rsidRPr="00015BC4">
                    <w:t>%</w:t>
                  </w:r>
                </w:p>
              </w:tc>
              <w:tc>
                <w:tcPr>
                  <w:tcW w:w="567" w:type="dxa"/>
                  <w:vAlign w:val="center"/>
                </w:tcPr>
                <w:p w:rsidR="003E575F" w:rsidRPr="00015BC4" w:rsidRDefault="0059530D" w:rsidP="003E575F">
                  <w:pPr>
                    <w:pStyle w:val="TableText0"/>
                    <w:keepNext w:val="0"/>
                    <w:jc w:val="center"/>
                  </w:pPr>
                  <w:r>
                    <w:rPr>
                      <w:noProof/>
                      <w:color w:val="000000"/>
                      <w:highlight w:val="black"/>
                    </w:rPr>
                    <w:t>''''''</w:t>
                  </w:r>
                  <w:r w:rsidR="003E575F" w:rsidRPr="00015BC4">
                    <w:t>%</w:t>
                  </w:r>
                </w:p>
              </w:tc>
              <w:tc>
                <w:tcPr>
                  <w:tcW w:w="567" w:type="dxa"/>
                  <w:vAlign w:val="center"/>
                </w:tcPr>
                <w:p w:rsidR="003E575F" w:rsidRPr="00015BC4" w:rsidRDefault="0059530D" w:rsidP="003E575F">
                  <w:pPr>
                    <w:pStyle w:val="TableText0"/>
                    <w:keepNext w:val="0"/>
                    <w:jc w:val="center"/>
                  </w:pPr>
                  <w:r>
                    <w:rPr>
                      <w:noProof/>
                      <w:color w:val="000000"/>
                      <w:highlight w:val="black"/>
                    </w:rPr>
                    <w:t>'''''</w:t>
                  </w:r>
                  <w:r w:rsidR="003E575F" w:rsidRPr="00015BC4">
                    <w:t>%</w:t>
                  </w:r>
                </w:p>
              </w:tc>
              <w:tc>
                <w:tcPr>
                  <w:tcW w:w="567" w:type="dxa"/>
                  <w:vAlign w:val="center"/>
                </w:tcPr>
                <w:p w:rsidR="003E575F" w:rsidRPr="00015BC4" w:rsidRDefault="0059530D" w:rsidP="003E575F">
                  <w:pPr>
                    <w:pStyle w:val="TableText0"/>
                    <w:keepNext w:val="0"/>
                    <w:jc w:val="center"/>
                  </w:pPr>
                  <w:r>
                    <w:rPr>
                      <w:noProof/>
                      <w:color w:val="000000"/>
                      <w:highlight w:val="black"/>
                    </w:rPr>
                    <w:t>''''''</w:t>
                  </w:r>
                  <w:r w:rsidR="003E575F" w:rsidRPr="00015BC4">
                    <w:t>%</w:t>
                  </w:r>
                </w:p>
              </w:tc>
            </w:tr>
            <w:tr w:rsidR="003E575F" w:rsidRPr="00015BC4" w:rsidTr="003E575F">
              <w:tc>
                <w:tcPr>
                  <w:tcW w:w="1245" w:type="dxa"/>
                </w:tcPr>
                <w:p w:rsidR="003E575F" w:rsidRPr="00015BC4" w:rsidRDefault="003E575F" w:rsidP="003E575F">
                  <w:pPr>
                    <w:pStyle w:val="TableText0"/>
                    <w:keepNext w:val="0"/>
                  </w:pPr>
                  <w:r w:rsidRPr="00015BC4">
                    <w:lastRenderedPageBreak/>
                    <w:t xml:space="preserve">Exception: Cladribine, alemtuzumab </w:t>
                  </w:r>
                </w:p>
              </w:tc>
              <w:tc>
                <w:tcPr>
                  <w:tcW w:w="567" w:type="dxa"/>
                  <w:vAlign w:val="center"/>
                </w:tcPr>
                <w:p w:rsidR="003E575F" w:rsidRPr="003C0833" w:rsidRDefault="0059530D" w:rsidP="003E575F">
                  <w:pPr>
                    <w:pStyle w:val="TableText0"/>
                    <w:keepNext w:val="0"/>
                    <w:jc w:val="center"/>
                  </w:pPr>
                  <w:r>
                    <w:rPr>
                      <w:noProof/>
                      <w:color w:val="000000"/>
                      <w:szCs w:val="20"/>
                      <w:highlight w:val="black"/>
                    </w:rPr>
                    <w:t>'''</w:t>
                  </w:r>
                  <w:r w:rsidR="003E575F" w:rsidRPr="003C0833">
                    <w:rPr>
                      <w:szCs w:val="20"/>
                    </w:rPr>
                    <w:t>%</w:t>
                  </w:r>
                </w:p>
              </w:tc>
              <w:tc>
                <w:tcPr>
                  <w:tcW w:w="567" w:type="dxa"/>
                  <w:vAlign w:val="center"/>
                </w:tcPr>
                <w:p w:rsidR="003E575F" w:rsidRPr="003C0833" w:rsidRDefault="0059530D" w:rsidP="003E575F">
                  <w:pPr>
                    <w:pStyle w:val="TableText0"/>
                    <w:keepNext w:val="0"/>
                    <w:jc w:val="center"/>
                  </w:pPr>
                  <w:r>
                    <w:rPr>
                      <w:noProof/>
                      <w:color w:val="000000"/>
                      <w:highlight w:val="black"/>
                    </w:rPr>
                    <w:t>''''</w:t>
                  </w:r>
                  <w:r w:rsidR="003E575F" w:rsidRPr="003C0833">
                    <w:t>%</w:t>
                  </w:r>
                </w:p>
              </w:tc>
              <w:tc>
                <w:tcPr>
                  <w:tcW w:w="567" w:type="dxa"/>
                  <w:vAlign w:val="center"/>
                </w:tcPr>
                <w:p w:rsidR="003E575F" w:rsidRPr="003C0833" w:rsidRDefault="0059530D" w:rsidP="003E575F">
                  <w:pPr>
                    <w:pStyle w:val="TableText0"/>
                    <w:keepNext w:val="0"/>
                    <w:jc w:val="center"/>
                  </w:pPr>
                  <w:r>
                    <w:rPr>
                      <w:noProof/>
                      <w:color w:val="000000"/>
                      <w:highlight w:val="black"/>
                    </w:rPr>
                    <w:t>'''</w:t>
                  </w:r>
                  <w:r w:rsidR="003E575F" w:rsidRPr="003C0833">
                    <w:t>%</w:t>
                  </w:r>
                </w:p>
              </w:tc>
              <w:tc>
                <w:tcPr>
                  <w:tcW w:w="567" w:type="dxa"/>
                  <w:vAlign w:val="center"/>
                </w:tcPr>
                <w:p w:rsidR="003E575F" w:rsidRPr="003C0833" w:rsidRDefault="0059530D" w:rsidP="003E575F">
                  <w:pPr>
                    <w:pStyle w:val="TableText0"/>
                    <w:keepNext w:val="0"/>
                    <w:jc w:val="center"/>
                  </w:pPr>
                  <w:r>
                    <w:rPr>
                      <w:noProof/>
                      <w:color w:val="000000"/>
                      <w:highlight w:val="black"/>
                    </w:rPr>
                    <w:t>'''</w:t>
                  </w:r>
                  <w:r w:rsidR="003E575F" w:rsidRPr="003C0833">
                    <w:t>%</w:t>
                  </w:r>
                </w:p>
              </w:tc>
              <w:tc>
                <w:tcPr>
                  <w:tcW w:w="567" w:type="dxa"/>
                  <w:vAlign w:val="center"/>
                </w:tcPr>
                <w:p w:rsidR="003E575F" w:rsidRPr="003C0833" w:rsidRDefault="0059530D" w:rsidP="003E575F">
                  <w:pPr>
                    <w:pStyle w:val="TableText0"/>
                    <w:keepNext w:val="0"/>
                    <w:jc w:val="center"/>
                  </w:pPr>
                  <w:r>
                    <w:rPr>
                      <w:noProof/>
                      <w:color w:val="000000"/>
                      <w:highlight w:val="black"/>
                    </w:rPr>
                    <w:t>'''''</w:t>
                  </w:r>
                  <w:r w:rsidR="003E575F" w:rsidRPr="003C0833">
                    <w:t>%</w:t>
                  </w:r>
                </w:p>
              </w:tc>
              <w:tc>
                <w:tcPr>
                  <w:tcW w:w="567" w:type="dxa"/>
                  <w:vAlign w:val="center"/>
                </w:tcPr>
                <w:p w:rsidR="003E575F" w:rsidRPr="003C0833" w:rsidRDefault="0059530D" w:rsidP="003E575F">
                  <w:pPr>
                    <w:pStyle w:val="TableText0"/>
                    <w:keepNext w:val="0"/>
                    <w:jc w:val="center"/>
                  </w:pPr>
                  <w:r>
                    <w:rPr>
                      <w:noProof/>
                      <w:color w:val="000000"/>
                      <w:szCs w:val="20"/>
                      <w:highlight w:val="black"/>
                    </w:rPr>
                    <w:t>''''''</w:t>
                  </w:r>
                  <w:r w:rsidR="003E575F" w:rsidRPr="003C0833">
                    <w:rPr>
                      <w:szCs w:val="20"/>
                    </w:rPr>
                    <w:t>%</w:t>
                  </w:r>
                </w:p>
              </w:tc>
            </w:tr>
          </w:tbl>
          <w:p w:rsidR="003E575F" w:rsidRPr="00015BC4" w:rsidRDefault="003E575F" w:rsidP="003E575F">
            <w:pPr>
              <w:pStyle w:val="TableFooter"/>
              <w:rPr>
                <w:lang w:val="en-AU"/>
              </w:rPr>
            </w:pPr>
            <w:r w:rsidRPr="00015BC4">
              <w:rPr>
                <w:lang w:val="en-AU"/>
              </w:rPr>
              <w:t>Source: p188 of the resubmission</w:t>
            </w:r>
          </w:p>
          <w:p w:rsidR="003E575F" w:rsidRPr="00015BC4" w:rsidRDefault="003E575F" w:rsidP="003E575F">
            <w:pPr>
              <w:rPr>
                <w:rFonts w:ascii="Arial Narrow" w:hAnsi="Arial Narrow"/>
                <w:sz w:val="20"/>
                <w:szCs w:val="20"/>
                <w:lang w:val="en-AU"/>
              </w:rPr>
            </w:pPr>
            <w:r w:rsidRPr="00015BC4">
              <w:rPr>
                <w:rFonts w:ascii="Arial Narrow" w:hAnsi="Arial Narrow"/>
                <w:sz w:val="20"/>
                <w:szCs w:val="20"/>
                <w:lang w:val="en-AU"/>
              </w:rPr>
              <w:t xml:space="preserve">The resubmission considered that for many reasons, it is likely that uptake of siponimod in patients already treated with a DMT will be low and gradual due to: difficulty in switching within this group of drugs, interval between neurologist appointments, genotype testing needed prior to treatment with siponimod, the number of PBS-listed options for treatment of RRMS. The resubmission noted that cladribine and alemtuzumab had lower market uptake in Year 2 as a result of their infrequent dosing regimen. </w:t>
            </w:r>
          </w:p>
        </w:tc>
        <w:tc>
          <w:tcPr>
            <w:tcW w:w="1701" w:type="pct"/>
            <w:shd w:val="clear" w:color="auto" w:fill="auto"/>
          </w:tcPr>
          <w:p w:rsidR="003E575F" w:rsidRPr="00015BC4" w:rsidRDefault="003E575F" w:rsidP="003E575F">
            <w:pPr>
              <w:pStyle w:val="TableText0"/>
              <w:keepNext w:val="0"/>
              <w:rPr>
                <w:szCs w:val="20"/>
              </w:rPr>
            </w:pPr>
          </w:p>
          <w:p w:rsidR="003E575F" w:rsidRPr="00015BC4" w:rsidRDefault="003E575F" w:rsidP="003E575F">
            <w:pPr>
              <w:pStyle w:val="TableText0"/>
              <w:keepNext w:val="0"/>
            </w:pPr>
            <w:r w:rsidRPr="00015BC4">
              <w:rPr>
                <w:szCs w:val="20"/>
              </w:rPr>
              <w:t xml:space="preserve">The ESC considered an analysis of the proportion of patients using DMTs by EDSS score would help inform the EDSS </w:t>
            </w:r>
            <w:r w:rsidRPr="00015BC4">
              <w:rPr>
                <w:szCs w:val="20"/>
              </w:rPr>
              <w:lastRenderedPageBreak/>
              <w:t>6.0/6.5 DMT-treated estimates. The pre-PBAC response stated that the sponsor does not have access to DMT usage data split by EDSS.</w:t>
            </w:r>
          </w:p>
        </w:tc>
      </w:tr>
      <w:tr w:rsidR="003E575F" w:rsidRPr="00015BC4" w:rsidTr="003E575F">
        <w:tc>
          <w:tcPr>
            <w:tcW w:w="626" w:type="pct"/>
            <w:shd w:val="clear" w:color="auto" w:fill="auto"/>
          </w:tcPr>
          <w:p w:rsidR="003E575F" w:rsidRPr="00015BC4" w:rsidRDefault="003E575F" w:rsidP="003E575F">
            <w:pPr>
              <w:pStyle w:val="TableText0"/>
              <w:keepNext w:val="0"/>
              <w:rPr>
                <w:szCs w:val="20"/>
              </w:rPr>
            </w:pPr>
            <w:r w:rsidRPr="00015BC4">
              <w:rPr>
                <w:szCs w:val="20"/>
              </w:rPr>
              <w:lastRenderedPageBreak/>
              <w:t>Proposed price (Pre-PBAC Response)</w:t>
            </w:r>
          </w:p>
        </w:tc>
        <w:tc>
          <w:tcPr>
            <w:tcW w:w="2673" w:type="pct"/>
            <w:shd w:val="clear" w:color="auto" w:fill="auto"/>
          </w:tcPr>
          <w:p w:rsidR="003E575F" w:rsidRPr="00015BC4" w:rsidRDefault="003E575F" w:rsidP="003E575F">
            <w:pPr>
              <w:pStyle w:val="TableText0"/>
              <w:keepNext w:val="0"/>
              <w:rPr>
                <w:rStyle w:val="CommentReference"/>
                <w:b w:val="0"/>
              </w:rPr>
            </w:pPr>
            <w:r w:rsidRPr="00015BC4">
              <w:rPr>
                <w:rStyle w:val="CommentReference"/>
                <w:b w:val="0"/>
              </w:rPr>
              <w:t>Effective DPMQ for maintenance pack reduced to $</w:t>
            </w:r>
            <w:r w:rsidR="003C0833">
              <w:rPr>
                <w:rStyle w:val="CommentReference"/>
                <w:b w:val="0"/>
                <w:noProof/>
                <w:color w:val="000000"/>
                <w:highlight w:val="black"/>
              </w:rPr>
              <w:t>'''''''''''''''''''</w:t>
            </w:r>
            <w:r w:rsidRPr="00015BC4">
              <w:rPr>
                <w:rStyle w:val="CommentReference"/>
                <w:b w:val="0"/>
              </w:rPr>
              <w:t xml:space="preserve"> (AEMP $</w:t>
            </w:r>
            <w:r w:rsidR="003C0833">
              <w:rPr>
                <w:rStyle w:val="CommentReference"/>
                <w:b w:val="0"/>
                <w:noProof/>
                <w:color w:val="000000"/>
                <w:highlight w:val="black"/>
              </w:rPr>
              <w:t>'''''''''''''''''''''</w:t>
            </w:r>
            <w:r w:rsidRPr="00015BC4">
              <w:rPr>
                <w:rStyle w:val="CommentReference"/>
                <w:b w:val="0"/>
              </w:rPr>
              <w:t>) and for titration pack to $</w:t>
            </w:r>
            <w:r w:rsidR="003C0833">
              <w:rPr>
                <w:rStyle w:val="CommentReference"/>
                <w:b w:val="0"/>
                <w:noProof/>
                <w:color w:val="000000"/>
                <w:highlight w:val="black"/>
              </w:rPr>
              <w:t>''''''''''''''''''</w:t>
            </w:r>
            <w:r w:rsidRPr="00015BC4">
              <w:rPr>
                <w:rStyle w:val="CommentReference"/>
                <w:b w:val="0"/>
              </w:rPr>
              <w:t xml:space="preserve"> (AEMP $</w:t>
            </w:r>
            <w:r w:rsidR="003C0833">
              <w:rPr>
                <w:rStyle w:val="CommentReference"/>
                <w:b w:val="0"/>
                <w:noProof/>
                <w:color w:val="000000"/>
                <w:highlight w:val="black"/>
              </w:rPr>
              <w:t>'''''''''''''''''</w:t>
            </w:r>
            <w:r w:rsidRPr="00015BC4">
              <w:rPr>
                <w:rStyle w:val="CommentReference"/>
                <w:b w:val="0"/>
              </w:rPr>
              <w:t xml:space="preserve">), based on the weighted CMA with proportional split of </w:t>
            </w:r>
            <w:r w:rsidR="003C0833">
              <w:rPr>
                <w:rStyle w:val="CommentReference"/>
                <w:b w:val="0"/>
                <w:noProof/>
                <w:color w:val="000000"/>
                <w:highlight w:val="black"/>
              </w:rPr>
              <w:t>''''''''''''''</w:t>
            </w:r>
            <w:r w:rsidRPr="00A00B4A">
              <w:rPr>
                <w:rStyle w:val="CommentReference"/>
                <w:b w:val="0"/>
              </w:rPr>
              <w:t xml:space="preserve"> (</w:t>
            </w:r>
            <w:r w:rsidRPr="0059530D">
              <w:rPr>
                <w:rStyle w:val="CommentReference"/>
                <w:b w:val="0"/>
              </w:rPr>
              <w:t>fingolimod:IFN beta) using</w:t>
            </w:r>
            <w:r w:rsidRPr="00015BC4">
              <w:rPr>
                <w:rStyle w:val="CommentReference"/>
                <w:b w:val="0"/>
              </w:rPr>
              <w:t xml:space="preserve"> years 5 and 6 of the utilisation estimates.</w:t>
            </w:r>
          </w:p>
        </w:tc>
        <w:tc>
          <w:tcPr>
            <w:tcW w:w="1701" w:type="pct"/>
            <w:shd w:val="clear" w:color="auto" w:fill="auto"/>
          </w:tcPr>
          <w:p w:rsidR="003E575F" w:rsidRPr="00015BC4" w:rsidRDefault="003E575F" w:rsidP="003E575F">
            <w:pPr>
              <w:pStyle w:val="TableText0"/>
              <w:keepNext w:val="0"/>
              <w:rPr>
                <w:szCs w:val="20"/>
              </w:rPr>
            </w:pPr>
          </w:p>
        </w:tc>
      </w:tr>
    </w:tbl>
    <w:p w:rsidR="003E575F" w:rsidRPr="00015BC4" w:rsidRDefault="003E575F" w:rsidP="003E575F">
      <w:pPr>
        <w:rPr>
          <w:rFonts w:ascii="Arial Narrow" w:hAnsi="Arial Narrow"/>
          <w:snapToGrid w:val="0"/>
          <w:sz w:val="18"/>
          <w:szCs w:val="22"/>
          <w:lang w:val="en-AU"/>
        </w:rPr>
      </w:pPr>
      <w:r w:rsidRPr="00015BC4">
        <w:rPr>
          <w:rFonts w:ascii="Arial Narrow" w:hAnsi="Arial Narrow"/>
          <w:snapToGrid w:val="0"/>
          <w:sz w:val="18"/>
          <w:szCs w:val="22"/>
          <w:lang w:val="en-AU"/>
        </w:rPr>
        <w:t xml:space="preserve">Source: p177-202 of the resubmission and Attachment 17 of the resubmission. </w:t>
      </w:r>
    </w:p>
    <w:p w:rsidR="003E575F" w:rsidRPr="00015BC4" w:rsidRDefault="003E575F" w:rsidP="003E575F">
      <w:pPr>
        <w:pStyle w:val="TableFigureFooter"/>
        <w:jc w:val="both"/>
        <w:rPr>
          <w:lang w:val="en-AU"/>
        </w:rPr>
      </w:pPr>
      <w:r w:rsidRPr="00015BC4">
        <w:rPr>
          <w:lang w:val="en-AU"/>
        </w:rPr>
        <w:t xml:space="preserve">CMA = </w:t>
      </w:r>
      <w:r w:rsidRPr="00015BC4">
        <w:rPr>
          <w:color w:val="000000" w:themeColor="text1"/>
          <w:lang w:val="en-AU"/>
        </w:rPr>
        <w:t xml:space="preserve">cost minimisation analysis; </w:t>
      </w:r>
      <w:r w:rsidRPr="00015BC4">
        <w:rPr>
          <w:lang w:val="en-AU"/>
        </w:rPr>
        <w:t>DMT = disease modifying treatment; DPMQ dispensed price per maximum quantity; DUSC = Drug Utilisation sub-committee; EDSS = Expanded Disability Status Scale; MBS = Medicare Benefits Schedule; MS = multiple sclerosis; PBAC = Pharmaceutical Benefits Advisory Committee; PBS = Pharmaceutical Benefits Scheme; RPBS = Repatriation Pharmaceutical Benefits Scheme; RRMS = relapsing remitting multiple sclerosis; SPMS = secondary progressive multiple sclerosis</w:t>
      </w:r>
    </w:p>
    <w:p w:rsidR="003E575F" w:rsidRPr="00015BC4" w:rsidRDefault="003E575F" w:rsidP="003E575F">
      <w:pPr>
        <w:pStyle w:val="3-BodyText"/>
      </w:pPr>
      <w:r w:rsidRPr="00015BC4">
        <w:rPr>
          <w:rStyle w:val="CommentReference"/>
          <w:rFonts w:asciiTheme="minorHAnsi" w:hAnsiTheme="minorHAnsi"/>
          <w:b w:val="0"/>
          <w:sz w:val="24"/>
          <w:szCs w:val="24"/>
        </w:rPr>
        <w:t xml:space="preserve">Table </w:t>
      </w:r>
      <w:r w:rsidRPr="00015BC4">
        <w:t xml:space="preserve">14 presents estimated use and financial implications, updated with revised assumptions from the Pre-PBAC Response. </w:t>
      </w:r>
    </w:p>
    <w:p w:rsidR="003E575F" w:rsidRPr="00015BC4" w:rsidRDefault="003E575F" w:rsidP="003E575F">
      <w:pPr>
        <w:pStyle w:val="TableFigureHeading"/>
        <w:rPr>
          <w:rStyle w:val="CommentReference"/>
          <w:b/>
          <w:szCs w:val="24"/>
        </w:rPr>
      </w:pPr>
      <w:bookmarkStart w:id="38" w:name="_Ref38101790"/>
      <w:r w:rsidRPr="00015BC4">
        <w:rPr>
          <w:rStyle w:val="CommentReference"/>
          <w:b/>
          <w:szCs w:val="24"/>
        </w:rPr>
        <w:lastRenderedPageBreak/>
        <w:t xml:space="preserve">Table </w:t>
      </w:r>
      <w:r w:rsidRPr="00015BC4">
        <w:rPr>
          <w:color w:val="000000" w:themeColor="text1"/>
        </w:rPr>
        <w:t>14</w:t>
      </w:r>
      <w:bookmarkEnd w:id="38"/>
      <w:r w:rsidRPr="00015BC4">
        <w:rPr>
          <w:color w:val="000000" w:themeColor="text1"/>
        </w:rPr>
        <w:t xml:space="preserve">: </w:t>
      </w:r>
      <w:r w:rsidRPr="00015BC4">
        <w:rPr>
          <w:rStyle w:val="CommentReference"/>
          <w:b/>
          <w:szCs w:val="24"/>
        </w:rPr>
        <w:t>Estimated use and financial implications (Pre-PBAC Response)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7"/>
        <w:gridCol w:w="1167"/>
        <w:gridCol w:w="1167"/>
        <w:gridCol w:w="1167"/>
        <w:gridCol w:w="1167"/>
        <w:gridCol w:w="1167"/>
        <w:gridCol w:w="1167"/>
      </w:tblGrid>
      <w:tr w:rsidR="003E575F" w:rsidRPr="00015BC4" w:rsidTr="003E575F">
        <w:trPr>
          <w:tblHeader/>
        </w:trPr>
        <w:tc>
          <w:tcPr>
            <w:tcW w:w="1118" w:type="pct"/>
            <w:shd w:val="clear" w:color="auto" w:fill="auto"/>
            <w:vAlign w:val="center"/>
          </w:tcPr>
          <w:p w:rsidR="003E575F" w:rsidRPr="00015BC4" w:rsidRDefault="003E575F" w:rsidP="003E575F">
            <w:pPr>
              <w:keepNext/>
              <w:jc w:val="center"/>
              <w:rPr>
                <w:rFonts w:ascii="Arial Narrow" w:eastAsia="MS Gothic" w:hAnsi="Arial Narrow"/>
                <w:b/>
                <w:sz w:val="20"/>
                <w:lang w:val="en-AU" w:eastAsia="en-AU"/>
              </w:rPr>
            </w:pPr>
          </w:p>
        </w:tc>
        <w:tc>
          <w:tcPr>
            <w:tcW w:w="647" w:type="pct"/>
            <w:shd w:val="clear" w:color="auto" w:fill="auto"/>
            <w:vAlign w:val="center"/>
          </w:tcPr>
          <w:p w:rsidR="003E575F" w:rsidRPr="00015BC4" w:rsidRDefault="003E575F" w:rsidP="003E575F">
            <w:pPr>
              <w:keepNext/>
              <w:jc w:val="center"/>
              <w:rPr>
                <w:rFonts w:ascii="Arial Narrow" w:eastAsia="MS Gothic" w:hAnsi="Arial Narrow"/>
                <w:b/>
                <w:sz w:val="20"/>
                <w:lang w:val="en-AU" w:eastAsia="en-AU"/>
              </w:rPr>
            </w:pPr>
            <w:r w:rsidRPr="00015BC4">
              <w:rPr>
                <w:rFonts w:ascii="Arial Narrow" w:eastAsia="MS Gothic" w:hAnsi="Arial Narrow"/>
                <w:b/>
                <w:sz w:val="20"/>
                <w:lang w:val="en-AU" w:eastAsia="en-AU"/>
              </w:rPr>
              <w:t>Year 1</w:t>
            </w:r>
          </w:p>
        </w:tc>
        <w:tc>
          <w:tcPr>
            <w:tcW w:w="647" w:type="pct"/>
            <w:shd w:val="clear" w:color="auto" w:fill="auto"/>
            <w:vAlign w:val="center"/>
          </w:tcPr>
          <w:p w:rsidR="003E575F" w:rsidRPr="00015BC4" w:rsidRDefault="003E575F" w:rsidP="003E575F">
            <w:pPr>
              <w:keepNext/>
              <w:jc w:val="center"/>
              <w:rPr>
                <w:rFonts w:ascii="Arial Narrow" w:eastAsia="MS Gothic" w:hAnsi="Arial Narrow"/>
                <w:b/>
                <w:sz w:val="20"/>
                <w:lang w:val="en-AU" w:eastAsia="en-AU"/>
              </w:rPr>
            </w:pPr>
            <w:r w:rsidRPr="00015BC4">
              <w:rPr>
                <w:rFonts w:ascii="Arial Narrow" w:eastAsia="MS Gothic" w:hAnsi="Arial Narrow"/>
                <w:b/>
                <w:sz w:val="20"/>
                <w:lang w:val="en-AU" w:eastAsia="en-AU"/>
              </w:rPr>
              <w:t>Year 2</w:t>
            </w:r>
          </w:p>
        </w:tc>
        <w:tc>
          <w:tcPr>
            <w:tcW w:w="647" w:type="pct"/>
            <w:shd w:val="clear" w:color="auto" w:fill="auto"/>
            <w:vAlign w:val="center"/>
          </w:tcPr>
          <w:p w:rsidR="003E575F" w:rsidRPr="00015BC4" w:rsidRDefault="003E575F" w:rsidP="003E575F">
            <w:pPr>
              <w:keepNext/>
              <w:jc w:val="center"/>
              <w:rPr>
                <w:rFonts w:ascii="Arial Narrow" w:eastAsia="MS Gothic" w:hAnsi="Arial Narrow"/>
                <w:b/>
                <w:sz w:val="20"/>
                <w:lang w:val="en-AU" w:eastAsia="en-AU"/>
              </w:rPr>
            </w:pPr>
            <w:r w:rsidRPr="00015BC4">
              <w:rPr>
                <w:rFonts w:ascii="Arial Narrow" w:eastAsia="MS Gothic" w:hAnsi="Arial Narrow"/>
                <w:b/>
                <w:sz w:val="20"/>
                <w:lang w:val="en-AU" w:eastAsia="en-AU"/>
              </w:rPr>
              <w:t>Year 3</w:t>
            </w:r>
          </w:p>
        </w:tc>
        <w:tc>
          <w:tcPr>
            <w:tcW w:w="647" w:type="pct"/>
            <w:shd w:val="clear" w:color="auto" w:fill="auto"/>
            <w:vAlign w:val="center"/>
          </w:tcPr>
          <w:p w:rsidR="003E575F" w:rsidRPr="00015BC4" w:rsidRDefault="003E575F" w:rsidP="003E575F">
            <w:pPr>
              <w:keepNext/>
              <w:jc w:val="center"/>
              <w:rPr>
                <w:rFonts w:ascii="Arial Narrow" w:eastAsia="MS Gothic" w:hAnsi="Arial Narrow"/>
                <w:b/>
                <w:sz w:val="20"/>
                <w:lang w:val="en-AU" w:eastAsia="en-AU"/>
              </w:rPr>
            </w:pPr>
            <w:r w:rsidRPr="00015BC4">
              <w:rPr>
                <w:rFonts w:ascii="Arial Narrow" w:eastAsia="MS Gothic" w:hAnsi="Arial Narrow"/>
                <w:b/>
                <w:sz w:val="20"/>
                <w:lang w:val="en-AU" w:eastAsia="en-AU"/>
              </w:rPr>
              <w:t>Year 4</w:t>
            </w:r>
          </w:p>
        </w:tc>
        <w:tc>
          <w:tcPr>
            <w:tcW w:w="647" w:type="pct"/>
            <w:shd w:val="clear" w:color="auto" w:fill="auto"/>
            <w:vAlign w:val="center"/>
          </w:tcPr>
          <w:p w:rsidR="003E575F" w:rsidRPr="00015BC4" w:rsidRDefault="003E575F" w:rsidP="003E575F">
            <w:pPr>
              <w:keepNext/>
              <w:jc w:val="center"/>
              <w:rPr>
                <w:rFonts w:ascii="Arial Narrow" w:eastAsia="MS Gothic" w:hAnsi="Arial Narrow"/>
                <w:b/>
                <w:sz w:val="20"/>
                <w:lang w:val="en-AU" w:eastAsia="en-AU"/>
              </w:rPr>
            </w:pPr>
            <w:r w:rsidRPr="00015BC4">
              <w:rPr>
                <w:rFonts w:ascii="Arial Narrow" w:eastAsia="MS Gothic" w:hAnsi="Arial Narrow"/>
                <w:b/>
                <w:sz w:val="20"/>
                <w:lang w:val="en-AU" w:eastAsia="en-AU"/>
              </w:rPr>
              <w:t>Year 5</w:t>
            </w:r>
          </w:p>
        </w:tc>
        <w:tc>
          <w:tcPr>
            <w:tcW w:w="647" w:type="pct"/>
          </w:tcPr>
          <w:p w:rsidR="003E575F" w:rsidRPr="00015BC4" w:rsidRDefault="003E575F" w:rsidP="003E575F">
            <w:pPr>
              <w:keepNext/>
              <w:jc w:val="center"/>
              <w:rPr>
                <w:rFonts w:ascii="Arial Narrow" w:eastAsia="MS Gothic" w:hAnsi="Arial Narrow"/>
                <w:b/>
                <w:sz w:val="20"/>
                <w:lang w:val="en-AU" w:eastAsia="en-AU"/>
              </w:rPr>
            </w:pPr>
            <w:r w:rsidRPr="00015BC4">
              <w:rPr>
                <w:rFonts w:ascii="Arial Narrow" w:eastAsia="MS Gothic" w:hAnsi="Arial Narrow"/>
                <w:b/>
                <w:sz w:val="20"/>
                <w:lang w:val="en-AU" w:eastAsia="en-AU"/>
              </w:rPr>
              <w:t>Year 6</w:t>
            </w:r>
          </w:p>
        </w:tc>
      </w:tr>
      <w:tr w:rsidR="003E575F" w:rsidRPr="00015BC4" w:rsidTr="003E575F">
        <w:tc>
          <w:tcPr>
            <w:tcW w:w="5000" w:type="pct"/>
            <w:gridSpan w:val="7"/>
            <w:shd w:val="clear" w:color="auto" w:fill="auto"/>
            <w:vAlign w:val="center"/>
          </w:tcPr>
          <w:p w:rsidR="003E575F" w:rsidRPr="00015BC4" w:rsidRDefault="003E575F" w:rsidP="003E575F">
            <w:pPr>
              <w:keepNext/>
              <w:rPr>
                <w:rFonts w:ascii="Arial Narrow" w:eastAsia="MS Gothic" w:hAnsi="Arial Narrow"/>
                <w:b/>
                <w:bCs/>
                <w:color w:val="000000"/>
                <w:sz w:val="20"/>
                <w:lang w:val="en-AU" w:eastAsia="en-AU"/>
              </w:rPr>
            </w:pPr>
            <w:r w:rsidRPr="00015BC4">
              <w:rPr>
                <w:rFonts w:ascii="Arial Narrow" w:eastAsia="MS Gothic" w:hAnsi="Arial Narrow"/>
                <w:b/>
                <w:bCs/>
                <w:color w:val="000000"/>
                <w:sz w:val="20"/>
                <w:lang w:val="en-AU" w:eastAsia="en-AU"/>
              </w:rPr>
              <w:t>Estimated extent of use</w:t>
            </w:r>
          </w:p>
        </w:tc>
      </w:tr>
      <w:tr w:rsidR="003E575F" w:rsidRPr="00015BC4" w:rsidTr="003E575F">
        <w:tc>
          <w:tcPr>
            <w:tcW w:w="1118" w:type="pct"/>
            <w:shd w:val="clear" w:color="auto" w:fill="auto"/>
            <w:vAlign w:val="center"/>
          </w:tcPr>
          <w:p w:rsidR="003E575F" w:rsidRPr="00015BC4" w:rsidRDefault="003E575F" w:rsidP="003E575F">
            <w:pPr>
              <w:keepNext/>
              <w:rPr>
                <w:rFonts w:ascii="Times" w:eastAsia="MS Gothic" w:hAnsi="Times"/>
                <w:bCs/>
                <w:sz w:val="20"/>
                <w:lang w:val="en-AU" w:eastAsia="en-AU"/>
              </w:rPr>
            </w:pPr>
            <w:r w:rsidRPr="00015BC4">
              <w:rPr>
                <w:rFonts w:ascii="Arial Narrow" w:eastAsia="MS Gothic" w:hAnsi="Arial Narrow"/>
                <w:bCs/>
                <w:sz w:val="20"/>
                <w:lang w:val="en-AU" w:eastAsia="en-AU"/>
              </w:rPr>
              <w:t>Number of patients treated (epi segment only)</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r>
      <w:tr w:rsidR="003E575F" w:rsidRPr="00015BC4" w:rsidTr="003E575F">
        <w:tc>
          <w:tcPr>
            <w:tcW w:w="1118" w:type="pct"/>
            <w:shd w:val="clear" w:color="auto" w:fill="auto"/>
            <w:vAlign w:val="center"/>
          </w:tcPr>
          <w:p w:rsidR="003E575F" w:rsidRPr="00015BC4" w:rsidRDefault="003E575F" w:rsidP="003E575F">
            <w:pPr>
              <w:keepNext/>
              <w:rPr>
                <w:rFonts w:ascii="Arial Narrow" w:eastAsia="MS Gothic" w:hAnsi="Arial Narrow"/>
                <w:bCs/>
                <w:sz w:val="20"/>
                <w:lang w:val="en-AU" w:eastAsia="en-AU"/>
              </w:rPr>
            </w:pPr>
            <w:r w:rsidRPr="00015BC4">
              <w:rPr>
                <w:rFonts w:ascii="Arial Narrow" w:eastAsia="MS Gothic" w:hAnsi="Arial Narrow"/>
                <w:bCs/>
                <w:sz w:val="20"/>
                <w:lang w:val="en-AU" w:eastAsia="en-AU"/>
              </w:rPr>
              <w:t>Number of patient treated (market share segment)*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sz w:val="20"/>
                <w:highlight w:val="black"/>
                <w:lang w:val="en-AU" w:eastAsia="en-AU"/>
              </w:rPr>
            </w:pPr>
            <w:r>
              <w:rPr>
                <w:rFonts w:ascii="Arial Narrow" w:hAnsi="Arial Narrow" w:cs="Arial"/>
                <w:noProof/>
                <w:color w:val="000000"/>
                <w:sz w:val="20"/>
                <w:szCs w:val="20"/>
                <w:highlight w:val="black"/>
                <w:lang w:val="en-AU"/>
              </w:rPr>
              <w:t>'''''''''''''</w:t>
            </w:r>
          </w:p>
        </w:tc>
      </w:tr>
      <w:tr w:rsidR="003E575F" w:rsidRPr="00015BC4" w:rsidTr="003E575F">
        <w:tc>
          <w:tcPr>
            <w:tcW w:w="1118" w:type="pct"/>
            <w:shd w:val="clear" w:color="auto" w:fill="auto"/>
            <w:vAlign w:val="center"/>
          </w:tcPr>
          <w:p w:rsidR="003E575F" w:rsidRPr="00015BC4" w:rsidRDefault="003E575F" w:rsidP="003E575F">
            <w:pPr>
              <w:keepNext/>
              <w:rPr>
                <w:rFonts w:ascii="Arial Narrow" w:eastAsia="MS Gothic" w:hAnsi="Arial Narrow"/>
                <w:bCs/>
                <w:sz w:val="20"/>
                <w:lang w:val="en-AU" w:eastAsia="en-AU"/>
              </w:rPr>
            </w:pPr>
            <w:r w:rsidRPr="00015BC4">
              <w:rPr>
                <w:rFonts w:ascii="Arial Narrow" w:eastAsia="MS Gothic" w:hAnsi="Arial Narrow"/>
                <w:bCs/>
                <w:sz w:val="20"/>
                <w:lang w:val="en-AU" w:eastAsia="en-AU"/>
              </w:rPr>
              <w:t xml:space="preserve">Number of scripts dispensed (epi approach segment) </w:t>
            </w:r>
            <w:r w:rsidRPr="00015BC4">
              <w:rPr>
                <w:rFonts w:ascii="Arial Narrow" w:eastAsia="MS Gothic" w:hAnsi="Arial Narrow"/>
                <w:bCs/>
                <w:sz w:val="20"/>
                <w:vertAlign w:val="superscript"/>
                <w:lang w:val="en-AU" w:eastAsia="en-AU"/>
              </w:rPr>
              <w:t>a</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r>
      <w:tr w:rsidR="003E575F" w:rsidRPr="00015BC4" w:rsidTr="003E575F">
        <w:tc>
          <w:tcPr>
            <w:tcW w:w="1118" w:type="pct"/>
            <w:shd w:val="clear" w:color="auto" w:fill="auto"/>
            <w:vAlign w:val="center"/>
          </w:tcPr>
          <w:p w:rsidR="003E575F" w:rsidRPr="00015BC4" w:rsidRDefault="003E575F" w:rsidP="003E575F">
            <w:pPr>
              <w:keepNext/>
              <w:rPr>
                <w:rFonts w:ascii="Arial Narrow" w:eastAsia="MS Gothic" w:hAnsi="Arial Narrow"/>
                <w:bCs/>
                <w:sz w:val="20"/>
                <w:lang w:val="en-AU" w:eastAsia="en-AU"/>
              </w:rPr>
            </w:pPr>
            <w:r w:rsidRPr="00015BC4">
              <w:rPr>
                <w:rFonts w:ascii="Arial Narrow" w:eastAsia="MS Gothic" w:hAnsi="Arial Narrow"/>
                <w:bCs/>
                <w:sz w:val="20"/>
                <w:lang w:val="en-AU" w:eastAsia="en-AU"/>
              </w:rPr>
              <w:t xml:space="preserve">Number of scripts dispensed (market share segment) </w:t>
            </w:r>
            <w:r w:rsidRPr="00015BC4">
              <w:rPr>
                <w:rFonts w:ascii="Arial Narrow" w:eastAsia="MS Gothic" w:hAnsi="Arial Narrow"/>
                <w:bCs/>
                <w:sz w:val="20"/>
                <w:vertAlign w:val="superscript"/>
                <w:lang w:val="en-AU" w:eastAsia="en-AU"/>
              </w:rPr>
              <w:t>a</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highlight w:val="black"/>
                <w:lang w:val="en-AU" w:eastAsia="en-AU"/>
              </w:rPr>
            </w:pPr>
            <w:r>
              <w:rPr>
                <w:rFonts w:ascii="Arial Narrow" w:hAnsi="Arial Narrow" w:cs="Arial"/>
                <w:noProof/>
                <w:color w:val="000000"/>
                <w:sz w:val="20"/>
                <w:szCs w:val="20"/>
                <w:highlight w:val="black"/>
                <w:lang w:val="en-AU"/>
              </w:rPr>
              <w:t>'''''''''''''''</w:t>
            </w:r>
          </w:p>
        </w:tc>
      </w:tr>
      <w:tr w:rsidR="003E575F" w:rsidRPr="00015BC4" w:rsidTr="003E575F">
        <w:tc>
          <w:tcPr>
            <w:tcW w:w="1118" w:type="pct"/>
            <w:shd w:val="clear" w:color="auto" w:fill="auto"/>
            <w:vAlign w:val="center"/>
          </w:tcPr>
          <w:p w:rsidR="003E575F" w:rsidRPr="00015BC4" w:rsidRDefault="003E575F" w:rsidP="003E575F">
            <w:pPr>
              <w:keepNext/>
              <w:rPr>
                <w:rFonts w:ascii="Times" w:eastAsia="MS Gothic" w:hAnsi="Times"/>
                <w:bCs/>
                <w:sz w:val="20"/>
                <w:szCs w:val="20"/>
                <w:lang w:val="en-AU" w:eastAsia="en-AU"/>
              </w:rPr>
            </w:pPr>
            <w:r w:rsidRPr="00015BC4">
              <w:rPr>
                <w:rFonts w:ascii="Arial Narrow" w:eastAsia="MS Gothic" w:hAnsi="Arial Narrow"/>
                <w:bCs/>
                <w:sz w:val="20"/>
                <w:szCs w:val="20"/>
                <w:lang w:val="en-AU" w:eastAsia="en-AU"/>
              </w:rPr>
              <w:t>Total number of scripts</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szCs w:val="20"/>
                <w:highlight w:val="black"/>
                <w:lang w:val="en-AU" w:eastAsia="en-AU"/>
              </w:rPr>
            </w:pPr>
            <w:r>
              <w:rPr>
                <w:rFonts w:ascii="Arial Narrow" w:hAnsi="Arial Narrow" w:cs="Calibri"/>
                <w:noProof/>
                <w:color w:val="000000"/>
                <w:sz w:val="20"/>
                <w:szCs w:val="20"/>
                <w:highlight w:val="black"/>
                <w:lang w:val="en-AU"/>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szCs w:val="20"/>
                <w:highlight w:val="black"/>
                <w:lang w:val="en-AU" w:eastAsia="en-AU"/>
              </w:rPr>
            </w:pPr>
            <w:r>
              <w:rPr>
                <w:rFonts w:ascii="Arial Narrow" w:hAnsi="Arial Narrow" w:cs="Calibri"/>
                <w:noProof/>
                <w:color w:val="000000"/>
                <w:sz w:val="20"/>
                <w:szCs w:val="20"/>
                <w:highlight w:val="black"/>
                <w:lang w:val="en-AU"/>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szCs w:val="20"/>
                <w:highlight w:val="black"/>
                <w:lang w:val="en-AU" w:eastAsia="en-AU"/>
              </w:rPr>
            </w:pPr>
            <w:r>
              <w:rPr>
                <w:rFonts w:ascii="Arial Narrow" w:hAnsi="Arial Narrow" w:cs="Calibri"/>
                <w:noProof/>
                <w:color w:val="000000"/>
                <w:sz w:val="20"/>
                <w:szCs w:val="20"/>
                <w:highlight w:val="black"/>
                <w:lang w:val="en-AU"/>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szCs w:val="20"/>
                <w:highlight w:val="black"/>
                <w:lang w:val="en-AU" w:eastAsia="en-AU"/>
              </w:rPr>
            </w:pPr>
            <w:r>
              <w:rPr>
                <w:rFonts w:ascii="Arial Narrow" w:hAnsi="Arial Narrow" w:cs="Calibri"/>
                <w:noProof/>
                <w:color w:val="000000"/>
                <w:sz w:val="20"/>
                <w:szCs w:val="20"/>
                <w:highlight w:val="black"/>
                <w:lang w:val="en-AU"/>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szCs w:val="20"/>
                <w:highlight w:val="black"/>
                <w:lang w:val="en-AU" w:eastAsia="en-AU"/>
              </w:rPr>
            </w:pPr>
            <w:r>
              <w:rPr>
                <w:rFonts w:ascii="Arial Narrow" w:hAnsi="Arial Narrow" w:cs="Calibri"/>
                <w:noProof/>
                <w:color w:val="000000"/>
                <w:sz w:val="20"/>
                <w:szCs w:val="20"/>
                <w:highlight w:val="black"/>
                <w:lang w:val="en-AU"/>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3C0833" w:rsidRDefault="003C0833" w:rsidP="003E575F">
            <w:pPr>
              <w:keepNext/>
              <w:jc w:val="center"/>
              <w:rPr>
                <w:rFonts w:ascii="Arial Narrow" w:eastAsia="MS Gothic" w:hAnsi="Arial Narrow"/>
                <w:bCs/>
                <w:color w:val="000000"/>
                <w:sz w:val="20"/>
                <w:szCs w:val="20"/>
                <w:highlight w:val="black"/>
                <w:lang w:val="en-AU" w:eastAsia="en-AU"/>
              </w:rPr>
            </w:pPr>
            <w:r>
              <w:rPr>
                <w:rFonts w:ascii="Arial Narrow" w:hAnsi="Arial Narrow" w:cs="Calibri"/>
                <w:noProof/>
                <w:color w:val="000000"/>
                <w:sz w:val="20"/>
                <w:szCs w:val="20"/>
                <w:highlight w:val="black"/>
                <w:lang w:val="en-AU"/>
              </w:rPr>
              <w:t>''''''''''''''''</w:t>
            </w:r>
          </w:p>
        </w:tc>
      </w:tr>
      <w:tr w:rsidR="003E575F" w:rsidRPr="00015BC4" w:rsidTr="003E575F">
        <w:tc>
          <w:tcPr>
            <w:tcW w:w="5000" w:type="pct"/>
            <w:gridSpan w:val="7"/>
            <w:shd w:val="clear" w:color="auto" w:fill="auto"/>
            <w:vAlign w:val="center"/>
          </w:tcPr>
          <w:p w:rsidR="003E575F" w:rsidRPr="00015BC4" w:rsidRDefault="003E575F" w:rsidP="003E575F">
            <w:pPr>
              <w:keepNext/>
              <w:rPr>
                <w:rFonts w:ascii="Arial Narrow" w:eastAsia="MS Gothic" w:hAnsi="Arial Narrow"/>
                <w:b/>
                <w:sz w:val="20"/>
                <w:lang w:val="en-AU" w:eastAsia="en-AU"/>
              </w:rPr>
            </w:pPr>
            <w:r w:rsidRPr="00015BC4">
              <w:rPr>
                <w:rFonts w:ascii="Arial Narrow" w:eastAsia="MS Gothic" w:hAnsi="Arial Narrow"/>
                <w:b/>
                <w:sz w:val="20"/>
                <w:lang w:val="en-AU" w:eastAsia="en-AU"/>
              </w:rPr>
              <w:t>Estimated financial implications of siponimod</w:t>
            </w:r>
          </w:p>
        </w:tc>
      </w:tr>
      <w:tr w:rsidR="003E575F" w:rsidRPr="00015BC4" w:rsidTr="003E575F">
        <w:tc>
          <w:tcPr>
            <w:tcW w:w="1118" w:type="pct"/>
            <w:shd w:val="clear" w:color="auto" w:fill="auto"/>
            <w:vAlign w:val="center"/>
          </w:tcPr>
          <w:p w:rsidR="003E575F" w:rsidRPr="00015BC4" w:rsidRDefault="003E575F" w:rsidP="003E575F">
            <w:pPr>
              <w:keepNext/>
              <w:rPr>
                <w:rFonts w:ascii="Arial Narrow" w:eastAsia="MS Gothic" w:hAnsi="Arial Narrow"/>
                <w:bCs/>
                <w:sz w:val="19"/>
                <w:szCs w:val="19"/>
                <w:lang w:val="en-AU" w:eastAsia="en-AU"/>
              </w:rPr>
            </w:pPr>
            <w:r w:rsidRPr="00015BC4">
              <w:rPr>
                <w:rFonts w:ascii="Arial Narrow" w:eastAsia="MS Gothic" w:hAnsi="Arial Narrow"/>
                <w:bCs/>
                <w:sz w:val="20"/>
                <w:lang w:val="en-AU" w:eastAsia="en-AU"/>
              </w:rPr>
              <w:t>Net cost in epi segment (EDSS 6.0-8.0)</w:t>
            </w:r>
          </w:p>
        </w:tc>
        <w:tc>
          <w:tcPr>
            <w:tcW w:w="647" w:type="pct"/>
            <w:tcBorders>
              <w:bottom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lang w:val="en-AU" w:eastAsia="en-AU"/>
              </w:rPr>
              <w:t>$</w:t>
            </w:r>
            <w:r w:rsidR="003C0833">
              <w:rPr>
                <w:rFonts w:ascii="Arial Narrow" w:eastAsia="MS Gothic" w:hAnsi="Arial Narrow"/>
                <w:bCs/>
                <w:noProof/>
                <w:color w:val="000000"/>
                <w:sz w:val="20"/>
                <w:highlight w:val="black"/>
                <w:lang w:val="en-AU" w:eastAsia="en-AU"/>
              </w:rPr>
              <w:t>'''''''''''''''''''''''''''</w:t>
            </w:r>
          </w:p>
        </w:tc>
        <w:tc>
          <w:tcPr>
            <w:tcW w:w="647" w:type="pct"/>
            <w:tcBorders>
              <w:bottom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lang w:val="en-AU" w:eastAsia="en-AU"/>
              </w:rPr>
              <w:t>$</w:t>
            </w:r>
            <w:r w:rsidR="003C0833">
              <w:rPr>
                <w:rFonts w:ascii="Arial Narrow" w:eastAsia="MS Gothic" w:hAnsi="Arial Narrow"/>
                <w:bCs/>
                <w:noProof/>
                <w:color w:val="000000"/>
                <w:sz w:val="20"/>
                <w:highlight w:val="black"/>
                <w:lang w:val="en-AU" w:eastAsia="en-AU"/>
              </w:rPr>
              <w:t>'''''''''''''''''''''''''''''</w:t>
            </w:r>
          </w:p>
        </w:tc>
        <w:tc>
          <w:tcPr>
            <w:tcW w:w="647" w:type="pct"/>
            <w:tcBorders>
              <w:bottom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lang w:val="en-AU" w:eastAsia="en-AU"/>
              </w:rPr>
              <w:t>$</w:t>
            </w:r>
            <w:r w:rsidR="003C0833">
              <w:rPr>
                <w:rFonts w:ascii="Arial Narrow" w:eastAsia="MS Gothic" w:hAnsi="Arial Narrow"/>
                <w:bCs/>
                <w:noProof/>
                <w:color w:val="000000"/>
                <w:sz w:val="20"/>
                <w:highlight w:val="black"/>
                <w:lang w:val="en-AU" w:eastAsia="en-AU"/>
              </w:rPr>
              <w:t>'''''''''''''''''''''''''''</w:t>
            </w:r>
          </w:p>
        </w:tc>
        <w:tc>
          <w:tcPr>
            <w:tcW w:w="647" w:type="pct"/>
            <w:tcBorders>
              <w:bottom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lang w:val="en-AU" w:eastAsia="en-AU"/>
              </w:rPr>
              <w:t>$</w:t>
            </w:r>
            <w:r w:rsidR="003C0833">
              <w:rPr>
                <w:rFonts w:ascii="Arial Narrow" w:eastAsia="MS Gothic" w:hAnsi="Arial Narrow"/>
                <w:bCs/>
                <w:noProof/>
                <w:color w:val="000000"/>
                <w:sz w:val="20"/>
                <w:highlight w:val="black"/>
                <w:lang w:val="en-AU" w:eastAsia="en-AU"/>
              </w:rPr>
              <w:t>'''''''''''''''''''''''''''''</w:t>
            </w:r>
          </w:p>
        </w:tc>
        <w:tc>
          <w:tcPr>
            <w:tcW w:w="647" w:type="pct"/>
            <w:tcBorders>
              <w:bottom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lang w:val="en-AU" w:eastAsia="en-AU"/>
              </w:rPr>
              <w:t>$</w:t>
            </w:r>
            <w:r w:rsidR="003C0833">
              <w:rPr>
                <w:rFonts w:ascii="Arial Narrow" w:eastAsia="MS Gothic" w:hAnsi="Arial Narrow"/>
                <w:bCs/>
                <w:noProof/>
                <w:color w:val="000000"/>
                <w:sz w:val="20"/>
                <w:highlight w:val="black"/>
                <w:lang w:val="en-AU" w:eastAsia="en-AU"/>
              </w:rPr>
              <w:t>''''''''''''''''''''''''''''</w:t>
            </w:r>
          </w:p>
        </w:tc>
        <w:tc>
          <w:tcPr>
            <w:tcW w:w="647" w:type="pct"/>
            <w:tcBorders>
              <w:bottom w:val="single" w:sz="4" w:space="0" w:color="auto"/>
            </w:tcBorders>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lang w:val="en-AU" w:eastAsia="en-AU"/>
              </w:rPr>
              <w:t>$</w:t>
            </w:r>
            <w:r w:rsidR="003C0833">
              <w:rPr>
                <w:rFonts w:ascii="Arial Narrow" w:eastAsia="MS Gothic" w:hAnsi="Arial Narrow"/>
                <w:bCs/>
                <w:noProof/>
                <w:color w:val="000000"/>
                <w:sz w:val="20"/>
                <w:highlight w:val="black"/>
                <w:lang w:val="en-AU" w:eastAsia="en-AU"/>
              </w:rPr>
              <w:t>'''''''''''''''''''''''''''</w:t>
            </w:r>
          </w:p>
        </w:tc>
      </w:tr>
      <w:tr w:rsidR="003E575F" w:rsidRPr="00015BC4" w:rsidTr="003E575F">
        <w:tc>
          <w:tcPr>
            <w:tcW w:w="1118" w:type="pct"/>
            <w:shd w:val="clear" w:color="auto" w:fill="auto"/>
            <w:vAlign w:val="center"/>
          </w:tcPr>
          <w:p w:rsidR="003E575F" w:rsidRPr="00015BC4" w:rsidRDefault="003E575F" w:rsidP="003E575F">
            <w:pPr>
              <w:keepNext/>
              <w:rPr>
                <w:rFonts w:ascii="Arial Narrow" w:eastAsia="MS Gothic" w:hAnsi="Arial Narrow"/>
                <w:bCs/>
                <w:sz w:val="19"/>
                <w:szCs w:val="19"/>
                <w:lang w:val="en-AU" w:eastAsia="en-AU"/>
              </w:rPr>
            </w:pPr>
            <w:r w:rsidRPr="00015BC4">
              <w:rPr>
                <w:rFonts w:ascii="Arial Narrow" w:eastAsia="MS Gothic" w:hAnsi="Arial Narrow"/>
                <w:bCs/>
                <w:sz w:val="20"/>
                <w:lang w:val="en-AU" w:eastAsia="en-AU"/>
              </w:rPr>
              <w:t>Net cost to in market share segment</w:t>
            </w:r>
          </w:p>
        </w:tc>
        <w:tc>
          <w:tcPr>
            <w:tcW w:w="647" w:type="pct"/>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c>
          <w:tcPr>
            <w:tcW w:w="647" w:type="pct"/>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c>
          <w:tcPr>
            <w:tcW w:w="647" w:type="pct"/>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c>
          <w:tcPr>
            <w:tcW w:w="647" w:type="pct"/>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c>
          <w:tcPr>
            <w:tcW w:w="647" w:type="pct"/>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c>
          <w:tcPr>
            <w:tcW w:w="647" w:type="pct"/>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r>
      <w:tr w:rsidR="003E575F" w:rsidRPr="00015BC4" w:rsidTr="003E575F">
        <w:tc>
          <w:tcPr>
            <w:tcW w:w="1118" w:type="pct"/>
            <w:shd w:val="clear" w:color="auto" w:fill="auto"/>
            <w:vAlign w:val="center"/>
          </w:tcPr>
          <w:p w:rsidR="003E575F" w:rsidRPr="00015BC4" w:rsidRDefault="003E575F" w:rsidP="003E575F">
            <w:pPr>
              <w:keepNext/>
              <w:rPr>
                <w:rFonts w:ascii="Arial Narrow" w:eastAsia="MS Gothic" w:hAnsi="Arial Narrow"/>
                <w:bCs/>
                <w:sz w:val="19"/>
                <w:szCs w:val="19"/>
                <w:lang w:val="en-AU" w:eastAsia="en-AU"/>
              </w:rPr>
            </w:pPr>
            <w:r w:rsidRPr="00015BC4">
              <w:rPr>
                <w:rFonts w:ascii="Arial Narrow" w:eastAsia="MS Gothic" w:hAnsi="Arial Narrow"/>
                <w:bCs/>
                <w:sz w:val="19"/>
                <w:szCs w:val="19"/>
                <w:lang w:val="en-AU" w:eastAsia="en-AU"/>
              </w:rPr>
              <w:t>Total Cost to PBS/RPBS less copayments</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sz w:val="20"/>
                <w:szCs w:val="20"/>
                <w:lang w:val="en-AU"/>
              </w:rPr>
              <w:t>$</w:t>
            </w:r>
            <w:r w:rsidR="003C0833">
              <w:rPr>
                <w:rFonts w:ascii="Arial Narrow" w:hAnsi="Arial Narrow" w:cs="Arial"/>
                <w:noProof/>
                <w:color w:val="000000"/>
                <w:sz w:val="20"/>
                <w:szCs w:val="20"/>
                <w:highlight w:val="black"/>
                <w:lang w:val="en-AU"/>
              </w:rPr>
              <w:t>''''''''''''''''''''''''''''</w:t>
            </w:r>
          </w:p>
        </w:tc>
      </w:tr>
      <w:tr w:rsidR="003E575F" w:rsidRPr="00015BC4" w:rsidTr="003E575F">
        <w:tc>
          <w:tcPr>
            <w:tcW w:w="5000" w:type="pct"/>
            <w:gridSpan w:val="7"/>
            <w:shd w:val="clear" w:color="auto" w:fill="auto"/>
            <w:vAlign w:val="center"/>
          </w:tcPr>
          <w:p w:rsidR="003E575F" w:rsidRPr="00015BC4" w:rsidRDefault="003E575F" w:rsidP="003E575F">
            <w:pPr>
              <w:keepNext/>
              <w:rPr>
                <w:rFonts w:ascii="Arial Narrow" w:eastAsia="MS Gothic" w:hAnsi="Arial Narrow"/>
                <w:b/>
                <w:bCs/>
                <w:sz w:val="20"/>
                <w:lang w:val="en-AU" w:eastAsia="en-AU"/>
              </w:rPr>
            </w:pPr>
            <w:r w:rsidRPr="00015BC4">
              <w:rPr>
                <w:rFonts w:ascii="Arial Narrow" w:eastAsia="MS Gothic" w:hAnsi="Arial Narrow"/>
                <w:b/>
                <w:bCs/>
                <w:sz w:val="20"/>
                <w:lang w:val="en-AU" w:eastAsia="en-AU"/>
              </w:rPr>
              <w:t>Estimated financial implications for replaced RRMS DMTs</w:t>
            </w:r>
          </w:p>
        </w:tc>
      </w:tr>
      <w:tr w:rsidR="003E575F" w:rsidRPr="00015BC4" w:rsidTr="003E575F">
        <w:tc>
          <w:tcPr>
            <w:tcW w:w="1118" w:type="pct"/>
            <w:shd w:val="clear" w:color="auto" w:fill="auto"/>
            <w:vAlign w:val="center"/>
          </w:tcPr>
          <w:p w:rsidR="003E575F" w:rsidRPr="00015BC4" w:rsidRDefault="003E575F" w:rsidP="003E575F">
            <w:pPr>
              <w:keepNext/>
              <w:rPr>
                <w:rFonts w:ascii="Arial Narrow" w:eastAsia="MS Gothic" w:hAnsi="Arial Narrow"/>
                <w:bCs/>
                <w:sz w:val="19"/>
                <w:szCs w:val="19"/>
                <w:lang w:val="en-AU" w:eastAsia="en-AU"/>
              </w:rPr>
            </w:pPr>
            <w:r w:rsidRPr="00015BC4">
              <w:rPr>
                <w:rFonts w:ascii="Arial Narrow" w:eastAsia="MS Gothic" w:hAnsi="Arial Narrow"/>
                <w:bCs/>
                <w:sz w:val="19"/>
                <w:szCs w:val="19"/>
                <w:lang w:val="en-AU" w:eastAsia="en-AU"/>
              </w:rPr>
              <w:t>Cost to PBS/RPBS less copayments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r>
      <w:tr w:rsidR="003E575F" w:rsidRPr="00015BC4" w:rsidTr="003E575F">
        <w:tc>
          <w:tcPr>
            <w:tcW w:w="5000" w:type="pct"/>
            <w:gridSpan w:val="7"/>
            <w:shd w:val="clear" w:color="auto" w:fill="auto"/>
            <w:vAlign w:val="center"/>
          </w:tcPr>
          <w:p w:rsidR="003E575F" w:rsidRPr="00015BC4" w:rsidRDefault="003E575F" w:rsidP="003E575F">
            <w:pPr>
              <w:keepNext/>
              <w:rPr>
                <w:rFonts w:ascii="Arial Narrow" w:eastAsia="MS Gothic" w:hAnsi="Arial Narrow"/>
                <w:b/>
                <w:sz w:val="20"/>
                <w:lang w:val="en-AU" w:eastAsia="en-AU"/>
              </w:rPr>
            </w:pPr>
            <w:r w:rsidRPr="00015BC4">
              <w:rPr>
                <w:rFonts w:ascii="Arial Narrow" w:eastAsia="MS Gothic" w:hAnsi="Arial Narrow"/>
                <w:b/>
                <w:sz w:val="20"/>
                <w:lang w:val="en-AU" w:eastAsia="en-AU"/>
              </w:rPr>
              <w:t>Net financial implications</w:t>
            </w:r>
            <w:r w:rsidRPr="00015BC4">
              <w:rPr>
                <w:rFonts w:ascii="Arial Narrow" w:eastAsia="MS Gothic" w:hAnsi="Arial Narrow"/>
                <w:b/>
                <w:color w:val="4BACC6"/>
                <w:sz w:val="20"/>
                <w:lang w:val="en-AU" w:eastAsia="en-AU"/>
              </w:rPr>
              <w:t xml:space="preserve"> </w:t>
            </w:r>
          </w:p>
        </w:tc>
      </w:tr>
      <w:tr w:rsidR="003E575F" w:rsidRPr="00015BC4" w:rsidTr="003E575F">
        <w:tc>
          <w:tcPr>
            <w:tcW w:w="1118" w:type="pct"/>
            <w:shd w:val="clear" w:color="auto" w:fill="auto"/>
            <w:vAlign w:val="center"/>
          </w:tcPr>
          <w:p w:rsidR="003E575F" w:rsidRPr="00015BC4" w:rsidRDefault="003E575F" w:rsidP="003E575F">
            <w:pPr>
              <w:keepNext/>
              <w:rPr>
                <w:rFonts w:ascii="Arial Narrow" w:eastAsia="MS Gothic" w:hAnsi="Arial Narrow"/>
                <w:bCs/>
                <w:sz w:val="20"/>
                <w:szCs w:val="20"/>
                <w:lang w:val="en-AU" w:eastAsia="en-AU"/>
              </w:rPr>
            </w:pPr>
            <w:r w:rsidRPr="00015BC4">
              <w:rPr>
                <w:rFonts w:ascii="Arial Narrow" w:eastAsia="MS Gothic" w:hAnsi="Arial Narrow"/>
                <w:bCs/>
                <w:sz w:val="20"/>
                <w:szCs w:val="20"/>
                <w:lang w:val="en-AU" w:eastAsia="en-AU"/>
              </w:rPr>
              <w:t>Net cost to PBS/RPBS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r>
      <w:tr w:rsidR="003E575F" w:rsidRPr="00015BC4" w:rsidTr="003E575F">
        <w:tc>
          <w:tcPr>
            <w:tcW w:w="1118" w:type="pct"/>
            <w:shd w:val="clear" w:color="auto" w:fill="auto"/>
            <w:vAlign w:val="center"/>
          </w:tcPr>
          <w:p w:rsidR="003E575F" w:rsidRPr="00015BC4" w:rsidRDefault="003E575F" w:rsidP="003E575F">
            <w:pPr>
              <w:keepNext/>
              <w:rPr>
                <w:rFonts w:ascii="Arial Narrow" w:eastAsia="MS Gothic" w:hAnsi="Arial Narrow"/>
                <w:bCs/>
                <w:sz w:val="20"/>
                <w:szCs w:val="20"/>
                <w:lang w:val="en-AU" w:eastAsia="en-AU"/>
              </w:rPr>
            </w:pPr>
            <w:r w:rsidRPr="00015BC4">
              <w:rPr>
                <w:rFonts w:ascii="Arial Narrow" w:eastAsia="MS Gothic" w:hAnsi="Arial Narrow"/>
                <w:bCs/>
                <w:sz w:val="20"/>
                <w:szCs w:val="20"/>
                <w:lang w:val="en-AU" w:eastAsia="en-AU"/>
              </w:rPr>
              <w:t>Net cost to MBS</w:t>
            </w:r>
            <w:r w:rsidRPr="00015BC4" w:rsidDel="00D244B6">
              <w:rPr>
                <w:rFonts w:ascii="Arial Narrow" w:eastAsia="MS Gothic" w:hAnsi="Arial Narrow"/>
                <w:bCs/>
                <w:sz w:val="20"/>
                <w:szCs w:val="20"/>
                <w:lang w:val="en-AU" w:eastAsia="en-AU"/>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bottom"/>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bottom"/>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bottom"/>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bottom"/>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bottom"/>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sz w:val="20"/>
                <w:szCs w:val="20"/>
                <w:lang w:val="en-AU"/>
              </w:rPr>
              <w:t>-$</w:t>
            </w:r>
            <w:r w:rsidR="003C0833">
              <w:rPr>
                <w:rFonts w:ascii="Arial Narrow" w:hAnsi="Arial Narrow" w:cs="Arial"/>
                <w:noProof/>
                <w:color w:val="000000"/>
                <w:sz w:val="20"/>
                <w:szCs w:val="20"/>
                <w:highlight w:val="black"/>
                <w:lang w:val="en-AU"/>
              </w:rPr>
              <w:t>''''''''''''''''''''</w:t>
            </w:r>
          </w:p>
        </w:tc>
      </w:tr>
      <w:tr w:rsidR="003E575F" w:rsidRPr="00015BC4" w:rsidTr="003E575F">
        <w:tc>
          <w:tcPr>
            <w:tcW w:w="1118" w:type="pct"/>
            <w:shd w:val="clear" w:color="auto" w:fill="auto"/>
            <w:vAlign w:val="center"/>
          </w:tcPr>
          <w:p w:rsidR="003E575F" w:rsidRPr="00015BC4" w:rsidRDefault="003E575F" w:rsidP="003E575F">
            <w:pPr>
              <w:keepNext/>
              <w:rPr>
                <w:rFonts w:ascii="Arial Narrow" w:eastAsia="MS Gothic" w:hAnsi="Arial Narrow"/>
                <w:bCs/>
                <w:sz w:val="20"/>
                <w:szCs w:val="20"/>
                <w:lang w:val="en-AU" w:eastAsia="en-AU"/>
              </w:rPr>
            </w:pPr>
            <w:r w:rsidRPr="00015BC4">
              <w:rPr>
                <w:rFonts w:ascii="Arial Narrow" w:eastAsia="MS Gothic" w:hAnsi="Arial Narrow"/>
                <w:bCs/>
                <w:sz w:val="20"/>
                <w:szCs w:val="20"/>
                <w:lang w:val="en-AU" w:eastAsia="en-AU"/>
              </w:rPr>
              <w:t>Net cost to Government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3E575F" w:rsidRPr="00015BC4" w:rsidRDefault="003E575F" w:rsidP="003E575F">
            <w:pPr>
              <w:keepNext/>
              <w:jc w:val="center"/>
              <w:rPr>
                <w:rFonts w:ascii="Arial Narrow" w:eastAsia="MS Gothic" w:hAnsi="Arial Narrow"/>
                <w:bCs/>
                <w:sz w:val="20"/>
                <w:szCs w:val="20"/>
                <w:lang w:val="en-AU" w:eastAsia="en-AU"/>
              </w:rPr>
            </w:pPr>
            <w:r w:rsidRPr="00015BC4">
              <w:rPr>
                <w:rFonts w:ascii="Arial Narrow" w:hAnsi="Arial Narrow" w:cs="Arial"/>
                <w:color w:val="000000"/>
                <w:sz w:val="20"/>
                <w:szCs w:val="20"/>
                <w:lang w:val="en-AU"/>
              </w:rPr>
              <w:t>$</w:t>
            </w:r>
            <w:r w:rsidR="003C0833">
              <w:rPr>
                <w:rFonts w:ascii="Arial Narrow" w:hAnsi="Arial Narrow" w:cs="Arial"/>
                <w:noProof/>
                <w:color w:val="000000"/>
                <w:sz w:val="20"/>
                <w:szCs w:val="20"/>
                <w:highlight w:val="black"/>
                <w:lang w:val="en-AU"/>
              </w:rPr>
              <w:t>'''''''''''''''''''''''''''</w:t>
            </w:r>
          </w:p>
        </w:tc>
      </w:tr>
      <w:tr w:rsidR="003E575F" w:rsidRPr="00015BC4" w:rsidTr="003E575F">
        <w:tc>
          <w:tcPr>
            <w:tcW w:w="5000" w:type="pct"/>
            <w:gridSpan w:val="7"/>
            <w:tcBorders>
              <w:right w:val="single" w:sz="4" w:space="0" w:color="auto"/>
            </w:tcBorders>
            <w:shd w:val="clear" w:color="auto" w:fill="auto"/>
            <w:vAlign w:val="center"/>
          </w:tcPr>
          <w:p w:rsidR="003E575F" w:rsidRPr="00015BC4" w:rsidRDefault="003E575F" w:rsidP="003E575F">
            <w:pPr>
              <w:keepNext/>
              <w:rPr>
                <w:rFonts w:ascii="Arial Narrow" w:hAnsi="Arial Narrow" w:cs="Arial"/>
                <w:b/>
                <w:color w:val="000000"/>
                <w:sz w:val="20"/>
                <w:szCs w:val="20"/>
                <w:lang w:val="en-AU"/>
              </w:rPr>
            </w:pPr>
            <w:r w:rsidRPr="00015BC4">
              <w:rPr>
                <w:rFonts w:ascii="Arial Narrow" w:hAnsi="Arial Narrow" w:cs="Arial"/>
                <w:b/>
                <w:color w:val="000000"/>
                <w:sz w:val="20"/>
                <w:szCs w:val="20"/>
                <w:lang w:val="en-AU"/>
              </w:rPr>
              <w:t>July 2019 submission base case</w:t>
            </w:r>
          </w:p>
        </w:tc>
      </w:tr>
      <w:tr w:rsidR="003E575F" w:rsidRPr="00015BC4" w:rsidTr="003E575F">
        <w:tc>
          <w:tcPr>
            <w:tcW w:w="1118" w:type="pct"/>
            <w:shd w:val="clear" w:color="auto" w:fill="auto"/>
            <w:vAlign w:val="center"/>
          </w:tcPr>
          <w:p w:rsidR="003E575F" w:rsidRPr="00015BC4" w:rsidRDefault="003E575F" w:rsidP="003E575F">
            <w:pPr>
              <w:keepNext/>
              <w:rPr>
                <w:rFonts w:ascii="Arial Narrow" w:eastAsia="MS Gothic" w:hAnsi="Arial Narrow"/>
                <w:bCs/>
                <w:sz w:val="20"/>
                <w:szCs w:val="20"/>
                <w:lang w:val="en-AU" w:eastAsia="en-AU"/>
              </w:rPr>
            </w:pPr>
            <w:r w:rsidRPr="00015BC4">
              <w:rPr>
                <w:rFonts w:ascii="Arial Narrow" w:eastAsia="MS Gothic" w:hAnsi="Arial Narrow"/>
                <w:bCs/>
                <w:sz w:val="20"/>
                <w:szCs w:val="20"/>
                <w:lang w:val="en-AU" w:eastAsia="en-AU"/>
              </w:rPr>
              <w:t>Net cost to PBS/RPBS</w:t>
            </w:r>
          </w:p>
        </w:tc>
        <w:tc>
          <w:tcPr>
            <w:tcW w:w="647" w:type="pct"/>
            <w:shd w:val="clear" w:color="auto" w:fill="auto"/>
          </w:tcPr>
          <w:p w:rsidR="003E575F" w:rsidRPr="00015BC4" w:rsidRDefault="003E575F" w:rsidP="003E575F">
            <w:pPr>
              <w:keepNext/>
              <w:jc w:val="center"/>
              <w:rPr>
                <w:rFonts w:ascii="Arial Narrow" w:hAnsi="Arial Narrow" w:cs="Arial"/>
                <w:color w:val="000000"/>
                <w:sz w:val="20"/>
                <w:szCs w:val="20"/>
                <w:lang w:val="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c>
          <w:tcPr>
            <w:tcW w:w="647" w:type="pct"/>
            <w:shd w:val="clear" w:color="auto" w:fill="auto"/>
          </w:tcPr>
          <w:p w:rsidR="003E575F" w:rsidRPr="00015BC4" w:rsidRDefault="003E575F" w:rsidP="003E575F">
            <w:pPr>
              <w:keepNext/>
              <w:jc w:val="center"/>
              <w:rPr>
                <w:rFonts w:ascii="Arial Narrow" w:hAnsi="Arial Narrow" w:cs="Arial"/>
                <w:color w:val="000000"/>
                <w:sz w:val="20"/>
                <w:szCs w:val="20"/>
                <w:lang w:val="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c>
          <w:tcPr>
            <w:tcW w:w="647" w:type="pct"/>
            <w:shd w:val="clear" w:color="auto" w:fill="auto"/>
          </w:tcPr>
          <w:p w:rsidR="003E575F" w:rsidRPr="00015BC4" w:rsidRDefault="003E575F" w:rsidP="003E575F">
            <w:pPr>
              <w:keepNext/>
              <w:jc w:val="center"/>
              <w:rPr>
                <w:rFonts w:ascii="Arial Narrow" w:hAnsi="Arial Narrow" w:cs="Arial"/>
                <w:color w:val="000000"/>
                <w:sz w:val="20"/>
                <w:szCs w:val="20"/>
                <w:lang w:val="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c>
          <w:tcPr>
            <w:tcW w:w="647" w:type="pct"/>
            <w:shd w:val="clear" w:color="auto" w:fill="auto"/>
          </w:tcPr>
          <w:p w:rsidR="003E575F" w:rsidRPr="00015BC4" w:rsidRDefault="003E575F" w:rsidP="003E575F">
            <w:pPr>
              <w:keepNext/>
              <w:jc w:val="center"/>
              <w:rPr>
                <w:rFonts w:ascii="Arial Narrow" w:hAnsi="Arial Narrow" w:cs="Arial"/>
                <w:color w:val="000000"/>
                <w:sz w:val="20"/>
                <w:szCs w:val="20"/>
                <w:lang w:val="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c>
          <w:tcPr>
            <w:tcW w:w="647" w:type="pct"/>
            <w:shd w:val="clear" w:color="auto" w:fill="auto"/>
          </w:tcPr>
          <w:p w:rsidR="003E575F" w:rsidRPr="00015BC4" w:rsidRDefault="003E575F" w:rsidP="003E575F">
            <w:pPr>
              <w:keepNext/>
              <w:jc w:val="center"/>
              <w:rPr>
                <w:rFonts w:ascii="Arial Narrow" w:hAnsi="Arial Narrow" w:cs="Arial"/>
                <w:color w:val="000000"/>
                <w:sz w:val="20"/>
                <w:szCs w:val="20"/>
                <w:lang w:val="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c>
          <w:tcPr>
            <w:tcW w:w="647" w:type="pct"/>
          </w:tcPr>
          <w:p w:rsidR="003E575F" w:rsidRPr="00015BC4" w:rsidRDefault="003E575F" w:rsidP="003E575F">
            <w:pPr>
              <w:keepNext/>
              <w:jc w:val="center"/>
              <w:rPr>
                <w:rFonts w:ascii="Arial Narrow" w:hAnsi="Arial Narrow" w:cs="Arial"/>
                <w:color w:val="000000"/>
                <w:sz w:val="20"/>
                <w:szCs w:val="20"/>
                <w:lang w:val="en-AU"/>
              </w:rPr>
            </w:pPr>
            <w:r w:rsidRPr="00015BC4">
              <w:rPr>
                <w:rFonts w:ascii="Arial Narrow" w:hAnsi="Arial Narrow"/>
                <w:sz w:val="20"/>
                <w:szCs w:val="20"/>
                <w:lang w:val="en-AU"/>
              </w:rPr>
              <w:t>$</w:t>
            </w:r>
            <w:r w:rsidR="003C0833">
              <w:rPr>
                <w:rFonts w:ascii="Arial Narrow" w:hAnsi="Arial Narrow"/>
                <w:noProof/>
                <w:color w:val="000000"/>
                <w:sz w:val="20"/>
                <w:szCs w:val="20"/>
                <w:highlight w:val="black"/>
                <w:lang w:val="en-AU"/>
              </w:rPr>
              <w:t>''''''''''''''''''''''''''''</w:t>
            </w:r>
          </w:p>
        </w:tc>
      </w:tr>
      <w:tr w:rsidR="003E575F" w:rsidRPr="00015BC4" w:rsidTr="003E575F">
        <w:tc>
          <w:tcPr>
            <w:tcW w:w="5000" w:type="pct"/>
            <w:gridSpan w:val="7"/>
            <w:shd w:val="clear" w:color="auto" w:fill="B8CCE4"/>
            <w:vAlign w:val="center"/>
          </w:tcPr>
          <w:p w:rsidR="003E575F" w:rsidRPr="00015BC4" w:rsidRDefault="003E575F" w:rsidP="003E575F">
            <w:pPr>
              <w:keepNext/>
              <w:rPr>
                <w:rFonts w:ascii="Arial Narrow" w:eastAsia="MS Gothic" w:hAnsi="Arial Narrow"/>
                <w:b/>
                <w:sz w:val="20"/>
                <w:lang w:val="en-AU" w:eastAsia="en-AU"/>
              </w:rPr>
            </w:pPr>
            <w:r w:rsidRPr="00015BC4">
              <w:rPr>
                <w:rFonts w:ascii="Arial Narrow" w:eastAsia="MS Gothic" w:hAnsi="Arial Narrow"/>
                <w:b/>
                <w:sz w:val="20"/>
                <w:lang w:val="en-AU" w:eastAsia="en-AU"/>
              </w:rPr>
              <w:t>Previous submission November 2019</w:t>
            </w:r>
          </w:p>
        </w:tc>
      </w:tr>
      <w:tr w:rsidR="003E575F" w:rsidRPr="00015BC4" w:rsidTr="003E575F">
        <w:tc>
          <w:tcPr>
            <w:tcW w:w="1118" w:type="pct"/>
            <w:shd w:val="clear" w:color="auto" w:fill="B8CCE4"/>
            <w:vAlign w:val="center"/>
          </w:tcPr>
          <w:p w:rsidR="003E575F" w:rsidRPr="00015BC4" w:rsidRDefault="003E575F" w:rsidP="003E575F">
            <w:pPr>
              <w:keepNext/>
              <w:rPr>
                <w:rFonts w:ascii="Arial Narrow" w:eastAsia="MS Gothic" w:hAnsi="Arial Narrow"/>
                <w:bCs/>
                <w:sz w:val="19"/>
                <w:szCs w:val="19"/>
                <w:lang w:val="en-AU" w:eastAsia="en-AU"/>
              </w:rPr>
            </w:pPr>
            <w:r w:rsidRPr="00015BC4">
              <w:rPr>
                <w:rFonts w:ascii="Arial Narrow" w:eastAsia="MS Gothic" w:hAnsi="Arial Narrow"/>
                <w:bCs/>
                <w:sz w:val="19"/>
                <w:szCs w:val="19"/>
                <w:lang w:val="en-AU" w:eastAsia="en-AU"/>
              </w:rPr>
              <w:t>Net cost to PBS/RPBS</w:t>
            </w:r>
          </w:p>
        </w:tc>
        <w:tc>
          <w:tcPr>
            <w:tcW w:w="647" w:type="pct"/>
            <w:shd w:val="clear" w:color="auto" w:fill="B8CCE4"/>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szCs w:val="18"/>
                <w:lang w:val="en-AU" w:eastAsia="en-AU"/>
              </w:rPr>
              <w:t>$</w:t>
            </w:r>
            <w:r w:rsidR="003C0833">
              <w:rPr>
                <w:rFonts w:ascii="Arial Narrow" w:eastAsia="MS Gothic" w:hAnsi="Arial Narrow"/>
                <w:bCs/>
                <w:noProof/>
                <w:color w:val="000000"/>
                <w:sz w:val="20"/>
                <w:szCs w:val="18"/>
                <w:highlight w:val="black"/>
                <w:lang w:val="en-AU" w:eastAsia="en-AU"/>
              </w:rPr>
              <w:t>''''''''''''''''''''''</w:t>
            </w:r>
          </w:p>
        </w:tc>
        <w:tc>
          <w:tcPr>
            <w:tcW w:w="647" w:type="pct"/>
            <w:shd w:val="clear" w:color="auto" w:fill="B8CCE4"/>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szCs w:val="18"/>
                <w:lang w:val="en-AU" w:eastAsia="en-AU"/>
              </w:rPr>
              <w:t>$</w:t>
            </w:r>
            <w:r w:rsidR="003C0833">
              <w:rPr>
                <w:rFonts w:ascii="Arial Narrow" w:eastAsia="MS Gothic" w:hAnsi="Arial Narrow"/>
                <w:bCs/>
                <w:noProof/>
                <w:color w:val="000000"/>
                <w:sz w:val="20"/>
                <w:szCs w:val="18"/>
                <w:highlight w:val="black"/>
                <w:lang w:val="en-AU" w:eastAsia="en-AU"/>
              </w:rPr>
              <w:t>'''''''''''''''''''''''''''</w:t>
            </w:r>
          </w:p>
        </w:tc>
        <w:tc>
          <w:tcPr>
            <w:tcW w:w="647" w:type="pct"/>
            <w:shd w:val="clear" w:color="auto" w:fill="B8CCE4"/>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szCs w:val="18"/>
                <w:lang w:val="en-AU" w:eastAsia="en-AU"/>
              </w:rPr>
              <w:t>$</w:t>
            </w:r>
            <w:r w:rsidR="003C0833">
              <w:rPr>
                <w:rFonts w:ascii="Arial Narrow" w:eastAsia="MS Gothic" w:hAnsi="Arial Narrow"/>
                <w:bCs/>
                <w:noProof/>
                <w:color w:val="000000"/>
                <w:sz w:val="20"/>
                <w:szCs w:val="18"/>
                <w:highlight w:val="black"/>
                <w:lang w:val="en-AU" w:eastAsia="en-AU"/>
              </w:rPr>
              <w:t>'''''''''''''''''''''''''''''</w:t>
            </w:r>
          </w:p>
        </w:tc>
        <w:tc>
          <w:tcPr>
            <w:tcW w:w="647" w:type="pct"/>
            <w:shd w:val="clear" w:color="auto" w:fill="B8CCE4"/>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szCs w:val="18"/>
                <w:lang w:val="en-AU" w:eastAsia="en-AU"/>
              </w:rPr>
              <w:t>$</w:t>
            </w:r>
            <w:r w:rsidR="003C0833">
              <w:rPr>
                <w:rFonts w:ascii="Arial Narrow" w:eastAsia="MS Gothic" w:hAnsi="Arial Narrow"/>
                <w:bCs/>
                <w:noProof/>
                <w:color w:val="000000"/>
                <w:sz w:val="20"/>
                <w:szCs w:val="18"/>
                <w:highlight w:val="black"/>
                <w:lang w:val="en-AU" w:eastAsia="en-AU"/>
              </w:rPr>
              <w:t>''''''''''''''''''''''''''''</w:t>
            </w:r>
          </w:p>
        </w:tc>
        <w:tc>
          <w:tcPr>
            <w:tcW w:w="647" w:type="pct"/>
            <w:shd w:val="clear" w:color="auto" w:fill="B8CCE4"/>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szCs w:val="18"/>
                <w:lang w:val="en-AU" w:eastAsia="en-AU"/>
              </w:rPr>
              <w:t>$</w:t>
            </w:r>
            <w:r w:rsidR="003C0833">
              <w:rPr>
                <w:rFonts w:ascii="Arial Narrow" w:eastAsia="MS Gothic" w:hAnsi="Arial Narrow"/>
                <w:bCs/>
                <w:noProof/>
                <w:color w:val="000000"/>
                <w:sz w:val="20"/>
                <w:szCs w:val="18"/>
                <w:highlight w:val="black"/>
                <w:lang w:val="en-AU" w:eastAsia="en-AU"/>
              </w:rPr>
              <w:t>''''''''''''''''''''''''</w:t>
            </w:r>
          </w:p>
        </w:tc>
        <w:tc>
          <w:tcPr>
            <w:tcW w:w="647" w:type="pct"/>
            <w:shd w:val="clear" w:color="auto" w:fill="B8CCE4"/>
          </w:tcPr>
          <w:p w:rsidR="003E575F" w:rsidRPr="00015BC4" w:rsidRDefault="003E575F" w:rsidP="003E575F">
            <w:pPr>
              <w:keepNext/>
              <w:jc w:val="center"/>
              <w:rPr>
                <w:rFonts w:ascii="Arial Narrow" w:eastAsia="MS Gothic" w:hAnsi="Arial Narrow"/>
                <w:bCs/>
                <w:sz w:val="20"/>
                <w:lang w:val="en-AU" w:eastAsia="en-AU"/>
              </w:rPr>
            </w:pPr>
            <w:r w:rsidRPr="00015BC4">
              <w:rPr>
                <w:rFonts w:ascii="Arial Narrow" w:eastAsia="MS Gothic" w:hAnsi="Arial Narrow"/>
                <w:bCs/>
                <w:sz w:val="20"/>
                <w:szCs w:val="18"/>
                <w:lang w:val="en-AU" w:eastAsia="en-AU"/>
              </w:rPr>
              <w:t>$</w:t>
            </w:r>
            <w:r w:rsidR="003C0833">
              <w:rPr>
                <w:rFonts w:ascii="Arial Narrow" w:eastAsia="MS Gothic" w:hAnsi="Arial Narrow"/>
                <w:bCs/>
                <w:noProof/>
                <w:color w:val="000000"/>
                <w:sz w:val="20"/>
                <w:szCs w:val="18"/>
                <w:highlight w:val="black"/>
                <w:lang w:val="en-AU" w:eastAsia="en-AU"/>
              </w:rPr>
              <w:t>'''''''''''''''''''''''''''''</w:t>
            </w:r>
          </w:p>
        </w:tc>
      </w:tr>
    </w:tbl>
    <w:p w:rsidR="003E575F" w:rsidRPr="00015BC4" w:rsidRDefault="003E575F" w:rsidP="003E575F">
      <w:pPr>
        <w:pStyle w:val="In-tableHeading"/>
        <w:spacing w:after="240"/>
        <w:rPr>
          <w:b w:val="0"/>
          <w:sz w:val="18"/>
          <w:szCs w:val="18"/>
          <w:lang w:val="en-AU"/>
        </w:rPr>
      </w:pPr>
      <w:r w:rsidRPr="00015BC4">
        <w:rPr>
          <w:b w:val="0"/>
          <w:sz w:val="18"/>
          <w:szCs w:val="18"/>
          <w:lang w:val="en-AU"/>
        </w:rPr>
        <w:t>Source: Revised financial estimates spreadsheet provided with the pre-PBAC response: Attachment 17 – Section 4 Utilisation and Financial Estimates (Pre-PBAC Response), Sheet ‘PBS-RPBS Overview EFF’</w:t>
      </w:r>
    </w:p>
    <w:p w:rsidR="003E575F" w:rsidRPr="00015BC4" w:rsidRDefault="003E575F" w:rsidP="003E575F">
      <w:pPr>
        <w:pStyle w:val="3-BodyText"/>
      </w:pPr>
      <w:r w:rsidRPr="00015BC4">
        <w:t xml:space="preserve">The total net cost to the PBS/RPBS of listing siponimod (including offsets) was estimated to be </w:t>
      </w:r>
      <w:r w:rsidR="00E32D71">
        <w:t>$10 - $20</w:t>
      </w:r>
      <w:r w:rsidRPr="00015BC4">
        <w:t xml:space="preserve"> million in Year 1 increasing to  </w:t>
      </w:r>
      <w:r w:rsidR="00E32D71">
        <w:t xml:space="preserve">$10 - $20 </w:t>
      </w:r>
      <w:r w:rsidRPr="00015BC4">
        <w:t xml:space="preserve">million in Year 6, and a total of </w:t>
      </w:r>
      <w:r w:rsidR="00E32D71">
        <w:t>$60 - $100</w:t>
      </w:r>
      <w:r w:rsidRPr="00015BC4">
        <w:t xml:space="preserve"> million in the first 6 years of listing. </w:t>
      </w:r>
      <w:r w:rsidRPr="008311FD">
        <w:t xml:space="preserve">The total impact of siponimod (including offsets) in the market share segment over the first six years of listing was </w:t>
      </w:r>
      <w:r w:rsidR="008311FD">
        <w:t>net cost</w:t>
      </w:r>
      <w:r w:rsidRPr="008311FD">
        <w:t xml:space="preserve"> saving versus </w:t>
      </w:r>
      <w:r w:rsidR="008311FD">
        <w:t xml:space="preserve">$60 - $100 </w:t>
      </w:r>
      <w:r w:rsidRPr="008311FD">
        <w:t>million in the epidemiological approach segment of the financial estimates.</w:t>
      </w:r>
      <w:r w:rsidRPr="00015BC4">
        <w:t xml:space="preserve"> </w:t>
      </w:r>
    </w:p>
    <w:p w:rsidR="003E575F" w:rsidRPr="00015BC4" w:rsidRDefault="003E575F" w:rsidP="003E575F">
      <w:pPr>
        <w:pStyle w:val="3-BodyText"/>
        <w:spacing w:after="0"/>
        <w:rPr>
          <w:color w:val="000000" w:themeColor="text1"/>
        </w:rPr>
      </w:pPr>
      <w:r w:rsidRPr="00015BC4">
        <w:rPr>
          <w:color w:val="000000" w:themeColor="text1"/>
        </w:rPr>
        <w:t>Overall, despite the challenges associated with estimating use in MS patients not currently being treated with PBS listed DMTs, the commentary and the ESC considered that the net financial impact was likely overestimated for the following reasons:</w:t>
      </w:r>
    </w:p>
    <w:p w:rsidR="003E575F" w:rsidRPr="000E4404" w:rsidRDefault="003E575F" w:rsidP="003E575F">
      <w:pPr>
        <w:pStyle w:val="ListBullet"/>
        <w:numPr>
          <w:ilvl w:val="0"/>
          <w:numId w:val="12"/>
        </w:numPr>
        <w:jc w:val="both"/>
        <w:rPr>
          <w:lang w:val="en-AU" w:eastAsia="en-AU"/>
        </w:rPr>
      </w:pPr>
      <w:r w:rsidRPr="00015BC4">
        <w:rPr>
          <w:lang w:val="en-AU" w:eastAsia="en-AU"/>
        </w:rPr>
        <w:t xml:space="preserve">The resubmission applied an estimate that 19.1% of MS patients were EDSS of 6.0 and above. However, the commentary and the ESC considered that the estimate of 11.9% of patients with EDSS 6.0 and 6.5 was more consistent with the requested restriction and included evidence. The pre-PBAC response proposed changing this estimate to 18.35% to include patients in an EDSS range of 6.0-8.0. However, the PBAC agreed with the ESC and considered </w:t>
      </w:r>
      <w:r w:rsidRPr="00015BC4">
        <w:rPr>
          <w:bCs/>
          <w:lang w:val="en-AU"/>
        </w:rPr>
        <w:t xml:space="preserve">the proportion of MS patients between </w:t>
      </w:r>
      <w:r w:rsidRPr="00015BC4">
        <w:rPr>
          <w:bCs/>
          <w:lang w:val="en-AU"/>
        </w:rPr>
        <w:lastRenderedPageBreak/>
        <w:t>EDSS 6.0 and 6.5 (11.9%) should be applied, in line with its view that PBS subsidised treatment should cease when patients have confirmed disability progression or become non-</w:t>
      </w:r>
      <w:r w:rsidRPr="000E4404">
        <w:rPr>
          <w:bCs/>
          <w:lang w:val="en-AU"/>
        </w:rPr>
        <w:t>ambulatory.</w:t>
      </w:r>
    </w:p>
    <w:p w:rsidR="003E575F" w:rsidRPr="00015BC4" w:rsidRDefault="003E575F" w:rsidP="003E575F">
      <w:pPr>
        <w:pStyle w:val="ListBullet"/>
        <w:numPr>
          <w:ilvl w:val="0"/>
          <w:numId w:val="12"/>
        </w:numPr>
        <w:jc w:val="both"/>
        <w:rPr>
          <w:lang w:val="en-AU" w:eastAsia="en-AU"/>
        </w:rPr>
      </w:pPr>
      <w:r w:rsidRPr="000E4404">
        <w:rPr>
          <w:lang w:val="en-AU" w:eastAsia="en-AU"/>
        </w:rPr>
        <w:t xml:space="preserve">The resubmission estimated that </w:t>
      </w:r>
      <w:r w:rsidR="003C0833">
        <w:rPr>
          <w:noProof/>
          <w:color w:val="000000"/>
          <w:highlight w:val="black"/>
          <w:lang w:val="en-AU" w:eastAsia="en-AU"/>
        </w:rPr>
        <w:t>'''''</w:t>
      </w:r>
      <w:r w:rsidRPr="000E4404">
        <w:rPr>
          <w:lang w:val="en-AU" w:eastAsia="en-AU"/>
        </w:rPr>
        <w:t xml:space="preserve">% of patients with EDSS 6.0 and above would be untreated with DMTs, in contrast to </w:t>
      </w:r>
      <w:r w:rsidR="003C0833">
        <w:rPr>
          <w:noProof/>
          <w:color w:val="000000"/>
          <w:highlight w:val="black"/>
          <w:lang w:val="en-AU" w:eastAsia="en-AU"/>
        </w:rPr>
        <w:t>''''''''</w:t>
      </w:r>
      <w:r w:rsidRPr="000E4404">
        <w:rPr>
          <w:lang w:val="en-AU" w:eastAsia="en-AU"/>
        </w:rPr>
        <w:t xml:space="preserve">% in the MSBase registry (Australian cohort, based on all EDSS levels). </w:t>
      </w:r>
      <w:r w:rsidRPr="000E4404">
        <w:rPr>
          <w:bCs/>
          <w:lang w:val="en-AU" w:eastAsia="en-AU"/>
        </w:rPr>
        <w:t>Th</w:t>
      </w:r>
      <w:r w:rsidRPr="000E4404">
        <w:rPr>
          <w:bCs/>
          <w:lang w:val="en-AU"/>
        </w:rPr>
        <w:t>e ESC considered that th</w:t>
      </w:r>
      <w:r w:rsidRPr="000E4404">
        <w:rPr>
          <w:bCs/>
          <w:lang w:val="en-AU" w:eastAsia="en-AU"/>
        </w:rPr>
        <w:t>is</w:t>
      </w:r>
      <w:r w:rsidRPr="000E4404">
        <w:rPr>
          <w:lang w:val="en-AU" w:eastAsia="en-AU"/>
        </w:rPr>
        <w:t xml:space="preserve"> underestimated current use of DMTs and potential cost-offsets. The ESC noted that the MSBase analysis was based on clinician designated SPMS, which may be different from the requested listing which </w:t>
      </w:r>
      <w:r w:rsidR="006B3AA3" w:rsidRPr="000E4404">
        <w:rPr>
          <w:lang w:val="en-AU" w:eastAsia="en-AU"/>
        </w:rPr>
        <w:t>does not exclude</w:t>
      </w:r>
      <w:r w:rsidRPr="000E4404">
        <w:rPr>
          <w:lang w:val="en-AU" w:eastAsia="en-AU"/>
        </w:rPr>
        <w:t xml:space="preserve"> RRMS patients. Though uncertain, </w:t>
      </w:r>
      <w:r w:rsidRPr="000E4404">
        <w:rPr>
          <w:lang w:val="en-AU"/>
        </w:rPr>
        <w:t xml:space="preserve">the ESC considered </w:t>
      </w:r>
      <w:r w:rsidRPr="000E4404">
        <w:rPr>
          <w:lang w:val="en-AU" w:eastAsia="en-AU"/>
        </w:rPr>
        <w:t>it would be reasonable to assume that a greater number of patients would be on DMTs in a non-SPMS specific population. The PSCR noted the proportion untreated with DMTs varies by year and in Year Six is similar to the proportion of untreated patients from the MSBase registry (</w:t>
      </w:r>
      <w:r w:rsidR="003C0833">
        <w:rPr>
          <w:noProof/>
          <w:color w:val="000000"/>
          <w:highlight w:val="black"/>
          <w:lang w:val="en-AU" w:eastAsia="en-AU"/>
        </w:rPr>
        <w:t>''''''</w:t>
      </w:r>
      <w:r w:rsidRPr="000E4404">
        <w:rPr>
          <w:lang w:val="en-AU" w:eastAsia="en-AU"/>
        </w:rPr>
        <w:t xml:space="preserve">%). The pre-PBAC response proposed changing the proportion of patients with EDSS </w:t>
      </w:r>
      <w:r w:rsidRPr="000E4404">
        <w:rPr>
          <w:rFonts w:cstheme="minorHAnsi"/>
          <w:lang w:val="en-AU"/>
        </w:rPr>
        <w:t>≥</w:t>
      </w:r>
      <w:r w:rsidRPr="000E4404">
        <w:rPr>
          <w:lang w:val="en-AU"/>
        </w:rPr>
        <w:t xml:space="preserve"> </w:t>
      </w:r>
      <w:r w:rsidRPr="000E4404">
        <w:rPr>
          <w:lang w:val="en-AU" w:eastAsia="en-AU"/>
        </w:rPr>
        <w:t xml:space="preserve">6.0 who are untreated with DMTs from </w:t>
      </w:r>
      <w:r w:rsidR="003C0833">
        <w:rPr>
          <w:noProof/>
          <w:color w:val="000000"/>
          <w:highlight w:val="black"/>
          <w:lang w:val="en-AU" w:eastAsia="en-AU"/>
        </w:rPr>
        <w:t>''''''</w:t>
      </w:r>
      <w:r w:rsidRPr="000E4404">
        <w:rPr>
          <w:lang w:val="en-AU" w:eastAsia="en-AU"/>
        </w:rPr>
        <w:t xml:space="preserve">% to </w:t>
      </w:r>
      <w:r w:rsidR="003C0833">
        <w:rPr>
          <w:noProof/>
          <w:color w:val="000000"/>
          <w:highlight w:val="black"/>
          <w:lang w:val="en-AU" w:eastAsia="en-AU"/>
        </w:rPr>
        <w:t>'''''''''</w:t>
      </w:r>
      <w:r w:rsidRPr="000E4404">
        <w:rPr>
          <w:lang w:val="en-AU" w:eastAsia="en-AU"/>
        </w:rPr>
        <w:t xml:space="preserve">%. </w:t>
      </w:r>
      <w:r w:rsidRPr="000E4404">
        <w:rPr>
          <w:lang w:val="en-AU"/>
        </w:rPr>
        <w:t xml:space="preserve">However, the PBAC considered the MSBase database may potentially underestimate the proportion of patients who are currently untreated as participants are often recruited and followed opportunistically and a large proportion of patient interactions were associated with use or monitoring of DMTs. Further, the PBAC noted that the figure of </w:t>
      </w:r>
      <w:r w:rsidR="003C0833">
        <w:rPr>
          <w:noProof/>
          <w:color w:val="000000"/>
          <w:highlight w:val="black"/>
          <w:lang w:val="en-AU"/>
        </w:rPr>
        <w:t>'''''''''</w:t>
      </w:r>
      <w:r w:rsidRPr="000E4404">
        <w:rPr>
          <w:lang w:val="en-AU"/>
        </w:rPr>
        <w:t>% was derived from all patients with clinician-designated SPMS regardless of EDSS level, despite this being applied as the proportion of patients</w:t>
      </w:r>
      <w:r w:rsidRPr="00015BC4">
        <w:rPr>
          <w:lang w:val="en-AU"/>
        </w:rPr>
        <w:t xml:space="preserve"> with EDSS ≥ 6.0 who are untreated with DMTs. Overall, the PBAC considered that it was more reasonable to estimate that </w:t>
      </w:r>
      <w:r w:rsidR="0059530D">
        <w:rPr>
          <w:noProof/>
          <w:color w:val="000000"/>
          <w:highlight w:val="black"/>
          <w:lang w:val="en-AU"/>
        </w:rPr>
        <w:t>'''''</w:t>
      </w:r>
      <w:r w:rsidRPr="00015BC4">
        <w:rPr>
          <w:lang w:val="en-AU"/>
        </w:rPr>
        <w:t>% of patients with EDSS ≥ 6.0 are untreated with DMTs (per the submission).</w:t>
      </w:r>
    </w:p>
    <w:p w:rsidR="003E575F" w:rsidRPr="00015BC4" w:rsidRDefault="003E575F" w:rsidP="003E575F">
      <w:pPr>
        <w:pStyle w:val="3-BodyText"/>
        <w:numPr>
          <w:ilvl w:val="0"/>
          <w:numId w:val="12"/>
        </w:numPr>
        <w:ind w:left="1077" w:hanging="357"/>
      </w:pPr>
      <w:r w:rsidRPr="00015BC4">
        <w:t xml:space="preserve">Continuation rates were based on continuation in RRMS at lower EDSS levels. DUSC previously stated that the assumptions that the treatment persistence of siponimod would be the same as fingolimod for the RRMS population were not adequately justified (p1, Siponimod DUSC advice, November 2019). The ESC considered that continuation rates would be expected to be substantially lower in the high EDSS population. </w:t>
      </w:r>
      <w:r w:rsidRPr="00015BC4">
        <w:rPr>
          <w:bCs/>
        </w:rPr>
        <w:t>However, the PBAC considered the assumption that siponimod continuation rates would be the same as current observed fingolimod persistence rates was reasonable as they are pharmacological analogues and have similar safety profiles.</w:t>
      </w:r>
    </w:p>
    <w:p w:rsidR="003E575F" w:rsidRPr="00286E3F" w:rsidRDefault="003E575F" w:rsidP="002411EB">
      <w:pPr>
        <w:pStyle w:val="3-BodyText"/>
      </w:pPr>
      <w:r w:rsidRPr="00015BC4">
        <w:t xml:space="preserve">In the market share approach, the resubmission assumed that the proportion of scripts replaced by siponimod would </w:t>
      </w:r>
      <w:r w:rsidRPr="000E4404">
        <w:t xml:space="preserve">be </w:t>
      </w:r>
      <w:r w:rsidR="0059530D">
        <w:rPr>
          <w:noProof/>
          <w:color w:val="000000"/>
          <w:highlight w:val="black"/>
        </w:rPr>
        <w:t>'''</w:t>
      </w:r>
      <w:r w:rsidRPr="000E4404">
        <w:t xml:space="preserve">% in Year 1 increasing to </w:t>
      </w:r>
      <w:r w:rsidR="0059530D">
        <w:rPr>
          <w:noProof/>
          <w:color w:val="000000"/>
          <w:highlight w:val="black"/>
        </w:rPr>
        <w:t>'''''</w:t>
      </w:r>
      <w:r w:rsidRPr="00015BC4">
        <w:t xml:space="preserve">% in Years 4-6 for most RRMS DMTs (slightly lower rates were assumed in the first few years for cladribine, ocrelizumab and alemtuzumab). The pre-PBAC response stated that utilisation of siponimod in patients with EDSS &lt; 3 ‘is unlikely to occur’ (given the TGA registration is for SPMS) and the market uptake rates applied ‘account for there being no usage in this population’. As patients with EDSS &lt; 3 comprise around </w:t>
      </w:r>
      <w:r w:rsidR="003C0833">
        <w:rPr>
          <w:noProof/>
          <w:color w:val="000000"/>
          <w:highlight w:val="black"/>
        </w:rPr>
        <w:t>'''''</w:t>
      </w:r>
      <w:r w:rsidRPr="00015BC4">
        <w:t xml:space="preserve">% of the MS population, the pre-PBAC response argued that uptake rates should be doubled if patients with EDSS &lt; 3 are excluded. </w:t>
      </w:r>
      <w:r w:rsidR="005D37F9">
        <w:t>As outline</w:t>
      </w:r>
      <w:r w:rsidR="00F62E6D">
        <w:t>d</w:t>
      </w:r>
      <w:r w:rsidR="005D37F9">
        <w:t xml:space="preserve"> above, the PBAC considered that </w:t>
      </w:r>
      <w:r w:rsidR="005D37F9" w:rsidRPr="005D37F9">
        <w:t xml:space="preserve">the restriction should exclude use of </w:t>
      </w:r>
      <w:r w:rsidR="00F62E6D">
        <w:t>siponimod in patients with EDSS </w:t>
      </w:r>
      <w:r w:rsidR="005D37F9" w:rsidRPr="005D37F9">
        <w:t>&lt; 3</w:t>
      </w:r>
      <w:r w:rsidR="005D37F9">
        <w:t xml:space="preserve">. The PBAC noted </w:t>
      </w:r>
      <w:r w:rsidR="005D37F9">
        <w:lastRenderedPageBreak/>
        <w:t xml:space="preserve">that this would mean that the </w:t>
      </w:r>
      <w:r w:rsidR="00F62E6D" w:rsidRPr="00015BC4">
        <w:t xml:space="preserve">uptake /displacement rates </w:t>
      </w:r>
      <w:r w:rsidR="005D37F9">
        <w:t>in the ‘revised’ population</w:t>
      </w:r>
      <w:r w:rsidR="00F62E6D">
        <w:t xml:space="preserve"> </w:t>
      </w:r>
      <w:r w:rsidR="002411EB">
        <w:t>(</w:t>
      </w:r>
      <w:r w:rsidR="002411EB" w:rsidRPr="002411EB">
        <w:t xml:space="preserve">comprising patients with EDSS </w:t>
      </w:r>
      <w:r w:rsidR="002411EB" w:rsidRPr="00286E3F">
        <w:t xml:space="preserve">≥ 3) would be </w:t>
      </w:r>
      <w:r w:rsidR="0059530D">
        <w:rPr>
          <w:noProof/>
          <w:color w:val="000000"/>
          <w:highlight w:val="black"/>
        </w:rPr>
        <w:t>'''''</w:t>
      </w:r>
      <w:r w:rsidR="002411EB" w:rsidRPr="00286E3F">
        <w:t>% in Year </w:t>
      </w:r>
      <w:r w:rsidR="00F62E6D" w:rsidRPr="00286E3F">
        <w:t xml:space="preserve">6 (i.e. the submission </w:t>
      </w:r>
      <w:r w:rsidR="00503D31" w:rsidRPr="00286E3F">
        <w:t xml:space="preserve">and pre-PBAC response </w:t>
      </w:r>
      <w:r w:rsidR="00F62E6D" w:rsidRPr="00286E3F">
        <w:t>e</w:t>
      </w:r>
      <w:r w:rsidR="002411EB" w:rsidRPr="00286E3F">
        <w:t>ffectively assumed that in Year </w:t>
      </w:r>
      <w:r w:rsidR="00F62E6D" w:rsidRPr="00286E3F">
        <w:t xml:space="preserve">6 siponimod would displace </w:t>
      </w:r>
      <w:r w:rsidR="0059530D">
        <w:rPr>
          <w:noProof/>
          <w:color w:val="000000"/>
          <w:highlight w:val="black"/>
        </w:rPr>
        <w:t>'''''</w:t>
      </w:r>
      <w:r w:rsidR="00F62E6D" w:rsidRPr="00286E3F">
        <w:t xml:space="preserve">% of the use of each of interferon, teriflunomide, alemtuzumab, cladribine, fingolimod, natalizumab and ocrelizumab in patients with EDSS ≥ 3). The PBAC considered this was unreasonably high given the number of DMTs available, and </w:t>
      </w:r>
      <w:r w:rsidR="00503D31" w:rsidRPr="00286E3F">
        <w:t xml:space="preserve">considered </w:t>
      </w:r>
      <w:r w:rsidR="00F62E6D" w:rsidRPr="00286E3F">
        <w:t xml:space="preserve">that a more reasonable estimate of the uptake/displacement in Year 6 would be </w:t>
      </w:r>
      <w:r w:rsidR="0059530D">
        <w:rPr>
          <w:noProof/>
          <w:color w:val="000000"/>
          <w:highlight w:val="black"/>
        </w:rPr>
        <w:t>'''''</w:t>
      </w:r>
      <w:r w:rsidR="00F62E6D" w:rsidRPr="00286E3F">
        <w:t xml:space="preserve">% (rather than </w:t>
      </w:r>
      <w:r w:rsidR="0059530D">
        <w:rPr>
          <w:noProof/>
          <w:color w:val="000000"/>
          <w:highlight w:val="black"/>
        </w:rPr>
        <w:t>''''''</w:t>
      </w:r>
      <w:r w:rsidR="00F62E6D" w:rsidRPr="00286E3F">
        <w:t xml:space="preserve">% as proposed in the pre-PBAC response). </w:t>
      </w:r>
    </w:p>
    <w:p w:rsidR="003E575F" w:rsidRPr="00015BC4" w:rsidRDefault="003E575F" w:rsidP="003E575F">
      <w:pPr>
        <w:pStyle w:val="3-BodyText"/>
        <w:rPr>
          <w:color w:val="000000" w:themeColor="text1"/>
        </w:rPr>
      </w:pPr>
      <w:r w:rsidRPr="00286E3F">
        <w:rPr>
          <w:color w:val="000000" w:themeColor="text1"/>
        </w:rPr>
        <w:t xml:space="preserve">The resubmission included </w:t>
      </w:r>
      <w:r w:rsidR="00A477E9" w:rsidRPr="00286E3F">
        <w:rPr>
          <w:color w:val="000000" w:themeColor="text1"/>
        </w:rPr>
        <w:t>less than 500</w:t>
      </w:r>
      <w:r w:rsidRPr="00286E3F">
        <w:rPr>
          <w:color w:val="000000" w:themeColor="text1"/>
        </w:rPr>
        <w:t xml:space="preserve"> grandfather patients in</w:t>
      </w:r>
      <w:r w:rsidRPr="00015BC4">
        <w:rPr>
          <w:color w:val="000000" w:themeColor="text1"/>
        </w:rPr>
        <w:t xml:space="preserve"> </w:t>
      </w:r>
      <w:r w:rsidR="00F62E6D">
        <w:rPr>
          <w:color w:val="000000" w:themeColor="text1"/>
        </w:rPr>
        <w:t xml:space="preserve">the </w:t>
      </w:r>
      <w:r w:rsidRPr="00015BC4">
        <w:rPr>
          <w:color w:val="000000" w:themeColor="text1"/>
        </w:rPr>
        <w:t>financial estimates. It was unclear what proportion of grandfather patients would fall within the requested restriction</w:t>
      </w:r>
      <w:r>
        <w:rPr>
          <w:color w:val="000000" w:themeColor="text1"/>
        </w:rPr>
        <w:t xml:space="preserve">. </w:t>
      </w:r>
    </w:p>
    <w:p w:rsidR="003E575F" w:rsidRPr="00015BC4" w:rsidRDefault="003E575F" w:rsidP="003E575F">
      <w:pPr>
        <w:pStyle w:val="4-SubsectionHeading"/>
        <w:rPr>
          <w:lang w:val="en-AU"/>
        </w:rPr>
      </w:pPr>
      <w:bookmarkStart w:id="39" w:name="_Toc22897649"/>
      <w:bookmarkStart w:id="40" w:name="_Toc40855742"/>
      <w:r w:rsidRPr="00015BC4">
        <w:rPr>
          <w:lang w:val="en-AU"/>
        </w:rPr>
        <w:t>Financial Management – Risk Sharing Arrangements</w:t>
      </w:r>
      <w:bookmarkEnd w:id="39"/>
      <w:bookmarkEnd w:id="40"/>
    </w:p>
    <w:p w:rsidR="003E575F" w:rsidRPr="00015BC4" w:rsidRDefault="003E575F" w:rsidP="003E575F">
      <w:pPr>
        <w:pStyle w:val="3-BodyText"/>
        <w:rPr>
          <w:color w:val="0066FF"/>
        </w:rPr>
      </w:pPr>
      <w:r w:rsidRPr="00015BC4">
        <w:rPr>
          <w:color w:val="000000" w:themeColor="text1"/>
        </w:rPr>
        <w:t xml:space="preserve">The </w:t>
      </w:r>
      <w:r w:rsidRPr="00015BC4">
        <w:t>resubmission proposed to share the risk of the overall budget impact of a PBS listing for siponimod through a subsidisation cap and rebate arrangement to give the PBAC confidence in the budget estimates. The submission indicated a willingness from the sponsor to negotiate a rebate level above the expenditure caps proposed (which were based on the cost to the PBS/RPBS of siponimod without offsets for replaced DMTs), with relevant adjustments to the cap amount if a PBAC recommendation varies from the submission.</w:t>
      </w:r>
    </w:p>
    <w:p w:rsidR="003E575F" w:rsidRPr="00015BC4" w:rsidRDefault="003E575F" w:rsidP="003E575F">
      <w:pPr>
        <w:pStyle w:val="3-BodyText"/>
        <w:rPr>
          <w:color w:val="0066FF"/>
        </w:rPr>
      </w:pPr>
      <w:r w:rsidRPr="00015BC4">
        <w:rPr>
          <w:color w:val="000000" w:themeColor="text1"/>
        </w:rPr>
        <w:t>The resubmission stated “as</w:t>
      </w:r>
      <w:r w:rsidRPr="00015BC4">
        <w:t xml:space="preserve"> the PBS population to be treated with siponimod differs from the population eligible for the current DMTs (by including patients with the highest unmet need, EDSS 6.0/6.5), the subsidisation caps should be unique to siponimod and based on the agreed estimates”. Given the overlapping populations (e.g. the estimates include some uptake from DMTs currently listed for RRMS), adjustments would likely be required to the rebate arrangements for other DMTs to take into account reductions in the use of currently listed DMTs for RRMS.</w:t>
      </w:r>
      <w:r w:rsidRPr="00015BC4">
        <w:rPr>
          <w:i/>
        </w:rPr>
        <w:t xml:space="preserve"> </w:t>
      </w:r>
    </w:p>
    <w:p w:rsidR="003E575F" w:rsidRPr="00015BC4" w:rsidRDefault="003E575F" w:rsidP="003E575F">
      <w:pPr>
        <w:pStyle w:val="3-BodyText"/>
        <w:rPr>
          <w:color w:val="0066FF"/>
        </w:rPr>
      </w:pPr>
      <w:r w:rsidRPr="00015BC4">
        <w:rPr>
          <w:color w:val="000000" w:themeColor="text1"/>
        </w:rPr>
        <w:t>The revised financial estimated proposed in the pre-PBAC response would lead to proposed subsidisation caps being different to those stated in the resubmission. The pre-PBAC response reiterated the Sponsor’s willingness to enter into a risk sharing arrangement, with financial caps and rebate levels to be negotiated following a positive recommendation.</w:t>
      </w:r>
    </w:p>
    <w:p w:rsidR="003E575F" w:rsidRPr="00015BC4" w:rsidRDefault="003E575F" w:rsidP="003E575F">
      <w:pPr>
        <w:pStyle w:val="3-BodyText"/>
        <w:numPr>
          <w:ilvl w:val="0"/>
          <w:numId w:val="0"/>
        </w:numPr>
        <w:ind w:left="720"/>
        <w:rPr>
          <w:i/>
        </w:rPr>
      </w:pPr>
      <w:r w:rsidRPr="00015BC4">
        <w:rPr>
          <w:i/>
        </w:rPr>
        <w:t>For more detail on PBAC’s view, see section 7 PBAC outcome.</w:t>
      </w:r>
    </w:p>
    <w:p w:rsidR="00550CDA" w:rsidRPr="00015BC4" w:rsidRDefault="00550CDA" w:rsidP="008C1B23">
      <w:pPr>
        <w:keepNext/>
        <w:widowControl w:val="0"/>
        <w:numPr>
          <w:ilvl w:val="0"/>
          <w:numId w:val="1"/>
        </w:numPr>
        <w:spacing w:before="240" w:after="120"/>
        <w:jc w:val="both"/>
        <w:outlineLvl w:val="0"/>
        <w:rPr>
          <w:rFonts w:asciiTheme="minorHAnsi" w:hAnsiTheme="minorHAnsi" w:cs="Arial"/>
          <w:b/>
          <w:bCs/>
          <w:snapToGrid w:val="0"/>
          <w:sz w:val="32"/>
          <w:lang w:val="en-AU"/>
        </w:rPr>
      </w:pPr>
      <w:r w:rsidRPr="00015BC4">
        <w:rPr>
          <w:rFonts w:asciiTheme="minorHAnsi" w:hAnsiTheme="minorHAnsi" w:cs="Arial"/>
          <w:b/>
          <w:bCs/>
          <w:snapToGrid w:val="0"/>
          <w:sz w:val="32"/>
          <w:lang w:val="en-AU"/>
        </w:rPr>
        <w:t>PBAC Outcome</w:t>
      </w:r>
    </w:p>
    <w:p w:rsidR="00DB0256" w:rsidRPr="0059530D" w:rsidRDefault="00DB0256" w:rsidP="00BF73A6">
      <w:pPr>
        <w:pStyle w:val="3-BodyText"/>
      </w:pPr>
      <w:r w:rsidRPr="00015BC4">
        <w:t>The PBAC recommended the General Schedule, Authority Required (</w:t>
      </w:r>
      <w:r w:rsidR="00C00D3B" w:rsidRPr="00015BC4">
        <w:t>Streamlined</w:t>
      </w:r>
      <w:r w:rsidRPr="00015BC4">
        <w:t>) listing of siponimod for secondary progressive</w:t>
      </w:r>
      <w:r w:rsidR="007705F1" w:rsidRPr="00015BC4">
        <w:t xml:space="preserve"> MS (SPMS). </w:t>
      </w:r>
      <w:r w:rsidR="00664586" w:rsidRPr="00015BC4">
        <w:t xml:space="preserve">Among other matters, the </w:t>
      </w:r>
      <w:r w:rsidR="007705F1" w:rsidRPr="00015BC4">
        <w:t xml:space="preserve">recommendation was </w:t>
      </w:r>
      <w:r w:rsidR="00C00D3B" w:rsidRPr="00015BC4">
        <w:t xml:space="preserve">made </w:t>
      </w:r>
      <w:r w:rsidR="007705F1" w:rsidRPr="00015BC4">
        <w:t xml:space="preserve">on a cost minimisation basis </w:t>
      </w:r>
      <w:r w:rsidR="00C00D3B" w:rsidRPr="00015BC4">
        <w:t>versus</w:t>
      </w:r>
      <w:r w:rsidR="007705F1" w:rsidRPr="00015BC4">
        <w:t xml:space="preserve"> fingolimod</w:t>
      </w:r>
      <w:r w:rsidR="00BF73A6">
        <w:t xml:space="preserve"> </w:t>
      </w:r>
      <w:r w:rsidR="00BF73A6" w:rsidRPr="00BF73A6">
        <w:t>in the group of patients who would otherwise be treated with fingolimod</w:t>
      </w:r>
      <w:r w:rsidR="00AF53FD" w:rsidRPr="00015BC4">
        <w:t xml:space="preserve">. </w:t>
      </w:r>
      <w:r w:rsidR="00C96FA4" w:rsidRPr="00015BC4">
        <w:t xml:space="preserve">The PBAC considered the uncertainty associated with the cost-effectiveness of siponimod when used in a broader patient population than fingolimod was likely to be adequately </w:t>
      </w:r>
      <w:r w:rsidR="00C96FA4" w:rsidRPr="00015BC4">
        <w:lastRenderedPageBreak/>
        <w:t xml:space="preserve">addressed with a reduced price, which was </w:t>
      </w:r>
      <w:r w:rsidR="00C96FA4" w:rsidRPr="0059530D">
        <w:t xml:space="preserve">consistent with that of interferon beta, for this </w:t>
      </w:r>
      <w:r w:rsidR="005D37F9" w:rsidRPr="0059530D">
        <w:t xml:space="preserve">broader </w:t>
      </w:r>
      <w:r w:rsidR="00C96FA4" w:rsidRPr="0059530D">
        <w:t>population.</w:t>
      </w:r>
      <w:r w:rsidR="0069376C" w:rsidRPr="0059530D">
        <w:t xml:space="preserve"> The PBAC considered that some of the a</w:t>
      </w:r>
      <w:r w:rsidR="0069376C" w:rsidRPr="0059530D">
        <w:rPr>
          <w:bCs/>
          <w:lang w:eastAsia="en-US"/>
        </w:rPr>
        <w:t>ssumptions applied in</w:t>
      </w:r>
      <w:r w:rsidR="00E40637" w:rsidRPr="0059530D">
        <w:rPr>
          <w:bCs/>
          <w:lang w:eastAsia="en-US"/>
        </w:rPr>
        <w:t xml:space="preserve"> the</w:t>
      </w:r>
      <w:r w:rsidR="0069376C" w:rsidRPr="0059530D">
        <w:rPr>
          <w:bCs/>
          <w:lang w:eastAsia="en-US"/>
        </w:rPr>
        <w:t xml:space="preserve"> </w:t>
      </w:r>
      <w:r w:rsidR="00C96FA4" w:rsidRPr="0059530D">
        <w:rPr>
          <w:bCs/>
          <w:lang w:eastAsia="en-US"/>
        </w:rPr>
        <w:t xml:space="preserve">pre-PBAC response’s </w:t>
      </w:r>
      <w:r w:rsidR="0069376C" w:rsidRPr="0059530D">
        <w:rPr>
          <w:bCs/>
          <w:lang w:eastAsia="en-US"/>
        </w:rPr>
        <w:t xml:space="preserve">financials </w:t>
      </w:r>
      <w:r w:rsidR="00E40637" w:rsidRPr="0059530D">
        <w:rPr>
          <w:bCs/>
          <w:lang w:eastAsia="en-US"/>
        </w:rPr>
        <w:t>estimates were not</w:t>
      </w:r>
      <w:r w:rsidR="00447B5F" w:rsidRPr="0059530D">
        <w:rPr>
          <w:bCs/>
          <w:lang w:eastAsia="en-US"/>
        </w:rPr>
        <w:t xml:space="preserve"> reasonable and that adjustments </w:t>
      </w:r>
      <w:r w:rsidR="00EB39F5" w:rsidRPr="0059530D">
        <w:rPr>
          <w:bCs/>
          <w:lang w:eastAsia="en-US"/>
        </w:rPr>
        <w:t>would be required. The PBAC noted th</w:t>
      </w:r>
      <w:r w:rsidR="00EF7A06" w:rsidRPr="0059530D">
        <w:rPr>
          <w:bCs/>
          <w:lang w:eastAsia="en-US"/>
        </w:rPr>
        <w:t>ese adjustments</w:t>
      </w:r>
      <w:r w:rsidR="00EB39F5" w:rsidRPr="0059530D">
        <w:rPr>
          <w:bCs/>
          <w:lang w:eastAsia="en-US"/>
        </w:rPr>
        <w:t xml:space="preserve"> would </w:t>
      </w:r>
      <w:r w:rsidR="0069376C" w:rsidRPr="0059530D">
        <w:rPr>
          <w:bCs/>
          <w:lang w:eastAsia="en-US"/>
        </w:rPr>
        <w:t>lead to a reduction in the</w:t>
      </w:r>
      <w:r w:rsidR="00664586" w:rsidRPr="0059530D">
        <w:rPr>
          <w:bCs/>
          <w:lang w:eastAsia="en-US"/>
        </w:rPr>
        <w:t xml:space="preserve"> proposed</w:t>
      </w:r>
      <w:r w:rsidR="0069376C" w:rsidRPr="0059530D">
        <w:rPr>
          <w:bCs/>
          <w:lang w:eastAsia="en-US"/>
        </w:rPr>
        <w:t xml:space="preserve"> weighted price</w:t>
      </w:r>
      <w:r w:rsidR="00EB39F5" w:rsidRPr="0059530D">
        <w:rPr>
          <w:bCs/>
          <w:lang w:eastAsia="en-US"/>
        </w:rPr>
        <w:t xml:space="preserve"> and the financial estimates</w:t>
      </w:r>
      <w:r w:rsidR="00E40637" w:rsidRPr="0059530D">
        <w:rPr>
          <w:bCs/>
          <w:lang w:eastAsia="en-US"/>
        </w:rPr>
        <w:t>.</w:t>
      </w:r>
    </w:p>
    <w:p w:rsidR="00EB39F5" w:rsidRPr="00286E3F" w:rsidRDefault="00C00D3B" w:rsidP="00BF73A6">
      <w:pPr>
        <w:pStyle w:val="3-BodyText"/>
      </w:pPr>
      <w:r w:rsidRPr="0059530D">
        <w:t xml:space="preserve">The PBAC’s recommendation for listing was based on, among other matters, its assessment, as described above, that the cost-effectiveness of siponimod would be acceptable if it were cost-minimised against fingolimod </w:t>
      </w:r>
      <w:r w:rsidR="00BF73A6" w:rsidRPr="0059530D">
        <w:rPr>
          <w:rFonts w:ascii="Calibri" w:hAnsi="Calibri" w:cs="Times New Roman"/>
          <w:snapToGrid/>
          <w:lang w:eastAsia="en-US"/>
        </w:rPr>
        <w:t xml:space="preserve">in the group of patients who would otherwise be treated with fingolimod </w:t>
      </w:r>
      <w:r w:rsidR="00A45226" w:rsidRPr="0059530D">
        <w:rPr>
          <w:bCs/>
        </w:rPr>
        <w:t>and if the following measures were implemented to contain risks associated with the cost of the drug to the PBS:</w:t>
      </w:r>
      <w:r w:rsidR="00EB39F5" w:rsidRPr="0059530D">
        <w:t xml:space="preserve"> </w:t>
      </w:r>
      <w:r w:rsidR="00EB39F5" w:rsidRPr="0059530D">
        <w:rPr>
          <w:bCs/>
        </w:rPr>
        <w:t>the price should be</w:t>
      </w:r>
      <w:r w:rsidR="00EB39F5" w:rsidRPr="0059530D">
        <w:t xml:space="preserve"> equivalent to the cost of interferon beta in patients</w:t>
      </w:r>
      <w:r w:rsidR="00EB39F5" w:rsidRPr="00286E3F">
        <w:t xml:space="preserve"> with EDSS ≥ 6 who are currently untreated, with the weighted price and a risk sharing arrangement based on the assumptions outlined below.</w:t>
      </w:r>
    </w:p>
    <w:p w:rsidR="00447B5F" w:rsidRPr="00015BC4" w:rsidRDefault="00684F9E" w:rsidP="00BF73A6">
      <w:pPr>
        <w:pStyle w:val="3-BodyText"/>
        <w:rPr>
          <w:rFonts w:ascii="Calibri" w:hAnsi="Calibri" w:cs="Times New Roman"/>
          <w:bCs/>
          <w:snapToGrid/>
          <w:lang w:eastAsia="en-US"/>
        </w:rPr>
      </w:pPr>
      <w:r w:rsidRPr="00286E3F">
        <w:t>The equi-effective doses</w:t>
      </w:r>
      <w:r w:rsidR="00447B5F" w:rsidRPr="00286E3F">
        <w:t xml:space="preserve"> were estimated</w:t>
      </w:r>
      <w:r w:rsidRPr="00286E3F">
        <w:t xml:space="preserve"> as follows</w:t>
      </w:r>
      <w:r w:rsidR="00EB39F5" w:rsidRPr="00286E3F">
        <w:t xml:space="preserve"> f</w:t>
      </w:r>
      <w:r w:rsidRPr="00286E3F">
        <w:t xml:space="preserve">or </w:t>
      </w:r>
      <w:r w:rsidR="00BF73A6" w:rsidRPr="00286E3F">
        <w:t>the group of patients who would otherwise be treated with fingolimod</w:t>
      </w:r>
      <w:r w:rsidR="00EF7A06" w:rsidRPr="00286E3F">
        <w:t>:</w:t>
      </w:r>
      <w:r w:rsidR="00447B5F" w:rsidRPr="00286E3F">
        <w:t xml:space="preserve"> s</w:t>
      </w:r>
      <w:r w:rsidR="008C1B23" w:rsidRPr="00286E3F">
        <w:t>iponimod 2 mg once</w:t>
      </w:r>
      <w:r w:rsidR="008C1B23" w:rsidRPr="00015BC4">
        <w:t xml:space="preserve"> daily </w:t>
      </w:r>
      <w:r w:rsidR="00EB39F5" w:rsidRPr="00015BC4">
        <w:t>is equi</w:t>
      </w:r>
      <w:r w:rsidR="001722F6">
        <w:noBreakHyphen/>
      </w:r>
      <w:r w:rsidR="00EB39F5" w:rsidRPr="00015BC4">
        <w:t>effective to</w:t>
      </w:r>
      <w:r w:rsidR="00447B5F" w:rsidRPr="00015BC4">
        <w:t xml:space="preserve"> fingolimod 500 </w:t>
      </w:r>
      <w:r w:rsidR="008C1B23" w:rsidRPr="00015BC4">
        <w:t>mcg once daily.</w:t>
      </w:r>
      <w:r w:rsidR="00EB39F5" w:rsidRPr="00015BC4">
        <w:t xml:space="preserve"> </w:t>
      </w:r>
    </w:p>
    <w:p w:rsidR="00550CDA" w:rsidRPr="00AC4344" w:rsidRDefault="00684F9E" w:rsidP="00550CDA">
      <w:pPr>
        <w:widowControl w:val="0"/>
        <w:numPr>
          <w:ilvl w:val="1"/>
          <w:numId w:val="1"/>
        </w:numPr>
        <w:spacing w:after="120"/>
        <w:jc w:val="both"/>
        <w:rPr>
          <w:rFonts w:asciiTheme="minorHAnsi" w:hAnsiTheme="minorHAnsi" w:cs="Arial"/>
          <w:bCs/>
          <w:snapToGrid w:val="0"/>
          <w:lang w:val="en-AU"/>
        </w:rPr>
      </w:pPr>
      <w:r w:rsidRPr="00015BC4">
        <w:rPr>
          <w:rFonts w:asciiTheme="minorHAnsi" w:hAnsiTheme="minorHAnsi" w:cs="Arial"/>
          <w:bCs/>
          <w:snapToGrid w:val="0"/>
          <w:lang w:val="en-AU"/>
        </w:rPr>
        <w:t xml:space="preserve">The PBAC acknowledged the high clinical need for effective therapies for patients with </w:t>
      </w:r>
      <w:r w:rsidR="00A477C7" w:rsidRPr="00015BC4">
        <w:rPr>
          <w:rFonts w:asciiTheme="minorHAnsi" w:hAnsiTheme="minorHAnsi" w:cs="Arial"/>
          <w:bCs/>
          <w:snapToGrid w:val="0"/>
          <w:lang w:val="en-AU"/>
        </w:rPr>
        <w:t>progressive forms</w:t>
      </w:r>
      <w:r w:rsidRPr="00015BC4">
        <w:rPr>
          <w:rFonts w:asciiTheme="minorHAnsi" w:hAnsiTheme="minorHAnsi" w:cs="Arial"/>
          <w:bCs/>
          <w:snapToGrid w:val="0"/>
          <w:lang w:val="en-AU"/>
        </w:rPr>
        <w:t xml:space="preserve"> of </w:t>
      </w:r>
      <w:r w:rsidR="008948EA">
        <w:rPr>
          <w:rFonts w:asciiTheme="minorHAnsi" w:hAnsiTheme="minorHAnsi" w:cs="Arial"/>
          <w:bCs/>
          <w:snapToGrid w:val="0"/>
          <w:lang w:val="en-AU"/>
        </w:rPr>
        <w:t xml:space="preserve">relapse-onset </w:t>
      </w:r>
      <w:r w:rsidRPr="00015BC4">
        <w:rPr>
          <w:rFonts w:asciiTheme="minorHAnsi" w:hAnsiTheme="minorHAnsi" w:cs="Arial"/>
          <w:bCs/>
          <w:snapToGrid w:val="0"/>
          <w:lang w:val="en-AU"/>
        </w:rPr>
        <w:t xml:space="preserve">MS and for patients who are ambulant but require </w:t>
      </w:r>
      <w:r w:rsidRPr="00AC4344">
        <w:rPr>
          <w:rFonts w:asciiTheme="minorHAnsi" w:hAnsiTheme="minorHAnsi" w:cs="Arial"/>
          <w:bCs/>
          <w:snapToGrid w:val="0"/>
          <w:lang w:val="en-AU"/>
        </w:rPr>
        <w:t>support (equivalent to EDSS 6.0-6.5).</w:t>
      </w:r>
    </w:p>
    <w:p w:rsidR="006A2FD9" w:rsidRPr="00AC4344" w:rsidRDefault="00AC4344" w:rsidP="00A45226">
      <w:pPr>
        <w:pStyle w:val="3-BodyText"/>
      </w:pPr>
      <w:r w:rsidRPr="00015BC4">
        <w:t xml:space="preserve">The requested listing </w:t>
      </w:r>
      <w:r>
        <w:t xml:space="preserve">would </w:t>
      </w:r>
      <w:r w:rsidRPr="00015BC4">
        <w:t xml:space="preserve">permit use in patients with RRMS </w:t>
      </w:r>
      <w:r w:rsidR="00503D31">
        <w:t xml:space="preserve">or SPMS. The PBAC noted that the key evidence for siponimod is in patients with </w:t>
      </w:r>
      <w:r w:rsidRPr="00015BC4">
        <w:t>SPMS</w:t>
      </w:r>
      <w:r w:rsidR="00503D31">
        <w:t>,</w:t>
      </w:r>
      <w:r w:rsidRPr="00015BC4">
        <w:t xml:space="preserve"> but considered </w:t>
      </w:r>
      <w:r>
        <w:t>that it may not be appropriate for the restriction to specifically exclude patients with RRMS given</w:t>
      </w:r>
      <w:r w:rsidRPr="00015BC4">
        <w:t xml:space="preserve"> that it can be clinically difficult to determine when patients transition from RRMS to SPMS</w:t>
      </w:r>
      <w:r>
        <w:t>.</w:t>
      </w:r>
    </w:p>
    <w:p w:rsidR="00A45226" w:rsidRPr="00015BC4" w:rsidRDefault="008948EA" w:rsidP="00A45226">
      <w:pPr>
        <w:pStyle w:val="3-BodyText"/>
      </w:pPr>
      <w:r>
        <w:rPr>
          <w:bCs/>
        </w:rPr>
        <w:t>The PBAC considered that</w:t>
      </w:r>
      <w:r w:rsidRPr="008948EA">
        <w:rPr>
          <w:bCs/>
        </w:rPr>
        <w:t xml:space="preserve"> </w:t>
      </w:r>
      <w:r>
        <w:rPr>
          <w:bCs/>
        </w:rPr>
        <w:t xml:space="preserve">the restriction should exclude use of siponimod in </w:t>
      </w:r>
      <w:r>
        <w:t>patients with EDSS &lt; 3</w:t>
      </w:r>
      <w:r>
        <w:rPr>
          <w:bCs/>
        </w:rPr>
        <w:t xml:space="preserve"> given </w:t>
      </w:r>
      <w:r w:rsidRPr="00054345">
        <w:rPr>
          <w:bCs/>
        </w:rPr>
        <w:t xml:space="preserve">the limited clinical evidence for siponimod in </w:t>
      </w:r>
      <w:r>
        <w:rPr>
          <w:bCs/>
        </w:rPr>
        <w:t>this patient population.</w:t>
      </w:r>
    </w:p>
    <w:p w:rsidR="004607E9" w:rsidRPr="00015BC4" w:rsidRDefault="004607E9" w:rsidP="004607E9">
      <w:pPr>
        <w:pStyle w:val="3-BodyText"/>
        <w:rPr>
          <w:bCs/>
          <w:lang w:eastAsia="en-US"/>
        </w:rPr>
      </w:pPr>
      <w:r w:rsidRPr="00015BC4">
        <w:rPr>
          <w:bCs/>
          <w:lang w:eastAsia="en-US"/>
        </w:rPr>
        <w:t>The requested listing included</w:t>
      </w:r>
      <w:r w:rsidR="00904A6F" w:rsidRPr="00015BC4">
        <w:rPr>
          <w:bCs/>
          <w:lang w:eastAsia="en-US"/>
        </w:rPr>
        <w:t xml:space="preserve"> a continuation </w:t>
      </w:r>
      <w:r w:rsidRPr="00015BC4">
        <w:rPr>
          <w:bCs/>
          <w:lang w:eastAsia="en-US"/>
        </w:rPr>
        <w:t xml:space="preserve">criterion ‘patient must not show continuing progression of disability while on treatment with this drug’ which aligns with that for existing RRMS DMT listings. The PBAC noted that this meant that the maximum level of disability at which a patient could use siponimod would be </w:t>
      </w:r>
      <w:r w:rsidR="002411EB">
        <w:rPr>
          <w:bCs/>
          <w:lang w:eastAsia="en-US"/>
        </w:rPr>
        <w:t xml:space="preserve">equivalent to </w:t>
      </w:r>
      <w:r w:rsidRPr="00015BC4">
        <w:rPr>
          <w:bCs/>
          <w:lang w:eastAsia="en-US"/>
        </w:rPr>
        <w:t xml:space="preserve">an EDSS of 6.5 (i.e. </w:t>
      </w:r>
      <w:r w:rsidRPr="00015BC4">
        <w:t>for a patient commencing siponimod with EDSS 6.5, treatment must cease when the patient progress</w:t>
      </w:r>
      <w:r w:rsidR="00447B5F" w:rsidRPr="00015BC4">
        <w:t>es</w:t>
      </w:r>
      <w:r w:rsidRPr="00015BC4">
        <w:t xml:space="preserve"> to no longer being ambulant, or an EDSS </w:t>
      </w:r>
      <w:r w:rsidR="00904A6F" w:rsidRPr="00015BC4">
        <w:t xml:space="preserve">score greater than 6.5). The PBAC </w:t>
      </w:r>
      <w:r w:rsidR="00904A6F" w:rsidRPr="00015BC4">
        <w:rPr>
          <w:bCs/>
          <w:lang w:eastAsia="en-US"/>
        </w:rPr>
        <w:t xml:space="preserve">considered the proposed continuation criterion was appropriate and </w:t>
      </w:r>
      <w:r w:rsidR="00904A6F" w:rsidRPr="00015BC4">
        <w:t>consistent with the clinical evidence presented.</w:t>
      </w:r>
    </w:p>
    <w:p w:rsidR="00B63972" w:rsidRPr="00015BC4" w:rsidRDefault="00FD6819" w:rsidP="00697A64">
      <w:pPr>
        <w:widowControl w:val="0"/>
        <w:numPr>
          <w:ilvl w:val="1"/>
          <w:numId w:val="1"/>
        </w:numPr>
        <w:spacing w:after="120"/>
        <w:jc w:val="both"/>
        <w:rPr>
          <w:rFonts w:asciiTheme="minorHAnsi" w:hAnsiTheme="minorHAnsi" w:cs="Arial"/>
          <w:bCs/>
          <w:snapToGrid w:val="0"/>
          <w:lang w:val="en-AU"/>
        </w:rPr>
      </w:pPr>
      <w:r w:rsidRPr="00015BC4">
        <w:rPr>
          <w:rFonts w:asciiTheme="minorHAnsi" w:hAnsiTheme="minorHAnsi" w:cs="Arial"/>
          <w:bCs/>
          <w:snapToGrid w:val="0"/>
          <w:lang w:val="en-AU"/>
        </w:rPr>
        <w:t xml:space="preserve">The </w:t>
      </w:r>
      <w:r w:rsidR="001613BF" w:rsidRPr="00015BC4">
        <w:rPr>
          <w:rFonts w:asciiTheme="minorHAnsi" w:hAnsiTheme="minorHAnsi" w:cs="Arial"/>
          <w:bCs/>
          <w:snapToGrid w:val="0"/>
          <w:lang w:val="en-AU"/>
        </w:rPr>
        <w:t xml:space="preserve">PBAC considered </w:t>
      </w:r>
      <w:r w:rsidRPr="00015BC4">
        <w:rPr>
          <w:rFonts w:asciiTheme="minorHAnsi" w:hAnsiTheme="minorHAnsi" w:cs="Arial"/>
          <w:bCs/>
          <w:snapToGrid w:val="0"/>
          <w:lang w:val="en-AU"/>
        </w:rPr>
        <w:t xml:space="preserve">it was reasonable to list the titration pack </w:t>
      </w:r>
      <w:r w:rsidR="001613BF" w:rsidRPr="00015BC4">
        <w:rPr>
          <w:lang w:val="en-AU"/>
        </w:rPr>
        <w:t>(comprising 12x250</w:t>
      </w:r>
      <w:r w:rsidR="005D37F9">
        <w:rPr>
          <w:lang w:val="en-AU"/>
        </w:rPr>
        <w:t> </w:t>
      </w:r>
      <w:r w:rsidR="001613BF" w:rsidRPr="00015BC4">
        <w:rPr>
          <w:lang w:val="en-AU"/>
        </w:rPr>
        <w:t>mc</w:t>
      </w:r>
      <w:r w:rsidR="00014A40" w:rsidRPr="00015BC4">
        <w:rPr>
          <w:lang w:val="en-AU"/>
        </w:rPr>
        <w:t xml:space="preserve">g tablets), which </w:t>
      </w:r>
      <w:r w:rsidR="00447B5F" w:rsidRPr="00015BC4">
        <w:rPr>
          <w:lang w:val="en-AU"/>
        </w:rPr>
        <w:t>is required</w:t>
      </w:r>
      <w:r w:rsidR="001613BF" w:rsidRPr="00015BC4">
        <w:rPr>
          <w:lang w:val="en-AU"/>
        </w:rPr>
        <w:t xml:space="preserve"> for </w:t>
      </w:r>
      <w:r w:rsidR="00401CB4" w:rsidRPr="00015BC4">
        <w:rPr>
          <w:lang w:val="en-AU"/>
        </w:rPr>
        <w:t xml:space="preserve">initiation of </w:t>
      </w:r>
      <w:r w:rsidR="00657B3C" w:rsidRPr="00015BC4">
        <w:rPr>
          <w:lang w:val="en-AU"/>
        </w:rPr>
        <w:t>siponimod</w:t>
      </w:r>
      <w:r w:rsidR="00401CB4" w:rsidRPr="00015BC4">
        <w:rPr>
          <w:lang w:val="en-AU"/>
        </w:rPr>
        <w:t xml:space="preserve"> in </w:t>
      </w:r>
      <w:r w:rsidR="001613BF" w:rsidRPr="00015BC4">
        <w:rPr>
          <w:lang w:val="en-AU"/>
        </w:rPr>
        <w:t>patients who require the 2</w:t>
      </w:r>
      <w:r w:rsidR="00447B5F" w:rsidRPr="00015BC4">
        <w:rPr>
          <w:lang w:val="en-AU"/>
        </w:rPr>
        <w:t> </w:t>
      </w:r>
      <w:r w:rsidR="001613BF" w:rsidRPr="00015BC4">
        <w:rPr>
          <w:lang w:val="en-AU"/>
        </w:rPr>
        <w:t>mg once daily dose</w:t>
      </w:r>
      <w:r w:rsidR="00014A40" w:rsidRPr="00015BC4">
        <w:rPr>
          <w:lang w:val="en-AU"/>
        </w:rPr>
        <w:t xml:space="preserve">, </w:t>
      </w:r>
      <w:r w:rsidR="00447B5F" w:rsidRPr="00015BC4">
        <w:rPr>
          <w:lang w:val="en-AU"/>
        </w:rPr>
        <w:t xml:space="preserve">given </w:t>
      </w:r>
      <w:r w:rsidR="001613BF" w:rsidRPr="00015BC4">
        <w:rPr>
          <w:lang w:val="en-AU"/>
        </w:rPr>
        <w:t xml:space="preserve">there may be circumstances </w:t>
      </w:r>
      <w:r w:rsidR="00315F6D" w:rsidRPr="00015BC4">
        <w:rPr>
          <w:lang w:val="en-AU"/>
        </w:rPr>
        <w:t xml:space="preserve">where </w:t>
      </w:r>
      <w:r w:rsidR="001613BF" w:rsidRPr="00015BC4">
        <w:rPr>
          <w:lang w:val="en-AU"/>
        </w:rPr>
        <w:t>prescribers</w:t>
      </w:r>
      <w:r w:rsidR="00315F6D" w:rsidRPr="00015BC4">
        <w:rPr>
          <w:lang w:val="en-AU"/>
        </w:rPr>
        <w:t xml:space="preserve"> do not have capacity to store the packs (i.e. no refrigerator). </w:t>
      </w:r>
    </w:p>
    <w:p w:rsidR="00F82796" w:rsidRPr="00015BC4" w:rsidRDefault="00F82796" w:rsidP="00F82796">
      <w:pPr>
        <w:pStyle w:val="3-BodyText"/>
      </w:pPr>
      <w:r w:rsidRPr="00015BC4">
        <w:lastRenderedPageBreak/>
        <w:t xml:space="preserve">The PBAC considered fingolimod (as a point of reference for other DMTs, noting that cladribine, ocrelizumab and alemtuzumab were all listed on the basis of similar efficacy and safety compared to fingolimod) was a reasonable comparator. </w:t>
      </w:r>
    </w:p>
    <w:p w:rsidR="00F82796" w:rsidRPr="00015BC4" w:rsidRDefault="00F82796" w:rsidP="00F82796">
      <w:pPr>
        <w:pStyle w:val="3-BodyText"/>
        <w:rPr>
          <w:bCs/>
        </w:rPr>
      </w:pPr>
      <w:r w:rsidRPr="00015BC4">
        <w:rPr>
          <w:rStyle w:val="CommentReference"/>
        </w:rPr>
        <w:t>T</w:t>
      </w:r>
      <w:r w:rsidRPr="00015BC4">
        <w:rPr>
          <w:bCs/>
        </w:rPr>
        <w:t>he PBAC noted the submission presented an indirect comparison of siponimod and fingolimod using the EXPAND, BOLD and FREEDOMS studies and agreed with the ESC there were exchangeability issues with the trials which affected the reliability of the clinical comparison. The PBAC also noted that no evidence had been presented regarding the efficacy of fingolimod in patients with baseline EDSS scores above 5.5. On balance, the PBAC considered the results of the indirect comparison reasonably supported a conclusion that siponimod was likely to be non-inferior to fingolimod.</w:t>
      </w:r>
    </w:p>
    <w:p w:rsidR="00F82796" w:rsidRPr="00015BC4" w:rsidRDefault="00F82796" w:rsidP="00F82796">
      <w:pPr>
        <w:widowControl w:val="0"/>
        <w:numPr>
          <w:ilvl w:val="1"/>
          <w:numId w:val="1"/>
        </w:numPr>
        <w:spacing w:after="120"/>
        <w:jc w:val="both"/>
        <w:rPr>
          <w:rFonts w:asciiTheme="minorHAnsi" w:hAnsiTheme="minorHAnsi" w:cs="Arial"/>
          <w:bCs/>
          <w:snapToGrid w:val="0"/>
          <w:lang w:val="en-AU"/>
        </w:rPr>
      </w:pPr>
      <w:r w:rsidRPr="00015BC4">
        <w:rPr>
          <w:rFonts w:asciiTheme="minorHAnsi" w:hAnsiTheme="minorHAnsi" w:cs="Arial"/>
          <w:bCs/>
          <w:snapToGrid w:val="0"/>
          <w:lang w:val="en-AU"/>
        </w:rPr>
        <w:t>The PBAC noted the indirect comparison of adverse events between siponimod and fingolimod presented in the submission, and noted that siponimod was associated with statistically significantly fewer hypertension events and considered on balance the safety profile of siponimod was non-inferior to fingolimod.</w:t>
      </w:r>
    </w:p>
    <w:p w:rsidR="00F82796" w:rsidRPr="00015BC4" w:rsidRDefault="00F82796" w:rsidP="00F82796">
      <w:pPr>
        <w:pStyle w:val="3-BodyText"/>
      </w:pPr>
      <w:r w:rsidRPr="00015BC4">
        <w:t xml:space="preserve">The requested listing for siponimod </w:t>
      </w:r>
      <w:r w:rsidR="00D773E3">
        <w:t>wa</w:t>
      </w:r>
      <w:r w:rsidRPr="00015BC4">
        <w:t>s broader than the PBS listing for fingolimod and other DMTs in that it includes ambulatory patients who require assistance to walk (i.e. EDSS </w:t>
      </w:r>
      <w:r w:rsidRPr="00015BC4">
        <w:rPr>
          <w:rFonts w:cstheme="minorHAnsi"/>
        </w:rPr>
        <w:t>≥</w:t>
      </w:r>
      <w:r w:rsidRPr="00015BC4">
        <w:t xml:space="preserve"> 6.0). The PBAC agreed with the ESC that the cost-effectiveness of fingolimod in this population (who have higher levels of disability) has not been established. The PBAC also agreed with the ESC that, based on the subgroup analyses of the EXPAND trial, siponimod was likely to be less cost-effective in these patients given the apparent reduced efficacy. The PBAC therefore considered that the current fingolimod price was not justified in the proposed expanded population</w:t>
      </w:r>
      <w:r w:rsidR="00015BC4">
        <w:t xml:space="preserve">. </w:t>
      </w:r>
    </w:p>
    <w:p w:rsidR="00F82796" w:rsidRPr="00286E3F" w:rsidRDefault="00F82796" w:rsidP="00F82796">
      <w:pPr>
        <w:pStyle w:val="3-BodyText"/>
      </w:pPr>
      <w:r w:rsidRPr="00015BC4">
        <w:t xml:space="preserve">The pre-PBAC response proposed a lower price for siponimod in the proportion of patients </w:t>
      </w:r>
      <w:r w:rsidRPr="00286E3F">
        <w:t>with EDSS </w:t>
      </w:r>
      <w:r w:rsidRPr="00286E3F">
        <w:rPr>
          <w:rFonts w:cstheme="minorHAnsi"/>
        </w:rPr>
        <w:t>≥</w:t>
      </w:r>
      <w:r w:rsidRPr="00286E3F">
        <w:t xml:space="preserve"> 6.0 (i.e. </w:t>
      </w:r>
      <w:r w:rsidRPr="0059530D">
        <w:t>EDSS 6.0/6.5) who are currently untreated. The lower price was equivalent to the price of interferon beta, with the pre-PBAC response stating interferon beta is considered to be part of the treatment mix that is standard of care, and that interferon beta-1b (and i</w:t>
      </w:r>
      <w:r w:rsidRPr="0059530D">
        <w:rPr>
          <w:bCs/>
          <w:lang w:eastAsia="en-US"/>
        </w:rPr>
        <w:t xml:space="preserve">nterferon beta-1a intramuscular injection) are </w:t>
      </w:r>
      <w:r w:rsidRPr="0059530D">
        <w:t>the only DMTs that are TGA-registered for use in patients with SPMS. The pre-PBAC response stated that interferon beta “represents</w:t>
      </w:r>
      <w:r w:rsidRPr="00286E3F">
        <w:t xml:space="preserve"> the minimum value” in the patients with EDSS </w:t>
      </w:r>
      <w:r w:rsidRPr="00286E3F">
        <w:rPr>
          <w:rFonts w:cstheme="minorHAnsi"/>
        </w:rPr>
        <w:t>≥</w:t>
      </w:r>
      <w:r w:rsidRPr="00286E3F">
        <w:t xml:space="preserve"> 6.0</w:t>
      </w:r>
      <w:r w:rsidR="00015BC4" w:rsidRPr="00286E3F">
        <w:t xml:space="preserve">. </w:t>
      </w:r>
    </w:p>
    <w:p w:rsidR="00F82796" w:rsidRPr="0059530D" w:rsidRDefault="00F82796" w:rsidP="00F82796">
      <w:pPr>
        <w:widowControl w:val="0"/>
        <w:numPr>
          <w:ilvl w:val="1"/>
          <w:numId w:val="1"/>
        </w:numPr>
        <w:spacing w:after="120"/>
        <w:jc w:val="both"/>
        <w:rPr>
          <w:rFonts w:ascii="Arial Narrow" w:hAnsi="Arial Narrow" w:cs="Arial"/>
          <w:bCs/>
          <w:snapToGrid w:val="0"/>
          <w:sz w:val="20"/>
          <w:szCs w:val="16"/>
          <w:lang w:val="en-AU"/>
        </w:rPr>
      </w:pPr>
      <w:r w:rsidRPr="00286E3F">
        <w:rPr>
          <w:rFonts w:asciiTheme="minorHAnsi" w:hAnsiTheme="minorHAnsi" w:cs="Arial"/>
          <w:bCs/>
          <w:snapToGrid w:val="0"/>
          <w:lang w:val="en-AU"/>
        </w:rPr>
        <w:t>For the EDSS 6.0/6.5 population, the PBAC reaffirmed</w:t>
      </w:r>
      <w:r w:rsidRPr="00015BC4">
        <w:rPr>
          <w:rFonts w:asciiTheme="minorHAnsi" w:hAnsiTheme="minorHAnsi" w:cs="Arial"/>
          <w:bCs/>
          <w:snapToGrid w:val="0"/>
          <w:lang w:val="en-AU"/>
        </w:rPr>
        <w:t xml:space="preserve"> its view from the November 2019 meeting that the results of the EXPAND trial (which enrolled patients with SPMS and EDSS scores of 3 to 6.5 at baseline) supported a claim that siponimod is superior to placebo with regards to confirmed disability progression (CDP) and annualised relapse rate (ARR) outcomes. The PBAC also noted the MAIC presented in the PSCR found that siponimod was associated with a statistically significant improvement in </w:t>
      </w:r>
      <w:r w:rsidRPr="00015BC4">
        <w:rPr>
          <w:lang w:val="en-AU"/>
        </w:rPr>
        <w:t xml:space="preserve">time to confirmed disability progression at 6 months versus interferon beta (interferon beta-1a HR 0.43, 95% CI: 0.20, 0.93; interferon beta-1b HR 0.55, 95% CI: 0.33, 0.91). </w:t>
      </w:r>
      <w:r w:rsidR="00A74FBF" w:rsidRPr="00015BC4">
        <w:rPr>
          <w:lang w:val="en-AU"/>
        </w:rPr>
        <w:t xml:space="preserve">The PBAC was satisfied that siponimod provides, for some patients, a significant improvement in effectiveness and safety over interferon beta. </w:t>
      </w:r>
      <w:r w:rsidRPr="00015BC4">
        <w:rPr>
          <w:lang w:val="en-AU"/>
        </w:rPr>
        <w:t>Overall, t</w:t>
      </w:r>
      <w:r w:rsidRPr="00015BC4">
        <w:rPr>
          <w:rFonts w:asciiTheme="minorHAnsi" w:hAnsiTheme="minorHAnsi" w:cs="Arial"/>
          <w:bCs/>
          <w:snapToGrid w:val="0"/>
          <w:lang w:val="en-AU"/>
        </w:rPr>
        <w:t xml:space="preserve">he PBAC considered that the expanded use of siponimod compared with the currently </w:t>
      </w:r>
      <w:r w:rsidRPr="00015BC4">
        <w:rPr>
          <w:rFonts w:asciiTheme="minorHAnsi" w:hAnsiTheme="minorHAnsi" w:cs="Arial"/>
          <w:bCs/>
          <w:snapToGrid w:val="0"/>
          <w:lang w:val="en-AU"/>
        </w:rPr>
        <w:lastRenderedPageBreak/>
        <w:t xml:space="preserve">listed DMTs would be cost-effective at a price consistent </w:t>
      </w:r>
      <w:r w:rsidRPr="0059530D">
        <w:rPr>
          <w:rFonts w:asciiTheme="minorHAnsi" w:hAnsiTheme="minorHAnsi" w:cs="Arial"/>
          <w:bCs/>
          <w:snapToGrid w:val="0"/>
          <w:lang w:val="en-AU"/>
        </w:rPr>
        <w:t>with interferon beta.</w:t>
      </w:r>
    </w:p>
    <w:p w:rsidR="00F82796" w:rsidRPr="00286E3F" w:rsidRDefault="00F82796" w:rsidP="00F82796">
      <w:pPr>
        <w:widowControl w:val="0"/>
        <w:numPr>
          <w:ilvl w:val="1"/>
          <w:numId w:val="1"/>
        </w:numPr>
        <w:spacing w:after="120"/>
        <w:jc w:val="both"/>
        <w:rPr>
          <w:rFonts w:asciiTheme="minorHAnsi" w:hAnsiTheme="minorHAnsi" w:cs="Arial"/>
          <w:bCs/>
          <w:snapToGrid w:val="0"/>
          <w:lang w:val="en-AU"/>
        </w:rPr>
      </w:pPr>
      <w:r w:rsidRPr="0059530D">
        <w:rPr>
          <w:rFonts w:asciiTheme="minorHAnsi" w:hAnsiTheme="minorHAnsi" w:cs="Arial"/>
          <w:bCs/>
          <w:snapToGrid w:val="0"/>
          <w:lang w:val="en-AU"/>
        </w:rPr>
        <w:t xml:space="preserve">The pre-PBAC response presented a revised price offer with a weighted price based on: the cost-minimisation analysis between siponimod and fingolimod in the patient population currently treated with DMTs; and a price consistent with interferon beta in the expanded population. The PBAC considered that a number of assumptions in the </w:t>
      </w:r>
      <w:r w:rsidR="005D37F9" w:rsidRPr="0059530D">
        <w:rPr>
          <w:rFonts w:asciiTheme="minorHAnsi" w:hAnsiTheme="minorHAnsi" w:cs="Arial"/>
          <w:bCs/>
          <w:snapToGrid w:val="0"/>
          <w:lang w:val="en-AU"/>
        </w:rPr>
        <w:t xml:space="preserve">pre-PBAC response’s </w:t>
      </w:r>
      <w:r w:rsidRPr="0059530D">
        <w:rPr>
          <w:rFonts w:asciiTheme="minorHAnsi" w:hAnsiTheme="minorHAnsi" w:cs="Arial"/>
          <w:bCs/>
          <w:snapToGrid w:val="0"/>
          <w:lang w:val="en-AU"/>
        </w:rPr>
        <w:t>derivation of the weighted price were unreasonable and considered that an acceptable weighted price</w:t>
      </w:r>
      <w:r w:rsidR="003A3EBA" w:rsidRPr="0059530D">
        <w:rPr>
          <w:rFonts w:asciiTheme="minorHAnsi" w:hAnsiTheme="minorHAnsi" w:cs="Arial"/>
          <w:bCs/>
          <w:snapToGrid w:val="0"/>
          <w:lang w:val="en-AU"/>
        </w:rPr>
        <w:t>, with these changes also incorporated</w:t>
      </w:r>
      <w:r w:rsidR="003A3EBA" w:rsidRPr="00286E3F">
        <w:rPr>
          <w:rFonts w:asciiTheme="minorHAnsi" w:hAnsiTheme="minorHAnsi" w:cs="Arial"/>
          <w:bCs/>
          <w:snapToGrid w:val="0"/>
          <w:lang w:val="en-AU"/>
        </w:rPr>
        <w:t xml:space="preserve"> in the financial estimates,</w:t>
      </w:r>
      <w:r w:rsidRPr="00286E3F">
        <w:rPr>
          <w:rFonts w:asciiTheme="minorHAnsi" w:hAnsiTheme="minorHAnsi" w:cs="Arial"/>
          <w:bCs/>
          <w:snapToGrid w:val="0"/>
          <w:lang w:val="en-AU"/>
        </w:rPr>
        <w:t xml:space="preserve"> should be based on the following:</w:t>
      </w:r>
    </w:p>
    <w:p w:rsidR="00F82796" w:rsidRPr="00286E3F" w:rsidRDefault="00F82796" w:rsidP="00D90A95">
      <w:pPr>
        <w:pStyle w:val="ListParagraph"/>
        <w:widowControl w:val="0"/>
        <w:numPr>
          <w:ilvl w:val="0"/>
          <w:numId w:val="23"/>
        </w:numPr>
        <w:rPr>
          <w:bCs/>
        </w:rPr>
      </w:pPr>
      <w:r w:rsidRPr="00286E3F">
        <w:rPr>
          <w:bCs/>
        </w:rPr>
        <w:t xml:space="preserve">The weighting (relative utilisation) between the </w:t>
      </w:r>
      <w:r w:rsidR="00D90A95" w:rsidRPr="00286E3F">
        <w:rPr>
          <w:bCs/>
        </w:rPr>
        <w:t xml:space="preserve">DMT-treated population and the expanded population </w:t>
      </w:r>
      <w:r w:rsidRPr="00286E3F">
        <w:rPr>
          <w:bCs/>
        </w:rPr>
        <w:t xml:space="preserve">should be based on the average weightings between the two populations over the first five years of listing, rather than only being based on Years 5 and 6 as was proposed in the pre-PBAC response. The PBAC noted that this would change the weighting from </w:t>
      </w:r>
      <w:r w:rsidR="003C0833">
        <w:rPr>
          <w:bCs/>
          <w:noProof/>
          <w:color w:val="000000"/>
          <w:highlight w:val="black"/>
        </w:rPr>
        <w:t>''''''</w:t>
      </w:r>
      <w:r w:rsidRPr="00286E3F">
        <w:rPr>
          <w:bCs/>
        </w:rPr>
        <w:t xml:space="preserve">% fingolimod and </w:t>
      </w:r>
      <w:r w:rsidR="003C0833">
        <w:rPr>
          <w:bCs/>
          <w:noProof/>
          <w:color w:val="000000"/>
          <w:highlight w:val="black"/>
        </w:rPr>
        <w:t>'''''</w:t>
      </w:r>
      <w:r w:rsidRPr="00286E3F">
        <w:rPr>
          <w:bCs/>
        </w:rPr>
        <w:t xml:space="preserve">% interferon beta, to </w:t>
      </w:r>
      <w:r w:rsidR="003C0833">
        <w:rPr>
          <w:bCs/>
          <w:noProof/>
          <w:color w:val="000000"/>
          <w:highlight w:val="black"/>
        </w:rPr>
        <w:t>'''''</w:t>
      </w:r>
      <w:r w:rsidRPr="00286E3F">
        <w:rPr>
          <w:bCs/>
        </w:rPr>
        <w:t xml:space="preserve">% fingolimod and </w:t>
      </w:r>
      <w:r w:rsidR="003C0833">
        <w:rPr>
          <w:bCs/>
          <w:noProof/>
          <w:color w:val="000000"/>
          <w:highlight w:val="black"/>
        </w:rPr>
        <w:t>'''''</w:t>
      </w:r>
      <w:r w:rsidRPr="0059530D">
        <w:rPr>
          <w:bCs/>
        </w:rPr>
        <w:t>% interferon beta</w:t>
      </w:r>
      <w:r w:rsidRPr="00286E3F">
        <w:rPr>
          <w:bCs/>
        </w:rPr>
        <w:t>, but also noted that the other changes outlined below would further change these weightings;</w:t>
      </w:r>
    </w:p>
    <w:p w:rsidR="00F82796" w:rsidRPr="00286E3F" w:rsidRDefault="00F82796" w:rsidP="00F82796">
      <w:pPr>
        <w:pStyle w:val="ListParagraph"/>
        <w:widowControl w:val="0"/>
        <w:numPr>
          <w:ilvl w:val="0"/>
          <w:numId w:val="23"/>
        </w:numPr>
        <w:rPr>
          <w:bCs/>
        </w:rPr>
      </w:pPr>
      <w:r w:rsidRPr="00286E3F">
        <w:rPr>
          <w:bCs/>
        </w:rPr>
        <w:t xml:space="preserve">Noting its view that PBS subsidised treatment should cease when patients have confirmed disability progression or become non-ambulatory, the PBAC considered the proportion of all MS patients between EDSS 6.0 and 8.0 in the pre-PBAC Response (18.35%) should be changed to include only those patients with EDSS 6.0 or 6.5 (11.9%), consistent with the ESC’s view. </w:t>
      </w:r>
    </w:p>
    <w:p w:rsidR="00F82796" w:rsidRPr="00286E3F" w:rsidRDefault="00F82796" w:rsidP="008C3CC3">
      <w:pPr>
        <w:pStyle w:val="ListParagraph"/>
        <w:widowControl w:val="0"/>
        <w:numPr>
          <w:ilvl w:val="0"/>
          <w:numId w:val="23"/>
        </w:numPr>
        <w:rPr>
          <w:bCs/>
        </w:rPr>
      </w:pPr>
      <w:r w:rsidRPr="00286E3F">
        <w:rPr>
          <w:bCs/>
        </w:rPr>
        <w:t xml:space="preserve">The PBAC considered </w:t>
      </w:r>
      <w:r w:rsidRPr="00286E3F">
        <w:t>the proportion of DMT scripts replaced by siponimod (</w:t>
      </w:r>
      <w:r w:rsidRPr="00286E3F">
        <w:rPr>
          <w:bCs/>
        </w:rPr>
        <w:t>the uptake/displacement rate in the market share portion of the estimates) was overestimated</w:t>
      </w:r>
      <w:r w:rsidR="008C3CC3" w:rsidRPr="00286E3F">
        <w:rPr>
          <w:bCs/>
        </w:rPr>
        <w:t>.</w:t>
      </w:r>
      <w:r w:rsidRPr="00286E3F">
        <w:rPr>
          <w:bCs/>
        </w:rPr>
        <w:t xml:space="preserve"> </w:t>
      </w:r>
      <w:r w:rsidR="008C3CC3" w:rsidRPr="00286E3F">
        <w:rPr>
          <w:bCs/>
        </w:rPr>
        <w:t xml:space="preserve">The PBAC considered, given the number of DMTs </w:t>
      </w:r>
      <w:r w:rsidR="00F62E6D" w:rsidRPr="00286E3F">
        <w:rPr>
          <w:bCs/>
        </w:rPr>
        <w:t>available</w:t>
      </w:r>
      <w:r w:rsidR="008C3CC3" w:rsidRPr="00286E3F">
        <w:rPr>
          <w:bCs/>
        </w:rPr>
        <w:t xml:space="preserve">, that the </w:t>
      </w:r>
      <w:r w:rsidR="007404AF" w:rsidRPr="00286E3F">
        <w:rPr>
          <w:bCs/>
        </w:rPr>
        <w:t>uptake/</w:t>
      </w:r>
      <w:r w:rsidR="008C3CC3" w:rsidRPr="00286E3F">
        <w:rPr>
          <w:bCs/>
        </w:rPr>
        <w:t xml:space="preserve">displacement of treatments, other than fingolimod, may be less than estimated in the resubmission. The PBAC further noted that if the </w:t>
      </w:r>
      <w:r w:rsidR="007404AF" w:rsidRPr="00286E3F">
        <w:rPr>
          <w:bCs/>
        </w:rPr>
        <w:t>uptake/displacement</w:t>
      </w:r>
      <w:r w:rsidR="008C3CC3" w:rsidRPr="00286E3F">
        <w:rPr>
          <w:bCs/>
        </w:rPr>
        <w:t xml:space="preserve"> is overestimated, the weighted price for siponimod will be higher and</w:t>
      </w:r>
      <w:r w:rsidR="00D90A95" w:rsidRPr="00286E3F">
        <w:rPr>
          <w:bCs/>
        </w:rPr>
        <w:t xml:space="preserve"> considered</w:t>
      </w:r>
      <w:r w:rsidR="008C3CC3" w:rsidRPr="00286E3F">
        <w:rPr>
          <w:bCs/>
        </w:rPr>
        <w:t xml:space="preserve"> this may lead to the use of siponimod in the broader population not being cost-effective. The PBAC considered a more reasonable estimate of the </w:t>
      </w:r>
      <w:r w:rsidR="007404AF" w:rsidRPr="00286E3F">
        <w:rPr>
          <w:bCs/>
        </w:rPr>
        <w:t>uptake/displacement</w:t>
      </w:r>
      <w:r w:rsidR="008C3CC3" w:rsidRPr="00286E3F">
        <w:rPr>
          <w:bCs/>
        </w:rPr>
        <w:t xml:space="preserve"> in Year 6 would be </w:t>
      </w:r>
      <w:r w:rsidR="0059530D">
        <w:rPr>
          <w:bCs/>
          <w:noProof/>
          <w:color w:val="000000"/>
          <w:highlight w:val="black"/>
        </w:rPr>
        <w:t>'''''</w:t>
      </w:r>
      <w:r w:rsidR="008C3CC3" w:rsidRPr="00286E3F">
        <w:rPr>
          <w:bCs/>
        </w:rPr>
        <w:t>%</w:t>
      </w:r>
      <w:r w:rsidR="00504E57" w:rsidRPr="00286E3F">
        <w:rPr>
          <w:bCs/>
        </w:rPr>
        <w:t xml:space="preserve"> in the revised population comprising patients with</w:t>
      </w:r>
      <w:r w:rsidR="008C3CC3" w:rsidRPr="00286E3F">
        <w:rPr>
          <w:bCs/>
        </w:rPr>
        <w:t xml:space="preserve"> </w:t>
      </w:r>
      <w:r w:rsidR="00504E57" w:rsidRPr="00286E3F">
        <w:rPr>
          <w:bCs/>
        </w:rPr>
        <w:t>EDSS </w:t>
      </w:r>
      <w:r w:rsidR="00504E57" w:rsidRPr="00286E3F">
        <w:rPr>
          <w:rFonts w:cstheme="minorHAnsi"/>
          <w:bCs/>
        </w:rPr>
        <w:t>≥</w:t>
      </w:r>
      <w:r w:rsidR="00504E57" w:rsidRPr="00286E3F">
        <w:rPr>
          <w:bCs/>
        </w:rPr>
        <w:t xml:space="preserve"> 3 </w:t>
      </w:r>
      <w:r w:rsidR="008C3CC3" w:rsidRPr="00286E3F">
        <w:rPr>
          <w:bCs/>
        </w:rPr>
        <w:t xml:space="preserve">(rather than </w:t>
      </w:r>
      <w:r w:rsidR="0059530D">
        <w:rPr>
          <w:bCs/>
          <w:noProof/>
          <w:color w:val="000000"/>
          <w:highlight w:val="black"/>
        </w:rPr>
        <w:t>'''''</w:t>
      </w:r>
      <w:r w:rsidR="008C3CC3" w:rsidRPr="00286E3F">
        <w:rPr>
          <w:bCs/>
        </w:rPr>
        <w:t xml:space="preserve">% as </w:t>
      </w:r>
      <w:r w:rsidR="00503D31" w:rsidRPr="00286E3F">
        <w:rPr>
          <w:bCs/>
        </w:rPr>
        <w:t xml:space="preserve">effectively </w:t>
      </w:r>
      <w:r w:rsidR="008C3CC3" w:rsidRPr="00286E3F">
        <w:rPr>
          <w:bCs/>
        </w:rPr>
        <w:t xml:space="preserve">proposed in the </w:t>
      </w:r>
      <w:r w:rsidR="00F62E6D" w:rsidRPr="00286E3F">
        <w:rPr>
          <w:bCs/>
        </w:rPr>
        <w:t>pre-PBAC response</w:t>
      </w:r>
      <w:r w:rsidR="008C3CC3" w:rsidRPr="00286E3F">
        <w:rPr>
          <w:bCs/>
        </w:rPr>
        <w:t xml:space="preserve">). </w:t>
      </w:r>
    </w:p>
    <w:p w:rsidR="00F82796" w:rsidRPr="00015BC4" w:rsidRDefault="00F82796" w:rsidP="00276F8D">
      <w:pPr>
        <w:pStyle w:val="ListParagraph"/>
        <w:widowControl w:val="0"/>
        <w:numPr>
          <w:ilvl w:val="0"/>
          <w:numId w:val="23"/>
        </w:numPr>
      </w:pPr>
      <w:r w:rsidRPr="00286E3F">
        <w:rPr>
          <w:bCs/>
        </w:rPr>
        <w:t>The pre-PBAC response propos</w:t>
      </w:r>
      <w:r w:rsidR="007404AF" w:rsidRPr="00286E3F">
        <w:rPr>
          <w:bCs/>
        </w:rPr>
        <w:t>ed</w:t>
      </w:r>
      <w:r w:rsidRPr="00286E3F">
        <w:rPr>
          <w:bCs/>
        </w:rPr>
        <w:t xml:space="preserve"> to </w:t>
      </w:r>
      <w:r w:rsidRPr="00286E3F">
        <w:t xml:space="preserve">change the proportion of patients with EDSS </w:t>
      </w:r>
      <w:r w:rsidRPr="00286E3F">
        <w:rPr>
          <w:bCs/>
        </w:rPr>
        <w:t xml:space="preserve">≥ </w:t>
      </w:r>
      <w:r w:rsidRPr="00286E3F">
        <w:t xml:space="preserve">6.0 who are untreated with DMTs from </w:t>
      </w:r>
      <w:r w:rsidR="003C0833">
        <w:rPr>
          <w:noProof/>
          <w:color w:val="000000"/>
          <w:highlight w:val="black"/>
        </w:rPr>
        <w:t>'''''</w:t>
      </w:r>
      <w:r w:rsidRPr="00286E3F">
        <w:t xml:space="preserve">% to </w:t>
      </w:r>
      <w:r w:rsidR="003C0833">
        <w:rPr>
          <w:noProof/>
          <w:color w:val="000000"/>
          <w:highlight w:val="black"/>
        </w:rPr>
        <w:t>'''''''''</w:t>
      </w:r>
      <w:r w:rsidRPr="00286E3F">
        <w:t>% based</w:t>
      </w:r>
      <w:r w:rsidRPr="00015BC4">
        <w:t xml:space="preserve"> on the Australian cohort of the MSBase registry with clinician-designated SPMS. </w:t>
      </w:r>
      <w:r w:rsidR="007404AF" w:rsidRPr="00015BC4">
        <w:t xml:space="preserve">This change was based on the ESC’s advice that treatment uptake may be higher in the requested population (which includes RRMS) than in patients with clinician-designated SPMS. However, the PBAC considered the MSBase database may potentially underestimate the proportion of patients who are currently untreated as participants are often recruited and followed opportunistically and a large proportion of patient interactions were associated with use or monitoring of DMTs. Overall, the PBAC considered that </w:t>
      </w:r>
      <w:r w:rsidR="007404AF" w:rsidRPr="00015BC4">
        <w:lastRenderedPageBreak/>
        <w:t xml:space="preserve">it was more reasonable to estimate that </w:t>
      </w:r>
      <w:r w:rsidR="003C0833">
        <w:rPr>
          <w:noProof/>
          <w:color w:val="000000"/>
          <w:highlight w:val="black"/>
        </w:rPr>
        <w:t>'''''</w:t>
      </w:r>
      <w:r w:rsidR="007404AF" w:rsidRPr="00015BC4">
        <w:t>% of patients with EDSS ≥ 6.0 are untreated with DMTs (per the submission).</w:t>
      </w:r>
    </w:p>
    <w:p w:rsidR="00F82796" w:rsidRPr="00015BC4" w:rsidRDefault="00F82796" w:rsidP="00F82796">
      <w:pPr>
        <w:pStyle w:val="ListParagraph"/>
        <w:widowControl w:val="0"/>
        <w:numPr>
          <w:ilvl w:val="0"/>
          <w:numId w:val="23"/>
        </w:numPr>
      </w:pPr>
      <w:r w:rsidRPr="00015BC4">
        <w:rPr>
          <w:bCs/>
        </w:rPr>
        <w:t>The fingolimod price applied in the cost-minimisation analysis should include the post-RSA rebate price over the past five years, rather than that proposed in the submission, which was based only on Year 3 of the RSA</w:t>
      </w:r>
      <w:r w:rsidR="00EE63D3" w:rsidRPr="00015BC4">
        <w:rPr>
          <w:bCs/>
        </w:rPr>
        <w:t>, noting that this was a long term and consistent arrangement, and that siponimod was not proposed to be subject to that arrangement</w:t>
      </w:r>
      <w:r w:rsidRPr="00015BC4">
        <w:rPr>
          <w:bCs/>
        </w:rPr>
        <w:t>.</w:t>
      </w:r>
      <w:r w:rsidRPr="00015BC4">
        <w:t xml:space="preserve"> </w:t>
      </w:r>
    </w:p>
    <w:p w:rsidR="00F82796" w:rsidRPr="00015BC4" w:rsidRDefault="00F82796" w:rsidP="00F82796">
      <w:pPr>
        <w:widowControl w:val="0"/>
        <w:numPr>
          <w:ilvl w:val="1"/>
          <w:numId w:val="1"/>
        </w:numPr>
        <w:spacing w:after="120"/>
        <w:jc w:val="both"/>
        <w:rPr>
          <w:lang w:val="en-AU"/>
        </w:rPr>
      </w:pPr>
      <w:r w:rsidRPr="00015BC4">
        <w:rPr>
          <w:rFonts w:asciiTheme="minorHAnsi" w:hAnsiTheme="minorHAnsi" w:cs="Arial"/>
          <w:bCs/>
          <w:snapToGrid w:val="0"/>
          <w:lang w:val="en-AU"/>
        </w:rPr>
        <w:t xml:space="preserve">The PBAC considered the revised utilisation estimates in the pre-PBAC response overestimated the financial impact, and should be amended as outlined in the paragraph above. </w:t>
      </w:r>
    </w:p>
    <w:p w:rsidR="00F82796" w:rsidRPr="00015BC4" w:rsidRDefault="00F82796" w:rsidP="00F82796">
      <w:pPr>
        <w:widowControl w:val="0"/>
        <w:numPr>
          <w:ilvl w:val="1"/>
          <w:numId w:val="1"/>
        </w:numPr>
        <w:spacing w:after="120"/>
        <w:jc w:val="both"/>
        <w:rPr>
          <w:lang w:val="en-AU"/>
        </w:rPr>
      </w:pPr>
      <w:r w:rsidRPr="00015BC4">
        <w:rPr>
          <w:rFonts w:asciiTheme="minorHAnsi" w:hAnsiTheme="minorHAnsi" w:cs="Arial"/>
          <w:bCs/>
          <w:snapToGrid w:val="0"/>
          <w:lang w:val="en-AU"/>
        </w:rPr>
        <w:t xml:space="preserve">The PBAC advised </w:t>
      </w:r>
      <w:r w:rsidR="00D563AB">
        <w:rPr>
          <w:rFonts w:asciiTheme="minorHAnsi" w:hAnsiTheme="minorHAnsi" w:cs="Arial"/>
          <w:bCs/>
          <w:snapToGrid w:val="0"/>
          <w:lang w:val="en-AU"/>
        </w:rPr>
        <w:t>an RSA</w:t>
      </w:r>
      <w:r w:rsidRPr="00015BC4">
        <w:rPr>
          <w:rFonts w:asciiTheme="minorHAnsi" w:hAnsiTheme="minorHAnsi" w:cs="Arial"/>
          <w:bCs/>
          <w:snapToGrid w:val="0"/>
          <w:lang w:val="en-AU"/>
        </w:rPr>
        <w:t>, based on the revised economic and utilisation parameters outlined above, would be required to address the risk of the uncertain patient population and the risk of use beyond disease progression.</w:t>
      </w:r>
    </w:p>
    <w:p w:rsidR="00550CDA" w:rsidRDefault="00550CDA" w:rsidP="00550CDA">
      <w:pPr>
        <w:widowControl w:val="0"/>
        <w:numPr>
          <w:ilvl w:val="1"/>
          <w:numId w:val="1"/>
        </w:numPr>
        <w:spacing w:after="120"/>
        <w:jc w:val="both"/>
        <w:rPr>
          <w:rFonts w:asciiTheme="minorHAnsi" w:hAnsiTheme="minorHAnsi" w:cs="Arial"/>
          <w:bCs/>
          <w:snapToGrid w:val="0"/>
          <w:lang w:val="en-AU"/>
        </w:rPr>
      </w:pPr>
      <w:r w:rsidRPr="00015BC4">
        <w:rPr>
          <w:rFonts w:asciiTheme="minorHAnsi" w:hAnsiTheme="minorHAnsi" w:cs="Arial"/>
          <w:bCs/>
          <w:snapToGrid w:val="0"/>
          <w:lang w:val="en-AU"/>
        </w:rPr>
        <w:t xml:space="preserve">The PBAC advised that </w:t>
      </w:r>
      <w:r w:rsidR="00273A06" w:rsidRPr="00015BC4">
        <w:rPr>
          <w:rFonts w:asciiTheme="minorHAnsi" w:hAnsiTheme="minorHAnsi" w:cs="Arial"/>
          <w:bCs/>
          <w:snapToGrid w:val="0"/>
          <w:lang w:val="en-AU"/>
        </w:rPr>
        <w:t xml:space="preserve">siponimod is </w:t>
      </w:r>
      <w:r w:rsidRPr="00015BC4">
        <w:rPr>
          <w:rFonts w:asciiTheme="minorHAnsi" w:hAnsiTheme="minorHAnsi" w:cs="Arial"/>
          <w:bCs/>
          <w:snapToGrid w:val="0"/>
          <w:lang w:val="en-AU"/>
        </w:rPr>
        <w:t>not suitable for prescribing by nurse practitioners</w:t>
      </w:r>
      <w:r w:rsidR="00015BC4">
        <w:rPr>
          <w:rFonts w:asciiTheme="minorHAnsi" w:hAnsiTheme="minorHAnsi" w:cs="Arial"/>
          <w:bCs/>
          <w:snapToGrid w:val="0"/>
          <w:lang w:val="en-AU"/>
        </w:rPr>
        <w:t xml:space="preserve">. </w:t>
      </w:r>
    </w:p>
    <w:p w:rsidR="00216FAA" w:rsidRPr="00015BC4" w:rsidRDefault="00216FAA" w:rsidP="00550CDA">
      <w:pPr>
        <w:widowControl w:val="0"/>
        <w:numPr>
          <w:ilvl w:val="1"/>
          <w:numId w:val="1"/>
        </w:numPr>
        <w:spacing w:after="120"/>
        <w:jc w:val="both"/>
        <w:rPr>
          <w:rFonts w:asciiTheme="minorHAnsi" w:hAnsiTheme="minorHAnsi" w:cs="Arial"/>
          <w:bCs/>
          <w:snapToGrid w:val="0"/>
          <w:lang w:val="en-AU"/>
        </w:rPr>
      </w:pPr>
      <w:r>
        <w:rPr>
          <w:rFonts w:asciiTheme="minorHAnsi" w:hAnsiTheme="minorHAnsi" w:cs="Arial"/>
          <w:bCs/>
          <w:snapToGrid w:val="0"/>
          <w:lang w:val="en-AU"/>
        </w:rPr>
        <w:t>The Grandfather listing could be removed following 12 months.</w:t>
      </w:r>
    </w:p>
    <w:p w:rsidR="00550CDA" w:rsidRPr="00015BC4" w:rsidRDefault="00550CDA" w:rsidP="00550CDA">
      <w:pPr>
        <w:widowControl w:val="0"/>
        <w:numPr>
          <w:ilvl w:val="1"/>
          <w:numId w:val="1"/>
        </w:numPr>
        <w:spacing w:after="120"/>
        <w:jc w:val="both"/>
        <w:rPr>
          <w:rFonts w:asciiTheme="minorHAnsi" w:hAnsiTheme="minorHAnsi" w:cs="Arial"/>
          <w:bCs/>
          <w:snapToGrid w:val="0"/>
          <w:lang w:val="en-AU"/>
        </w:rPr>
      </w:pPr>
      <w:r w:rsidRPr="00015BC4">
        <w:rPr>
          <w:rFonts w:asciiTheme="minorHAnsi" w:hAnsiTheme="minorHAnsi" w:cs="Arial"/>
          <w:bCs/>
          <w:snapToGrid w:val="0"/>
          <w:lang w:val="en-AU"/>
        </w:rPr>
        <w:t>The PBAC recommended that the Early Supply Rule should apply</w:t>
      </w:r>
      <w:r w:rsidR="00273A06" w:rsidRPr="00015BC4">
        <w:rPr>
          <w:rFonts w:asciiTheme="minorHAnsi" w:hAnsiTheme="minorHAnsi" w:cs="Arial"/>
          <w:bCs/>
          <w:snapToGrid w:val="0"/>
          <w:lang w:val="en-AU"/>
        </w:rPr>
        <w:t xml:space="preserve"> for the 2 mg and 0.25 mg maintenance packs, but not for the 0.25 mg titration pack</w:t>
      </w:r>
      <w:r w:rsidRPr="00015BC4">
        <w:rPr>
          <w:rFonts w:asciiTheme="minorHAnsi" w:hAnsiTheme="minorHAnsi" w:cs="Arial"/>
          <w:bCs/>
          <w:snapToGrid w:val="0"/>
          <w:lang w:val="en-AU"/>
        </w:rPr>
        <w:t xml:space="preserve">. </w:t>
      </w:r>
    </w:p>
    <w:p w:rsidR="00273A06" w:rsidRPr="00015BC4" w:rsidRDefault="00273A06" w:rsidP="00550CDA">
      <w:pPr>
        <w:widowControl w:val="0"/>
        <w:numPr>
          <w:ilvl w:val="1"/>
          <w:numId w:val="1"/>
        </w:numPr>
        <w:spacing w:after="120"/>
        <w:jc w:val="both"/>
        <w:rPr>
          <w:rFonts w:asciiTheme="minorHAnsi" w:hAnsiTheme="minorHAnsi" w:cs="Arial"/>
          <w:bCs/>
          <w:snapToGrid w:val="0"/>
          <w:lang w:val="en-AU"/>
        </w:rPr>
      </w:pPr>
      <w:r w:rsidRPr="00015BC4">
        <w:rPr>
          <w:rFonts w:asciiTheme="minorHAnsi" w:hAnsiTheme="minorHAnsi" w:cs="Arial"/>
          <w:bCs/>
          <w:snapToGrid w:val="0"/>
          <w:lang w:val="en-AU"/>
        </w:rPr>
        <w:t>The PBAC advised siponimod should not be treated as interchangeable with any other drugs.</w:t>
      </w:r>
    </w:p>
    <w:p w:rsidR="00D33C4D" w:rsidRPr="00015BC4" w:rsidRDefault="00D33C4D" w:rsidP="00D33C4D">
      <w:pPr>
        <w:pStyle w:val="3-BodyText"/>
        <w:rPr>
          <w:bCs/>
          <w:lang w:eastAsia="en-US"/>
        </w:rPr>
      </w:pPr>
      <w:r w:rsidRPr="00015BC4">
        <w:rPr>
          <w:bCs/>
          <w:lang w:eastAsia="en-US"/>
        </w:rPr>
        <w:t xml:space="preserve">The PBAC noted that its recommendation was on a cost-minimisation basis and advised that, because there was insufficient evidence to conclude siponimod is expected to provide a substantial and clinically relevant improvement in efficacy, or reduction of toxicity, or not expected to address a high and urgent unmet clinical need, the criteria prescribed by the </w:t>
      </w:r>
      <w:r w:rsidRPr="00845CB1">
        <w:rPr>
          <w:bCs/>
          <w:i/>
          <w:lang w:eastAsia="en-US"/>
        </w:rPr>
        <w:t>National Health (Pharmaceuticals and Vaccines – Cost Recovery) Regulations 2009</w:t>
      </w:r>
      <w:r w:rsidRPr="00015BC4">
        <w:rPr>
          <w:bCs/>
          <w:lang w:eastAsia="en-US"/>
        </w:rPr>
        <w:t xml:space="preserve"> for Pricing Pathway A were not met.</w:t>
      </w:r>
    </w:p>
    <w:p w:rsidR="00273A06" w:rsidRPr="00015BC4" w:rsidRDefault="00550CDA" w:rsidP="00273A06">
      <w:pPr>
        <w:widowControl w:val="0"/>
        <w:numPr>
          <w:ilvl w:val="1"/>
          <w:numId w:val="1"/>
        </w:numPr>
        <w:spacing w:after="120"/>
        <w:jc w:val="both"/>
        <w:rPr>
          <w:rFonts w:asciiTheme="minorHAnsi" w:hAnsiTheme="minorHAnsi" w:cs="Arial"/>
          <w:b/>
          <w:bCs/>
          <w:snapToGrid w:val="0"/>
          <w:lang w:val="en-AU"/>
        </w:rPr>
      </w:pPr>
      <w:r w:rsidRPr="00015BC4">
        <w:rPr>
          <w:rFonts w:asciiTheme="minorHAnsi" w:hAnsiTheme="minorHAnsi" w:cs="Arial"/>
          <w:bCs/>
          <w:snapToGrid w:val="0"/>
          <w:lang w:val="en-AU"/>
        </w:rPr>
        <w:t>The PBA</w:t>
      </w:r>
      <w:r w:rsidR="00273A06" w:rsidRPr="00015BC4">
        <w:rPr>
          <w:rFonts w:asciiTheme="minorHAnsi" w:hAnsiTheme="minorHAnsi" w:cs="Arial"/>
          <w:bCs/>
          <w:snapToGrid w:val="0"/>
          <w:lang w:val="en-AU"/>
        </w:rPr>
        <w:t xml:space="preserve">C noted that this submission </w:t>
      </w:r>
      <w:r w:rsidRPr="00015BC4">
        <w:rPr>
          <w:rFonts w:asciiTheme="minorHAnsi" w:hAnsiTheme="minorHAnsi" w:cs="Arial"/>
          <w:bCs/>
          <w:snapToGrid w:val="0"/>
          <w:lang w:val="en-AU"/>
        </w:rPr>
        <w:t>is not eligible for an Independent Review</w:t>
      </w:r>
      <w:r w:rsidR="00273A06" w:rsidRPr="00015BC4">
        <w:rPr>
          <w:rFonts w:asciiTheme="minorHAnsi" w:hAnsiTheme="minorHAnsi" w:cs="Arial"/>
          <w:bCs/>
          <w:snapToGrid w:val="0"/>
          <w:lang w:val="en-AU"/>
        </w:rPr>
        <w:t xml:space="preserve"> as it received a positive recommendation</w:t>
      </w:r>
      <w:r w:rsidRPr="00015BC4">
        <w:rPr>
          <w:rFonts w:asciiTheme="minorHAnsi" w:hAnsiTheme="minorHAnsi" w:cs="Arial"/>
          <w:bCs/>
          <w:snapToGrid w:val="0"/>
          <w:lang w:val="en-AU"/>
        </w:rPr>
        <w:t xml:space="preserve">. </w:t>
      </w:r>
    </w:p>
    <w:p w:rsidR="00273A06" w:rsidRPr="00015BC4" w:rsidRDefault="00273A06" w:rsidP="00273A06">
      <w:pPr>
        <w:widowControl w:val="0"/>
        <w:spacing w:after="120"/>
        <w:jc w:val="both"/>
        <w:rPr>
          <w:rFonts w:asciiTheme="minorHAnsi" w:hAnsiTheme="minorHAnsi" w:cs="Arial"/>
          <w:bCs/>
          <w:snapToGrid w:val="0"/>
          <w:lang w:val="en-AU"/>
        </w:rPr>
      </w:pPr>
    </w:p>
    <w:p w:rsidR="00550CDA" w:rsidRPr="00015BC4" w:rsidRDefault="00550CDA" w:rsidP="00C267E4">
      <w:pPr>
        <w:widowControl w:val="0"/>
        <w:spacing w:after="120"/>
        <w:jc w:val="both"/>
        <w:outlineLvl w:val="1"/>
        <w:rPr>
          <w:rFonts w:asciiTheme="minorHAnsi" w:hAnsiTheme="minorHAnsi" w:cs="Arial"/>
          <w:b/>
          <w:bCs/>
          <w:snapToGrid w:val="0"/>
          <w:lang w:val="en-AU"/>
        </w:rPr>
      </w:pPr>
      <w:r w:rsidRPr="00015BC4">
        <w:rPr>
          <w:rFonts w:asciiTheme="minorHAnsi" w:hAnsiTheme="minorHAnsi" w:cs="Arial"/>
          <w:b/>
          <w:bCs/>
          <w:snapToGrid w:val="0"/>
          <w:lang w:val="en-AU"/>
        </w:rPr>
        <w:t>Outcome:</w:t>
      </w:r>
      <w:r w:rsidR="00C267E4" w:rsidRPr="00015BC4">
        <w:rPr>
          <w:rFonts w:asciiTheme="minorHAnsi" w:hAnsiTheme="minorHAnsi" w:cs="Arial"/>
          <w:b/>
          <w:bCs/>
          <w:snapToGrid w:val="0"/>
          <w:lang w:val="en-AU"/>
        </w:rPr>
        <w:t xml:space="preserve"> </w:t>
      </w:r>
      <w:r w:rsidR="00C267E4" w:rsidRPr="00015BC4">
        <w:rPr>
          <w:rFonts w:asciiTheme="minorHAnsi" w:hAnsiTheme="minorHAnsi" w:cs="Arial"/>
          <w:b/>
          <w:bCs/>
          <w:snapToGrid w:val="0"/>
          <w:lang w:val="en-AU"/>
        </w:rPr>
        <w:br/>
      </w:r>
      <w:r w:rsidRPr="00015BC4">
        <w:rPr>
          <w:rFonts w:asciiTheme="minorHAnsi" w:hAnsiTheme="minorHAnsi" w:cs="Arial"/>
          <w:bCs/>
          <w:snapToGrid w:val="0"/>
          <w:lang w:val="en-AU"/>
        </w:rPr>
        <w:t>R</w:t>
      </w:r>
      <w:r w:rsidR="00273A06" w:rsidRPr="00015BC4">
        <w:rPr>
          <w:rFonts w:asciiTheme="minorHAnsi" w:hAnsiTheme="minorHAnsi" w:cs="Arial"/>
          <w:bCs/>
          <w:snapToGrid w:val="0"/>
          <w:lang w:val="en-AU"/>
        </w:rPr>
        <w:t>ecommended</w:t>
      </w:r>
    </w:p>
    <w:p w:rsidR="00550CDA" w:rsidRPr="00015BC4" w:rsidRDefault="00550CDA" w:rsidP="00550CDA">
      <w:pPr>
        <w:widowControl w:val="0"/>
        <w:jc w:val="both"/>
        <w:rPr>
          <w:rFonts w:asciiTheme="minorHAnsi" w:hAnsiTheme="minorHAnsi" w:cs="Arial"/>
          <w:b/>
          <w:bCs/>
          <w:snapToGrid w:val="0"/>
          <w:lang w:val="en-AU"/>
        </w:rPr>
      </w:pPr>
    </w:p>
    <w:p w:rsidR="00550CDA" w:rsidRPr="00015BC4" w:rsidRDefault="00550CDA" w:rsidP="00C267E4">
      <w:pPr>
        <w:widowControl w:val="0"/>
        <w:numPr>
          <w:ilvl w:val="0"/>
          <w:numId w:val="1"/>
        </w:numPr>
        <w:spacing w:before="240" w:after="120"/>
        <w:jc w:val="both"/>
        <w:outlineLvl w:val="0"/>
        <w:rPr>
          <w:rFonts w:asciiTheme="minorHAnsi" w:hAnsiTheme="minorHAnsi" w:cs="Arial"/>
          <w:b/>
          <w:bCs/>
          <w:i/>
          <w:snapToGrid w:val="0"/>
          <w:sz w:val="32"/>
          <w:lang w:val="en-AU"/>
        </w:rPr>
      </w:pPr>
      <w:r w:rsidRPr="00015BC4">
        <w:rPr>
          <w:rFonts w:asciiTheme="minorHAnsi" w:hAnsiTheme="minorHAnsi" w:cs="Arial"/>
          <w:b/>
          <w:bCs/>
          <w:snapToGrid w:val="0"/>
          <w:sz w:val="32"/>
          <w:lang w:val="en-AU"/>
        </w:rPr>
        <w:t>Recommended listing</w:t>
      </w:r>
    </w:p>
    <w:p w:rsidR="00550CDA" w:rsidRPr="00015BC4" w:rsidRDefault="00550CDA" w:rsidP="00C2729D">
      <w:pPr>
        <w:widowControl w:val="0"/>
        <w:numPr>
          <w:ilvl w:val="1"/>
          <w:numId w:val="1"/>
        </w:numPr>
        <w:spacing w:after="120"/>
        <w:jc w:val="both"/>
        <w:rPr>
          <w:rFonts w:asciiTheme="minorHAnsi" w:hAnsiTheme="minorHAnsi" w:cs="Arial"/>
          <w:b/>
          <w:bCs/>
          <w:snapToGrid w:val="0"/>
          <w:lang w:val="en-AU"/>
        </w:rPr>
      </w:pPr>
      <w:r w:rsidRPr="00015BC4">
        <w:rPr>
          <w:rFonts w:asciiTheme="minorHAnsi" w:hAnsiTheme="minorHAnsi" w:cs="Arial"/>
          <w:bCs/>
          <w:snapToGrid w:val="0"/>
          <w:lang w:val="en-AU"/>
        </w:rPr>
        <w:t xml:space="preserve">Add new </w:t>
      </w:r>
      <w:r w:rsidR="00461050">
        <w:rPr>
          <w:rFonts w:asciiTheme="minorHAnsi" w:hAnsiTheme="minorHAnsi" w:cs="Arial"/>
          <w:bCs/>
          <w:snapToGrid w:val="0"/>
          <w:lang w:val="en-AU"/>
        </w:rPr>
        <w:t>medicinal product as follows</w:t>
      </w:r>
      <w:r w:rsidR="00442A0E">
        <w:rPr>
          <w:rFonts w:asciiTheme="minorHAnsi" w:hAnsiTheme="minorHAnsi" w:cs="Arial"/>
          <w:bCs/>
          <w:snapToGrid w:val="0"/>
          <w:lang w:val="en-AU"/>
        </w:rPr>
        <w:t xml:space="preserve"> (indicative listing shown below)</w:t>
      </w:r>
      <w:r w:rsidRPr="00015BC4">
        <w:rPr>
          <w:rFonts w:asciiTheme="minorHAnsi" w:hAnsiTheme="minorHAnsi" w:cs="Arial"/>
          <w:bCs/>
          <w:snapToGrid w:val="0"/>
          <w:lang w:val="en-AU"/>
        </w:rPr>
        <w:t>:</w:t>
      </w:r>
    </w:p>
    <w:p w:rsidR="00C2729D" w:rsidRPr="00015BC4" w:rsidRDefault="00C2729D" w:rsidP="00550CDA">
      <w:pPr>
        <w:widowControl w:val="0"/>
        <w:ind w:firstLine="720"/>
        <w:jc w:val="both"/>
        <w:rPr>
          <w:rFonts w:asciiTheme="minorHAnsi" w:hAnsiTheme="minorHAnsi" w:cs="Arial"/>
          <w:bCs/>
          <w:snapToGrid w:val="0"/>
          <w:lang w:val="en-AU"/>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134"/>
        <w:gridCol w:w="850"/>
        <w:gridCol w:w="993"/>
        <w:gridCol w:w="850"/>
        <w:gridCol w:w="1417"/>
      </w:tblGrid>
      <w:tr w:rsidR="008E7ED5" w:rsidRPr="00015BC4" w:rsidTr="00BF15E2">
        <w:trPr>
          <w:cantSplit/>
          <w:trHeight w:val="593"/>
        </w:trPr>
        <w:tc>
          <w:tcPr>
            <w:tcW w:w="3681" w:type="dxa"/>
          </w:tcPr>
          <w:p w:rsidR="00BF15E2" w:rsidRPr="00BF15E2" w:rsidRDefault="00BF15E2" w:rsidP="00BF15E2">
            <w:pPr>
              <w:keepNext/>
              <w:ind w:left="-108"/>
              <w:jc w:val="both"/>
              <w:rPr>
                <w:rFonts w:ascii="Arial Narrow" w:hAnsi="Arial Narrow" w:cs="Arial"/>
                <w:b/>
                <w:sz w:val="18"/>
                <w:szCs w:val="18"/>
                <w:lang w:val="en-AU" w:eastAsia="en-AU"/>
              </w:rPr>
            </w:pPr>
            <w:r w:rsidRPr="00BF15E2">
              <w:rPr>
                <w:rFonts w:ascii="Arial Narrow" w:hAnsi="Arial Narrow" w:cs="Arial"/>
                <w:b/>
                <w:sz w:val="18"/>
                <w:szCs w:val="18"/>
                <w:lang w:val="en-AU" w:eastAsia="en-AU"/>
              </w:rPr>
              <w:lastRenderedPageBreak/>
              <w:t>Medicinal Product Pack</w:t>
            </w:r>
          </w:p>
          <w:p w:rsidR="008E7ED5" w:rsidRPr="00015BC4" w:rsidRDefault="00BF15E2" w:rsidP="00BF15E2">
            <w:pPr>
              <w:keepNext/>
              <w:ind w:left="-108"/>
              <w:jc w:val="both"/>
              <w:rPr>
                <w:rFonts w:ascii="Arial Narrow" w:hAnsi="Arial Narrow" w:cs="Arial"/>
                <w:b/>
                <w:sz w:val="18"/>
                <w:szCs w:val="18"/>
                <w:lang w:val="en-AU" w:eastAsia="en-AU"/>
              </w:rPr>
            </w:pPr>
            <w:r w:rsidRPr="00BF15E2">
              <w:rPr>
                <w:rFonts w:ascii="Arial Narrow" w:hAnsi="Arial Narrow" w:cs="Arial"/>
                <w:b/>
                <w:sz w:val="18"/>
                <w:szCs w:val="18"/>
                <w:lang w:val="en-AU" w:eastAsia="en-AU"/>
              </w:rPr>
              <w:t>(Name, form &amp; strength and pack size)</w:t>
            </w:r>
          </w:p>
        </w:tc>
        <w:tc>
          <w:tcPr>
            <w:tcW w:w="1134" w:type="dxa"/>
          </w:tcPr>
          <w:p w:rsidR="008E7ED5" w:rsidRPr="00015BC4" w:rsidRDefault="008E7ED5" w:rsidP="00081C78">
            <w:pPr>
              <w:keepNext/>
              <w:ind w:left="-108"/>
              <w:jc w:val="center"/>
              <w:rPr>
                <w:rFonts w:ascii="Arial Narrow" w:hAnsi="Arial Narrow" w:cs="Arial"/>
                <w:b/>
                <w:sz w:val="18"/>
                <w:szCs w:val="18"/>
                <w:lang w:val="en-AU" w:eastAsia="en-AU"/>
              </w:rPr>
            </w:pPr>
            <w:r w:rsidRPr="00015BC4">
              <w:rPr>
                <w:rFonts w:ascii="Arial Narrow" w:hAnsi="Arial Narrow" w:cs="Arial"/>
                <w:b/>
                <w:sz w:val="18"/>
                <w:szCs w:val="18"/>
                <w:lang w:val="en-AU" w:eastAsia="en-AU"/>
              </w:rPr>
              <w:t>PBS item code</w:t>
            </w:r>
          </w:p>
        </w:tc>
        <w:tc>
          <w:tcPr>
            <w:tcW w:w="850" w:type="dxa"/>
          </w:tcPr>
          <w:p w:rsidR="008E7ED5" w:rsidRPr="00015BC4" w:rsidRDefault="008E7ED5" w:rsidP="00081C78">
            <w:pPr>
              <w:keepNext/>
              <w:ind w:left="-108"/>
              <w:jc w:val="center"/>
              <w:rPr>
                <w:rFonts w:ascii="Arial Narrow" w:hAnsi="Arial Narrow" w:cs="Arial"/>
                <w:b/>
                <w:sz w:val="18"/>
                <w:szCs w:val="18"/>
                <w:lang w:val="en-AU" w:eastAsia="en-AU"/>
              </w:rPr>
            </w:pPr>
            <w:r w:rsidRPr="00015BC4">
              <w:rPr>
                <w:rFonts w:ascii="Arial Narrow" w:hAnsi="Arial Narrow" w:cs="Arial"/>
                <w:b/>
                <w:sz w:val="18"/>
                <w:szCs w:val="18"/>
                <w:lang w:val="en-AU" w:eastAsia="en-AU"/>
              </w:rPr>
              <w:t>Max. qty packs</w:t>
            </w:r>
          </w:p>
        </w:tc>
        <w:tc>
          <w:tcPr>
            <w:tcW w:w="993" w:type="dxa"/>
          </w:tcPr>
          <w:p w:rsidR="008E7ED5" w:rsidRPr="00015BC4" w:rsidRDefault="008E7ED5" w:rsidP="00081C78">
            <w:pPr>
              <w:keepNext/>
              <w:ind w:left="-108"/>
              <w:jc w:val="center"/>
              <w:rPr>
                <w:rFonts w:ascii="Arial Narrow" w:hAnsi="Arial Narrow" w:cs="Arial"/>
                <w:b/>
                <w:sz w:val="18"/>
                <w:szCs w:val="18"/>
                <w:lang w:val="en-AU" w:eastAsia="en-AU"/>
              </w:rPr>
            </w:pPr>
            <w:r w:rsidRPr="00015BC4">
              <w:rPr>
                <w:rFonts w:ascii="Arial Narrow" w:hAnsi="Arial Narrow" w:cs="Arial"/>
                <w:b/>
                <w:sz w:val="18"/>
                <w:szCs w:val="18"/>
                <w:lang w:val="en-AU" w:eastAsia="en-AU"/>
              </w:rPr>
              <w:t>Max. qty units</w:t>
            </w:r>
          </w:p>
        </w:tc>
        <w:tc>
          <w:tcPr>
            <w:tcW w:w="850" w:type="dxa"/>
          </w:tcPr>
          <w:p w:rsidR="008E7ED5" w:rsidRPr="00015BC4" w:rsidRDefault="008E7ED5" w:rsidP="00081C78">
            <w:pPr>
              <w:keepNext/>
              <w:ind w:left="-108"/>
              <w:jc w:val="center"/>
              <w:rPr>
                <w:rFonts w:ascii="Arial Narrow" w:hAnsi="Arial Narrow" w:cs="Arial"/>
                <w:b/>
                <w:sz w:val="18"/>
                <w:szCs w:val="18"/>
                <w:lang w:val="en-AU" w:eastAsia="en-AU"/>
              </w:rPr>
            </w:pPr>
            <w:r w:rsidRPr="00015BC4">
              <w:rPr>
                <w:rFonts w:ascii="Arial Narrow" w:hAnsi="Arial Narrow" w:cs="Arial"/>
                <w:b/>
                <w:sz w:val="18"/>
                <w:szCs w:val="18"/>
                <w:lang w:val="en-AU" w:eastAsia="en-AU"/>
              </w:rPr>
              <w:t>№.of</w:t>
            </w:r>
          </w:p>
          <w:p w:rsidR="008E7ED5" w:rsidRPr="00015BC4" w:rsidRDefault="008E7ED5" w:rsidP="00081C78">
            <w:pPr>
              <w:keepNext/>
              <w:ind w:left="-108"/>
              <w:jc w:val="center"/>
              <w:rPr>
                <w:rFonts w:ascii="Arial Narrow" w:hAnsi="Arial Narrow" w:cs="Arial"/>
                <w:b/>
                <w:sz w:val="18"/>
                <w:szCs w:val="18"/>
                <w:lang w:val="en-AU" w:eastAsia="en-AU"/>
              </w:rPr>
            </w:pPr>
            <w:r w:rsidRPr="00015BC4">
              <w:rPr>
                <w:rFonts w:ascii="Arial Narrow" w:hAnsi="Arial Narrow" w:cs="Arial"/>
                <w:b/>
                <w:sz w:val="18"/>
                <w:szCs w:val="18"/>
                <w:lang w:val="en-AU" w:eastAsia="en-AU"/>
              </w:rPr>
              <w:t>Rpts</w:t>
            </w:r>
          </w:p>
        </w:tc>
        <w:tc>
          <w:tcPr>
            <w:tcW w:w="1417" w:type="dxa"/>
          </w:tcPr>
          <w:p w:rsidR="008E7ED5" w:rsidRPr="00015BC4" w:rsidRDefault="00461050" w:rsidP="00081C78">
            <w:pPr>
              <w:keepNext/>
              <w:rPr>
                <w:rFonts w:ascii="Arial Narrow" w:hAnsi="Arial Narrow" w:cs="Arial"/>
                <w:b/>
                <w:sz w:val="18"/>
                <w:szCs w:val="18"/>
                <w:lang w:val="en-AU" w:eastAsia="en-AU"/>
              </w:rPr>
            </w:pPr>
            <w:r>
              <w:rPr>
                <w:rFonts w:ascii="Arial Narrow" w:hAnsi="Arial Narrow" w:cs="Arial"/>
                <w:b/>
                <w:sz w:val="18"/>
                <w:szCs w:val="18"/>
                <w:lang w:val="en-AU" w:eastAsia="en-AU"/>
              </w:rPr>
              <w:t>Available brands</w:t>
            </w:r>
          </w:p>
        </w:tc>
      </w:tr>
      <w:tr w:rsidR="00461050" w:rsidRPr="00015BC4" w:rsidTr="00BF15E2">
        <w:trPr>
          <w:cantSplit/>
          <w:trHeight w:val="761"/>
        </w:trPr>
        <w:tc>
          <w:tcPr>
            <w:tcW w:w="3681" w:type="dxa"/>
          </w:tcPr>
          <w:p w:rsidR="00461050" w:rsidRPr="00015BC4" w:rsidRDefault="00461050" w:rsidP="00081C78">
            <w:pPr>
              <w:keepNext/>
              <w:ind w:left="-108"/>
              <w:rPr>
                <w:rFonts w:ascii="Arial Narrow" w:hAnsi="Arial Narrow" w:cs="Arial"/>
                <w:sz w:val="18"/>
                <w:szCs w:val="18"/>
                <w:lang w:val="en-AU" w:eastAsia="en-AU"/>
              </w:rPr>
            </w:pPr>
            <w:r w:rsidRPr="00015BC4">
              <w:rPr>
                <w:rFonts w:ascii="Arial Narrow" w:hAnsi="Arial Narrow" w:cs="Arial"/>
                <w:sz w:val="18"/>
                <w:szCs w:val="18"/>
                <w:lang w:val="en-AU" w:eastAsia="en-AU"/>
              </w:rPr>
              <w:t>SIPONIMOD</w:t>
            </w:r>
          </w:p>
          <w:p w:rsidR="00461050" w:rsidRPr="00015BC4" w:rsidRDefault="00461050" w:rsidP="00081C78">
            <w:pPr>
              <w:keepNext/>
              <w:ind w:left="-108"/>
              <w:jc w:val="both"/>
              <w:rPr>
                <w:rFonts w:ascii="Arial Narrow" w:hAnsi="Arial Narrow" w:cs="Arial"/>
                <w:sz w:val="18"/>
                <w:szCs w:val="18"/>
                <w:lang w:val="en-AU" w:eastAsia="en-AU"/>
              </w:rPr>
            </w:pPr>
          </w:p>
          <w:p w:rsidR="00461050" w:rsidRPr="00015BC4" w:rsidRDefault="001C67EB" w:rsidP="00081C78">
            <w:pPr>
              <w:keepNext/>
              <w:ind w:left="-108"/>
              <w:jc w:val="both"/>
              <w:rPr>
                <w:rFonts w:ascii="Arial Narrow" w:hAnsi="Arial Narrow" w:cs="Arial"/>
                <w:strike/>
                <w:sz w:val="18"/>
                <w:szCs w:val="18"/>
                <w:lang w:val="en-AU" w:eastAsia="en-AU"/>
              </w:rPr>
            </w:pPr>
            <w:r>
              <w:rPr>
                <w:rFonts w:ascii="Arial Narrow" w:hAnsi="Arial Narrow" w:cs="Arial"/>
                <w:sz w:val="18"/>
                <w:szCs w:val="18"/>
                <w:lang w:val="en-AU" w:eastAsia="en-AU"/>
              </w:rPr>
              <w:t>s</w:t>
            </w:r>
            <w:r w:rsidR="00461050">
              <w:rPr>
                <w:rFonts w:ascii="Arial Narrow" w:hAnsi="Arial Narrow" w:cs="Arial"/>
                <w:sz w:val="18"/>
                <w:szCs w:val="18"/>
                <w:lang w:val="en-AU" w:eastAsia="en-AU"/>
              </w:rPr>
              <w:t xml:space="preserve">iponimod </w:t>
            </w:r>
            <w:r w:rsidR="00461050" w:rsidRPr="00015BC4">
              <w:rPr>
                <w:rFonts w:ascii="Arial Narrow" w:hAnsi="Arial Narrow" w:cs="Arial"/>
                <w:sz w:val="18"/>
                <w:szCs w:val="18"/>
                <w:lang w:val="en-AU" w:eastAsia="en-AU"/>
              </w:rPr>
              <w:t>250 microgram tablet, 12</w:t>
            </w:r>
          </w:p>
        </w:tc>
        <w:tc>
          <w:tcPr>
            <w:tcW w:w="1134" w:type="dxa"/>
          </w:tcPr>
          <w:p w:rsidR="00461050" w:rsidRPr="00015BC4" w:rsidRDefault="00461050" w:rsidP="00081C78">
            <w:pPr>
              <w:keepNext/>
              <w:ind w:left="-108"/>
              <w:jc w:val="center"/>
              <w:rPr>
                <w:rFonts w:ascii="Arial Narrow" w:hAnsi="Arial Narrow" w:cs="Arial"/>
                <w:sz w:val="18"/>
                <w:szCs w:val="18"/>
                <w:lang w:val="en-AU" w:eastAsia="en-AU"/>
              </w:rPr>
            </w:pPr>
          </w:p>
          <w:p w:rsidR="00461050" w:rsidRPr="00015BC4" w:rsidRDefault="00461050" w:rsidP="00081C78">
            <w:pPr>
              <w:keepNext/>
              <w:ind w:left="-108"/>
              <w:jc w:val="center"/>
              <w:rPr>
                <w:rFonts w:ascii="Arial Narrow" w:hAnsi="Arial Narrow" w:cs="Arial"/>
                <w:sz w:val="18"/>
                <w:szCs w:val="18"/>
                <w:lang w:val="en-AU" w:eastAsia="en-AU"/>
              </w:rPr>
            </w:pPr>
          </w:p>
          <w:p w:rsidR="00461050" w:rsidRPr="00015BC4" w:rsidRDefault="00461050" w:rsidP="00081C78">
            <w:pPr>
              <w:keepNext/>
              <w:ind w:left="-108"/>
              <w:jc w:val="center"/>
              <w:rPr>
                <w:rFonts w:ascii="Arial Narrow" w:hAnsi="Arial Narrow" w:cs="Arial"/>
                <w:sz w:val="18"/>
                <w:szCs w:val="18"/>
                <w:lang w:val="en-AU" w:eastAsia="en-AU"/>
              </w:rPr>
            </w:pPr>
            <w:r w:rsidRPr="00015BC4">
              <w:rPr>
                <w:rFonts w:ascii="Arial Narrow" w:hAnsi="Arial Narrow" w:cs="Arial"/>
                <w:sz w:val="18"/>
                <w:szCs w:val="18"/>
                <w:lang w:val="en-AU" w:eastAsia="en-AU"/>
              </w:rPr>
              <w:t>NEW</w:t>
            </w:r>
          </w:p>
        </w:tc>
        <w:tc>
          <w:tcPr>
            <w:tcW w:w="850" w:type="dxa"/>
          </w:tcPr>
          <w:p w:rsidR="00461050" w:rsidRPr="00015BC4" w:rsidRDefault="00461050" w:rsidP="00081C78">
            <w:pPr>
              <w:keepNext/>
              <w:jc w:val="center"/>
              <w:rPr>
                <w:rFonts w:ascii="Arial Narrow" w:hAnsi="Arial Narrow" w:cs="Arial"/>
                <w:sz w:val="18"/>
                <w:szCs w:val="18"/>
                <w:lang w:val="en-AU" w:eastAsia="en-AU"/>
              </w:rPr>
            </w:pPr>
          </w:p>
          <w:p w:rsidR="00461050" w:rsidRPr="00015BC4" w:rsidRDefault="00461050" w:rsidP="00081C78">
            <w:pPr>
              <w:keepNext/>
              <w:ind w:left="-108"/>
              <w:jc w:val="center"/>
              <w:rPr>
                <w:rFonts w:ascii="Arial Narrow" w:hAnsi="Arial Narrow" w:cs="Arial"/>
                <w:sz w:val="18"/>
                <w:szCs w:val="18"/>
                <w:lang w:val="en-AU" w:eastAsia="en-AU"/>
              </w:rPr>
            </w:pPr>
          </w:p>
          <w:p w:rsidR="00461050" w:rsidRPr="00015BC4" w:rsidRDefault="00461050" w:rsidP="00081C78">
            <w:pPr>
              <w:keepNext/>
              <w:jc w:val="center"/>
              <w:rPr>
                <w:rFonts w:ascii="Arial Narrow" w:hAnsi="Arial Narrow" w:cs="Arial"/>
                <w:sz w:val="18"/>
                <w:szCs w:val="18"/>
                <w:lang w:val="en-AU" w:eastAsia="en-AU"/>
              </w:rPr>
            </w:pPr>
            <w:r w:rsidRPr="00015BC4">
              <w:rPr>
                <w:rFonts w:ascii="Arial Narrow" w:hAnsi="Arial Narrow" w:cs="Arial"/>
                <w:sz w:val="18"/>
                <w:szCs w:val="18"/>
                <w:lang w:val="en-AU" w:eastAsia="en-AU"/>
              </w:rPr>
              <w:t>1</w:t>
            </w:r>
          </w:p>
        </w:tc>
        <w:tc>
          <w:tcPr>
            <w:tcW w:w="993" w:type="dxa"/>
          </w:tcPr>
          <w:p w:rsidR="00461050" w:rsidRPr="00015BC4" w:rsidRDefault="00461050" w:rsidP="00081C78">
            <w:pPr>
              <w:keepNext/>
              <w:ind w:left="-108"/>
              <w:jc w:val="center"/>
              <w:rPr>
                <w:rFonts w:ascii="Arial Narrow" w:hAnsi="Arial Narrow" w:cs="Arial"/>
                <w:sz w:val="18"/>
                <w:szCs w:val="18"/>
                <w:lang w:val="en-AU" w:eastAsia="en-AU"/>
              </w:rPr>
            </w:pPr>
          </w:p>
          <w:p w:rsidR="00461050" w:rsidRPr="00015BC4" w:rsidRDefault="00461050" w:rsidP="00081C78">
            <w:pPr>
              <w:keepNext/>
              <w:rPr>
                <w:rFonts w:ascii="Arial Narrow" w:hAnsi="Arial Narrow" w:cs="Arial"/>
                <w:sz w:val="18"/>
                <w:szCs w:val="18"/>
                <w:lang w:val="en-AU" w:eastAsia="en-AU"/>
              </w:rPr>
            </w:pPr>
          </w:p>
          <w:p w:rsidR="00461050" w:rsidRPr="00015BC4" w:rsidRDefault="00461050" w:rsidP="00081C78">
            <w:pPr>
              <w:keepNext/>
              <w:ind w:left="-108"/>
              <w:jc w:val="center"/>
              <w:rPr>
                <w:rFonts w:ascii="Arial Narrow" w:hAnsi="Arial Narrow" w:cs="Arial"/>
                <w:sz w:val="18"/>
                <w:szCs w:val="18"/>
                <w:lang w:val="en-AU" w:eastAsia="en-AU"/>
              </w:rPr>
            </w:pPr>
            <w:r w:rsidRPr="00015BC4">
              <w:rPr>
                <w:rFonts w:ascii="Arial Narrow" w:hAnsi="Arial Narrow" w:cs="Arial"/>
                <w:sz w:val="18"/>
                <w:szCs w:val="18"/>
                <w:lang w:val="en-AU" w:eastAsia="en-AU"/>
              </w:rPr>
              <w:t>12</w:t>
            </w:r>
          </w:p>
        </w:tc>
        <w:tc>
          <w:tcPr>
            <w:tcW w:w="850" w:type="dxa"/>
          </w:tcPr>
          <w:p w:rsidR="00461050" w:rsidRPr="00015BC4" w:rsidRDefault="00461050" w:rsidP="00081C78">
            <w:pPr>
              <w:keepNext/>
              <w:ind w:left="-108"/>
              <w:jc w:val="center"/>
              <w:rPr>
                <w:rFonts w:ascii="Arial Narrow" w:hAnsi="Arial Narrow" w:cs="Arial"/>
                <w:sz w:val="18"/>
                <w:szCs w:val="18"/>
                <w:lang w:val="en-AU" w:eastAsia="en-AU"/>
              </w:rPr>
            </w:pPr>
          </w:p>
          <w:p w:rsidR="00461050" w:rsidRPr="00015BC4" w:rsidRDefault="00461050" w:rsidP="00081C78">
            <w:pPr>
              <w:keepNext/>
              <w:ind w:left="-108"/>
              <w:jc w:val="center"/>
              <w:rPr>
                <w:rFonts w:ascii="Arial Narrow" w:hAnsi="Arial Narrow" w:cs="Arial"/>
                <w:sz w:val="18"/>
                <w:szCs w:val="18"/>
                <w:lang w:val="en-AU" w:eastAsia="en-AU"/>
              </w:rPr>
            </w:pPr>
          </w:p>
          <w:p w:rsidR="00461050" w:rsidRPr="00015BC4" w:rsidRDefault="00461050" w:rsidP="00081C78">
            <w:pPr>
              <w:keepNext/>
              <w:ind w:left="-108"/>
              <w:jc w:val="center"/>
              <w:rPr>
                <w:rFonts w:ascii="Arial Narrow" w:hAnsi="Arial Narrow" w:cs="Arial"/>
                <w:sz w:val="18"/>
                <w:szCs w:val="18"/>
                <w:lang w:val="en-AU" w:eastAsia="en-AU"/>
              </w:rPr>
            </w:pPr>
            <w:r w:rsidRPr="00015BC4">
              <w:rPr>
                <w:rFonts w:ascii="Arial Narrow" w:hAnsi="Arial Narrow" w:cs="Arial"/>
                <w:sz w:val="18"/>
                <w:szCs w:val="18"/>
                <w:lang w:val="en-AU" w:eastAsia="en-AU"/>
              </w:rPr>
              <w:t>0</w:t>
            </w:r>
          </w:p>
        </w:tc>
        <w:tc>
          <w:tcPr>
            <w:tcW w:w="1417" w:type="dxa"/>
            <w:vMerge w:val="restart"/>
            <w:vAlign w:val="center"/>
          </w:tcPr>
          <w:p w:rsidR="00461050" w:rsidRPr="00015BC4" w:rsidRDefault="00461050" w:rsidP="00081C78">
            <w:pPr>
              <w:keepNext/>
              <w:jc w:val="center"/>
              <w:rPr>
                <w:rFonts w:ascii="Arial Narrow" w:hAnsi="Arial Narrow" w:cs="Arial"/>
                <w:sz w:val="18"/>
                <w:szCs w:val="18"/>
                <w:lang w:val="en-AU" w:eastAsia="en-AU"/>
              </w:rPr>
            </w:pPr>
          </w:p>
          <w:p w:rsidR="00461050" w:rsidRPr="00015BC4" w:rsidRDefault="00461050" w:rsidP="00081C78">
            <w:pPr>
              <w:keepNext/>
              <w:jc w:val="center"/>
              <w:rPr>
                <w:rFonts w:ascii="Arial Narrow" w:hAnsi="Arial Narrow" w:cs="Arial"/>
                <w:sz w:val="18"/>
                <w:szCs w:val="18"/>
                <w:lang w:val="en-AU" w:eastAsia="en-AU"/>
              </w:rPr>
            </w:pPr>
          </w:p>
          <w:p w:rsidR="00461050" w:rsidRPr="00015BC4" w:rsidRDefault="00461050" w:rsidP="00081C78">
            <w:pPr>
              <w:keepNext/>
              <w:jc w:val="center"/>
              <w:rPr>
                <w:rFonts w:ascii="Arial Narrow" w:hAnsi="Arial Narrow" w:cs="Arial"/>
                <w:sz w:val="18"/>
                <w:szCs w:val="18"/>
                <w:lang w:val="en-AU" w:eastAsia="en-AU"/>
              </w:rPr>
            </w:pPr>
            <w:r w:rsidRPr="00015BC4">
              <w:rPr>
                <w:rFonts w:ascii="Arial Narrow" w:hAnsi="Arial Narrow" w:cs="Arial"/>
                <w:sz w:val="18"/>
                <w:szCs w:val="18"/>
                <w:lang w:val="en-AU" w:eastAsia="en-AU"/>
              </w:rPr>
              <w:t>Mayzent</w:t>
            </w:r>
            <w:r w:rsidR="00832F0C" w:rsidRPr="00832F0C">
              <w:rPr>
                <w:rFonts w:ascii="Arial Narrow" w:hAnsi="Arial Narrow" w:cs="Arial"/>
                <w:sz w:val="18"/>
                <w:szCs w:val="18"/>
                <w:vertAlign w:val="superscript"/>
                <w:lang w:val="en-AU" w:eastAsia="en-AU"/>
              </w:rPr>
              <w:t>®</w:t>
            </w:r>
          </w:p>
          <w:p w:rsidR="00461050" w:rsidRPr="00015BC4" w:rsidRDefault="00461050" w:rsidP="00081C78">
            <w:pPr>
              <w:keepNext/>
              <w:jc w:val="center"/>
              <w:rPr>
                <w:rFonts w:ascii="Arial Narrow" w:hAnsi="Arial Narrow" w:cs="Arial"/>
                <w:sz w:val="18"/>
                <w:szCs w:val="18"/>
                <w:lang w:val="en-AU" w:eastAsia="en-AU"/>
              </w:rPr>
            </w:pPr>
          </w:p>
          <w:p w:rsidR="00461050" w:rsidRPr="00015BC4" w:rsidRDefault="00461050" w:rsidP="00081C78">
            <w:pPr>
              <w:keepNext/>
              <w:jc w:val="center"/>
              <w:rPr>
                <w:rFonts w:ascii="Arial Narrow" w:hAnsi="Arial Narrow" w:cs="Arial"/>
                <w:sz w:val="18"/>
                <w:szCs w:val="18"/>
                <w:lang w:val="en-AU" w:eastAsia="en-AU"/>
              </w:rPr>
            </w:pPr>
          </w:p>
          <w:p w:rsidR="00461050" w:rsidRPr="00015BC4" w:rsidRDefault="00461050" w:rsidP="00081C78">
            <w:pPr>
              <w:keepNext/>
              <w:jc w:val="center"/>
              <w:rPr>
                <w:rFonts w:ascii="Arial Narrow" w:hAnsi="Arial Narrow" w:cs="Arial"/>
                <w:sz w:val="18"/>
                <w:szCs w:val="18"/>
                <w:lang w:val="en-AU" w:eastAsia="en-AU"/>
              </w:rPr>
            </w:pPr>
          </w:p>
        </w:tc>
      </w:tr>
      <w:tr w:rsidR="00461050" w:rsidRPr="00015BC4" w:rsidTr="00BF15E2">
        <w:trPr>
          <w:cantSplit/>
          <w:trHeight w:val="347"/>
        </w:trPr>
        <w:tc>
          <w:tcPr>
            <w:tcW w:w="3681" w:type="dxa"/>
          </w:tcPr>
          <w:p w:rsidR="00461050" w:rsidRPr="00015BC4" w:rsidRDefault="00461050" w:rsidP="008C3CC3">
            <w:pPr>
              <w:keepNext/>
              <w:ind w:left="-108"/>
              <w:rPr>
                <w:rFonts w:ascii="Arial Narrow" w:hAnsi="Arial Narrow" w:cs="Arial"/>
                <w:sz w:val="18"/>
                <w:szCs w:val="18"/>
                <w:lang w:val="en-AU" w:eastAsia="en-AU"/>
              </w:rPr>
            </w:pPr>
            <w:r w:rsidRPr="00015BC4">
              <w:rPr>
                <w:rFonts w:ascii="Arial Narrow" w:hAnsi="Arial Narrow" w:cs="Arial"/>
                <w:sz w:val="18"/>
                <w:szCs w:val="18"/>
                <w:lang w:val="en-AU" w:eastAsia="en-AU"/>
              </w:rPr>
              <w:t>siponimod 250 microgram tablet, 120</w:t>
            </w:r>
          </w:p>
        </w:tc>
        <w:tc>
          <w:tcPr>
            <w:tcW w:w="1134" w:type="dxa"/>
          </w:tcPr>
          <w:p w:rsidR="00461050" w:rsidRPr="00015BC4" w:rsidRDefault="00461050" w:rsidP="00081C78">
            <w:pPr>
              <w:keepNext/>
              <w:ind w:left="-108"/>
              <w:jc w:val="center"/>
              <w:rPr>
                <w:rFonts w:ascii="Arial Narrow" w:hAnsi="Arial Narrow" w:cs="Arial"/>
                <w:sz w:val="18"/>
                <w:szCs w:val="18"/>
                <w:lang w:val="en-AU" w:eastAsia="en-AU"/>
              </w:rPr>
            </w:pPr>
            <w:r w:rsidRPr="00015BC4">
              <w:rPr>
                <w:rFonts w:ascii="Arial Narrow" w:hAnsi="Arial Narrow" w:cs="Arial"/>
                <w:sz w:val="18"/>
                <w:szCs w:val="18"/>
                <w:lang w:val="en-AU" w:eastAsia="en-AU"/>
              </w:rPr>
              <w:t>NEW</w:t>
            </w:r>
          </w:p>
        </w:tc>
        <w:tc>
          <w:tcPr>
            <w:tcW w:w="850" w:type="dxa"/>
          </w:tcPr>
          <w:p w:rsidR="00461050" w:rsidRPr="00015BC4" w:rsidRDefault="00461050" w:rsidP="00081C78">
            <w:pPr>
              <w:keepNext/>
              <w:jc w:val="center"/>
              <w:rPr>
                <w:rFonts w:ascii="Arial Narrow" w:hAnsi="Arial Narrow" w:cs="Arial"/>
                <w:sz w:val="18"/>
                <w:szCs w:val="18"/>
                <w:lang w:val="en-AU" w:eastAsia="en-AU"/>
              </w:rPr>
            </w:pPr>
            <w:r w:rsidRPr="00015BC4">
              <w:rPr>
                <w:rFonts w:ascii="Arial Narrow" w:hAnsi="Arial Narrow" w:cs="Arial"/>
                <w:sz w:val="18"/>
                <w:szCs w:val="18"/>
                <w:lang w:val="en-AU" w:eastAsia="en-AU"/>
              </w:rPr>
              <w:t>1</w:t>
            </w:r>
          </w:p>
        </w:tc>
        <w:tc>
          <w:tcPr>
            <w:tcW w:w="993" w:type="dxa"/>
          </w:tcPr>
          <w:p w:rsidR="00461050" w:rsidRPr="00015BC4" w:rsidRDefault="00461050" w:rsidP="00081C78">
            <w:pPr>
              <w:keepNext/>
              <w:ind w:left="-108"/>
              <w:jc w:val="center"/>
              <w:rPr>
                <w:rFonts w:ascii="Arial Narrow" w:hAnsi="Arial Narrow" w:cs="Arial"/>
                <w:sz w:val="18"/>
                <w:szCs w:val="18"/>
                <w:lang w:val="en-AU" w:eastAsia="en-AU"/>
              </w:rPr>
            </w:pPr>
            <w:r w:rsidRPr="00015BC4">
              <w:rPr>
                <w:rFonts w:ascii="Arial Narrow" w:hAnsi="Arial Narrow" w:cs="Arial"/>
                <w:sz w:val="18"/>
                <w:szCs w:val="18"/>
                <w:lang w:val="en-AU" w:eastAsia="en-AU"/>
              </w:rPr>
              <w:t>120</w:t>
            </w:r>
          </w:p>
        </w:tc>
        <w:tc>
          <w:tcPr>
            <w:tcW w:w="850" w:type="dxa"/>
          </w:tcPr>
          <w:p w:rsidR="00461050" w:rsidRPr="00015BC4" w:rsidRDefault="00461050" w:rsidP="00081C78">
            <w:pPr>
              <w:keepNext/>
              <w:ind w:left="-108"/>
              <w:jc w:val="center"/>
              <w:rPr>
                <w:rFonts w:ascii="Arial Narrow" w:hAnsi="Arial Narrow" w:cs="Arial"/>
                <w:sz w:val="18"/>
                <w:szCs w:val="18"/>
                <w:lang w:val="en-AU" w:eastAsia="en-AU"/>
              </w:rPr>
            </w:pPr>
            <w:r w:rsidRPr="00015BC4">
              <w:rPr>
                <w:rFonts w:ascii="Arial Narrow" w:hAnsi="Arial Narrow" w:cs="Arial"/>
                <w:sz w:val="18"/>
                <w:szCs w:val="18"/>
                <w:lang w:val="en-AU" w:eastAsia="en-AU"/>
              </w:rPr>
              <w:t>5</w:t>
            </w:r>
          </w:p>
        </w:tc>
        <w:tc>
          <w:tcPr>
            <w:tcW w:w="1417" w:type="dxa"/>
            <w:vMerge/>
          </w:tcPr>
          <w:p w:rsidR="00461050" w:rsidRPr="00015BC4" w:rsidRDefault="00461050" w:rsidP="00081C78">
            <w:pPr>
              <w:keepNext/>
              <w:rPr>
                <w:rFonts w:ascii="Arial Narrow" w:hAnsi="Arial Narrow" w:cs="Arial"/>
                <w:sz w:val="18"/>
                <w:szCs w:val="18"/>
                <w:lang w:val="en-AU" w:eastAsia="en-AU"/>
              </w:rPr>
            </w:pPr>
          </w:p>
        </w:tc>
      </w:tr>
      <w:tr w:rsidR="00461050" w:rsidRPr="00015BC4" w:rsidTr="00BF15E2">
        <w:trPr>
          <w:cantSplit/>
          <w:trHeight w:val="327"/>
        </w:trPr>
        <w:tc>
          <w:tcPr>
            <w:tcW w:w="3681" w:type="dxa"/>
          </w:tcPr>
          <w:p w:rsidR="00461050" w:rsidRPr="00015BC4" w:rsidRDefault="00461050" w:rsidP="00081C78">
            <w:pPr>
              <w:keepNext/>
              <w:ind w:left="-108"/>
              <w:rPr>
                <w:rFonts w:ascii="Arial Narrow" w:hAnsi="Arial Narrow" w:cs="Arial"/>
                <w:sz w:val="18"/>
                <w:szCs w:val="18"/>
                <w:lang w:val="en-AU" w:eastAsia="en-AU"/>
              </w:rPr>
            </w:pPr>
            <w:r w:rsidRPr="00015BC4">
              <w:rPr>
                <w:rFonts w:ascii="Arial Narrow" w:hAnsi="Arial Narrow" w:cs="Arial"/>
                <w:sz w:val="18"/>
                <w:szCs w:val="18"/>
                <w:lang w:val="en-AU" w:eastAsia="en-AU"/>
              </w:rPr>
              <w:t>siponimod 2 mg tablet, 28</w:t>
            </w:r>
          </w:p>
        </w:tc>
        <w:tc>
          <w:tcPr>
            <w:tcW w:w="1134" w:type="dxa"/>
          </w:tcPr>
          <w:p w:rsidR="00461050" w:rsidRPr="00015BC4" w:rsidRDefault="00461050" w:rsidP="00BF15E2">
            <w:pPr>
              <w:keepNext/>
              <w:jc w:val="center"/>
              <w:rPr>
                <w:rFonts w:ascii="Arial Narrow" w:hAnsi="Arial Narrow" w:cs="Arial"/>
                <w:sz w:val="18"/>
                <w:szCs w:val="18"/>
                <w:lang w:val="en-AU" w:eastAsia="en-AU"/>
              </w:rPr>
            </w:pPr>
            <w:r w:rsidRPr="00015BC4">
              <w:rPr>
                <w:rFonts w:ascii="Arial Narrow" w:hAnsi="Arial Narrow" w:cs="Arial"/>
                <w:sz w:val="18"/>
                <w:szCs w:val="18"/>
                <w:lang w:val="en-AU" w:eastAsia="en-AU"/>
              </w:rPr>
              <w:t>NEW</w:t>
            </w:r>
          </w:p>
        </w:tc>
        <w:tc>
          <w:tcPr>
            <w:tcW w:w="850" w:type="dxa"/>
          </w:tcPr>
          <w:p w:rsidR="00461050" w:rsidRPr="00015BC4" w:rsidRDefault="00461050" w:rsidP="00081C78">
            <w:pPr>
              <w:keepNext/>
              <w:jc w:val="center"/>
              <w:rPr>
                <w:rFonts w:ascii="Arial Narrow" w:hAnsi="Arial Narrow" w:cs="Arial"/>
                <w:sz w:val="18"/>
                <w:szCs w:val="18"/>
                <w:lang w:val="en-AU" w:eastAsia="en-AU"/>
              </w:rPr>
            </w:pPr>
            <w:r w:rsidRPr="00015BC4">
              <w:rPr>
                <w:rFonts w:ascii="Arial Narrow" w:hAnsi="Arial Narrow" w:cs="Arial"/>
                <w:sz w:val="18"/>
                <w:szCs w:val="18"/>
                <w:lang w:val="en-AU" w:eastAsia="en-AU"/>
              </w:rPr>
              <w:t>1</w:t>
            </w:r>
          </w:p>
        </w:tc>
        <w:tc>
          <w:tcPr>
            <w:tcW w:w="993" w:type="dxa"/>
          </w:tcPr>
          <w:p w:rsidR="00461050" w:rsidRPr="00015BC4" w:rsidRDefault="00461050" w:rsidP="00081C78">
            <w:pPr>
              <w:keepNext/>
              <w:ind w:left="-108"/>
              <w:jc w:val="center"/>
              <w:rPr>
                <w:rFonts w:ascii="Arial Narrow" w:hAnsi="Arial Narrow" w:cs="Arial"/>
                <w:sz w:val="18"/>
                <w:szCs w:val="18"/>
                <w:lang w:val="en-AU" w:eastAsia="en-AU"/>
              </w:rPr>
            </w:pPr>
            <w:r w:rsidRPr="00015BC4">
              <w:rPr>
                <w:rFonts w:ascii="Arial Narrow" w:hAnsi="Arial Narrow" w:cs="Arial"/>
                <w:sz w:val="18"/>
                <w:szCs w:val="18"/>
                <w:lang w:val="en-AU" w:eastAsia="en-AU"/>
              </w:rPr>
              <w:t>28</w:t>
            </w:r>
          </w:p>
        </w:tc>
        <w:tc>
          <w:tcPr>
            <w:tcW w:w="850" w:type="dxa"/>
          </w:tcPr>
          <w:p w:rsidR="00461050" w:rsidRPr="00015BC4" w:rsidRDefault="00461050" w:rsidP="00081C78">
            <w:pPr>
              <w:keepNext/>
              <w:ind w:left="-108"/>
              <w:jc w:val="center"/>
              <w:rPr>
                <w:rFonts w:ascii="Arial Narrow" w:hAnsi="Arial Narrow" w:cs="Arial"/>
                <w:sz w:val="18"/>
                <w:szCs w:val="18"/>
                <w:lang w:val="en-AU" w:eastAsia="en-AU"/>
              </w:rPr>
            </w:pPr>
            <w:r w:rsidRPr="00015BC4">
              <w:rPr>
                <w:rFonts w:ascii="Arial Narrow" w:hAnsi="Arial Narrow" w:cs="Arial"/>
                <w:sz w:val="18"/>
                <w:szCs w:val="18"/>
                <w:lang w:val="en-AU" w:eastAsia="en-AU"/>
              </w:rPr>
              <w:t>5</w:t>
            </w:r>
          </w:p>
        </w:tc>
        <w:tc>
          <w:tcPr>
            <w:tcW w:w="1417" w:type="dxa"/>
            <w:vMerge/>
          </w:tcPr>
          <w:p w:rsidR="00461050" w:rsidRPr="00015BC4" w:rsidRDefault="00461050" w:rsidP="00081C78">
            <w:pPr>
              <w:keepNext/>
              <w:rPr>
                <w:rFonts w:ascii="Arial Narrow" w:hAnsi="Arial Narrow" w:cs="Arial"/>
                <w:sz w:val="18"/>
                <w:szCs w:val="18"/>
                <w:lang w:val="en-AU" w:eastAsia="en-AU"/>
              </w:rPr>
            </w:pPr>
          </w:p>
        </w:tc>
      </w:tr>
    </w:tbl>
    <w:p w:rsidR="008E7ED5" w:rsidRPr="00015BC4" w:rsidRDefault="008E7ED5" w:rsidP="008E7ED5">
      <w:pPr>
        <w:rPr>
          <w:lang w:val="en-AU" w:eastAsia="en-AU"/>
        </w:rPr>
      </w:pPr>
    </w:p>
    <w:p w:rsidR="008E7ED5" w:rsidRPr="00015BC4" w:rsidRDefault="008E7ED5" w:rsidP="008E7ED5">
      <w:pPr>
        <w:rPr>
          <w:rFonts w:ascii="Arial Narrow" w:hAnsi="Arial Narrow"/>
          <w:b/>
          <w:sz w:val="18"/>
          <w:szCs w:val="18"/>
          <w:lang w:val="en-AU" w:eastAsia="en-AU"/>
        </w:rPr>
      </w:pPr>
      <w:r w:rsidRPr="00015BC4">
        <w:rPr>
          <w:rFonts w:ascii="Arial Narrow" w:hAnsi="Arial Narrow"/>
          <w:b/>
          <w:sz w:val="18"/>
          <w:szCs w:val="18"/>
          <w:lang w:val="en-AU" w:eastAsia="en-AU"/>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7372"/>
      </w:tblGrid>
      <w:tr w:rsidR="008E7ED5" w:rsidRPr="00015BC4" w:rsidTr="008948EA">
        <w:tc>
          <w:tcPr>
            <w:tcW w:w="871" w:type="pct"/>
            <w:vMerge w:val="restart"/>
            <w:tcBorders>
              <w:top w:val="single" w:sz="4" w:space="0" w:color="auto"/>
              <w:left w:val="single" w:sz="4" w:space="0" w:color="auto"/>
              <w:right w:val="single" w:sz="4" w:space="0" w:color="auto"/>
            </w:tcBorders>
          </w:tcPr>
          <w:p w:rsidR="008E7ED5" w:rsidRPr="00015BC4" w:rsidRDefault="008E7ED5" w:rsidP="00081C78">
            <w:pPr>
              <w:jc w:val="center"/>
              <w:rPr>
                <w:rFonts w:ascii="Arial Narrow" w:hAnsi="Arial Narrow" w:cs="Arial"/>
                <w:b/>
                <w:sz w:val="18"/>
                <w:szCs w:val="18"/>
                <w:lang w:val="en-AU" w:eastAsia="en-AU"/>
              </w:rPr>
            </w:pPr>
            <w:r w:rsidRPr="00015BC4">
              <w:rPr>
                <w:rFonts w:ascii="Arial Narrow" w:hAnsi="Arial Narrow" w:cs="Arial"/>
                <w:b/>
                <w:sz w:val="18"/>
                <w:szCs w:val="18"/>
                <w:lang w:val="en-AU" w:eastAsia="en-AU"/>
              </w:rPr>
              <w:t>Concept ID</w:t>
            </w:r>
          </w:p>
          <w:p w:rsidR="008E7ED5" w:rsidRPr="00015BC4" w:rsidRDefault="008E7ED5" w:rsidP="00081C78">
            <w:pPr>
              <w:jc w:val="center"/>
              <w:rPr>
                <w:rFonts w:ascii="Arial Narrow" w:hAnsi="Arial Narrow" w:cs="Arial"/>
                <w:b/>
                <w:sz w:val="18"/>
                <w:szCs w:val="18"/>
                <w:lang w:val="en-AU" w:eastAsia="en-AU"/>
              </w:rPr>
            </w:pPr>
          </w:p>
          <w:p w:rsidR="008E7ED5" w:rsidRPr="00015BC4" w:rsidRDefault="008E7ED5" w:rsidP="00081C78">
            <w:pPr>
              <w:jc w:val="center"/>
              <w:rPr>
                <w:rFonts w:ascii="Arial Narrow" w:hAnsi="Arial Narrow" w:cs="Arial"/>
                <w:sz w:val="18"/>
                <w:szCs w:val="18"/>
                <w:lang w:val="en-AU" w:eastAsia="en-AU"/>
              </w:rPr>
            </w:pPr>
            <w:r w:rsidRPr="00015BC4">
              <w:rPr>
                <w:rFonts w:ascii="Arial Narrow" w:hAnsi="Arial Narrow" w:cs="Arial"/>
                <w:sz w:val="18"/>
                <w:szCs w:val="18"/>
                <w:lang w:val="en-AU" w:eastAsia="en-AU"/>
              </w:rPr>
              <w:t>(for internal Dept. use)</w:t>
            </w:r>
          </w:p>
        </w:tc>
        <w:tc>
          <w:tcPr>
            <w:tcW w:w="4129" w:type="pct"/>
            <w:tcBorders>
              <w:top w:val="single" w:sz="4" w:space="0" w:color="auto"/>
              <w:left w:val="single" w:sz="4" w:space="0" w:color="auto"/>
              <w:bottom w:val="single" w:sz="4" w:space="0" w:color="auto"/>
              <w:right w:val="single" w:sz="4" w:space="0" w:color="auto"/>
            </w:tcBorders>
          </w:tcPr>
          <w:p w:rsidR="008E7ED5" w:rsidRPr="00015BC4" w:rsidRDefault="008E7ED5" w:rsidP="00081C78">
            <w:pPr>
              <w:jc w:val="both"/>
              <w:rPr>
                <w:rFonts w:ascii="Arial Narrow" w:hAnsi="Arial Narrow" w:cs="Arial"/>
                <w:sz w:val="18"/>
                <w:szCs w:val="18"/>
                <w:lang w:val="en-AU" w:eastAsia="en-AU"/>
              </w:rPr>
            </w:pPr>
            <w:r w:rsidRPr="00015BC4">
              <w:rPr>
                <w:rFonts w:ascii="Arial Narrow" w:hAnsi="Arial Narrow" w:cs="Arial"/>
                <w:b/>
                <w:sz w:val="18"/>
                <w:szCs w:val="18"/>
                <w:lang w:val="en-AU" w:eastAsia="en-AU"/>
              </w:rPr>
              <w:t xml:space="preserve">Category / Program:   </w:t>
            </w:r>
            <w:r w:rsidRPr="00015BC4">
              <w:rPr>
                <w:rFonts w:ascii="Arial Narrow" w:hAnsi="Arial Narrow" w:cs="Arial"/>
                <w:sz w:val="18"/>
                <w:szCs w:val="18"/>
                <w:lang w:val="en-AU" w:eastAsia="en-AU"/>
              </w:rPr>
              <w:t xml:space="preserve">GENERAL – General Schedule (Code GE) </w:t>
            </w:r>
          </w:p>
        </w:tc>
      </w:tr>
      <w:tr w:rsidR="008E7ED5" w:rsidRPr="00015BC4" w:rsidTr="008948EA">
        <w:trPr>
          <w:trHeight w:val="263"/>
        </w:trPr>
        <w:tc>
          <w:tcPr>
            <w:tcW w:w="871" w:type="pct"/>
            <w:vMerge/>
            <w:tcBorders>
              <w:left w:val="single" w:sz="4" w:space="0" w:color="auto"/>
              <w:right w:val="single" w:sz="4" w:space="0" w:color="auto"/>
            </w:tcBorders>
          </w:tcPr>
          <w:p w:rsidR="008E7ED5" w:rsidRPr="00015BC4" w:rsidRDefault="008E7ED5" w:rsidP="00081C78">
            <w:pPr>
              <w:jc w:val="both"/>
              <w:rPr>
                <w:rFonts w:ascii="Arial Narrow" w:hAnsi="Arial Narrow" w:cs="Arial"/>
                <w:sz w:val="18"/>
                <w:szCs w:val="18"/>
                <w:lang w:val="en-AU" w:eastAsia="en-AU"/>
              </w:rPr>
            </w:pPr>
          </w:p>
        </w:tc>
        <w:tc>
          <w:tcPr>
            <w:tcW w:w="4129" w:type="pct"/>
            <w:tcBorders>
              <w:top w:val="single" w:sz="4" w:space="0" w:color="auto"/>
              <w:left w:val="single" w:sz="4" w:space="0" w:color="auto"/>
              <w:bottom w:val="single" w:sz="4" w:space="0" w:color="auto"/>
              <w:right w:val="single" w:sz="4" w:space="0" w:color="auto"/>
            </w:tcBorders>
          </w:tcPr>
          <w:p w:rsidR="008E7ED5" w:rsidRPr="00015BC4" w:rsidRDefault="008E7ED5" w:rsidP="00461050">
            <w:pPr>
              <w:jc w:val="both"/>
              <w:rPr>
                <w:rFonts w:ascii="Arial Narrow" w:hAnsi="Arial Narrow" w:cs="Arial"/>
                <w:sz w:val="18"/>
                <w:szCs w:val="18"/>
                <w:lang w:val="en-AU" w:eastAsia="en-AU"/>
              </w:rPr>
            </w:pPr>
            <w:r w:rsidRPr="00015BC4">
              <w:rPr>
                <w:rFonts w:ascii="Arial Narrow" w:hAnsi="Arial Narrow" w:cs="Arial"/>
                <w:b/>
                <w:sz w:val="18"/>
                <w:szCs w:val="18"/>
                <w:lang w:val="en-AU" w:eastAsia="en-AU"/>
              </w:rPr>
              <w:t xml:space="preserve">Prescriber type:  </w:t>
            </w:r>
            <w:r w:rsidRPr="00015BC4">
              <w:rPr>
                <w:rFonts w:ascii="Arial Narrow" w:hAnsi="Arial Narrow" w:cs="Arial"/>
                <w:sz w:val="18"/>
                <w:szCs w:val="18"/>
                <w:lang w:val="en-AU" w:eastAsia="en-AU"/>
              </w:rPr>
              <w:fldChar w:fldCharType="begin">
                <w:ffData>
                  <w:name w:val=""/>
                  <w:enabled/>
                  <w:calcOnExit w:val="0"/>
                  <w:checkBox>
                    <w:sizeAuto/>
                    <w:default w:val="1"/>
                  </w:checkBox>
                </w:ffData>
              </w:fldChar>
            </w:r>
            <w:r w:rsidRPr="00015BC4">
              <w:rPr>
                <w:rFonts w:ascii="Arial Narrow" w:hAnsi="Arial Narrow" w:cs="Arial"/>
                <w:sz w:val="18"/>
                <w:szCs w:val="18"/>
                <w:lang w:val="en-AU" w:eastAsia="en-AU"/>
              </w:rPr>
              <w:instrText xml:space="preserve"> FORMCHECKBOX </w:instrText>
            </w:r>
            <w:r w:rsidR="001B6B57">
              <w:rPr>
                <w:rFonts w:ascii="Arial Narrow" w:hAnsi="Arial Narrow" w:cs="Arial"/>
                <w:sz w:val="18"/>
                <w:szCs w:val="18"/>
                <w:lang w:val="en-AU" w:eastAsia="en-AU"/>
              </w:rPr>
            </w:r>
            <w:r w:rsidR="001B6B57">
              <w:rPr>
                <w:rFonts w:ascii="Arial Narrow" w:hAnsi="Arial Narrow" w:cs="Arial"/>
                <w:sz w:val="18"/>
                <w:szCs w:val="18"/>
                <w:lang w:val="en-AU" w:eastAsia="en-AU"/>
              </w:rPr>
              <w:fldChar w:fldCharType="separate"/>
            </w:r>
            <w:r w:rsidRPr="00015BC4">
              <w:rPr>
                <w:rFonts w:ascii="Arial Narrow" w:hAnsi="Arial Narrow" w:cs="Arial"/>
                <w:sz w:val="18"/>
                <w:szCs w:val="18"/>
                <w:lang w:val="en-AU" w:eastAsia="en-AU"/>
              </w:rPr>
              <w:fldChar w:fldCharType="end"/>
            </w:r>
            <w:r w:rsidRPr="00015BC4">
              <w:rPr>
                <w:rFonts w:ascii="Arial Narrow" w:hAnsi="Arial Narrow" w:cs="Arial"/>
                <w:sz w:val="18"/>
                <w:szCs w:val="18"/>
                <w:lang w:val="en-AU" w:eastAsia="en-AU"/>
              </w:rPr>
              <w:t xml:space="preserve">Medical Practitioners  </w:t>
            </w:r>
          </w:p>
        </w:tc>
      </w:tr>
      <w:tr w:rsidR="008E7ED5" w:rsidRPr="00015BC4" w:rsidTr="008948EA">
        <w:trPr>
          <w:trHeight w:val="240"/>
        </w:trPr>
        <w:tc>
          <w:tcPr>
            <w:tcW w:w="871" w:type="pct"/>
            <w:vMerge/>
            <w:tcBorders>
              <w:left w:val="single" w:sz="4" w:space="0" w:color="auto"/>
              <w:right w:val="single" w:sz="4" w:space="0" w:color="auto"/>
            </w:tcBorders>
          </w:tcPr>
          <w:p w:rsidR="008E7ED5" w:rsidRPr="00015BC4" w:rsidRDefault="008E7ED5" w:rsidP="00081C78">
            <w:pPr>
              <w:jc w:val="both"/>
              <w:rPr>
                <w:rFonts w:ascii="Arial Narrow" w:hAnsi="Arial Narrow" w:cs="Arial"/>
                <w:sz w:val="18"/>
                <w:szCs w:val="18"/>
                <w:lang w:val="en-AU" w:eastAsia="en-AU"/>
              </w:rPr>
            </w:pPr>
          </w:p>
        </w:tc>
        <w:tc>
          <w:tcPr>
            <w:tcW w:w="4129" w:type="pct"/>
            <w:tcBorders>
              <w:top w:val="single" w:sz="4" w:space="0" w:color="auto"/>
              <w:left w:val="single" w:sz="4" w:space="0" w:color="auto"/>
              <w:bottom w:val="single" w:sz="4" w:space="0" w:color="auto"/>
              <w:right w:val="single" w:sz="4" w:space="0" w:color="auto"/>
            </w:tcBorders>
          </w:tcPr>
          <w:p w:rsidR="008E7ED5" w:rsidRPr="00015BC4" w:rsidRDefault="008E7ED5" w:rsidP="00081C78">
            <w:pPr>
              <w:jc w:val="both"/>
              <w:rPr>
                <w:rFonts w:ascii="Arial Narrow" w:hAnsi="Arial Narrow" w:cs="Arial"/>
                <w:b/>
                <w:sz w:val="18"/>
                <w:szCs w:val="18"/>
                <w:lang w:val="en-AU" w:eastAsia="en-AU"/>
              </w:rPr>
            </w:pPr>
            <w:r w:rsidRPr="00015BC4">
              <w:rPr>
                <w:rFonts w:ascii="Arial Narrow" w:hAnsi="Arial Narrow" w:cs="Arial"/>
                <w:b/>
                <w:sz w:val="18"/>
                <w:szCs w:val="18"/>
                <w:lang w:val="en-AU" w:eastAsia="en-AU"/>
              </w:rPr>
              <w:t>Restriction</w:t>
            </w:r>
            <w:r w:rsidR="00461050">
              <w:rPr>
                <w:rFonts w:ascii="Arial Narrow" w:hAnsi="Arial Narrow" w:cs="Arial"/>
                <w:b/>
                <w:sz w:val="18"/>
                <w:szCs w:val="18"/>
                <w:lang w:val="en-AU" w:eastAsia="en-AU"/>
              </w:rPr>
              <w:t xml:space="preserve"> type </w:t>
            </w:r>
            <w:r w:rsidRPr="00015BC4">
              <w:rPr>
                <w:rFonts w:ascii="Arial Narrow" w:hAnsi="Arial Narrow" w:cs="Arial"/>
                <w:b/>
                <w:sz w:val="18"/>
                <w:szCs w:val="18"/>
                <w:lang w:val="en-AU" w:eastAsia="en-AU"/>
              </w:rPr>
              <w:t xml:space="preserve"> / Method: </w:t>
            </w:r>
            <w:r w:rsidRPr="00015BC4">
              <w:rPr>
                <w:rFonts w:ascii="Arial Narrow" w:hAnsi="Arial Narrow" w:cs="Arial"/>
                <w:sz w:val="18"/>
                <w:szCs w:val="18"/>
                <w:lang w:val="en-AU" w:eastAsia="en-AU"/>
              </w:rPr>
              <w:fldChar w:fldCharType="begin">
                <w:ffData>
                  <w:name w:val=""/>
                  <w:enabled/>
                  <w:calcOnExit w:val="0"/>
                  <w:checkBox>
                    <w:sizeAuto/>
                    <w:default w:val="1"/>
                  </w:checkBox>
                </w:ffData>
              </w:fldChar>
            </w:r>
            <w:r w:rsidRPr="00015BC4">
              <w:rPr>
                <w:rFonts w:ascii="Arial Narrow" w:hAnsi="Arial Narrow" w:cs="Arial"/>
                <w:sz w:val="18"/>
                <w:szCs w:val="18"/>
                <w:lang w:val="en-AU" w:eastAsia="en-AU"/>
              </w:rPr>
              <w:instrText xml:space="preserve"> FORMCHECKBOX </w:instrText>
            </w:r>
            <w:r w:rsidR="001B6B57">
              <w:rPr>
                <w:rFonts w:ascii="Arial Narrow" w:hAnsi="Arial Narrow" w:cs="Arial"/>
                <w:sz w:val="18"/>
                <w:szCs w:val="18"/>
                <w:lang w:val="en-AU" w:eastAsia="en-AU"/>
              </w:rPr>
            </w:r>
            <w:r w:rsidR="001B6B57">
              <w:rPr>
                <w:rFonts w:ascii="Arial Narrow" w:hAnsi="Arial Narrow" w:cs="Arial"/>
                <w:sz w:val="18"/>
                <w:szCs w:val="18"/>
                <w:lang w:val="en-AU" w:eastAsia="en-AU"/>
              </w:rPr>
              <w:fldChar w:fldCharType="separate"/>
            </w:r>
            <w:r w:rsidRPr="00015BC4">
              <w:rPr>
                <w:rFonts w:ascii="Arial Narrow" w:hAnsi="Arial Narrow" w:cs="Arial"/>
                <w:sz w:val="18"/>
                <w:szCs w:val="18"/>
                <w:lang w:val="en-AU" w:eastAsia="en-AU"/>
              </w:rPr>
              <w:fldChar w:fldCharType="end"/>
            </w:r>
            <w:r w:rsidRPr="00015BC4">
              <w:rPr>
                <w:rFonts w:ascii="Arial Narrow" w:hAnsi="Arial Narrow" w:cs="Arial"/>
                <w:sz w:val="18"/>
                <w:szCs w:val="18"/>
                <w:lang w:val="en-AU" w:eastAsia="en-AU"/>
              </w:rPr>
              <w:t xml:space="preserve"> Authority Required – Streamlined (new code)</w:t>
            </w:r>
          </w:p>
        </w:tc>
      </w:tr>
      <w:tr w:rsidR="008E7ED5" w:rsidRPr="00015BC4" w:rsidTr="008948EA">
        <w:tc>
          <w:tcPr>
            <w:tcW w:w="871" w:type="pct"/>
            <w:vMerge/>
            <w:tcBorders>
              <w:left w:val="single" w:sz="4" w:space="0" w:color="auto"/>
              <w:right w:val="single" w:sz="4" w:space="0" w:color="auto"/>
            </w:tcBorders>
            <w:vAlign w:val="center"/>
          </w:tcPr>
          <w:p w:rsidR="008E7ED5" w:rsidRPr="00015BC4" w:rsidRDefault="008E7ED5" w:rsidP="00081C78">
            <w:pPr>
              <w:jc w:val="center"/>
              <w:rPr>
                <w:rFonts w:ascii="Arial Narrow" w:hAnsi="Arial Narrow"/>
                <w:color w:val="333333"/>
                <w:sz w:val="18"/>
                <w:szCs w:val="18"/>
                <w:lang w:val="en-AU" w:eastAsia="en-AU"/>
              </w:rPr>
            </w:pPr>
          </w:p>
        </w:tc>
        <w:tc>
          <w:tcPr>
            <w:tcW w:w="4129" w:type="pct"/>
            <w:tcBorders>
              <w:left w:val="single" w:sz="4" w:space="0" w:color="auto"/>
            </w:tcBorders>
            <w:vAlign w:val="center"/>
          </w:tcPr>
          <w:p w:rsidR="008E7ED5" w:rsidRPr="00015BC4" w:rsidRDefault="008E7ED5" w:rsidP="00081C78">
            <w:pPr>
              <w:rPr>
                <w:rFonts w:ascii="Arial Narrow" w:hAnsi="Arial Narrow"/>
                <w:b/>
                <w:bCs/>
                <w:i/>
                <w:color w:val="000000" w:themeColor="text1"/>
                <w:sz w:val="18"/>
                <w:szCs w:val="18"/>
                <w:lang w:val="en-AU" w:eastAsia="en-AU"/>
              </w:rPr>
            </w:pPr>
            <w:r w:rsidRPr="00015BC4">
              <w:rPr>
                <w:rFonts w:ascii="Arial Narrow" w:hAnsi="Arial Narrow"/>
                <w:b/>
                <w:bCs/>
                <w:color w:val="000000" w:themeColor="text1"/>
                <w:sz w:val="18"/>
                <w:szCs w:val="18"/>
                <w:lang w:val="en-AU" w:eastAsia="en-AU"/>
              </w:rPr>
              <w:t>Episodicity:</w:t>
            </w:r>
            <w:r w:rsidR="00461050">
              <w:rPr>
                <w:rFonts w:ascii="Arial Narrow" w:hAnsi="Arial Narrow"/>
                <w:b/>
                <w:bCs/>
                <w:color w:val="000000" w:themeColor="text1"/>
                <w:sz w:val="18"/>
                <w:szCs w:val="18"/>
                <w:lang w:val="en-AU" w:eastAsia="en-AU"/>
              </w:rPr>
              <w:t xml:space="preserve"> </w:t>
            </w:r>
            <w:r w:rsidR="00461050" w:rsidRPr="00461050">
              <w:rPr>
                <w:rFonts w:ascii="Arial Narrow" w:hAnsi="Arial Narrow"/>
                <w:bCs/>
                <w:color w:val="000000" w:themeColor="text1"/>
                <w:sz w:val="18"/>
                <w:szCs w:val="18"/>
                <w:lang w:val="en-AU" w:eastAsia="en-AU"/>
              </w:rPr>
              <w:t>[blank]</w:t>
            </w:r>
          </w:p>
        </w:tc>
      </w:tr>
      <w:tr w:rsidR="008E7ED5" w:rsidRPr="00015BC4" w:rsidTr="008948EA">
        <w:tc>
          <w:tcPr>
            <w:tcW w:w="871" w:type="pct"/>
            <w:vMerge/>
            <w:tcBorders>
              <w:left w:val="single" w:sz="4" w:space="0" w:color="auto"/>
              <w:right w:val="single" w:sz="4" w:space="0" w:color="auto"/>
            </w:tcBorders>
            <w:vAlign w:val="center"/>
          </w:tcPr>
          <w:p w:rsidR="008E7ED5" w:rsidRPr="00015BC4" w:rsidRDefault="008E7ED5" w:rsidP="00081C78">
            <w:pPr>
              <w:jc w:val="center"/>
              <w:rPr>
                <w:rFonts w:ascii="Arial Narrow" w:hAnsi="Arial Narrow"/>
                <w:color w:val="333333"/>
                <w:sz w:val="18"/>
                <w:szCs w:val="18"/>
                <w:lang w:val="en-AU" w:eastAsia="en-AU"/>
              </w:rPr>
            </w:pPr>
          </w:p>
        </w:tc>
        <w:tc>
          <w:tcPr>
            <w:tcW w:w="4129" w:type="pct"/>
            <w:tcBorders>
              <w:left w:val="single" w:sz="4" w:space="0" w:color="auto"/>
            </w:tcBorders>
            <w:vAlign w:val="center"/>
          </w:tcPr>
          <w:p w:rsidR="008E7ED5" w:rsidRPr="00015BC4" w:rsidRDefault="008E7ED5" w:rsidP="00757380">
            <w:pPr>
              <w:rPr>
                <w:rFonts w:ascii="Arial Narrow" w:hAnsi="Arial Narrow"/>
                <w:b/>
                <w:bCs/>
                <w:i/>
                <w:color w:val="000000" w:themeColor="text1"/>
                <w:sz w:val="18"/>
                <w:szCs w:val="18"/>
                <w:lang w:val="en-AU" w:eastAsia="en-AU"/>
              </w:rPr>
            </w:pPr>
            <w:r w:rsidRPr="00015BC4">
              <w:rPr>
                <w:rFonts w:ascii="Arial Narrow" w:hAnsi="Arial Narrow"/>
                <w:b/>
                <w:bCs/>
                <w:color w:val="000000" w:themeColor="text1"/>
                <w:sz w:val="18"/>
                <w:szCs w:val="18"/>
                <w:lang w:val="en-AU" w:eastAsia="en-AU"/>
              </w:rPr>
              <w:t xml:space="preserve">Severity: </w:t>
            </w:r>
            <w:r w:rsidR="00757380" w:rsidRPr="00FD1C10">
              <w:rPr>
                <w:rFonts w:ascii="Arial Narrow" w:hAnsi="Arial Narrow"/>
                <w:bCs/>
                <w:color w:val="000000" w:themeColor="text1"/>
                <w:sz w:val="18"/>
                <w:szCs w:val="18"/>
                <w:lang w:val="en-AU" w:eastAsia="en-AU"/>
              </w:rPr>
              <w:t>[blank]</w:t>
            </w:r>
          </w:p>
        </w:tc>
      </w:tr>
      <w:tr w:rsidR="008E7ED5" w:rsidRPr="00015BC4" w:rsidTr="008948EA">
        <w:tc>
          <w:tcPr>
            <w:tcW w:w="871" w:type="pct"/>
            <w:vMerge/>
            <w:tcBorders>
              <w:left w:val="single" w:sz="4" w:space="0" w:color="auto"/>
              <w:right w:val="single" w:sz="4" w:space="0" w:color="auto"/>
            </w:tcBorders>
            <w:vAlign w:val="center"/>
          </w:tcPr>
          <w:p w:rsidR="008E7ED5" w:rsidRPr="00015BC4" w:rsidRDefault="008E7ED5" w:rsidP="00081C78">
            <w:pPr>
              <w:jc w:val="center"/>
              <w:rPr>
                <w:rFonts w:ascii="Arial Narrow" w:hAnsi="Arial Narrow"/>
                <w:color w:val="333333"/>
                <w:sz w:val="18"/>
                <w:szCs w:val="18"/>
                <w:lang w:val="en-AU" w:eastAsia="en-AU"/>
              </w:rPr>
            </w:pPr>
          </w:p>
        </w:tc>
        <w:tc>
          <w:tcPr>
            <w:tcW w:w="4129" w:type="pct"/>
            <w:tcBorders>
              <w:left w:val="single" w:sz="4" w:space="0" w:color="auto"/>
            </w:tcBorders>
            <w:vAlign w:val="center"/>
          </w:tcPr>
          <w:p w:rsidR="008E7ED5" w:rsidRPr="00015BC4" w:rsidRDefault="008E7ED5" w:rsidP="00081C78">
            <w:pPr>
              <w:rPr>
                <w:rFonts w:ascii="Arial Narrow" w:hAnsi="Arial Narrow"/>
                <w:b/>
                <w:bCs/>
                <w:color w:val="333333"/>
                <w:sz w:val="18"/>
                <w:szCs w:val="18"/>
                <w:lang w:val="en-AU" w:eastAsia="en-AU"/>
              </w:rPr>
            </w:pPr>
            <w:r w:rsidRPr="00015BC4">
              <w:rPr>
                <w:rFonts w:ascii="Arial Narrow" w:hAnsi="Arial Narrow"/>
                <w:b/>
                <w:bCs/>
                <w:color w:val="333333"/>
                <w:sz w:val="18"/>
                <w:szCs w:val="18"/>
                <w:lang w:val="en-AU" w:eastAsia="en-AU"/>
              </w:rPr>
              <w:t xml:space="preserve">Condition: </w:t>
            </w:r>
            <w:r w:rsidR="00757380">
              <w:rPr>
                <w:rFonts w:ascii="Arial Narrow" w:hAnsi="Arial Narrow"/>
                <w:bCs/>
                <w:color w:val="333333"/>
                <w:sz w:val="18"/>
                <w:szCs w:val="18"/>
                <w:lang w:val="en-AU" w:eastAsia="en-AU"/>
              </w:rPr>
              <w:t>M</w:t>
            </w:r>
            <w:r w:rsidRPr="00015BC4">
              <w:rPr>
                <w:rFonts w:ascii="Arial Narrow" w:hAnsi="Arial Narrow"/>
                <w:bCs/>
                <w:color w:val="333333"/>
                <w:sz w:val="18"/>
                <w:szCs w:val="18"/>
                <w:lang w:val="en-AU" w:eastAsia="en-AU"/>
              </w:rPr>
              <w:t>ultiple sclerosis</w:t>
            </w:r>
          </w:p>
        </w:tc>
      </w:tr>
      <w:tr w:rsidR="008E7ED5" w:rsidRPr="00015BC4" w:rsidTr="008948EA">
        <w:tc>
          <w:tcPr>
            <w:tcW w:w="871" w:type="pct"/>
            <w:vAlign w:val="center"/>
            <w:hideMark/>
          </w:tcPr>
          <w:p w:rsidR="008E7ED5" w:rsidRPr="00015BC4" w:rsidRDefault="00757380"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 xml:space="preserve"> </w:t>
            </w:r>
            <w:r w:rsidR="008E7ED5" w:rsidRPr="00015BC4">
              <w:rPr>
                <w:rFonts w:ascii="Arial Narrow" w:hAnsi="Arial Narrow"/>
                <w:color w:val="333333"/>
                <w:sz w:val="18"/>
                <w:szCs w:val="18"/>
                <w:lang w:val="en-AU" w:eastAsia="en-AU"/>
              </w:rPr>
              <w:t>9504</w:t>
            </w:r>
          </w:p>
        </w:tc>
        <w:tc>
          <w:tcPr>
            <w:tcW w:w="4129" w:type="pct"/>
            <w:vAlign w:val="center"/>
            <w:hideMark/>
          </w:tcPr>
          <w:p w:rsidR="008E7ED5" w:rsidRPr="00015BC4" w:rsidRDefault="008E7ED5" w:rsidP="00757380">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Indication:</w:t>
            </w:r>
            <w:r w:rsidRPr="00015BC4">
              <w:rPr>
                <w:rFonts w:ascii="Arial Narrow" w:hAnsi="Arial Narrow"/>
                <w:color w:val="333333"/>
                <w:sz w:val="18"/>
                <w:szCs w:val="18"/>
                <w:lang w:val="en-AU" w:eastAsia="en-AU"/>
              </w:rPr>
              <w:t xml:space="preserve"> </w:t>
            </w:r>
            <w:r w:rsidR="00757380">
              <w:rPr>
                <w:rFonts w:ascii="Arial Narrow" w:hAnsi="Arial Narrow"/>
                <w:color w:val="333333"/>
                <w:sz w:val="18"/>
                <w:szCs w:val="18"/>
                <w:lang w:val="en-AU" w:eastAsia="en-AU"/>
              </w:rPr>
              <w:t>M</w:t>
            </w:r>
            <w:r w:rsidRPr="00015BC4">
              <w:rPr>
                <w:rFonts w:ascii="Arial Narrow" w:hAnsi="Arial Narrow"/>
                <w:color w:val="333333"/>
                <w:sz w:val="18"/>
                <w:szCs w:val="18"/>
                <w:lang w:val="en-AU" w:eastAsia="en-AU"/>
              </w:rPr>
              <w:t>ultiple sclerosis</w:t>
            </w:r>
          </w:p>
        </w:tc>
      </w:tr>
      <w:tr w:rsidR="008E7ED5" w:rsidRPr="00015BC4" w:rsidTr="008948EA">
        <w:tc>
          <w:tcPr>
            <w:tcW w:w="871" w:type="pct"/>
            <w:vAlign w:val="center"/>
            <w:hideMark/>
          </w:tcPr>
          <w:p w:rsidR="008E7ED5" w:rsidRPr="00015BC4" w:rsidRDefault="008E7ED5" w:rsidP="00081C78">
            <w:pPr>
              <w:jc w:val="center"/>
              <w:rPr>
                <w:rFonts w:ascii="Arial Narrow" w:hAnsi="Arial Narrow"/>
                <w:color w:val="333333"/>
                <w:sz w:val="18"/>
                <w:szCs w:val="18"/>
                <w:lang w:val="en-AU" w:eastAsia="en-AU"/>
              </w:rPr>
            </w:pPr>
          </w:p>
        </w:tc>
        <w:tc>
          <w:tcPr>
            <w:tcW w:w="4129" w:type="pct"/>
            <w:vAlign w:val="center"/>
            <w:hideMark/>
          </w:tcPr>
          <w:p w:rsidR="008E7ED5" w:rsidRPr="00015BC4" w:rsidRDefault="008E7ED5" w:rsidP="00081C78">
            <w:pPr>
              <w:rPr>
                <w:rFonts w:ascii="Arial Narrow" w:hAnsi="Arial Narrow"/>
                <w:i/>
                <w:color w:val="333333"/>
                <w:sz w:val="18"/>
                <w:szCs w:val="18"/>
                <w:lang w:val="en-AU" w:eastAsia="en-AU"/>
              </w:rPr>
            </w:pPr>
            <w:r w:rsidRPr="00015BC4">
              <w:rPr>
                <w:rFonts w:ascii="Arial Narrow" w:hAnsi="Arial Narrow"/>
                <w:b/>
                <w:bCs/>
                <w:color w:val="333333"/>
                <w:sz w:val="18"/>
                <w:szCs w:val="18"/>
                <w:lang w:val="en-AU" w:eastAsia="en-AU"/>
              </w:rPr>
              <w:t>Treatment Phase:</w:t>
            </w:r>
            <w:r w:rsidRPr="00015BC4">
              <w:rPr>
                <w:rFonts w:ascii="Arial Narrow" w:hAnsi="Arial Narrow"/>
                <w:color w:val="333333"/>
                <w:sz w:val="18"/>
                <w:szCs w:val="18"/>
                <w:lang w:val="en-AU" w:eastAsia="en-AU"/>
              </w:rPr>
              <w:t xml:space="preserve"> Initial treatment </w:t>
            </w:r>
          </w:p>
        </w:tc>
      </w:tr>
      <w:tr w:rsidR="008E7ED5" w:rsidRPr="00015BC4" w:rsidTr="008948EA">
        <w:tc>
          <w:tcPr>
            <w:tcW w:w="871" w:type="pct"/>
            <w:vAlign w:val="center"/>
            <w:hideMark/>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New</w:t>
            </w:r>
          </w:p>
        </w:tc>
        <w:tc>
          <w:tcPr>
            <w:tcW w:w="4129"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Clinical criteria:</w:t>
            </w:r>
          </w:p>
        </w:tc>
      </w:tr>
      <w:tr w:rsidR="006A7E59" w:rsidRPr="00015BC4" w:rsidTr="008948EA">
        <w:tc>
          <w:tcPr>
            <w:tcW w:w="871" w:type="pct"/>
            <w:vAlign w:val="center"/>
          </w:tcPr>
          <w:p w:rsidR="006A7E59" w:rsidRPr="00015BC4" w:rsidRDefault="006A7E59" w:rsidP="006A7E59">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New</w:t>
            </w:r>
          </w:p>
        </w:tc>
        <w:tc>
          <w:tcPr>
            <w:tcW w:w="4129" w:type="pct"/>
            <w:vAlign w:val="center"/>
          </w:tcPr>
          <w:p w:rsidR="006A7E59" w:rsidRPr="0099484C" w:rsidRDefault="006A7E59" w:rsidP="006A7E59">
            <w:pPr>
              <w:pStyle w:val="TableText0"/>
              <w:keepNext w:val="0"/>
              <w:rPr>
                <w:rFonts w:eastAsia="Times New Roman" w:cs="Times New Roman"/>
                <w:bCs w:val="0"/>
                <w:color w:val="333333"/>
                <w:sz w:val="18"/>
                <w:szCs w:val="18"/>
              </w:rPr>
            </w:pPr>
            <w:r w:rsidRPr="0099484C">
              <w:rPr>
                <w:rFonts w:eastAsia="Times New Roman" w:cs="Times New Roman"/>
                <w:bCs w:val="0"/>
                <w:color w:val="333333"/>
                <w:sz w:val="18"/>
                <w:szCs w:val="18"/>
              </w:rPr>
              <w:t xml:space="preserve">The condition </w:t>
            </w:r>
            <w:r>
              <w:rPr>
                <w:rFonts w:eastAsia="Times New Roman" w:cs="Times New Roman"/>
                <w:bCs w:val="0"/>
                <w:color w:val="333333"/>
                <w:sz w:val="18"/>
                <w:szCs w:val="18"/>
              </w:rPr>
              <w:t xml:space="preserve">must </w:t>
            </w:r>
            <w:r w:rsidRPr="0099484C">
              <w:rPr>
                <w:rFonts w:eastAsia="Times New Roman" w:cs="Times New Roman"/>
                <w:bCs w:val="0"/>
                <w:color w:val="333333"/>
                <w:sz w:val="18"/>
                <w:szCs w:val="18"/>
              </w:rPr>
              <w:t>be</w:t>
            </w:r>
            <w:r>
              <w:rPr>
                <w:rFonts w:eastAsia="Times New Roman" w:cs="Times New Roman"/>
                <w:bCs w:val="0"/>
                <w:color w:val="333333"/>
                <w:sz w:val="18"/>
                <w:szCs w:val="18"/>
              </w:rPr>
              <w:t>/</w:t>
            </w:r>
            <w:r w:rsidRPr="0099484C">
              <w:rPr>
                <w:rFonts w:eastAsia="Times New Roman" w:cs="Times New Roman"/>
                <w:bCs w:val="0"/>
                <w:color w:val="333333"/>
                <w:sz w:val="18"/>
                <w:szCs w:val="18"/>
              </w:rPr>
              <w:t xml:space="preserve">have previously been diagnosed as clinically definite relapsing-remitting multiple sclerosis by magnetic resonance imaging </w:t>
            </w:r>
            <w:r w:rsidRPr="00015BC4">
              <w:rPr>
                <w:color w:val="333333"/>
                <w:sz w:val="18"/>
                <w:szCs w:val="18"/>
              </w:rPr>
              <w:t>of at least one of the brain/spinal cord</w:t>
            </w:r>
            <w:r w:rsidRPr="0099484C">
              <w:rPr>
                <w:rFonts w:eastAsia="Times New Roman" w:cs="Times New Roman"/>
                <w:bCs w:val="0"/>
                <w:color w:val="333333"/>
                <w:sz w:val="18"/>
                <w:szCs w:val="18"/>
              </w:rPr>
              <w:t xml:space="preserve">; OR </w:t>
            </w:r>
          </w:p>
        </w:tc>
      </w:tr>
      <w:tr w:rsidR="006A7E59" w:rsidRPr="00015BC4" w:rsidTr="008948EA">
        <w:tc>
          <w:tcPr>
            <w:tcW w:w="871" w:type="pct"/>
            <w:vAlign w:val="center"/>
          </w:tcPr>
          <w:p w:rsidR="006A7E59" w:rsidRPr="00015BC4" w:rsidRDefault="006A7E59" w:rsidP="006A7E59">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New</w:t>
            </w:r>
          </w:p>
        </w:tc>
        <w:tc>
          <w:tcPr>
            <w:tcW w:w="4129" w:type="pct"/>
            <w:vAlign w:val="center"/>
          </w:tcPr>
          <w:p w:rsidR="006A7E59" w:rsidRPr="00015BC4" w:rsidRDefault="006A7E59" w:rsidP="006A7E59">
            <w:pPr>
              <w:pStyle w:val="TableText0"/>
              <w:keepNext w:val="0"/>
              <w:rPr>
                <w:color w:val="333333"/>
                <w:sz w:val="18"/>
                <w:szCs w:val="18"/>
              </w:rPr>
            </w:pPr>
            <w:r>
              <w:rPr>
                <w:rFonts w:eastAsia="Times New Roman" w:cs="Times New Roman"/>
                <w:bCs w:val="0"/>
                <w:color w:val="333333"/>
                <w:sz w:val="18"/>
                <w:szCs w:val="18"/>
              </w:rPr>
              <w:t>The condition must be/</w:t>
            </w:r>
            <w:r w:rsidRPr="0099484C">
              <w:rPr>
                <w:rFonts w:eastAsia="Times New Roman" w:cs="Times New Roman"/>
                <w:bCs w:val="0"/>
                <w:color w:val="333333"/>
                <w:sz w:val="18"/>
                <w:szCs w:val="18"/>
              </w:rPr>
              <w:t xml:space="preserve">have previously been diagnosed as clinically definite relapsing-remitting multiple sclerosis </w:t>
            </w:r>
            <w:r w:rsidRPr="00015BC4">
              <w:rPr>
                <w:color w:val="333333"/>
                <w:sz w:val="18"/>
                <w:szCs w:val="18"/>
              </w:rPr>
              <w:t>supported by written certification, which is documented in the patient’s medical records, from a radiologist that a magnetic resonance imaging scan is contraindicated because of the risk of physical (not psychological) injury to the patient</w:t>
            </w:r>
          </w:p>
        </w:tc>
      </w:tr>
      <w:tr w:rsidR="008E7ED5" w:rsidRPr="00015BC4" w:rsidTr="008948EA">
        <w:tc>
          <w:tcPr>
            <w:tcW w:w="871" w:type="pct"/>
            <w:vMerge w:val="restart"/>
            <w:vAlign w:val="center"/>
            <w:hideMark/>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20585</w:t>
            </w:r>
          </w:p>
        </w:tc>
        <w:tc>
          <w:tcPr>
            <w:tcW w:w="4129"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AND</w:t>
            </w:r>
          </w:p>
        </w:tc>
      </w:tr>
      <w:tr w:rsidR="008E7ED5" w:rsidRPr="00015BC4" w:rsidTr="008948EA">
        <w:tc>
          <w:tcPr>
            <w:tcW w:w="871" w:type="pct"/>
            <w:vMerge/>
            <w:vAlign w:val="center"/>
          </w:tcPr>
          <w:p w:rsidR="008E7ED5" w:rsidRPr="00015BC4" w:rsidRDefault="008E7ED5" w:rsidP="00081C78">
            <w:pPr>
              <w:jc w:val="center"/>
              <w:rPr>
                <w:rFonts w:ascii="Arial Narrow" w:hAnsi="Arial Narrow"/>
                <w:color w:val="333333"/>
                <w:sz w:val="18"/>
                <w:szCs w:val="18"/>
                <w:lang w:val="en-AU" w:eastAsia="en-AU"/>
              </w:rPr>
            </w:pPr>
          </w:p>
        </w:tc>
        <w:tc>
          <w:tcPr>
            <w:tcW w:w="4129"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The treatment must be a sole PBS-subsidised disease modifying therapy for this condition</w:t>
            </w:r>
          </w:p>
        </w:tc>
      </w:tr>
      <w:tr w:rsidR="008E7ED5" w:rsidRPr="00015BC4" w:rsidTr="008948EA">
        <w:tc>
          <w:tcPr>
            <w:tcW w:w="871" w:type="pct"/>
            <w:vAlign w:val="center"/>
          </w:tcPr>
          <w:p w:rsidR="008E7ED5" w:rsidRPr="00015BC4" w:rsidRDefault="008E7ED5" w:rsidP="00081C78">
            <w:pPr>
              <w:jc w:val="center"/>
              <w:rPr>
                <w:rFonts w:ascii="Arial Narrow" w:hAnsi="Arial Narrow"/>
                <w:color w:val="333333"/>
                <w:sz w:val="18"/>
                <w:szCs w:val="18"/>
                <w:lang w:val="en-AU" w:eastAsia="en-AU"/>
              </w:rPr>
            </w:pPr>
          </w:p>
        </w:tc>
        <w:tc>
          <w:tcPr>
            <w:tcW w:w="4129"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AND</w:t>
            </w:r>
          </w:p>
        </w:tc>
      </w:tr>
      <w:tr w:rsidR="008E7ED5" w:rsidRPr="00015BC4" w:rsidTr="008948EA">
        <w:tc>
          <w:tcPr>
            <w:tcW w:w="871"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 xml:space="preserve">New </w:t>
            </w:r>
          </w:p>
          <w:p w:rsidR="008E7ED5" w:rsidRPr="00015BC4" w:rsidRDefault="00925E85" w:rsidP="00081C78">
            <w:pPr>
              <w:jc w:val="center"/>
              <w:rPr>
                <w:rFonts w:ascii="Arial Narrow" w:hAnsi="Arial Narrow"/>
                <w:color w:val="333333"/>
                <w:sz w:val="18"/>
                <w:szCs w:val="18"/>
                <w:lang w:val="en-AU" w:eastAsia="en-AU"/>
              </w:rPr>
            </w:pPr>
            <w:r>
              <w:rPr>
                <w:rFonts w:ascii="Arial Narrow" w:hAnsi="Arial Narrow"/>
                <w:color w:val="333333"/>
                <w:sz w:val="18"/>
                <w:szCs w:val="18"/>
                <w:lang w:val="en-AU" w:eastAsia="en-AU"/>
              </w:rPr>
              <w:t>(</w:t>
            </w:r>
            <w:r w:rsidR="008E7ED5" w:rsidRPr="00015BC4">
              <w:rPr>
                <w:rFonts w:ascii="Arial Narrow" w:hAnsi="Arial Narrow"/>
                <w:color w:val="333333"/>
                <w:sz w:val="18"/>
                <w:szCs w:val="18"/>
                <w:lang w:val="en-AU" w:eastAsia="en-AU"/>
              </w:rPr>
              <w:t>9511</w:t>
            </w:r>
            <w:r>
              <w:rPr>
                <w:rFonts w:ascii="Arial Narrow" w:hAnsi="Arial Narrow"/>
                <w:color w:val="333333"/>
                <w:sz w:val="18"/>
                <w:szCs w:val="18"/>
                <w:lang w:val="en-AU" w:eastAsia="en-AU"/>
              </w:rPr>
              <w:t xml:space="preserve"> variation</w:t>
            </w:r>
            <w:r w:rsidR="008E7ED5" w:rsidRPr="00015BC4">
              <w:rPr>
                <w:rFonts w:ascii="Arial Narrow" w:hAnsi="Arial Narrow"/>
                <w:color w:val="333333"/>
                <w:sz w:val="18"/>
                <w:szCs w:val="18"/>
                <w:lang w:val="en-AU" w:eastAsia="en-AU"/>
              </w:rPr>
              <w:t>)</w:t>
            </w:r>
          </w:p>
        </w:tc>
        <w:tc>
          <w:tcPr>
            <w:tcW w:w="4129" w:type="pct"/>
            <w:vAlign w:val="center"/>
          </w:tcPr>
          <w:p w:rsidR="008E7ED5" w:rsidRPr="00015BC4" w:rsidRDefault="008E7ED5" w:rsidP="00081C78">
            <w:pPr>
              <w:rPr>
                <w:rFonts w:ascii="Arial Narrow" w:hAnsi="Arial Narrow"/>
                <w:bCs/>
                <w:i/>
                <w:color w:val="333333"/>
                <w:sz w:val="18"/>
                <w:szCs w:val="18"/>
                <w:lang w:val="en-AU" w:eastAsia="en-AU"/>
              </w:rPr>
            </w:pPr>
            <w:r w:rsidRPr="00015BC4">
              <w:rPr>
                <w:rFonts w:ascii="Arial Narrow" w:hAnsi="Arial Narrow"/>
                <w:bCs/>
                <w:color w:val="333333"/>
                <w:sz w:val="18"/>
                <w:szCs w:val="18"/>
                <w:lang w:val="en-AU" w:eastAsia="en-AU"/>
              </w:rPr>
              <w:t>Patient must be ambulatory</w:t>
            </w:r>
            <w:r w:rsidRPr="00015BC4">
              <w:rPr>
                <w:rFonts w:ascii="Arial Narrow" w:hAnsi="Arial Narrow"/>
                <w:bCs/>
                <w:i/>
                <w:color w:val="333333"/>
                <w:sz w:val="18"/>
                <w:szCs w:val="18"/>
                <w:lang w:val="en-AU" w:eastAsia="en-AU"/>
              </w:rPr>
              <w:t>,</w:t>
            </w:r>
            <w:r w:rsidRPr="00015BC4">
              <w:rPr>
                <w:rFonts w:ascii="Arial Narrow" w:hAnsi="Arial Narrow"/>
                <w:bCs/>
                <w:color w:val="333333"/>
                <w:sz w:val="18"/>
                <w:szCs w:val="18"/>
                <w:lang w:val="en-AU" w:eastAsia="en-AU"/>
              </w:rPr>
              <w:t xml:space="preserve"> with</w:t>
            </w:r>
            <w:r w:rsidRPr="00015BC4">
              <w:rPr>
                <w:rFonts w:ascii="Arial Narrow" w:hAnsi="Arial Narrow"/>
                <w:bCs/>
                <w:i/>
                <w:color w:val="333333"/>
                <w:sz w:val="18"/>
                <w:szCs w:val="18"/>
                <w:lang w:val="en-AU" w:eastAsia="en-AU"/>
              </w:rPr>
              <w:t>/</w:t>
            </w:r>
            <w:r w:rsidRPr="00015BC4">
              <w:rPr>
                <w:rFonts w:ascii="Arial Narrow" w:hAnsi="Arial Narrow"/>
                <w:bCs/>
                <w:color w:val="333333"/>
                <w:sz w:val="18"/>
                <w:szCs w:val="18"/>
                <w:lang w:val="en-AU" w:eastAsia="en-AU"/>
              </w:rPr>
              <w:t>without assistance</w:t>
            </w:r>
            <w:r w:rsidRPr="00015BC4">
              <w:rPr>
                <w:rFonts w:ascii="Arial Narrow" w:hAnsi="Arial Narrow"/>
                <w:bCs/>
                <w:i/>
                <w:color w:val="333333"/>
                <w:sz w:val="18"/>
                <w:szCs w:val="18"/>
                <w:lang w:val="en-AU" w:eastAsia="en-AU"/>
              </w:rPr>
              <w:t>/</w:t>
            </w:r>
            <w:r w:rsidRPr="00015BC4">
              <w:rPr>
                <w:rFonts w:ascii="Arial Narrow" w:hAnsi="Arial Narrow"/>
                <w:bCs/>
                <w:color w:val="333333"/>
                <w:sz w:val="18"/>
                <w:szCs w:val="18"/>
                <w:lang w:val="en-AU" w:eastAsia="en-AU"/>
              </w:rPr>
              <w:t>support</w:t>
            </w:r>
          </w:p>
        </w:tc>
      </w:tr>
      <w:tr w:rsidR="008948EA" w:rsidRPr="00015BC4" w:rsidTr="008948EA">
        <w:tc>
          <w:tcPr>
            <w:tcW w:w="871" w:type="pct"/>
            <w:vAlign w:val="center"/>
          </w:tcPr>
          <w:p w:rsidR="008948EA" w:rsidRPr="008948EA" w:rsidRDefault="008948EA" w:rsidP="00081C78">
            <w:pPr>
              <w:jc w:val="center"/>
              <w:rPr>
                <w:rFonts w:ascii="Arial Narrow" w:hAnsi="Arial Narrow"/>
                <w:b/>
                <w:color w:val="333333"/>
                <w:sz w:val="18"/>
                <w:szCs w:val="18"/>
                <w:lang w:val="en-AU" w:eastAsia="en-AU"/>
              </w:rPr>
            </w:pPr>
          </w:p>
        </w:tc>
        <w:tc>
          <w:tcPr>
            <w:tcW w:w="4129" w:type="pct"/>
            <w:vAlign w:val="center"/>
          </w:tcPr>
          <w:p w:rsidR="008948EA" w:rsidRPr="008948EA" w:rsidRDefault="008948EA" w:rsidP="00081C78">
            <w:pPr>
              <w:rPr>
                <w:rFonts w:ascii="Arial Narrow" w:hAnsi="Arial Narrow"/>
                <w:b/>
                <w:bCs/>
                <w:color w:val="333333"/>
                <w:sz w:val="18"/>
                <w:szCs w:val="18"/>
                <w:lang w:val="en-AU" w:eastAsia="en-AU"/>
              </w:rPr>
            </w:pPr>
            <w:r w:rsidRPr="008948EA">
              <w:rPr>
                <w:rFonts w:ascii="Arial Narrow" w:hAnsi="Arial Narrow"/>
                <w:b/>
                <w:bCs/>
                <w:color w:val="333333"/>
                <w:sz w:val="18"/>
                <w:szCs w:val="18"/>
                <w:lang w:val="en-AU" w:eastAsia="en-AU"/>
              </w:rPr>
              <w:t>AND</w:t>
            </w:r>
          </w:p>
        </w:tc>
      </w:tr>
      <w:tr w:rsidR="008948EA" w:rsidRPr="00015BC4" w:rsidTr="008948EA">
        <w:tc>
          <w:tcPr>
            <w:tcW w:w="871" w:type="pct"/>
            <w:vAlign w:val="center"/>
          </w:tcPr>
          <w:p w:rsidR="008948EA" w:rsidRPr="00015BC4" w:rsidRDefault="008948EA" w:rsidP="00081C78">
            <w:pPr>
              <w:jc w:val="center"/>
              <w:rPr>
                <w:rFonts w:ascii="Arial Narrow" w:hAnsi="Arial Narrow"/>
                <w:color w:val="333333"/>
                <w:sz w:val="18"/>
                <w:szCs w:val="18"/>
                <w:lang w:val="en-AU" w:eastAsia="en-AU"/>
              </w:rPr>
            </w:pPr>
          </w:p>
        </w:tc>
        <w:tc>
          <w:tcPr>
            <w:tcW w:w="4129" w:type="pct"/>
            <w:vAlign w:val="center"/>
          </w:tcPr>
          <w:p w:rsidR="008948EA" w:rsidRPr="00015BC4" w:rsidRDefault="008948EA" w:rsidP="008948EA">
            <w:pPr>
              <w:rPr>
                <w:rFonts w:ascii="Arial Narrow" w:hAnsi="Arial Narrow"/>
                <w:bCs/>
                <w:color w:val="333333"/>
                <w:sz w:val="18"/>
                <w:szCs w:val="18"/>
                <w:lang w:val="en-AU" w:eastAsia="en-AU"/>
              </w:rPr>
            </w:pPr>
            <w:r>
              <w:rPr>
                <w:rFonts w:ascii="Arial Narrow" w:hAnsi="Arial Narrow"/>
                <w:bCs/>
                <w:color w:val="333333"/>
                <w:sz w:val="18"/>
                <w:szCs w:val="18"/>
                <w:lang w:val="en-AU" w:eastAsia="en-AU"/>
              </w:rPr>
              <w:t>P</w:t>
            </w:r>
            <w:r w:rsidRPr="008948EA">
              <w:rPr>
                <w:rFonts w:ascii="Arial Narrow" w:hAnsi="Arial Narrow"/>
                <w:bCs/>
                <w:color w:val="333333"/>
                <w:sz w:val="18"/>
                <w:szCs w:val="18"/>
                <w:lang w:val="en-AU" w:eastAsia="en-AU"/>
              </w:rPr>
              <w:t xml:space="preserve">atient must have mild disability in at least 3 functional systems </w:t>
            </w:r>
            <w:r>
              <w:rPr>
                <w:rFonts w:ascii="Arial Narrow" w:hAnsi="Arial Narrow"/>
                <w:bCs/>
                <w:color w:val="333333"/>
                <w:sz w:val="18"/>
                <w:szCs w:val="18"/>
                <w:lang w:val="en-AU" w:eastAsia="en-AU"/>
              </w:rPr>
              <w:t>OR</w:t>
            </w:r>
            <w:r w:rsidRPr="008948EA">
              <w:rPr>
                <w:rFonts w:ascii="Arial Narrow" w:hAnsi="Arial Narrow"/>
                <w:bCs/>
                <w:color w:val="333333"/>
                <w:sz w:val="18"/>
                <w:szCs w:val="18"/>
                <w:lang w:val="en-AU" w:eastAsia="en-AU"/>
              </w:rPr>
              <w:t xml:space="preserve"> </w:t>
            </w:r>
          </w:p>
        </w:tc>
      </w:tr>
      <w:tr w:rsidR="008948EA" w:rsidRPr="00015BC4" w:rsidTr="008948EA">
        <w:tc>
          <w:tcPr>
            <w:tcW w:w="871" w:type="pct"/>
            <w:vAlign w:val="center"/>
          </w:tcPr>
          <w:p w:rsidR="008948EA" w:rsidRPr="00015BC4" w:rsidRDefault="008948EA" w:rsidP="00081C78">
            <w:pPr>
              <w:jc w:val="center"/>
              <w:rPr>
                <w:rFonts w:ascii="Arial Narrow" w:hAnsi="Arial Narrow"/>
                <w:color w:val="333333"/>
                <w:sz w:val="18"/>
                <w:szCs w:val="18"/>
                <w:lang w:val="en-AU" w:eastAsia="en-AU"/>
              </w:rPr>
            </w:pPr>
          </w:p>
        </w:tc>
        <w:tc>
          <w:tcPr>
            <w:tcW w:w="4129" w:type="pct"/>
            <w:vAlign w:val="center"/>
          </w:tcPr>
          <w:p w:rsidR="008948EA" w:rsidRDefault="008948EA" w:rsidP="00081C78">
            <w:pPr>
              <w:rPr>
                <w:rFonts w:ascii="Arial Narrow" w:hAnsi="Arial Narrow"/>
                <w:bCs/>
                <w:color w:val="333333"/>
                <w:sz w:val="18"/>
                <w:szCs w:val="18"/>
                <w:lang w:val="en-AU" w:eastAsia="en-AU"/>
              </w:rPr>
            </w:pPr>
            <w:r>
              <w:rPr>
                <w:rFonts w:ascii="Arial Narrow" w:hAnsi="Arial Narrow"/>
                <w:bCs/>
                <w:color w:val="333333"/>
                <w:sz w:val="18"/>
                <w:szCs w:val="18"/>
                <w:lang w:val="en-AU" w:eastAsia="en-AU"/>
              </w:rPr>
              <w:t>P</w:t>
            </w:r>
            <w:r w:rsidRPr="008948EA">
              <w:rPr>
                <w:rFonts w:ascii="Arial Narrow" w:hAnsi="Arial Narrow"/>
                <w:bCs/>
                <w:color w:val="333333"/>
                <w:sz w:val="18"/>
                <w:szCs w:val="18"/>
                <w:lang w:val="en-AU" w:eastAsia="en-AU"/>
              </w:rPr>
              <w:t>atient must have moderate disability in at least 1 functional system</w:t>
            </w:r>
          </w:p>
        </w:tc>
      </w:tr>
      <w:tr w:rsidR="008E7ED5" w:rsidRPr="00015BC4" w:rsidTr="008948EA">
        <w:tc>
          <w:tcPr>
            <w:tcW w:w="871"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new</w:t>
            </w:r>
          </w:p>
        </w:tc>
        <w:tc>
          <w:tcPr>
            <w:tcW w:w="4129" w:type="pct"/>
            <w:vAlign w:val="center"/>
          </w:tcPr>
          <w:p w:rsidR="00E02670" w:rsidRPr="00011999" w:rsidRDefault="00E02670" w:rsidP="00081C78">
            <w:pPr>
              <w:rPr>
                <w:rFonts w:ascii="Arial Narrow" w:hAnsi="Arial Narrow"/>
                <w:b/>
                <w:bCs/>
                <w:color w:val="333333"/>
                <w:sz w:val="18"/>
                <w:szCs w:val="18"/>
                <w:lang w:val="en-AU" w:eastAsia="en-AU"/>
              </w:rPr>
            </w:pPr>
            <w:r w:rsidRPr="00011999">
              <w:rPr>
                <w:rFonts w:ascii="Arial Narrow" w:hAnsi="Arial Narrow"/>
                <w:b/>
                <w:bCs/>
                <w:color w:val="333333"/>
                <w:sz w:val="18"/>
                <w:szCs w:val="18"/>
                <w:lang w:val="en-AU" w:eastAsia="en-AU"/>
              </w:rPr>
              <w:t>Prescriber Instructions:</w:t>
            </w:r>
          </w:p>
          <w:p w:rsidR="008E7ED5" w:rsidRPr="00015BC4" w:rsidRDefault="00E02670" w:rsidP="00E02670">
            <w:pPr>
              <w:rPr>
                <w:rFonts w:ascii="Arial Narrow" w:hAnsi="Arial Narrow"/>
                <w:bCs/>
                <w:color w:val="333333"/>
                <w:sz w:val="18"/>
                <w:szCs w:val="18"/>
                <w:lang w:val="en-AU" w:eastAsia="en-AU"/>
              </w:rPr>
            </w:pPr>
            <w:r>
              <w:rPr>
                <w:rFonts w:ascii="Arial Narrow" w:hAnsi="Arial Narrow"/>
                <w:bCs/>
                <w:color w:val="333333"/>
                <w:sz w:val="18"/>
                <w:szCs w:val="18"/>
                <w:lang w:val="en-AU" w:eastAsia="en-AU"/>
              </w:rPr>
              <w:t>Select</w:t>
            </w:r>
            <w:r w:rsidR="008E7ED5" w:rsidRPr="00015BC4">
              <w:rPr>
                <w:rFonts w:ascii="Arial Narrow" w:hAnsi="Arial Narrow"/>
                <w:bCs/>
                <w:color w:val="333333"/>
                <w:sz w:val="18"/>
                <w:szCs w:val="18"/>
                <w:lang w:val="en-AU" w:eastAsia="en-AU"/>
              </w:rPr>
              <w:t xml:space="preserve"> a dose </w:t>
            </w:r>
            <w:r>
              <w:rPr>
                <w:rFonts w:ascii="Arial Narrow" w:hAnsi="Arial Narrow"/>
                <w:bCs/>
                <w:color w:val="333333"/>
                <w:sz w:val="18"/>
                <w:szCs w:val="18"/>
                <w:lang w:val="en-AU" w:eastAsia="en-AU"/>
              </w:rPr>
              <w:t xml:space="preserve">and pack size appropriate for </w:t>
            </w:r>
            <w:r w:rsidR="008E7ED5" w:rsidRPr="00015BC4">
              <w:rPr>
                <w:rFonts w:ascii="Arial Narrow" w:hAnsi="Arial Narrow"/>
                <w:bCs/>
                <w:color w:val="333333"/>
                <w:sz w:val="18"/>
                <w:szCs w:val="18"/>
                <w:lang w:val="en-AU" w:eastAsia="en-AU"/>
              </w:rPr>
              <w:t>the patient’s CYP2C9 metabolising enzyme status.</w:t>
            </w:r>
          </w:p>
        </w:tc>
      </w:tr>
      <w:tr w:rsidR="00E02670" w:rsidRPr="00015BC4" w:rsidTr="008948EA">
        <w:tc>
          <w:tcPr>
            <w:tcW w:w="871" w:type="pct"/>
            <w:vAlign w:val="center"/>
          </w:tcPr>
          <w:p w:rsidR="00E02670" w:rsidRPr="00015BC4" w:rsidRDefault="00757380" w:rsidP="00081C78">
            <w:pPr>
              <w:jc w:val="center"/>
              <w:rPr>
                <w:rFonts w:ascii="Arial Narrow" w:hAnsi="Arial Narrow"/>
                <w:color w:val="333333"/>
                <w:sz w:val="18"/>
                <w:szCs w:val="18"/>
                <w:lang w:val="en-AU" w:eastAsia="en-AU"/>
              </w:rPr>
            </w:pPr>
            <w:r>
              <w:rPr>
                <w:rFonts w:ascii="Arial Narrow" w:hAnsi="Arial Narrow"/>
                <w:color w:val="333333"/>
                <w:sz w:val="18"/>
                <w:szCs w:val="18"/>
                <w:lang w:val="en-AU" w:eastAsia="en-AU"/>
              </w:rPr>
              <w:t>New</w:t>
            </w:r>
          </w:p>
        </w:tc>
        <w:tc>
          <w:tcPr>
            <w:tcW w:w="4129" w:type="pct"/>
            <w:vAlign w:val="center"/>
          </w:tcPr>
          <w:p w:rsidR="00E02670" w:rsidRPr="00E02670" w:rsidRDefault="00E02670" w:rsidP="00081C78">
            <w:pPr>
              <w:rPr>
                <w:rFonts w:ascii="Arial Narrow" w:hAnsi="Arial Narrow"/>
                <w:b/>
                <w:bCs/>
                <w:color w:val="333333"/>
                <w:sz w:val="18"/>
                <w:szCs w:val="18"/>
                <w:lang w:val="en-AU" w:eastAsia="en-AU"/>
              </w:rPr>
            </w:pPr>
            <w:r w:rsidRPr="00E02670">
              <w:rPr>
                <w:rFonts w:ascii="Arial Narrow" w:hAnsi="Arial Narrow"/>
                <w:b/>
                <w:bCs/>
                <w:color w:val="333333"/>
                <w:sz w:val="18"/>
                <w:szCs w:val="18"/>
                <w:lang w:val="en-AU" w:eastAsia="en-AU"/>
              </w:rPr>
              <w:t>Administrative Advice:</w:t>
            </w:r>
          </w:p>
          <w:p w:rsidR="00E02670" w:rsidRDefault="00E02670" w:rsidP="00AC73FA">
            <w:pPr>
              <w:rPr>
                <w:rFonts w:ascii="Arial Narrow" w:hAnsi="Arial Narrow"/>
                <w:bCs/>
                <w:color w:val="333333"/>
                <w:sz w:val="18"/>
                <w:szCs w:val="18"/>
                <w:lang w:val="en-AU" w:eastAsia="en-AU"/>
              </w:rPr>
            </w:pPr>
            <w:r>
              <w:rPr>
                <w:rFonts w:ascii="Arial Narrow" w:hAnsi="Arial Narrow"/>
                <w:bCs/>
                <w:color w:val="333333"/>
                <w:sz w:val="18"/>
                <w:szCs w:val="18"/>
                <w:lang w:val="en-AU" w:eastAsia="en-AU"/>
              </w:rPr>
              <w:t>There is no specific Medical Benefits Schedule item for CYP</w:t>
            </w:r>
            <w:r w:rsidR="00AC73FA">
              <w:rPr>
                <w:rFonts w:ascii="Arial Narrow" w:hAnsi="Arial Narrow"/>
                <w:bCs/>
                <w:color w:val="333333"/>
                <w:sz w:val="18"/>
                <w:szCs w:val="18"/>
                <w:lang w:val="en-AU" w:eastAsia="en-AU"/>
              </w:rPr>
              <w:t>2</w:t>
            </w:r>
            <w:r>
              <w:rPr>
                <w:rFonts w:ascii="Arial Narrow" w:hAnsi="Arial Narrow"/>
                <w:bCs/>
                <w:color w:val="333333"/>
                <w:sz w:val="18"/>
                <w:szCs w:val="18"/>
                <w:lang w:val="en-AU" w:eastAsia="en-AU"/>
              </w:rPr>
              <w:t>C</w:t>
            </w:r>
            <w:r w:rsidR="00AC73FA">
              <w:rPr>
                <w:rFonts w:ascii="Arial Narrow" w:hAnsi="Arial Narrow"/>
                <w:bCs/>
                <w:color w:val="333333"/>
                <w:sz w:val="18"/>
                <w:szCs w:val="18"/>
                <w:lang w:val="en-AU" w:eastAsia="en-AU"/>
              </w:rPr>
              <w:t>9</w:t>
            </w:r>
            <w:r>
              <w:rPr>
                <w:rFonts w:ascii="Arial Narrow" w:hAnsi="Arial Narrow"/>
                <w:bCs/>
                <w:color w:val="333333"/>
                <w:sz w:val="18"/>
                <w:szCs w:val="18"/>
                <w:lang w:val="en-AU" w:eastAsia="en-AU"/>
              </w:rPr>
              <w:t xml:space="preserve"> metabolising enzyme status testing.</w:t>
            </w:r>
          </w:p>
        </w:tc>
      </w:tr>
      <w:tr w:rsidR="002411EB" w:rsidRPr="00015BC4" w:rsidTr="008948EA">
        <w:tc>
          <w:tcPr>
            <w:tcW w:w="871" w:type="pct"/>
            <w:vAlign w:val="center"/>
          </w:tcPr>
          <w:p w:rsidR="002411EB" w:rsidRDefault="002411EB" w:rsidP="00081C78">
            <w:pPr>
              <w:jc w:val="center"/>
              <w:rPr>
                <w:rFonts w:ascii="Arial Narrow" w:hAnsi="Arial Narrow"/>
                <w:color w:val="333333"/>
                <w:sz w:val="18"/>
                <w:szCs w:val="18"/>
                <w:lang w:val="en-AU" w:eastAsia="en-AU"/>
              </w:rPr>
            </w:pPr>
          </w:p>
        </w:tc>
        <w:tc>
          <w:tcPr>
            <w:tcW w:w="4129" w:type="pct"/>
            <w:vAlign w:val="center"/>
          </w:tcPr>
          <w:p w:rsidR="002411EB" w:rsidRPr="00E02670" w:rsidRDefault="002411EB" w:rsidP="002411EB">
            <w:pPr>
              <w:rPr>
                <w:rFonts w:ascii="Arial Narrow" w:hAnsi="Arial Narrow"/>
                <w:b/>
                <w:bCs/>
                <w:color w:val="333333"/>
                <w:sz w:val="18"/>
                <w:szCs w:val="18"/>
                <w:lang w:val="en-AU" w:eastAsia="en-AU"/>
              </w:rPr>
            </w:pPr>
            <w:r w:rsidRPr="00E02670">
              <w:rPr>
                <w:rFonts w:ascii="Arial Narrow" w:hAnsi="Arial Narrow"/>
                <w:b/>
                <w:bCs/>
                <w:color w:val="333333"/>
                <w:sz w:val="18"/>
                <w:szCs w:val="18"/>
                <w:lang w:val="en-AU" w:eastAsia="en-AU"/>
              </w:rPr>
              <w:t>Administrative Advice:</w:t>
            </w:r>
          </w:p>
          <w:p w:rsidR="002411EB" w:rsidRPr="002411EB" w:rsidRDefault="00217103" w:rsidP="00217103">
            <w:pPr>
              <w:rPr>
                <w:rFonts w:ascii="Arial Narrow" w:hAnsi="Arial Narrow"/>
                <w:bCs/>
                <w:color w:val="333333"/>
                <w:sz w:val="18"/>
                <w:szCs w:val="18"/>
                <w:lang w:val="en-AU" w:eastAsia="en-AU"/>
              </w:rPr>
            </w:pPr>
            <w:r w:rsidRPr="00217103">
              <w:rPr>
                <w:rFonts w:ascii="Arial Narrow" w:hAnsi="Arial Narrow"/>
                <w:bCs/>
                <w:color w:val="333333"/>
                <w:sz w:val="18"/>
                <w:szCs w:val="18"/>
                <w:lang w:val="en-AU" w:eastAsia="en-AU"/>
              </w:rPr>
              <w:t>For evidence of mild disability in at least 3 functional systems or moderate disability in at least 1 functional system – the functional systems include visual, brain stem, pyramidal, cerebellar, sensory, bowel/bladder, and cerebral/cognitive.</w:t>
            </w:r>
          </w:p>
        </w:tc>
      </w:tr>
      <w:tr w:rsidR="008E7ED5" w:rsidRPr="00015BC4" w:rsidTr="008948EA">
        <w:tc>
          <w:tcPr>
            <w:tcW w:w="871" w:type="pct"/>
          </w:tcPr>
          <w:p w:rsidR="008E7ED5" w:rsidRPr="00015BC4" w:rsidRDefault="008E7ED5" w:rsidP="00081C78">
            <w:pPr>
              <w:jc w:val="center"/>
              <w:rPr>
                <w:rFonts w:ascii="Arial Narrow" w:hAnsi="Arial Narrow"/>
                <w:color w:val="333333"/>
                <w:sz w:val="18"/>
                <w:szCs w:val="18"/>
                <w:lang w:val="en-AU" w:eastAsia="en-AU"/>
              </w:rPr>
            </w:pPr>
          </w:p>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7606</w:t>
            </w:r>
          </w:p>
        </w:tc>
        <w:tc>
          <w:tcPr>
            <w:tcW w:w="4129" w:type="pct"/>
            <w:vAlign w:val="center"/>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Administrative Advice:</w:t>
            </w:r>
          </w:p>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No increase in the maximum quantity or number of units may be authorised.</w:t>
            </w:r>
          </w:p>
        </w:tc>
      </w:tr>
      <w:tr w:rsidR="008E7ED5" w:rsidRPr="00015BC4" w:rsidTr="008948EA">
        <w:tc>
          <w:tcPr>
            <w:tcW w:w="871" w:type="pct"/>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7607</w:t>
            </w:r>
          </w:p>
        </w:tc>
        <w:tc>
          <w:tcPr>
            <w:tcW w:w="4129" w:type="pct"/>
            <w:vAlign w:val="center"/>
          </w:tcPr>
          <w:p w:rsidR="008E7ED5" w:rsidRPr="00015BC4" w:rsidRDefault="00E02670" w:rsidP="00081C78">
            <w:pPr>
              <w:rPr>
                <w:rFonts w:ascii="Arial Narrow" w:hAnsi="Arial Narrow"/>
                <w:color w:val="333333"/>
                <w:sz w:val="18"/>
                <w:szCs w:val="18"/>
                <w:lang w:val="en-AU" w:eastAsia="en-AU"/>
              </w:rPr>
            </w:pPr>
            <w:r w:rsidRPr="00E02670">
              <w:rPr>
                <w:rFonts w:ascii="Arial Narrow" w:hAnsi="Arial Narrow"/>
                <w:b/>
                <w:color w:val="333333"/>
                <w:sz w:val="18"/>
                <w:szCs w:val="18"/>
                <w:lang w:val="en-AU" w:eastAsia="en-AU"/>
              </w:rPr>
              <w:t>Administrative Advice:</w:t>
            </w:r>
            <w:r>
              <w:rPr>
                <w:rFonts w:ascii="Arial Narrow" w:hAnsi="Arial Narrow"/>
                <w:color w:val="333333"/>
                <w:sz w:val="18"/>
                <w:szCs w:val="18"/>
                <w:lang w:val="en-AU" w:eastAsia="en-AU"/>
              </w:rPr>
              <w:t xml:space="preserve"> </w:t>
            </w:r>
            <w:r w:rsidR="008E7ED5" w:rsidRPr="00015BC4">
              <w:rPr>
                <w:rFonts w:ascii="Arial Narrow" w:hAnsi="Arial Narrow"/>
                <w:color w:val="333333"/>
                <w:sz w:val="18"/>
                <w:szCs w:val="18"/>
                <w:lang w:val="en-AU" w:eastAsia="en-AU"/>
              </w:rPr>
              <w:t>No increase in the maximum number of repeats may be authorised.</w:t>
            </w:r>
          </w:p>
        </w:tc>
      </w:tr>
      <w:tr w:rsidR="008E7ED5" w:rsidRPr="00015BC4" w:rsidTr="008948EA">
        <w:tc>
          <w:tcPr>
            <w:tcW w:w="871" w:type="pct"/>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7608</w:t>
            </w:r>
          </w:p>
        </w:tc>
        <w:tc>
          <w:tcPr>
            <w:tcW w:w="4129" w:type="pct"/>
            <w:vAlign w:val="center"/>
          </w:tcPr>
          <w:p w:rsidR="008E7ED5" w:rsidRPr="00E02670" w:rsidRDefault="00E02670"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Administrative Advice:</w:t>
            </w:r>
            <w:r>
              <w:rPr>
                <w:rFonts w:ascii="Arial Narrow" w:hAnsi="Arial Narrow"/>
                <w:color w:val="333333"/>
                <w:sz w:val="18"/>
                <w:szCs w:val="18"/>
                <w:lang w:val="en-AU" w:eastAsia="en-AU"/>
              </w:rPr>
              <w:t xml:space="preserve"> </w:t>
            </w:r>
            <w:r w:rsidR="008E7ED5" w:rsidRPr="00015BC4">
              <w:rPr>
                <w:rFonts w:ascii="Arial Narrow" w:hAnsi="Arial Narrow"/>
                <w:color w:val="333333"/>
                <w:sz w:val="18"/>
                <w:szCs w:val="18"/>
                <w:lang w:val="en-AU" w:eastAsia="en-AU"/>
              </w:rPr>
              <w:t>Special Pricing Arrangements apply.</w:t>
            </w:r>
          </w:p>
        </w:tc>
      </w:tr>
    </w:tbl>
    <w:p w:rsidR="008E7ED5" w:rsidRPr="00015BC4" w:rsidRDefault="008E7ED5" w:rsidP="008E7ED5">
      <w:pPr>
        <w:rPr>
          <w:lang w:val="en-AU" w:eastAsia="en-AU"/>
        </w:rPr>
      </w:pPr>
    </w:p>
    <w:p w:rsidR="008E7ED5" w:rsidRPr="00015BC4" w:rsidRDefault="008E7ED5" w:rsidP="008E7ED5">
      <w:pPr>
        <w:rPr>
          <w:rFonts w:ascii="Arial Narrow" w:hAnsi="Arial Narrow"/>
          <w:b/>
          <w:sz w:val="18"/>
          <w:szCs w:val="18"/>
          <w:lang w:val="en-AU" w:eastAsia="en-AU"/>
        </w:rPr>
      </w:pPr>
      <w:r w:rsidRPr="00015BC4">
        <w:rPr>
          <w:rFonts w:ascii="Arial Narrow" w:hAnsi="Arial Narrow"/>
          <w:b/>
          <w:sz w:val="18"/>
          <w:szCs w:val="18"/>
          <w:lang w:val="en-AU" w:eastAsia="en-AU"/>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7656"/>
      </w:tblGrid>
      <w:tr w:rsidR="008E7ED5" w:rsidRPr="00015BC4" w:rsidTr="00925E85">
        <w:tc>
          <w:tcPr>
            <w:tcW w:w="712" w:type="pct"/>
            <w:vMerge w:val="restart"/>
            <w:tcBorders>
              <w:top w:val="single" w:sz="4" w:space="0" w:color="auto"/>
              <w:left w:val="single" w:sz="4" w:space="0" w:color="auto"/>
              <w:right w:val="single" w:sz="4" w:space="0" w:color="auto"/>
            </w:tcBorders>
          </w:tcPr>
          <w:p w:rsidR="008E7ED5" w:rsidRPr="00015BC4" w:rsidRDefault="008E7ED5" w:rsidP="00081C78">
            <w:pPr>
              <w:jc w:val="center"/>
              <w:rPr>
                <w:rFonts w:ascii="Arial Narrow" w:hAnsi="Arial Narrow" w:cs="Arial"/>
                <w:b/>
                <w:sz w:val="18"/>
                <w:szCs w:val="18"/>
                <w:lang w:val="en-AU" w:eastAsia="en-AU"/>
              </w:rPr>
            </w:pPr>
            <w:r w:rsidRPr="00015BC4">
              <w:rPr>
                <w:rFonts w:ascii="Arial Narrow" w:hAnsi="Arial Narrow" w:cs="Arial"/>
                <w:b/>
                <w:sz w:val="18"/>
                <w:szCs w:val="18"/>
                <w:lang w:val="en-AU" w:eastAsia="en-AU"/>
              </w:rPr>
              <w:t>Concept ID</w:t>
            </w:r>
          </w:p>
          <w:p w:rsidR="008E7ED5" w:rsidRPr="00015BC4" w:rsidRDefault="008E7ED5" w:rsidP="00081C78">
            <w:pPr>
              <w:jc w:val="center"/>
              <w:rPr>
                <w:rFonts w:ascii="Arial Narrow" w:hAnsi="Arial Narrow" w:cs="Arial"/>
                <w:b/>
                <w:sz w:val="18"/>
                <w:szCs w:val="18"/>
                <w:lang w:val="en-AU" w:eastAsia="en-AU"/>
              </w:rPr>
            </w:pPr>
          </w:p>
          <w:p w:rsidR="008E7ED5" w:rsidRPr="00015BC4" w:rsidRDefault="008E7ED5" w:rsidP="00081C78">
            <w:pPr>
              <w:jc w:val="center"/>
              <w:rPr>
                <w:rFonts w:ascii="Arial Narrow" w:hAnsi="Arial Narrow" w:cs="Arial"/>
                <w:sz w:val="18"/>
                <w:szCs w:val="18"/>
                <w:lang w:val="en-AU" w:eastAsia="en-AU"/>
              </w:rPr>
            </w:pPr>
            <w:r w:rsidRPr="00015BC4">
              <w:rPr>
                <w:rFonts w:ascii="Arial Narrow" w:hAnsi="Arial Narrow" w:cs="Arial"/>
                <w:sz w:val="18"/>
                <w:szCs w:val="18"/>
                <w:lang w:val="en-AU" w:eastAsia="en-AU"/>
              </w:rPr>
              <w:t>(for internal Dept. use)</w:t>
            </w:r>
          </w:p>
          <w:p w:rsidR="008E7ED5" w:rsidRPr="00015BC4" w:rsidRDefault="008E7ED5" w:rsidP="00081C78">
            <w:pPr>
              <w:jc w:val="both"/>
              <w:rPr>
                <w:rFonts w:ascii="Arial Narrow" w:hAnsi="Arial Narrow" w:cs="Arial"/>
                <w:b/>
                <w:sz w:val="18"/>
                <w:szCs w:val="18"/>
                <w:lang w:val="en-AU" w:eastAsia="en-AU"/>
              </w:rPr>
            </w:pPr>
          </w:p>
        </w:tc>
        <w:tc>
          <w:tcPr>
            <w:tcW w:w="4288" w:type="pct"/>
            <w:tcBorders>
              <w:top w:val="single" w:sz="4" w:space="0" w:color="auto"/>
              <w:left w:val="single" w:sz="4" w:space="0" w:color="auto"/>
              <w:bottom w:val="single" w:sz="4" w:space="0" w:color="auto"/>
              <w:right w:val="single" w:sz="4" w:space="0" w:color="auto"/>
            </w:tcBorders>
          </w:tcPr>
          <w:p w:rsidR="008E7ED5" w:rsidRPr="00015BC4" w:rsidRDefault="008E7ED5" w:rsidP="00081C78">
            <w:pPr>
              <w:jc w:val="both"/>
              <w:rPr>
                <w:rFonts w:ascii="Arial Narrow" w:hAnsi="Arial Narrow" w:cs="Arial"/>
                <w:sz w:val="18"/>
                <w:szCs w:val="18"/>
                <w:lang w:val="en-AU" w:eastAsia="en-AU"/>
              </w:rPr>
            </w:pPr>
            <w:r w:rsidRPr="00015BC4">
              <w:rPr>
                <w:rFonts w:ascii="Arial Narrow" w:hAnsi="Arial Narrow" w:cs="Arial"/>
                <w:b/>
                <w:sz w:val="18"/>
                <w:szCs w:val="18"/>
                <w:lang w:val="en-AU" w:eastAsia="en-AU"/>
              </w:rPr>
              <w:t xml:space="preserve">Category / Program:   </w:t>
            </w:r>
            <w:r w:rsidRPr="00015BC4">
              <w:rPr>
                <w:rFonts w:ascii="Arial Narrow" w:hAnsi="Arial Narrow" w:cs="Arial"/>
                <w:sz w:val="18"/>
                <w:szCs w:val="18"/>
                <w:lang w:val="en-AU" w:eastAsia="en-AU"/>
              </w:rPr>
              <w:t xml:space="preserve">GENERAL – General Schedule (Code GE) </w:t>
            </w:r>
          </w:p>
        </w:tc>
      </w:tr>
      <w:tr w:rsidR="008E7ED5" w:rsidRPr="00015BC4" w:rsidTr="00925E85">
        <w:trPr>
          <w:trHeight w:val="286"/>
        </w:trPr>
        <w:tc>
          <w:tcPr>
            <w:tcW w:w="712" w:type="pct"/>
            <w:vMerge/>
            <w:tcBorders>
              <w:left w:val="single" w:sz="4" w:space="0" w:color="auto"/>
              <w:right w:val="single" w:sz="4" w:space="0" w:color="auto"/>
            </w:tcBorders>
          </w:tcPr>
          <w:p w:rsidR="008E7ED5" w:rsidRPr="00015BC4" w:rsidRDefault="008E7ED5" w:rsidP="00081C78">
            <w:pPr>
              <w:jc w:val="both"/>
              <w:rPr>
                <w:rFonts w:ascii="Arial Narrow" w:hAnsi="Arial Narrow" w:cs="Arial"/>
                <w:sz w:val="18"/>
                <w:szCs w:val="18"/>
                <w:lang w:val="en-AU" w:eastAsia="en-AU"/>
              </w:rPr>
            </w:pPr>
          </w:p>
        </w:tc>
        <w:tc>
          <w:tcPr>
            <w:tcW w:w="4288" w:type="pct"/>
            <w:tcBorders>
              <w:top w:val="single" w:sz="4" w:space="0" w:color="auto"/>
              <w:left w:val="single" w:sz="4" w:space="0" w:color="auto"/>
              <w:bottom w:val="single" w:sz="4" w:space="0" w:color="auto"/>
              <w:right w:val="single" w:sz="4" w:space="0" w:color="auto"/>
            </w:tcBorders>
          </w:tcPr>
          <w:p w:rsidR="008E7ED5" w:rsidRPr="00015BC4" w:rsidRDefault="008E7ED5" w:rsidP="00925E85">
            <w:pPr>
              <w:jc w:val="both"/>
              <w:rPr>
                <w:rFonts w:ascii="Arial Narrow" w:hAnsi="Arial Narrow" w:cs="Arial"/>
                <w:sz w:val="18"/>
                <w:szCs w:val="18"/>
                <w:lang w:val="en-AU" w:eastAsia="en-AU"/>
              </w:rPr>
            </w:pPr>
            <w:r w:rsidRPr="00015BC4">
              <w:rPr>
                <w:rFonts w:ascii="Arial Narrow" w:hAnsi="Arial Narrow" w:cs="Arial"/>
                <w:b/>
                <w:sz w:val="18"/>
                <w:szCs w:val="18"/>
                <w:lang w:val="en-AU" w:eastAsia="en-AU"/>
              </w:rPr>
              <w:t xml:space="preserve">Prescriber type:  </w:t>
            </w:r>
            <w:r w:rsidRPr="00015BC4">
              <w:rPr>
                <w:rFonts w:ascii="Arial Narrow" w:hAnsi="Arial Narrow" w:cs="Arial"/>
                <w:sz w:val="18"/>
                <w:szCs w:val="18"/>
                <w:lang w:val="en-AU" w:eastAsia="en-AU"/>
              </w:rPr>
              <w:fldChar w:fldCharType="begin">
                <w:ffData>
                  <w:name w:val=""/>
                  <w:enabled/>
                  <w:calcOnExit w:val="0"/>
                  <w:checkBox>
                    <w:sizeAuto/>
                    <w:default w:val="1"/>
                  </w:checkBox>
                </w:ffData>
              </w:fldChar>
            </w:r>
            <w:r w:rsidRPr="00015BC4">
              <w:rPr>
                <w:rFonts w:ascii="Arial Narrow" w:hAnsi="Arial Narrow" w:cs="Arial"/>
                <w:sz w:val="18"/>
                <w:szCs w:val="18"/>
                <w:lang w:val="en-AU" w:eastAsia="en-AU"/>
              </w:rPr>
              <w:instrText xml:space="preserve"> FORMCHECKBOX </w:instrText>
            </w:r>
            <w:r w:rsidR="001B6B57">
              <w:rPr>
                <w:rFonts w:ascii="Arial Narrow" w:hAnsi="Arial Narrow" w:cs="Arial"/>
                <w:sz w:val="18"/>
                <w:szCs w:val="18"/>
                <w:lang w:val="en-AU" w:eastAsia="en-AU"/>
              </w:rPr>
            </w:r>
            <w:r w:rsidR="001B6B57">
              <w:rPr>
                <w:rFonts w:ascii="Arial Narrow" w:hAnsi="Arial Narrow" w:cs="Arial"/>
                <w:sz w:val="18"/>
                <w:szCs w:val="18"/>
                <w:lang w:val="en-AU" w:eastAsia="en-AU"/>
              </w:rPr>
              <w:fldChar w:fldCharType="separate"/>
            </w:r>
            <w:r w:rsidRPr="00015BC4">
              <w:rPr>
                <w:rFonts w:ascii="Arial Narrow" w:hAnsi="Arial Narrow" w:cs="Arial"/>
                <w:sz w:val="18"/>
                <w:szCs w:val="18"/>
                <w:lang w:val="en-AU" w:eastAsia="en-AU"/>
              </w:rPr>
              <w:fldChar w:fldCharType="end"/>
            </w:r>
            <w:r w:rsidRPr="00015BC4">
              <w:rPr>
                <w:rFonts w:ascii="Arial Narrow" w:hAnsi="Arial Narrow" w:cs="Arial"/>
                <w:sz w:val="18"/>
                <w:szCs w:val="18"/>
                <w:lang w:val="en-AU" w:eastAsia="en-AU"/>
              </w:rPr>
              <w:t xml:space="preserve">Medical Practitioners  </w:t>
            </w:r>
          </w:p>
        </w:tc>
      </w:tr>
      <w:tr w:rsidR="008E7ED5" w:rsidRPr="00015BC4" w:rsidTr="00925E85">
        <w:tc>
          <w:tcPr>
            <w:tcW w:w="712" w:type="pct"/>
            <w:vMerge/>
            <w:tcBorders>
              <w:left w:val="single" w:sz="4" w:space="0" w:color="auto"/>
              <w:right w:val="single" w:sz="4" w:space="0" w:color="auto"/>
            </w:tcBorders>
          </w:tcPr>
          <w:p w:rsidR="008E7ED5" w:rsidRPr="00015BC4" w:rsidRDefault="008E7ED5" w:rsidP="00081C78">
            <w:pPr>
              <w:jc w:val="both"/>
              <w:rPr>
                <w:rFonts w:ascii="Arial Narrow" w:hAnsi="Arial Narrow" w:cs="Arial"/>
                <w:sz w:val="18"/>
                <w:szCs w:val="18"/>
                <w:lang w:val="en-AU" w:eastAsia="en-AU"/>
              </w:rPr>
            </w:pPr>
          </w:p>
        </w:tc>
        <w:tc>
          <w:tcPr>
            <w:tcW w:w="4288" w:type="pct"/>
            <w:tcBorders>
              <w:top w:val="single" w:sz="4" w:space="0" w:color="auto"/>
              <w:left w:val="single" w:sz="4" w:space="0" w:color="auto"/>
              <w:bottom w:val="single" w:sz="4" w:space="0" w:color="auto"/>
              <w:right w:val="single" w:sz="4" w:space="0" w:color="auto"/>
            </w:tcBorders>
          </w:tcPr>
          <w:p w:rsidR="008E7ED5" w:rsidRPr="00015BC4" w:rsidRDefault="008E7ED5" w:rsidP="00925E85">
            <w:pPr>
              <w:jc w:val="both"/>
              <w:rPr>
                <w:rFonts w:ascii="Arial Narrow" w:hAnsi="Arial Narrow" w:cs="Arial"/>
                <w:b/>
                <w:sz w:val="18"/>
                <w:szCs w:val="18"/>
                <w:lang w:val="en-AU" w:eastAsia="en-AU"/>
              </w:rPr>
            </w:pPr>
            <w:r w:rsidRPr="00015BC4">
              <w:rPr>
                <w:rFonts w:ascii="Arial Narrow" w:hAnsi="Arial Narrow" w:cs="Arial"/>
                <w:b/>
                <w:sz w:val="18"/>
                <w:szCs w:val="18"/>
                <w:lang w:val="en-AU" w:eastAsia="en-AU"/>
              </w:rPr>
              <w:t xml:space="preserve">Restriction </w:t>
            </w:r>
            <w:r w:rsidR="00925E85">
              <w:rPr>
                <w:rFonts w:ascii="Arial Narrow" w:hAnsi="Arial Narrow" w:cs="Arial"/>
                <w:b/>
                <w:sz w:val="18"/>
                <w:szCs w:val="18"/>
                <w:lang w:val="en-AU" w:eastAsia="en-AU"/>
              </w:rPr>
              <w:t xml:space="preserve">type </w:t>
            </w:r>
            <w:r w:rsidRPr="00015BC4">
              <w:rPr>
                <w:rFonts w:ascii="Arial Narrow" w:hAnsi="Arial Narrow" w:cs="Arial"/>
                <w:b/>
                <w:sz w:val="18"/>
                <w:szCs w:val="18"/>
                <w:lang w:val="en-AU" w:eastAsia="en-AU"/>
              </w:rPr>
              <w:t xml:space="preserve">/ Method: </w:t>
            </w:r>
            <w:r w:rsidRPr="00015BC4">
              <w:rPr>
                <w:rFonts w:ascii="Arial Narrow" w:hAnsi="Arial Narrow" w:cs="Arial"/>
                <w:sz w:val="18"/>
                <w:szCs w:val="18"/>
                <w:lang w:val="en-AU" w:eastAsia="en-AU"/>
              </w:rPr>
              <w:fldChar w:fldCharType="begin">
                <w:ffData>
                  <w:name w:val=""/>
                  <w:enabled/>
                  <w:calcOnExit w:val="0"/>
                  <w:checkBox>
                    <w:sizeAuto/>
                    <w:default w:val="1"/>
                  </w:checkBox>
                </w:ffData>
              </w:fldChar>
            </w:r>
            <w:r w:rsidRPr="00015BC4">
              <w:rPr>
                <w:rFonts w:ascii="Arial Narrow" w:hAnsi="Arial Narrow" w:cs="Arial"/>
                <w:sz w:val="18"/>
                <w:szCs w:val="18"/>
                <w:lang w:val="en-AU" w:eastAsia="en-AU"/>
              </w:rPr>
              <w:instrText xml:space="preserve"> FORMCHECKBOX </w:instrText>
            </w:r>
            <w:r w:rsidR="001B6B57">
              <w:rPr>
                <w:rFonts w:ascii="Arial Narrow" w:hAnsi="Arial Narrow" w:cs="Arial"/>
                <w:sz w:val="18"/>
                <w:szCs w:val="18"/>
                <w:lang w:val="en-AU" w:eastAsia="en-AU"/>
              </w:rPr>
            </w:r>
            <w:r w:rsidR="001B6B57">
              <w:rPr>
                <w:rFonts w:ascii="Arial Narrow" w:hAnsi="Arial Narrow" w:cs="Arial"/>
                <w:sz w:val="18"/>
                <w:szCs w:val="18"/>
                <w:lang w:val="en-AU" w:eastAsia="en-AU"/>
              </w:rPr>
              <w:fldChar w:fldCharType="separate"/>
            </w:r>
            <w:r w:rsidRPr="00015BC4">
              <w:rPr>
                <w:rFonts w:ascii="Arial Narrow" w:hAnsi="Arial Narrow" w:cs="Arial"/>
                <w:sz w:val="18"/>
                <w:szCs w:val="18"/>
                <w:lang w:val="en-AU" w:eastAsia="en-AU"/>
              </w:rPr>
              <w:fldChar w:fldCharType="end"/>
            </w:r>
            <w:r w:rsidRPr="00015BC4">
              <w:rPr>
                <w:rFonts w:ascii="Arial Narrow" w:hAnsi="Arial Narrow" w:cs="Arial"/>
                <w:sz w:val="18"/>
                <w:szCs w:val="18"/>
                <w:lang w:val="en-AU" w:eastAsia="en-AU"/>
              </w:rPr>
              <w:t>Authority Required – Streamlined ( new code )</w:t>
            </w:r>
          </w:p>
        </w:tc>
      </w:tr>
      <w:tr w:rsidR="008E7ED5" w:rsidRPr="00015BC4" w:rsidTr="00925E85">
        <w:trPr>
          <w:trHeight w:val="212"/>
        </w:trPr>
        <w:tc>
          <w:tcPr>
            <w:tcW w:w="712" w:type="pct"/>
            <w:vMerge/>
            <w:tcBorders>
              <w:left w:val="single" w:sz="4" w:space="0" w:color="auto"/>
              <w:right w:val="single" w:sz="4" w:space="0" w:color="auto"/>
            </w:tcBorders>
            <w:vAlign w:val="center"/>
          </w:tcPr>
          <w:p w:rsidR="008E7ED5" w:rsidRPr="00015BC4" w:rsidRDefault="008E7ED5" w:rsidP="00081C78">
            <w:pPr>
              <w:jc w:val="center"/>
              <w:rPr>
                <w:rFonts w:ascii="Arial Narrow" w:hAnsi="Arial Narrow"/>
                <w:color w:val="333333"/>
                <w:sz w:val="18"/>
                <w:szCs w:val="18"/>
                <w:lang w:val="en-AU" w:eastAsia="en-AU"/>
              </w:rPr>
            </w:pPr>
          </w:p>
        </w:tc>
        <w:tc>
          <w:tcPr>
            <w:tcW w:w="4288" w:type="pct"/>
            <w:tcBorders>
              <w:left w:val="single" w:sz="4" w:space="0" w:color="auto"/>
            </w:tcBorders>
            <w:vAlign w:val="center"/>
          </w:tcPr>
          <w:p w:rsidR="008E7ED5" w:rsidRPr="00015BC4" w:rsidRDefault="008E7ED5" w:rsidP="00081C78">
            <w:pPr>
              <w:rPr>
                <w:rFonts w:ascii="Arial Narrow" w:hAnsi="Arial Narrow"/>
                <w:bCs/>
                <w:i/>
                <w:color w:val="333333"/>
                <w:sz w:val="18"/>
                <w:szCs w:val="18"/>
                <w:lang w:val="en-AU" w:eastAsia="en-AU"/>
              </w:rPr>
            </w:pPr>
            <w:r w:rsidRPr="00015BC4">
              <w:rPr>
                <w:rFonts w:ascii="Arial Narrow" w:hAnsi="Arial Narrow"/>
                <w:b/>
                <w:bCs/>
                <w:color w:val="333333"/>
                <w:sz w:val="18"/>
                <w:szCs w:val="18"/>
                <w:lang w:val="en-AU" w:eastAsia="en-AU"/>
              </w:rPr>
              <w:t>Episodicity:</w:t>
            </w:r>
            <w:r w:rsidRPr="00015BC4">
              <w:rPr>
                <w:rFonts w:ascii="Arial Narrow" w:hAnsi="Arial Narrow"/>
                <w:bCs/>
                <w:color w:val="333333"/>
                <w:sz w:val="18"/>
                <w:szCs w:val="18"/>
                <w:lang w:val="en-AU" w:eastAsia="en-AU"/>
              </w:rPr>
              <w:t xml:space="preserve"> </w:t>
            </w:r>
            <w:r w:rsidR="00925E85">
              <w:rPr>
                <w:rFonts w:ascii="Arial Narrow" w:hAnsi="Arial Narrow"/>
                <w:bCs/>
                <w:color w:val="333333"/>
                <w:sz w:val="18"/>
                <w:szCs w:val="18"/>
                <w:lang w:val="en-AU" w:eastAsia="en-AU"/>
              </w:rPr>
              <w:t>[blank]</w:t>
            </w:r>
          </w:p>
        </w:tc>
      </w:tr>
      <w:tr w:rsidR="008E7ED5" w:rsidRPr="00015BC4" w:rsidTr="00925E85">
        <w:trPr>
          <w:trHeight w:val="212"/>
        </w:trPr>
        <w:tc>
          <w:tcPr>
            <w:tcW w:w="712" w:type="pct"/>
            <w:vMerge/>
            <w:tcBorders>
              <w:left w:val="single" w:sz="4" w:space="0" w:color="auto"/>
              <w:right w:val="single" w:sz="4" w:space="0" w:color="auto"/>
            </w:tcBorders>
            <w:vAlign w:val="center"/>
          </w:tcPr>
          <w:p w:rsidR="008E7ED5" w:rsidRPr="00015BC4" w:rsidRDefault="008E7ED5" w:rsidP="00081C78">
            <w:pPr>
              <w:jc w:val="center"/>
              <w:rPr>
                <w:rFonts w:ascii="Arial Narrow" w:hAnsi="Arial Narrow"/>
                <w:color w:val="333333"/>
                <w:sz w:val="18"/>
                <w:szCs w:val="18"/>
                <w:lang w:val="en-AU" w:eastAsia="en-AU"/>
              </w:rPr>
            </w:pPr>
          </w:p>
        </w:tc>
        <w:tc>
          <w:tcPr>
            <w:tcW w:w="4288" w:type="pct"/>
            <w:tcBorders>
              <w:left w:val="single" w:sz="4" w:space="0" w:color="auto"/>
            </w:tcBorders>
            <w:vAlign w:val="center"/>
          </w:tcPr>
          <w:p w:rsidR="008E7ED5" w:rsidRPr="00015BC4" w:rsidRDefault="008E7ED5" w:rsidP="00757380">
            <w:pPr>
              <w:rPr>
                <w:rFonts w:ascii="Arial Narrow" w:hAnsi="Arial Narrow"/>
                <w:bCs/>
                <w:i/>
                <w:color w:val="333333"/>
                <w:sz w:val="18"/>
                <w:szCs w:val="18"/>
                <w:lang w:val="en-AU" w:eastAsia="en-AU"/>
              </w:rPr>
            </w:pPr>
            <w:r w:rsidRPr="00015BC4">
              <w:rPr>
                <w:rFonts w:ascii="Arial Narrow" w:hAnsi="Arial Narrow"/>
                <w:b/>
                <w:bCs/>
                <w:color w:val="333333"/>
                <w:sz w:val="18"/>
                <w:szCs w:val="18"/>
                <w:lang w:val="en-AU" w:eastAsia="en-AU"/>
              </w:rPr>
              <w:t xml:space="preserve">Severity: </w:t>
            </w:r>
            <w:r w:rsidR="00757380">
              <w:rPr>
                <w:rFonts w:ascii="Arial Narrow" w:hAnsi="Arial Narrow"/>
                <w:b/>
                <w:bCs/>
                <w:color w:val="333333"/>
                <w:sz w:val="18"/>
                <w:szCs w:val="18"/>
                <w:lang w:val="en-AU" w:eastAsia="en-AU"/>
              </w:rPr>
              <w:t>[blank]</w:t>
            </w:r>
          </w:p>
        </w:tc>
      </w:tr>
      <w:tr w:rsidR="008E7ED5" w:rsidRPr="00015BC4" w:rsidTr="00757380">
        <w:trPr>
          <w:trHeight w:val="227"/>
        </w:trPr>
        <w:tc>
          <w:tcPr>
            <w:tcW w:w="712" w:type="pct"/>
            <w:vMerge/>
            <w:tcBorders>
              <w:left w:val="single" w:sz="4" w:space="0" w:color="auto"/>
              <w:right w:val="single" w:sz="4" w:space="0" w:color="auto"/>
            </w:tcBorders>
            <w:vAlign w:val="center"/>
          </w:tcPr>
          <w:p w:rsidR="008E7ED5" w:rsidRPr="00015BC4" w:rsidRDefault="008E7ED5" w:rsidP="00081C78">
            <w:pPr>
              <w:jc w:val="center"/>
              <w:rPr>
                <w:rFonts w:ascii="Arial Narrow" w:hAnsi="Arial Narrow"/>
                <w:color w:val="333333"/>
                <w:sz w:val="18"/>
                <w:szCs w:val="18"/>
                <w:lang w:val="en-AU" w:eastAsia="en-AU"/>
              </w:rPr>
            </w:pPr>
          </w:p>
        </w:tc>
        <w:tc>
          <w:tcPr>
            <w:tcW w:w="4288" w:type="pct"/>
            <w:tcBorders>
              <w:left w:val="single" w:sz="4" w:space="0" w:color="auto"/>
            </w:tcBorders>
            <w:vAlign w:val="center"/>
          </w:tcPr>
          <w:p w:rsidR="008E7ED5" w:rsidRPr="00015BC4" w:rsidRDefault="008E7ED5" w:rsidP="00081C78">
            <w:pPr>
              <w:rPr>
                <w:rFonts w:ascii="Arial Narrow" w:hAnsi="Arial Narrow"/>
                <w:b/>
                <w:bCs/>
                <w:color w:val="333333"/>
                <w:sz w:val="18"/>
                <w:szCs w:val="18"/>
                <w:lang w:val="en-AU" w:eastAsia="en-AU"/>
              </w:rPr>
            </w:pPr>
            <w:r w:rsidRPr="00015BC4">
              <w:rPr>
                <w:rFonts w:ascii="Arial Narrow" w:hAnsi="Arial Narrow"/>
                <w:b/>
                <w:bCs/>
                <w:color w:val="333333"/>
                <w:sz w:val="18"/>
                <w:szCs w:val="18"/>
                <w:lang w:val="en-AU" w:eastAsia="en-AU"/>
              </w:rPr>
              <w:t xml:space="preserve">Condition: </w:t>
            </w:r>
            <w:r w:rsidR="00757380">
              <w:rPr>
                <w:rFonts w:ascii="Arial Narrow" w:hAnsi="Arial Narrow"/>
                <w:bCs/>
                <w:color w:val="333333"/>
                <w:sz w:val="18"/>
                <w:szCs w:val="18"/>
                <w:lang w:val="en-AU" w:eastAsia="en-AU"/>
              </w:rPr>
              <w:t>M</w:t>
            </w:r>
            <w:r w:rsidRPr="00015BC4">
              <w:rPr>
                <w:rFonts w:ascii="Arial Narrow" w:hAnsi="Arial Narrow"/>
                <w:bCs/>
                <w:color w:val="333333"/>
                <w:sz w:val="18"/>
                <w:szCs w:val="18"/>
                <w:lang w:val="en-AU" w:eastAsia="en-AU"/>
              </w:rPr>
              <w:t>ultiple sclerosis</w:t>
            </w:r>
          </w:p>
        </w:tc>
      </w:tr>
      <w:tr w:rsidR="008E7ED5" w:rsidRPr="00015BC4" w:rsidTr="00925E85">
        <w:tc>
          <w:tcPr>
            <w:tcW w:w="712" w:type="pct"/>
            <w:vAlign w:val="center"/>
            <w:hideMark/>
          </w:tcPr>
          <w:p w:rsidR="008E7ED5" w:rsidRPr="00015BC4" w:rsidRDefault="008E7ED5" w:rsidP="00757380">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9504</w:t>
            </w:r>
            <w:r w:rsidR="00925E85">
              <w:rPr>
                <w:rFonts w:ascii="Arial Narrow" w:hAnsi="Arial Narrow"/>
                <w:color w:val="333333"/>
                <w:sz w:val="18"/>
                <w:szCs w:val="18"/>
                <w:lang w:val="en-AU" w:eastAsia="en-AU"/>
              </w:rPr>
              <w:t xml:space="preserve"> </w:t>
            </w:r>
          </w:p>
        </w:tc>
        <w:tc>
          <w:tcPr>
            <w:tcW w:w="4288"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Indication:</w:t>
            </w:r>
            <w:r w:rsidRPr="00015BC4">
              <w:rPr>
                <w:rFonts w:ascii="Arial Narrow" w:hAnsi="Arial Narrow"/>
                <w:color w:val="333333"/>
                <w:sz w:val="18"/>
                <w:szCs w:val="18"/>
                <w:lang w:val="en-AU" w:eastAsia="en-AU"/>
              </w:rPr>
              <w:t xml:space="preserve"> Multiple sclerosis</w:t>
            </w:r>
          </w:p>
        </w:tc>
      </w:tr>
      <w:tr w:rsidR="008E7ED5" w:rsidRPr="00015BC4" w:rsidTr="00925E85">
        <w:tc>
          <w:tcPr>
            <w:tcW w:w="712" w:type="pct"/>
            <w:vAlign w:val="center"/>
            <w:hideMark/>
          </w:tcPr>
          <w:p w:rsidR="008E7ED5" w:rsidRPr="00015BC4" w:rsidRDefault="008E7ED5" w:rsidP="00081C78">
            <w:pPr>
              <w:jc w:val="center"/>
              <w:rPr>
                <w:rFonts w:ascii="Arial Narrow" w:hAnsi="Arial Narrow"/>
                <w:color w:val="333333"/>
                <w:sz w:val="18"/>
                <w:szCs w:val="18"/>
                <w:lang w:val="en-AU" w:eastAsia="en-AU"/>
              </w:rPr>
            </w:pPr>
          </w:p>
        </w:tc>
        <w:tc>
          <w:tcPr>
            <w:tcW w:w="4288"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Treatment Phase:</w:t>
            </w:r>
            <w:r w:rsidRPr="00015BC4">
              <w:rPr>
                <w:rFonts w:ascii="Arial Narrow" w:hAnsi="Arial Narrow"/>
                <w:color w:val="333333"/>
                <w:sz w:val="18"/>
                <w:szCs w:val="18"/>
                <w:lang w:val="en-AU" w:eastAsia="en-AU"/>
              </w:rPr>
              <w:t xml:space="preserve"> Continuing treatment</w:t>
            </w:r>
            <w:r w:rsidR="00925E85">
              <w:rPr>
                <w:rFonts w:ascii="Arial Narrow" w:hAnsi="Arial Narrow"/>
                <w:color w:val="333333"/>
                <w:sz w:val="18"/>
                <w:szCs w:val="18"/>
                <w:lang w:val="en-AU" w:eastAsia="en-AU"/>
              </w:rPr>
              <w:t xml:space="preserve"> (including recommence</w:t>
            </w:r>
            <w:r w:rsidR="00011999">
              <w:rPr>
                <w:rFonts w:ascii="Arial Narrow" w:hAnsi="Arial Narrow"/>
                <w:color w:val="333333"/>
                <w:sz w:val="18"/>
                <w:szCs w:val="18"/>
                <w:lang w:val="en-AU" w:eastAsia="en-AU"/>
              </w:rPr>
              <w:t>me</w:t>
            </w:r>
            <w:r w:rsidR="00925E85">
              <w:rPr>
                <w:rFonts w:ascii="Arial Narrow" w:hAnsi="Arial Narrow"/>
                <w:color w:val="333333"/>
                <w:sz w:val="18"/>
                <w:szCs w:val="18"/>
                <w:lang w:val="en-AU" w:eastAsia="en-AU"/>
              </w:rPr>
              <w:t>nt of treatment)</w:t>
            </w:r>
          </w:p>
        </w:tc>
      </w:tr>
      <w:tr w:rsidR="008E7ED5" w:rsidRPr="00015BC4" w:rsidTr="00925E85">
        <w:tc>
          <w:tcPr>
            <w:tcW w:w="712" w:type="pct"/>
            <w:vAlign w:val="center"/>
            <w:hideMark/>
          </w:tcPr>
          <w:p w:rsidR="008E7ED5" w:rsidRPr="00015BC4" w:rsidRDefault="008E7ED5" w:rsidP="00081C78">
            <w:pPr>
              <w:jc w:val="center"/>
              <w:rPr>
                <w:rFonts w:ascii="Arial Narrow" w:hAnsi="Arial Narrow"/>
                <w:color w:val="333333"/>
                <w:sz w:val="18"/>
                <w:szCs w:val="18"/>
                <w:lang w:val="en-AU" w:eastAsia="en-AU"/>
              </w:rPr>
            </w:pPr>
          </w:p>
        </w:tc>
        <w:tc>
          <w:tcPr>
            <w:tcW w:w="4288"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Clinical criteria:</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20585</w:t>
            </w:r>
          </w:p>
        </w:tc>
        <w:tc>
          <w:tcPr>
            <w:tcW w:w="4288"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The treatment must be a sole PBS-subsidised disease modifying therapy for this condition</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p>
        </w:tc>
        <w:tc>
          <w:tcPr>
            <w:tcW w:w="4288"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AND</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11364</w:t>
            </w:r>
          </w:p>
        </w:tc>
        <w:tc>
          <w:tcPr>
            <w:tcW w:w="4288"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Patient must have previously received PBS-subsidised treatment with this drug for this condition</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p>
        </w:tc>
        <w:tc>
          <w:tcPr>
            <w:tcW w:w="4288"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AND</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9514</w:t>
            </w:r>
          </w:p>
        </w:tc>
        <w:tc>
          <w:tcPr>
            <w:tcW w:w="4288" w:type="pct"/>
            <w:vAlign w:val="center"/>
          </w:tcPr>
          <w:p w:rsidR="008E7ED5" w:rsidRPr="00015BC4" w:rsidRDefault="008E7ED5" w:rsidP="00081C78">
            <w:pPr>
              <w:rPr>
                <w:rFonts w:ascii="Arial Narrow" w:hAnsi="Arial Narrow"/>
                <w:bCs/>
                <w:color w:val="333333"/>
                <w:sz w:val="18"/>
                <w:szCs w:val="18"/>
                <w:lang w:val="en-AU" w:eastAsia="en-AU"/>
              </w:rPr>
            </w:pPr>
            <w:r w:rsidRPr="00015BC4">
              <w:rPr>
                <w:rFonts w:ascii="Arial Narrow" w:hAnsi="Arial Narrow"/>
                <w:bCs/>
                <w:color w:val="333333"/>
                <w:sz w:val="18"/>
                <w:szCs w:val="18"/>
                <w:lang w:val="en-AU" w:eastAsia="en-AU"/>
              </w:rPr>
              <w:t>Patient must not show continuing progression of disability while on treatment with this drug</w:t>
            </w:r>
          </w:p>
        </w:tc>
      </w:tr>
      <w:tr w:rsidR="004E3173" w:rsidRPr="00015BC4" w:rsidTr="00925E85">
        <w:tc>
          <w:tcPr>
            <w:tcW w:w="712" w:type="pct"/>
            <w:vAlign w:val="center"/>
          </w:tcPr>
          <w:p w:rsidR="004E3173" w:rsidRPr="00015BC4" w:rsidRDefault="004E3173" w:rsidP="00081C78">
            <w:pPr>
              <w:jc w:val="center"/>
              <w:rPr>
                <w:rFonts w:ascii="Arial Narrow" w:hAnsi="Arial Narrow"/>
                <w:color w:val="333333"/>
                <w:sz w:val="18"/>
                <w:szCs w:val="18"/>
                <w:lang w:val="en-AU" w:eastAsia="en-AU"/>
              </w:rPr>
            </w:pPr>
          </w:p>
        </w:tc>
        <w:tc>
          <w:tcPr>
            <w:tcW w:w="4288" w:type="pct"/>
            <w:vAlign w:val="center"/>
          </w:tcPr>
          <w:p w:rsidR="004E3173" w:rsidRPr="00015BC4" w:rsidRDefault="004E3173" w:rsidP="00081C78">
            <w:pPr>
              <w:rPr>
                <w:rFonts w:ascii="Arial Narrow" w:hAnsi="Arial Narrow"/>
                <w:b/>
                <w:bCs/>
                <w:color w:val="333333"/>
                <w:sz w:val="18"/>
                <w:szCs w:val="18"/>
                <w:lang w:val="en-AU" w:eastAsia="en-AU"/>
              </w:rPr>
            </w:pPr>
            <w:r w:rsidRPr="00015BC4">
              <w:rPr>
                <w:rFonts w:ascii="Arial Narrow" w:hAnsi="Arial Narrow"/>
                <w:b/>
                <w:bCs/>
                <w:color w:val="333333"/>
                <w:sz w:val="18"/>
                <w:szCs w:val="18"/>
                <w:lang w:val="en-AU" w:eastAsia="en-AU"/>
              </w:rPr>
              <w:t>AND</w:t>
            </w:r>
          </w:p>
        </w:tc>
      </w:tr>
      <w:tr w:rsidR="004E3173" w:rsidRPr="00015BC4" w:rsidTr="00925E85">
        <w:tc>
          <w:tcPr>
            <w:tcW w:w="712" w:type="pct"/>
            <w:vAlign w:val="center"/>
          </w:tcPr>
          <w:p w:rsidR="00925E85" w:rsidRPr="00925E85" w:rsidRDefault="00925E85" w:rsidP="00925E85">
            <w:pPr>
              <w:jc w:val="center"/>
              <w:rPr>
                <w:rFonts w:ascii="Arial Narrow" w:hAnsi="Arial Narrow"/>
                <w:color w:val="333333"/>
                <w:sz w:val="18"/>
                <w:szCs w:val="18"/>
                <w:lang w:val="en-AU" w:eastAsia="en-AU"/>
              </w:rPr>
            </w:pPr>
            <w:r w:rsidRPr="00925E85">
              <w:rPr>
                <w:rFonts w:ascii="Arial Narrow" w:hAnsi="Arial Narrow"/>
                <w:color w:val="333333"/>
                <w:sz w:val="18"/>
                <w:szCs w:val="18"/>
                <w:lang w:val="en-AU" w:eastAsia="en-AU"/>
              </w:rPr>
              <w:t xml:space="preserve">New </w:t>
            </w:r>
          </w:p>
          <w:p w:rsidR="004E3173" w:rsidRPr="00015BC4" w:rsidRDefault="00925E85" w:rsidP="00925E85">
            <w:pPr>
              <w:jc w:val="center"/>
              <w:rPr>
                <w:rFonts w:ascii="Arial Narrow" w:hAnsi="Arial Narrow"/>
                <w:color w:val="333333"/>
                <w:sz w:val="18"/>
                <w:szCs w:val="18"/>
                <w:lang w:val="en-AU" w:eastAsia="en-AU"/>
              </w:rPr>
            </w:pPr>
            <w:r w:rsidRPr="00925E85">
              <w:rPr>
                <w:rFonts w:ascii="Arial Narrow" w:hAnsi="Arial Narrow"/>
                <w:color w:val="333333"/>
                <w:sz w:val="18"/>
                <w:szCs w:val="18"/>
                <w:lang w:val="en-AU" w:eastAsia="en-AU"/>
              </w:rPr>
              <w:t>(9511 variation)</w:t>
            </w:r>
          </w:p>
        </w:tc>
        <w:tc>
          <w:tcPr>
            <w:tcW w:w="4288" w:type="pct"/>
            <w:vAlign w:val="center"/>
          </w:tcPr>
          <w:p w:rsidR="004E3173" w:rsidRPr="00015BC4" w:rsidRDefault="004E3173" w:rsidP="00081C78">
            <w:pPr>
              <w:rPr>
                <w:rFonts w:ascii="Arial Narrow" w:hAnsi="Arial Narrow"/>
                <w:bCs/>
                <w:color w:val="333333"/>
                <w:sz w:val="18"/>
                <w:szCs w:val="18"/>
                <w:lang w:val="en-AU" w:eastAsia="en-AU"/>
              </w:rPr>
            </w:pPr>
            <w:r w:rsidRPr="00015BC4">
              <w:rPr>
                <w:rFonts w:ascii="Arial Narrow" w:hAnsi="Arial Narrow"/>
                <w:bCs/>
                <w:color w:val="333333"/>
                <w:sz w:val="18"/>
                <w:szCs w:val="18"/>
                <w:lang w:val="en-AU" w:eastAsia="en-AU"/>
              </w:rPr>
              <w:t>Patient must be ambulatory</w:t>
            </w:r>
            <w:r w:rsidRPr="00015BC4">
              <w:rPr>
                <w:rFonts w:ascii="Arial Narrow" w:hAnsi="Arial Narrow"/>
                <w:bCs/>
                <w:i/>
                <w:color w:val="333333"/>
                <w:sz w:val="18"/>
                <w:szCs w:val="18"/>
                <w:lang w:val="en-AU" w:eastAsia="en-AU"/>
              </w:rPr>
              <w:t>,</w:t>
            </w:r>
            <w:r w:rsidRPr="00015BC4">
              <w:rPr>
                <w:rFonts w:ascii="Arial Narrow" w:hAnsi="Arial Narrow"/>
                <w:bCs/>
                <w:color w:val="333333"/>
                <w:sz w:val="18"/>
                <w:szCs w:val="18"/>
                <w:lang w:val="en-AU" w:eastAsia="en-AU"/>
              </w:rPr>
              <w:t xml:space="preserve"> with</w:t>
            </w:r>
            <w:r w:rsidRPr="00015BC4">
              <w:rPr>
                <w:rFonts w:ascii="Arial Narrow" w:hAnsi="Arial Narrow"/>
                <w:bCs/>
                <w:i/>
                <w:color w:val="333333"/>
                <w:sz w:val="18"/>
                <w:szCs w:val="18"/>
                <w:lang w:val="en-AU" w:eastAsia="en-AU"/>
              </w:rPr>
              <w:t>/</w:t>
            </w:r>
            <w:r w:rsidRPr="00015BC4">
              <w:rPr>
                <w:rFonts w:ascii="Arial Narrow" w:hAnsi="Arial Narrow"/>
                <w:bCs/>
                <w:color w:val="333333"/>
                <w:sz w:val="18"/>
                <w:szCs w:val="18"/>
                <w:lang w:val="en-AU" w:eastAsia="en-AU"/>
              </w:rPr>
              <w:t>without assistance</w:t>
            </w:r>
            <w:r w:rsidRPr="00015BC4">
              <w:rPr>
                <w:rFonts w:ascii="Arial Narrow" w:hAnsi="Arial Narrow"/>
                <w:bCs/>
                <w:i/>
                <w:color w:val="333333"/>
                <w:sz w:val="18"/>
                <w:szCs w:val="18"/>
                <w:lang w:val="en-AU" w:eastAsia="en-AU"/>
              </w:rPr>
              <w:t>/</w:t>
            </w:r>
            <w:r w:rsidRPr="00015BC4">
              <w:rPr>
                <w:rFonts w:ascii="Arial Narrow" w:hAnsi="Arial Narrow"/>
                <w:bCs/>
                <w:color w:val="333333"/>
                <w:sz w:val="18"/>
                <w:szCs w:val="18"/>
                <w:lang w:val="en-AU" w:eastAsia="en-AU"/>
              </w:rPr>
              <w:t>support</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p>
        </w:tc>
        <w:tc>
          <w:tcPr>
            <w:tcW w:w="4288" w:type="pct"/>
            <w:vAlign w:val="center"/>
          </w:tcPr>
          <w:p w:rsidR="008E7ED5" w:rsidRPr="00015BC4" w:rsidRDefault="008E7ED5" w:rsidP="00081C78">
            <w:pPr>
              <w:rPr>
                <w:rFonts w:ascii="Arial Narrow" w:hAnsi="Arial Narrow"/>
                <w:bCs/>
                <w:color w:val="333333"/>
                <w:sz w:val="18"/>
                <w:szCs w:val="18"/>
                <w:lang w:val="en-AU" w:eastAsia="en-AU"/>
              </w:rPr>
            </w:pPr>
            <w:r w:rsidRPr="00015BC4">
              <w:rPr>
                <w:rFonts w:ascii="Arial Narrow" w:hAnsi="Arial Narrow"/>
                <w:b/>
                <w:bCs/>
                <w:color w:val="333333"/>
                <w:sz w:val="18"/>
                <w:szCs w:val="18"/>
                <w:lang w:val="en-AU" w:eastAsia="en-AU"/>
              </w:rPr>
              <w:t>AND</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10876</w:t>
            </w:r>
          </w:p>
        </w:tc>
        <w:tc>
          <w:tcPr>
            <w:tcW w:w="4288" w:type="pct"/>
            <w:vAlign w:val="center"/>
          </w:tcPr>
          <w:p w:rsidR="008E7ED5" w:rsidRPr="00015BC4" w:rsidRDefault="008E7ED5" w:rsidP="00081C78">
            <w:pPr>
              <w:rPr>
                <w:rFonts w:ascii="Arial Narrow" w:hAnsi="Arial Narrow"/>
                <w:bCs/>
                <w:color w:val="333333"/>
                <w:sz w:val="18"/>
                <w:szCs w:val="18"/>
                <w:lang w:val="en-AU" w:eastAsia="en-AU"/>
              </w:rPr>
            </w:pPr>
            <w:r w:rsidRPr="00015BC4">
              <w:rPr>
                <w:rFonts w:ascii="Arial Narrow" w:hAnsi="Arial Narrow"/>
                <w:bCs/>
                <w:color w:val="333333"/>
                <w:sz w:val="18"/>
                <w:szCs w:val="18"/>
                <w:lang w:val="en-AU" w:eastAsia="en-AU"/>
              </w:rPr>
              <w:t>Patient must have demonstrated compliance with, and an ability to tolerate this therapy</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7606</w:t>
            </w:r>
          </w:p>
        </w:tc>
        <w:tc>
          <w:tcPr>
            <w:tcW w:w="4288" w:type="pct"/>
            <w:vAlign w:val="center"/>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Administrative Advice:</w:t>
            </w:r>
          </w:p>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No increase in the maximum quantity or number of units may be authorised.</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7607</w:t>
            </w:r>
          </w:p>
        </w:tc>
        <w:tc>
          <w:tcPr>
            <w:tcW w:w="4288" w:type="pct"/>
            <w:vAlign w:val="center"/>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No increase in the maximum number of repeats may be authorised.</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7608</w:t>
            </w:r>
          </w:p>
        </w:tc>
        <w:tc>
          <w:tcPr>
            <w:tcW w:w="4288" w:type="pct"/>
            <w:vAlign w:val="center"/>
          </w:tcPr>
          <w:p w:rsidR="008E7ED5" w:rsidRPr="00015BC4" w:rsidRDefault="008E7ED5" w:rsidP="00081C78">
            <w:pPr>
              <w:rPr>
                <w:rFonts w:ascii="Arial Narrow" w:hAnsi="Arial Narrow"/>
                <w:bCs/>
                <w:color w:val="333333"/>
                <w:sz w:val="18"/>
                <w:szCs w:val="18"/>
                <w:lang w:val="en-AU" w:eastAsia="en-AU"/>
              </w:rPr>
            </w:pPr>
            <w:r w:rsidRPr="00015BC4">
              <w:rPr>
                <w:rFonts w:ascii="Arial Narrow" w:hAnsi="Arial Narrow"/>
                <w:color w:val="333333"/>
                <w:sz w:val="18"/>
                <w:szCs w:val="18"/>
                <w:lang w:val="en-AU" w:eastAsia="en-AU"/>
              </w:rPr>
              <w:t>Special Pricing Arrangements apply.</w:t>
            </w:r>
          </w:p>
        </w:tc>
      </w:tr>
    </w:tbl>
    <w:p w:rsidR="008E7ED5" w:rsidRPr="00015BC4" w:rsidRDefault="008E7ED5" w:rsidP="008E7ED5">
      <w:pPr>
        <w:spacing w:after="120"/>
        <w:jc w:val="both"/>
        <w:rPr>
          <w:rFonts w:asciiTheme="minorHAnsi" w:hAnsiTheme="minorHAnsi" w:cstheme="minorHAnsi"/>
          <w:lang w:val="en-AU"/>
        </w:rPr>
      </w:pPr>
    </w:p>
    <w:p w:rsidR="008E7ED5" w:rsidRPr="00015BC4" w:rsidRDefault="008E7ED5" w:rsidP="008E7ED5">
      <w:pPr>
        <w:rPr>
          <w:rFonts w:ascii="Arial Narrow" w:hAnsi="Arial Narrow"/>
          <w:b/>
          <w:sz w:val="18"/>
          <w:szCs w:val="18"/>
          <w:lang w:val="en-AU" w:eastAsia="en-AU"/>
        </w:rPr>
      </w:pPr>
      <w:r w:rsidRPr="00015BC4">
        <w:rPr>
          <w:rFonts w:ascii="Arial Narrow" w:hAnsi="Arial Narrow"/>
          <w:b/>
          <w:sz w:val="18"/>
          <w:szCs w:val="18"/>
          <w:lang w:val="en-AU" w:eastAsia="en-AU"/>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7656"/>
      </w:tblGrid>
      <w:tr w:rsidR="008E7ED5" w:rsidRPr="00015BC4" w:rsidTr="00925E85">
        <w:tc>
          <w:tcPr>
            <w:tcW w:w="712" w:type="pct"/>
            <w:vMerge w:val="restart"/>
            <w:tcBorders>
              <w:top w:val="single" w:sz="4" w:space="0" w:color="auto"/>
              <w:left w:val="single" w:sz="4" w:space="0" w:color="auto"/>
              <w:right w:val="single" w:sz="4" w:space="0" w:color="auto"/>
            </w:tcBorders>
          </w:tcPr>
          <w:p w:rsidR="008E7ED5" w:rsidRPr="00015BC4" w:rsidRDefault="008E7ED5" w:rsidP="00081C78">
            <w:pPr>
              <w:jc w:val="center"/>
              <w:rPr>
                <w:rFonts w:ascii="Arial Narrow" w:hAnsi="Arial Narrow" w:cs="Arial"/>
                <w:b/>
                <w:sz w:val="18"/>
                <w:szCs w:val="18"/>
                <w:lang w:val="en-AU" w:eastAsia="en-AU"/>
              </w:rPr>
            </w:pPr>
            <w:r w:rsidRPr="00015BC4">
              <w:rPr>
                <w:rFonts w:ascii="Arial Narrow" w:hAnsi="Arial Narrow" w:cs="Arial"/>
                <w:b/>
                <w:sz w:val="18"/>
                <w:szCs w:val="18"/>
                <w:lang w:val="en-AU" w:eastAsia="en-AU"/>
              </w:rPr>
              <w:t>Concept ID</w:t>
            </w:r>
          </w:p>
          <w:p w:rsidR="008E7ED5" w:rsidRPr="00015BC4" w:rsidRDefault="008E7ED5" w:rsidP="00081C78">
            <w:pPr>
              <w:jc w:val="center"/>
              <w:rPr>
                <w:rFonts w:ascii="Arial Narrow" w:hAnsi="Arial Narrow" w:cs="Arial"/>
                <w:sz w:val="18"/>
                <w:szCs w:val="18"/>
                <w:lang w:val="en-AU" w:eastAsia="en-AU"/>
              </w:rPr>
            </w:pPr>
          </w:p>
          <w:p w:rsidR="008E7ED5" w:rsidRPr="00015BC4" w:rsidRDefault="008E7ED5" w:rsidP="00081C78">
            <w:pPr>
              <w:jc w:val="center"/>
              <w:rPr>
                <w:rFonts w:ascii="Arial Narrow" w:hAnsi="Arial Narrow" w:cs="Arial"/>
                <w:sz w:val="18"/>
                <w:szCs w:val="18"/>
                <w:lang w:val="en-AU" w:eastAsia="en-AU"/>
              </w:rPr>
            </w:pPr>
            <w:r w:rsidRPr="00015BC4">
              <w:rPr>
                <w:rFonts w:ascii="Arial Narrow" w:hAnsi="Arial Narrow" w:cs="Arial"/>
                <w:sz w:val="18"/>
                <w:szCs w:val="18"/>
                <w:lang w:val="en-AU" w:eastAsia="en-AU"/>
              </w:rPr>
              <w:t>(for internal Dept. use)</w:t>
            </w:r>
          </w:p>
        </w:tc>
        <w:tc>
          <w:tcPr>
            <w:tcW w:w="4288" w:type="pct"/>
            <w:tcBorders>
              <w:top w:val="single" w:sz="4" w:space="0" w:color="auto"/>
              <w:left w:val="single" w:sz="4" w:space="0" w:color="auto"/>
              <w:bottom w:val="single" w:sz="4" w:space="0" w:color="auto"/>
              <w:right w:val="single" w:sz="4" w:space="0" w:color="auto"/>
            </w:tcBorders>
          </w:tcPr>
          <w:p w:rsidR="008E7ED5" w:rsidRPr="00015BC4" w:rsidRDefault="008E7ED5" w:rsidP="00081C78">
            <w:pPr>
              <w:jc w:val="both"/>
              <w:rPr>
                <w:rFonts w:ascii="Arial Narrow" w:hAnsi="Arial Narrow" w:cs="Arial"/>
                <w:sz w:val="18"/>
                <w:szCs w:val="18"/>
                <w:lang w:val="en-AU" w:eastAsia="en-AU"/>
              </w:rPr>
            </w:pPr>
            <w:r w:rsidRPr="00015BC4">
              <w:rPr>
                <w:rFonts w:ascii="Arial Narrow" w:hAnsi="Arial Narrow" w:cs="Arial"/>
                <w:b/>
                <w:sz w:val="18"/>
                <w:szCs w:val="18"/>
                <w:lang w:val="en-AU" w:eastAsia="en-AU"/>
              </w:rPr>
              <w:t xml:space="preserve">Category / Program:   </w:t>
            </w:r>
            <w:r w:rsidRPr="00015BC4">
              <w:rPr>
                <w:rFonts w:ascii="Arial Narrow" w:hAnsi="Arial Narrow" w:cs="Arial"/>
                <w:sz w:val="18"/>
                <w:szCs w:val="18"/>
                <w:lang w:val="en-AU" w:eastAsia="en-AU"/>
              </w:rPr>
              <w:t xml:space="preserve">GENERAL – General Schedule (Code GE) </w:t>
            </w:r>
          </w:p>
        </w:tc>
      </w:tr>
      <w:tr w:rsidR="008E7ED5" w:rsidRPr="00015BC4" w:rsidTr="00925E85">
        <w:trPr>
          <w:trHeight w:val="208"/>
        </w:trPr>
        <w:tc>
          <w:tcPr>
            <w:tcW w:w="712" w:type="pct"/>
            <w:vMerge/>
            <w:tcBorders>
              <w:left w:val="single" w:sz="4" w:space="0" w:color="auto"/>
              <w:right w:val="single" w:sz="4" w:space="0" w:color="auto"/>
            </w:tcBorders>
          </w:tcPr>
          <w:p w:rsidR="008E7ED5" w:rsidRPr="00015BC4" w:rsidRDefault="008E7ED5" w:rsidP="00081C78">
            <w:pPr>
              <w:jc w:val="both"/>
              <w:rPr>
                <w:rFonts w:ascii="Arial Narrow" w:hAnsi="Arial Narrow" w:cs="Arial"/>
                <w:sz w:val="18"/>
                <w:szCs w:val="18"/>
                <w:lang w:val="en-AU" w:eastAsia="en-AU"/>
              </w:rPr>
            </w:pPr>
          </w:p>
        </w:tc>
        <w:tc>
          <w:tcPr>
            <w:tcW w:w="4288" w:type="pct"/>
            <w:tcBorders>
              <w:top w:val="single" w:sz="4" w:space="0" w:color="auto"/>
              <w:left w:val="single" w:sz="4" w:space="0" w:color="auto"/>
              <w:bottom w:val="single" w:sz="4" w:space="0" w:color="auto"/>
              <w:right w:val="single" w:sz="4" w:space="0" w:color="auto"/>
            </w:tcBorders>
          </w:tcPr>
          <w:p w:rsidR="008E7ED5" w:rsidRPr="00015BC4" w:rsidRDefault="008E7ED5" w:rsidP="00D33884">
            <w:pPr>
              <w:jc w:val="both"/>
              <w:rPr>
                <w:rFonts w:ascii="Arial Narrow" w:hAnsi="Arial Narrow" w:cs="Arial"/>
                <w:sz w:val="18"/>
                <w:szCs w:val="18"/>
                <w:lang w:val="en-AU" w:eastAsia="en-AU"/>
              </w:rPr>
            </w:pPr>
            <w:r w:rsidRPr="00015BC4">
              <w:rPr>
                <w:rFonts w:ascii="Arial Narrow" w:hAnsi="Arial Narrow" w:cs="Arial"/>
                <w:b/>
                <w:sz w:val="18"/>
                <w:szCs w:val="18"/>
                <w:lang w:val="en-AU" w:eastAsia="en-AU"/>
              </w:rPr>
              <w:t xml:space="preserve">Prescriber type:  </w:t>
            </w:r>
            <w:r w:rsidRPr="00015BC4">
              <w:rPr>
                <w:rFonts w:ascii="Arial Narrow" w:hAnsi="Arial Narrow" w:cs="Arial"/>
                <w:sz w:val="18"/>
                <w:szCs w:val="18"/>
                <w:lang w:val="en-AU" w:eastAsia="en-AU"/>
              </w:rPr>
              <w:fldChar w:fldCharType="begin">
                <w:ffData>
                  <w:name w:val=""/>
                  <w:enabled/>
                  <w:calcOnExit w:val="0"/>
                  <w:checkBox>
                    <w:sizeAuto/>
                    <w:default w:val="1"/>
                  </w:checkBox>
                </w:ffData>
              </w:fldChar>
            </w:r>
            <w:r w:rsidRPr="00015BC4">
              <w:rPr>
                <w:rFonts w:ascii="Arial Narrow" w:hAnsi="Arial Narrow" w:cs="Arial"/>
                <w:sz w:val="18"/>
                <w:szCs w:val="18"/>
                <w:lang w:val="en-AU" w:eastAsia="en-AU"/>
              </w:rPr>
              <w:instrText xml:space="preserve"> FORMCHECKBOX </w:instrText>
            </w:r>
            <w:r w:rsidR="001B6B57">
              <w:rPr>
                <w:rFonts w:ascii="Arial Narrow" w:hAnsi="Arial Narrow" w:cs="Arial"/>
                <w:sz w:val="18"/>
                <w:szCs w:val="18"/>
                <w:lang w:val="en-AU" w:eastAsia="en-AU"/>
              </w:rPr>
            </w:r>
            <w:r w:rsidR="001B6B57">
              <w:rPr>
                <w:rFonts w:ascii="Arial Narrow" w:hAnsi="Arial Narrow" w:cs="Arial"/>
                <w:sz w:val="18"/>
                <w:szCs w:val="18"/>
                <w:lang w:val="en-AU" w:eastAsia="en-AU"/>
              </w:rPr>
              <w:fldChar w:fldCharType="separate"/>
            </w:r>
            <w:r w:rsidRPr="00015BC4">
              <w:rPr>
                <w:rFonts w:ascii="Arial Narrow" w:hAnsi="Arial Narrow" w:cs="Arial"/>
                <w:sz w:val="18"/>
                <w:szCs w:val="18"/>
                <w:lang w:val="en-AU" w:eastAsia="en-AU"/>
              </w:rPr>
              <w:fldChar w:fldCharType="end"/>
            </w:r>
            <w:r w:rsidRPr="00015BC4">
              <w:rPr>
                <w:rFonts w:ascii="Arial Narrow" w:hAnsi="Arial Narrow" w:cs="Arial"/>
                <w:sz w:val="18"/>
                <w:szCs w:val="18"/>
                <w:lang w:val="en-AU" w:eastAsia="en-AU"/>
              </w:rPr>
              <w:t xml:space="preserve">Medical Practitioners  </w:t>
            </w:r>
          </w:p>
        </w:tc>
      </w:tr>
      <w:tr w:rsidR="008E7ED5" w:rsidRPr="00015BC4" w:rsidTr="00925E85">
        <w:tc>
          <w:tcPr>
            <w:tcW w:w="712" w:type="pct"/>
            <w:vMerge/>
            <w:tcBorders>
              <w:left w:val="single" w:sz="4" w:space="0" w:color="auto"/>
              <w:right w:val="single" w:sz="4" w:space="0" w:color="auto"/>
            </w:tcBorders>
          </w:tcPr>
          <w:p w:rsidR="008E7ED5" w:rsidRPr="00015BC4" w:rsidRDefault="008E7ED5" w:rsidP="00081C78">
            <w:pPr>
              <w:jc w:val="both"/>
              <w:rPr>
                <w:rFonts w:ascii="Arial Narrow" w:hAnsi="Arial Narrow" w:cs="Arial"/>
                <w:sz w:val="18"/>
                <w:szCs w:val="18"/>
                <w:lang w:val="en-AU" w:eastAsia="en-AU"/>
              </w:rPr>
            </w:pPr>
          </w:p>
        </w:tc>
        <w:tc>
          <w:tcPr>
            <w:tcW w:w="4288" w:type="pct"/>
            <w:tcBorders>
              <w:top w:val="single" w:sz="4" w:space="0" w:color="auto"/>
              <w:left w:val="single" w:sz="4" w:space="0" w:color="auto"/>
              <w:bottom w:val="single" w:sz="4" w:space="0" w:color="auto"/>
              <w:right w:val="single" w:sz="4" w:space="0" w:color="auto"/>
            </w:tcBorders>
          </w:tcPr>
          <w:p w:rsidR="008E7ED5" w:rsidRPr="00015BC4" w:rsidRDefault="008E7ED5" w:rsidP="00D33884">
            <w:pPr>
              <w:jc w:val="both"/>
              <w:rPr>
                <w:rFonts w:ascii="Arial Narrow" w:hAnsi="Arial Narrow" w:cs="Arial"/>
                <w:b/>
                <w:sz w:val="18"/>
                <w:szCs w:val="18"/>
                <w:lang w:val="en-AU" w:eastAsia="en-AU"/>
              </w:rPr>
            </w:pPr>
            <w:r w:rsidRPr="00015BC4">
              <w:rPr>
                <w:rFonts w:ascii="Arial Narrow" w:hAnsi="Arial Narrow" w:cs="Arial"/>
                <w:b/>
                <w:sz w:val="18"/>
                <w:szCs w:val="18"/>
                <w:lang w:val="en-AU" w:eastAsia="en-AU"/>
              </w:rPr>
              <w:t xml:space="preserve">Restriction </w:t>
            </w:r>
            <w:r w:rsidR="00D33884">
              <w:rPr>
                <w:rFonts w:ascii="Arial Narrow" w:hAnsi="Arial Narrow" w:cs="Arial"/>
                <w:b/>
                <w:sz w:val="18"/>
                <w:szCs w:val="18"/>
                <w:lang w:val="en-AU" w:eastAsia="en-AU"/>
              </w:rPr>
              <w:t xml:space="preserve">Type </w:t>
            </w:r>
            <w:r w:rsidRPr="00015BC4">
              <w:rPr>
                <w:rFonts w:ascii="Arial Narrow" w:hAnsi="Arial Narrow" w:cs="Arial"/>
                <w:b/>
                <w:sz w:val="18"/>
                <w:szCs w:val="18"/>
                <w:lang w:val="en-AU" w:eastAsia="en-AU"/>
              </w:rPr>
              <w:t xml:space="preserve">/ Method: </w:t>
            </w:r>
            <w:r w:rsidRPr="00015BC4">
              <w:rPr>
                <w:rFonts w:ascii="Arial Narrow" w:hAnsi="Arial Narrow" w:cs="Arial"/>
                <w:sz w:val="18"/>
                <w:szCs w:val="18"/>
                <w:lang w:val="en-AU" w:eastAsia="en-AU"/>
              </w:rPr>
              <w:fldChar w:fldCharType="begin">
                <w:ffData>
                  <w:name w:val=""/>
                  <w:enabled/>
                  <w:calcOnExit w:val="0"/>
                  <w:checkBox>
                    <w:sizeAuto/>
                    <w:default w:val="1"/>
                  </w:checkBox>
                </w:ffData>
              </w:fldChar>
            </w:r>
            <w:r w:rsidRPr="00015BC4">
              <w:rPr>
                <w:rFonts w:ascii="Arial Narrow" w:hAnsi="Arial Narrow" w:cs="Arial"/>
                <w:sz w:val="18"/>
                <w:szCs w:val="18"/>
                <w:lang w:val="en-AU" w:eastAsia="en-AU"/>
              </w:rPr>
              <w:instrText xml:space="preserve"> FORMCHECKBOX </w:instrText>
            </w:r>
            <w:r w:rsidR="001B6B57">
              <w:rPr>
                <w:rFonts w:ascii="Arial Narrow" w:hAnsi="Arial Narrow" w:cs="Arial"/>
                <w:sz w:val="18"/>
                <w:szCs w:val="18"/>
                <w:lang w:val="en-AU" w:eastAsia="en-AU"/>
              </w:rPr>
            </w:r>
            <w:r w:rsidR="001B6B57">
              <w:rPr>
                <w:rFonts w:ascii="Arial Narrow" w:hAnsi="Arial Narrow" w:cs="Arial"/>
                <w:sz w:val="18"/>
                <w:szCs w:val="18"/>
                <w:lang w:val="en-AU" w:eastAsia="en-AU"/>
              </w:rPr>
              <w:fldChar w:fldCharType="separate"/>
            </w:r>
            <w:r w:rsidRPr="00015BC4">
              <w:rPr>
                <w:rFonts w:ascii="Arial Narrow" w:hAnsi="Arial Narrow" w:cs="Arial"/>
                <w:sz w:val="18"/>
                <w:szCs w:val="18"/>
                <w:lang w:val="en-AU" w:eastAsia="en-AU"/>
              </w:rPr>
              <w:fldChar w:fldCharType="end"/>
            </w:r>
            <w:r w:rsidRPr="00015BC4">
              <w:rPr>
                <w:rFonts w:ascii="Arial Narrow" w:hAnsi="Arial Narrow" w:cs="Arial"/>
                <w:sz w:val="18"/>
                <w:szCs w:val="18"/>
                <w:lang w:val="en-AU" w:eastAsia="en-AU"/>
              </w:rPr>
              <w:t xml:space="preserve"> Authority Required </w:t>
            </w:r>
            <w:r w:rsidR="00D33884">
              <w:rPr>
                <w:rFonts w:ascii="Arial Narrow" w:hAnsi="Arial Narrow" w:cs="Arial"/>
                <w:sz w:val="18"/>
                <w:szCs w:val="18"/>
                <w:lang w:val="en-AU" w:eastAsia="en-AU"/>
              </w:rPr>
              <w:t>–</w:t>
            </w:r>
            <w:r w:rsidRPr="00015BC4">
              <w:rPr>
                <w:rFonts w:ascii="Arial Narrow" w:hAnsi="Arial Narrow" w:cs="Arial"/>
                <w:sz w:val="18"/>
                <w:szCs w:val="18"/>
                <w:lang w:val="en-AU" w:eastAsia="en-AU"/>
              </w:rPr>
              <w:t xml:space="preserve"> Streamlined</w:t>
            </w:r>
            <w:r w:rsidR="00D33884">
              <w:rPr>
                <w:rFonts w:ascii="Arial Narrow" w:hAnsi="Arial Narrow" w:cs="Arial"/>
                <w:sz w:val="18"/>
                <w:szCs w:val="18"/>
                <w:lang w:val="en-AU" w:eastAsia="en-AU"/>
              </w:rPr>
              <w:t xml:space="preserve"> (new code)</w:t>
            </w:r>
          </w:p>
        </w:tc>
      </w:tr>
      <w:tr w:rsidR="008E7ED5" w:rsidRPr="00015BC4" w:rsidTr="00757380">
        <w:trPr>
          <w:trHeight w:val="168"/>
        </w:trPr>
        <w:tc>
          <w:tcPr>
            <w:tcW w:w="712" w:type="pct"/>
            <w:vAlign w:val="center"/>
            <w:hideMark/>
          </w:tcPr>
          <w:p w:rsidR="008E7ED5" w:rsidRPr="00015BC4" w:rsidRDefault="008E7ED5" w:rsidP="00A75DAF">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9504</w:t>
            </w:r>
          </w:p>
        </w:tc>
        <w:tc>
          <w:tcPr>
            <w:tcW w:w="4288"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Indication:</w:t>
            </w:r>
            <w:r w:rsidRPr="00015BC4">
              <w:rPr>
                <w:rFonts w:ascii="Arial Narrow" w:hAnsi="Arial Narrow"/>
                <w:color w:val="333333"/>
                <w:sz w:val="18"/>
                <w:szCs w:val="18"/>
                <w:lang w:val="en-AU" w:eastAsia="en-AU"/>
              </w:rPr>
              <w:t xml:space="preserve"> Multiple sclerosis</w:t>
            </w:r>
          </w:p>
        </w:tc>
      </w:tr>
      <w:tr w:rsidR="008E7ED5" w:rsidRPr="00015BC4" w:rsidTr="00925E85">
        <w:tc>
          <w:tcPr>
            <w:tcW w:w="712" w:type="pct"/>
            <w:vAlign w:val="center"/>
            <w:hideMark/>
          </w:tcPr>
          <w:p w:rsidR="008E7ED5" w:rsidRPr="00015BC4" w:rsidRDefault="008E7ED5" w:rsidP="00081C78">
            <w:pPr>
              <w:jc w:val="center"/>
              <w:rPr>
                <w:rFonts w:ascii="Arial Narrow" w:hAnsi="Arial Narrow"/>
                <w:color w:val="333333"/>
                <w:sz w:val="18"/>
                <w:szCs w:val="18"/>
                <w:lang w:val="en-AU" w:eastAsia="en-AU"/>
              </w:rPr>
            </w:pPr>
          </w:p>
        </w:tc>
        <w:tc>
          <w:tcPr>
            <w:tcW w:w="4288" w:type="pct"/>
            <w:vAlign w:val="center"/>
            <w:hideMark/>
          </w:tcPr>
          <w:p w:rsidR="008E7ED5" w:rsidRPr="00015BC4" w:rsidRDefault="008E7ED5" w:rsidP="00D33884">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Treatment Phase:</w:t>
            </w:r>
            <w:r w:rsidR="00D33884">
              <w:rPr>
                <w:rFonts w:ascii="Arial Narrow" w:hAnsi="Arial Narrow"/>
                <w:color w:val="333333"/>
                <w:sz w:val="18"/>
                <w:szCs w:val="18"/>
                <w:lang w:val="en-AU" w:eastAsia="en-AU"/>
              </w:rPr>
              <w:t xml:space="preserve"> T</w:t>
            </w:r>
            <w:r w:rsidRPr="00015BC4">
              <w:rPr>
                <w:rFonts w:ascii="Arial Narrow" w:hAnsi="Arial Narrow"/>
                <w:color w:val="333333"/>
                <w:sz w:val="18"/>
                <w:szCs w:val="18"/>
                <w:lang w:val="en-AU" w:eastAsia="en-AU"/>
              </w:rPr>
              <w:t xml:space="preserve">ransition from non-PBS subsidised </w:t>
            </w:r>
            <w:r w:rsidR="00D33884">
              <w:rPr>
                <w:rFonts w:ascii="Arial Narrow" w:hAnsi="Arial Narrow"/>
                <w:color w:val="333333"/>
                <w:sz w:val="18"/>
                <w:szCs w:val="18"/>
                <w:lang w:val="en-AU" w:eastAsia="en-AU"/>
              </w:rPr>
              <w:t>to PBS-subsidised treatment – ‘Grandfather’ treatment</w:t>
            </w:r>
          </w:p>
        </w:tc>
      </w:tr>
      <w:tr w:rsidR="008E7ED5" w:rsidRPr="00015BC4" w:rsidTr="00925E85">
        <w:tc>
          <w:tcPr>
            <w:tcW w:w="712" w:type="pct"/>
            <w:vAlign w:val="center"/>
            <w:hideMark/>
          </w:tcPr>
          <w:p w:rsidR="008E7ED5" w:rsidRPr="00015BC4" w:rsidRDefault="008E7ED5" w:rsidP="00081C78">
            <w:pPr>
              <w:jc w:val="center"/>
              <w:rPr>
                <w:rFonts w:ascii="Arial Narrow" w:hAnsi="Arial Narrow"/>
                <w:color w:val="333333"/>
                <w:sz w:val="18"/>
                <w:szCs w:val="18"/>
                <w:lang w:val="en-AU" w:eastAsia="en-AU"/>
              </w:rPr>
            </w:pPr>
          </w:p>
        </w:tc>
        <w:tc>
          <w:tcPr>
            <w:tcW w:w="4288"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Clinical criteria:</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New</w:t>
            </w:r>
          </w:p>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[Placeholder 22175]</w:t>
            </w:r>
          </w:p>
        </w:tc>
        <w:tc>
          <w:tcPr>
            <w:tcW w:w="4288" w:type="pct"/>
            <w:vAlign w:val="center"/>
          </w:tcPr>
          <w:p w:rsidR="008E7ED5" w:rsidRPr="00015BC4" w:rsidRDefault="008E7ED5" w:rsidP="00D33884">
            <w:pPr>
              <w:rPr>
                <w:rFonts w:ascii="Arial Narrow" w:hAnsi="Arial Narrow"/>
                <w:bCs/>
                <w:color w:val="FF00FF"/>
                <w:sz w:val="18"/>
                <w:szCs w:val="18"/>
                <w:lang w:val="en-AU" w:eastAsia="en-AU"/>
              </w:rPr>
            </w:pPr>
            <w:r w:rsidRPr="00015BC4">
              <w:rPr>
                <w:rFonts w:ascii="Arial Narrow" w:hAnsi="Arial Narrow"/>
                <w:bCs/>
                <w:color w:val="000000" w:themeColor="text1"/>
                <w:sz w:val="18"/>
                <w:szCs w:val="18"/>
                <w:lang w:val="en-AU" w:eastAsia="en-AU"/>
              </w:rPr>
              <w:t xml:space="preserve">Patient must have been receiving treatment with this drug for this </w:t>
            </w:r>
            <w:r w:rsidR="00D33884">
              <w:rPr>
                <w:rFonts w:ascii="Arial Narrow" w:hAnsi="Arial Narrow"/>
                <w:bCs/>
                <w:color w:val="000000" w:themeColor="text1"/>
                <w:sz w:val="18"/>
                <w:szCs w:val="18"/>
                <w:lang w:val="en-AU" w:eastAsia="en-AU"/>
              </w:rPr>
              <w:t xml:space="preserve">PBS indication </w:t>
            </w:r>
            <w:r w:rsidRPr="00015BC4">
              <w:rPr>
                <w:rFonts w:ascii="Arial Narrow" w:hAnsi="Arial Narrow"/>
                <w:bCs/>
                <w:color w:val="000000" w:themeColor="text1"/>
                <w:sz w:val="18"/>
                <w:szCs w:val="18"/>
                <w:lang w:val="en-AU" w:eastAsia="en-AU"/>
              </w:rPr>
              <w:t>prior to &lt;PBS listing date&gt;.</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p>
        </w:tc>
        <w:tc>
          <w:tcPr>
            <w:tcW w:w="4288" w:type="pct"/>
            <w:vAlign w:val="center"/>
          </w:tcPr>
          <w:p w:rsidR="008E7ED5" w:rsidRPr="00015BC4" w:rsidRDefault="008E7ED5" w:rsidP="00081C78">
            <w:pPr>
              <w:rPr>
                <w:rFonts w:ascii="Arial Narrow" w:hAnsi="Arial Narrow"/>
                <w:b/>
                <w:bCs/>
                <w:sz w:val="18"/>
                <w:szCs w:val="18"/>
                <w:lang w:val="en-AU" w:eastAsia="en-AU"/>
              </w:rPr>
            </w:pPr>
            <w:r w:rsidRPr="00015BC4">
              <w:rPr>
                <w:rFonts w:ascii="Arial Narrow" w:hAnsi="Arial Narrow"/>
                <w:b/>
                <w:bCs/>
                <w:sz w:val="18"/>
                <w:szCs w:val="18"/>
                <w:lang w:val="en-AU" w:eastAsia="en-AU"/>
              </w:rPr>
              <w:t>AND</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new</w:t>
            </w:r>
          </w:p>
        </w:tc>
        <w:tc>
          <w:tcPr>
            <w:tcW w:w="4288" w:type="pct"/>
            <w:vAlign w:val="center"/>
          </w:tcPr>
          <w:p w:rsidR="00D33884" w:rsidRDefault="00D33884" w:rsidP="00081C78">
            <w:pPr>
              <w:rPr>
                <w:rFonts w:ascii="Arial Narrow" w:hAnsi="Arial Narrow"/>
                <w:color w:val="333333"/>
                <w:sz w:val="18"/>
                <w:szCs w:val="18"/>
                <w:lang w:val="en-AU" w:eastAsia="en-AU"/>
              </w:rPr>
            </w:pPr>
          </w:p>
          <w:p w:rsidR="00D33884" w:rsidRPr="00015BC4" w:rsidRDefault="00D33884" w:rsidP="00D33884">
            <w:pPr>
              <w:rPr>
                <w:rFonts w:ascii="Arial Narrow" w:hAnsi="Arial Narrow"/>
                <w:color w:val="333333"/>
                <w:sz w:val="18"/>
                <w:szCs w:val="18"/>
                <w:lang w:val="en-AU" w:eastAsia="en-AU"/>
              </w:rPr>
            </w:pPr>
            <w:r>
              <w:rPr>
                <w:rFonts w:ascii="Arial Narrow" w:hAnsi="Arial Narrow"/>
                <w:color w:val="333333"/>
                <w:sz w:val="18"/>
                <w:szCs w:val="18"/>
                <w:lang w:val="en-AU" w:eastAsia="en-AU"/>
              </w:rPr>
              <w:t xml:space="preserve">Patient must have met all PBS eligibility criteria set out in the Initial treatment restriction for a non-‘Grandfather’’ patient </w:t>
            </w:r>
            <w:r w:rsidR="00216FAA">
              <w:rPr>
                <w:rFonts w:ascii="Arial Narrow" w:hAnsi="Arial Narrow"/>
                <w:color w:val="333333"/>
                <w:sz w:val="18"/>
                <w:szCs w:val="18"/>
                <w:lang w:val="en-AU" w:eastAsia="en-AU"/>
              </w:rPr>
              <w:t>prior to having commenced non-PBS subsidised treatment with this drug</w:t>
            </w:r>
          </w:p>
        </w:tc>
      </w:tr>
      <w:tr w:rsidR="008E7ED5" w:rsidRPr="00015BC4" w:rsidTr="00925E85">
        <w:tc>
          <w:tcPr>
            <w:tcW w:w="712" w:type="pct"/>
            <w:vAlign w:val="center"/>
            <w:hideMark/>
          </w:tcPr>
          <w:p w:rsidR="008E7ED5" w:rsidRPr="00015BC4" w:rsidRDefault="008E7ED5" w:rsidP="00081C78">
            <w:pPr>
              <w:jc w:val="center"/>
              <w:rPr>
                <w:rFonts w:ascii="Arial Narrow" w:hAnsi="Arial Narrow"/>
                <w:color w:val="333333"/>
                <w:sz w:val="18"/>
                <w:szCs w:val="18"/>
                <w:lang w:val="en-AU" w:eastAsia="en-AU"/>
              </w:rPr>
            </w:pPr>
          </w:p>
        </w:tc>
        <w:tc>
          <w:tcPr>
            <w:tcW w:w="4288"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AND</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20585</w:t>
            </w:r>
          </w:p>
        </w:tc>
        <w:tc>
          <w:tcPr>
            <w:tcW w:w="4288" w:type="pct"/>
            <w:vAlign w:val="center"/>
            <w:hideMark/>
          </w:tcPr>
          <w:p w:rsidR="008E7ED5" w:rsidRPr="00015BC4" w:rsidRDefault="008E7ED5" w:rsidP="00081C78">
            <w:pP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The treatment must be a sole PBS-subsidised disease modifying therapy for this condition</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p>
        </w:tc>
        <w:tc>
          <w:tcPr>
            <w:tcW w:w="4288" w:type="pct"/>
            <w:vAlign w:val="center"/>
          </w:tcPr>
          <w:p w:rsidR="008E7ED5" w:rsidRPr="00D33884" w:rsidRDefault="008E7ED5" w:rsidP="00081C78">
            <w:pPr>
              <w:rPr>
                <w:rFonts w:ascii="Arial Narrow" w:hAnsi="Arial Narrow"/>
                <w:b/>
                <w:bCs/>
                <w:color w:val="333333"/>
                <w:sz w:val="18"/>
                <w:szCs w:val="18"/>
                <w:lang w:val="en-AU" w:eastAsia="en-AU"/>
              </w:rPr>
            </w:pPr>
            <w:r w:rsidRPr="00D33884">
              <w:rPr>
                <w:rFonts w:ascii="Arial Narrow" w:hAnsi="Arial Narrow"/>
                <w:b/>
                <w:bCs/>
                <w:color w:val="333333"/>
                <w:sz w:val="18"/>
                <w:szCs w:val="18"/>
                <w:lang w:val="en-AU" w:eastAsia="en-AU"/>
              </w:rPr>
              <w:t>AND</w:t>
            </w:r>
          </w:p>
        </w:tc>
      </w:tr>
      <w:tr w:rsidR="008E7ED5" w:rsidRPr="00015BC4" w:rsidTr="00925E85">
        <w:tc>
          <w:tcPr>
            <w:tcW w:w="712" w:type="pct"/>
            <w:vAlign w:val="center"/>
          </w:tcPr>
          <w:p w:rsidR="008E7ED5" w:rsidRPr="00015BC4" w:rsidRDefault="008E7ED5" w:rsidP="00081C78">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9514</w:t>
            </w:r>
          </w:p>
        </w:tc>
        <w:tc>
          <w:tcPr>
            <w:tcW w:w="4288" w:type="pct"/>
            <w:vAlign w:val="center"/>
          </w:tcPr>
          <w:p w:rsidR="008E7ED5" w:rsidRPr="00015BC4" w:rsidRDefault="008E7ED5" w:rsidP="00081C78">
            <w:pPr>
              <w:rPr>
                <w:rFonts w:ascii="Arial Narrow" w:hAnsi="Arial Narrow"/>
                <w:bCs/>
                <w:color w:val="FF00FF"/>
                <w:sz w:val="18"/>
                <w:szCs w:val="18"/>
                <w:lang w:val="en-AU" w:eastAsia="en-AU"/>
              </w:rPr>
            </w:pPr>
            <w:r w:rsidRPr="00015BC4">
              <w:rPr>
                <w:rFonts w:ascii="Arial Narrow" w:hAnsi="Arial Narrow"/>
                <w:bCs/>
                <w:color w:val="333333"/>
                <w:sz w:val="18"/>
                <w:szCs w:val="18"/>
                <w:lang w:val="en-AU" w:eastAsia="en-AU"/>
              </w:rPr>
              <w:t>Patient must not show continuing progression of disability while on treatment with this drug</w:t>
            </w:r>
          </w:p>
        </w:tc>
      </w:tr>
      <w:tr w:rsidR="00A75DAF" w:rsidRPr="00015BC4" w:rsidTr="003E575F">
        <w:tc>
          <w:tcPr>
            <w:tcW w:w="712" w:type="pct"/>
            <w:vAlign w:val="center"/>
          </w:tcPr>
          <w:p w:rsidR="00A75DAF" w:rsidRPr="00015BC4" w:rsidRDefault="00A75DAF" w:rsidP="00A75DAF">
            <w:pPr>
              <w:jc w:val="center"/>
              <w:rPr>
                <w:rFonts w:ascii="Arial Narrow" w:hAnsi="Arial Narrow"/>
                <w:color w:val="333333"/>
                <w:sz w:val="18"/>
                <w:szCs w:val="18"/>
                <w:lang w:val="en-AU" w:eastAsia="en-AU"/>
              </w:rPr>
            </w:pPr>
          </w:p>
        </w:tc>
        <w:tc>
          <w:tcPr>
            <w:tcW w:w="4288" w:type="pct"/>
            <w:vAlign w:val="center"/>
          </w:tcPr>
          <w:p w:rsidR="00A75DAF" w:rsidRDefault="00A75DAF" w:rsidP="00A75DAF">
            <w:pPr>
              <w:rPr>
                <w:rFonts w:ascii="Arial Narrow" w:hAnsi="Arial Narrow"/>
                <w:b/>
                <w:color w:val="000000" w:themeColor="text1"/>
                <w:sz w:val="18"/>
                <w:szCs w:val="18"/>
                <w:lang w:val="en-AU" w:eastAsia="en-AU"/>
              </w:rPr>
            </w:pPr>
            <w:r w:rsidRPr="00015BC4">
              <w:rPr>
                <w:rFonts w:ascii="Arial Narrow" w:hAnsi="Arial Narrow"/>
                <w:b/>
                <w:bCs/>
                <w:color w:val="333333"/>
                <w:sz w:val="18"/>
                <w:szCs w:val="18"/>
                <w:lang w:val="en-AU" w:eastAsia="en-AU"/>
              </w:rPr>
              <w:t>AND</w:t>
            </w:r>
          </w:p>
        </w:tc>
      </w:tr>
      <w:tr w:rsidR="00A75DAF" w:rsidRPr="00015BC4" w:rsidTr="003E575F">
        <w:tc>
          <w:tcPr>
            <w:tcW w:w="712" w:type="pct"/>
            <w:vAlign w:val="center"/>
          </w:tcPr>
          <w:p w:rsidR="00A75DAF" w:rsidRPr="00925E85" w:rsidRDefault="00A75DAF" w:rsidP="00A75DAF">
            <w:pPr>
              <w:jc w:val="center"/>
              <w:rPr>
                <w:rFonts w:ascii="Arial Narrow" w:hAnsi="Arial Narrow"/>
                <w:color w:val="333333"/>
                <w:sz w:val="18"/>
                <w:szCs w:val="18"/>
                <w:lang w:val="en-AU" w:eastAsia="en-AU"/>
              </w:rPr>
            </w:pPr>
            <w:r w:rsidRPr="00925E85">
              <w:rPr>
                <w:rFonts w:ascii="Arial Narrow" w:hAnsi="Arial Narrow"/>
                <w:color w:val="333333"/>
                <w:sz w:val="18"/>
                <w:szCs w:val="18"/>
                <w:lang w:val="en-AU" w:eastAsia="en-AU"/>
              </w:rPr>
              <w:t xml:space="preserve">New </w:t>
            </w:r>
          </w:p>
          <w:p w:rsidR="00A75DAF" w:rsidRPr="00015BC4" w:rsidRDefault="00A75DAF" w:rsidP="00A75DAF">
            <w:pPr>
              <w:jc w:val="center"/>
              <w:rPr>
                <w:rFonts w:ascii="Arial Narrow" w:hAnsi="Arial Narrow"/>
                <w:color w:val="333333"/>
                <w:sz w:val="18"/>
                <w:szCs w:val="18"/>
                <w:lang w:val="en-AU" w:eastAsia="en-AU"/>
              </w:rPr>
            </w:pPr>
            <w:r w:rsidRPr="00925E85">
              <w:rPr>
                <w:rFonts w:ascii="Arial Narrow" w:hAnsi="Arial Narrow"/>
                <w:color w:val="333333"/>
                <w:sz w:val="18"/>
                <w:szCs w:val="18"/>
                <w:lang w:val="en-AU" w:eastAsia="en-AU"/>
              </w:rPr>
              <w:t>(9511 variation)</w:t>
            </w:r>
          </w:p>
        </w:tc>
        <w:tc>
          <w:tcPr>
            <w:tcW w:w="4288" w:type="pct"/>
            <w:vAlign w:val="center"/>
          </w:tcPr>
          <w:p w:rsidR="00A75DAF" w:rsidRDefault="00A75DAF" w:rsidP="00A75DAF">
            <w:pPr>
              <w:rPr>
                <w:rFonts w:ascii="Arial Narrow" w:hAnsi="Arial Narrow"/>
                <w:b/>
                <w:color w:val="000000" w:themeColor="text1"/>
                <w:sz w:val="18"/>
                <w:szCs w:val="18"/>
                <w:lang w:val="en-AU" w:eastAsia="en-AU"/>
              </w:rPr>
            </w:pPr>
            <w:r w:rsidRPr="00015BC4">
              <w:rPr>
                <w:rFonts w:ascii="Arial Narrow" w:hAnsi="Arial Narrow"/>
                <w:bCs/>
                <w:color w:val="333333"/>
                <w:sz w:val="18"/>
                <w:szCs w:val="18"/>
                <w:lang w:val="en-AU" w:eastAsia="en-AU"/>
              </w:rPr>
              <w:t>Patient must be ambulatory</w:t>
            </w:r>
            <w:r w:rsidRPr="00015BC4">
              <w:rPr>
                <w:rFonts w:ascii="Arial Narrow" w:hAnsi="Arial Narrow"/>
                <w:bCs/>
                <w:i/>
                <w:color w:val="333333"/>
                <w:sz w:val="18"/>
                <w:szCs w:val="18"/>
                <w:lang w:val="en-AU" w:eastAsia="en-AU"/>
              </w:rPr>
              <w:t>,</w:t>
            </w:r>
            <w:r w:rsidRPr="00015BC4">
              <w:rPr>
                <w:rFonts w:ascii="Arial Narrow" w:hAnsi="Arial Narrow"/>
                <w:bCs/>
                <w:color w:val="333333"/>
                <w:sz w:val="18"/>
                <w:szCs w:val="18"/>
                <w:lang w:val="en-AU" w:eastAsia="en-AU"/>
              </w:rPr>
              <w:t xml:space="preserve"> with</w:t>
            </w:r>
            <w:r w:rsidRPr="00015BC4">
              <w:rPr>
                <w:rFonts w:ascii="Arial Narrow" w:hAnsi="Arial Narrow"/>
                <w:bCs/>
                <w:i/>
                <w:color w:val="333333"/>
                <w:sz w:val="18"/>
                <w:szCs w:val="18"/>
                <w:lang w:val="en-AU" w:eastAsia="en-AU"/>
              </w:rPr>
              <w:t>/</w:t>
            </w:r>
            <w:r w:rsidRPr="00015BC4">
              <w:rPr>
                <w:rFonts w:ascii="Arial Narrow" w:hAnsi="Arial Narrow"/>
                <w:bCs/>
                <w:color w:val="333333"/>
                <w:sz w:val="18"/>
                <w:szCs w:val="18"/>
                <w:lang w:val="en-AU" w:eastAsia="en-AU"/>
              </w:rPr>
              <w:t>without assistance</w:t>
            </w:r>
            <w:r w:rsidRPr="00015BC4">
              <w:rPr>
                <w:rFonts w:ascii="Arial Narrow" w:hAnsi="Arial Narrow"/>
                <w:bCs/>
                <w:i/>
                <w:color w:val="333333"/>
                <w:sz w:val="18"/>
                <w:szCs w:val="18"/>
                <w:lang w:val="en-AU" w:eastAsia="en-AU"/>
              </w:rPr>
              <w:t>/</w:t>
            </w:r>
            <w:r w:rsidRPr="00015BC4">
              <w:rPr>
                <w:rFonts w:ascii="Arial Narrow" w:hAnsi="Arial Narrow"/>
                <w:bCs/>
                <w:color w:val="333333"/>
                <w:sz w:val="18"/>
                <w:szCs w:val="18"/>
                <w:lang w:val="en-AU" w:eastAsia="en-AU"/>
              </w:rPr>
              <w:t>support</w:t>
            </w:r>
          </w:p>
        </w:tc>
      </w:tr>
      <w:tr w:rsidR="00A75DAF" w:rsidRPr="00015BC4" w:rsidTr="003E575F">
        <w:tc>
          <w:tcPr>
            <w:tcW w:w="712" w:type="pct"/>
            <w:vAlign w:val="center"/>
          </w:tcPr>
          <w:p w:rsidR="00A75DAF" w:rsidRPr="00925E85" w:rsidRDefault="00A75DAF" w:rsidP="00A75DAF">
            <w:pPr>
              <w:jc w:val="center"/>
              <w:rPr>
                <w:rFonts w:ascii="Arial Narrow" w:hAnsi="Arial Narrow"/>
                <w:color w:val="333333"/>
                <w:sz w:val="18"/>
                <w:szCs w:val="18"/>
                <w:lang w:val="en-AU" w:eastAsia="en-AU"/>
              </w:rPr>
            </w:pPr>
          </w:p>
        </w:tc>
        <w:tc>
          <w:tcPr>
            <w:tcW w:w="4288" w:type="pct"/>
            <w:vAlign w:val="center"/>
          </w:tcPr>
          <w:p w:rsidR="00A75DAF" w:rsidRPr="00A75DAF" w:rsidRDefault="00A75DAF" w:rsidP="00A75DAF">
            <w:pPr>
              <w:rPr>
                <w:rFonts w:ascii="Arial Narrow" w:hAnsi="Arial Narrow"/>
                <w:b/>
                <w:bCs/>
                <w:color w:val="333333"/>
                <w:sz w:val="18"/>
                <w:szCs w:val="18"/>
                <w:lang w:val="en-AU" w:eastAsia="en-AU"/>
              </w:rPr>
            </w:pPr>
            <w:r>
              <w:rPr>
                <w:rFonts w:ascii="Arial Narrow" w:hAnsi="Arial Narrow"/>
                <w:b/>
                <w:bCs/>
                <w:color w:val="333333"/>
                <w:sz w:val="18"/>
                <w:szCs w:val="18"/>
                <w:lang w:val="en-AU" w:eastAsia="en-AU"/>
              </w:rPr>
              <w:t>AND</w:t>
            </w:r>
          </w:p>
        </w:tc>
      </w:tr>
      <w:tr w:rsidR="00A75DAF" w:rsidRPr="00015BC4" w:rsidTr="00216FAA">
        <w:tc>
          <w:tcPr>
            <w:tcW w:w="712" w:type="pct"/>
            <w:vAlign w:val="center"/>
          </w:tcPr>
          <w:p w:rsidR="00A75DAF" w:rsidRPr="00015BC4" w:rsidRDefault="00A75DAF" w:rsidP="00A75DAF">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10876</w:t>
            </w:r>
          </w:p>
        </w:tc>
        <w:tc>
          <w:tcPr>
            <w:tcW w:w="4288" w:type="pct"/>
            <w:vAlign w:val="center"/>
          </w:tcPr>
          <w:p w:rsidR="00A75DAF" w:rsidRDefault="00A75DAF" w:rsidP="00A75DAF">
            <w:pPr>
              <w:rPr>
                <w:rFonts w:ascii="Arial Narrow" w:hAnsi="Arial Narrow"/>
                <w:b/>
                <w:color w:val="000000" w:themeColor="text1"/>
                <w:sz w:val="18"/>
                <w:szCs w:val="18"/>
                <w:lang w:val="en-AU" w:eastAsia="en-AU"/>
              </w:rPr>
            </w:pPr>
            <w:r w:rsidRPr="00015BC4">
              <w:rPr>
                <w:rFonts w:ascii="Arial Narrow" w:hAnsi="Arial Narrow"/>
                <w:bCs/>
                <w:color w:val="333333"/>
                <w:sz w:val="18"/>
                <w:szCs w:val="18"/>
                <w:lang w:val="en-AU" w:eastAsia="en-AU"/>
              </w:rPr>
              <w:t>Patient must have demonstrated compliance with, and an ability to tolerate this therapy</w:t>
            </w:r>
          </w:p>
        </w:tc>
      </w:tr>
      <w:tr w:rsidR="00A75DAF" w:rsidRPr="00015BC4" w:rsidTr="00925E85">
        <w:tc>
          <w:tcPr>
            <w:tcW w:w="712" w:type="pct"/>
          </w:tcPr>
          <w:p w:rsidR="00A75DAF" w:rsidRPr="00015BC4" w:rsidRDefault="00A75DAF" w:rsidP="00A75DAF">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24060</w:t>
            </w:r>
          </w:p>
        </w:tc>
        <w:tc>
          <w:tcPr>
            <w:tcW w:w="4288" w:type="pct"/>
            <w:vAlign w:val="center"/>
          </w:tcPr>
          <w:p w:rsidR="00A75DAF" w:rsidRPr="00216FAA" w:rsidRDefault="00A75DAF" w:rsidP="00A75DAF">
            <w:pPr>
              <w:rPr>
                <w:rFonts w:ascii="Arial Narrow" w:hAnsi="Arial Narrow"/>
                <w:b/>
                <w:color w:val="000000" w:themeColor="text1"/>
                <w:sz w:val="18"/>
                <w:szCs w:val="18"/>
                <w:lang w:val="en-AU" w:eastAsia="en-AU"/>
              </w:rPr>
            </w:pPr>
            <w:r>
              <w:rPr>
                <w:rFonts w:ascii="Arial Narrow" w:hAnsi="Arial Narrow"/>
                <w:b/>
                <w:color w:val="000000" w:themeColor="text1"/>
                <w:sz w:val="18"/>
                <w:szCs w:val="18"/>
                <w:lang w:val="en-AU" w:eastAsia="en-AU"/>
              </w:rPr>
              <w:t>Prescriber instructions:</w:t>
            </w:r>
          </w:p>
          <w:p w:rsidR="00A75DAF" w:rsidRPr="00015BC4" w:rsidRDefault="00A75DAF" w:rsidP="00A75DAF">
            <w:pPr>
              <w:rPr>
                <w:rFonts w:ascii="Arial Narrow" w:hAnsi="Arial Narrow"/>
                <w:b/>
                <w:color w:val="000000" w:themeColor="text1"/>
                <w:sz w:val="18"/>
                <w:szCs w:val="18"/>
                <w:lang w:val="en-AU" w:eastAsia="en-AU"/>
              </w:rPr>
            </w:pPr>
            <w:r w:rsidRPr="00015BC4">
              <w:rPr>
                <w:rFonts w:ascii="Arial Narrow" w:hAnsi="Arial Narrow"/>
                <w:color w:val="000000" w:themeColor="text1"/>
                <w:sz w:val="18"/>
                <w:szCs w:val="18"/>
                <w:lang w:val="en-AU" w:eastAsia="en-AU"/>
              </w:rPr>
              <w:t>A Grandfathered patient may qualify for PBS-subsidised treatment under this restriction once only.</w:t>
            </w:r>
          </w:p>
        </w:tc>
      </w:tr>
      <w:tr w:rsidR="00A75DAF" w:rsidRPr="00015BC4" w:rsidTr="00925E85">
        <w:tc>
          <w:tcPr>
            <w:tcW w:w="712" w:type="pct"/>
          </w:tcPr>
          <w:p w:rsidR="00A75DAF" w:rsidRPr="00015BC4" w:rsidRDefault="00A75DAF" w:rsidP="00A75DAF">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7606</w:t>
            </w:r>
          </w:p>
        </w:tc>
        <w:tc>
          <w:tcPr>
            <w:tcW w:w="4288" w:type="pct"/>
            <w:vAlign w:val="center"/>
          </w:tcPr>
          <w:p w:rsidR="00A75DAF" w:rsidRPr="00015BC4" w:rsidRDefault="00A75DAF" w:rsidP="00A75DAF">
            <w:pPr>
              <w:rPr>
                <w:rFonts w:ascii="Arial Narrow" w:hAnsi="Arial Narrow"/>
                <w:color w:val="333333"/>
                <w:sz w:val="18"/>
                <w:szCs w:val="18"/>
                <w:lang w:val="en-AU" w:eastAsia="en-AU"/>
              </w:rPr>
            </w:pPr>
            <w:r w:rsidRPr="00015BC4">
              <w:rPr>
                <w:rFonts w:ascii="Arial Narrow" w:hAnsi="Arial Narrow"/>
                <w:b/>
                <w:bCs/>
                <w:color w:val="333333"/>
                <w:sz w:val="18"/>
                <w:szCs w:val="18"/>
                <w:lang w:val="en-AU" w:eastAsia="en-AU"/>
              </w:rPr>
              <w:t>Administrative Advice:</w:t>
            </w:r>
          </w:p>
          <w:p w:rsidR="00A75DAF" w:rsidRPr="00015BC4" w:rsidRDefault="00A75DAF" w:rsidP="00A75DAF">
            <w:pP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No increase in the maximum quantity or number of units may be authorised</w:t>
            </w:r>
          </w:p>
        </w:tc>
      </w:tr>
      <w:tr w:rsidR="00A75DAF" w:rsidRPr="00015BC4" w:rsidTr="00925E85">
        <w:tc>
          <w:tcPr>
            <w:tcW w:w="712" w:type="pct"/>
          </w:tcPr>
          <w:p w:rsidR="00A75DAF" w:rsidRPr="00015BC4" w:rsidRDefault="00A75DAF" w:rsidP="00A75DAF">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7607</w:t>
            </w:r>
          </w:p>
        </w:tc>
        <w:tc>
          <w:tcPr>
            <w:tcW w:w="4288" w:type="pct"/>
            <w:vAlign w:val="center"/>
          </w:tcPr>
          <w:p w:rsidR="00A75DAF" w:rsidRPr="00015BC4" w:rsidRDefault="00A75DAF" w:rsidP="00A75DAF">
            <w:pPr>
              <w:rPr>
                <w:rFonts w:ascii="Arial Narrow" w:hAnsi="Arial Narrow" w:cs="Arial Narrow"/>
                <w:b/>
                <w:iCs/>
                <w:sz w:val="18"/>
                <w:szCs w:val="18"/>
                <w:lang w:val="en-AU"/>
              </w:rPr>
            </w:pPr>
            <w:r w:rsidRPr="00015BC4">
              <w:rPr>
                <w:rFonts w:ascii="Arial Narrow" w:hAnsi="Arial Narrow"/>
                <w:color w:val="333333"/>
                <w:sz w:val="18"/>
                <w:szCs w:val="18"/>
                <w:lang w:val="en-AU" w:eastAsia="en-AU"/>
              </w:rPr>
              <w:t>No increase in the maximum number of repeats may be authorised</w:t>
            </w:r>
          </w:p>
        </w:tc>
      </w:tr>
      <w:tr w:rsidR="00A75DAF" w:rsidRPr="00015BC4" w:rsidTr="00925E85">
        <w:tc>
          <w:tcPr>
            <w:tcW w:w="712" w:type="pct"/>
          </w:tcPr>
          <w:p w:rsidR="00A75DAF" w:rsidRPr="00015BC4" w:rsidRDefault="00A75DAF" w:rsidP="00A75DAF">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7608</w:t>
            </w:r>
          </w:p>
        </w:tc>
        <w:tc>
          <w:tcPr>
            <w:tcW w:w="4288" w:type="pct"/>
            <w:vAlign w:val="center"/>
          </w:tcPr>
          <w:p w:rsidR="00A75DAF" w:rsidRPr="00015BC4" w:rsidRDefault="00A75DAF" w:rsidP="00A75DAF">
            <w:pPr>
              <w:rPr>
                <w:rFonts w:ascii="Arial Narrow" w:hAnsi="Arial Narrow" w:cs="Arial Narrow"/>
                <w:b/>
                <w:iCs/>
                <w:sz w:val="18"/>
                <w:szCs w:val="18"/>
                <w:lang w:val="en-AU"/>
              </w:rPr>
            </w:pPr>
            <w:r w:rsidRPr="00015BC4">
              <w:rPr>
                <w:rFonts w:ascii="Arial Narrow" w:hAnsi="Arial Narrow"/>
                <w:color w:val="333333"/>
                <w:sz w:val="18"/>
                <w:szCs w:val="18"/>
                <w:lang w:val="en-AU" w:eastAsia="en-AU"/>
              </w:rPr>
              <w:t>Special Pricing Arrangements apply</w:t>
            </w:r>
          </w:p>
        </w:tc>
      </w:tr>
      <w:tr w:rsidR="00A75DAF" w:rsidRPr="00015BC4" w:rsidTr="00925E85">
        <w:tc>
          <w:tcPr>
            <w:tcW w:w="712" w:type="pct"/>
          </w:tcPr>
          <w:p w:rsidR="00A75DAF" w:rsidRPr="00015BC4" w:rsidRDefault="00A75DAF" w:rsidP="00A75DAF">
            <w:pPr>
              <w:jc w:val="center"/>
              <w:rPr>
                <w:rFonts w:ascii="Arial Narrow" w:hAnsi="Arial Narrow"/>
                <w:color w:val="333333"/>
                <w:sz w:val="18"/>
                <w:szCs w:val="18"/>
                <w:lang w:val="en-AU" w:eastAsia="en-AU"/>
              </w:rPr>
            </w:pPr>
            <w:r w:rsidRPr="00015BC4">
              <w:rPr>
                <w:rFonts w:ascii="Arial Narrow" w:hAnsi="Arial Narrow"/>
                <w:color w:val="333333"/>
                <w:sz w:val="18"/>
                <w:szCs w:val="18"/>
                <w:lang w:val="en-AU" w:eastAsia="en-AU"/>
              </w:rPr>
              <w:t>25398 draft</w:t>
            </w:r>
          </w:p>
        </w:tc>
        <w:tc>
          <w:tcPr>
            <w:tcW w:w="4288" w:type="pct"/>
            <w:vAlign w:val="center"/>
          </w:tcPr>
          <w:p w:rsidR="00A75DAF" w:rsidRPr="00015BC4" w:rsidRDefault="00A75DAF" w:rsidP="00A75DAF">
            <w:pPr>
              <w:rPr>
                <w:rFonts w:ascii="Arial Narrow" w:hAnsi="Arial Narrow"/>
                <w:color w:val="333333"/>
                <w:sz w:val="18"/>
                <w:szCs w:val="18"/>
                <w:lang w:val="en-AU" w:eastAsia="en-AU"/>
              </w:rPr>
            </w:pPr>
            <w:r w:rsidRPr="00015BC4">
              <w:rPr>
                <w:rFonts w:ascii="Arial Narrow" w:hAnsi="Arial Narrow" w:cs="Arial Narrow"/>
                <w:iCs/>
                <w:sz w:val="18"/>
                <w:szCs w:val="18"/>
                <w:lang w:val="en-AU"/>
              </w:rPr>
              <w:t>This Grandfather restriction will cease to operate from 12 months after the date specified in the Clinical criteria.</w:t>
            </w:r>
          </w:p>
        </w:tc>
      </w:tr>
    </w:tbl>
    <w:p w:rsidR="008E2CE7" w:rsidRDefault="008E2CE7" w:rsidP="00A75DAF">
      <w:pPr>
        <w:pStyle w:val="Bodytextitalics"/>
        <w:rPr>
          <w:b/>
        </w:rPr>
      </w:pPr>
    </w:p>
    <w:p w:rsidR="00A75DAF" w:rsidRDefault="00A75DAF" w:rsidP="00A75DAF">
      <w:pPr>
        <w:pStyle w:val="Bodytextitalics"/>
        <w:rPr>
          <w:b/>
        </w:rPr>
      </w:pPr>
      <w:r w:rsidRPr="00EE11C8">
        <w:rPr>
          <w:b/>
        </w:rPr>
        <w:lastRenderedPageBreak/>
        <w:t>This restriction may be subject to further review. Should there be any changes made to the restriction the Sponsor will be informed.</w:t>
      </w:r>
    </w:p>
    <w:p w:rsidR="00161CD8" w:rsidRDefault="00161CD8" w:rsidP="00161CD8">
      <w:pPr>
        <w:widowControl w:val="0"/>
        <w:numPr>
          <w:ilvl w:val="0"/>
          <w:numId w:val="1"/>
        </w:numPr>
        <w:spacing w:before="240" w:after="120"/>
        <w:jc w:val="both"/>
        <w:outlineLvl w:val="0"/>
        <w:rPr>
          <w:color w:val="1F497D"/>
        </w:rPr>
      </w:pPr>
      <w:r w:rsidRPr="00C07617">
        <w:rPr>
          <w:rFonts w:asciiTheme="minorHAnsi" w:hAnsiTheme="minorHAnsi"/>
          <w:b/>
          <w:sz w:val="32"/>
        </w:rPr>
        <w:t>Context for Decision</w:t>
      </w:r>
    </w:p>
    <w:p w:rsidR="00161CD8" w:rsidRPr="007129F2" w:rsidRDefault="00161CD8" w:rsidP="00E61DB4">
      <w:pPr>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61CD8" w:rsidRPr="00C07617" w:rsidRDefault="00161CD8" w:rsidP="00161CD8">
      <w:pPr>
        <w:widowControl w:val="0"/>
        <w:numPr>
          <w:ilvl w:val="0"/>
          <w:numId w:val="1"/>
        </w:numPr>
        <w:spacing w:before="240" w:after="120"/>
        <w:jc w:val="both"/>
        <w:outlineLvl w:val="0"/>
        <w:rPr>
          <w:rFonts w:asciiTheme="minorHAnsi" w:hAnsiTheme="minorHAnsi"/>
          <w:b/>
          <w:sz w:val="32"/>
        </w:rPr>
      </w:pPr>
      <w:r w:rsidRPr="00C07617" w:rsidDel="007129F2">
        <w:rPr>
          <w:rFonts w:asciiTheme="minorHAnsi" w:hAnsiTheme="minorHAnsi" w:cs="Arial"/>
        </w:rPr>
        <w:t xml:space="preserve"> </w:t>
      </w:r>
      <w:r>
        <w:rPr>
          <w:rFonts w:asciiTheme="minorHAnsi" w:hAnsiTheme="minorHAnsi"/>
          <w:b/>
          <w:sz w:val="32"/>
        </w:rPr>
        <w:t>Sponsor’s Comment</w:t>
      </w:r>
    </w:p>
    <w:p w:rsidR="00161CD8" w:rsidRPr="00611224" w:rsidRDefault="00611224" w:rsidP="00E61DB4">
      <w:pPr>
        <w:pStyle w:val="Bodytextitalics"/>
        <w:rPr>
          <w:b/>
          <w:i w:val="0"/>
          <w:color w:val="1F497D"/>
          <w:sz w:val="22"/>
        </w:rPr>
      </w:pPr>
      <w:r w:rsidRPr="00611224">
        <w:rPr>
          <w:rFonts w:cs="Arial"/>
          <w:bCs/>
          <w:i w:val="0"/>
          <w:lang w:val="en-GB"/>
        </w:rPr>
        <w:t>Novartis is pleased that the PBAC has agreed to provide patients with relapse-onset MS, including those patients with the ‘highest unmet need’, access to this treatment.</w:t>
      </w:r>
      <w:r w:rsidRPr="00611224" w:rsidDel="00A81E3C">
        <w:rPr>
          <w:rFonts w:cs="Arial"/>
          <w:bCs/>
          <w:i w:val="0"/>
          <w:highlight w:val="yellow"/>
          <w:lang w:val="en-GB"/>
        </w:rPr>
        <w:t xml:space="preserve"> </w:t>
      </w:r>
    </w:p>
    <w:sectPr w:rsidR="00161CD8" w:rsidRPr="00611224" w:rsidSect="00BD249E">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B81C" w16cex:dateUtc="2020-07-30T11:20:00Z"/>
  <w16cex:commentExtensible w16cex:durableId="22CDB8C9" w16cex:dateUtc="2020-07-30T11:23:00Z"/>
  <w16cex:commentExtensible w16cex:durableId="22CDB8FB" w16cex:dateUtc="2020-07-30T11:24:00Z"/>
  <w16cex:commentExtensible w16cex:durableId="22CDBA35" w16cex:dateUtc="2020-07-30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5FC749" w16cid:durableId="22CDB777"/>
  <w16cid:commentId w16cid:paraId="2C6DBD5B" w16cid:durableId="22CDB778"/>
  <w16cid:commentId w16cid:paraId="5457079F" w16cid:durableId="22CDB81C"/>
  <w16cid:commentId w16cid:paraId="7E192C6F" w16cid:durableId="22CDB779"/>
  <w16cid:commentId w16cid:paraId="45B8191F" w16cid:durableId="22CDB8C9"/>
  <w16cid:commentId w16cid:paraId="4604E48D" w16cid:durableId="22CDB77A"/>
  <w16cid:commentId w16cid:paraId="3A4CE703" w16cid:durableId="22CDB8FB"/>
  <w16cid:commentId w16cid:paraId="5B8CF710" w16cid:durableId="22CDB77B"/>
  <w16cid:commentId w16cid:paraId="671ADECE" w16cid:durableId="22CDB77C"/>
  <w16cid:commentId w16cid:paraId="2FA1A861" w16cid:durableId="22CDB77D"/>
  <w16cid:commentId w16cid:paraId="69C26B5A" w16cid:durableId="22CDB77E"/>
  <w16cid:commentId w16cid:paraId="617FCEB5" w16cid:durableId="22CDBA35"/>
  <w16cid:commentId w16cid:paraId="1E0A84E7" w16cid:durableId="22CDB77F"/>
  <w16cid:commentId w16cid:paraId="53B63B24" w16cid:durableId="22CDB780"/>
  <w16cid:commentId w16cid:paraId="08FAC6F1" w16cid:durableId="22CDB7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30D" w:rsidRDefault="0059530D" w:rsidP="00124A51">
      <w:r>
        <w:separator/>
      </w:r>
    </w:p>
    <w:p w:rsidR="0059530D" w:rsidRDefault="0059530D"/>
  </w:endnote>
  <w:endnote w:type="continuationSeparator" w:id="0">
    <w:p w:rsidR="0059530D" w:rsidRDefault="0059530D" w:rsidP="00124A51">
      <w:r>
        <w:continuationSeparator/>
      </w:r>
    </w:p>
    <w:p w:rsidR="0059530D" w:rsidRDefault="00595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30D" w:rsidRDefault="00595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ED" w:rsidRPr="00D13A3E" w:rsidRDefault="00FB31ED" w:rsidP="00015886">
    <w:pPr>
      <w:ind w:right="360"/>
      <w:jc w:val="center"/>
      <w:rPr>
        <w:b/>
        <w:sz w:val="20"/>
      </w:rPr>
    </w:pPr>
  </w:p>
  <w:p w:rsidR="00FB31ED" w:rsidRPr="00F90A91" w:rsidRDefault="00FB31ED" w:rsidP="00D23E4C">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1B6B57">
      <w:rPr>
        <w:rFonts w:cs="Arial"/>
        <w:b/>
        <w:noProof/>
      </w:rPr>
      <w:t>1</w:t>
    </w:r>
    <w:r w:rsidRPr="00836F75">
      <w:rPr>
        <w:rFonts w:cs="Arial"/>
        <w:b/>
        <w:noProof/>
      </w:rPr>
      <w:fldChar w:fldCharType="end"/>
    </w:r>
    <w:r>
      <w:rPr>
        <w:rFonts w:cs="Arial"/>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30D" w:rsidRDefault="00595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30D" w:rsidRDefault="0059530D" w:rsidP="00124A51">
      <w:r>
        <w:separator/>
      </w:r>
    </w:p>
    <w:p w:rsidR="0059530D" w:rsidRDefault="0059530D"/>
  </w:footnote>
  <w:footnote w:type="continuationSeparator" w:id="0">
    <w:p w:rsidR="0059530D" w:rsidRDefault="0059530D" w:rsidP="00124A51">
      <w:r>
        <w:continuationSeparator/>
      </w:r>
    </w:p>
    <w:p w:rsidR="0059530D" w:rsidRDefault="0059530D"/>
  </w:footnote>
  <w:footnote w:id="1">
    <w:p w:rsidR="00FB31ED" w:rsidRPr="00C179E4" w:rsidRDefault="00FB31ED">
      <w:pPr>
        <w:pStyle w:val="FootnoteText"/>
        <w:rPr>
          <w:lang w:val="en-AU"/>
        </w:rPr>
      </w:pPr>
      <w:r>
        <w:rPr>
          <w:rStyle w:val="FootnoteReference"/>
        </w:rPr>
        <w:footnoteRef/>
      </w:r>
      <w:r>
        <w:t xml:space="preserve"> </w:t>
      </w:r>
      <w:r w:rsidRPr="00C179E4">
        <w:t>Samjoo IA, Worthington E, Haltner A, et al. Matching-adjusted indirect treatment comparison of siponimod and other disease modifying treatments in secondary progressive multiple sclerosis. Curr Med Res Opin. 2020;</w:t>
      </w:r>
      <w:r>
        <w:t xml:space="preserve"> </w:t>
      </w:r>
      <w:r w:rsidRPr="00C179E4">
        <w:t xml:space="preserve">36(7):1157-1166.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30D" w:rsidRDefault="00595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ED" w:rsidRPr="00056684" w:rsidRDefault="00FB31ED" w:rsidP="00D23E4C">
    <w:pPr>
      <w:pStyle w:val="Header"/>
      <w:ind w:left="360"/>
      <w:rPr>
        <w:rFonts w:asciiTheme="minorHAnsi" w:hAnsiTheme="minorHAnsi" w:cs="Arial"/>
        <w:i/>
        <w:color w:val="808080"/>
      </w:rPr>
    </w:pPr>
    <w:r>
      <w:rPr>
        <w:rFonts w:asciiTheme="minorHAnsi" w:hAnsiTheme="minorHAnsi" w:cs="Arial"/>
        <w:i/>
        <w:color w:val="808080"/>
      </w:rPr>
      <w:t>Public Summary Document</w:t>
    </w:r>
    <w:r w:rsidRPr="00056684">
      <w:rPr>
        <w:rFonts w:asciiTheme="minorHAnsi" w:hAnsiTheme="minorHAnsi" w:cs="Arial"/>
        <w:i/>
        <w:color w:val="808080"/>
      </w:rPr>
      <w:t xml:space="preserve"> – </w:t>
    </w:r>
    <w:r>
      <w:rPr>
        <w:rFonts w:asciiTheme="minorHAnsi" w:hAnsiTheme="minorHAnsi" w:cs="Arial"/>
        <w:i/>
        <w:color w:val="808080"/>
      </w:rPr>
      <w:t>July 2020</w:t>
    </w:r>
    <w:r w:rsidRPr="00056684">
      <w:rPr>
        <w:rFonts w:asciiTheme="minorHAnsi" w:hAnsiTheme="minorHAnsi" w:cs="Arial"/>
        <w:i/>
        <w:color w:val="808080"/>
      </w:rPr>
      <w:t xml:space="preserve"> PBAC Meeting</w:t>
    </w:r>
  </w:p>
  <w:p w:rsidR="00FB31ED" w:rsidRPr="008C7ECB" w:rsidRDefault="00FB3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30D" w:rsidRDefault="00595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364C5D"/>
    <w:multiLevelType w:val="hybridMultilevel"/>
    <w:tmpl w:val="C3EE02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10FED"/>
    <w:multiLevelType w:val="hybridMultilevel"/>
    <w:tmpl w:val="B27CAD4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AC65C8D"/>
    <w:multiLevelType w:val="hybridMultilevel"/>
    <w:tmpl w:val="C7CEB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80296"/>
    <w:multiLevelType w:val="hybridMultilevel"/>
    <w:tmpl w:val="9362AB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59C08764">
      <w:start w:val="5"/>
      <w:numFmt w:val="bullet"/>
      <w:lvlText w:val="-"/>
      <w:lvlJc w:val="left"/>
      <w:pPr>
        <w:ind w:left="1800" w:hanging="360"/>
      </w:pPr>
      <w:rPr>
        <w:rFonts w:ascii="Calibri" w:eastAsia="Times New Roman"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29081D"/>
    <w:multiLevelType w:val="hybridMultilevel"/>
    <w:tmpl w:val="1DB8733C"/>
    <w:lvl w:ilvl="0" w:tplc="0C090001">
      <w:start w:val="1"/>
      <w:numFmt w:val="bullet"/>
      <w:lvlText w:val=""/>
      <w:lvlJc w:val="left"/>
      <w:pPr>
        <w:ind w:left="971" w:hanging="360"/>
      </w:pPr>
      <w:rPr>
        <w:rFonts w:ascii="Symbol" w:hAnsi="Symbol" w:hint="default"/>
      </w:rPr>
    </w:lvl>
    <w:lvl w:ilvl="1" w:tplc="0C090003">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DA767A"/>
    <w:multiLevelType w:val="hybridMultilevel"/>
    <w:tmpl w:val="DE526D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152210"/>
    <w:multiLevelType w:val="hybridMultilevel"/>
    <w:tmpl w:val="BDFCED3A"/>
    <w:lvl w:ilvl="0" w:tplc="304ADCCE">
      <w:start w:val="1"/>
      <w:numFmt w:val="decimal"/>
      <w:lvlText w:val="%1."/>
      <w:lvlJc w:val="left"/>
      <w:pPr>
        <w:ind w:left="720" w:hanging="360"/>
      </w:pPr>
      <w:rPr>
        <w:rFonts w:hint="default"/>
        <w:b w:val="0"/>
      </w:rPr>
    </w:lvl>
    <w:lvl w:ilvl="1" w:tplc="7C4CFBC2">
      <w:numFmt w:val="bullet"/>
      <w:lvlText w:val="•"/>
      <w:lvlJc w:val="left"/>
      <w:pPr>
        <w:ind w:left="1800" w:hanging="720"/>
      </w:pPr>
      <w:rPr>
        <w:rFonts w:ascii="Calibri" w:eastAsia="Times New Roman"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5C79D4"/>
    <w:multiLevelType w:val="hybridMultilevel"/>
    <w:tmpl w:val="009CD5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AEB3FEA"/>
    <w:multiLevelType w:val="hybridMultilevel"/>
    <w:tmpl w:val="1C844A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CDE693E"/>
    <w:multiLevelType w:val="hybridMultilevel"/>
    <w:tmpl w:val="5942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91CFB"/>
    <w:multiLevelType w:val="hybridMultilevel"/>
    <w:tmpl w:val="12EC38E6"/>
    <w:lvl w:ilvl="0" w:tplc="04090001">
      <w:start w:val="1"/>
      <w:numFmt w:val="bullet"/>
      <w:lvlText w:val=""/>
      <w:lvlJc w:val="left"/>
      <w:pPr>
        <w:ind w:left="390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6A5899"/>
    <w:multiLevelType w:val="hybridMultilevel"/>
    <w:tmpl w:val="38CA1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BFA2941"/>
    <w:multiLevelType w:val="hybridMultilevel"/>
    <w:tmpl w:val="33D03A0C"/>
    <w:lvl w:ilvl="0" w:tplc="1D746042">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10557B"/>
    <w:multiLevelType w:val="hybridMultilevel"/>
    <w:tmpl w:val="4ED81C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84D033C"/>
    <w:multiLevelType w:val="multilevel"/>
    <w:tmpl w:val="672802B0"/>
    <w:lvl w:ilvl="0">
      <w:start w:val="1"/>
      <w:numFmt w:val="decimal"/>
      <w:pStyle w:val="2-SectionHeading"/>
      <w:lvlText w:val="%1"/>
      <w:lvlJc w:val="left"/>
      <w:pPr>
        <w:ind w:left="720" w:hanging="720"/>
      </w:pPr>
      <w:rPr>
        <w:rFonts w:hint="default"/>
        <w:b/>
        <w:i w:val="0"/>
        <w:color w:val="auto"/>
        <w:sz w:val="32"/>
        <w:szCs w:val="32"/>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2"/>
  </w:num>
  <w:num w:numId="3">
    <w:abstractNumId w:val="23"/>
  </w:num>
  <w:num w:numId="4">
    <w:abstractNumId w:val="11"/>
  </w:num>
  <w:num w:numId="5">
    <w:abstractNumId w:val="19"/>
  </w:num>
  <w:num w:numId="6">
    <w:abstractNumId w:val="18"/>
  </w:num>
  <w:num w:numId="7">
    <w:abstractNumId w:val="5"/>
  </w:num>
  <w:num w:numId="8">
    <w:abstractNumId w:val="6"/>
  </w:num>
  <w:num w:numId="9">
    <w:abstractNumId w:val="15"/>
  </w:num>
  <w:num w:numId="10">
    <w:abstractNumId w:val="22"/>
  </w:num>
  <w:num w:numId="11">
    <w:abstractNumId w:val="10"/>
  </w:num>
  <w:num w:numId="12">
    <w:abstractNumId w:val="16"/>
  </w:num>
  <w:num w:numId="13">
    <w:abstractNumId w:val="23"/>
  </w:num>
  <w:num w:numId="14">
    <w:abstractNumId w:val="13"/>
  </w:num>
  <w:num w:numId="15">
    <w:abstractNumId w:val="14"/>
  </w:num>
  <w:num w:numId="16">
    <w:abstractNumId w:val="2"/>
  </w:num>
  <w:num w:numId="17">
    <w:abstractNumId w:val="0"/>
  </w:num>
  <w:num w:numId="18">
    <w:abstractNumId w:val="8"/>
  </w:num>
  <w:num w:numId="19">
    <w:abstractNumId w:val="9"/>
  </w:num>
  <w:num w:numId="20">
    <w:abstractNumId w:val="7"/>
  </w:num>
  <w:num w:numId="21">
    <w:abstractNumId w:val="3"/>
  </w:num>
  <w:num w:numId="22">
    <w:abstractNumId w:val="4"/>
  </w:num>
  <w:num w:numId="23">
    <w:abstractNumId w:val="17"/>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1"/>
  </w:num>
  <w:num w:numId="31">
    <w:abstractNumId w:val="23"/>
  </w:num>
  <w:num w:numId="32">
    <w:abstractNumId w:val="23"/>
  </w:num>
  <w:num w:numId="33">
    <w:abstractNumId w:val="23"/>
  </w:num>
  <w:num w:numId="34">
    <w:abstractNumId w:val="1"/>
  </w:num>
  <w:num w:numId="35">
    <w:abstractNumId w:val="20"/>
  </w:num>
  <w:num w:numId="3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EBA"/>
    <w:rsid w:val="00003499"/>
    <w:rsid w:val="000039B7"/>
    <w:rsid w:val="0000409D"/>
    <w:rsid w:val="000048EC"/>
    <w:rsid w:val="00004D23"/>
    <w:rsid w:val="00004D35"/>
    <w:rsid w:val="0000639A"/>
    <w:rsid w:val="00007635"/>
    <w:rsid w:val="00007753"/>
    <w:rsid w:val="00010171"/>
    <w:rsid w:val="00011999"/>
    <w:rsid w:val="00013247"/>
    <w:rsid w:val="000145FE"/>
    <w:rsid w:val="00014A40"/>
    <w:rsid w:val="00015548"/>
    <w:rsid w:val="00015886"/>
    <w:rsid w:val="00015BC4"/>
    <w:rsid w:val="000162EF"/>
    <w:rsid w:val="000173F1"/>
    <w:rsid w:val="000175AB"/>
    <w:rsid w:val="000207C9"/>
    <w:rsid w:val="0002225F"/>
    <w:rsid w:val="00023763"/>
    <w:rsid w:val="0002401C"/>
    <w:rsid w:val="000274B8"/>
    <w:rsid w:val="00030A55"/>
    <w:rsid w:val="000312A3"/>
    <w:rsid w:val="00033512"/>
    <w:rsid w:val="00033863"/>
    <w:rsid w:val="00035DC0"/>
    <w:rsid w:val="00036264"/>
    <w:rsid w:val="000365FF"/>
    <w:rsid w:val="00036829"/>
    <w:rsid w:val="00040895"/>
    <w:rsid w:val="00040FAA"/>
    <w:rsid w:val="00043276"/>
    <w:rsid w:val="000435EE"/>
    <w:rsid w:val="00043655"/>
    <w:rsid w:val="00043C37"/>
    <w:rsid w:val="00045006"/>
    <w:rsid w:val="00045017"/>
    <w:rsid w:val="00045A2B"/>
    <w:rsid w:val="0004698F"/>
    <w:rsid w:val="0004783E"/>
    <w:rsid w:val="00047A29"/>
    <w:rsid w:val="00050853"/>
    <w:rsid w:val="000539D0"/>
    <w:rsid w:val="0005415E"/>
    <w:rsid w:val="00054345"/>
    <w:rsid w:val="00054621"/>
    <w:rsid w:val="000546D7"/>
    <w:rsid w:val="000552A8"/>
    <w:rsid w:val="000552BA"/>
    <w:rsid w:val="00056ECF"/>
    <w:rsid w:val="000604DF"/>
    <w:rsid w:val="00060FAD"/>
    <w:rsid w:val="00063240"/>
    <w:rsid w:val="000653B5"/>
    <w:rsid w:val="00065B8C"/>
    <w:rsid w:val="00066360"/>
    <w:rsid w:val="00066AF8"/>
    <w:rsid w:val="00067596"/>
    <w:rsid w:val="0007014A"/>
    <w:rsid w:val="000709BB"/>
    <w:rsid w:val="00070CA5"/>
    <w:rsid w:val="00071248"/>
    <w:rsid w:val="000720B9"/>
    <w:rsid w:val="00072AB2"/>
    <w:rsid w:val="00072C68"/>
    <w:rsid w:val="000737F7"/>
    <w:rsid w:val="00073C41"/>
    <w:rsid w:val="00074958"/>
    <w:rsid w:val="000755D7"/>
    <w:rsid w:val="00075BDB"/>
    <w:rsid w:val="0007672F"/>
    <w:rsid w:val="00076B54"/>
    <w:rsid w:val="00077238"/>
    <w:rsid w:val="000774F0"/>
    <w:rsid w:val="00080909"/>
    <w:rsid w:val="000812CA"/>
    <w:rsid w:val="00081C78"/>
    <w:rsid w:val="00081E63"/>
    <w:rsid w:val="0008258D"/>
    <w:rsid w:val="00083538"/>
    <w:rsid w:val="00083E99"/>
    <w:rsid w:val="00084875"/>
    <w:rsid w:val="00084FA8"/>
    <w:rsid w:val="000856C5"/>
    <w:rsid w:val="00085C31"/>
    <w:rsid w:val="00086496"/>
    <w:rsid w:val="00086B3E"/>
    <w:rsid w:val="000902D9"/>
    <w:rsid w:val="00090C7E"/>
    <w:rsid w:val="00090D00"/>
    <w:rsid w:val="00092600"/>
    <w:rsid w:val="0009262B"/>
    <w:rsid w:val="00093310"/>
    <w:rsid w:val="0009445C"/>
    <w:rsid w:val="000947E0"/>
    <w:rsid w:val="00095200"/>
    <w:rsid w:val="00095816"/>
    <w:rsid w:val="00095FE5"/>
    <w:rsid w:val="00096284"/>
    <w:rsid w:val="000963ED"/>
    <w:rsid w:val="00096AF4"/>
    <w:rsid w:val="000A12B0"/>
    <w:rsid w:val="000A15B0"/>
    <w:rsid w:val="000A1BC0"/>
    <w:rsid w:val="000A30CF"/>
    <w:rsid w:val="000A343D"/>
    <w:rsid w:val="000A37E8"/>
    <w:rsid w:val="000A4F4F"/>
    <w:rsid w:val="000A52C5"/>
    <w:rsid w:val="000A6039"/>
    <w:rsid w:val="000A7453"/>
    <w:rsid w:val="000A7D08"/>
    <w:rsid w:val="000B0121"/>
    <w:rsid w:val="000B0670"/>
    <w:rsid w:val="000B0E75"/>
    <w:rsid w:val="000B28CF"/>
    <w:rsid w:val="000B2D0F"/>
    <w:rsid w:val="000B2DCB"/>
    <w:rsid w:val="000B427F"/>
    <w:rsid w:val="000B4754"/>
    <w:rsid w:val="000B5CE0"/>
    <w:rsid w:val="000B600D"/>
    <w:rsid w:val="000B6346"/>
    <w:rsid w:val="000B6AE0"/>
    <w:rsid w:val="000B6CAC"/>
    <w:rsid w:val="000B7612"/>
    <w:rsid w:val="000B78AE"/>
    <w:rsid w:val="000C17B5"/>
    <w:rsid w:val="000C3DF9"/>
    <w:rsid w:val="000C451B"/>
    <w:rsid w:val="000C5F00"/>
    <w:rsid w:val="000C6713"/>
    <w:rsid w:val="000C6991"/>
    <w:rsid w:val="000C77C5"/>
    <w:rsid w:val="000D1BBA"/>
    <w:rsid w:val="000D1BFC"/>
    <w:rsid w:val="000D1D5D"/>
    <w:rsid w:val="000D23D9"/>
    <w:rsid w:val="000D281A"/>
    <w:rsid w:val="000D2848"/>
    <w:rsid w:val="000D326A"/>
    <w:rsid w:val="000D36D1"/>
    <w:rsid w:val="000D51FB"/>
    <w:rsid w:val="000D5ADA"/>
    <w:rsid w:val="000D65EA"/>
    <w:rsid w:val="000D6C19"/>
    <w:rsid w:val="000D7430"/>
    <w:rsid w:val="000E0640"/>
    <w:rsid w:val="000E135D"/>
    <w:rsid w:val="000E1AAE"/>
    <w:rsid w:val="000E30D5"/>
    <w:rsid w:val="000E4404"/>
    <w:rsid w:val="000E4A6A"/>
    <w:rsid w:val="000E57AB"/>
    <w:rsid w:val="000E70DF"/>
    <w:rsid w:val="000F00BA"/>
    <w:rsid w:val="000F10C9"/>
    <w:rsid w:val="000F12CA"/>
    <w:rsid w:val="000F2FA1"/>
    <w:rsid w:val="000F316A"/>
    <w:rsid w:val="000F3C74"/>
    <w:rsid w:val="000F4BB8"/>
    <w:rsid w:val="000F4FA9"/>
    <w:rsid w:val="000F53FB"/>
    <w:rsid w:val="000F57B1"/>
    <w:rsid w:val="000F6B3B"/>
    <w:rsid w:val="000F7127"/>
    <w:rsid w:val="000F748C"/>
    <w:rsid w:val="000F7B54"/>
    <w:rsid w:val="00100F8A"/>
    <w:rsid w:val="00103C09"/>
    <w:rsid w:val="0010452E"/>
    <w:rsid w:val="00105AE2"/>
    <w:rsid w:val="00105F3E"/>
    <w:rsid w:val="001060C6"/>
    <w:rsid w:val="00106B80"/>
    <w:rsid w:val="0011032E"/>
    <w:rsid w:val="00110434"/>
    <w:rsid w:val="00110BBD"/>
    <w:rsid w:val="0011348B"/>
    <w:rsid w:val="001135E5"/>
    <w:rsid w:val="00114078"/>
    <w:rsid w:val="00114EDC"/>
    <w:rsid w:val="00115982"/>
    <w:rsid w:val="00116C53"/>
    <w:rsid w:val="00116CBA"/>
    <w:rsid w:val="00120056"/>
    <w:rsid w:val="0012146D"/>
    <w:rsid w:val="00121799"/>
    <w:rsid w:val="001220CB"/>
    <w:rsid w:val="001222FC"/>
    <w:rsid w:val="001224E2"/>
    <w:rsid w:val="00122D65"/>
    <w:rsid w:val="00123902"/>
    <w:rsid w:val="00123EEC"/>
    <w:rsid w:val="00124A51"/>
    <w:rsid w:val="00126075"/>
    <w:rsid w:val="00126621"/>
    <w:rsid w:val="00126842"/>
    <w:rsid w:val="00126B1D"/>
    <w:rsid w:val="001301E9"/>
    <w:rsid w:val="00130AEB"/>
    <w:rsid w:val="00131C5E"/>
    <w:rsid w:val="00131D82"/>
    <w:rsid w:val="00132B22"/>
    <w:rsid w:val="00133D36"/>
    <w:rsid w:val="001369FB"/>
    <w:rsid w:val="00137645"/>
    <w:rsid w:val="0014015A"/>
    <w:rsid w:val="00140E99"/>
    <w:rsid w:val="00141021"/>
    <w:rsid w:val="0014247E"/>
    <w:rsid w:val="00142C23"/>
    <w:rsid w:val="00143F67"/>
    <w:rsid w:val="00145540"/>
    <w:rsid w:val="001456B0"/>
    <w:rsid w:val="00147D98"/>
    <w:rsid w:val="00150172"/>
    <w:rsid w:val="00156F8F"/>
    <w:rsid w:val="00157130"/>
    <w:rsid w:val="0015743F"/>
    <w:rsid w:val="001576B1"/>
    <w:rsid w:val="001600E9"/>
    <w:rsid w:val="0016047B"/>
    <w:rsid w:val="00160A4C"/>
    <w:rsid w:val="00160EC0"/>
    <w:rsid w:val="001613BF"/>
    <w:rsid w:val="00161CD8"/>
    <w:rsid w:val="00162913"/>
    <w:rsid w:val="00163EFF"/>
    <w:rsid w:val="00163F66"/>
    <w:rsid w:val="001661FB"/>
    <w:rsid w:val="001671A0"/>
    <w:rsid w:val="0016767F"/>
    <w:rsid w:val="001722F6"/>
    <w:rsid w:val="00173565"/>
    <w:rsid w:val="00173B07"/>
    <w:rsid w:val="001751FA"/>
    <w:rsid w:val="001758AB"/>
    <w:rsid w:val="00181D9C"/>
    <w:rsid w:val="001824B5"/>
    <w:rsid w:val="001832C9"/>
    <w:rsid w:val="00184B0E"/>
    <w:rsid w:val="0018752F"/>
    <w:rsid w:val="00190E3E"/>
    <w:rsid w:val="00191563"/>
    <w:rsid w:val="00191A70"/>
    <w:rsid w:val="00192A40"/>
    <w:rsid w:val="00193013"/>
    <w:rsid w:val="001936F3"/>
    <w:rsid w:val="00193838"/>
    <w:rsid w:val="00194077"/>
    <w:rsid w:val="00194AD8"/>
    <w:rsid w:val="00195222"/>
    <w:rsid w:val="001975D8"/>
    <w:rsid w:val="00197D6C"/>
    <w:rsid w:val="001A178E"/>
    <w:rsid w:val="001A2CB0"/>
    <w:rsid w:val="001A43FA"/>
    <w:rsid w:val="001A47C5"/>
    <w:rsid w:val="001A59FB"/>
    <w:rsid w:val="001A5E9E"/>
    <w:rsid w:val="001A602D"/>
    <w:rsid w:val="001A62E8"/>
    <w:rsid w:val="001A6354"/>
    <w:rsid w:val="001A6366"/>
    <w:rsid w:val="001A6993"/>
    <w:rsid w:val="001A700C"/>
    <w:rsid w:val="001A7AE8"/>
    <w:rsid w:val="001B204E"/>
    <w:rsid w:val="001B21FE"/>
    <w:rsid w:val="001B2372"/>
    <w:rsid w:val="001B32F5"/>
    <w:rsid w:val="001B3443"/>
    <w:rsid w:val="001B4ABA"/>
    <w:rsid w:val="001B4C10"/>
    <w:rsid w:val="001B4D20"/>
    <w:rsid w:val="001B5B30"/>
    <w:rsid w:val="001B5CBC"/>
    <w:rsid w:val="001B6B57"/>
    <w:rsid w:val="001C1E57"/>
    <w:rsid w:val="001C1F27"/>
    <w:rsid w:val="001C2A9B"/>
    <w:rsid w:val="001C2C2C"/>
    <w:rsid w:val="001C318B"/>
    <w:rsid w:val="001C4299"/>
    <w:rsid w:val="001C4874"/>
    <w:rsid w:val="001C4BFD"/>
    <w:rsid w:val="001C5F94"/>
    <w:rsid w:val="001C67EB"/>
    <w:rsid w:val="001C6E66"/>
    <w:rsid w:val="001C73FD"/>
    <w:rsid w:val="001D1100"/>
    <w:rsid w:val="001D1391"/>
    <w:rsid w:val="001D1A43"/>
    <w:rsid w:val="001D25D7"/>
    <w:rsid w:val="001D50B2"/>
    <w:rsid w:val="001D50ED"/>
    <w:rsid w:val="001D7645"/>
    <w:rsid w:val="001E1E86"/>
    <w:rsid w:val="001E238E"/>
    <w:rsid w:val="001E2483"/>
    <w:rsid w:val="001E2B1E"/>
    <w:rsid w:val="001E2CFF"/>
    <w:rsid w:val="001E2F24"/>
    <w:rsid w:val="001E30D4"/>
    <w:rsid w:val="001E34DF"/>
    <w:rsid w:val="001E3587"/>
    <w:rsid w:val="001E52EB"/>
    <w:rsid w:val="001E61D2"/>
    <w:rsid w:val="001E6B3F"/>
    <w:rsid w:val="001E6C1E"/>
    <w:rsid w:val="001E6C9D"/>
    <w:rsid w:val="001E740C"/>
    <w:rsid w:val="001F01FD"/>
    <w:rsid w:val="001F067F"/>
    <w:rsid w:val="001F0943"/>
    <w:rsid w:val="001F0F63"/>
    <w:rsid w:val="001F1235"/>
    <w:rsid w:val="001F1CB3"/>
    <w:rsid w:val="001F38B5"/>
    <w:rsid w:val="001F4081"/>
    <w:rsid w:val="001F517F"/>
    <w:rsid w:val="001F5265"/>
    <w:rsid w:val="001F6073"/>
    <w:rsid w:val="001F69EB"/>
    <w:rsid w:val="001F7032"/>
    <w:rsid w:val="001F7361"/>
    <w:rsid w:val="001F78B1"/>
    <w:rsid w:val="002011B0"/>
    <w:rsid w:val="0020218C"/>
    <w:rsid w:val="002026AA"/>
    <w:rsid w:val="00203181"/>
    <w:rsid w:val="00203783"/>
    <w:rsid w:val="0020385F"/>
    <w:rsid w:val="0020526C"/>
    <w:rsid w:val="00205795"/>
    <w:rsid w:val="002068A0"/>
    <w:rsid w:val="00207021"/>
    <w:rsid w:val="0020732F"/>
    <w:rsid w:val="00207D00"/>
    <w:rsid w:val="002105C1"/>
    <w:rsid w:val="00211141"/>
    <w:rsid w:val="00211BBD"/>
    <w:rsid w:val="00212B4F"/>
    <w:rsid w:val="00213EF5"/>
    <w:rsid w:val="00216BF5"/>
    <w:rsid w:val="00216FAA"/>
    <w:rsid w:val="00217103"/>
    <w:rsid w:val="0022026D"/>
    <w:rsid w:val="002212F6"/>
    <w:rsid w:val="00223B49"/>
    <w:rsid w:val="00223D5A"/>
    <w:rsid w:val="00224DD4"/>
    <w:rsid w:val="00227869"/>
    <w:rsid w:val="002278A0"/>
    <w:rsid w:val="00227FEE"/>
    <w:rsid w:val="002303BD"/>
    <w:rsid w:val="002309CC"/>
    <w:rsid w:val="00230D05"/>
    <w:rsid w:val="0023209F"/>
    <w:rsid w:val="002335DB"/>
    <w:rsid w:val="002337DA"/>
    <w:rsid w:val="0023387F"/>
    <w:rsid w:val="00233C01"/>
    <w:rsid w:val="0023413C"/>
    <w:rsid w:val="002346F0"/>
    <w:rsid w:val="0023629D"/>
    <w:rsid w:val="00236EC1"/>
    <w:rsid w:val="00237255"/>
    <w:rsid w:val="00240D3C"/>
    <w:rsid w:val="002411EB"/>
    <w:rsid w:val="0024199C"/>
    <w:rsid w:val="00241FA0"/>
    <w:rsid w:val="002424AF"/>
    <w:rsid w:val="002439DC"/>
    <w:rsid w:val="002441D2"/>
    <w:rsid w:val="00244DC8"/>
    <w:rsid w:val="00245485"/>
    <w:rsid w:val="002458BA"/>
    <w:rsid w:val="00245CE9"/>
    <w:rsid w:val="0024636C"/>
    <w:rsid w:val="00246905"/>
    <w:rsid w:val="00247157"/>
    <w:rsid w:val="00247401"/>
    <w:rsid w:val="00247925"/>
    <w:rsid w:val="00251006"/>
    <w:rsid w:val="002517EB"/>
    <w:rsid w:val="002524D5"/>
    <w:rsid w:val="00253831"/>
    <w:rsid w:val="00253B1D"/>
    <w:rsid w:val="00254DCF"/>
    <w:rsid w:val="0025534B"/>
    <w:rsid w:val="00255BB7"/>
    <w:rsid w:val="00256DCD"/>
    <w:rsid w:val="00257541"/>
    <w:rsid w:val="00257724"/>
    <w:rsid w:val="00257A39"/>
    <w:rsid w:val="00257AC4"/>
    <w:rsid w:val="00261EEF"/>
    <w:rsid w:val="00262A1A"/>
    <w:rsid w:val="00262A87"/>
    <w:rsid w:val="00264D26"/>
    <w:rsid w:val="00266F45"/>
    <w:rsid w:val="00267642"/>
    <w:rsid w:val="00267AEA"/>
    <w:rsid w:val="00267ECE"/>
    <w:rsid w:val="002700E6"/>
    <w:rsid w:val="00270241"/>
    <w:rsid w:val="0027070D"/>
    <w:rsid w:val="00270A81"/>
    <w:rsid w:val="002712A1"/>
    <w:rsid w:val="00271AF2"/>
    <w:rsid w:val="00271E5D"/>
    <w:rsid w:val="002727F9"/>
    <w:rsid w:val="0027294B"/>
    <w:rsid w:val="00273796"/>
    <w:rsid w:val="00273A06"/>
    <w:rsid w:val="00273EB4"/>
    <w:rsid w:val="00273EF1"/>
    <w:rsid w:val="00274682"/>
    <w:rsid w:val="00275C5A"/>
    <w:rsid w:val="00276AC9"/>
    <w:rsid w:val="00276F8D"/>
    <w:rsid w:val="00281014"/>
    <w:rsid w:val="0028319A"/>
    <w:rsid w:val="002855BE"/>
    <w:rsid w:val="00285701"/>
    <w:rsid w:val="0028665D"/>
    <w:rsid w:val="002867BE"/>
    <w:rsid w:val="00286E3F"/>
    <w:rsid w:val="00291644"/>
    <w:rsid w:val="00292217"/>
    <w:rsid w:val="0029363B"/>
    <w:rsid w:val="00294656"/>
    <w:rsid w:val="00295F16"/>
    <w:rsid w:val="002A0BF6"/>
    <w:rsid w:val="002A14AB"/>
    <w:rsid w:val="002A1B02"/>
    <w:rsid w:val="002A2ADE"/>
    <w:rsid w:val="002A2F50"/>
    <w:rsid w:val="002A30D8"/>
    <w:rsid w:val="002A3AEF"/>
    <w:rsid w:val="002A492C"/>
    <w:rsid w:val="002A641A"/>
    <w:rsid w:val="002B05A1"/>
    <w:rsid w:val="002B09A4"/>
    <w:rsid w:val="002B1C1F"/>
    <w:rsid w:val="002B2D36"/>
    <w:rsid w:val="002B432F"/>
    <w:rsid w:val="002B62B3"/>
    <w:rsid w:val="002B6754"/>
    <w:rsid w:val="002B6AE6"/>
    <w:rsid w:val="002B6CCE"/>
    <w:rsid w:val="002C1D8C"/>
    <w:rsid w:val="002C2510"/>
    <w:rsid w:val="002C2775"/>
    <w:rsid w:val="002C27C1"/>
    <w:rsid w:val="002C3D32"/>
    <w:rsid w:val="002C5099"/>
    <w:rsid w:val="002C5889"/>
    <w:rsid w:val="002C6514"/>
    <w:rsid w:val="002C6C4F"/>
    <w:rsid w:val="002C6D4B"/>
    <w:rsid w:val="002C71CE"/>
    <w:rsid w:val="002C75ED"/>
    <w:rsid w:val="002D08F8"/>
    <w:rsid w:val="002D17F6"/>
    <w:rsid w:val="002D1B87"/>
    <w:rsid w:val="002D3BE6"/>
    <w:rsid w:val="002D5282"/>
    <w:rsid w:val="002D577C"/>
    <w:rsid w:val="002D703D"/>
    <w:rsid w:val="002E0637"/>
    <w:rsid w:val="002E1071"/>
    <w:rsid w:val="002E15B9"/>
    <w:rsid w:val="002E2158"/>
    <w:rsid w:val="002E21F2"/>
    <w:rsid w:val="002E22D3"/>
    <w:rsid w:val="002E23E7"/>
    <w:rsid w:val="002E3525"/>
    <w:rsid w:val="002E3ECE"/>
    <w:rsid w:val="002E4E29"/>
    <w:rsid w:val="002E4F02"/>
    <w:rsid w:val="002E6F35"/>
    <w:rsid w:val="002E72DE"/>
    <w:rsid w:val="002E7722"/>
    <w:rsid w:val="002F07BA"/>
    <w:rsid w:val="002F0DA9"/>
    <w:rsid w:val="002F1014"/>
    <w:rsid w:val="002F1CE2"/>
    <w:rsid w:val="002F366E"/>
    <w:rsid w:val="002F467A"/>
    <w:rsid w:val="002F57A2"/>
    <w:rsid w:val="002F643C"/>
    <w:rsid w:val="002F71C0"/>
    <w:rsid w:val="002F74F1"/>
    <w:rsid w:val="002F7AFF"/>
    <w:rsid w:val="002F7D5B"/>
    <w:rsid w:val="00300BD9"/>
    <w:rsid w:val="00301017"/>
    <w:rsid w:val="0030155F"/>
    <w:rsid w:val="003021C4"/>
    <w:rsid w:val="00303106"/>
    <w:rsid w:val="00303AE2"/>
    <w:rsid w:val="003046B2"/>
    <w:rsid w:val="003054C3"/>
    <w:rsid w:val="0030587B"/>
    <w:rsid w:val="00306D98"/>
    <w:rsid w:val="0030758D"/>
    <w:rsid w:val="0030779B"/>
    <w:rsid w:val="0030786C"/>
    <w:rsid w:val="0031031A"/>
    <w:rsid w:val="00310981"/>
    <w:rsid w:val="00311BDB"/>
    <w:rsid w:val="003124D9"/>
    <w:rsid w:val="00312594"/>
    <w:rsid w:val="003125EB"/>
    <w:rsid w:val="00315498"/>
    <w:rsid w:val="003154B9"/>
    <w:rsid w:val="00315687"/>
    <w:rsid w:val="00315CE4"/>
    <w:rsid w:val="00315F6D"/>
    <w:rsid w:val="00316474"/>
    <w:rsid w:val="003167CF"/>
    <w:rsid w:val="00317695"/>
    <w:rsid w:val="003201C9"/>
    <w:rsid w:val="00320697"/>
    <w:rsid w:val="0032080A"/>
    <w:rsid w:val="00322107"/>
    <w:rsid w:val="00322285"/>
    <w:rsid w:val="00322355"/>
    <w:rsid w:val="00322846"/>
    <w:rsid w:val="00322A56"/>
    <w:rsid w:val="00326DA7"/>
    <w:rsid w:val="003270E4"/>
    <w:rsid w:val="00330DAA"/>
    <w:rsid w:val="00330F5C"/>
    <w:rsid w:val="00331F5A"/>
    <w:rsid w:val="00334679"/>
    <w:rsid w:val="0033483B"/>
    <w:rsid w:val="003351C0"/>
    <w:rsid w:val="003366C9"/>
    <w:rsid w:val="00336867"/>
    <w:rsid w:val="003371B0"/>
    <w:rsid w:val="003374FD"/>
    <w:rsid w:val="0034007F"/>
    <w:rsid w:val="00340DF1"/>
    <w:rsid w:val="003418CA"/>
    <w:rsid w:val="0034382E"/>
    <w:rsid w:val="00346AD1"/>
    <w:rsid w:val="003478EE"/>
    <w:rsid w:val="00351585"/>
    <w:rsid w:val="00351676"/>
    <w:rsid w:val="003517F9"/>
    <w:rsid w:val="00351BA9"/>
    <w:rsid w:val="00354F64"/>
    <w:rsid w:val="003558B9"/>
    <w:rsid w:val="0035620E"/>
    <w:rsid w:val="00360345"/>
    <w:rsid w:val="00361A05"/>
    <w:rsid w:val="003624C4"/>
    <w:rsid w:val="00363B00"/>
    <w:rsid w:val="003654AC"/>
    <w:rsid w:val="003655AA"/>
    <w:rsid w:val="0036628B"/>
    <w:rsid w:val="00367CAF"/>
    <w:rsid w:val="00370062"/>
    <w:rsid w:val="00370BCE"/>
    <w:rsid w:val="003710CF"/>
    <w:rsid w:val="00371EAC"/>
    <w:rsid w:val="0037358A"/>
    <w:rsid w:val="003750F6"/>
    <w:rsid w:val="003760FC"/>
    <w:rsid w:val="003765EF"/>
    <w:rsid w:val="0038365C"/>
    <w:rsid w:val="0038369B"/>
    <w:rsid w:val="00383B78"/>
    <w:rsid w:val="003855EF"/>
    <w:rsid w:val="00385A9D"/>
    <w:rsid w:val="00386F43"/>
    <w:rsid w:val="003902B1"/>
    <w:rsid w:val="0039179C"/>
    <w:rsid w:val="00392BF4"/>
    <w:rsid w:val="00396280"/>
    <w:rsid w:val="00396896"/>
    <w:rsid w:val="00396C40"/>
    <w:rsid w:val="00396FD0"/>
    <w:rsid w:val="003A0C1E"/>
    <w:rsid w:val="003A1A7A"/>
    <w:rsid w:val="003A2392"/>
    <w:rsid w:val="003A2831"/>
    <w:rsid w:val="003A2D74"/>
    <w:rsid w:val="003A3CB6"/>
    <w:rsid w:val="003A3EBA"/>
    <w:rsid w:val="003A3ED1"/>
    <w:rsid w:val="003A44DB"/>
    <w:rsid w:val="003A4BEA"/>
    <w:rsid w:val="003B00F8"/>
    <w:rsid w:val="003B3914"/>
    <w:rsid w:val="003B3971"/>
    <w:rsid w:val="003B55D1"/>
    <w:rsid w:val="003B5B61"/>
    <w:rsid w:val="003B6CE4"/>
    <w:rsid w:val="003C0833"/>
    <w:rsid w:val="003C09DB"/>
    <w:rsid w:val="003C0D06"/>
    <w:rsid w:val="003C1654"/>
    <w:rsid w:val="003C1F34"/>
    <w:rsid w:val="003C5542"/>
    <w:rsid w:val="003C61CC"/>
    <w:rsid w:val="003C7D19"/>
    <w:rsid w:val="003C7D2F"/>
    <w:rsid w:val="003D1828"/>
    <w:rsid w:val="003D1DE4"/>
    <w:rsid w:val="003D1E9A"/>
    <w:rsid w:val="003D2422"/>
    <w:rsid w:val="003D31E6"/>
    <w:rsid w:val="003D39A1"/>
    <w:rsid w:val="003D3FBF"/>
    <w:rsid w:val="003D4A30"/>
    <w:rsid w:val="003D5DAB"/>
    <w:rsid w:val="003D7452"/>
    <w:rsid w:val="003D7943"/>
    <w:rsid w:val="003D79BB"/>
    <w:rsid w:val="003D7C98"/>
    <w:rsid w:val="003D7D9D"/>
    <w:rsid w:val="003E0543"/>
    <w:rsid w:val="003E285C"/>
    <w:rsid w:val="003E4C07"/>
    <w:rsid w:val="003E575F"/>
    <w:rsid w:val="003E749E"/>
    <w:rsid w:val="003F4156"/>
    <w:rsid w:val="003F5ADF"/>
    <w:rsid w:val="0040011E"/>
    <w:rsid w:val="00400B29"/>
    <w:rsid w:val="00401211"/>
    <w:rsid w:val="00401CB4"/>
    <w:rsid w:val="00402BE8"/>
    <w:rsid w:val="00403054"/>
    <w:rsid w:val="0040334D"/>
    <w:rsid w:val="004034B6"/>
    <w:rsid w:val="0040459F"/>
    <w:rsid w:val="0040504B"/>
    <w:rsid w:val="004051A2"/>
    <w:rsid w:val="004059F4"/>
    <w:rsid w:val="00407FE5"/>
    <w:rsid w:val="004101B0"/>
    <w:rsid w:val="00410326"/>
    <w:rsid w:val="004106B2"/>
    <w:rsid w:val="00410708"/>
    <w:rsid w:val="00410EC7"/>
    <w:rsid w:val="00411B39"/>
    <w:rsid w:val="004127A7"/>
    <w:rsid w:val="00413A1E"/>
    <w:rsid w:val="00414476"/>
    <w:rsid w:val="00414C2E"/>
    <w:rsid w:val="004151CF"/>
    <w:rsid w:val="00415BE6"/>
    <w:rsid w:val="00416364"/>
    <w:rsid w:val="0041644C"/>
    <w:rsid w:val="00417B14"/>
    <w:rsid w:val="004203E4"/>
    <w:rsid w:val="0042047F"/>
    <w:rsid w:val="00420AA6"/>
    <w:rsid w:val="00420B9F"/>
    <w:rsid w:val="0042192C"/>
    <w:rsid w:val="00422260"/>
    <w:rsid w:val="00423432"/>
    <w:rsid w:val="0042382F"/>
    <w:rsid w:val="0042413F"/>
    <w:rsid w:val="0043006D"/>
    <w:rsid w:val="004319F8"/>
    <w:rsid w:val="00431E55"/>
    <w:rsid w:val="004321F6"/>
    <w:rsid w:val="00433044"/>
    <w:rsid w:val="00434088"/>
    <w:rsid w:val="00435B8C"/>
    <w:rsid w:val="00435F66"/>
    <w:rsid w:val="004367E9"/>
    <w:rsid w:val="00436F30"/>
    <w:rsid w:val="004375B9"/>
    <w:rsid w:val="00437B66"/>
    <w:rsid w:val="00437C93"/>
    <w:rsid w:val="004428D0"/>
    <w:rsid w:val="00442A0E"/>
    <w:rsid w:val="00444185"/>
    <w:rsid w:val="004443A7"/>
    <w:rsid w:val="0044442C"/>
    <w:rsid w:val="004447C4"/>
    <w:rsid w:val="004451F6"/>
    <w:rsid w:val="00445941"/>
    <w:rsid w:val="0044599E"/>
    <w:rsid w:val="004464EB"/>
    <w:rsid w:val="00447B5F"/>
    <w:rsid w:val="00447D26"/>
    <w:rsid w:val="00447DFC"/>
    <w:rsid w:val="00450E1D"/>
    <w:rsid w:val="00454887"/>
    <w:rsid w:val="004558A5"/>
    <w:rsid w:val="004558DB"/>
    <w:rsid w:val="00455D45"/>
    <w:rsid w:val="004577F0"/>
    <w:rsid w:val="004607E9"/>
    <w:rsid w:val="00461050"/>
    <w:rsid w:val="00463995"/>
    <w:rsid w:val="004641ED"/>
    <w:rsid w:val="00464595"/>
    <w:rsid w:val="004658B5"/>
    <w:rsid w:val="004702B8"/>
    <w:rsid w:val="00471D8C"/>
    <w:rsid w:val="00471E7D"/>
    <w:rsid w:val="00471EA5"/>
    <w:rsid w:val="00472A79"/>
    <w:rsid w:val="0047356C"/>
    <w:rsid w:val="00473F19"/>
    <w:rsid w:val="00475E22"/>
    <w:rsid w:val="00475FE2"/>
    <w:rsid w:val="00476616"/>
    <w:rsid w:val="00476E60"/>
    <w:rsid w:val="00477F46"/>
    <w:rsid w:val="0048088E"/>
    <w:rsid w:val="00480F2B"/>
    <w:rsid w:val="00482720"/>
    <w:rsid w:val="00482F68"/>
    <w:rsid w:val="004835E7"/>
    <w:rsid w:val="00483B7E"/>
    <w:rsid w:val="0048418C"/>
    <w:rsid w:val="0048431A"/>
    <w:rsid w:val="00485BCC"/>
    <w:rsid w:val="004867E2"/>
    <w:rsid w:val="0048709C"/>
    <w:rsid w:val="00487EFB"/>
    <w:rsid w:val="0049076B"/>
    <w:rsid w:val="00490B17"/>
    <w:rsid w:val="00491B3A"/>
    <w:rsid w:val="00492CFD"/>
    <w:rsid w:val="00494196"/>
    <w:rsid w:val="00494207"/>
    <w:rsid w:val="00494DD5"/>
    <w:rsid w:val="004962D2"/>
    <w:rsid w:val="00496D2C"/>
    <w:rsid w:val="00496DD2"/>
    <w:rsid w:val="004A0DA1"/>
    <w:rsid w:val="004A13D6"/>
    <w:rsid w:val="004A147E"/>
    <w:rsid w:val="004A2AE3"/>
    <w:rsid w:val="004A42FF"/>
    <w:rsid w:val="004A52E9"/>
    <w:rsid w:val="004A6040"/>
    <w:rsid w:val="004A6597"/>
    <w:rsid w:val="004A7425"/>
    <w:rsid w:val="004A7848"/>
    <w:rsid w:val="004B06EA"/>
    <w:rsid w:val="004B1CB4"/>
    <w:rsid w:val="004B2F18"/>
    <w:rsid w:val="004B3DDB"/>
    <w:rsid w:val="004B44FD"/>
    <w:rsid w:val="004B54A3"/>
    <w:rsid w:val="004B5CFC"/>
    <w:rsid w:val="004B6F79"/>
    <w:rsid w:val="004B74A3"/>
    <w:rsid w:val="004B774D"/>
    <w:rsid w:val="004B7BDA"/>
    <w:rsid w:val="004C043F"/>
    <w:rsid w:val="004C167F"/>
    <w:rsid w:val="004C398C"/>
    <w:rsid w:val="004C3A6C"/>
    <w:rsid w:val="004C46C4"/>
    <w:rsid w:val="004C49C2"/>
    <w:rsid w:val="004C4AED"/>
    <w:rsid w:val="004C4CE1"/>
    <w:rsid w:val="004C7475"/>
    <w:rsid w:val="004D2176"/>
    <w:rsid w:val="004D2C2D"/>
    <w:rsid w:val="004D39E8"/>
    <w:rsid w:val="004D465A"/>
    <w:rsid w:val="004D4E30"/>
    <w:rsid w:val="004D55AD"/>
    <w:rsid w:val="004D69B5"/>
    <w:rsid w:val="004D7227"/>
    <w:rsid w:val="004E0E7F"/>
    <w:rsid w:val="004E0EB8"/>
    <w:rsid w:val="004E0FDD"/>
    <w:rsid w:val="004E18E9"/>
    <w:rsid w:val="004E2ADC"/>
    <w:rsid w:val="004E3173"/>
    <w:rsid w:val="004E3CD2"/>
    <w:rsid w:val="004E43B2"/>
    <w:rsid w:val="004E4ED2"/>
    <w:rsid w:val="004E6FAD"/>
    <w:rsid w:val="004F1D02"/>
    <w:rsid w:val="004F1E76"/>
    <w:rsid w:val="004F2679"/>
    <w:rsid w:val="004F2F21"/>
    <w:rsid w:val="004F34A8"/>
    <w:rsid w:val="004F3832"/>
    <w:rsid w:val="004F3DE5"/>
    <w:rsid w:val="004F6913"/>
    <w:rsid w:val="004F6F0B"/>
    <w:rsid w:val="004F7865"/>
    <w:rsid w:val="005001CD"/>
    <w:rsid w:val="00500C95"/>
    <w:rsid w:val="0050174E"/>
    <w:rsid w:val="00501854"/>
    <w:rsid w:val="0050219B"/>
    <w:rsid w:val="00503D31"/>
    <w:rsid w:val="00503F17"/>
    <w:rsid w:val="005041FA"/>
    <w:rsid w:val="00504E57"/>
    <w:rsid w:val="00506928"/>
    <w:rsid w:val="005077EF"/>
    <w:rsid w:val="00511AD5"/>
    <w:rsid w:val="00511DC7"/>
    <w:rsid w:val="00512DDB"/>
    <w:rsid w:val="005142C5"/>
    <w:rsid w:val="0051501B"/>
    <w:rsid w:val="005152B5"/>
    <w:rsid w:val="00516B63"/>
    <w:rsid w:val="00517066"/>
    <w:rsid w:val="0052123C"/>
    <w:rsid w:val="00521319"/>
    <w:rsid w:val="00521C1C"/>
    <w:rsid w:val="00522BC8"/>
    <w:rsid w:val="005233FE"/>
    <w:rsid w:val="00523A4D"/>
    <w:rsid w:val="00523C28"/>
    <w:rsid w:val="00523CB9"/>
    <w:rsid w:val="00527261"/>
    <w:rsid w:val="005312B2"/>
    <w:rsid w:val="0053176B"/>
    <w:rsid w:val="00531BA4"/>
    <w:rsid w:val="00531CDD"/>
    <w:rsid w:val="00536B1C"/>
    <w:rsid w:val="00536CFB"/>
    <w:rsid w:val="00536F42"/>
    <w:rsid w:val="00537182"/>
    <w:rsid w:val="00537BC4"/>
    <w:rsid w:val="00540728"/>
    <w:rsid w:val="00540D8C"/>
    <w:rsid w:val="00541EDD"/>
    <w:rsid w:val="00541F78"/>
    <w:rsid w:val="005424CA"/>
    <w:rsid w:val="00542743"/>
    <w:rsid w:val="00542C2D"/>
    <w:rsid w:val="00543247"/>
    <w:rsid w:val="00544236"/>
    <w:rsid w:val="005478BD"/>
    <w:rsid w:val="005479E3"/>
    <w:rsid w:val="00547D0A"/>
    <w:rsid w:val="00550CDA"/>
    <w:rsid w:val="00551985"/>
    <w:rsid w:val="00552BD3"/>
    <w:rsid w:val="005532A0"/>
    <w:rsid w:val="00555109"/>
    <w:rsid w:val="0055519A"/>
    <w:rsid w:val="005559D6"/>
    <w:rsid w:val="00556261"/>
    <w:rsid w:val="00556895"/>
    <w:rsid w:val="00556B35"/>
    <w:rsid w:val="0055741A"/>
    <w:rsid w:val="005603FA"/>
    <w:rsid w:val="005611B7"/>
    <w:rsid w:val="005618D4"/>
    <w:rsid w:val="00561C75"/>
    <w:rsid w:val="0056456F"/>
    <w:rsid w:val="00564B5A"/>
    <w:rsid w:val="005653F1"/>
    <w:rsid w:val="00565DF0"/>
    <w:rsid w:val="00565EC3"/>
    <w:rsid w:val="00566454"/>
    <w:rsid w:val="0056696F"/>
    <w:rsid w:val="00571A73"/>
    <w:rsid w:val="00572248"/>
    <w:rsid w:val="00572269"/>
    <w:rsid w:val="0057244A"/>
    <w:rsid w:val="00572F26"/>
    <w:rsid w:val="00572FB8"/>
    <w:rsid w:val="005750C5"/>
    <w:rsid w:val="005752DE"/>
    <w:rsid w:val="0057562C"/>
    <w:rsid w:val="00575A0E"/>
    <w:rsid w:val="00575D8D"/>
    <w:rsid w:val="00576972"/>
    <w:rsid w:val="00583699"/>
    <w:rsid w:val="00584721"/>
    <w:rsid w:val="005850E7"/>
    <w:rsid w:val="00585CDD"/>
    <w:rsid w:val="00585D1F"/>
    <w:rsid w:val="0058650C"/>
    <w:rsid w:val="00586C59"/>
    <w:rsid w:val="00587058"/>
    <w:rsid w:val="005906F0"/>
    <w:rsid w:val="00590B5D"/>
    <w:rsid w:val="00591957"/>
    <w:rsid w:val="005939A4"/>
    <w:rsid w:val="00594FF5"/>
    <w:rsid w:val="0059530D"/>
    <w:rsid w:val="00597952"/>
    <w:rsid w:val="00597BE2"/>
    <w:rsid w:val="00597BF9"/>
    <w:rsid w:val="005A309A"/>
    <w:rsid w:val="005A373D"/>
    <w:rsid w:val="005A6C82"/>
    <w:rsid w:val="005B00E8"/>
    <w:rsid w:val="005B0B58"/>
    <w:rsid w:val="005B11F5"/>
    <w:rsid w:val="005B14FA"/>
    <w:rsid w:val="005B1968"/>
    <w:rsid w:val="005B1AFC"/>
    <w:rsid w:val="005B2529"/>
    <w:rsid w:val="005B4E53"/>
    <w:rsid w:val="005B5852"/>
    <w:rsid w:val="005B5857"/>
    <w:rsid w:val="005B61B7"/>
    <w:rsid w:val="005B7DC3"/>
    <w:rsid w:val="005C1B83"/>
    <w:rsid w:val="005C2057"/>
    <w:rsid w:val="005C25FF"/>
    <w:rsid w:val="005C2CA6"/>
    <w:rsid w:val="005C2D55"/>
    <w:rsid w:val="005C346B"/>
    <w:rsid w:val="005C4592"/>
    <w:rsid w:val="005C4B56"/>
    <w:rsid w:val="005C56A4"/>
    <w:rsid w:val="005C5713"/>
    <w:rsid w:val="005D0434"/>
    <w:rsid w:val="005D044D"/>
    <w:rsid w:val="005D0ABD"/>
    <w:rsid w:val="005D18AD"/>
    <w:rsid w:val="005D26B4"/>
    <w:rsid w:val="005D31C7"/>
    <w:rsid w:val="005D37F9"/>
    <w:rsid w:val="005D38C0"/>
    <w:rsid w:val="005D3FC1"/>
    <w:rsid w:val="005D4204"/>
    <w:rsid w:val="005D6E02"/>
    <w:rsid w:val="005D73D6"/>
    <w:rsid w:val="005D74A9"/>
    <w:rsid w:val="005E294C"/>
    <w:rsid w:val="005E4753"/>
    <w:rsid w:val="005E56E7"/>
    <w:rsid w:val="005E6CBC"/>
    <w:rsid w:val="005E72FF"/>
    <w:rsid w:val="005E73C0"/>
    <w:rsid w:val="005F0A5C"/>
    <w:rsid w:val="005F10F6"/>
    <w:rsid w:val="005F2706"/>
    <w:rsid w:val="005F3795"/>
    <w:rsid w:val="005F4BAF"/>
    <w:rsid w:val="005F6A8F"/>
    <w:rsid w:val="005F6BB7"/>
    <w:rsid w:val="005F7588"/>
    <w:rsid w:val="006003FD"/>
    <w:rsid w:val="00603431"/>
    <w:rsid w:val="00603963"/>
    <w:rsid w:val="00603DB9"/>
    <w:rsid w:val="00603FF2"/>
    <w:rsid w:val="00604CF8"/>
    <w:rsid w:val="006053E5"/>
    <w:rsid w:val="00605A86"/>
    <w:rsid w:val="00606FBA"/>
    <w:rsid w:val="00607669"/>
    <w:rsid w:val="006076F4"/>
    <w:rsid w:val="00607AFD"/>
    <w:rsid w:val="00610DF8"/>
    <w:rsid w:val="00611224"/>
    <w:rsid w:val="00611B61"/>
    <w:rsid w:val="00612F97"/>
    <w:rsid w:val="0061345D"/>
    <w:rsid w:val="006147B2"/>
    <w:rsid w:val="0061549B"/>
    <w:rsid w:val="00616160"/>
    <w:rsid w:val="006163D6"/>
    <w:rsid w:val="00616802"/>
    <w:rsid w:val="00616BEA"/>
    <w:rsid w:val="0061721F"/>
    <w:rsid w:val="00617E12"/>
    <w:rsid w:val="00620A87"/>
    <w:rsid w:val="00620C25"/>
    <w:rsid w:val="00621022"/>
    <w:rsid w:val="00621477"/>
    <w:rsid w:val="00621AD2"/>
    <w:rsid w:val="00621ADA"/>
    <w:rsid w:val="00622BAB"/>
    <w:rsid w:val="00623F7B"/>
    <w:rsid w:val="00627B22"/>
    <w:rsid w:val="0063158F"/>
    <w:rsid w:val="00631D6B"/>
    <w:rsid w:val="00632183"/>
    <w:rsid w:val="00632B55"/>
    <w:rsid w:val="006330A1"/>
    <w:rsid w:val="0063479F"/>
    <w:rsid w:val="00634A1C"/>
    <w:rsid w:val="006353F0"/>
    <w:rsid w:val="006357B5"/>
    <w:rsid w:val="006364A1"/>
    <w:rsid w:val="0063678E"/>
    <w:rsid w:val="00636A76"/>
    <w:rsid w:val="006379EC"/>
    <w:rsid w:val="00637BFD"/>
    <w:rsid w:val="00640B91"/>
    <w:rsid w:val="00641BF3"/>
    <w:rsid w:val="00641C4E"/>
    <w:rsid w:val="00641FB3"/>
    <w:rsid w:val="006432DD"/>
    <w:rsid w:val="0064434C"/>
    <w:rsid w:val="006471CC"/>
    <w:rsid w:val="00647A29"/>
    <w:rsid w:val="0065079F"/>
    <w:rsid w:val="00652A28"/>
    <w:rsid w:val="00653437"/>
    <w:rsid w:val="0065379F"/>
    <w:rsid w:val="0065577A"/>
    <w:rsid w:val="00656188"/>
    <w:rsid w:val="0065715A"/>
    <w:rsid w:val="00657B3C"/>
    <w:rsid w:val="00661039"/>
    <w:rsid w:val="006610F1"/>
    <w:rsid w:val="00661166"/>
    <w:rsid w:val="00661C6B"/>
    <w:rsid w:val="00664586"/>
    <w:rsid w:val="0066598D"/>
    <w:rsid w:val="00666038"/>
    <w:rsid w:val="00667E65"/>
    <w:rsid w:val="00670891"/>
    <w:rsid w:val="00670EB5"/>
    <w:rsid w:val="00671004"/>
    <w:rsid w:val="00672646"/>
    <w:rsid w:val="006726BA"/>
    <w:rsid w:val="00672F56"/>
    <w:rsid w:val="006733B6"/>
    <w:rsid w:val="00673592"/>
    <w:rsid w:val="006743F0"/>
    <w:rsid w:val="00674E42"/>
    <w:rsid w:val="006751F9"/>
    <w:rsid w:val="006813F8"/>
    <w:rsid w:val="0068155A"/>
    <w:rsid w:val="00681CEB"/>
    <w:rsid w:val="00682112"/>
    <w:rsid w:val="006824EC"/>
    <w:rsid w:val="00682BA6"/>
    <w:rsid w:val="006831B5"/>
    <w:rsid w:val="00684F9E"/>
    <w:rsid w:val="006856BA"/>
    <w:rsid w:val="0068657A"/>
    <w:rsid w:val="00686769"/>
    <w:rsid w:val="00686957"/>
    <w:rsid w:val="00686B81"/>
    <w:rsid w:val="00686CD7"/>
    <w:rsid w:val="006872BA"/>
    <w:rsid w:val="00690012"/>
    <w:rsid w:val="00690795"/>
    <w:rsid w:val="00691648"/>
    <w:rsid w:val="006917D7"/>
    <w:rsid w:val="00691B3E"/>
    <w:rsid w:val="006934EA"/>
    <w:rsid w:val="0069376C"/>
    <w:rsid w:val="0069434C"/>
    <w:rsid w:val="00694F44"/>
    <w:rsid w:val="00696F51"/>
    <w:rsid w:val="006979A5"/>
    <w:rsid w:val="00697A64"/>
    <w:rsid w:val="006A09D6"/>
    <w:rsid w:val="006A2FD9"/>
    <w:rsid w:val="006A6B99"/>
    <w:rsid w:val="006A7E59"/>
    <w:rsid w:val="006A7E5F"/>
    <w:rsid w:val="006B261B"/>
    <w:rsid w:val="006B2C90"/>
    <w:rsid w:val="006B2D89"/>
    <w:rsid w:val="006B35E6"/>
    <w:rsid w:val="006B3AA3"/>
    <w:rsid w:val="006B465A"/>
    <w:rsid w:val="006B6305"/>
    <w:rsid w:val="006B6DD0"/>
    <w:rsid w:val="006C0399"/>
    <w:rsid w:val="006C20E0"/>
    <w:rsid w:val="006C25CA"/>
    <w:rsid w:val="006C2A8E"/>
    <w:rsid w:val="006C3255"/>
    <w:rsid w:val="006C3262"/>
    <w:rsid w:val="006C3F26"/>
    <w:rsid w:val="006C55A5"/>
    <w:rsid w:val="006C6B39"/>
    <w:rsid w:val="006D0D17"/>
    <w:rsid w:val="006D1FDB"/>
    <w:rsid w:val="006D20B1"/>
    <w:rsid w:val="006D2643"/>
    <w:rsid w:val="006D37A7"/>
    <w:rsid w:val="006D3C7D"/>
    <w:rsid w:val="006D43E1"/>
    <w:rsid w:val="006D4659"/>
    <w:rsid w:val="006D5D5F"/>
    <w:rsid w:val="006D6555"/>
    <w:rsid w:val="006D68FB"/>
    <w:rsid w:val="006E00D2"/>
    <w:rsid w:val="006E161E"/>
    <w:rsid w:val="006E2868"/>
    <w:rsid w:val="006E3762"/>
    <w:rsid w:val="006E6761"/>
    <w:rsid w:val="006E7C54"/>
    <w:rsid w:val="006E7E18"/>
    <w:rsid w:val="006F124E"/>
    <w:rsid w:val="006F28AA"/>
    <w:rsid w:val="006F306C"/>
    <w:rsid w:val="006F3C81"/>
    <w:rsid w:val="006F3E28"/>
    <w:rsid w:val="006F63A5"/>
    <w:rsid w:val="006F70E7"/>
    <w:rsid w:val="00701117"/>
    <w:rsid w:val="0070142B"/>
    <w:rsid w:val="0070276E"/>
    <w:rsid w:val="00702F8F"/>
    <w:rsid w:val="00706D91"/>
    <w:rsid w:val="007079FC"/>
    <w:rsid w:val="0071134D"/>
    <w:rsid w:val="00711A36"/>
    <w:rsid w:val="007134B2"/>
    <w:rsid w:val="00713B1F"/>
    <w:rsid w:val="00714C26"/>
    <w:rsid w:val="0071529C"/>
    <w:rsid w:val="00716EFE"/>
    <w:rsid w:val="007170DA"/>
    <w:rsid w:val="007172AD"/>
    <w:rsid w:val="00720380"/>
    <w:rsid w:val="00720532"/>
    <w:rsid w:val="00720801"/>
    <w:rsid w:val="00721058"/>
    <w:rsid w:val="00721BB1"/>
    <w:rsid w:val="00722B1B"/>
    <w:rsid w:val="00723D87"/>
    <w:rsid w:val="0072416F"/>
    <w:rsid w:val="00724383"/>
    <w:rsid w:val="00727A1A"/>
    <w:rsid w:val="00727C94"/>
    <w:rsid w:val="00731B0A"/>
    <w:rsid w:val="00731EAE"/>
    <w:rsid w:val="00732E0D"/>
    <w:rsid w:val="00733073"/>
    <w:rsid w:val="007332C4"/>
    <w:rsid w:val="00735033"/>
    <w:rsid w:val="00735189"/>
    <w:rsid w:val="00735328"/>
    <w:rsid w:val="00735F39"/>
    <w:rsid w:val="0073685B"/>
    <w:rsid w:val="00737F71"/>
    <w:rsid w:val="007404AF"/>
    <w:rsid w:val="00741C8F"/>
    <w:rsid w:val="007438CC"/>
    <w:rsid w:val="00743D31"/>
    <w:rsid w:val="007449BF"/>
    <w:rsid w:val="00746BC0"/>
    <w:rsid w:val="0075099D"/>
    <w:rsid w:val="007510B4"/>
    <w:rsid w:val="007511EF"/>
    <w:rsid w:val="0075134C"/>
    <w:rsid w:val="00752142"/>
    <w:rsid w:val="0075230C"/>
    <w:rsid w:val="007523F9"/>
    <w:rsid w:val="0075357E"/>
    <w:rsid w:val="0075358B"/>
    <w:rsid w:val="00755836"/>
    <w:rsid w:val="00755FDB"/>
    <w:rsid w:val="00757233"/>
    <w:rsid w:val="00757380"/>
    <w:rsid w:val="007573E8"/>
    <w:rsid w:val="00760C4E"/>
    <w:rsid w:val="00760F9E"/>
    <w:rsid w:val="007627BE"/>
    <w:rsid w:val="00764F03"/>
    <w:rsid w:val="00765B1A"/>
    <w:rsid w:val="00766871"/>
    <w:rsid w:val="007705F1"/>
    <w:rsid w:val="00771132"/>
    <w:rsid w:val="00771FAC"/>
    <w:rsid w:val="007722F2"/>
    <w:rsid w:val="00772E04"/>
    <w:rsid w:val="007757A5"/>
    <w:rsid w:val="00777335"/>
    <w:rsid w:val="00780228"/>
    <w:rsid w:val="0078102B"/>
    <w:rsid w:val="00781C30"/>
    <w:rsid w:val="00782F31"/>
    <w:rsid w:val="00783A4A"/>
    <w:rsid w:val="007843F2"/>
    <w:rsid w:val="00785713"/>
    <w:rsid w:val="007857A3"/>
    <w:rsid w:val="00785935"/>
    <w:rsid w:val="00785A9F"/>
    <w:rsid w:val="0078604B"/>
    <w:rsid w:val="00786392"/>
    <w:rsid w:val="00787834"/>
    <w:rsid w:val="00790CA3"/>
    <w:rsid w:val="007925DF"/>
    <w:rsid w:val="00793FEB"/>
    <w:rsid w:val="00795CAE"/>
    <w:rsid w:val="00796014"/>
    <w:rsid w:val="007970CC"/>
    <w:rsid w:val="007A0606"/>
    <w:rsid w:val="007A07AD"/>
    <w:rsid w:val="007A08AA"/>
    <w:rsid w:val="007A0A12"/>
    <w:rsid w:val="007A132D"/>
    <w:rsid w:val="007A1345"/>
    <w:rsid w:val="007A2DDB"/>
    <w:rsid w:val="007A39C1"/>
    <w:rsid w:val="007A4288"/>
    <w:rsid w:val="007A4F43"/>
    <w:rsid w:val="007A5446"/>
    <w:rsid w:val="007A55B5"/>
    <w:rsid w:val="007A6628"/>
    <w:rsid w:val="007A70BA"/>
    <w:rsid w:val="007B0B3D"/>
    <w:rsid w:val="007B0D68"/>
    <w:rsid w:val="007B13CE"/>
    <w:rsid w:val="007B251D"/>
    <w:rsid w:val="007B361F"/>
    <w:rsid w:val="007B4F58"/>
    <w:rsid w:val="007B528D"/>
    <w:rsid w:val="007B63CA"/>
    <w:rsid w:val="007B65B4"/>
    <w:rsid w:val="007B77D1"/>
    <w:rsid w:val="007C07C7"/>
    <w:rsid w:val="007C087A"/>
    <w:rsid w:val="007C1CD9"/>
    <w:rsid w:val="007C32EF"/>
    <w:rsid w:val="007C361D"/>
    <w:rsid w:val="007C4B84"/>
    <w:rsid w:val="007C56AC"/>
    <w:rsid w:val="007C70FF"/>
    <w:rsid w:val="007C7A0C"/>
    <w:rsid w:val="007C7C25"/>
    <w:rsid w:val="007D004F"/>
    <w:rsid w:val="007D0B38"/>
    <w:rsid w:val="007D20EC"/>
    <w:rsid w:val="007D5440"/>
    <w:rsid w:val="007D69EB"/>
    <w:rsid w:val="007D7651"/>
    <w:rsid w:val="007E0872"/>
    <w:rsid w:val="007E0FE2"/>
    <w:rsid w:val="007E128F"/>
    <w:rsid w:val="007E2277"/>
    <w:rsid w:val="007E26AA"/>
    <w:rsid w:val="007E7DE8"/>
    <w:rsid w:val="007F008D"/>
    <w:rsid w:val="007F1017"/>
    <w:rsid w:val="007F4A3F"/>
    <w:rsid w:val="007F4A61"/>
    <w:rsid w:val="007F5255"/>
    <w:rsid w:val="007F56CC"/>
    <w:rsid w:val="007F61C2"/>
    <w:rsid w:val="007F6489"/>
    <w:rsid w:val="0080046E"/>
    <w:rsid w:val="008041E4"/>
    <w:rsid w:val="00804990"/>
    <w:rsid w:val="00805142"/>
    <w:rsid w:val="00805B95"/>
    <w:rsid w:val="00805FCE"/>
    <w:rsid w:val="008065B7"/>
    <w:rsid w:val="00807174"/>
    <w:rsid w:val="0080766B"/>
    <w:rsid w:val="00807A8B"/>
    <w:rsid w:val="008104C5"/>
    <w:rsid w:val="008104CA"/>
    <w:rsid w:val="00811383"/>
    <w:rsid w:val="00812149"/>
    <w:rsid w:val="00812CAC"/>
    <w:rsid w:val="0081309A"/>
    <w:rsid w:val="00815313"/>
    <w:rsid w:val="00816361"/>
    <w:rsid w:val="008166EF"/>
    <w:rsid w:val="00816FC9"/>
    <w:rsid w:val="00816FEF"/>
    <w:rsid w:val="008175C3"/>
    <w:rsid w:val="008177B5"/>
    <w:rsid w:val="0082020D"/>
    <w:rsid w:val="00820A8C"/>
    <w:rsid w:val="008215FB"/>
    <w:rsid w:val="00822A3C"/>
    <w:rsid w:val="00823174"/>
    <w:rsid w:val="00825751"/>
    <w:rsid w:val="008264EB"/>
    <w:rsid w:val="00827B3F"/>
    <w:rsid w:val="008311FD"/>
    <w:rsid w:val="00832F0C"/>
    <w:rsid w:val="00833B05"/>
    <w:rsid w:val="008362B4"/>
    <w:rsid w:val="00836538"/>
    <w:rsid w:val="00836674"/>
    <w:rsid w:val="00840BDF"/>
    <w:rsid w:val="00840CA2"/>
    <w:rsid w:val="00841971"/>
    <w:rsid w:val="00841D4C"/>
    <w:rsid w:val="0084374F"/>
    <w:rsid w:val="008447C9"/>
    <w:rsid w:val="00844A22"/>
    <w:rsid w:val="00845CB1"/>
    <w:rsid w:val="00847703"/>
    <w:rsid w:val="00847DF5"/>
    <w:rsid w:val="00847ED6"/>
    <w:rsid w:val="00850E28"/>
    <w:rsid w:val="0085255A"/>
    <w:rsid w:val="00852A7F"/>
    <w:rsid w:val="0085309D"/>
    <w:rsid w:val="00853859"/>
    <w:rsid w:val="00855674"/>
    <w:rsid w:val="00856897"/>
    <w:rsid w:val="00856DE9"/>
    <w:rsid w:val="00856E9A"/>
    <w:rsid w:val="0086075D"/>
    <w:rsid w:val="00862502"/>
    <w:rsid w:val="00862CC1"/>
    <w:rsid w:val="008660D4"/>
    <w:rsid w:val="00866534"/>
    <w:rsid w:val="00871FA9"/>
    <w:rsid w:val="008728E9"/>
    <w:rsid w:val="008745DB"/>
    <w:rsid w:val="00876056"/>
    <w:rsid w:val="00880B1C"/>
    <w:rsid w:val="00882874"/>
    <w:rsid w:val="00882E3C"/>
    <w:rsid w:val="00883747"/>
    <w:rsid w:val="00883787"/>
    <w:rsid w:val="00884247"/>
    <w:rsid w:val="008855E4"/>
    <w:rsid w:val="00886010"/>
    <w:rsid w:val="00886CD2"/>
    <w:rsid w:val="00890384"/>
    <w:rsid w:val="00891E6F"/>
    <w:rsid w:val="0089275D"/>
    <w:rsid w:val="00892971"/>
    <w:rsid w:val="00892A36"/>
    <w:rsid w:val="00893239"/>
    <w:rsid w:val="00894489"/>
    <w:rsid w:val="008948EA"/>
    <w:rsid w:val="008963A5"/>
    <w:rsid w:val="00896D5D"/>
    <w:rsid w:val="00897F48"/>
    <w:rsid w:val="008A03F1"/>
    <w:rsid w:val="008A3363"/>
    <w:rsid w:val="008A3371"/>
    <w:rsid w:val="008A3C3E"/>
    <w:rsid w:val="008A41C9"/>
    <w:rsid w:val="008A6CE8"/>
    <w:rsid w:val="008A7112"/>
    <w:rsid w:val="008A79DE"/>
    <w:rsid w:val="008B15C7"/>
    <w:rsid w:val="008B1757"/>
    <w:rsid w:val="008B3B45"/>
    <w:rsid w:val="008B3C97"/>
    <w:rsid w:val="008B485A"/>
    <w:rsid w:val="008B51D5"/>
    <w:rsid w:val="008B6215"/>
    <w:rsid w:val="008B7992"/>
    <w:rsid w:val="008B7D7E"/>
    <w:rsid w:val="008C1B23"/>
    <w:rsid w:val="008C25CB"/>
    <w:rsid w:val="008C3980"/>
    <w:rsid w:val="008C3CC3"/>
    <w:rsid w:val="008C4D01"/>
    <w:rsid w:val="008C5610"/>
    <w:rsid w:val="008C5739"/>
    <w:rsid w:val="008C5771"/>
    <w:rsid w:val="008C7ECB"/>
    <w:rsid w:val="008D2878"/>
    <w:rsid w:val="008D3B86"/>
    <w:rsid w:val="008D4042"/>
    <w:rsid w:val="008D4755"/>
    <w:rsid w:val="008D4C3D"/>
    <w:rsid w:val="008D6075"/>
    <w:rsid w:val="008D743C"/>
    <w:rsid w:val="008E0B32"/>
    <w:rsid w:val="008E0D3C"/>
    <w:rsid w:val="008E1B9E"/>
    <w:rsid w:val="008E2692"/>
    <w:rsid w:val="008E2CE7"/>
    <w:rsid w:val="008E431B"/>
    <w:rsid w:val="008E55AB"/>
    <w:rsid w:val="008E6129"/>
    <w:rsid w:val="008E7ED5"/>
    <w:rsid w:val="008F120A"/>
    <w:rsid w:val="008F210F"/>
    <w:rsid w:val="008F239A"/>
    <w:rsid w:val="008F27E0"/>
    <w:rsid w:val="008F35CF"/>
    <w:rsid w:val="008F48EB"/>
    <w:rsid w:val="008F4F0B"/>
    <w:rsid w:val="008F4FAC"/>
    <w:rsid w:val="008F563B"/>
    <w:rsid w:val="008F57EF"/>
    <w:rsid w:val="008F61F9"/>
    <w:rsid w:val="009046C4"/>
    <w:rsid w:val="00904A6F"/>
    <w:rsid w:val="00904B23"/>
    <w:rsid w:val="00904B7E"/>
    <w:rsid w:val="00905AAC"/>
    <w:rsid w:val="009062A5"/>
    <w:rsid w:val="00906FE5"/>
    <w:rsid w:val="00907F87"/>
    <w:rsid w:val="00910605"/>
    <w:rsid w:val="00910FA7"/>
    <w:rsid w:val="0091119F"/>
    <w:rsid w:val="00911272"/>
    <w:rsid w:val="00911C77"/>
    <w:rsid w:val="00911F71"/>
    <w:rsid w:val="00912C03"/>
    <w:rsid w:val="00912E8D"/>
    <w:rsid w:val="009135D6"/>
    <w:rsid w:val="009148A5"/>
    <w:rsid w:val="00914C77"/>
    <w:rsid w:val="00914E0B"/>
    <w:rsid w:val="00916B0F"/>
    <w:rsid w:val="00921ACB"/>
    <w:rsid w:val="0092369B"/>
    <w:rsid w:val="009248F5"/>
    <w:rsid w:val="00925866"/>
    <w:rsid w:val="00925E85"/>
    <w:rsid w:val="00927134"/>
    <w:rsid w:val="0093091D"/>
    <w:rsid w:val="00931245"/>
    <w:rsid w:val="00932BCF"/>
    <w:rsid w:val="00934040"/>
    <w:rsid w:val="00934988"/>
    <w:rsid w:val="00936B06"/>
    <w:rsid w:val="00937089"/>
    <w:rsid w:val="00937E8F"/>
    <w:rsid w:val="00942D18"/>
    <w:rsid w:val="00942EBC"/>
    <w:rsid w:val="0094315C"/>
    <w:rsid w:val="0094418C"/>
    <w:rsid w:val="00944F8A"/>
    <w:rsid w:val="00945168"/>
    <w:rsid w:val="00945512"/>
    <w:rsid w:val="009478AE"/>
    <w:rsid w:val="00950354"/>
    <w:rsid w:val="009510A2"/>
    <w:rsid w:val="00951F87"/>
    <w:rsid w:val="009525E5"/>
    <w:rsid w:val="00953257"/>
    <w:rsid w:val="0095474C"/>
    <w:rsid w:val="009573C1"/>
    <w:rsid w:val="00957EF5"/>
    <w:rsid w:val="00962652"/>
    <w:rsid w:val="00962CB9"/>
    <w:rsid w:val="009637E3"/>
    <w:rsid w:val="009640F7"/>
    <w:rsid w:val="00964215"/>
    <w:rsid w:val="00964312"/>
    <w:rsid w:val="00965B8A"/>
    <w:rsid w:val="009665C4"/>
    <w:rsid w:val="00970155"/>
    <w:rsid w:val="009705BB"/>
    <w:rsid w:val="0097071F"/>
    <w:rsid w:val="009717AC"/>
    <w:rsid w:val="00973D0F"/>
    <w:rsid w:val="00975017"/>
    <w:rsid w:val="009751C1"/>
    <w:rsid w:val="00976C12"/>
    <w:rsid w:val="00977460"/>
    <w:rsid w:val="009811F1"/>
    <w:rsid w:val="00983E57"/>
    <w:rsid w:val="00985DC7"/>
    <w:rsid w:val="00985DE2"/>
    <w:rsid w:val="00985F37"/>
    <w:rsid w:val="0098675D"/>
    <w:rsid w:val="009870AF"/>
    <w:rsid w:val="009904ED"/>
    <w:rsid w:val="009908D1"/>
    <w:rsid w:val="009926E0"/>
    <w:rsid w:val="0099451E"/>
    <w:rsid w:val="0099484C"/>
    <w:rsid w:val="00995704"/>
    <w:rsid w:val="00996056"/>
    <w:rsid w:val="0099609C"/>
    <w:rsid w:val="00996B1A"/>
    <w:rsid w:val="009A1D95"/>
    <w:rsid w:val="009A2DCC"/>
    <w:rsid w:val="009A3F0F"/>
    <w:rsid w:val="009A44ED"/>
    <w:rsid w:val="009A5ABC"/>
    <w:rsid w:val="009A6C72"/>
    <w:rsid w:val="009A7086"/>
    <w:rsid w:val="009A7A43"/>
    <w:rsid w:val="009A7F10"/>
    <w:rsid w:val="009B185F"/>
    <w:rsid w:val="009B1954"/>
    <w:rsid w:val="009B3DD5"/>
    <w:rsid w:val="009B3E26"/>
    <w:rsid w:val="009B7D7A"/>
    <w:rsid w:val="009C1D0C"/>
    <w:rsid w:val="009C2820"/>
    <w:rsid w:val="009C2A45"/>
    <w:rsid w:val="009C314C"/>
    <w:rsid w:val="009C3706"/>
    <w:rsid w:val="009C3A3A"/>
    <w:rsid w:val="009C6323"/>
    <w:rsid w:val="009C68B8"/>
    <w:rsid w:val="009C6CEA"/>
    <w:rsid w:val="009C7B85"/>
    <w:rsid w:val="009C7F16"/>
    <w:rsid w:val="009D00BE"/>
    <w:rsid w:val="009D0254"/>
    <w:rsid w:val="009D1A64"/>
    <w:rsid w:val="009D5663"/>
    <w:rsid w:val="009D5B91"/>
    <w:rsid w:val="009D5E92"/>
    <w:rsid w:val="009D690C"/>
    <w:rsid w:val="009D792E"/>
    <w:rsid w:val="009E0DFE"/>
    <w:rsid w:val="009E31F6"/>
    <w:rsid w:val="009E4056"/>
    <w:rsid w:val="009E45DB"/>
    <w:rsid w:val="009E4C07"/>
    <w:rsid w:val="009E53AB"/>
    <w:rsid w:val="009E552D"/>
    <w:rsid w:val="009E6BFD"/>
    <w:rsid w:val="009F03F5"/>
    <w:rsid w:val="009F0C85"/>
    <w:rsid w:val="009F0CD0"/>
    <w:rsid w:val="009F12F7"/>
    <w:rsid w:val="009F2B8D"/>
    <w:rsid w:val="009F3392"/>
    <w:rsid w:val="009F57EA"/>
    <w:rsid w:val="009F6BB5"/>
    <w:rsid w:val="009F7637"/>
    <w:rsid w:val="009F7A3B"/>
    <w:rsid w:val="00A00988"/>
    <w:rsid w:val="00A00B4A"/>
    <w:rsid w:val="00A01184"/>
    <w:rsid w:val="00A01651"/>
    <w:rsid w:val="00A02AA4"/>
    <w:rsid w:val="00A03417"/>
    <w:rsid w:val="00A037C2"/>
    <w:rsid w:val="00A03D43"/>
    <w:rsid w:val="00A04380"/>
    <w:rsid w:val="00A05122"/>
    <w:rsid w:val="00A05472"/>
    <w:rsid w:val="00A05C32"/>
    <w:rsid w:val="00A05FCD"/>
    <w:rsid w:val="00A06228"/>
    <w:rsid w:val="00A0653F"/>
    <w:rsid w:val="00A11CD0"/>
    <w:rsid w:val="00A12B73"/>
    <w:rsid w:val="00A13948"/>
    <w:rsid w:val="00A14C28"/>
    <w:rsid w:val="00A1555B"/>
    <w:rsid w:val="00A155C5"/>
    <w:rsid w:val="00A16AD8"/>
    <w:rsid w:val="00A206AF"/>
    <w:rsid w:val="00A21C95"/>
    <w:rsid w:val="00A21CF3"/>
    <w:rsid w:val="00A22E67"/>
    <w:rsid w:val="00A22EE3"/>
    <w:rsid w:val="00A24095"/>
    <w:rsid w:val="00A24813"/>
    <w:rsid w:val="00A25681"/>
    <w:rsid w:val="00A259F5"/>
    <w:rsid w:val="00A27AEC"/>
    <w:rsid w:val="00A309C5"/>
    <w:rsid w:val="00A312B5"/>
    <w:rsid w:val="00A320DB"/>
    <w:rsid w:val="00A32179"/>
    <w:rsid w:val="00A344E8"/>
    <w:rsid w:val="00A344EB"/>
    <w:rsid w:val="00A35D16"/>
    <w:rsid w:val="00A37BCD"/>
    <w:rsid w:val="00A40F1A"/>
    <w:rsid w:val="00A41689"/>
    <w:rsid w:val="00A42592"/>
    <w:rsid w:val="00A43C59"/>
    <w:rsid w:val="00A44FCC"/>
    <w:rsid w:val="00A45226"/>
    <w:rsid w:val="00A46018"/>
    <w:rsid w:val="00A477C7"/>
    <w:rsid w:val="00A477E9"/>
    <w:rsid w:val="00A47917"/>
    <w:rsid w:val="00A50ECD"/>
    <w:rsid w:val="00A518F3"/>
    <w:rsid w:val="00A51B43"/>
    <w:rsid w:val="00A52729"/>
    <w:rsid w:val="00A53675"/>
    <w:rsid w:val="00A53A46"/>
    <w:rsid w:val="00A564D7"/>
    <w:rsid w:val="00A56B6A"/>
    <w:rsid w:val="00A578BF"/>
    <w:rsid w:val="00A578DC"/>
    <w:rsid w:val="00A603FC"/>
    <w:rsid w:val="00A612F2"/>
    <w:rsid w:val="00A61FFF"/>
    <w:rsid w:val="00A62522"/>
    <w:rsid w:val="00A640E2"/>
    <w:rsid w:val="00A64D65"/>
    <w:rsid w:val="00A66060"/>
    <w:rsid w:val="00A6725B"/>
    <w:rsid w:val="00A70605"/>
    <w:rsid w:val="00A7261B"/>
    <w:rsid w:val="00A73134"/>
    <w:rsid w:val="00A73A09"/>
    <w:rsid w:val="00A74927"/>
    <w:rsid w:val="00A74B86"/>
    <w:rsid w:val="00A74E6E"/>
    <w:rsid w:val="00A74FBF"/>
    <w:rsid w:val="00A7530E"/>
    <w:rsid w:val="00A75A53"/>
    <w:rsid w:val="00A75BE2"/>
    <w:rsid w:val="00A75DAF"/>
    <w:rsid w:val="00A76001"/>
    <w:rsid w:val="00A777B2"/>
    <w:rsid w:val="00A81748"/>
    <w:rsid w:val="00A81A70"/>
    <w:rsid w:val="00A825D4"/>
    <w:rsid w:val="00A828F6"/>
    <w:rsid w:val="00A82B73"/>
    <w:rsid w:val="00A84A63"/>
    <w:rsid w:val="00A85F54"/>
    <w:rsid w:val="00A86E8B"/>
    <w:rsid w:val="00A87164"/>
    <w:rsid w:val="00A87542"/>
    <w:rsid w:val="00A91766"/>
    <w:rsid w:val="00A93072"/>
    <w:rsid w:val="00A938BD"/>
    <w:rsid w:val="00A93953"/>
    <w:rsid w:val="00A94D11"/>
    <w:rsid w:val="00A959D8"/>
    <w:rsid w:val="00A96624"/>
    <w:rsid w:val="00A96DF6"/>
    <w:rsid w:val="00A976A9"/>
    <w:rsid w:val="00A97732"/>
    <w:rsid w:val="00AA113D"/>
    <w:rsid w:val="00AA431B"/>
    <w:rsid w:val="00AA4D36"/>
    <w:rsid w:val="00AA4FBB"/>
    <w:rsid w:val="00AA5D8F"/>
    <w:rsid w:val="00AA65E5"/>
    <w:rsid w:val="00AA6BD5"/>
    <w:rsid w:val="00AA6BD8"/>
    <w:rsid w:val="00AA6C7D"/>
    <w:rsid w:val="00AA726D"/>
    <w:rsid w:val="00AA75A5"/>
    <w:rsid w:val="00AA7FD6"/>
    <w:rsid w:val="00AB042A"/>
    <w:rsid w:val="00AB19EF"/>
    <w:rsid w:val="00AB2122"/>
    <w:rsid w:val="00AB2D34"/>
    <w:rsid w:val="00AB3430"/>
    <w:rsid w:val="00AB37B9"/>
    <w:rsid w:val="00AB4AD1"/>
    <w:rsid w:val="00AB5E07"/>
    <w:rsid w:val="00AB6AE8"/>
    <w:rsid w:val="00AB6D8C"/>
    <w:rsid w:val="00AB74FE"/>
    <w:rsid w:val="00AB7CFA"/>
    <w:rsid w:val="00AC04A4"/>
    <w:rsid w:val="00AC1027"/>
    <w:rsid w:val="00AC1392"/>
    <w:rsid w:val="00AC1B4B"/>
    <w:rsid w:val="00AC429E"/>
    <w:rsid w:val="00AC4344"/>
    <w:rsid w:val="00AC4A9C"/>
    <w:rsid w:val="00AC5362"/>
    <w:rsid w:val="00AC5815"/>
    <w:rsid w:val="00AC5B48"/>
    <w:rsid w:val="00AC645F"/>
    <w:rsid w:val="00AC651A"/>
    <w:rsid w:val="00AC692D"/>
    <w:rsid w:val="00AC73FA"/>
    <w:rsid w:val="00AC76ED"/>
    <w:rsid w:val="00AD118D"/>
    <w:rsid w:val="00AD1450"/>
    <w:rsid w:val="00AD3AC9"/>
    <w:rsid w:val="00AD3C82"/>
    <w:rsid w:val="00AD46B6"/>
    <w:rsid w:val="00AD6502"/>
    <w:rsid w:val="00AE0695"/>
    <w:rsid w:val="00AE0C6B"/>
    <w:rsid w:val="00AE0D60"/>
    <w:rsid w:val="00AE12E5"/>
    <w:rsid w:val="00AE3D61"/>
    <w:rsid w:val="00AE3E7E"/>
    <w:rsid w:val="00AE683F"/>
    <w:rsid w:val="00AE6C55"/>
    <w:rsid w:val="00AF045B"/>
    <w:rsid w:val="00AF1315"/>
    <w:rsid w:val="00AF19BF"/>
    <w:rsid w:val="00AF2DC3"/>
    <w:rsid w:val="00AF335D"/>
    <w:rsid w:val="00AF53FD"/>
    <w:rsid w:val="00AF5F34"/>
    <w:rsid w:val="00B02FC4"/>
    <w:rsid w:val="00B033E5"/>
    <w:rsid w:val="00B03A63"/>
    <w:rsid w:val="00B04351"/>
    <w:rsid w:val="00B05F09"/>
    <w:rsid w:val="00B12112"/>
    <w:rsid w:val="00B14377"/>
    <w:rsid w:val="00B170E2"/>
    <w:rsid w:val="00B17587"/>
    <w:rsid w:val="00B201A4"/>
    <w:rsid w:val="00B201D1"/>
    <w:rsid w:val="00B20D70"/>
    <w:rsid w:val="00B213A6"/>
    <w:rsid w:val="00B22A92"/>
    <w:rsid w:val="00B23338"/>
    <w:rsid w:val="00B235B0"/>
    <w:rsid w:val="00B24D6B"/>
    <w:rsid w:val="00B24DF6"/>
    <w:rsid w:val="00B34FE2"/>
    <w:rsid w:val="00B35166"/>
    <w:rsid w:val="00B357D8"/>
    <w:rsid w:val="00B360F4"/>
    <w:rsid w:val="00B36A00"/>
    <w:rsid w:val="00B37BFC"/>
    <w:rsid w:val="00B40358"/>
    <w:rsid w:val="00B41097"/>
    <w:rsid w:val="00B41206"/>
    <w:rsid w:val="00B41614"/>
    <w:rsid w:val="00B42851"/>
    <w:rsid w:val="00B42F80"/>
    <w:rsid w:val="00B435CB"/>
    <w:rsid w:val="00B45122"/>
    <w:rsid w:val="00B50139"/>
    <w:rsid w:val="00B505C8"/>
    <w:rsid w:val="00B50DB8"/>
    <w:rsid w:val="00B53654"/>
    <w:rsid w:val="00B53905"/>
    <w:rsid w:val="00B54B5B"/>
    <w:rsid w:val="00B5562E"/>
    <w:rsid w:val="00B55D65"/>
    <w:rsid w:val="00B56E6B"/>
    <w:rsid w:val="00B57000"/>
    <w:rsid w:val="00B60939"/>
    <w:rsid w:val="00B609F4"/>
    <w:rsid w:val="00B60AFD"/>
    <w:rsid w:val="00B62715"/>
    <w:rsid w:val="00B630FA"/>
    <w:rsid w:val="00B63972"/>
    <w:rsid w:val="00B64846"/>
    <w:rsid w:val="00B65611"/>
    <w:rsid w:val="00B65678"/>
    <w:rsid w:val="00B7001F"/>
    <w:rsid w:val="00B70E8E"/>
    <w:rsid w:val="00B75FD0"/>
    <w:rsid w:val="00B76C92"/>
    <w:rsid w:val="00B80D26"/>
    <w:rsid w:val="00B818A4"/>
    <w:rsid w:val="00B83FE1"/>
    <w:rsid w:val="00B84117"/>
    <w:rsid w:val="00B857DA"/>
    <w:rsid w:val="00B858F0"/>
    <w:rsid w:val="00B85AA2"/>
    <w:rsid w:val="00B8643F"/>
    <w:rsid w:val="00B8649C"/>
    <w:rsid w:val="00B8695D"/>
    <w:rsid w:val="00B87F0A"/>
    <w:rsid w:val="00B91A03"/>
    <w:rsid w:val="00B92D0B"/>
    <w:rsid w:val="00B93667"/>
    <w:rsid w:val="00B94279"/>
    <w:rsid w:val="00B9450D"/>
    <w:rsid w:val="00B94945"/>
    <w:rsid w:val="00B94DD6"/>
    <w:rsid w:val="00B95372"/>
    <w:rsid w:val="00B96C7A"/>
    <w:rsid w:val="00BA015B"/>
    <w:rsid w:val="00BA322D"/>
    <w:rsid w:val="00BA5B20"/>
    <w:rsid w:val="00BA5EDF"/>
    <w:rsid w:val="00BA63FA"/>
    <w:rsid w:val="00BA6973"/>
    <w:rsid w:val="00BB00B3"/>
    <w:rsid w:val="00BB0649"/>
    <w:rsid w:val="00BB0BDD"/>
    <w:rsid w:val="00BB176C"/>
    <w:rsid w:val="00BB17F0"/>
    <w:rsid w:val="00BB2013"/>
    <w:rsid w:val="00BB275E"/>
    <w:rsid w:val="00BB2A73"/>
    <w:rsid w:val="00BB3A45"/>
    <w:rsid w:val="00BB4ACC"/>
    <w:rsid w:val="00BB4C83"/>
    <w:rsid w:val="00BB703E"/>
    <w:rsid w:val="00BB7285"/>
    <w:rsid w:val="00BB732D"/>
    <w:rsid w:val="00BB7405"/>
    <w:rsid w:val="00BC3631"/>
    <w:rsid w:val="00BC49F0"/>
    <w:rsid w:val="00BC591F"/>
    <w:rsid w:val="00BC7D6D"/>
    <w:rsid w:val="00BD0061"/>
    <w:rsid w:val="00BD1EFB"/>
    <w:rsid w:val="00BD2108"/>
    <w:rsid w:val="00BD249E"/>
    <w:rsid w:val="00BD5A3B"/>
    <w:rsid w:val="00BD68A3"/>
    <w:rsid w:val="00BD6938"/>
    <w:rsid w:val="00BD6CF3"/>
    <w:rsid w:val="00BD7ABE"/>
    <w:rsid w:val="00BE0A43"/>
    <w:rsid w:val="00BE0ECA"/>
    <w:rsid w:val="00BE1FDA"/>
    <w:rsid w:val="00BE2180"/>
    <w:rsid w:val="00BE21F2"/>
    <w:rsid w:val="00BE4275"/>
    <w:rsid w:val="00BE54A0"/>
    <w:rsid w:val="00BE5CDE"/>
    <w:rsid w:val="00BE73AD"/>
    <w:rsid w:val="00BF06AE"/>
    <w:rsid w:val="00BF0F95"/>
    <w:rsid w:val="00BF15E2"/>
    <w:rsid w:val="00BF2433"/>
    <w:rsid w:val="00BF554B"/>
    <w:rsid w:val="00BF57D6"/>
    <w:rsid w:val="00BF61C9"/>
    <w:rsid w:val="00BF6C94"/>
    <w:rsid w:val="00BF73A6"/>
    <w:rsid w:val="00C00424"/>
    <w:rsid w:val="00C00D3B"/>
    <w:rsid w:val="00C02363"/>
    <w:rsid w:val="00C03FA5"/>
    <w:rsid w:val="00C05EF7"/>
    <w:rsid w:val="00C1179F"/>
    <w:rsid w:val="00C12C14"/>
    <w:rsid w:val="00C1362C"/>
    <w:rsid w:val="00C1364E"/>
    <w:rsid w:val="00C13F56"/>
    <w:rsid w:val="00C1407E"/>
    <w:rsid w:val="00C14724"/>
    <w:rsid w:val="00C15729"/>
    <w:rsid w:val="00C15F04"/>
    <w:rsid w:val="00C179B3"/>
    <w:rsid w:val="00C179E4"/>
    <w:rsid w:val="00C17E3F"/>
    <w:rsid w:val="00C17EC3"/>
    <w:rsid w:val="00C200AA"/>
    <w:rsid w:val="00C23068"/>
    <w:rsid w:val="00C237ED"/>
    <w:rsid w:val="00C24632"/>
    <w:rsid w:val="00C24BCA"/>
    <w:rsid w:val="00C24E9B"/>
    <w:rsid w:val="00C25418"/>
    <w:rsid w:val="00C25D9C"/>
    <w:rsid w:val="00C25E23"/>
    <w:rsid w:val="00C267E4"/>
    <w:rsid w:val="00C2729D"/>
    <w:rsid w:val="00C27623"/>
    <w:rsid w:val="00C2778B"/>
    <w:rsid w:val="00C31649"/>
    <w:rsid w:val="00C3304B"/>
    <w:rsid w:val="00C3434C"/>
    <w:rsid w:val="00C35AC3"/>
    <w:rsid w:val="00C365A6"/>
    <w:rsid w:val="00C37100"/>
    <w:rsid w:val="00C40385"/>
    <w:rsid w:val="00C41768"/>
    <w:rsid w:val="00C41BBA"/>
    <w:rsid w:val="00C435C0"/>
    <w:rsid w:val="00C4405E"/>
    <w:rsid w:val="00C443D9"/>
    <w:rsid w:val="00C4457E"/>
    <w:rsid w:val="00C44A31"/>
    <w:rsid w:val="00C454F4"/>
    <w:rsid w:val="00C46510"/>
    <w:rsid w:val="00C46EEC"/>
    <w:rsid w:val="00C475AA"/>
    <w:rsid w:val="00C51008"/>
    <w:rsid w:val="00C5283F"/>
    <w:rsid w:val="00C53C98"/>
    <w:rsid w:val="00C54BE5"/>
    <w:rsid w:val="00C56474"/>
    <w:rsid w:val="00C56FCF"/>
    <w:rsid w:val="00C577E2"/>
    <w:rsid w:val="00C57B6C"/>
    <w:rsid w:val="00C61D40"/>
    <w:rsid w:val="00C62630"/>
    <w:rsid w:val="00C628A6"/>
    <w:rsid w:val="00C62B62"/>
    <w:rsid w:val="00C6300B"/>
    <w:rsid w:val="00C632E4"/>
    <w:rsid w:val="00C63683"/>
    <w:rsid w:val="00C64344"/>
    <w:rsid w:val="00C64512"/>
    <w:rsid w:val="00C6486B"/>
    <w:rsid w:val="00C649B7"/>
    <w:rsid w:val="00C65108"/>
    <w:rsid w:val="00C65576"/>
    <w:rsid w:val="00C66165"/>
    <w:rsid w:val="00C668E5"/>
    <w:rsid w:val="00C66F38"/>
    <w:rsid w:val="00C6788C"/>
    <w:rsid w:val="00C70192"/>
    <w:rsid w:val="00C7060A"/>
    <w:rsid w:val="00C7151A"/>
    <w:rsid w:val="00C717E3"/>
    <w:rsid w:val="00C71F60"/>
    <w:rsid w:val="00C72241"/>
    <w:rsid w:val="00C72720"/>
    <w:rsid w:val="00C736D9"/>
    <w:rsid w:val="00C74E7B"/>
    <w:rsid w:val="00C750C8"/>
    <w:rsid w:val="00C7560F"/>
    <w:rsid w:val="00C80A0E"/>
    <w:rsid w:val="00C8213F"/>
    <w:rsid w:val="00C8230E"/>
    <w:rsid w:val="00C84B41"/>
    <w:rsid w:val="00C84ECA"/>
    <w:rsid w:val="00C85154"/>
    <w:rsid w:val="00C86E64"/>
    <w:rsid w:val="00C870B9"/>
    <w:rsid w:val="00C8797A"/>
    <w:rsid w:val="00C900B8"/>
    <w:rsid w:val="00C90C71"/>
    <w:rsid w:val="00C91FD1"/>
    <w:rsid w:val="00C931CF"/>
    <w:rsid w:val="00C938CF"/>
    <w:rsid w:val="00C94013"/>
    <w:rsid w:val="00C94053"/>
    <w:rsid w:val="00C94A84"/>
    <w:rsid w:val="00C94BB1"/>
    <w:rsid w:val="00C9624D"/>
    <w:rsid w:val="00C969DA"/>
    <w:rsid w:val="00C96FA4"/>
    <w:rsid w:val="00CA08CC"/>
    <w:rsid w:val="00CA1392"/>
    <w:rsid w:val="00CA18D6"/>
    <w:rsid w:val="00CA2C77"/>
    <w:rsid w:val="00CA444F"/>
    <w:rsid w:val="00CA4D67"/>
    <w:rsid w:val="00CA5245"/>
    <w:rsid w:val="00CA6B82"/>
    <w:rsid w:val="00CA71F4"/>
    <w:rsid w:val="00CA7B09"/>
    <w:rsid w:val="00CB08BB"/>
    <w:rsid w:val="00CB12A5"/>
    <w:rsid w:val="00CB13F8"/>
    <w:rsid w:val="00CB1CAC"/>
    <w:rsid w:val="00CB2F2A"/>
    <w:rsid w:val="00CB560F"/>
    <w:rsid w:val="00CB58D6"/>
    <w:rsid w:val="00CB5A79"/>
    <w:rsid w:val="00CB5B1A"/>
    <w:rsid w:val="00CB65A3"/>
    <w:rsid w:val="00CB6B22"/>
    <w:rsid w:val="00CB6D89"/>
    <w:rsid w:val="00CB73D7"/>
    <w:rsid w:val="00CB7D7A"/>
    <w:rsid w:val="00CB7F5F"/>
    <w:rsid w:val="00CC0C33"/>
    <w:rsid w:val="00CC1B39"/>
    <w:rsid w:val="00CC35EA"/>
    <w:rsid w:val="00CC3848"/>
    <w:rsid w:val="00CC4461"/>
    <w:rsid w:val="00CC6F40"/>
    <w:rsid w:val="00CD1541"/>
    <w:rsid w:val="00CD29AE"/>
    <w:rsid w:val="00CD3335"/>
    <w:rsid w:val="00CD3F77"/>
    <w:rsid w:val="00CD48AC"/>
    <w:rsid w:val="00CD4A8D"/>
    <w:rsid w:val="00CD5BA3"/>
    <w:rsid w:val="00CD6ADC"/>
    <w:rsid w:val="00CD7193"/>
    <w:rsid w:val="00CE15D5"/>
    <w:rsid w:val="00CE1A72"/>
    <w:rsid w:val="00CE38C8"/>
    <w:rsid w:val="00CE502D"/>
    <w:rsid w:val="00CE6274"/>
    <w:rsid w:val="00CE77B6"/>
    <w:rsid w:val="00CF0E9F"/>
    <w:rsid w:val="00CF2B8D"/>
    <w:rsid w:val="00CF3731"/>
    <w:rsid w:val="00CF3A12"/>
    <w:rsid w:val="00CF456B"/>
    <w:rsid w:val="00CF5A22"/>
    <w:rsid w:val="00D00152"/>
    <w:rsid w:val="00D0178D"/>
    <w:rsid w:val="00D0262E"/>
    <w:rsid w:val="00D03DFD"/>
    <w:rsid w:val="00D048A5"/>
    <w:rsid w:val="00D057AA"/>
    <w:rsid w:val="00D05E3D"/>
    <w:rsid w:val="00D06139"/>
    <w:rsid w:val="00D10DAD"/>
    <w:rsid w:val="00D110BD"/>
    <w:rsid w:val="00D13675"/>
    <w:rsid w:val="00D141E1"/>
    <w:rsid w:val="00D15314"/>
    <w:rsid w:val="00D17D6C"/>
    <w:rsid w:val="00D17FB5"/>
    <w:rsid w:val="00D2076D"/>
    <w:rsid w:val="00D2089B"/>
    <w:rsid w:val="00D2155B"/>
    <w:rsid w:val="00D23D11"/>
    <w:rsid w:val="00D23E4C"/>
    <w:rsid w:val="00D244B6"/>
    <w:rsid w:val="00D2462F"/>
    <w:rsid w:val="00D25A8F"/>
    <w:rsid w:val="00D2658F"/>
    <w:rsid w:val="00D2681D"/>
    <w:rsid w:val="00D26DA0"/>
    <w:rsid w:val="00D2754D"/>
    <w:rsid w:val="00D278A3"/>
    <w:rsid w:val="00D27B27"/>
    <w:rsid w:val="00D30A77"/>
    <w:rsid w:val="00D33884"/>
    <w:rsid w:val="00D33BE9"/>
    <w:rsid w:val="00D33C4D"/>
    <w:rsid w:val="00D33F93"/>
    <w:rsid w:val="00D34BAE"/>
    <w:rsid w:val="00D357FF"/>
    <w:rsid w:val="00D40D5E"/>
    <w:rsid w:val="00D41F30"/>
    <w:rsid w:val="00D424C7"/>
    <w:rsid w:val="00D43928"/>
    <w:rsid w:val="00D43B2A"/>
    <w:rsid w:val="00D43CB0"/>
    <w:rsid w:val="00D43D83"/>
    <w:rsid w:val="00D45605"/>
    <w:rsid w:val="00D47575"/>
    <w:rsid w:val="00D4776D"/>
    <w:rsid w:val="00D5020D"/>
    <w:rsid w:val="00D5243B"/>
    <w:rsid w:val="00D52A45"/>
    <w:rsid w:val="00D533EC"/>
    <w:rsid w:val="00D563AB"/>
    <w:rsid w:val="00D56932"/>
    <w:rsid w:val="00D56A95"/>
    <w:rsid w:val="00D57609"/>
    <w:rsid w:val="00D62C9B"/>
    <w:rsid w:val="00D653BF"/>
    <w:rsid w:val="00D67C0C"/>
    <w:rsid w:val="00D70F16"/>
    <w:rsid w:val="00D71D62"/>
    <w:rsid w:val="00D725FA"/>
    <w:rsid w:val="00D72F57"/>
    <w:rsid w:val="00D73122"/>
    <w:rsid w:val="00D7326B"/>
    <w:rsid w:val="00D735CC"/>
    <w:rsid w:val="00D75279"/>
    <w:rsid w:val="00D7682E"/>
    <w:rsid w:val="00D76A44"/>
    <w:rsid w:val="00D773E3"/>
    <w:rsid w:val="00D815EF"/>
    <w:rsid w:val="00D81F26"/>
    <w:rsid w:val="00D83487"/>
    <w:rsid w:val="00D85A30"/>
    <w:rsid w:val="00D86231"/>
    <w:rsid w:val="00D86415"/>
    <w:rsid w:val="00D86ECE"/>
    <w:rsid w:val="00D87821"/>
    <w:rsid w:val="00D87C46"/>
    <w:rsid w:val="00D90059"/>
    <w:rsid w:val="00D90A95"/>
    <w:rsid w:val="00D91923"/>
    <w:rsid w:val="00D91CEC"/>
    <w:rsid w:val="00D920DE"/>
    <w:rsid w:val="00D93753"/>
    <w:rsid w:val="00D937C0"/>
    <w:rsid w:val="00DA04F2"/>
    <w:rsid w:val="00DA3167"/>
    <w:rsid w:val="00DA4DC3"/>
    <w:rsid w:val="00DA4F31"/>
    <w:rsid w:val="00DA5A1A"/>
    <w:rsid w:val="00DA66F2"/>
    <w:rsid w:val="00DA71DD"/>
    <w:rsid w:val="00DA7685"/>
    <w:rsid w:val="00DA77A5"/>
    <w:rsid w:val="00DB0256"/>
    <w:rsid w:val="00DB194F"/>
    <w:rsid w:val="00DB3DBF"/>
    <w:rsid w:val="00DB436B"/>
    <w:rsid w:val="00DB484F"/>
    <w:rsid w:val="00DC04F6"/>
    <w:rsid w:val="00DC0594"/>
    <w:rsid w:val="00DC0690"/>
    <w:rsid w:val="00DC0C13"/>
    <w:rsid w:val="00DC1D65"/>
    <w:rsid w:val="00DC24CE"/>
    <w:rsid w:val="00DC2881"/>
    <w:rsid w:val="00DC3C57"/>
    <w:rsid w:val="00DC3D2F"/>
    <w:rsid w:val="00DC5501"/>
    <w:rsid w:val="00DC7154"/>
    <w:rsid w:val="00DC762A"/>
    <w:rsid w:val="00DC7E8A"/>
    <w:rsid w:val="00DD06C0"/>
    <w:rsid w:val="00DD09A9"/>
    <w:rsid w:val="00DD0F78"/>
    <w:rsid w:val="00DD273C"/>
    <w:rsid w:val="00DD3F28"/>
    <w:rsid w:val="00DD4537"/>
    <w:rsid w:val="00DD4E15"/>
    <w:rsid w:val="00DD4E75"/>
    <w:rsid w:val="00DE2304"/>
    <w:rsid w:val="00DE3138"/>
    <w:rsid w:val="00DE37F8"/>
    <w:rsid w:val="00DE41A0"/>
    <w:rsid w:val="00DE4FCB"/>
    <w:rsid w:val="00DE5D07"/>
    <w:rsid w:val="00DE6B30"/>
    <w:rsid w:val="00DE72A7"/>
    <w:rsid w:val="00DE7615"/>
    <w:rsid w:val="00DE7832"/>
    <w:rsid w:val="00DF13EB"/>
    <w:rsid w:val="00DF18FC"/>
    <w:rsid w:val="00DF1D96"/>
    <w:rsid w:val="00DF2080"/>
    <w:rsid w:val="00DF233B"/>
    <w:rsid w:val="00DF260D"/>
    <w:rsid w:val="00DF5868"/>
    <w:rsid w:val="00DF5D2B"/>
    <w:rsid w:val="00E00E8E"/>
    <w:rsid w:val="00E02670"/>
    <w:rsid w:val="00E033C6"/>
    <w:rsid w:val="00E04FB0"/>
    <w:rsid w:val="00E05630"/>
    <w:rsid w:val="00E06B77"/>
    <w:rsid w:val="00E06DBB"/>
    <w:rsid w:val="00E07287"/>
    <w:rsid w:val="00E10149"/>
    <w:rsid w:val="00E11340"/>
    <w:rsid w:val="00E122A1"/>
    <w:rsid w:val="00E1366B"/>
    <w:rsid w:val="00E141B5"/>
    <w:rsid w:val="00E16372"/>
    <w:rsid w:val="00E16ADC"/>
    <w:rsid w:val="00E16D8F"/>
    <w:rsid w:val="00E20E4D"/>
    <w:rsid w:val="00E20ED6"/>
    <w:rsid w:val="00E21358"/>
    <w:rsid w:val="00E213AE"/>
    <w:rsid w:val="00E2249B"/>
    <w:rsid w:val="00E22A0D"/>
    <w:rsid w:val="00E23DD4"/>
    <w:rsid w:val="00E241D1"/>
    <w:rsid w:val="00E244F6"/>
    <w:rsid w:val="00E25B64"/>
    <w:rsid w:val="00E264EF"/>
    <w:rsid w:val="00E2771E"/>
    <w:rsid w:val="00E311EF"/>
    <w:rsid w:val="00E3141F"/>
    <w:rsid w:val="00E32180"/>
    <w:rsid w:val="00E32D71"/>
    <w:rsid w:val="00E334D4"/>
    <w:rsid w:val="00E34503"/>
    <w:rsid w:val="00E34948"/>
    <w:rsid w:val="00E35E80"/>
    <w:rsid w:val="00E36801"/>
    <w:rsid w:val="00E37569"/>
    <w:rsid w:val="00E401B2"/>
    <w:rsid w:val="00E40637"/>
    <w:rsid w:val="00E407C2"/>
    <w:rsid w:val="00E41E30"/>
    <w:rsid w:val="00E42F73"/>
    <w:rsid w:val="00E43D70"/>
    <w:rsid w:val="00E4420B"/>
    <w:rsid w:val="00E450BA"/>
    <w:rsid w:val="00E466F3"/>
    <w:rsid w:val="00E47040"/>
    <w:rsid w:val="00E47B2C"/>
    <w:rsid w:val="00E51560"/>
    <w:rsid w:val="00E51BBF"/>
    <w:rsid w:val="00E52703"/>
    <w:rsid w:val="00E53FC8"/>
    <w:rsid w:val="00E54347"/>
    <w:rsid w:val="00E551BE"/>
    <w:rsid w:val="00E55424"/>
    <w:rsid w:val="00E55915"/>
    <w:rsid w:val="00E55BB5"/>
    <w:rsid w:val="00E56A23"/>
    <w:rsid w:val="00E61DB4"/>
    <w:rsid w:val="00E62A95"/>
    <w:rsid w:val="00E630C0"/>
    <w:rsid w:val="00E6491D"/>
    <w:rsid w:val="00E65B12"/>
    <w:rsid w:val="00E65BF9"/>
    <w:rsid w:val="00E65E79"/>
    <w:rsid w:val="00E66BA2"/>
    <w:rsid w:val="00E66C51"/>
    <w:rsid w:val="00E67416"/>
    <w:rsid w:val="00E7077D"/>
    <w:rsid w:val="00E71706"/>
    <w:rsid w:val="00E718B6"/>
    <w:rsid w:val="00E71A2A"/>
    <w:rsid w:val="00E71B8E"/>
    <w:rsid w:val="00E723BA"/>
    <w:rsid w:val="00E73581"/>
    <w:rsid w:val="00E758B2"/>
    <w:rsid w:val="00E760CB"/>
    <w:rsid w:val="00E8202D"/>
    <w:rsid w:val="00E833F7"/>
    <w:rsid w:val="00E83BDF"/>
    <w:rsid w:val="00E83C62"/>
    <w:rsid w:val="00E87A1D"/>
    <w:rsid w:val="00E90084"/>
    <w:rsid w:val="00E9094A"/>
    <w:rsid w:val="00E91D35"/>
    <w:rsid w:val="00E926A5"/>
    <w:rsid w:val="00E9340E"/>
    <w:rsid w:val="00EA17C3"/>
    <w:rsid w:val="00EA2CAA"/>
    <w:rsid w:val="00EA3864"/>
    <w:rsid w:val="00EA5EE2"/>
    <w:rsid w:val="00EA7874"/>
    <w:rsid w:val="00EA7AC4"/>
    <w:rsid w:val="00EA7F1C"/>
    <w:rsid w:val="00EB15B6"/>
    <w:rsid w:val="00EB1DBF"/>
    <w:rsid w:val="00EB39F5"/>
    <w:rsid w:val="00EB3D06"/>
    <w:rsid w:val="00EB4916"/>
    <w:rsid w:val="00EB69DE"/>
    <w:rsid w:val="00EC00C9"/>
    <w:rsid w:val="00EC0D67"/>
    <w:rsid w:val="00EC0DD9"/>
    <w:rsid w:val="00EC1C3C"/>
    <w:rsid w:val="00EC2649"/>
    <w:rsid w:val="00EC2995"/>
    <w:rsid w:val="00EC31ED"/>
    <w:rsid w:val="00EC5836"/>
    <w:rsid w:val="00EC5A02"/>
    <w:rsid w:val="00EC688C"/>
    <w:rsid w:val="00ED0B67"/>
    <w:rsid w:val="00ED4801"/>
    <w:rsid w:val="00ED49E2"/>
    <w:rsid w:val="00ED57EA"/>
    <w:rsid w:val="00ED5BD4"/>
    <w:rsid w:val="00ED6148"/>
    <w:rsid w:val="00ED7E46"/>
    <w:rsid w:val="00EE07D3"/>
    <w:rsid w:val="00EE1996"/>
    <w:rsid w:val="00EE1C01"/>
    <w:rsid w:val="00EE22AF"/>
    <w:rsid w:val="00EE5BFE"/>
    <w:rsid w:val="00EE5DC0"/>
    <w:rsid w:val="00EE62EB"/>
    <w:rsid w:val="00EE63D3"/>
    <w:rsid w:val="00EF0171"/>
    <w:rsid w:val="00EF1B25"/>
    <w:rsid w:val="00EF1DA0"/>
    <w:rsid w:val="00EF4747"/>
    <w:rsid w:val="00EF4BF8"/>
    <w:rsid w:val="00EF61A7"/>
    <w:rsid w:val="00EF7A06"/>
    <w:rsid w:val="00EF7E32"/>
    <w:rsid w:val="00F0019E"/>
    <w:rsid w:val="00F00791"/>
    <w:rsid w:val="00F00DAD"/>
    <w:rsid w:val="00F02253"/>
    <w:rsid w:val="00F03C2E"/>
    <w:rsid w:val="00F04A66"/>
    <w:rsid w:val="00F04B4B"/>
    <w:rsid w:val="00F0516C"/>
    <w:rsid w:val="00F05F97"/>
    <w:rsid w:val="00F067A2"/>
    <w:rsid w:val="00F072E6"/>
    <w:rsid w:val="00F077BB"/>
    <w:rsid w:val="00F07B9E"/>
    <w:rsid w:val="00F1116F"/>
    <w:rsid w:val="00F11AA3"/>
    <w:rsid w:val="00F1263A"/>
    <w:rsid w:val="00F13AB5"/>
    <w:rsid w:val="00F14EF2"/>
    <w:rsid w:val="00F1598B"/>
    <w:rsid w:val="00F15B77"/>
    <w:rsid w:val="00F16EE3"/>
    <w:rsid w:val="00F17EA7"/>
    <w:rsid w:val="00F2446A"/>
    <w:rsid w:val="00F24837"/>
    <w:rsid w:val="00F250E3"/>
    <w:rsid w:val="00F2575F"/>
    <w:rsid w:val="00F27565"/>
    <w:rsid w:val="00F27A74"/>
    <w:rsid w:val="00F303D6"/>
    <w:rsid w:val="00F310D4"/>
    <w:rsid w:val="00F31D5A"/>
    <w:rsid w:val="00F32935"/>
    <w:rsid w:val="00F33975"/>
    <w:rsid w:val="00F33DE9"/>
    <w:rsid w:val="00F35E6D"/>
    <w:rsid w:val="00F35EBB"/>
    <w:rsid w:val="00F3619A"/>
    <w:rsid w:val="00F40AAA"/>
    <w:rsid w:val="00F40BA7"/>
    <w:rsid w:val="00F40F9D"/>
    <w:rsid w:val="00F4148C"/>
    <w:rsid w:val="00F41ACD"/>
    <w:rsid w:val="00F446FA"/>
    <w:rsid w:val="00F4528E"/>
    <w:rsid w:val="00F45DEA"/>
    <w:rsid w:val="00F46CB6"/>
    <w:rsid w:val="00F4756D"/>
    <w:rsid w:val="00F47DE8"/>
    <w:rsid w:val="00F518AC"/>
    <w:rsid w:val="00F542C1"/>
    <w:rsid w:val="00F54B6A"/>
    <w:rsid w:val="00F554A6"/>
    <w:rsid w:val="00F55E73"/>
    <w:rsid w:val="00F55EDA"/>
    <w:rsid w:val="00F5640C"/>
    <w:rsid w:val="00F56C80"/>
    <w:rsid w:val="00F60092"/>
    <w:rsid w:val="00F61C18"/>
    <w:rsid w:val="00F6223C"/>
    <w:rsid w:val="00F62E6D"/>
    <w:rsid w:val="00F62F35"/>
    <w:rsid w:val="00F65F4B"/>
    <w:rsid w:val="00F67A69"/>
    <w:rsid w:val="00F709A8"/>
    <w:rsid w:val="00F70BFF"/>
    <w:rsid w:val="00F70C9D"/>
    <w:rsid w:val="00F716AE"/>
    <w:rsid w:val="00F7347C"/>
    <w:rsid w:val="00F74CD9"/>
    <w:rsid w:val="00F80A7B"/>
    <w:rsid w:val="00F80E5D"/>
    <w:rsid w:val="00F81E78"/>
    <w:rsid w:val="00F82796"/>
    <w:rsid w:val="00F848D2"/>
    <w:rsid w:val="00F851CE"/>
    <w:rsid w:val="00F852AC"/>
    <w:rsid w:val="00F86D08"/>
    <w:rsid w:val="00F9028A"/>
    <w:rsid w:val="00F90411"/>
    <w:rsid w:val="00F91219"/>
    <w:rsid w:val="00F92444"/>
    <w:rsid w:val="00F925C6"/>
    <w:rsid w:val="00F9393E"/>
    <w:rsid w:val="00F948D3"/>
    <w:rsid w:val="00F949D2"/>
    <w:rsid w:val="00F95D79"/>
    <w:rsid w:val="00F96FD0"/>
    <w:rsid w:val="00F97A78"/>
    <w:rsid w:val="00FA0B20"/>
    <w:rsid w:val="00FA13FE"/>
    <w:rsid w:val="00FA24E7"/>
    <w:rsid w:val="00FA5EE6"/>
    <w:rsid w:val="00FA7956"/>
    <w:rsid w:val="00FA7C15"/>
    <w:rsid w:val="00FB2FCB"/>
    <w:rsid w:val="00FB31ED"/>
    <w:rsid w:val="00FB3572"/>
    <w:rsid w:val="00FB38FA"/>
    <w:rsid w:val="00FB7C55"/>
    <w:rsid w:val="00FC1074"/>
    <w:rsid w:val="00FC1884"/>
    <w:rsid w:val="00FC19E2"/>
    <w:rsid w:val="00FC371D"/>
    <w:rsid w:val="00FC3BF9"/>
    <w:rsid w:val="00FC577E"/>
    <w:rsid w:val="00FC5A3C"/>
    <w:rsid w:val="00FC5F0B"/>
    <w:rsid w:val="00FC6F4E"/>
    <w:rsid w:val="00FD088D"/>
    <w:rsid w:val="00FD1C10"/>
    <w:rsid w:val="00FD1FF9"/>
    <w:rsid w:val="00FD2100"/>
    <w:rsid w:val="00FD2A5D"/>
    <w:rsid w:val="00FD3278"/>
    <w:rsid w:val="00FD3AED"/>
    <w:rsid w:val="00FD436C"/>
    <w:rsid w:val="00FD446D"/>
    <w:rsid w:val="00FD4F2C"/>
    <w:rsid w:val="00FD5D97"/>
    <w:rsid w:val="00FD6394"/>
    <w:rsid w:val="00FD6787"/>
    <w:rsid w:val="00FD6819"/>
    <w:rsid w:val="00FD743C"/>
    <w:rsid w:val="00FE0120"/>
    <w:rsid w:val="00FE01C5"/>
    <w:rsid w:val="00FE0E6C"/>
    <w:rsid w:val="00FE1CDC"/>
    <w:rsid w:val="00FE37FE"/>
    <w:rsid w:val="00FE5403"/>
    <w:rsid w:val="00FE5908"/>
    <w:rsid w:val="00FE6F2D"/>
    <w:rsid w:val="00FE7060"/>
    <w:rsid w:val="00FE70AB"/>
    <w:rsid w:val="00FE70C3"/>
    <w:rsid w:val="00FE754D"/>
    <w:rsid w:val="00FF19C7"/>
    <w:rsid w:val="00FF2AD9"/>
    <w:rsid w:val="00FF359F"/>
    <w:rsid w:val="00FF3DCF"/>
    <w:rsid w:val="00FF492C"/>
    <w:rsid w:val="00FF4A21"/>
    <w:rsid w:val="00FF514D"/>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D7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670"/>
    <w:rPr>
      <w:rFonts w:ascii="Calibri" w:hAnsi="Calibri"/>
      <w:sz w:val="24"/>
      <w:szCs w:val="24"/>
      <w:lang w:val="en-US" w:eastAsia="en-US"/>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rPr>
      <w:rFonts w:ascii="Arial Narrow" w:hAnsi="Arial Narrow"/>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5618D4"/>
    <w:pPr>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CommentText">
    <w:name w:val="annotation text"/>
    <w:basedOn w:val="Normal"/>
    <w:link w:val="CommentTextChar"/>
    <w:uiPriority w:val="99"/>
    <w:rsid w:val="00FD2100"/>
    <w:rPr>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asciiTheme="minorHAnsi" w:eastAsiaTheme="minorHAnsi" w:hAnsiTheme="minorHAnsi" w:cstheme="minorBidi"/>
      <w:b/>
      <w:snapToGrid w:val="0"/>
      <w:sz w:val="20"/>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styleId="Strong">
    <w:name w:val="Strong"/>
    <w:basedOn w:val="DefaultParagraphFont"/>
    <w:rsid w:val="00EA7874"/>
    <w:rPr>
      <w:b/>
      <w:bCs/>
    </w:rPr>
  </w:style>
  <w:style w:type="paragraph" w:customStyle="1" w:styleId="Dash">
    <w:name w:val="Dash"/>
    <w:basedOn w:val="Normal"/>
    <w:rsid w:val="00556261"/>
    <w:pPr>
      <w:numPr>
        <w:numId w:val="4"/>
      </w:numPr>
      <w:spacing w:after="40"/>
      <w:ind w:left="714" w:hanging="357"/>
    </w:pPr>
    <w:rPr>
      <w:rFonts w:asciiTheme="minorHAnsi" w:eastAsiaTheme="minorHAnsi" w:hAnsiTheme="minorHAnsi" w:cstheme="minorBidi"/>
      <w:sz w:val="22"/>
      <w:szCs w:val="22"/>
    </w:rPr>
  </w:style>
  <w:style w:type="paragraph" w:customStyle="1" w:styleId="PBACTableText">
    <w:name w:val="PBAC Table Text"/>
    <w:basedOn w:val="Normal"/>
    <w:link w:val="PBACTableTextChar"/>
    <w:qFormat/>
    <w:rsid w:val="00CB5A79"/>
    <w:pPr>
      <w:spacing w:before="40" w:after="40"/>
    </w:pPr>
    <w:rPr>
      <w:rFonts w:ascii="Arial Narrow" w:hAnsi="Arial Narrow"/>
      <w:sz w:val="20"/>
      <w:szCs w:val="20"/>
    </w:rPr>
  </w:style>
  <w:style w:type="character" w:customStyle="1" w:styleId="PBACTableTextChar">
    <w:name w:val="PBAC Table Text Char"/>
    <w:basedOn w:val="DefaultParagraphFont"/>
    <w:link w:val="PBACTableText"/>
    <w:rsid w:val="00CB5A79"/>
    <w:rPr>
      <w:rFonts w:ascii="Arial Narrow" w:hAnsi="Arial Narrow"/>
      <w:lang w:eastAsia="en-US"/>
    </w:rPr>
  </w:style>
  <w:style w:type="character" w:styleId="EndnoteReference">
    <w:name w:val="endnote reference"/>
    <w:rsid w:val="00CB5A79"/>
    <w:rPr>
      <w:vertAlign w:val="baseline"/>
    </w:rPr>
  </w:style>
  <w:style w:type="paragraph" w:customStyle="1" w:styleId="PBACTabletext0">
    <w:name w:val="PBAC Table text"/>
    <w:basedOn w:val="Normal"/>
    <w:link w:val="PBACTabletextChar0"/>
    <w:rsid w:val="00C03FA5"/>
    <w:pPr>
      <w:spacing w:before="40" w:after="40"/>
    </w:pPr>
    <w:rPr>
      <w:rFonts w:ascii="Arial Narrow" w:eastAsiaTheme="minorHAnsi" w:hAnsi="Arial Narrow"/>
      <w:sz w:val="20"/>
      <w:szCs w:val="20"/>
    </w:rPr>
  </w:style>
  <w:style w:type="character" w:customStyle="1" w:styleId="PBACTabletextChar0">
    <w:name w:val="PBAC Table text Char"/>
    <w:basedOn w:val="DefaultParagraphFont"/>
    <w:link w:val="PBACTabletext0"/>
    <w:rsid w:val="00C03FA5"/>
    <w:rPr>
      <w:rFonts w:ascii="Arial Narrow" w:eastAsiaTheme="minorHAnsi" w:hAnsi="Arial Narrow" w:cs="Arial"/>
      <w:lang w:eastAsia="en-US"/>
    </w:rPr>
  </w:style>
  <w:style w:type="paragraph" w:customStyle="1" w:styleId="PbacTableHeading">
    <w:name w:val="Pbac Table Heading"/>
    <w:basedOn w:val="PBACTabletext0"/>
    <w:qFormat/>
    <w:rsid w:val="00C03FA5"/>
    <w:pPr>
      <w:spacing w:before="0" w:after="80"/>
    </w:pPr>
    <w:rPr>
      <w:b/>
    </w:rPr>
  </w:style>
  <w:style w:type="paragraph" w:customStyle="1" w:styleId="PBACtablefooter">
    <w:name w:val="PBAC table footer"/>
    <w:basedOn w:val="PBACTableText"/>
    <w:link w:val="PBACtablefooterChar"/>
    <w:rsid w:val="00985DC7"/>
    <w:pPr>
      <w:spacing w:before="60" w:after="0"/>
    </w:pPr>
    <w:rPr>
      <w:rFonts w:eastAsiaTheme="minorHAnsi" w:cs="Arial"/>
      <w:sz w:val="18"/>
      <w:szCs w:val="18"/>
    </w:rPr>
  </w:style>
  <w:style w:type="character" w:customStyle="1" w:styleId="PBACtablefooterChar">
    <w:name w:val="PBAC table footer Char"/>
    <w:basedOn w:val="PBACTableTextChar"/>
    <w:link w:val="PBACtablefooter"/>
    <w:rsid w:val="00985DC7"/>
    <w:rPr>
      <w:rFonts w:ascii="Arial Narrow" w:eastAsiaTheme="minorHAnsi" w:hAnsi="Arial Narrow" w:cs="Arial"/>
      <w:sz w:val="18"/>
      <w:szCs w:val="18"/>
      <w:lang w:eastAsia="en-US"/>
    </w:rPr>
  </w:style>
  <w:style w:type="paragraph" w:customStyle="1" w:styleId="PBACtablecaption">
    <w:name w:val="PBAC table caption"/>
    <w:basedOn w:val="PBACtablefooter"/>
    <w:link w:val="PBACtablecaptionChar"/>
    <w:qFormat/>
    <w:rsid w:val="00C72720"/>
    <w:pPr>
      <w:spacing w:after="60"/>
    </w:pPr>
    <w:rPr>
      <w:rFonts w:ascii="Sabon" w:hAnsi="Sabon"/>
      <w:b/>
      <w:sz w:val="22"/>
      <w:szCs w:val="22"/>
    </w:rPr>
  </w:style>
  <w:style w:type="character" w:customStyle="1" w:styleId="PBACtablecaptionChar">
    <w:name w:val="PBAC table caption Char"/>
    <w:basedOn w:val="PBACtablefooterChar"/>
    <w:link w:val="PBACtablecaption"/>
    <w:rsid w:val="00C72720"/>
    <w:rPr>
      <w:rFonts w:ascii="Sabon" w:eastAsiaTheme="minorHAnsi" w:hAnsi="Sabon" w:cs="Arial"/>
      <w:b/>
      <w:sz w:val="22"/>
      <w:szCs w:val="22"/>
      <w:lang w:eastAsia="en-US"/>
    </w:rPr>
  </w:style>
  <w:style w:type="paragraph" w:customStyle="1" w:styleId="PBACcaption">
    <w:name w:val="PBAC caption"/>
    <w:basedOn w:val="PBACtablecaption"/>
    <w:link w:val="PBACcaptionChar"/>
    <w:qFormat/>
    <w:rsid w:val="00FD1FF9"/>
    <w:pPr>
      <w:spacing w:before="0" w:after="0"/>
      <w:ind w:left="1440" w:hanging="1440"/>
    </w:pPr>
  </w:style>
  <w:style w:type="character" w:customStyle="1" w:styleId="PBACcaptionChar">
    <w:name w:val="PBAC caption Char"/>
    <w:basedOn w:val="PBACtablecaptionChar"/>
    <w:link w:val="PBACcaption"/>
    <w:rsid w:val="00FD1FF9"/>
    <w:rPr>
      <w:rFonts w:ascii="Sabon" w:eastAsiaTheme="minorHAnsi" w:hAnsi="Sabon" w:cs="Arial"/>
      <w:b/>
      <w:sz w:val="22"/>
      <w:szCs w:val="22"/>
      <w:lang w:eastAsia="en-US"/>
    </w:rPr>
  </w:style>
  <w:style w:type="character" w:customStyle="1" w:styleId="NoSpacingChar">
    <w:name w:val="No Spacing Char"/>
    <w:aliases w:val="PBAC Table Footnote Char"/>
    <w:basedOn w:val="DefaultParagraphFont"/>
    <w:link w:val="NoSpacing"/>
    <w:uiPriority w:val="1"/>
    <w:rsid w:val="00E23DD4"/>
    <w:rPr>
      <w:rFonts w:ascii="Arial" w:hAnsi="Arial" w:cs="Arial"/>
      <w:snapToGrid w:val="0"/>
      <w:sz w:val="22"/>
      <w:lang w:eastAsia="en-US"/>
    </w:rPr>
  </w:style>
  <w:style w:type="paragraph" w:customStyle="1" w:styleId="PbacTabletoprow">
    <w:name w:val="Pbac Table top row"/>
    <w:basedOn w:val="PBACTabletext0"/>
    <w:rsid w:val="00CE15D5"/>
    <w:rPr>
      <w:b/>
    </w:rPr>
  </w:style>
  <w:style w:type="paragraph" w:customStyle="1" w:styleId="Comment">
    <w:name w:val="Comment"/>
    <w:basedOn w:val="Normal"/>
    <w:next w:val="Normal"/>
    <w:link w:val="CommentChar"/>
    <w:rsid w:val="00807174"/>
    <w:pPr>
      <w:spacing w:before="120"/>
    </w:pPr>
    <w:rPr>
      <w:rFonts w:eastAsia="MS Mincho"/>
      <w:i/>
      <w:color w:val="BF30B5"/>
      <w:lang w:eastAsia="zh-CN"/>
    </w:rPr>
  </w:style>
  <w:style w:type="character" w:customStyle="1" w:styleId="CommentChar">
    <w:name w:val="Comment Char"/>
    <w:link w:val="Comment"/>
    <w:rsid w:val="00807174"/>
    <w:rPr>
      <w:rFonts w:eastAsia="MS Mincho"/>
      <w:i/>
      <w:color w:val="BF30B5"/>
      <w:sz w:val="24"/>
      <w:szCs w:val="24"/>
      <w:lang w:val="en-US" w:eastAsia="zh-CN"/>
    </w:rPr>
  </w:style>
  <w:style w:type="paragraph" w:customStyle="1" w:styleId="PBACHeading1Nonumbering">
    <w:name w:val="PBAC Heading 1 No numbering"/>
    <w:basedOn w:val="Heading1"/>
    <w:qFormat/>
    <w:rsid w:val="00807174"/>
    <w:pPr>
      <w:keepNext/>
      <w:spacing w:before="120" w:after="240"/>
      <w:ind w:left="0" w:firstLine="0"/>
    </w:pPr>
    <w:rPr>
      <w:rFonts w:ascii="Sabon" w:hAnsi="Sabon"/>
      <w:b w:val="0"/>
      <w:bCs/>
      <w:caps w:val="0"/>
      <w:kern w:val="32"/>
      <w:sz w:val="36"/>
      <w:szCs w:val="28"/>
    </w:rPr>
  </w:style>
  <w:style w:type="paragraph" w:customStyle="1" w:styleId="NormalPBACsubtext">
    <w:name w:val="Normal PBAC sub text"/>
    <w:basedOn w:val="Normal"/>
    <w:next w:val="Normal"/>
    <w:rsid w:val="00541F78"/>
    <w:pPr>
      <w:keepNext/>
      <w:spacing w:after="240" w:line="360" w:lineRule="auto"/>
      <w:jc w:val="both"/>
    </w:pPr>
    <w:rPr>
      <w:rFonts w:ascii="Sabon" w:eastAsiaTheme="minorHAnsi" w:hAnsi="Sabon" w:cstheme="minorBidi"/>
      <w:sz w:val="22"/>
      <w:szCs w:val="22"/>
      <w:lang w:val="en-AU"/>
    </w:rPr>
  </w:style>
  <w:style w:type="paragraph" w:customStyle="1" w:styleId="Default">
    <w:name w:val="Default"/>
    <w:rsid w:val="00D83487"/>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A96DF6"/>
    <w:rPr>
      <w:sz w:val="20"/>
      <w:szCs w:val="20"/>
    </w:rPr>
  </w:style>
  <w:style w:type="character" w:customStyle="1" w:styleId="FootnoteTextChar">
    <w:name w:val="Footnote Text Char"/>
    <w:basedOn w:val="DefaultParagraphFont"/>
    <w:link w:val="FootnoteText"/>
    <w:semiHidden/>
    <w:rsid w:val="00A96DF6"/>
    <w:rPr>
      <w:rFonts w:ascii="Calibri" w:hAnsi="Calibri"/>
      <w:lang w:val="en-US" w:eastAsia="en-US"/>
    </w:rPr>
  </w:style>
  <w:style w:type="character" w:styleId="FootnoteReference">
    <w:name w:val="footnote reference"/>
    <w:basedOn w:val="DefaultParagraphFont"/>
    <w:uiPriority w:val="99"/>
    <w:unhideWhenUsed/>
    <w:rsid w:val="00A96DF6"/>
    <w:rPr>
      <w:vertAlign w:val="superscript"/>
    </w:rPr>
  </w:style>
  <w:style w:type="paragraph" w:customStyle="1" w:styleId="Bodytextitalics">
    <w:name w:val="Body text italics"/>
    <w:basedOn w:val="BodyText"/>
    <w:qFormat/>
    <w:rsid w:val="00A75DAF"/>
    <w:pPr>
      <w:spacing w:after="120"/>
      <w:jc w:val="both"/>
    </w:pPr>
    <w:rPr>
      <w:rFonts w:asciiTheme="minorHAnsi" w:eastAsiaTheme="minorHAnsi" w:hAnsiTheme="minorHAnsi" w:cstheme="minorBidi"/>
      <w:i/>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4319">
      <w:bodyDiv w:val="1"/>
      <w:marLeft w:val="0"/>
      <w:marRight w:val="0"/>
      <w:marTop w:val="0"/>
      <w:marBottom w:val="0"/>
      <w:divBdr>
        <w:top w:val="none" w:sz="0" w:space="0" w:color="auto"/>
        <w:left w:val="none" w:sz="0" w:space="0" w:color="auto"/>
        <w:bottom w:val="none" w:sz="0" w:space="0" w:color="auto"/>
        <w:right w:val="none" w:sz="0" w:space="0" w:color="auto"/>
      </w:divBdr>
      <w:divsChild>
        <w:div w:id="457648825">
          <w:marLeft w:val="0"/>
          <w:marRight w:val="0"/>
          <w:marTop w:val="0"/>
          <w:marBottom w:val="0"/>
          <w:divBdr>
            <w:top w:val="none" w:sz="0" w:space="0" w:color="auto"/>
            <w:left w:val="none" w:sz="0" w:space="0" w:color="auto"/>
            <w:bottom w:val="none" w:sz="0" w:space="0" w:color="auto"/>
            <w:right w:val="none" w:sz="0" w:space="0" w:color="auto"/>
          </w:divBdr>
          <w:divsChild>
            <w:div w:id="785395112">
              <w:marLeft w:val="0"/>
              <w:marRight w:val="0"/>
              <w:marTop w:val="0"/>
              <w:marBottom w:val="0"/>
              <w:divBdr>
                <w:top w:val="none" w:sz="0" w:space="0" w:color="auto"/>
                <w:left w:val="none" w:sz="0" w:space="0" w:color="auto"/>
                <w:bottom w:val="none" w:sz="0" w:space="0" w:color="auto"/>
                <w:right w:val="none" w:sz="0" w:space="0" w:color="auto"/>
              </w:divBdr>
              <w:divsChild>
                <w:div w:id="1026054221">
                  <w:marLeft w:val="0"/>
                  <w:marRight w:val="0"/>
                  <w:marTop w:val="0"/>
                  <w:marBottom w:val="0"/>
                  <w:divBdr>
                    <w:top w:val="none" w:sz="0" w:space="0" w:color="auto"/>
                    <w:left w:val="none" w:sz="0" w:space="0" w:color="auto"/>
                    <w:bottom w:val="none" w:sz="0" w:space="0" w:color="auto"/>
                    <w:right w:val="none" w:sz="0" w:space="0" w:color="auto"/>
                  </w:divBdr>
                  <w:divsChild>
                    <w:div w:id="8799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0876067">
      <w:bodyDiv w:val="1"/>
      <w:marLeft w:val="0"/>
      <w:marRight w:val="0"/>
      <w:marTop w:val="0"/>
      <w:marBottom w:val="0"/>
      <w:divBdr>
        <w:top w:val="none" w:sz="0" w:space="0" w:color="auto"/>
        <w:left w:val="none" w:sz="0" w:space="0" w:color="auto"/>
        <w:bottom w:val="none" w:sz="0" w:space="0" w:color="auto"/>
        <w:right w:val="none" w:sz="0" w:space="0" w:color="auto"/>
      </w:divBdr>
      <w:divsChild>
        <w:div w:id="674110703">
          <w:marLeft w:val="0"/>
          <w:marRight w:val="0"/>
          <w:marTop w:val="0"/>
          <w:marBottom w:val="0"/>
          <w:divBdr>
            <w:top w:val="none" w:sz="0" w:space="0" w:color="auto"/>
            <w:left w:val="none" w:sz="0" w:space="0" w:color="auto"/>
            <w:bottom w:val="none" w:sz="0" w:space="0" w:color="auto"/>
            <w:right w:val="none" w:sz="0" w:space="0" w:color="auto"/>
          </w:divBdr>
          <w:divsChild>
            <w:div w:id="2035379772">
              <w:marLeft w:val="0"/>
              <w:marRight w:val="0"/>
              <w:marTop w:val="0"/>
              <w:marBottom w:val="0"/>
              <w:divBdr>
                <w:top w:val="none" w:sz="0" w:space="0" w:color="auto"/>
                <w:left w:val="none" w:sz="0" w:space="0" w:color="auto"/>
                <w:bottom w:val="none" w:sz="0" w:space="0" w:color="auto"/>
                <w:right w:val="none" w:sz="0" w:space="0" w:color="auto"/>
              </w:divBdr>
              <w:divsChild>
                <w:div w:id="8297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7288">
      <w:bodyDiv w:val="1"/>
      <w:marLeft w:val="0"/>
      <w:marRight w:val="0"/>
      <w:marTop w:val="0"/>
      <w:marBottom w:val="0"/>
      <w:divBdr>
        <w:top w:val="none" w:sz="0" w:space="0" w:color="auto"/>
        <w:left w:val="none" w:sz="0" w:space="0" w:color="auto"/>
        <w:bottom w:val="none" w:sz="0" w:space="0" w:color="auto"/>
        <w:right w:val="none" w:sz="0" w:space="0" w:color="auto"/>
      </w:divBdr>
    </w:div>
    <w:div w:id="284240513">
      <w:bodyDiv w:val="1"/>
      <w:marLeft w:val="0"/>
      <w:marRight w:val="0"/>
      <w:marTop w:val="0"/>
      <w:marBottom w:val="0"/>
      <w:divBdr>
        <w:top w:val="none" w:sz="0" w:space="0" w:color="auto"/>
        <w:left w:val="none" w:sz="0" w:space="0" w:color="auto"/>
        <w:bottom w:val="none" w:sz="0" w:space="0" w:color="auto"/>
        <w:right w:val="none" w:sz="0" w:space="0" w:color="auto"/>
      </w:divBdr>
    </w:div>
    <w:div w:id="290062546">
      <w:bodyDiv w:val="1"/>
      <w:marLeft w:val="0"/>
      <w:marRight w:val="0"/>
      <w:marTop w:val="0"/>
      <w:marBottom w:val="0"/>
      <w:divBdr>
        <w:top w:val="none" w:sz="0" w:space="0" w:color="auto"/>
        <w:left w:val="none" w:sz="0" w:space="0" w:color="auto"/>
        <w:bottom w:val="none" w:sz="0" w:space="0" w:color="auto"/>
        <w:right w:val="none" w:sz="0" w:space="0" w:color="auto"/>
      </w:divBdr>
      <w:divsChild>
        <w:div w:id="344988007">
          <w:marLeft w:val="0"/>
          <w:marRight w:val="0"/>
          <w:marTop w:val="0"/>
          <w:marBottom w:val="0"/>
          <w:divBdr>
            <w:top w:val="none" w:sz="0" w:space="0" w:color="auto"/>
            <w:left w:val="none" w:sz="0" w:space="0" w:color="auto"/>
            <w:bottom w:val="none" w:sz="0" w:space="0" w:color="auto"/>
            <w:right w:val="none" w:sz="0" w:space="0" w:color="auto"/>
          </w:divBdr>
          <w:divsChild>
            <w:div w:id="1155225246">
              <w:marLeft w:val="0"/>
              <w:marRight w:val="0"/>
              <w:marTop w:val="0"/>
              <w:marBottom w:val="0"/>
              <w:divBdr>
                <w:top w:val="none" w:sz="0" w:space="0" w:color="auto"/>
                <w:left w:val="none" w:sz="0" w:space="0" w:color="auto"/>
                <w:bottom w:val="none" w:sz="0" w:space="0" w:color="auto"/>
                <w:right w:val="none" w:sz="0" w:space="0" w:color="auto"/>
              </w:divBdr>
              <w:divsChild>
                <w:div w:id="185029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1178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6006727">
      <w:bodyDiv w:val="1"/>
      <w:marLeft w:val="0"/>
      <w:marRight w:val="0"/>
      <w:marTop w:val="0"/>
      <w:marBottom w:val="0"/>
      <w:divBdr>
        <w:top w:val="none" w:sz="0" w:space="0" w:color="auto"/>
        <w:left w:val="none" w:sz="0" w:space="0" w:color="auto"/>
        <w:bottom w:val="none" w:sz="0" w:space="0" w:color="auto"/>
        <w:right w:val="none" w:sz="0" w:space="0" w:color="auto"/>
      </w:divBdr>
      <w:divsChild>
        <w:div w:id="730075524">
          <w:marLeft w:val="0"/>
          <w:marRight w:val="0"/>
          <w:marTop w:val="0"/>
          <w:marBottom w:val="0"/>
          <w:divBdr>
            <w:top w:val="none" w:sz="0" w:space="0" w:color="auto"/>
            <w:left w:val="none" w:sz="0" w:space="0" w:color="auto"/>
            <w:bottom w:val="none" w:sz="0" w:space="0" w:color="auto"/>
            <w:right w:val="none" w:sz="0" w:space="0" w:color="auto"/>
          </w:divBdr>
          <w:divsChild>
            <w:div w:id="24210107">
              <w:marLeft w:val="0"/>
              <w:marRight w:val="0"/>
              <w:marTop w:val="0"/>
              <w:marBottom w:val="0"/>
              <w:divBdr>
                <w:top w:val="none" w:sz="0" w:space="0" w:color="auto"/>
                <w:left w:val="none" w:sz="0" w:space="0" w:color="auto"/>
                <w:bottom w:val="none" w:sz="0" w:space="0" w:color="auto"/>
                <w:right w:val="none" w:sz="0" w:space="0" w:color="auto"/>
              </w:divBdr>
              <w:divsChild>
                <w:div w:id="589703648">
                  <w:marLeft w:val="0"/>
                  <w:marRight w:val="0"/>
                  <w:marTop w:val="0"/>
                  <w:marBottom w:val="0"/>
                  <w:divBdr>
                    <w:top w:val="none" w:sz="0" w:space="0" w:color="auto"/>
                    <w:left w:val="none" w:sz="0" w:space="0" w:color="auto"/>
                    <w:bottom w:val="none" w:sz="0" w:space="0" w:color="auto"/>
                    <w:right w:val="none" w:sz="0" w:space="0" w:color="auto"/>
                  </w:divBdr>
                  <w:divsChild>
                    <w:div w:id="20936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153287">
      <w:bodyDiv w:val="1"/>
      <w:marLeft w:val="0"/>
      <w:marRight w:val="0"/>
      <w:marTop w:val="0"/>
      <w:marBottom w:val="0"/>
      <w:divBdr>
        <w:top w:val="none" w:sz="0" w:space="0" w:color="auto"/>
        <w:left w:val="none" w:sz="0" w:space="0" w:color="auto"/>
        <w:bottom w:val="none" w:sz="0" w:space="0" w:color="auto"/>
        <w:right w:val="none" w:sz="0" w:space="0" w:color="auto"/>
      </w:divBdr>
    </w:div>
    <w:div w:id="499583489">
      <w:bodyDiv w:val="1"/>
      <w:marLeft w:val="0"/>
      <w:marRight w:val="0"/>
      <w:marTop w:val="0"/>
      <w:marBottom w:val="0"/>
      <w:divBdr>
        <w:top w:val="none" w:sz="0" w:space="0" w:color="auto"/>
        <w:left w:val="none" w:sz="0" w:space="0" w:color="auto"/>
        <w:bottom w:val="none" w:sz="0" w:space="0" w:color="auto"/>
        <w:right w:val="none" w:sz="0" w:space="0" w:color="auto"/>
      </w:divBdr>
      <w:divsChild>
        <w:div w:id="177813769">
          <w:marLeft w:val="0"/>
          <w:marRight w:val="0"/>
          <w:marTop w:val="0"/>
          <w:marBottom w:val="0"/>
          <w:divBdr>
            <w:top w:val="none" w:sz="0" w:space="0" w:color="auto"/>
            <w:left w:val="none" w:sz="0" w:space="0" w:color="auto"/>
            <w:bottom w:val="none" w:sz="0" w:space="0" w:color="auto"/>
            <w:right w:val="none" w:sz="0" w:space="0" w:color="auto"/>
          </w:divBdr>
          <w:divsChild>
            <w:div w:id="1076978745">
              <w:marLeft w:val="0"/>
              <w:marRight w:val="0"/>
              <w:marTop w:val="0"/>
              <w:marBottom w:val="0"/>
              <w:divBdr>
                <w:top w:val="none" w:sz="0" w:space="0" w:color="auto"/>
                <w:left w:val="none" w:sz="0" w:space="0" w:color="auto"/>
                <w:bottom w:val="none" w:sz="0" w:space="0" w:color="auto"/>
                <w:right w:val="none" w:sz="0" w:space="0" w:color="auto"/>
              </w:divBdr>
              <w:divsChild>
                <w:div w:id="768697743">
                  <w:marLeft w:val="0"/>
                  <w:marRight w:val="0"/>
                  <w:marTop w:val="0"/>
                  <w:marBottom w:val="0"/>
                  <w:divBdr>
                    <w:top w:val="none" w:sz="0" w:space="0" w:color="auto"/>
                    <w:left w:val="none" w:sz="0" w:space="0" w:color="auto"/>
                    <w:bottom w:val="none" w:sz="0" w:space="0" w:color="auto"/>
                    <w:right w:val="none" w:sz="0" w:space="0" w:color="auto"/>
                  </w:divBdr>
                  <w:divsChild>
                    <w:div w:id="2146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20880">
      <w:bodyDiv w:val="1"/>
      <w:marLeft w:val="0"/>
      <w:marRight w:val="0"/>
      <w:marTop w:val="0"/>
      <w:marBottom w:val="0"/>
      <w:divBdr>
        <w:top w:val="none" w:sz="0" w:space="0" w:color="auto"/>
        <w:left w:val="none" w:sz="0" w:space="0" w:color="auto"/>
        <w:bottom w:val="none" w:sz="0" w:space="0" w:color="auto"/>
        <w:right w:val="none" w:sz="0" w:space="0" w:color="auto"/>
      </w:divBdr>
    </w:div>
    <w:div w:id="512885460">
      <w:bodyDiv w:val="1"/>
      <w:marLeft w:val="0"/>
      <w:marRight w:val="0"/>
      <w:marTop w:val="0"/>
      <w:marBottom w:val="0"/>
      <w:divBdr>
        <w:top w:val="none" w:sz="0" w:space="0" w:color="auto"/>
        <w:left w:val="none" w:sz="0" w:space="0" w:color="auto"/>
        <w:bottom w:val="none" w:sz="0" w:space="0" w:color="auto"/>
        <w:right w:val="none" w:sz="0" w:space="0" w:color="auto"/>
      </w:divBdr>
    </w:div>
    <w:div w:id="593442685">
      <w:bodyDiv w:val="1"/>
      <w:marLeft w:val="0"/>
      <w:marRight w:val="0"/>
      <w:marTop w:val="0"/>
      <w:marBottom w:val="0"/>
      <w:divBdr>
        <w:top w:val="none" w:sz="0" w:space="0" w:color="auto"/>
        <w:left w:val="none" w:sz="0" w:space="0" w:color="auto"/>
        <w:bottom w:val="none" w:sz="0" w:space="0" w:color="auto"/>
        <w:right w:val="none" w:sz="0" w:space="0" w:color="auto"/>
      </w:divBdr>
      <w:divsChild>
        <w:div w:id="756899287">
          <w:marLeft w:val="0"/>
          <w:marRight w:val="0"/>
          <w:marTop w:val="0"/>
          <w:marBottom w:val="0"/>
          <w:divBdr>
            <w:top w:val="none" w:sz="0" w:space="0" w:color="auto"/>
            <w:left w:val="none" w:sz="0" w:space="0" w:color="auto"/>
            <w:bottom w:val="none" w:sz="0" w:space="0" w:color="auto"/>
            <w:right w:val="none" w:sz="0" w:space="0" w:color="auto"/>
          </w:divBdr>
          <w:divsChild>
            <w:div w:id="876430122">
              <w:marLeft w:val="0"/>
              <w:marRight w:val="0"/>
              <w:marTop w:val="0"/>
              <w:marBottom w:val="0"/>
              <w:divBdr>
                <w:top w:val="none" w:sz="0" w:space="0" w:color="auto"/>
                <w:left w:val="none" w:sz="0" w:space="0" w:color="auto"/>
                <w:bottom w:val="none" w:sz="0" w:space="0" w:color="auto"/>
                <w:right w:val="none" w:sz="0" w:space="0" w:color="auto"/>
              </w:divBdr>
              <w:divsChild>
                <w:div w:id="1767188077">
                  <w:marLeft w:val="0"/>
                  <w:marRight w:val="0"/>
                  <w:marTop w:val="0"/>
                  <w:marBottom w:val="0"/>
                  <w:divBdr>
                    <w:top w:val="none" w:sz="0" w:space="0" w:color="auto"/>
                    <w:left w:val="none" w:sz="0" w:space="0" w:color="auto"/>
                    <w:bottom w:val="none" w:sz="0" w:space="0" w:color="auto"/>
                    <w:right w:val="none" w:sz="0" w:space="0" w:color="auto"/>
                  </w:divBdr>
                  <w:divsChild>
                    <w:div w:id="5601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6310">
      <w:bodyDiv w:val="1"/>
      <w:marLeft w:val="0"/>
      <w:marRight w:val="0"/>
      <w:marTop w:val="0"/>
      <w:marBottom w:val="0"/>
      <w:divBdr>
        <w:top w:val="none" w:sz="0" w:space="0" w:color="auto"/>
        <w:left w:val="none" w:sz="0" w:space="0" w:color="auto"/>
        <w:bottom w:val="none" w:sz="0" w:space="0" w:color="auto"/>
        <w:right w:val="none" w:sz="0" w:space="0" w:color="auto"/>
      </w:divBdr>
    </w:div>
    <w:div w:id="698699157">
      <w:bodyDiv w:val="1"/>
      <w:marLeft w:val="0"/>
      <w:marRight w:val="0"/>
      <w:marTop w:val="0"/>
      <w:marBottom w:val="0"/>
      <w:divBdr>
        <w:top w:val="none" w:sz="0" w:space="0" w:color="auto"/>
        <w:left w:val="none" w:sz="0" w:space="0" w:color="auto"/>
        <w:bottom w:val="none" w:sz="0" w:space="0" w:color="auto"/>
        <w:right w:val="none" w:sz="0" w:space="0" w:color="auto"/>
      </w:divBdr>
      <w:divsChild>
        <w:div w:id="2001232734">
          <w:marLeft w:val="0"/>
          <w:marRight w:val="0"/>
          <w:marTop w:val="0"/>
          <w:marBottom w:val="0"/>
          <w:divBdr>
            <w:top w:val="none" w:sz="0" w:space="0" w:color="auto"/>
            <w:left w:val="none" w:sz="0" w:space="0" w:color="auto"/>
            <w:bottom w:val="none" w:sz="0" w:space="0" w:color="auto"/>
            <w:right w:val="none" w:sz="0" w:space="0" w:color="auto"/>
          </w:divBdr>
          <w:divsChild>
            <w:div w:id="1497182688">
              <w:marLeft w:val="0"/>
              <w:marRight w:val="0"/>
              <w:marTop w:val="0"/>
              <w:marBottom w:val="0"/>
              <w:divBdr>
                <w:top w:val="none" w:sz="0" w:space="0" w:color="auto"/>
                <w:left w:val="none" w:sz="0" w:space="0" w:color="auto"/>
                <w:bottom w:val="none" w:sz="0" w:space="0" w:color="auto"/>
                <w:right w:val="none" w:sz="0" w:space="0" w:color="auto"/>
              </w:divBdr>
              <w:divsChild>
                <w:div w:id="14613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5453">
      <w:bodyDiv w:val="1"/>
      <w:marLeft w:val="0"/>
      <w:marRight w:val="0"/>
      <w:marTop w:val="0"/>
      <w:marBottom w:val="0"/>
      <w:divBdr>
        <w:top w:val="none" w:sz="0" w:space="0" w:color="auto"/>
        <w:left w:val="none" w:sz="0" w:space="0" w:color="auto"/>
        <w:bottom w:val="none" w:sz="0" w:space="0" w:color="auto"/>
        <w:right w:val="none" w:sz="0" w:space="0" w:color="auto"/>
      </w:divBdr>
    </w:div>
    <w:div w:id="777526204">
      <w:bodyDiv w:val="1"/>
      <w:marLeft w:val="0"/>
      <w:marRight w:val="0"/>
      <w:marTop w:val="0"/>
      <w:marBottom w:val="0"/>
      <w:divBdr>
        <w:top w:val="none" w:sz="0" w:space="0" w:color="auto"/>
        <w:left w:val="none" w:sz="0" w:space="0" w:color="auto"/>
        <w:bottom w:val="none" w:sz="0" w:space="0" w:color="auto"/>
        <w:right w:val="none" w:sz="0" w:space="0" w:color="auto"/>
      </w:divBdr>
      <w:divsChild>
        <w:div w:id="1066345219">
          <w:marLeft w:val="0"/>
          <w:marRight w:val="0"/>
          <w:marTop w:val="0"/>
          <w:marBottom w:val="0"/>
          <w:divBdr>
            <w:top w:val="none" w:sz="0" w:space="0" w:color="auto"/>
            <w:left w:val="none" w:sz="0" w:space="0" w:color="auto"/>
            <w:bottom w:val="none" w:sz="0" w:space="0" w:color="auto"/>
            <w:right w:val="none" w:sz="0" w:space="0" w:color="auto"/>
          </w:divBdr>
          <w:divsChild>
            <w:div w:id="1580601593">
              <w:marLeft w:val="0"/>
              <w:marRight w:val="0"/>
              <w:marTop w:val="0"/>
              <w:marBottom w:val="0"/>
              <w:divBdr>
                <w:top w:val="none" w:sz="0" w:space="0" w:color="auto"/>
                <w:left w:val="none" w:sz="0" w:space="0" w:color="auto"/>
                <w:bottom w:val="none" w:sz="0" w:space="0" w:color="auto"/>
                <w:right w:val="none" w:sz="0" w:space="0" w:color="auto"/>
              </w:divBdr>
              <w:divsChild>
                <w:div w:id="16832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5423">
      <w:bodyDiv w:val="1"/>
      <w:marLeft w:val="0"/>
      <w:marRight w:val="0"/>
      <w:marTop w:val="0"/>
      <w:marBottom w:val="0"/>
      <w:divBdr>
        <w:top w:val="none" w:sz="0" w:space="0" w:color="auto"/>
        <w:left w:val="none" w:sz="0" w:space="0" w:color="auto"/>
        <w:bottom w:val="none" w:sz="0" w:space="0" w:color="auto"/>
        <w:right w:val="none" w:sz="0" w:space="0" w:color="auto"/>
      </w:divBdr>
    </w:div>
    <w:div w:id="949434841">
      <w:bodyDiv w:val="1"/>
      <w:marLeft w:val="0"/>
      <w:marRight w:val="0"/>
      <w:marTop w:val="0"/>
      <w:marBottom w:val="0"/>
      <w:divBdr>
        <w:top w:val="none" w:sz="0" w:space="0" w:color="auto"/>
        <w:left w:val="none" w:sz="0" w:space="0" w:color="auto"/>
        <w:bottom w:val="none" w:sz="0" w:space="0" w:color="auto"/>
        <w:right w:val="none" w:sz="0" w:space="0" w:color="auto"/>
      </w:divBdr>
    </w:div>
    <w:div w:id="1012999855">
      <w:bodyDiv w:val="1"/>
      <w:marLeft w:val="0"/>
      <w:marRight w:val="0"/>
      <w:marTop w:val="0"/>
      <w:marBottom w:val="0"/>
      <w:divBdr>
        <w:top w:val="none" w:sz="0" w:space="0" w:color="auto"/>
        <w:left w:val="none" w:sz="0" w:space="0" w:color="auto"/>
        <w:bottom w:val="none" w:sz="0" w:space="0" w:color="auto"/>
        <w:right w:val="none" w:sz="0" w:space="0" w:color="auto"/>
      </w:divBdr>
    </w:div>
    <w:div w:id="1120683305">
      <w:bodyDiv w:val="1"/>
      <w:marLeft w:val="0"/>
      <w:marRight w:val="0"/>
      <w:marTop w:val="0"/>
      <w:marBottom w:val="0"/>
      <w:divBdr>
        <w:top w:val="none" w:sz="0" w:space="0" w:color="auto"/>
        <w:left w:val="none" w:sz="0" w:space="0" w:color="auto"/>
        <w:bottom w:val="none" w:sz="0" w:space="0" w:color="auto"/>
        <w:right w:val="none" w:sz="0" w:space="0" w:color="auto"/>
      </w:divBdr>
    </w:div>
    <w:div w:id="112264946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4377">
      <w:bodyDiv w:val="1"/>
      <w:marLeft w:val="0"/>
      <w:marRight w:val="0"/>
      <w:marTop w:val="0"/>
      <w:marBottom w:val="0"/>
      <w:divBdr>
        <w:top w:val="none" w:sz="0" w:space="0" w:color="auto"/>
        <w:left w:val="none" w:sz="0" w:space="0" w:color="auto"/>
        <w:bottom w:val="none" w:sz="0" w:space="0" w:color="auto"/>
        <w:right w:val="none" w:sz="0" w:space="0" w:color="auto"/>
      </w:divBdr>
      <w:divsChild>
        <w:div w:id="117527695">
          <w:marLeft w:val="0"/>
          <w:marRight w:val="0"/>
          <w:marTop w:val="0"/>
          <w:marBottom w:val="0"/>
          <w:divBdr>
            <w:top w:val="none" w:sz="0" w:space="0" w:color="auto"/>
            <w:left w:val="none" w:sz="0" w:space="0" w:color="auto"/>
            <w:bottom w:val="none" w:sz="0" w:space="0" w:color="auto"/>
            <w:right w:val="none" w:sz="0" w:space="0" w:color="auto"/>
          </w:divBdr>
          <w:divsChild>
            <w:div w:id="58018501">
              <w:marLeft w:val="0"/>
              <w:marRight w:val="0"/>
              <w:marTop w:val="0"/>
              <w:marBottom w:val="0"/>
              <w:divBdr>
                <w:top w:val="none" w:sz="0" w:space="0" w:color="auto"/>
                <w:left w:val="none" w:sz="0" w:space="0" w:color="auto"/>
                <w:bottom w:val="none" w:sz="0" w:space="0" w:color="auto"/>
                <w:right w:val="none" w:sz="0" w:space="0" w:color="auto"/>
              </w:divBdr>
              <w:divsChild>
                <w:div w:id="373041205">
                  <w:marLeft w:val="0"/>
                  <w:marRight w:val="0"/>
                  <w:marTop w:val="0"/>
                  <w:marBottom w:val="0"/>
                  <w:divBdr>
                    <w:top w:val="none" w:sz="0" w:space="0" w:color="auto"/>
                    <w:left w:val="none" w:sz="0" w:space="0" w:color="auto"/>
                    <w:bottom w:val="none" w:sz="0" w:space="0" w:color="auto"/>
                    <w:right w:val="none" w:sz="0" w:space="0" w:color="auto"/>
                  </w:divBdr>
                </w:div>
              </w:divsChild>
            </w:div>
            <w:div w:id="93597198">
              <w:marLeft w:val="0"/>
              <w:marRight w:val="0"/>
              <w:marTop w:val="0"/>
              <w:marBottom w:val="0"/>
              <w:divBdr>
                <w:top w:val="none" w:sz="0" w:space="0" w:color="auto"/>
                <w:left w:val="none" w:sz="0" w:space="0" w:color="auto"/>
                <w:bottom w:val="none" w:sz="0" w:space="0" w:color="auto"/>
                <w:right w:val="none" w:sz="0" w:space="0" w:color="auto"/>
              </w:divBdr>
              <w:divsChild>
                <w:div w:id="802964918">
                  <w:marLeft w:val="0"/>
                  <w:marRight w:val="0"/>
                  <w:marTop w:val="0"/>
                  <w:marBottom w:val="0"/>
                  <w:divBdr>
                    <w:top w:val="none" w:sz="0" w:space="0" w:color="auto"/>
                    <w:left w:val="none" w:sz="0" w:space="0" w:color="auto"/>
                    <w:bottom w:val="none" w:sz="0" w:space="0" w:color="auto"/>
                    <w:right w:val="none" w:sz="0" w:space="0" w:color="auto"/>
                  </w:divBdr>
                </w:div>
              </w:divsChild>
            </w:div>
            <w:div w:id="128326042">
              <w:marLeft w:val="0"/>
              <w:marRight w:val="0"/>
              <w:marTop w:val="0"/>
              <w:marBottom w:val="0"/>
              <w:divBdr>
                <w:top w:val="none" w:sz="0" w:space="0" w:color="auto"/>
                <w:left w:val="none" w:sz="0" w:space="0" w:color="auto"/>
                <w:bottom w:val="none" w:sz="0" w:space="0" w:color="auto"/>
                <w:right w:val="none" w:sz="0" w:space="0" w:color="auto"/>
              </w:divBdr>
              <w:divsChild>
                <w:div w:id="263808097">
                  <w:marLeft w:val="0"/>
                  <w:marRight w:val="0"/>
                  <w:marTop w:val="0"/>
                  <w:marBottom w:val="0"/>
                  <w:divBdr>
                    <w:top w:val="none" w:sz="0" w:space="0" w:color="auto"/>
                    <w:left w:val="none" w:sz="0" w:space="0" w:color="auto"/>
                    <w:bottom w:val="none" w:sz="0" w:space="0" w:color="auto"/>
                    <w:right w:val="none" w:sz="0" w:space="0" w:color="auto"/>
                  </w:divBdr>
                </w:div>
              </w:divsChild>
            </w:div>
            <w:div w:id="148789476">
              <w:marLeft w:val="0"/>
              <w:marRight w:val="0"/>
              <w:marTop w:val="0"/>
              <w:marBottom w:val="0"/>
              <w:divBdr>
                <w:top w:val="none" w:sz="0" w:space="0" w:color="auto"/>
                <w:left w:val="none" w:sz="0" w:space="0" w:color="auto"/>
                <w:bottom w:val="none" w:sz="0" w:space="0" w:color="auto"/>
                <w:right w:val="none" w:sz="0" w:space="0" w:color="auto"/>
              </w:divBdr>
              <w:divsChild>
                <w:div w:id="467362046">
                  <w:marLeft w:val="0"/>
                  <w:marRight w:val="0"/>
                  <w:marTop w:val="0"/>
                  <w:marBottom w:val="0"/>
                  <w:divBdr>
                    <w:top w:val="none" w:sz="0" w:space="0" w:color="auto"/>
                    <w:left w:val="none" w:sz="0" w:space="0" w:color="auto"/>
                    <w:bottom w:val="none" w:sz="0" w:space="0" w:color="auto"/>
                    <w:right w:val="none" w:sz="0" w:space="0" w:color="auto"/>
                  </w:divBdr>
                </w:div>
              </w:divsChild>
            </w:div>
            <w:div w:id="513346023">
              <w:marLeft w:val="0"/>
              <w:marRight w:val="0"/>
              <w:marTop w:val="0"/>
              <w:marBottom w:val="0"/>
              <w:divBdr>
                <w:top w:val="none" w:sz="0" w:space="0" w:color="auto"/>
                <w:left w:val="none" w:sz="0" w:space="0" w:color="auto"/>
                <w:bottom w:val="none" w:sz="0" w:space="0" w:color="auto"/>
                <w:right w:val="none" w:sz="0" w:space="0" w:color="auto"/>
              </w:divBdr>
              <w:divsChild>
                <w:div w:id="2010063572">
                  <w:marLeft w:val="0"/>
                  <w:marRight w:val="0"/>
                  <w:marTop w:val="0"/>
                  <w:marBottom w:val="0"/>
                  <w:divBdr>
                    <w:top w:val="none" w:sz="0" w:space="0" w:color="auto"/>
                    <w:left w:val="none" w:sz="0" w:space="0" w:color="auto"/>
                    <w:bottom w:val="none" w:sz="0" w:space="0" w:color="auto"/>
                    <w:right w:val="none" w:sz="0" w:space="0" w:color="auto"/>
                  </w:divBdr>
                </w:div>
              </w:divsChild>
            </w:div>
            <w:div w:id="964971476">
              <w:marLeft w:val="0"/>
              <w:marRight w:val="0"/>
              <w:marTop w:val="0"/>
              <w:marBottom w:val="0"/>
              <w:divBdr>
                <w:top w:val="none" w:sz="0" w:space="0" w:color="auto"/>
                <w:left w:val="none" w:sz="0" w:space="0" w:color="auto"/>
                <w:bottom w:val="none" w:sz="0" w:space="0" w:color="auto"/>
                <w:right w:val="none" w:sz="0" w:space="0" w:color="auto"/>
              </w:divBdr>
              <w:divsChild>
                <w:div w:id="1364355755">
                  <w:marLeft w:val="0"/>
                  <w:marRight w:val="0"/>
                  <w:marTop w:val="0"/>
                  <w:marBottom w:val="0"/>
                  <w:divBdr>
                    <w:top w:val="none" w:sz="0" w:space="0" w:color="auto"/>
                    <w:left w:val="none" w:sz="0" w:space="0" w:color="auto"/>
                    <w:bottom w:val="none" w:sz="0" w:space="0" w:color="auto"/>
                    <w:right w:val="none" w:sz="0" w:space="0" w:color="auto"/>
                  </w:divBdr>
                </w:div>
              </w:divsChild>
            </w:div>
            <w:div w:id="987630090">
              <w:marLeft w:val="0"/>
              <w:marRight w:val="0"/>
              <w:marTop w:val="0"/>
              <w:marBottom w:val="0"/>
              <w:divBdr>
                <w:top w:val="none" w:sz="0" w:space="0" w:color="auto"/>
                <w:left w:val="none" w:sz="0" w:space="0" w:color="auto"/>
                <w:bottom w:val="none" w:sz="0" w:space="0" w:color="auto"/>
                <w:right w:val="none" w:sz="0" w:space="0" w:color="auto"/>
              </w:divBdr>
              <w:divsChild>
                <w:div w:id="1524589550">
                  <w:marLeft w:val="0"/>
                  <w:marRight w:val="0"/>
                  <w:marTop w:val="0"/>
                  <w:marBottom w:val="0"/>
                  <w:divBdr>
                    <w:top w:val="none" w:sz="0" w:space="0" w:color="auto"/>
                    <w:left w:val="none" w:sz="0" w:space="0" w:color="auto"/>
                    <w:bottom w:val="none" w:sz="0" w:space="0" w:color="auto"/>
                    <w:right w:val="none" w:sz="0" w:space="0" w:color="auto"/>
                  </w:divBdr>
                </w:div>
              </w:divsChild>
            </w:div>
            <w:div w:id="1148090497">
              <w:marLeft w:val="0"/>
              <w:marRight w:val="0"/>
              <w:marTop w:val="0"/>
              <w:marBottom w:val="0"/>
              <w:divBdr>
                <w:top w:val="none" w:sz="0" w:space="0" w:color="auto"/>
                <w:left w:val="none" w:sz="0" w:space="0" w:color="auto"/>
                <w:bottom w:val="none" w:sz="0" w:space="0" w:color="auto"/>
                <w:right w:val="none" w:sz="0" w:space="0" w:color="auto"/>
              </w:divBdr>
              <w:divsChild>
                <w:div w:id="1364095062">
                  <w:marLeft w:val="0"/>
                  <w:marRight w:val="0"/>
                  <w:marTop w:val="0"/>
                  <w:marBottom w:val="0"/>
                  <w:divBdr>
                    <w:top w:val="none" w:sz="0" w:space="0" w:color="auto"/>
                    <w:left w:val="none" w:sz="0" w:space="0" w:color="auto"/>
                    <w:bottom w:val="none" w:sz="0" w:space="0" w:color="auto"/>
                    <w:right w:val="none" w:sz="0" w:space="0" w:color="auto"/>
                  </w:divBdr>
                </w:div>
              </w:divsChild>
            </w:div>
            <w:div w:id="1176730009">
              <w:marLeft w:val="0"/>
              <w:marRight w:val="0"/>
              <w:marTop w:val="0"/>
              <w:marBottom w:val="0"/>
              <w:divBdr>
                <w:top w:val="none" w:sz="0" w:space="0" w:color="auto"/>
                <w:left w:val="none" w:sz="0" w:space="0" w:color="auto"/>
                <w:bottom w:val="none" w:sz="0" w:space="0" w:color="auto"/>
                <w:right w:val="none" w:sz="0" w:space="0" w:color="auto"/>
              </w:divBdr>
              <w:divsChild>
                <w:div w:id="1051466379">
                  <w:marLeft w:val="0"/>
                  <w:marRight w:val="0"/>
                  <w:marTop w:val="0"/>
                  <w:marBottom w:val="0"/>
                  <w:divBdr>
                    <w:top w:val="none" w:sz="0" w:space="0" w:color="auto"/>
                    <w:left w:val="none" w:sz="0" w:space="0" w:color="auto"/>
                    <w:bottom w:val="none" w:sz="0" w:space="0" w:color="auto"/>
                    <w:right w:val="none" w:sz="0" w:space="0" w:color="auto"/>
                  </w:divBdr>
                </w:div>
              </w:divsChild>
            </w:div>
            <w:div w:id="1436512041">
              <w:marLeft w:val="0"/>
              <w:marRight w:val="0"/>
              <w:marTop w:val="0"/>
              <w:marBottom w:val="0"/>
              <w:divBdr>
                <w:top w:val="none" w:sz="0" w:space="0" w:color="auto"/>
                <w:left w:val="none" w:sz="0" w:space="0" w:color="auto"/>
                <w:bottom w:val="none" w:sz="0" w:space="0" w:color="auto"/>
                <w:right w:val="none" w:sz="0" w:space="0" w:color="auto"/>
              </w:divBdr>
              <w:divsChild>
                <w:div w:id="591813944">
                  <w:marLeft w:val="0"/>
                  <w:marRight w:val="0"/>
                  <w:marTop w:val="0"/>
                  <w:marBottom w:val="0"/>
                  <w:divBdr>
                    <w:top w:val="none" w:sz="0" w:space="0" w:color="auto"/>
                    <w:left w:val="none" w:sz="0" w:space="0" w:color="auto"/>
                    <w:bottom w:val="none" w:sz="0" w:space="0" w:color="auto"/>
                    <w:right w:val="none" w:sz="0" w:space="0" w:color="auto"/>
                  </w:divBdr>
                </w:div>
              </w:divsChild>
            </w:div>
            <w:div w:id="1627422504">
              <w:marLeft w:val="0"/>
              <w:marRight w:val="0"/>
              <w:marTop w:val="0"/>
              <w:marBottom w:val="0"/>
              <w:divBdr>
                <w:top w:val="none" w:sz="0" w:space="0" w:color="auto"/>
                <w:left w:val="none" w:sz="0" w:space="0" w:color="auto"/>
                <w:bottom w:val="none" w:sz="0" w:space="0" w:color="auto"/>
                <w:right w:val="none" w:sz="0" w:space="0" w:color="auto"/>
              </w:divBdr>
              <w:divsChild>
                <w:div w:id="388920050">
                  <w:marLeft w:val="0"/>
                  <w:marRight w:val="0"/>
                  <w:marTop w:val="0"/>
                  <w:marBottom w:val="0"/>
                  <w:divBdr>
                    <w:top w:val="none" w:sz="0" w:space="0" w:color="auto"/>
                    <w:left w:val="none" w:sz="0" w:space="0" w:color="auto"/>
                    <w:bottom w:val="none" w:sz="0" w:space="0" w:color="auto"/>
                    <w:right w:val="none" w:sz="0" w:space="0" w:color="auto"/>
                  </w:divBdr>
                </w:div>
              </w:divsChild>
            </w:div>
            <w:div w:id="1695112799">
              <w:marLeft w:val="0"/>
              <w:marRight w:val="0"/>
              <w:marTop w:val="0"/>
              <w:marBottom w:val="0"/>
              <w:divBdr>
                <w:top w:val="none" w:sz="0" w:space="0" w:color="auto"/>
                <w:left w:val="none" w:sz="0" w:space="0" w:color="auto"/>
                <w:bottom w:val="none" w:sz="0" w:space="0" w:color="auto"/>
                <w:right w:val="none" w:sz="0" w:space="0" w:color="auto"/>
              </w:divBdr>
              <w:divsChild>
                <w:div w:id="478695195">
                  <w:marLeft w:val="0"/>
                  <w:marRight w:val="0"/>
                  <w:marTop w:val="0"/>
                  <w:marBottom w:val="0"/>
                  <w:divBdr>
                    <w:top w:val="none" w:sz="0" w:space="0" w:color="auto"/>
                    <w:left w:val="none" w:sz="0" w:space="0" w:color="auto"/>
                    <w:bottom w:val="none" w:sz="0" w:space="0" w:color="auto"/>
                    <w:right w:val="none" w:sz="0" w:space="0" w:color="auto"/>
                  </w:divBdr>
                </w:div>
              </w:divsChild>
            </w:div>
            <w:div w:id="1773939344">
              <w:marLeft w:val="0"/>
              <w:marRight w:val="0"/>
              <w:marTop w:val="0"/>
              <w:marBottom w:val="0"/>
              <w:divBdr>
                <w:top w:val="none" w:sz="0" w:space="0" w:color="auto"/>
                <w:left w:val="none" w:sz="0" w:space="0" w:color="auto"/>
                <w:bottom w:val="none" w:sz="0" w:space="0" w:color="auto"/>
                <w:right w:val="none" w:sz="0" w:space="0" w:color="auto"/>
              </w:divBdr>
              <w:divsChild>
                <w:div w:id="1434201030">
                  <w:marLeft w:val="0"/>
                  <w:marRight w:val="0"/>
                  <w:marTop w:val="0"/>
                  <w:marBottom w:val="0"/>
                  <w:divBdr>
                    <w:top w:val="none" w:sz="0" w:space="0" w:color="auto"/>
                    <w:left w:val="none" w:sz="0" w:space="0" w:color="auto"/>
                    <w:bottom w:val="none" w:sz="0" w:space="0" w:color="auto"/>
                    <w:right w:val="none" w:sz="0" w:space="0" w:color="auto"/>
                  </w:divBdr>
                </w:div>
              </w:divsChild>
            </w:div>
            <w:div w:id="1798184362">
              <w:marLeft w:val="0"/>
              <w:marRight w:val="0"/>
              <w:marTop w:val="0"/>
              <w:marBottom w:val="0"/>
              <w:divBdr>
                <w:top w:val="none" w:sz="0" w:space="0" w:color="auto"/>
                <w:left w:val="none" w:sz="0" w:space="0" w:color="auto"/>
                <w:bottom w:val="none" w:sz="0" w:space="0" w:color="auto"/>
                <w:right w:val="none" w:sz="0" w:space="0" w:color="auto"/>
              </w:divBdr>
              <w:divsChild>
                <w:div w:id="478308038">
                  <w:marLeft w:val="0"/>
                  <w:marRight w:val="0"/>
                  <w:marTop w:val="0"/>
                  <w:marBottom w:val="0"/>
                  <w:divBdr>
                    <w:top w:val="none" w:sz="0" w:space="0" w:color="auto"/>
                    <w:left w:val="none" w:sz="0" w:space="0" w:color="auto"/>
                    <w:bottom w:val="none" w:sz="0" w:space="0" w:color="auto"/>
                    <w:right w:val="none" w:sz="0" w:space="0" w:color="auto"/>
                  </w:divBdr>
                </w:div>
              </w:divsChild>
            </w:div>
            <w:div w:id="1828939424">
              <w:marLeft w:val="0"/>
              <w:marRight w:val="0"/>
              <w:marTop w:val="0"/>
              <w:marBottom w:val="0"/>
              <w:divBdr>
                <w:top w:val="none" w:sz="0" w:space="0" w:color="auto"/>
                <w:left w:val="none" w:sz="0" w:space="0" w:color="auto"/>
                <w:bottom w:val="none" w:sz="0" w:space="0" w:color="auto"/>
                <w:right w:val="none" w:sz="0" w:space="0" w:color="auto"/>
              </w:divBdr>
              <w:divsChild>
                <w:div w:id="1934632171">
                  <w:marLeft w:val="0"/>
                  <w:marRight w:val="0"/>
                  <w:marTop w:val="0"/>
                  <w:marBottom w:val="0"/>
                  <w:divBdr>
                    <w:top w:val="none" w:sz="0" w:space="0" w:color="auto"/>
                    <w:left w:val="none" w:sz="0" w:space="0" w:color="auto"/>
                    <w:bottom w:val="none" w:sz="0" w:space="0" w:color="auto"/>
                    <w:right w:val="none" w:sz="0" w:space="0" w:color="auto"/>
                  </w:divBdr>
                </w:div>
              </w:divsChild>
            </w:div>
            <w:div w:id="2045716043">
              <w:marLeft w:val="0"/>
              <w:marRight w:val="0"/>
              <w:marTop w:val="0"/>
              <w:marBottom w:val="0"/>
              <w:divBdr>
                <w:top w:val="none" w:sz="0" w:space="0" w:color="auto"/>
                <w:left w:val="none" w:sz="0" w:space="0" w:color="auto"/>
                <w:bottom w:val="none" w:sz="0" w:space="0" w:color="auto"/>
                <w:right w:val="none" w:sz="0" w:space="0" w:color="auto"/>
              </w:divBdr>
              <w:divsChild>
                <w:div w:id="1226602928">
                  <w:marLeft w:val="0"/>
                  <w:marRight w:val="0"/>
                  <w:marTop w:val="0"/>
                  <w:marBottom w:val="0"/>
                  <w:divBdr>
                    <w:top w:val="none" w:sz="0" w:space="0" w:color="auto"/>
                    <w:left w:val="none" w:sz="0" w:space="0" w:color="auto"/>
                    <w:bottom w:val="none" w:sz="0" w:space="0" w:color="auto"/>
                    <w:right w:val="none" w:sz="0" w:space="0" w:color="auto"/>
                  </w:divBdr>
                </w:div>
              </w:divsChild>
            </w:div>
            <w:div w:id="2128771429">
              <w:marLeft w:val="0"/>
              <w:marRight w:val="0"/>
              <w:marTop w:val="0"/>
              <w:marBottom w:val="0"/>
              <w:divBdr>
                <w:top w:val="none" w:sz="0" w:space="0" w:color="auto"/>
                <w:left w:val="none" w:sz="0" w:space="0" w:color="auto"/>
                <w:bottom w:val="none" w:sz="0" w:space="0" w:color="auto"/>
                <w:right w:val="none" w:sz="0" w:space="0" w:color="auto"/>
              </w:divBdr>
              <w:divsChild>
                <w:div w:id="17457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8693">
          <w:marLeft w:val="0"/>
          <w:marRight w:val="0"/>
          <w:marTop w:val="0"/>
          <w:marBottom w:val="0"/>
          <w:divBdr>
            <w:top w:val="none" w:sz="0" w:space="0" w:color="auto"/>
            <w:left w:val="none" w:sz="0" w:space="0" w:color="auto"/>
            <w:bottom w:val="none" w:sz="0" w:space="0" w:color="auto"/>
            <w:right w:val="none" w:sz="0" w:space="0" w:color="auto"/>
          </w:divBdr>
          <w:divsChild>
            <w:div w:id="1697847934">
              <w:marLeft w:val="0"/>
              <w:marRight w:val="0"/>
              <w:marTop w:val="0"/>
              <w:marBottom w:val="0"/>
              <w:divBdr>
                <w:top w:val="none" w:sz="0" w:space="0" w:color="auto"/>
                <w:left w:val="none" w:sz="0" w:space="0" w:color="auto"/>
                <w:bottom w:val="none" w:sz="0" w:space="0" w:color="auto"/>
                <w:right w:val="none" w:sz="0" w:space="0" w:color="auto"/>
              </w:divBdr>
              <w:divsChild>
                <w:div w:id="5584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1172">
      <w:bodyDiv w:val="1"/>
      <w:marLeft w:val="0"/>
      <w:marRight w:val="0"/>
      <w:marTop w:val="0"/>
      <w:marBottom w:val="0"/>
      <w:divBdr>
        <w:top w:val="none" w:sz="0" w:space="0" w:color="auto"/>
        <w:left w:val="none" w:sz="0" w:space="0" w:color="auto"/>
        <w:bottom w:val="none" w:sz="0" w:space="0" w:color="auto"/>
        <w:right w:val="none" w:sz="0" w:space="0" w:color="auto"/>
      </w:divBdr>
    </w:div>
    <w:div w:id="1309440290">
      <w:bodyDiv w:val="1"/>
      <w:marLeft w:val="0"/>
      <w:marRight w:val="0"/>
      <w:marTop w:val="0"/>
      <w:marBottom w:val="0"/>
      <w:divBdr>
        <w:top w:val="none" w:sz="0" w:space="0" w:color="auto"/>
        <w:left w:val="none" w:sz="0" w:space="0" w:color="auto"/>
        <w:bottom w:val="none" w:sz="0" w:space="0" w:color="auto"/>
        <w:right w:val="none" w:sz="0" w:space="0" w:color="auto"/>
      </w:divBdr>
    </w:div>
    <w:div w:id="1398212575">
      <w:bodyDiv w:val="1"/>
      <w:marLeft w:val="0"/>
      <w:marRight w:val="0"/>
      <w:marTop w:val="0"/>
      <w:marBottom w:val="0"/>
      <w:divBdr>
        <w:top w:val="none" w:sz="0" w:space="0" w:color="auto"/>
        <w:left w:val="none" w:sz="0" w:space="0" w:color="auto"/>
        <w:bottom w:val="none" w:sz="0" w:space="0" w:color="auto"/>
        <w:right w:val="none" w:sz="0" w:space="0" w:color="auto"/>
      </w:divBdr>
    </w:div>
    <w:div w:id="1399209358">
      <w:bodyDiv w:val="1"/>
      <w:marLeft w:val="0"/>
      <w:marRight w:val="0"/>
      <w:marTop w:val="0"/>
      <w:marBottom w:val="0"/>
      <w:divBdr>
        <w:top w:val="none" w:sz="0" w:space="0" w:color="auto"/>
        <w:left w:val="none" w:sz="0" w:space="0" w:color="auto"/>
        <w:bottom w:val="none" w:sz="0" w:space="0" w:color="auto"/>
        <w:right w:val="none" w:sz="0" w:space="0" w:color="auto"/>
      </w:divBdr>
    </w:div>
    <w:div w:id="1439370833">
      <w:bodyDiv w:val="1"/>
      <w:marLeft w:val="0"/>
      <w:marRight w:val="0"/>
      <w:marTop w:val="0"/>
      <w:marBottom w:val="0"/>
      <w:divBdr>
        <w:top w:val="none" w:sz="0" w:space="0" w:color="auto"/>
        <w:left w:val="none" w:sz="0" w:space="0" w:color="auto"/>
        <w:bottom w:val="none" w:sz="0" w:space="0" w:color="auto"/>
        <w:right w:val="none" w:sz="0" w:space="0" w:color="auto"/>
      </w:divBdr>
    </w:div>
    <w:div w:id="1450783301">
      <w:bodyDiv w:val="1"/>
      <w:marLeft w:val="0"/>
      <w:marRight w:val="0"/>
      <w:marTop w:val="0"/>
      <w:marBottom w:val="0"/>
      <w:divBdr>
        <w:top w:val="none" w:sz="0" w:space="0" w:color="auto"/>
        <w:left w:val="none" w:sz="0" w:space="0" w:color="auto"/>
        <w:bottom w:val="none" w:sz="0" w:space="0" w:color="auto"/>
        <w:right w:val="none" w:sz="0" w:space="0" w:color="auto"/>
      </w:divBdr>
      <w:divsChild>
        <w:div w:id="1712069773">
          <w:marLeft w:val="0"/>
          <w:marRight w:val="0"/>
          <w:marTop w:val="0"/>
          <w:marBottom w:val="0"/>
          <w:divBdr>
            <w:top w:val="none" w:sz="0" w:space="0" w:color="auto"/>
            <w:left w:val="none" w:sz="0" w:space="0" w:color="auto"/>
            <w:bottom w:val="none" w:sz="0" w:space="0" w:color="auto"/>
            <w:right w:val="none" w:sz="0" w:space="0" w:color="auto"/>
          </w:divBdr>
          <w:divsChild>
            <w:div w:id="1461725219">
              <w:marLeft w:val="0"/>
              <w:marRight w:val="0"/>
              <w:marTop w:val="0"/>
              <w:marBottom w:val="0"/>
              <w:divBdr>
                <w:top w:val="none" w:sz="0" w:space="0" w:color="auto"/>
                <w:left w:val="none" w:sz="0" w:space="0" w:color="auto"/>
                <w:bottom w:val="none" w:sz="0" w:space="0" w:color="auto"/>
                <w:right w:val="none" w:sz="0" w:space="0" w:color="auto"/>
              </w:divBdr>
              <w:divsChild>
                <w:div w:id="517501105">
                  <w:marLeft w:val="0"/>
                  <w:marRight w:val="0"/>
                  <w:marTop w:val="0"/>
                  <w:marBottom w:val="0"/>
                  <w:divBdr>
                    <w:top w:val="none" w:sz="0" w:space="0" w:color="auto"/>
                    <w:left w:val="none" w:sz="0" w:space="0" w:color="auto"/>
                    <w:bottom w:val="none" w:sz="0" w:space="0" w:color="auto"/>
                    <w:right w:val="none" w:sz="0" w:space="0" w:color="auto"/>
                  </w:divBdr>
                  <w:divsChild>
                    <w:div w:id="8437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98151">
      <w:bodyDiv w:val="1"/>
      <w:marLeft w:val="0"/>
      <w:marRight w:val="0"/>
      <w:marTop w:val="0"/>
      <w:marBottom w:val="0"/>
      <w:divBdr>
        <w:top w:val="none" w:sz="0" w:space="0" w:color="auto"/>
        <w:left w:val="none" w:sz="0" w:space="0" w:color="auto"/>
        <w:bottom w:val="none" w:sz="0" w:space="0" w:color="auto"/>
        <w:right w:val="none" w:sz="0" w:space="0" w:color="auto"/>
      </w:divBdr>
    </w:div>
    <w:div w:id="1464616146">
      <w:bodyDiv w:val="1"/>
      <w:marLeft w:val="0"/>
      <w:marRight w:val="0"/>
      <w:marTop w:val="0"/>
      <w:marBottom w:val="0"/>
      <w:divBdr>
        <w:top w:val="none" w:sz="0" w:space="0" w:color="auto"/>
        <w:left w:val="none" w:sz="0" w:space="0" w:color="auto"/>
        <w:bottom w:val="none" w:sz="0" w:space="0" w:color="auto"/>
        <w:right w:val="none" w:sz="0" w:space="0" w:color="auto"/>
      </w:divBdr>
      <w:divsChild>
        <w:div w:id="1685549376">
          <w:marLeft w:val="0"/>
          <w:marRight w:val="0"/>
          <w:marTop w:val="0"/>
          <w:marBottom w:val="0"/>
          <w:divBdr>
            <w:top w:val="none" w:sz="0" w:space="0" w:color="auto"/>
            <w:left w:val="none" w:sz="0" w:space="0" w:color="auto"/>
            <w:bottom w:val="none" w:sz="0" w:space="0" w:color="auto"/>
            <w:right w:val="none" w:sz="0" w:space="0" w:color="auto"/>
          </w:divBdr>
          <w:divsChild>
            <w:div w:id="1266888490">
              <w:marLeft w:val="0"/>
              <w:marRight w:val="0"/>
              <w:marTop w:val="0"/>
              <w:marBottom w:val="0"/>
              <w:divBdr>
                <w:top w:val="none" w:sz="0" w:space="0" w:color="auto"/>
                <w:left w:val="none" w:sz="0" w:space="0" w:color="auto"/>
                <w:bottom w:val="none" w:sz="0" w:space="0" w:color="auto"/>
                <w:right w:val="none" w:sz="0" w:space="0" w:color="auto"/>
              </w:divBdr>
              <w:divsChild>
                <w:div w:id="1581599434">
                  <w:marLeft w:val="0"/>
                  <w:marRight w:val="0"/>
                  <w:marTop w:val="0"/>
                  <w:marBottom w:val="0"/>
                  <w:divBdr>
                    <w:top w:val="none" w:sz="0" w:space="0" w:color="auto"/>
                    <w:left w:val="none" w:sz="0" w:space="0" w:color="auto"/>
                    <w:bottom w:val="none" w:sz="0" w:space="0" w:color="auto"/>
                    <w:right w:val="none" w:sz="0" w:space="0" w:color="auto"/>
                  </w:divBdr>
                  <w:divsChild>
                    <w:div w:id="11598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8036">
      <w:bodyDiv w:val="1"/>
      <w:marLeft w:val="0"/>
      <w:marRight w:val="0"/>
      <w:marTop w:val="0"/>
      <w:marBottom w:val="0"/>
      <w:divBdr>
        <w:top w:val="none" w:sz="0" w:space="0" w:color="auto"/>
        <w:left w:val="none" w:sz="0" w:space="0" w:color="auto"/>
        <w:bottom w:val="none" w:sz="0" w:space="0" w:color="auto"/>
        <w:right w:val="none" w:sz="0" w:space="0" w:color="auto"/>
      </w:divBdr>
    </w:div>
    <w:div w:id="1535194315">
      <w:bodyDiv w:val="1"/>
      <w:marLeft w:val="0"/>
      <w:marRight w:val="0"/>
      <w:marTop w:val="0"/>
      <w:marBottom w:val="0"/>
      <w:divBdr>
        <w:top w:val="none" w:sz="0" w:space="0" w:color="auto"/>
        <w:left w:val="none" w:sz="0" w:space="0" w:color="auto"/>
        <w:bottom w:val="none" w:sz="0" w:space="0" w:color="auto"/>
        <w:right w:val="none" w:sz="0" w:space="0" w:color="auto"/>
      </w:divBdr>
      <w:divsChild>
        <w:div w:id="148447593">
          <w:marLeft w:val="0"/>
          <w:marRight w:val="0"/>
          <w:marTop w:val="0"/>
          <w:marBottom w:val="0"/>
          <w:divBdr>
            <w:top w:val="none" w:sz="0" w:space="0" w:color="auto"/>
            <w:left w:val="none" w:sz="0" w:space="0" w:color="auto"/>
            <w:bottom w:val="none" w:sz="0" w:space="0" w:color="auto"/>
            <w:right w:val="none" w:sz="0" w:space="0" w:color="auto"/>
          </w:divBdr>
          <w:divsChild>
            <w:div w:id="853374958">
              <w:marLeft w:val="0"/>
              <w:marRight w:val="0"/>
              <w:marTop w:val="0"/>
              <w:marBottom w:val="0"/>
              <w:divBdr>
                <w:top w:val="none" w:sz="0" w:space="0" w:color="auto"/>
                <w:left w:val="none" w:sz="0" w:space="0" w:color="auto"/>
                <w:bottom w:val="none" w:sz="0" w:space="0" w:color="auto"/>
                <w:right w:val="none" w:sz="0" w:space="0" w:color="auto"/>
              </w:divBdr>
              <w:divsChild>
                <w:div w:id="1014765044">
                  <w:marLeft w:val="0"/>
                  <w:marRight w:val="0"/>
                  <w:marTop w:val="0"/>
                  <w:marBottom w:val="0"/>
                  <w:divBdr>
                    <w:top w:val="none" w:sz="0" w:space="0" w:color="auto"/>
                    <w:left w:val="none" w:sz="0" w:space="0" w:color="auto"/>
                    <w:bottom w:val="none" w:sz="0" w:space="0" w:color="auto"/>
                    <w:right w:val="none" w:sz="0" w:space="0" w:color="auto"/>
                  </w:divBdr>
                  <w:divsChild>
                    <w:div w:id="20327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13003">
      <w:bodyDiv w:val="1"/>
      <w:marLeft w:val="0"/>
      <w:marRight w:val="0"/>
      <w:marTop w:val="0"/>
      <w:marBottom w:val="0"/>
      <w:divBdr>
        <w:top w:val="none" w:sz="0" w:space="0" w:color="auto"/>
        <w:left w:val="none" w:sz="0" w:space="0" w:color="auto"/>
        <w:bottom w:val="none" w:sz="0" w:space="0" w:color="auto"/>
        <w:right w:val="none" w:sz="0" w:space="0" w:color="auto"/>
      </w:divBdr>
    </w:div>
    <w:div w:id="1794596272">
      <w:bodyDiv w:val="1"/>
      <w:marLeft w:val="0"/>
      <w:marRight w:val="0"/>
      <w:marTop w:val="0"/>
      <w:marBottom w:val="0"/>
      <w:divBdr>
        <w:top w:val="none" w:sz="0" w:space="0" w:color="auto"/>
        <w:left w:val="none" w:sz="0" w:space="0" w:color="auto"/>
        <w:bottom w:val="none" w:sz="0" w:space="0" w:color="auto"/>
        <w:right w:val="none" w:sz="0" w:space="0" w:color="auto"/>
      </w:divBdr>
      <w:divsChild>
        <w:div w:id="665934403">
          <w:marLeft w:val="0"/>
          <w:marRight w:val="0"/>
          <w:marTop w:val="0"/>
          <w:marBottom w:val="0"/>
          <w:divBdr>
            <w:top w:val="none" w:sz="0" w:space="0" w:color="auto"/>
            <w:left w:val="none" w:sz="0" w:space="0" w:color="auto"/>
            <w:bottom w:val="none" w:sz="0" w:space="0" w:color="auto"/>
            <w:right w:val="none" w:sz="0" w:space="0" w:color="auto"/>
          </w:divBdr>
          <w:divsChild>
            <w:div w:id="636641718">
              <w:marLeft w:val="0"/>
              <w:marRight w:val="0"/>
              <w:marTop w:val="0"/>
              <w:marBottom w:val="0"/>
              <w:divBdr>
                <w:top w:val="none" w:sz="0" w:space="0" w:color="auto"/>
                <w:left w:val="none" w:sz="0" w:space="0" w:color="auto"/>
                <w:bottom w:val="none" w:sz="0" w:space="0" w:color="auto"/>
                <w:right w:val="none" w:sz="0" w:space="0" w:color="auto"/>
              </w:divBdr>
              <w:divsChild>
                <w:div w:id="11609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3509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4112956">
      <w:bodyDiv w:val="1"/>
      <w:marLeft w:val="0"/>
      <w:marRight w:val="0"/>
      <w:marTop w:val="0"/>
      <w:marBottom w:val="0"/>
      <w:divBdr>
        <w:top w:val="none" w:sz="0" w:space="0" w:color="auto"/>
        <w:left w:val="none" w:sz="0" w:space="0" w:color="auto"/>
        <w:bottom w:val="none" w:sz="0" w:space="0" w:color="auto"/>
        <w:right w:val="none" w:sz="0" w:space="0" w:color="auto"/>
      </w:divBdr>
      <w:divsChild>
        <w:div w:id="1833182997">
          <w:marLeft w:val="0"/>
          <w:marRight w:val="0"/>
          <w:marTop w:val="0"/>
          <w:marBottom w:val="0"/>
          <w:divBdr>
            <w:top w:val="none" w:sz="0" w:space="0" w:color="auto"/>
            <w:left w:val="none" w:sz="0" w:space="0" w:color="auto"/>
            <w:bottom w:val="none" w:sz="0" w:space="0" w:color="auto"/>
            <w:right w:val="none" w:sz="0" w:space="0" w:color="auto"/>
          </w:divBdr>
          <w:divsChild>
            <w:div w:id="1105466502">
              <w:marLeft w:val="0"/>
              <w:marRight w:val="0"/>
              <w:marTop w:val="0"/>
              <w:marBottom w:val="0"/>
              <w:divBdr>
                <w:top w:val="none" w:sz="0" w:space="0" w:color="auto"/>
                <w:left w:val="none" w:sz="0" w:space="0" w:color="auto"/>
                <w:bottom w:val="none" w:sz="0" w:space="0" w:color="auto"/>
                <w:right w:val="none" w:sz="0" w:space="0" w:color="auto"/>
              </w:divBdr>
              <w:divsChild>
                <w:div w:id="2209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C8BD6-5418-4697-9A86-C238BCA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13504</Words>
  <Characters>78174</Characters>
  <Application>Microsoft Office Word</Application>
  <DocSecurity>0</DocSecurity>
  <Lines>651</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2020-10-27T10:32:00Z</dcterms:created>
  <dcterms:modified xsi:type="dcterms:W3CDTF">2020-10-27T10:32:00Z</dcterms:modified>
</cp:coreProperties>
</file>