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EE" w:rsidRPr="0067437A" w:rsidRDefault="00232964" w:rsidP="001D780C">
      <w:pPr>
        <w:pStyle w:val="1-MainHeading"/>
        <w:spacing w:before="0" w:after="0"/>
      </w:pPr>
      <w:bookmarkStart w:id="0" w:name="_Toc40866406"/>
      <w:r w:rsidRPr="0067437A">
        <w:t>7</w:t>
      </w:r>
      <w:r w:rsidR="00433044" w:rsidRPr="0067437A">
        <w:t>.</w:t>
      </w:r>
      <w:r w:rsidRPr="0067437A">
        <w:t>07</w:t>
      </w:r>
      <w:r w:rsidR="00163F66" w:rsidRPr="0067437A">
        <w:tab/>
      </w:r>
      <w:r w:rsidR="009A44EE" w:rsidRPr="0067437A">
        <w:t>SELEXIPAG</w:t>
      </w:r>
      <w:r w:rsidR="00163F66" w:rsidRPr="0067437A">
        <w:t>,</w:t>
      </w:r>
      <w:r w:rsidR="00163F66" w:rsidRPr="0067437A">
        <w:br/>
      </w:r>
      <w:r w:rsidRPr="0067437A">
        <w:t>T</w:t>
      </w:r>
      <w:r w:rsidR="009A44EE" w:rsidRPr="0067437A">
        <w:t>ablets</w:t>
      </w:r>
      <w:r w:rsidR="00163F66" w:rsidRPr="0067437A">
        <w:t>,</w:t>
      </w:r>
      <w:r w:rsidRPr="0067437A">
        <w:t xml:space="preserve"> </w:t>
      </w:r>
      <w:r w:rsidR="00D5001A" w:rsidRPr="0067437A">
        <w:t>200, 400, 600</w:t>
      </w:r>
      <w:r w:rsidR="003E0B34">
        <w:t>,</w:t>
      </w:r>
      <w:r w:rsidR="00D5001A" w:rsidRPr="0067437A">
        <w:t xml:space="preserve"> </w:t>
      </w:r>
      <w:r w:rsidR="009A44EE" w:rsidRPr="0067437A">
        <w:t>800</w:t>
      </w:r>
      <w:bookmarkEnd w:id="0"/>
      <w:r w:rsidR="001745A9">
        <w:t>,</w:t>
      </w:r>
      <w:r w:rsidR="009C329C" w:rsidRPr="0067437A">
        <w:t xml:space="preserve"> 1</w:t>
      </w:r>
      <w:r w:rsidR="001745A9">
        <w:t>000</w:t>
      </w:r>
      <w:r w:rsidR="009C329C" w:rsidRPr="0067437A">
        <w:t>, 12</w:t>
      </w:r>
      <w:r w:rsidR="001745A9">
        <w:t>00</w:t>
      </w:r>
      <w:r w:rsidR="009C329C" w:rsidRPr="0067437A">
        <w:t>, 14</w:t>
      </w:r>
      <w:r w:rsidR="001745A9">
        <w:t>00</w:t>
      </w:r>
      <w:r w:rsidR="003E0B34">
        <w:t xml:space="preserve">, </w:t>
      </w:r>
      <w:r w:rsidR="009C329C" w:rsidRPr="0067437A">
        <w:t>16</w:t>
      </w:r>
      <w:r w:rsidR="001745A9">
        <w:t>00 microgram</w:t>
      </w:r>
      <w:r w:rsidR="009C329C" w:rsidRPr="0067437A">
        <w:t>,</w:t>
      </w:r>
    </w:p>
    <w:p w:rsidR="0047510D" w:rsidRPr="0067437A" w:rsidRDefault="009A44EE" w:rsidP="0047510D">
      <w:pPr>
        <w:pStyle w:val="1-MainHeading"/>
        <w:spacing w:before="0" w:after="0"/>
        <w:ind w:firstLine="0"/>
      </w:pPr>
      <w:bookmarkStart w:id="1" w:name="_Toc40866407"/>
      <w:r w:rsidRPr="0067437A">
        <w:t>Uptravi</w:t>
      </w:r>
      <w:r w:rsidR="00B60939" w:rsidRPr="0067437A">
        <w:rPr>
          <w:vertAlign w:val="superscript"/>
        </w:rPr>
        <w:t>®</w:t>
      </w:r>
      <w:r w:rsidR="004A6040" w:rsidRPr="0067437A">
        <w:t>,</w:t>
      </w:r>
      <w:r w:rsidR="004A6040" w:rsidRPr="0067437A">
        <w:br/>
      </w:r>
      <w:r w:rsidRPr="0067437A">
        <w:t>Janssen-Cilag</w:t>
      </w:r>
      <w:r w:rsidR="008C4EC2" w:rsidRPr="0067437A">
        <w:t xml:space="preserve"> Pty Ltd</w:t>
      </w:r>
      <w:r w:rsidR="00B60939" w:rsidRPr="0067437A">
        <w:t>.</w:t>
      </w:r>
      <w:bookmarkStart w:id="2" w:name="_Toc22897637"/>
      <w:bookmarkEnd w:id="1"/>
    </w:p>
    <w:p w:rsidR="00B50DB8" w:rsidRPr="0067437A" w:rsidRDefault="00B50DB8" w:rsidP="004A6040">
      <w:pPr>
        <w:pStyle w:val="2-SectionHeading"/>
      </w:pPr>
      <w:bookmarkStart w:id="3" w:name="_Toc40866409"/>
      <w:bookmarkEnd w:id="2"/>
      <w:r w:rsidRPr="0067437A">
        <w:t xml:space="preserve">Purpose of </w:t>
      </w:r>
      <w:r w:rsidR="00CD7193" w:rsidRPr="0067437A">
        <w:t>s</w:t>
      </w:r>
      <w:r w:rsidR="00BB3A45" w:rsidRPr="0067437A">
        <w:t>ubmission</w:t>
      </w:r>
      <w:bookmarkEnd w:id="3"/>
    </w:p>
    <w:p w:rsidR="00B137FE" w:rsidRPr="0067437A" w:rsidRDefault="007170DA" w:rsidP="00EC70AF">
      <w:pPr>
        <w:pStyle w:val="3-BodyText"/>
        <w:ind w:left="709"/>
        <w:rPr>
          <w:i/>
        </w:rPr>
      </w:pPr>
      <w:r w:rsidRPr="0067437A">
        <w:t>Th</w:t>
      </w:r>
      <w:r w:rsidR="00B91726" w:rsidRPr="0067437A">
        <w:t>e</w:t>
      </w:r>
      <w:r w:rsidRPr="0067437A">
        <w:t xml:space="preserve"> </w:t>
      </w:r>
      <w:r w:rsidR="003641ED" w:rsidRPr="0067437A">
        <w:t>re</w:t>
      </w:r>
      <w:r w:rsidRPr="0067437A">
        <w:t xml:space="preserve">submission requested </w:t>
      </w:r>
      <w:r w:rsidR="00BC1293" w:rsidRPr="0067437A">
        <w:t xml:space="preserve">a </w:t>
      </w:r>
      <w:r w:rsidR="008B1757" w:rsidRPr="0067437A">
        <w:t>Section 100</w:t>
      </w:r>
      <w:r w:rsidR="006742E3" w:rsidRPr="0067437A">
        <w:t xml:space="preserve"> – Highly Specialised Drugs</w:t>
      </w:r>
      <w:r w:rsidR="008B1757" w:rsidRPr="0067437A">
        <w:t xml:space="preserve"> </w:t>
      </w:r>
      <w:r w:rsidR="00BC1293" w:rsidRPr="0067437A">
        <w:t xml:space="preserve">listing for selexipag </w:t>
      </w:r>
      <w:r w:rsidR="00F01D67" w:rsidRPr="0067437A">
        <w:t>as</w:t>
      </w:r>
      <w:r w:rsidR="005C29AF" w:rsidRPr="0067437A">
        <w:t xml:space="preserve"> triple agent</w:t>
      </w:r>
      <w:r w:rsidR="00F01D67" w:rsidRPr="0067437A">
        <w:t xml:space="preserve"> sequential add-on therapy</w:t>
      </w:r>
      <w:r w:rsidR="00F24FE5" w:rsidRPr="0067437A">
        <w:t xml:space="preserve"> </w:t>
      </w:r>
      <w:r w:rsidR="00F01D67" w:rsidRPr="0067437A">
        <w:t>with an endothelin receptor antagonist (ERA) and a phosphodiesterase-5 inhibitor (PDE-5i) for patients with World Health Organisation (WHO) Functional Class (FC) III or IV pulmonary arterial hypertension (PAH)</w:t>
      </w:r>
      <w:r w:rsidR="008B1757" w:rsidRPr="0067437A">
        <w:t>.</w:t>
      </w:r>
      <w:r w:rsidR="00B91726" w:rsidRPr="0067437A">
        <w:t xml:space="preserve"> This was the third PBAC submission for selexipag, previous submissions were considered in March 2016 and March 2017</w:t>
      </w:r>
      <w:r w:rsidR="0067437A">
        <w:t xml:space="preserve">. </w:t>
      </w:r>
    </w:p>
    <w:p w:rsidR="00513278" w:rsidRPr="0067437A" w:rsidRDefault="00F24FE5" w:rsidP="00EC70AF">
      <w:pPr>
        <w:pStyle w:val="3-BodyText"/>
        <w:ind w:left="709"/>
        <w:rPr>
          <w:i/>
        </w:rPr>
      </w:pPr>
      <w:r w:rsidRPr="0067437A">
        <w:t>T</w:t>
      </w:r>
      <w:r w:rsidR="006C7303" w:rsidRPr="0067437A">
        <w:t>h</w:t>
      </w:r>
      <w:r w:rsidR="002242C9" w:rsidRPr="0067437A">
        <w:t>is</w:t>
      </w:r>
      <w:r w:rsidR="006C7303" w:rsidRPr="0067437A">
        <w:t xml:space="preserve"> resubmission also requested that the PBAC consider listing for selexipag dual therapy with an ERA or </w:t>
      </w:r>
      <w:r w:rsidR="002242C9" w:rsidRPr="0067437A">
        <w:t xml:space="preserve">a </w:t>
      </w:r>
      <w:r w:rsidR="006C7303" w:rsidRPr="0067437A">
        <w:t xml:space="preserve">PDE-5i </w:t>
      </w:r>
      <w:r w:rsidR="003641ED" w:rsidRPr="0067437A">
        <w:t xml:space="preserve">on the basis of </w:t>
      </w:r>
      <w:r w:rsidR="006C7303" w:rsidRPr="0067437A">
        <w:t>unmet clinical need for combination therapy with selexipag in patients who are intolerant o</w:t>
      </w:r>
      <w:r w:rsidR="004B7D4F" w:rsidRPr="0067437A">
        <w:t>r</w:t>
      </w:r>
      <w:r w:rsidR="006C7303" w:rsidRPr="0067437A">
        <w:t xml:space="preserve"> contraindicated to an ERA or </w:t>
      </w:r>
      <w:r w:rsidR="002242C9" w:rsidRPr="0067437A">
        <w:t xml:space="preserve">a </w:t>
      </w:r>
      <w:r w:rsidR="006C7303" w:rsidRPr="0067437A">
        <w:t>PDE-5i</w:t>
      </w:r>
      <w:r w:rsidRPr="0067437A">
        <w:t xml:space="preserve"> (similar to the March 2017 submission)</w:t>
      </w:r>
      <w:r w:rsidR="00F54191" w:rsidRPr="0067437A">
        <w:t xml:space="preserve">. </w:t>
      </w:r>
      <w:r w:rsidR="002D7A07" w:rsidRPr="0067437A">
        <w:t xml:space="preserve">The </w:t>
      </w:r>
      <w:r w:rsidR="00F54191" w:rsidRPr="0067437A">
        <w:t xml:space="preserve">resubmission suggested this population is likely </w:t>
      </w:r>
      <w:r w:rsidR="003641ED" w:rsidRPr="0067437A">
        <w:t>to be small</w:t>
      </w:r>
      <w:r w:rsidR="0067437A">
        <w:t xml:space="preserve">. </w:t>
      </w:r>
      <w:r w:rsidR="00CB14F1" w:rsidRPr="0067437A">
        <w:t xml:space="preserve">Although </w:t>
      </w:r>
      <w:r w:rsidR="00EE4466" w:rsidRPr="0067437A">
        <w:t>the main trial, GRIPHON</w:t>
      </w:r>
      <w:r w:rsidR="00CB14F1" w:rsidRPr="0067437A">
        <w:t>,</w:t>
      </w:r>
      <w:r w:rsidR="00EE4466" w:rsidRPr="0067437A">
        <w:t xml:space="preserve"> did include use of selexipag as dual therapy in combination with either an ERA or </w:t>
      </w:r>
      <w:r w:rsidR="0067345E" w:rsidRPr="0067437A">
        <w:t>PDE-5i</w:t>
      </w:r>
      <w:r w:rsidR="00A727C2" w:rsidRPr="0067437A">
        <w:t>,</w:t>
      </w:r>
      <w:r w:rsidR="00CB14F1" w:rsidRPr="0067437A">
        <w:t xml:space="preserve"> </w:t>
      </w:r>
      <w:r w:rsidR="00C735F2" w:rsidRPr="0067437A">
        <w:t xml:space="preserve">it was unknown if patients in the trial also had intolerance/contraindication to either an ERA or PDE-5i. The </w:t>
      </w:r>
      <w:r w:rsidR="009A20E7">
        <w:t>Pre-Sub-Committee Response (</w:t>
      </w:r>
      <w:r w:rsidR="00C735F2" w:rsidRPr="0067437A">
        <w:t>PSCR</w:t>
      </w:r>
      <w:r w:rsidR="009A20E7">
        <w:t>)</w:t>
      </w:r>
      <w:r w:rsidR="00C735F2" w:rsidRPr="0067437A">
        <w:t xml:space="preserve"> stated that there were no population specific data available from the trial </w:t>
      </w:r>
      <w:r w:rsidR="00CB14F1" w:rsidRPr="0067437A">
        <w:t>to support this listing.</w:t>
      </w:r>
      <w:r w:rsidR="009C2673" w:rsidRPr="0067437A">
        <w:t xml:space="preserve"> </w:t>
      </w:r>
      <w:r w:rsidR="00772395" w:rsidRPr="0067437A">
        <w:rPr>
          <w:rFonts w:cstheme="minorHAnsi"/>
        </w:rPr>
        <w:t xml:space="preserve">Although the ESC </w:t>
      </w:r>
      <w:r w:rsidR="0064590C" w:rsidRPr="0067437A">
        <w:rPr>
          <w:rFonts w:cstheme="minorHAnsi"/>
        </w:rPr>
        <w:t>agreed</w:t>
      </w:r>
      <w:r w:rsidR="00772395" w:rsidRPr="0067437A">
        <w:rPr>
          <w:rFonts w:cstheme="minorHAnsi"/>
        </w:rPr>
        <w:t xml:space="preserve"> that this population </w:t>
      </w:r>
      <w:r w:rsidR="0064590C" w:rsidRPr="0067437A">
        <w:rPr>
          <w:rFonts w:cstheme="minorHAnsi"/>
        </w:rPr>
        <w:t>would likely</w:t>
      </w:r>
      <w:r w:rsidR="00772395" w:rsidRPr="0067437A">
        <w:rPr>
          <w:rFonts w:cstheme="minorHAnsi"/>
        </w:rPr>
        <w:t xml:space="preserve"> be small, the ESC noted that the submission did not present a proposed restriction or any clinical evidence for the proposed population.</w:t>
      </w:r>
      <w:r w:rsidR="00E27134" w:rsidRPr="0067437A">
        <w:rPr>
          <w:rFonts w:cstheme="minorHAnsi"/>
        </w:rPr>
        <w:t xml:space="preserve"> </w:t>
      </w:r>
      <w:r w:rsidR="00E27134" w:rsidRPr="0067437A">
        <w:t>The ESC note</w:t>
      </w:r>
      <w:r w:rsidR="00500CE0">
        <w:t>d</w:t>
      </w:r>
      <w:r w:rsidR="00E27134" w:rsidRPr="0067437A">
        <w:t xml:space="preserve"> that in the PBAC </w:t>
      </w:r>
      <w:r w:rsidR="003E0B34">
        <w:t>Post Market Review (PMR) of</w:t>
      </w:r>
      <w:r w:rsidR="00E27134" w:rsidRPr="0067437A">
        <w:t xml:space="preserve"> PAH medicines that “</w:t>
      </w:r>
      <w:r w:rsidR="00E27134" w:rsidRPr="0067437A">
        <w:rPr>
          <w:rFonts w:cstheme="minorHAnsi"/>
          <w:iCs/>
        </w:rPr>
        <w:t>The PBAC was of a mind to recommend combination therapy with a prostanoid and sildenafil (or tadalafil at a comparable price) as second line treatment for patients with WHO FC III symptoms</w:t>
      </w:r>
      <w:r w:rsidR="00E27134" w:rsidRPr="0067437A">
        <w:rPr>
          <w:rFonts w:cstheme="minorHAnsi"/>
        </w:rPr>
        <w:t xml:space="preserve"> </w:t>
      </w:r>
      <w:r w:rsidR="00E27134" w:rsidRPr="0067437A">
        <w:rPr>
          <w:rFonts w:cstheme="minorHAnsi"/>
          <w:iCs/>
        </w:rPr>
        <w:t>and first line treatment for patients with WHO FC IV symptoms</w:t>
      </w:r>
      <w:r w:rsidR="00E27134" w:rsidRPr="0067437A">
        <w:rPr>
          <w:rFonts w:cstheme="minorHAnsi"/>
        </w:rPr>
        <w:t>” (paragraph 5.40, PAH PMR, November 2019).</w:t>
      </w:r>
    </w:p>
    <w:p w:rsidR="00C2778B" w:rsidRPr="0067437A" w:rsidRDefault="005750C5" w:rsidP="00EC70AF">
      <w:pPr>
        <w:pStyle w:val="3-BodyText"/>
        <w:ind w:left="709"/>
      </w:pPr>
      <w:r w:rsidRPr="0067437A">
        <w:t xml:space="preserve">Listing </w:t>
      </w:r>
      <w:r w:rsidR="00573A88" w:rsidRPr="0067437A">
        <w:t xml:space="preserve">for selexipag in triple combination </w:t>
      </w:r>
      <w:r w:rsidR="009F705B" w:rsidRPr="0067437A">
        <w:t xml:space="preserve">therapy </w:t>
      </w:r>
      <w:r w:rsidRPr="0067437A">
        <w:t xml:space="preserve">was requested on the basis of a </w:t>
      </w:r>
      <w:r w:rsidR="00DE7ABF" w:rsidRPr="0067437A">
        <w:t xml:space="preserve">cost utility </w:t>
      </w:r>
      <w:r w:rsidRPr="0067437A">
        <w:t xml:space="preserve">analysis versus </w:t>
      </w:r>
      <w:r w:rsidR="00DE7ABF" w:rsidRPr="0067437A">
        <w:t>placebo</w:t>
      </w:r>
      <w:r w:rsidR="00665B7A" w:rsidRPr="0067437A">
        <w:t xml:space="preserve"> (Table 1)</w:t>
      </w:r>
      <w:r w:rsidR="0067437A">
        <w:t xml:space="preserve">. </w:t>
      </w:r>
    </w:p>
    <w:p w:rsidR="008B1757" w:rsidRPr="0067437A" w:rsidRDefault="008B1757" w:rsidP="004A6040">
      <w:pPr>
        <w:pStyle w:val="TableFigureHeading"/>
        <w:rPr>
          <w:rStyle w:val="CommentReference"/>
          <w:b/>
          <w:szCs w:val="24"/>
        </w:rPr>
      </w:pPr>
      <w:r w:rsidRPr="0067437A">
        <w:rPr>
          <w:rStyle w:val="CommentReference"/>
          <w:b/>
          <w:szCs w:val="24"/>
        </w:rPr>
        <w:lastRenderedPageBreak/>
        <w:t xml:space="preserve">Table </w:t>
      </w:r>
      <w:r w:rsidR="00B65CAC" w:rsidRPr="0067437A">
        <w:rPr>
          <w:rStyle w:val="CommentReference"/>
          <w:b/>
          <w:szCs w:val="24"/>
        </w:rPr>
        <w:t>1</w:t>
      </w:r>
      <w:r w:rsidRPr="0067437A">
        <w:rPr>
          <w:rStyle w:val="CommentReference"/>
          <w:b/>
          <w:szCs w:val="24"/>
        </w:rPr>
        <w:t>:</w:t>
      </w:r>
      <w:r w:rsidR="00BC591F" w:rsidRPr="0067437A">
        <w:rPr>
          <w:rStyle w:val="CommentReference"/>
          <w:b/>
          <w:szCs w:val="24"/>
        </w:rPr>
        <w:t xml:space="preserve"> </w:t>
      </w:r>
      <w:r w:rsidRPr="0067437A">
        <w:rPr>
          <w:rStyle w:val="CommentReference"/>
          <w:b/>
          <w:szCs w:val="24"/>
        </w:rPr>
        <w:t>Key components of the clinical issue addressed by the submission</w:t>
      </w:r>
      <w:r w:rsidR="007170DA" w:rsidRPr="0067437A">
        <w:rPr>
          <w:rStyle w:val="CommentReference"/>
          <w:b/>
          <w:szCs w:val="24"/>
        </w:rPr>
        <w:t xml:space="preserve"> </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7937"/>
      </w:tblGrid>
      <w:tr w:rsidR="001928F2" w:rsidRPr="0067437A" w:rsidTr="00673B39">
        <w:tc>
          <w:tcPr>
            <w:tcW w:w="1129" w:type="dxa"/>
            <w:vAlign w:val="center"/>
          </w:tcPr>
          <w:p w:rsidR="001928F2" w:rsidRPr="0067437A" w:rsidRDefault="001928F2" w:rsidP="00673B39">
            <w:pPr>
              <w:pStyle w:val="In-tableHeading"/>
              <w:rPr>
                <w:lang w:val="en-AU"/>
              </w:rPr>
            </w:pPr>
            <w:r w:rsidRPr="0067437A">
              <w:rPr>
                <w:lang w:val="en-AU"/>
              </w:rPr>
              <w:t>Component</w:t>
            </w:r>
          </w:p>
        </w:tc>
        <w:tc>
          <w:tcPr>
            <w:tcW w:w="7937" w:type="dxa"/>
            <w:vAlign w:val="center"/>
          </w:tcPr>
          <w:p w:rsidR="001928F2" w:rsidRPr="0067437A" w:rsidRDefault="001928F2" w:rsidP="00673B39">
            <w:pPr>
              <w:pStyle w:val="In-tableHeading"/>
              <w:rPr>
                <w:lang w:val="en-AU"/>
              </w:rPr>
            </w:pPr>
            <w:r w:rsidRPr="0067437A">
              <w:rPr>
                <w:lang w:val="en-AU"/>
              </w:rPr>
              <w:t>Description</w:t>
            </w:r>
          </w:p>
        </w:tc>
      </w:tr>
      <w:tr w:rsidR="001928F2" w:rsidRPr="0067437A" w:rsidTr="00673B39">
        <w:tc>
          <w:tcPr>
            <w:tcW w:w="1129" w:type="dxa"/>
            <w:vAlign w:val="center"/>
          </w:tcPr>
          <w:p w:rsidR="001928F2" w:rsidRPr="0067437A" w:rsidRDefault="001928F2" w:rsidP="00673B39">
            <w:pPr>
              <w:pStyle w:val="TableText0"/>
            </w:pPr>
            <w:r w:rsidRPr="0067437A">
              <w:t>Population</w:t>
            </w:r>
          </w:p>
        </w:tc>
        <w:tc>
          <w:tcPr>
            <w:tcW w:w="7937" w:type="dxa"/>
            <w:vAlign w:val="center"/>
          </w:tcPr>
          <w:p w:rsidR="001928F2" w:rsidRPr="0067437A" w:rsidRDefault="001928F2" w:rsidP="00157ACD">
            <w:pPr>
              <w:pStyle w:val="TableText0"/>
            </w:pPr>
            <w:r w:rsidRPr="0067437A">
              <w:t xml:space="preserve">Add-on therapy for patients with WHO FC III or IV PAH demonstrating an inadequate clinical response or deterioration whilst on stabilised doses of an ERA and a </w:t>
            </w:r>
            <w:r w:rsidR="00526A93" w:rsidRPr="0067437A">
              <w:t>PDE-5i</w:t>
            </w:r>
            <w:r w:rsidR="00A75840" w:rsidRPr="0067437A">
              <w:t xml:space="preserve"> </w:t>
            </w:r>
            <w:r w:rsidRPr="0067437A">
              <w:t xml:space="preserve">(i.e. sequential triple therapy). </w:t>
            </w:r>
          </w:p>
        </w:tc>
      </w:tr>
      <w:tr w:rsidR="001928F2" w:rsidRPr="0067437A" w:rsidTr="00673B39">
        <w:tc>
          <w:tcPr>
            <w:tcW w:w="1129" w:type="dxa"/>
            <w:vAlign w:val="center"/>
          </w:tcPr>
          <w:p w:rsidR="001928F2" w:rsidRPr="0067437A" w:rsidRDefault="001928F2" w:rsidP="00673B39">
            <w:pPr>
              <w:pStyle w:val="TableText0"/>
            </w:pPr>
            <w:r w:rsidRPr="0067437A">
              <w:t>Intervention</w:t>
            </w:r>
          </w:p>
        </w:tc>
        <w:tc>
          <w:tcPr>
            <w:tcW w:w="7937" w:type="dxa"/>
            <w:vAlign w:val="center"/>
          </w:tcPr>
          <w:p w:rsidR="001928F2" w:rsidRPr="0067437A" w:rsidRDefault="001928F2" w:rsidP="009C2673">
            <w:pPr>
              <w:pStyle w:val="TableText0"/>
            </w:pPr>
            <w:r w:rsidRPr="0067437A">
              <w:t>Selexipag</w:t>
            </w:r>
            <w:r w:rsidR="0067437A">
              <w:t xml:space="preserve">. </w:t>
            </w:r>
            <w:r w:rsidRPr="0067437A">
              <w:t>Dosing is individualised</w:t>
            </w:r>
            <w:r w:rsidR="006742E3" w:rsidRPr="0067437A">
              <w:t>,</w:t>
            </w:r>
            <w:r w:rsidRPr="0067437A">
              <w:t xml:space="preserve"> with upward titration</w:t>
            </w:r>
            <w:r w:rsidR="009C2673" w:rsidRPr="0067437A">
              <w:t>s</w:t>
            </w:r>
            <w:r w:rsidRPr="0067437A">
              <w:t xml:space="preserve"> from 200</w:t>
            </w:r>
            <w:r w:rsidR="006742E3" w:rsidRPr="0067437A">
              <w:t xml:space="preserve"> </w:t>
            </w:r>
            <w:r w:rsidRPr="0067437A">
              <w:t>mcg given bd until the maximum tolerated dose is found, or until a maximum dose of 1600</w:t>
            </w:r>
            <w:r w:rsidR="006742E3" w:rsidRPr="0067437A">
              <w:t xml:space="preserve"> </w:t>
            </w:r>
            <w:r w:rsidRPr="0067437A">
              <w:t>mcg bd is reached.</w:t>
            </w:r>
          </w:p>
        </w:tc>
      </w:tr>
      <w:tr w:rsidR="001928F2" w:rsidRPr="0067437A" w:rsidTr="00673B39">
        <w:tc>
          <w:tcPr>
            <w:tcW w:w="1129" w:type="dxa"/>
            <w:vAlign w:val="center"/>
          </w:tcPr>
          <w:p w:rsidR="001928F2" w:rsidRPr="0067437A" w:rsidRDefault="001928F2" w:rsidP="00673B39">
            <w:pPr>
              <w:pStyle w:val="TableText0"/>
            </w:pPr>
            <w:r w:rsidRPr="0067437A">
              <w:t>Comparator</w:t>
            </w:r>
          </w:p>
        </w:tc>
        <w:tc>
          <w:tcPr>
            <w:tcW w:w="7937" w:type="dxa"/>
            <w:vAlign w:val="center"/>
          </w:tcPr>
          <w:p w:rsidR="001928F2" w:rsidRPr="0067437A" w:rsidRDefault="001928F2" w:rsidP="00F4157D">
            <w:pPr>
              <w:pStyle w:val="TableText0"/>
            </w:pPr>
            <w:r w:rsidRPr="0067437A">
              <w:t>Placebo. This was previously accepted by the PBAC.</w:t>
            </w:r>
          </w:p>
        </w:tc>
      </w:tr>
      <w:tr w:rsidR="001928F2" w:rsidRPr="0067437A" w:rsidTr="00673B39">
        <w:tc>
          <w:tcPr>
            <w:tcW w:w="1129" w:type="dxa"/>
            <w:vAlign w:val="center"/>
          </w:tcPr>
          <w:p w:rsidR="001928F2" w:rsidRPr="0067437A" w:rsidRDefault="001928F2" w:rsidP="00673B39">
            <w:pPr>
              <w:pStyle w:val="TableText0"/>
            </w:pPr>
            <w:r w:rsidRPr="0067437A">
              <w:t>Outcomes</w:t>
            </w:r>
          </w:p>
        </w:tc>
        <w:tc>
          <w:tcPr>
            <w:tcW w:w="7937" w:type="dxa"/>
            <w:vAlign w:val="center"/>
          </w:tcPr>
          <w:p w:rsidR="001928F2" w:rsidRPr="0067437A" w:rsidRDefault="001928F2" w:rsidP="00673B39">
            <w:pPr>
              <w:pStyle w:val="TableText0"/>
            </w:pPr>
            <w:r w:rsidRPr="0067437A">
              <w:t>The primary endpoint in the GRIPHON trial was time to first morbidity/mortality (MM) event defined as time to first occurrence of a CEC-confirmed MM event defined as a composite of:</w:t>
            </w:r>
          </w:p>
          <w:p w:rsidR="001928F2" w:rsidRPr="0067437A" w:rsidRDefault="001928F2" w:rsidP="00F33FA7">
            <w:pPr>
              <w:pStyle w:val="TableText0"/>
              <w:numPr>
                <w:ilvl w:val="0"/>
                <w:numId w:val="7"/>
              </w:numPr>
              <w:ind w:left="259" w:hanging="142"/>
            </w:pPr>
            <w:r w:rsidRPr="0067437A">
              <w:t>death (all-causes); or</w:t>
            </w:r>
          </w:p>
          <w:p w:rsidR="001928F2" w:rsidRPr="0067437A" w:rsidRDefault="001928F2" w:rsidP="00F33FA7">
            <w:pPr>
              <w:pStyle w:val="TableText0"/>
              <w:numPr>
                <w:ilvl w:val="0"/>
                <w:numId w:val="7"/>
              </w:numPr>
              <w:ind w:left="259" w:hanging="142"/>
            </w:pPr>
            <w:r w:rsidRPr="0067437A">
              <w:t>hospitalisation for PAH; or</w:t>
            </w:r>
          </w:p>
          <w:p w:rsidR="001928F2" w:rsidRPr="0067437A" w:rsidRDefault="001928F2" w:rsidP="00F33FA7">
            <w:pPr>
              <w:pStyle w:val="TableText0"/>
              <w:numPr>
                <w:ilvl w:val="0"/>
                <w:numId w:val="7"/>
              </w:numPr>
              <w:ind w:left="259" w:hanging="142"/>
            </w:pPr>
            <w:r w:rsidRPr="0067437A">
              <w:t>progression of PAH resulting in need for lung transplantation or balloon atrial septostomy; or</w:t>
            </w:r>
          </w:p>
          <w:p w:rsidR="001928F2" w:rsidRPr="0067437A" w:rsidRDefault="001928F2" w:rsidP="00F33FA7">
            <w:pPr>
              <w:pStyle w:val="TableText0"/>
              <w:numPr>
                <w:ilvl w:val="0"/>
                <w:numId w:val="7"/>
              </w:numPr>
              <w:ind w:left="259" w:hanging="142"/>
            </w:pPr>
            <w:r w:rsidRPr="0067437A">
              <w:t>initiation of parenteral prostanoid therapy or chronic oxygen therapy; or</w:t>
            </w:r>
          </w:p>
          <w:p w:rsidR="001928F2" w:rsidRPr="0067437A" w:rsidRDefault="001928F2" w:rsidP="00F33FA7">
            <w:pPr>
              <w:pStyle w:val="TableText0"/>
              <w:numPr>
                <w:ilvl w:val="0"/>
                <w:numId w:val="7"/>
              </w:numPr>
              <w:ind w:left="259" w:hanging="142"/>
            </w:pPr>
            <w:r w:rsidRPr="0067437A">
              <w:t>other disease progression events confirmed by decrease (≥</w:t>
            </w:r>
            <w:r w:rsidR="00157ACD">
              <w:t xml:space="preserve"> </w:t>
            </w:r>
            <w:r w:rsidRPr="0067437A">
              <w:t>15%) in 6MWD from baseline and need for additional PAH-specific therapy.</w:t>
            </w:r>
          </w:p>
        </w:tc>
      </w:tr>
      <w:tr w:rsidR="001928F2" w:rsidRPr="0067437A" w:rsidTr="00673B39">
        <w:tc>
          <w:tcPr>
            <w:tcW w:w="1129" w:type="dxa"/>
            <w:vAlign w:val="center"/>
          </w:tcPr>
          <w:p w:rsidR="001928F2" w:rsidRPr="0067437A" w:rsidRDefault="001928F2" w:rsidP="00673B39">
            <w:pPr>
              <w:pStyle w:val="TableText0"/>
            </w:pPr>
            <w:r w:rsidRPr="0067437A">
              <w:t>Clinical claim</w:t>
            </w:r>
          </w:p>
        </w:tc>
        <w:tc>
          <w:tcPr>
            <w:tcW w:w="7937" w:type="dxa"/>
            <w:vAlign w:val="center"/>
          </w:tcPr>
          <w:p w:rsidR="001928F2" w:rsidRPr="0067437A" w:rsidRDefault="001928F2" w:rsidP="00F4157D">
            <w:pPr>
              <w:pStyle w:val="TableText0"/>
              <w:rPr>
                <w:i/>
              </w:rPr>
            </w:pPr>
            <w:r w:rsidRPr="0067437A">
              <w:t>In patients with WHO FC III or IV PAH not achieving treatment targets on dual therapy with an ERA and PDE-5i, selexipag as a sequential add-on treatment (triple therapy) has superior efficacy but inferior safety t</w:t>
            </w:r>
            <w:r w:rsidR="00B75097" w:rsidRPr="0067437A">
              <w:t>o</w:t>
            </w:r>
            <w:r w:rsidRPr="0067437A">
              <w:t xml:space="preserve"> placebo.</w:t>
            </w:r>
          </w:p>
        </w:tc>
      </w:tr>
    </w:tbl>
    <w:p w:rsidR="001928F2" w:rsidRPr="0067437A" w:rsidRDefault="0096449E" w:rsidP="001928F2">
      <w:pPr>
        <w:pStyle w:val="TableFigureFooter"/>
      </w:pPr>
      <w:r w:rsidRPr="0067437A">
        <w:t xml:space="preserve">bd = twice daily; </w:t>
      </w:r>
      <w:r w:rsidR="001928F2" w:rsidRPr="0067437A">
        <w:t>CEC</w:t>
      </w:r>
      <w:r w:rsidRPr="0067437A">
        <w:t xml:space="preserve"> </w:t>
      </w:r>
      <w:r w:rsidR="001928F2" w:rsidRPr="0067437A">
        <w:t>=</w:t>
      </w:r>
      <w:r w:rsidRPr="0067437A">
        <w:t xml:space="preserve"> </w:t>
      </w:r>
      <w:r w:rsidR="001928F2" w:rsidRPr="0067437A">
        <w:t>Critical Event Committee; ERA</w:t>
      </w:r>
      <w:r w:rsidRPr="0067437A">
        <w:t xml:space="preserve"> </w:t>
      </w:r>
      <w:r w:rsidR="001928F2" w:rsidRPr="0067437A">
        <w:t>=</w:t>
      </w:r>
      <w:r w:rsidRPr="0067437A">
        <w:t xml:space="preserve"> </w:t>
      </w:r>
      <w:r w:rsidR="001928F2" w:rsidRPr="0067437A">
        <w:t>endothelin receptor antagonist; FC</w:t>
      </w:r>
      <w:r w:rsidRPr="0067437A">
        <w:t xml:space="preserve"> </w:t>
      </w:r>
      <w:r w:rsidR="001928F2" w:rsidRPr="0067437A">
        <w:t>=</w:t>
      </w:r>
      <w:r w:rsidRPr="0067437A">
        <w:t xml:space="preserve"> </w:t>
      </w:r>
      <w:r w:rsidR="001928F2" w:rsidRPr="0067437A">
        <w:t>functional class; MM</w:t>
      </w:r>
      <w:r w:rsidRPr="0067437A">
        <w:t xml:space="preserve"> </w:t>
      </w:r>
      <w:r w:rsidR="001928F2" w:rsidRPr="0067437A">
        <w:t>=</w:t>
      </w:r>
      <w:r w:rsidRPr="0067437A">
        <w:t xml:space="preserve"> </w:t>
      </w:r>
      <w:r w:rsidR="001928F2" w:rsidRPr="0067437A">
        <w:t>morbidity/mortality; PAH</w:t>
      </w:r>
      <w:r w:rsidRPr="0067437A">
        <w:t xml:space="preserve"> </w:t>
      </w:r>
      <w:r w:rsidR="001928F2" w:rsidRPr="0067437A">
        <w:t>=</w:t>
      </w:r>
      <w:r w:rsidRPr="0067437A">
        <w:t xml:space="preserve"> </w:t>
      </w:r>
      <w:r w:rsidR="001928F2" w:rsidRPr="0067437A">
        <w:t>pulmonary arterial hypertension; PDE-5i</w:t>
      </w:r>
      <w:r w:rsidRPr="0067437A">
        <w:t xml:space="preserve"> </w:t>
      </w:r>
      <w:r w:rsidR="001928F2" w:rsidRPr="0067437A">
        <w:t>=</w:t>
      </w:r>
      <w:r w:rsidRPr="0067437A">
        <w:t xml:space="preserve"> </w:t>
      </w:r>
      <w:r w:rsidR="001928F2" w:rsidRPr="0067437A">
        <w:t>phosphodiesterase type 5 inhibitor; WHO</w:t>
      </w:r>
      <w:r w:rsidRPr="0067437A">
        <w:t xml:space="preserve"> </w:t>
      </w:r>
      <w:r w:rsidR="001928F2" w:rsidRPr="0067437A">
        <w:t>=</w:t>
      </w:r>
      <w:r w:rsidRPr="0067437A">
        <w:t xml:space="preserve"> </w:t>
      </w:r>
      <w:r w:rsidR="001928F2" w:rsidRPr="0067437A">
        <w:t>World Health Organization; 6MWD = 6-minute walk distance</w:t>
      </w:r>
    </w:p>
    <w:p w:rsidR="001928F2" w:rsidRPr="0067437A" w:rsidRDefault="001928F2" w:rsidP="001928F2">
      <w:pPr>
        <w:pStyle w:val="TableFigureFooter"/>
      </w:pPr>
      <w:r w:rsidRPr="0067437A">
        <w:t>Source: Table 1.1, p13 and pp60-61 of the resubmission.</w:t>
      </w:r>
    </w:p>
    <w:p w:rsidR="005C25FF" w:rsidRPr="0067437A" w:rsidRDefault="005C25FF" w:rsidP="004A6040">
      <w:pPr>
        <w:pStyle w:val="2-SectionHeading"/>
      </w:pPr>
      <w:bookmarkStart w:id="4" w:name="_Toc40866410"/>
      <w:r w:rsidRPr="0067437A">
        <w:t>Background</w:t>
      </w:r>
      <w:bookmarkEnd w:id="4"/>
    </w:p>
    <w:p w:rsidR="005C25FF" w:rsidRPr="0067437A" w:rsidRDefault="005C25FF" w:rsidP="004A6040">
      <w:pPr>
        <w:pStyle w:val="4-SubsectionHeading"/>
      </w:pPr>
      <w:bookmarkStart w:id="5" w:name="_Toc22897638"/>
      <w:bookmarkStart w:id="6" w:name="_Toc40866411"/>
      <w:r w:rsidRPr="0067437A">
        <w:t>Registration status</w:t>
      </w:r>
      <w:bookmarkEnd w:id="5"/>
      <w:bookmarkEnd w:id="6"/>
    </w:p>
    <w:p w:rsidR="00B91726" w:rsidRPr="0067437A" w:rsidRDefault="00E04106" w:rsidP="00EC70AF">
      <w:pPr>
        <w:pStyle w:val="3-BodyText"/>
        <w:ind w:left="709"/>
        <w:rPr>
          <w:i/>
        </w:rPr>
      </w:pPr>
      <w:r w:rsidRPr="0067437A">
        <w:t xml:space="preserve">Selexipag was </w:t>
      </w:r>
      <w:r w:rsidR="00831CD9" w:rsidRPr="0067437A">
        <w:t xml:space="preserve">approved by the </w:t>
      </w:r>
      <w:r w:rsidRPr="0067437A">
        <w:t xml:space="preserve">TGA on </w:t>
      </w:r>
      <w:r w:rsidR="00831CD9" w:rsidRPr="0067437A">
        <w:t xml:space="preserve">the </w:t>
      </w:r>
      <w:r w:rsidRPr="0067437A">
        <w:t>24th March 2016 for the treatment of idiopathic</w:t>
      </w:r>
      <w:r w:rsidR="004B7D4F" w:rsidRPr="0067437A">
        <w:t xml:space="preserve"> </w:t>
      </w:r>
      <w:r w:rsidRPr="0067437A">
        <w:t>pulmonary arterial hypertension, heritable pulmonary arterial hypertension, pulmonary arterial hypertension associated with connective tissue disease, pulmonary arterial hypertension associated with congenital heart disease with repaired shunts</w:t>
      </w:r>
      <w:r w:rsidR="00592D35">
        <w:t xml:space="preserve"> and</w:t>
      </w:r>
      <w:r w:rsidRPr="0067437A">
        <w:t xml:space="preserve"> pulmonary arterial hypertension associated with drugs and toxins</w:t>
      </w:r>
      <w:r w:rsidR="00592D35">
        <w:t>,</w:t>
      </w:r>
      <w:r w:rsidRPr="0067437A">
        <w:t xml:space="preserve"> in patients with </w:t>
      </w:r>
      <w:r w:rsidR="0067345E" w:rsidRPr="0067437A">
        <w:t xml:space="preserve">WHO FC </w:t>
      </w:r>
      <w:r w:rsidRPr="0067437A">
        <w:t>II, III or IV symptoms</w:t>
      </w:r>
      <w:r w:rsidR="0067437A">
        <w:t xml:space="preserve">. </w:t>
      </w:r>
    </w:p>
    <w:p w:rsidR="00294398" w:rsidRPr="0067437A" w:rsidRDefault="003F67BB" w:rsidP="00EC70AF">
      <w:pPr>
        <w:pStyle w:val="3-BodyText"/>
        <w:ind w:left="709"/>
        <w:rPr>
          <w:i/>
        </w:rPr>
      </w:pPr>
      <w:r w:rsidRPr="0067437A">
        <w:t xml:space="preserve">The </w:t>
      </w:r>
      <w:r w:rsidR="00294398" w:rsidRPr="0067437A">
        <w:t>TGA approved use</w:t>
      </w:r>
      <w:r w:rsidR="00CB14F1" w:rsidRPr="0067437A">
        <w:t>s</w:t>
      </w:r>
      <w:r w:rsidR="00294398" w:rsidRPr="0067437A">
        <w:t xml:space="preserve"> of selexipag</w:t>
      </w:r>
      <w:r w:rsidR="00371A28" w:rsidRPr="0067437A">
        <w:t xml:space="preserve"> </w:t>
      </w:r>
      <w:r w:rsidR="00CB14F1" w:rsidRPr="0067437A">
        <w:t>are</w:t>
      </w:r>
      <w:r w:rsidR="00684DE2" w:rsidRPr="0067437A">
        <w:t xml:space="preserve"> either</w:t>
      </w:r>
      <w:r w:rsidR="00294398" w:rsidRPr="0067437A">
        <w:t xml:space="preserve"> </w:t>
      </w:r>
      <w:r w:rsidR="000D07AB" w:rsidRPr="0067437A">
        <w:t xml:space="preserve">as </w:t>
      </w:r>
      <w:r w:rsidR="00294398" w:rsidRPr="0067437A">
        <w:t>combination therapy in patients insufficiently controlled with an ERA and/or a PDE</w:t>
      </w:r>
      <w:r w:rsidR="009155BE">
        <w:t>-</w:t>
      </w:r>
      <w:r w:rsidR="00294398" w:rsidRPr="0067437A">
        <w:t>5</w:t>
      </w:r>
      <w:r w:rsidRPr="0067437A">
        <w:t>i</w:t>
      </w:r>
      <w:r w:rsidR="00294398" w:rsidRPr="0067437A">
        <w:t>, or as monotherapy in patients who are not candidates for these therapies</w:t>
      </w:r>
      <w:r w:rsidR="0067437A">
        <w:t xml:space="preserve">. </w:t>
      </w:r>
      <w:r w:rsidR="00294398" w:rsidRPr="0067437A">
        <w:t xml:space="preserve">The proposed PBS listing </w:t>
      </w:r>
      <w:r w:rsidR="006742E3" w:rsidRPr="0067437A">
        <w:t xml:space="preserve">for triple therapy in combination with an ERA or a PDE-5i in patients with WHO FC III and IV PAH </w:t>
      </w:r>
      <w:r w:rsidR="00294398" w:rsidRPr="0067437A">
        <w:t>is narrower than the TGA indication.</w:t>
      </w:r>
    </w:p>
    <w:p w:rsidR="005C25FF" w:rsidRPr="0067437A" w:rsidRDefault="005C25FF" w:rsidP="004E18E9">
      <w:pPr>
        <w:pStyle w:val="4-SubsectionHeading"/>
      </w:pPr>
      <w:bookmarkStart w:id="7" w:name="_Toc22897639"/>
      <w:bookmarkStart w:id="8" w:name="_Toc40866412"/>
      <w:r w:rsidRPr="0067437A">
        <w:t>Previous PBAC consideration</w:t>
      </w:r>
      <w:bookmarkEnd w:id="7"/>
      <w:bookmarkEnd w:id="8"/>
    </w:p>
    <w:p w:rsidR="00BF5D87" w:rsidRPr="0067437A" w:rsidRDefault="007F1D2B" w:rsidP="00371A28">
      <w:pPr>
        <w:pStyle w:val="3-BodyText"/>
        <w:ind w:left="709"/>
      </w:pPr>
      <w:r w:rsidRPr="0067437A">
        <w:t>T</w:t>
      </w:r>
      <w:r w:rsidR="00B91726" w:rsidRPr="0067437A">
        <w:t>he t</w:t>
      </w:r>
      <w:r w:rsidR="005F4F5D" w:rsidRPr="0067437A">
        <w:t xml:space="preserve">wo </w:t>
      </w:r>
      <w:r w:rsidR="00BF5D87" w:rsidRPr="0067437A">
        <w:t>previous</w:t>
      </w:r>
      <w:r w:rsidR="00211879" w:rsidRPr="0067437A">
        <w:t xml:space="preserve"> PBAC</w:t>
      </w:r>
      <w:r w:rsidR="00BF5D87" w:rsidRPr="0067437A">
        <w:t xml:space="preserve"> </w:t>
      </w:r>
      <w:r w:rsidR="00B821B6" w:rsidRPr="0067437A">
        <w:t>consideration</w:t>
      </w:r>
      <w:r w:rsidR="009A2093" w:rsidRPr="0067437A">
        <w:t>s</w:t>
      </w:r>
      <w:r w:rsidR="00B821B6" w:rsidRPr="0067437A">
        <w:t xml:space="preserve"> of selexipag </w:t>
      </w:r>
      <w:r w:rsidR="009A2093" w:rsidRPr="0067437A">
        <w:t>for PAH</w:t>
      </w:r>
      <w:r w:rsidR="005F4F5D" w:rsidRPr="0067437A">
        <w:t xml:space="preserve"> were</w:t>
      </w:r>
      <w:r w:rsidR="00B821B6" w:rsidRPr="0067437A">
        <w:t xml:space="preserve"> in March 2016 and March 2017</w:t>
      </w:r>
      <w:r w:rsidR="0067437A">
        <w:t xml:space="preserve">. </w:t>
      </w:r>
      <w:r w:rsidR="009B4881" w:rsidRPr="0067437A">
        <w:t xml:space="preserve">Actelion (now </w:t>
      </w:r>
      <w:r w:rsidR="00DE787D" w:rsidRPr="0067437A">
        <w:t>part of the same group of companies as</w:t>
      </w:r>
      <w:r w:rsidR="009B4881" w:rsidRPr="0067437A">
        <w:t xml:space="preserve"> Janssen-Cilag, the current sponsor) was the sponsor </w:t>
      </w:r>
      <w:r w:rsidRPr="0067437A">
        <w:t>for both submissions.</w:t>
      </w:r>
    </w:p>
    <w:p w:rsidR="009B4881" w:rsidRPr="0067437A" w:rsidRDefault="009B4881" w:rsidP="00F33FA7">
      <w:pPr>
        <w:pStyle w:val="3-BodyText"/>
        <w:numPr>
          <w:ilvl w:val="0"/>
          <w:numId w:val="13"/>
        </w:numPr>
        <w:ind w:left="1134"/>
      </w:pPr>
      <w:r w:rsidRPr="0067437A">
        <w:t xml:space="preserve">In March 2016, the PBAC rejected the first submission of selexipag as add-on therapy in PAH patients who </w:t>
      </w:r>
      <w:r w:rsidR="004B7D4F" w:rsidRPr="0067437A">
        <w:t>a</w:t>
      </w:r>
      <w:r w:rsidRPr="0067437A">
        <w:t>re already receiving a PBS-subsidised PAH agent (i</w:t>
      </w:r>
      <w:r w:rsidR="006742E3" w:rsidRPr="0067437A">
        <w:t>.</w:t>
      </w:r>
      <w:r w:rsidRPr="0067437A">
        <w:t>e</w:t>
      </w:r>
      <w:r w:rsidR="006742E3" w:rsidRPr="0067437A">
        <w:t>.</w:t>
      </w:r>
      <w:r w:rsidRPr="0067437A">
        <w:t xml:space="preserve"> dual therapy) on the basis that the magnitude of clinical benefit was unclear (surrogate endpoint used), and cost-effectiveness estimates were difficult to interpret and appeared high on a background of uncertain clinical significance.</w:t>
      </w:r>
    </w:p>
    <w:p w:rsidR="009B4881" w:rsidRPr="0067437A" w:rsidRDefault="009A2093" w:rsidP="00F33FA7">
      <w:pPr>
        <w:pStyle w:val="3-BodyText"/>
        <w:numPr>
          <w:ilvl w:val="0"/>
          <w:numId w:val="13"/>
        </w:numPr>
        <w:ind w:left="1134"/>
      </w:pPr>
      <w:r w:rsidRPr="0067437A">
        <w:lastRenderedPageBreak/>
        <w:t>I</w:t>
      </w:r>
      <w:r w:rsidR="009B4881" w:rsidRPr="0067437A">
        <w:t xml:space="preserve">n March 2017, the PBAC rejected the second submission of selexipag for treatment of PAH for use as a triple therapy component in combination with an ERA and a PDE-5i. This decision was on the basis that the </w:t>
      </w:r>
      <w:r w:rsidR="00157ACD">
        <w:t>incremental cost effectiveness ratios (</w:t>
      </w:r>
      <w:r w:rsidR="009B4881" w:rsidRPr="0067437A">
        <w:t>ICERs</w:t>
      </w:r>
      <w:r w:rsidR="00157ACD">
        <w:t>)</w:t>
      </w:r>
      <w:r w:rsidR="009B4881" w:rsidRPr="0067437A">
        <w:t xml:space="preserve"> presented remained difficult to interpret and were too high to support the cost-effectiveness of selexipag </w:t>
      </w:r>
      <w:r w:rsidR="00DE787D" w:rsidRPr="0067437A">
        <w:t>for</w:t>
      </w:r>
      <w:r w:rsidR="009B4881" w:rsidRPr="0067437A">
        <w:t xml:space="preserve"> the requested listing.</w:t>
      </w:r>
    </w:p>
    <w:p w:rsidR="00060313" w:rsidRPr="0067437A" w:rsidRDefault="006C7303" w:rsidP="00371A28">
      <w:pPr>
        <w:pStyle w:val="3-BodyText"/>
        <w:ind w:left="709"/>
        <w:rPr>
          <w:i/>
        </w:rPr>
      </w:pPr>
      <w:r w:rsidRPr="0067437A">
        <w:t xml:space="preserve">The </w:t>
      </w:r>
      <w:r w:rsidR="009B4881" w:rsidRPr="0067437A">
        <w:t xml:space="preserve">current </w:t>
      </w:r>
      <w:r w:rsidRPr="0067437A">
        <w:t xml:space="preserve">resubmission was made on the basis that dual combination therapy with an ERA and a PDE-5i </w:t>
      </w:r>
      <w:r w:rsidR="003A2CCE" w:rsidRPr="0067437A">
        <w:t>wa</w:t>
      </w:r>
      <w:r w:rsidRPr="0067437A">
        <w:t>s anticipated to be PBS listed in the near future</w:t>
      </w:r>
      <w:r w:rsidR="00B44977" w:rsidRPr="0067437A">
        <w:t>. Dual therapy</w:t>
      </w:r>
      <w:r w:rsidRPr="0067437A">
        <w:t xml:space="preserve"> was recommended by the PBAC in consideration of the PMR of PAH medicines at its November 2019 meeting</w:t>
      </w:r>
      <w:r w:rsidR="00684DE2" w:rsidRPr="0067437A">
        <w:t>, pending acceptable pri</w:t>
      </w:r>
      <w:r w:rsidR="00157ACD">
        <w:t>ce proposals from the relevant s</w:t>
      </w:r>
      <w:r w:rsidR="00684DE2" w:rsidRPr="0067437A">
        <w:t>ponsors</w:t>
      </w:r>
      <w:r w:rsidR="0067437A">
        <w:t xml:space="preserve">. </w:t>
      </w:r>
      <w:r w:rsidR="00183895" w:rsidRPr="0067437A">
        <w:t>As a result of the PMR, c</w:t>
      </w:r>
      <w:r w:rsidR="006E2E42" w:rsidRPr="0067437A">
        <w:t xml:space="preserve">ommencing 1 May 2020, </w:t>
      </w:r>
      <w:r w:rsidR="0012226B" w:rsidRPr="0067437A">
        <w:t>the restriction for PBS subsidised monotherapies for PAH (ERAs:</w:t>
      </w:r>
      <w:r w:rsidR="0047510D" w:rsidRPr="0067437A">
        <w:t xml:space="preserve"> </w:t>
      </w:r>
      <w:r w:rsidR="0012226B" w:rsidRPr="0067437A">
        <w:t>ambrisentan, bosentan and macitentan; and PDE-5i</w:t>
      </w:r>
      <w:r w:rsidR="009155BE">
        <w:t>’</w:t>
      </w:r>
      <w:r w:rsidR="0012226B" w:rsidRPr="0067437A">
        <w:t>s:</w:t>
      </w:r>
      <w:r w:rsidR="0047510D" w:rsidRPr="0067437A">
        <w:t xml:space="preserve"> </w:t>
      </w:r>
      <w:r w:rsidR="0012226B" w:rsidRPr="0067437A">
        <w:t>sildenafil and tadalafil) were extended to include patients with WHO FC II symptoms</w:t>
      </w:r>
      <w:r w:rsidR="0012226B" w:rsidRPr="0067437A">
        <w:rPr>
          <w:rStyle w:val="FootnoteReference"/>
        </w:rPr>
        <w:footnoteReference w:id="1"/>
      </w:r>
      <w:r w:rsidR="0012226B" w:rsidRPr="0067437A">
        <w:t>.</w:t>
      </w:r>
      <w:r w:rsidR="00B938F2" w:rsidRPr="0067437A">
        <w:rPr>
          <w:i/>
        </w:rPr>
        <w:t xml:space="preserve"> </w:t>
      </w:r>
    </w:p>
    <w:p w:rsidR="002E4F02" w:rsidRPr="0067437A" w:rsidRDefault="00060313" w:rsidP="003A43AA">
      <w:pPr>
        <w:pStyle w:val="3-BodyText"/>
        <w:ind w:left="709"/>
      </w:pPr>
      <w:r w:rsidRPr="0067437A">
        <w:t xml:space="preserve">Table </w:t>
      </w:r>
      <w:r w:rsidR="0044212F" w:rsidRPr="0067437A">
        <w:t xml:space="preserve">2 summarises the key outstanding </w:t>
      </w:r>
      <w:r w:rsidR="000B6B47" w:rsidRPr="0067437A">
        <w:t>matters of concern to the PBAC and how they are addressed in the resubmission</w:t>
      </w:r>
      <w:r w:rsidR="0044212F" w:rsidRPr="0067437A">
        <w:t>.</w:t>
      </w:r>
    </w:p>
    <w:p w:rsidR="000B6B47" w:rsidRPr="0067437A" w:rsidRDefault="005C25FF" w:rsidP="00665B7A">
      <w:pPr>
        <w:pStyle w:val="TableHeader"/>
        <w:keepNext/>
        <w:keepLines/>
      </w:pPr>
      <w:r w:rsidRPr="0067437A">
        <w:rPr>
          <w:rStyle w:val="CommentReference"/>
          <w:b/>
          <w:szCs w:val="24"/>
        </w:rPr>
        <w:lastRenderedPageBreak/>
        <w:t xml:space="preserve">Table </w:t>
      </w:r>
      <w:r w:rsidR="000307C6" w:rsidRPr="0067437A">
        <w:rPr>
          <w:rStyle w:val="CommentReference"/>
          <w:b/>
          <w:szCs w:val="24"/>
        </w:rPr>
        <w:t>2</w:t>
      </w:r>
      <w:r w:rsidRPr="0067437A">
        <w:rPr>
          <w:rStyle w:val="CommentReference"/>
          <w:b/>
          <w:szCs w:val="24"/>
        </w:rPr>
        <w:t>: Summary of key matters of concern</w:t>
      </w:r>
      <w:r w:rsidR="000B6B47" w:rsidRPr="0067437A">
        <w:rPr>
          <w:rStyle w:val="CommentReference"/>
          <w:b/>
          <w:szCs w:val="24"/>
        </w:rPr>
        <w:t xml:space="preserve"> </w:t>
      </w:r>
      <w:r w:rsidR="000B6B47" w:rsidRPr="0067437A">
        <w:rPr>
          <w:rStyle w:val="CommentReference"/>
          <w:b/>
          <w:szCs w:val="20"/>
        </w:rPr>
        <w:t>to the PBAC and how they are addressed in the resubmission</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2"/>
        <w:gridCol w:w="4394"/>
        <w:gridCol w:w="3168"/>
      </w:tblGrid>
      <w:tr w:rsidR="00B821B6" w:rsidRPr="0067437A" w:rsidTr="0044212F">
        <w:trPr>
          <w:cantSplit/>
          <w:tblHeader/>
        </w:trPr>
        <w:tc>
          <w:tcPr>
            <w:tcW w:w="787" w:type="pct"/>
            <w:vAlign w:val="center"/>
          </w:tcPr>
          <w:p w:rsidR="005C25FF" w:rsidRPr="0067437A" w:rsidRDefault="005C25FF" w:rsidP="00665B7A">
            <w:pPr>
              <w:pStyle w:val="In-tableHeading"/>
              <w:keepLines/>
              <w:rPr>
                <w:lang w:val="en-AU"/>
              </w:rPr>
            </w:pPr>
            <w:r w:rsidRPr="0067437A">
              <w:rPr>
                <w:lang w:val="en-AU"/>
              </w:rPr>
              <w:t>Component</w:t>
            </w:r>
          </w:p>
        </w:tc>
        <w:tc>
          <w:tcPr>
            <w:tcW w:w="2448" w:type="pct"/>
            <w:vAlign w:val="center"/>
          </w:tcPr>
          <w:p w:rsidR="005C25FF" w:rsidRPr="0067437A" w:rsidRDefault="005C25FF" w:rsidP="00665B7A">
            <w:pPr>
              <w:pStyle w:val="In-tableHeading"/>
              <w:keepLines/>
              <w:rPr>
                <w:lang w:val="en-AU"/>
              </w:rPr>
            </w:pPr>
            <w:r w:rsidRPr="0067437A">
              <w:rPr>
                <w:lang w:val="en-AU"/>
              </w:rPr>
              <w:t>Matter of concern</w:t>
            </w:r>
          </w:p>
        </w:tc>
        <w:tc>
          <w:tcPr>
            <w:tcW w:w="1765" w:type="pct"/>
            <w:vAlign w:val="center"/>
          </w:tcPr>
          <w:p w:rsidR="005C25FF" w:rsidRPr="0067437A" w:rsidRDefault="005C25FF" w:rsidP="00665B7A">
            <w:pPr>
              <w:pStyle w:val="In-tableHeading"/>
              <w:keepLines/>
              <w:rPr>
                <w:lang w:val="en-AU"/>
              </w:rPr>
            </w:pPr>
            <w:r w:rsidRPr="0067437A">
              <w:rPr>
                <w:lang w:val="en-AU"/>
              </w:rPr>
              <w:t>How the resubmission addresses it</w:t>
            </w:r>
          </w:p>
        </w:tc>
      </w:tr>
      <w:tr w:rsidR="00B821B6" w:rsidRPr="0067437A" w:rsidTr="0044212F">
        <w:trPr>
          <w:cantSplit/>
        </w:trPr>
        <w:tc>
          <w:tcPr>
            <w:tcW w:w="787" w:type="pct"/>
          </w:tcPr>
          <w:p w:rsidR="005C25FF" w:rsidRPr="0067437A" w:rsidRDefault="005C25FF" w:rsidP="00665B7A">
            <w:pPr>
              <w:pStyle w:val="TableText0"/>
              <w:keepLines/>
              <w:rPr>
                <w:highlight w:val="cyan"/>
              </w:rPr>
            </w:pPr>
            <w:r w:rsidRPr="0067437A">
              <w:t xml:space="preserve">Clinical </w:t>
            </w:r>
            <w:r w:rsidR="00381F28" w:rsidRPr="0067437A">
              <w:t xml:space="preserve">claim and </w:t>
            </w:r>
            <w:r w:rsidRPr="0067437A">
              <w:t>effectiveness</w:t>
            </w:r>
          </w:p>
        </w:tc>
        <w:tc>
          <w:tcPr>
            <w:tcW w:w="2448" w:type="pct"/>
          </w:tcPr>
          <w:p w:rsidR="00835E7A" w:rsidRPr="0067437A" w:rsidRDefault="00835E7A" w:rsidP="00665B7A">
            <w:pPr>
              <w:pStyle w:val="TableText0"/>
              <w:keepLines/>
              <w:rPr>
                <w:rFonts w:eastAsia="Times New Roman" w:cs="Arial"/>
                <w:bCs w:val="0"/>
                <w:snapToGrid w:val="0"/>
                <w:szCs w:val="20"/>
                <w:highlight w:val="cyan"/>
              </w:rPr>
            </w:pPr>
            <w:r w:rsidRPr="0067437A">
              <w:rPr>
                <w:rFonts w:eastAsia="Times New Roman" w:cs="Arial"/>
                <w:bCs w:val="0"/>
                <w:snapToGrid w:val="0"/>
                <w:szCs w:val="20"/>
              </w:rPr>
              <w:t>-</w:t>
            </w:r>
            <w:r w:rsidR="000D07AB" w:rsidRPr="0067437A">
              <w:rPr>
                <w:rFonts w:eastAsia="Times New Roman" w:cs="Arial"/>
                <w:bCs w:val="0"/>
                <w:snapToGrid w:val="0"/>
                <w:szCs w:val="20"/>
              </w:rPr>
              <w:t xml:space="preserve"> </w:t>
            </w:r>
            <w:r w:rsidR="00B72B6B" w:rsidRPr="0067437A">
              <w:rPr>
                <w:rFonts w:eastAsia="Times New Roman" w:cs="Arial"/>
                <w:bCs w:val="0"/>
                <w:snapToGrid w:val="0"/>
                <w:szCs w:val="20"/>
              </w:rPr>
              <w:t>The PBAC considered that treatment with selexipag was likely to be superior to placebo, but that the magnitude, and clinical relevance, of any benefit remained unclear (para 7.3, selexipag P</w:t>
            </w:r>
            <w:r w:rsidR="0096449E" w:rsidRPr="0067437A">
              <w:rPr>
                <w:rFonts w:eastAsia="Times New Roman" w:cs="Arial"/>
                <w:bCs w:val="0"/>
                <w:snapToGrid w:val="0"/>
                <w:szCs w:val="20"/>
              </w:rPr>
              <w:t>SD</w:t>
            </w:r>
            <w:r w:rsidR="00B72B6B" w:rsidRPr="0067437A">
              <w:rPr>
                <w:rFonts w:eastAsia="Times New Roman" w:cs="Arial"/>
                <w:bCs w:val="0"/>
                <w:snapToGrid w:val="0"/>
                <w:szCs w:val="20"/>
              </w:rPr>
              <w:t>, March 2017)</w:t>
            </w:r>
            <w:r w:rsidR="0044212F" w:rsidRPr="0067437A">
              <w:rPr>
                <w:rFonts w:eastAsia="Times New Roman" w:cs="Arial"/>
                <w:bCs w:val="0"/>
                <w:snapToGrid w:val="0"/>
                <w:szCs w:val="20"/>
              </w:rPr>
              <w:t>.</w:t>
            </w:r>
          </w:p>
          <w:p w:rsidR="00835E7A" w:rsidRPr="0067437A" w:rsidRDefault="00835E7A" w:rsidP="00665B7A">
            <w:pPr>
              <w:pStyle w:val="TableText0"/>
              <w:keepLines/>
              <w:rPr>
                <w:rFonts w:eastAsia="Times New Roman" w:cs="Arial"/>
                <w:bCs w:val="0"/>
                <w:snapToGrid w:val="0"/>
                <w:szCs w:val="20"/>
                <w:highlight w:val="cyan"/>
              </w:rPr>
            </w:pPr>
            <w:r w:rsidRPr="0067437A">
              <w:rPr>
                <w:rFonts w:eastAsia="Times New Roman" w:cs="Arial"/>
                <w:bCs w:val="0"/>
                <w:snapToGrid w:val="0"/>
                <w:szCs w:val="20"/>
              </w:rPr>
              <w:t>-</w:t>
            </w:r>
            <w:r w:rsidR="000D07AB" w:rsidRPr="0067437A">
              <w:rPr>
                <w:rFonts w:eastAsia="Times New Roman" w:cs="Arial"/>
                <w:bCs w:val="0"/>
                <w:snapToGrid w:val="0"/>
                <w:szCs w:val="20"/>
              </w:rPr>
              <w:t xml:space="preserve"> </w:t>
            </w:r>
            <w:r w:rsidRPr="0067437A">
              <w:rPr>
                <w:rFonts w:eastAsia="Times New Roman" w:cs="Arial"/>
                <w:bCs w:val="0"/>
                <w:snapToGrid w:val="0"/>
                <w:szCs w:val="20"/>
              </w:rPr>
              <w:t>The use of a composite outcome where death has the same clinical relevance as hospitalisation made the results difficult to interpret</w:t>
            </w:r>
            <w:r w:rsidR="00A30C81" w:rsidRPr="0067437A">
              <w:rPr>
                <w:rFonts w:eastAsia="Times New Roman" w:cs="Arial"/>
                <w:bCs w:val="0"/>
                <w:snapToGrid w:val="0"/>
                <w:szCs w:val="20"/>
              </w:rPr>
              <w:t xml:space="preserve"> (</w:t>
            </w:r>
            <w:r w:rsidR="00D4038C" w:rsidRPr="0067437A">
              <w:rPr>
                <w:rFonts w:eastAsia="Times New Roman" w:cs="Arial"/>
                <w:bCs w:val="0"/>
                <w:snapToGrid w:val="0"/>
                <w:szCs w:val="20"/>
              </w:rPr>
              <w:t>para 7.5, selexipag PSD, March 2016)</w:t>
            </w:r>
          </w:p>
        </w:tc>
        <w:tc>
          <w:tcPr>
            <w:tcW w:w="1765" w:type="pct"/>
          </w:tcPr>
          <w:p w:rsidR="005C25FF" w:rsidRPr="0067437A" w:rsidRDefault="00B72B6B" w:rsidP="00665B7A">
            <w:pPr>
              <w:pStyle w:val="TableText0"/>
              <w:keepLines/>
              <w:rPr>
                <w:rFonts w:eastAsia="Times New Roman" w:cs="Arial"/>
                <w:bCs w:val="0"/>
                <w:snapToGrid w:val="0"/>
                <w:szCs w:val="20"/>
              </w:rPr>
            </w:pPr>
            <w:r w:rsidRPr="0067437A">
              <w:rPr>
                <w:rFonts w:eastAsia="Times New Roman" w:cs="Arial"/>
                <w:bCs w:val="0"/>
                <w:snapToGrid w:val="0"/>
                <w:szCs w:val="20"/>
              </w:rPr>
              <w:t>Results from a new publication (McLaughlin et al., 2018) were presented that investigated the impact of morbidity events on subsequent mortality risk using the landmark method.</w:t>
            </w:r>
          </w:p>
        </w:tc>
      </w:tr>
      <w:tr w:rsidR="00B821B6" w:rsidRPr="0067437A" w:rsidTr="0044212F">
        <w:trPr>
          <w:cantSplit/>
        </w:trPr>
        <w:tc>
          <w:tcPr>
            <w:tcW w:w="787" w:type="pct"/>
          </w:tcPr>
          <w:p w:rsidR="00931BE1" w:rsidRPr="0067437A" w:rsidRDefault="00381F28" w:rsidP="00665B7A">
            <w:pPr>
              <w:pStyle w:val="TableText0"/>
              <w:keepLines/>
              <w:rPr>
                <w:highlight w:val="cyan"/>
              </w:rPr>
            </w:pPr>
            <w:r w:rsidRPr="0067437A">
              <w:t xml:space="preserve">Clinical claim and effectiveness in </w:t>
            </w:r>
            <w:r w:rsidR="006C5E5B" w:rsidRPr="0067437A">
              <w:t xml:space="preserve">the </w:t>
            </w:r>
            <w:r w:rsidRPr="0067437A">
              <w:t>proposed PBS population</w:t>
            </w:r>
          </w:p>
        </w:tc>
        <w:tc>
          <w:tcPr>
            <w:tcW w:w="2448" w:type="pct"/>
          </w:tcPr>
          <w:p w:rsidR="00931BE1" w:rsidRPr="0067437A" w:rsidRDefault="000D07AB" w:rsidP="00665B7A">
            <w:pPr>
              <w:pStyle w:val="TableText0"/>
              <w:keepLines/>
              <w:rPr>
                <w:rFonts w:eastAsia="Times New Roman" w:cs="Arial"/>
                <w:bCs w:val="0"/>
                <w:snapToGrid w:val="0"/>
                <w:szCs w:val="20"/>
                <w:highlight w:val="cyan"/>
              </w:rPr>
            </w:pPr>
            <w:r w:rsidRPr="0067437A">
              <w:rPr>
                <w:rFonts w:eastAsia="Times New Roman" w:cs="Arial"/>
                <w:bCs w:val="0"/>
                <w:snapToGrid w:val="0"/>
                <w:szCs w:val="20"/>
              </w:rPr>
              <w:t xml:space="preserve">- </w:t>
            </w:r>
            <w:r w:rsidR="00381F28" w:rsidRPr="0067437A">
              <w:rPr>
                <w:rFonts w:eastAsia="Times New Roman" w:cs="Arial"/>
                <w:bCs w:val="0"/>
                <w:snapToGrid w:val="0"/>
                <w:szCs w:val="20"/>
              </w:rPr>
              <w:t>The ITT population did not reflect the proposed PBS reimbursed population in terms of WHO FC or PAH therapy at baseline (para 6.19, selexipag PSD, March 2017)</w:t>
            </w:r>
          </w:p>
        </w:tc>
        <w:tc>
          <w:tcPr>
            <w:tcW w:w="1765" w:type="pct"/>
          </w:tcPr>
          <w:p w:rsidR="00931BE1" w:rsidRPr="0067437A" w:rsidRDefault="00381F28" w:rsidP="00665B7A">
            <w:pPr>
              <w:pStyle w:val="TableText0"/>
              <w:keepLines/>
              <w:rPr>
                <w:rFonts w:eastAsia="Times New Roman" w:cs="Arial"/>
                <w:bCs w:val="0"/>
                <w:snapToGrid w:val="0"/>
                <w:szCs w:val="20"/>
                <w:highlight w:val="cyan"/>
              </w:rPr>
            </w:pPr>
            <w:r w:rsidRPr="0067437A">
              <w:rPr>
                <w:rFonts w:eastAsia="Times New Roman" w:cs="Arial"/>
                <w:bCs w:val="0"/>
                <w:snapToGrid w:val="0"/>
                <w:szCs w:val="20"/>
              </w:rPr>
              <w:t xml:space="preserve">Post-hoc analyses of the GRIPHON trial stratified by subgroups (Coghlan et al., 2018a). Composite outcome results for patients receiving dual therapy (ERA + PDE-5i) were presented in WHO FC II and III patients. </w:t>
            </w:r>
          </w:p>
        </w:tc>
      </w:tr>
      <w:tr w:rsidR="00B821B6" w:rsidRPr="0067437A" w:rsidTr="0044212F">
        <w:trPr>
          <w:cantSplit/>
        </w:trPr>
        <w:tc>
          <w:tcPr>
            <w:tcW w:w="787" w:type="pct"/>
          </w:tcPr>
          <w:p w:rsidR="00334F4B" w:rsidRPr="0067437A" w:rsidRDefault="00334F4B" w:rsidP="00665B7A">
            <w:pPr>
              <w:pStyle w:val="TableText0"/>
              <w:keepLines/>
            </w:pPr>
            <w:r w:rsidRPr="0067437A">
              <w:t>Economic model / cost effectiveness</w:t>
            </w:r>
          </w:p>
        </w:tc>
        <w:tc>
          <w:tcPr>
            <w:tcW w:w="2448" w:type="pct"/>
          </w:tcPr>
          <w:p w:rsidR="00334F4B" w:rsidRPr="0067437A" w:rsidRDefault="00334F4B" w:rsidP="00665B7A">
            <w:pPr>
              <w:pStyle w:val="TableText0"/>
              <w:keepLines/>
              <w:rPr>
                <w:rFonts w:eastAsia="Times New Roman" w:cs="Arial"/>
                <w:bCs w:val="0"/>
                <w:snapToGrid w:val="0"/>
                <w:szCs w:val="20"/>
              </w:rPr>
            </w:pPr>
            <w:r w:rsidRPr="0067437A">
              <w:rPr>
                <w:rFonts w:eastAsia="Times New Roman" w:cs="Arial"/>
                <w:bCs w:val="0"/>
                <w:snapToGrid w:val="0"/>
                <w:szCs w:val="20"/>
              </w:rPr>
              <w:t>-</w:t>
            </w:r>
            <w:r w:rsidR="000D07AB" w:rsidRPr="0067437A">
              <w:rPr>
                <w:rFonts w:eastAsia="Times New Roman" w:cs="Arial"/>
                <w:bCs w:val="0"/>
                <w:snapToGrid w:val="0"/>
                <w:szCs w:val="20"/>
              </w:rPr>
              <w:t xml:space="preserve"> </w:t>
            </w:r>
            <w:r w:rsidRPr="0067437A">
              <w:rPr>
                <w:rFonts w:eastAsia="Times New Roman" w:cs="Arial"/>
                <w:bCs w:val="0"/>
                <w:snapToGrid w:val="0"/>
                <w:szCs w:val="20"/>
              </w:rPr>
              <w:t>ICERs appeared high and difficult to interpret in the context of unclear clinical importance of MM outcome (para 7.1, selexipag PSD, March 2016 and para 7.1 selexipag PSD, March 2017)</w:t>
            </w:r>
          </w:p>
          <w:p w:rsidR="00334F4B" w:rsidRPr="0067437A" w:rsidRDefault="00334F4B" w:rsidP="00665B7A">
            <w:pPr>
              <w:pStyle w:val="TableText0"/>
              <w:keepLines/>
              <w:rPr>
                <w:rFonts w:eastAsia="Times New Roman" w:cs="Arial"/>
                <w:bCs w:val="0"/>
                <w:snapToGrid w:val="0"/>
                <w:szCs w:val="20"/>
              </w:rPr>
            </w:pPr>
            <w:r w:rsidRPr="0067437A">
              <w:rPr>
                <w:rFonts w:eastAsia="Times New Roman" w:cs="Arial"/>
                <w:bCs w:val="0"/>
                <w:snapToGrid w:val="0"/>
                <w:szCs w:val="20"/>
              </w:rPr>
              <w:t>-</w:t>
            </w:r>
            <w:r w:rsidR="000D07AB" w:rsidRPr="0067437A">
              <w:rPr>
                <w:rFonts w:eastAsia="Times New Roman" w:cs="Arial"/>
                <w:bCs w:val="0"/>
                <w:snapToGrid w:val="0"/>
                <w:szCs w:val="20"/>
              </w:rPr>
              <w:t xml:space="preserve"> </w:t>
            </w:r>
            <w:r w:rsidRPr="0067437A">
              <w:rPr>
                <w:rFonts w:eastAsia="Times New Roman" w:cs="Arial"/>
                <w:bCs w:val="0"/>
                <w:snapToGrid w:val="0"/>
                <w:szCs w:val="20"/>
              </w:rPr>
              <w:t xml:space="preserve">PBAC considered that the best estimate of cost-effectiveness would come from a formal cost-utility analysis (para 7.9, selexipag PSD, March 2016)  </w:t>
            </w:r>
          </w:p>
          <w:p w:rsidR="00A30C81" w:rsidRPr="0067437A" w:rsidRDefault="00A30C81" w:rsidP="00665B7A">
            <w:pPr>
              <w:pStyle w:val="TableText0"/>
              <w:keepLines/>
              <w:rPr>
                <w:rFonts w:eastAsia="Times New Roman" w:cs="Arial"/>
                <w:bCs w:val="0"/>
                <w:snapToGrid w:val="0"/>
                <w:szCs w:val="20"/>
              </w:rPr>
            </w:pPr>
            <w:r w:rsidRPr="0067437A">
              <w:rPr>
                <w:rFonts w:eastAsia="Times New Roman" w:cs="Arial"/>
                <w:bCs w:val="0"/>
                <w:snapToGrid w:val="0"/>
                <w:szCs w:val="20"/>
              </w:rPr>
              <w:t>-</w:t>
            </w:r>
            <w:r w:rsidR="000D07AB" w:rsidRPr="0067437A">
              <w:rPr>
                <w:rFonts w:eastAsia="Times New Roman" w:cs="Arial"/>
                <w:bCs w:val="0"/>
                <w:snapToGrid w:val="0"/>
                <w:szCs w:val="20"/>
              </w:rPr>
              <w:t xml:space="preserve"> </w:t>
            </w:r>
            <w:r w:rsidRPr="0067437A">
              <w:rPr>
                <w:rFonts w:eastAsia="Times New Roman" w:cs="Arial"/>
                <w:bCs w:val="0"/>
                <w:snapToGrid w:val="0"/>
                <w:szCs w:val="20"/>
              </w:rPr>
              <w:t>Trial-based analysis did not reflect the li</w:t>
            </w:r>
            <w:r w:rsidR="003B1C12" w:rsidRPr="0067437A">
              <w:rPr>
                <w:rFonts w:eastAsia="Times New Roman" w:cs="Arial"/>
                <w:bCs w:val="0"/>
                <w:snapToGrid w:val="0"/>
                <w:szCs w:val="20"/>
              </w:rPr>
              <w:t>fe</w:t>
            </w:r>
            <w:r w:rsidRPr="0067437A">
              <w:rPr>
                <w:rFonts w:eastAsia="Times New Roman" w:cs="Arial"/>
                <w:bCs w:val="0"/>
                <w:snapToGrid w:val="0"/>
                <w:szCs w:val="20"/>
              </w:rPr>
              <w:t>-long nature of PAH (para 7.7, selexipag PSD, March 2016)</w:t>
            </w:r>
          </w:p>
        </w:tc>
        <w:tc>
          <w:tcPr>
            <w:tcW w:w="1765" w:type="pct"/>
          </w:tcPr>
          <w:p w:rsidR="00334F4B" w:rsidRPr="0067437A" w:rsidRDefault="00DE5AED" w:rsidP="00665B7A">
            <w:pPr>
              <w:pStyle w:val="TableText0"/>
              <w:keepLines/>
              <w:rPr>
                <w:rFonts w:eastAsia="Times New Roman" w:cs="Arial"/>
                <w:bCs w:val="0"/>
                <w:snapToGrid w:val="0"/>
                <w:szCs w:val="20"/>
              </w:rPr>
            </w:pPr>
            <w:r w:rsidRPr="0067437A">
              <w:rPr>
                <w:rFonts w:eastAsia="Times New Roman" w:cs="Arial"/>
                <w:bCs w:val="0"/>
                <w:snapToGrid w:val="0"/>
                <w:szCs w:val="20"/>
              </w:rPr>
              <w:t>A new a c</w:t>
            </w:r>
            <w:r w:rsidR="00334F4B" w:rsidRPr="0067437A">
              <w:rPr>
                <w:rFonts w:eastAsia="Times New Roman" w:cs="Arial"/>
                <w:bCs w:val="0"/>
                <w:snapToGrid w:val="0"/>
                <w:szCs w:val="20"/>
              </w:rPr>
              <w:t>ost utility analysis</w:t>
            </w:r>
            <w:r w:rsidR="00877800" w:rsidRPr="0067437A">
              <w:rPr>
                <w:rFonts w:eastAsia="Times New Roman" w:cs="Arial"/>
                <w:bCs w:val="0"/>
                <w:snapToGrid w:val="0"/>
                <w:szCs w:val="20"/>
              </w:rPr>
              <w:t xml:space="preserve"> was presented based</w:t>
            </w:r>
            <w:r w:rsidR="00C404E3" w:rsidRPr="0067437A">
              <w:rPr>
                <w:rFonts w:eastAsia="Times New Roman" w:cs="Arial"/>
                <w:bCs w:val="0"/>
                <w:snapToGrid w:val="0"/>
                <w:szCs w:val="20"/>
              </w:rPr>
              <w:t xml:space="preserve"> on</w:t>
            </w:r>
            <w:r w:rsidR="00877800" w:rsidRPr="0067437A">
              <w:rPr>
                <w:rFonts w:eastAsia="Times New Roman" w:cs="Arial"/>
                <w:bCs w:val="0"/>
                <w:snapToGrid w:val="0"/>
                <w:szCs w:val="20"/>
              </w:rPr>
              <w:t xml:space="preserve"> results of GRIPHON trial subgroup with WHO FC III PAH on dual therapy with an ERA and a PDE</w:t>
            </w:r>
            <w:r w:rsidR="009155BE">
              <w:rPr>
                <w:rFonts w:eastAsia="Times New Roman" w:cs="Arial"/>
                <w:bCs w:val="0"/>
                <w:snapToGrid w:val="0"/>
                <w:szCs w:val="20"/>
              </w:rPr>
              <w:t>-</w:t>
            </w:r>
            <w:r w:rsidR="00877800" w:rsidRPr="0067437A">
              <w:rPr>
                <w:rFonts w:eastAsia="Times New Roman" w:cs="Arial"/>
                <w:bCs w:val="0"/>
                <w:snapToGrid w:val="0"/>
                <w:szCs w:val="20"/>
              </w:rPr>
              <w:t>5i at baseline.</w:t>
            </w:r>
            <w:r w:rsidR="00B72B6B" w:rsidRPr="0067437A">
              <w:rPr>
                <w:rFonts w:eastAsia="Times New Roman" w:cs="Arial"/>
                <w:bCs w:val="0"/>
                <w:snapToGrid w:val="0"/>
                <w:szCs w:val="20"/>
              </w:rPr>
              <w:t xml:space="preserve"> Results presented as costs per QALY gained</w:t>
            </w:r>
            <w:r w:rsidR="00877800" w:rsidRPr="0067437A">
              <w:rPr>
                <w:rFonts w:eastAsia="Times New Roman" w:cs="Arial"/>
                <w:bCs w:val="0"/>
                <w:snapToGrid w:val="0"/>
                <w:szCs w:val="20"/>
              </w:rPr>
              <w:t xml:space="preserve"> in the model.</w:t>
            </w:r>
          </w:p>
        </w:tc>
      </w:tr>
    </w:tbl>
    <w:p w:rsidR="000B4BEB" w:rsidRPr="0067437A" w:rsidRDefault="0096449E" w:rsidP="00665B7A">
      <w:pPr>
        <w:pStyle w:val="TableFigureFooter"/>
        <w:keepNext/>
        <w:keepLines/>
      </w:pPr>
      <w:r w:rsidRPr="0067437A">
        <w:t xml:space="preserve">ERA = endothelin receptor antagonist; FC = functional class; </w:t>
      </w:r>
      <w:r w:rsidR="00B72B6B" w:rsidRPr="0067437A">
        <w:t xml:space="preserve">ICER = incremental cost effectiveness ratio; </w:t>
      </w:r>
      <w:r w:rsidRPr="0067437A">
        <w:t xml:space="preserve">ITT = intention-to-treat; MM = morbidity/mortality; PAH = pulmonary arterial hypertension; PBAC = Pharmaceutical Benefits Advisory Committee; PBS = Pharmaceutical Benefits Scheme; PDE-5i = phosphodiesterase type 5 inhibitor; PSD = Public Summary Document; </w:t>
      </w:r>
      <w:r w:rsidR="00B72B6B" w:rsidRPr="0067437A">
        <w:t xml:space="preserve">QALY = quality adjusted life year; </w:t>
      </w:r>
      <w:r w:rsidR="00381F28" w:rsidRPr="0067437A">
        <w:t xml:space="preserve">WHO = World Health Organisation </w:t>
      </w:r>
    </w:p>
    <w:p w:rsidR="00B72B6B" w:rsidRPr="0067437A" w:rsidRDefault="000B4BEB" w:rsidP="00665B7A">
      <w:pPr>
        <w:pStyle w:val="TableFigureFooter"/>
        <w:keepNext/>
        <w:keepLines/>
      </w:pPr>
      <w:r w:rsidRPr="0067437A">
        <w:t>Source: compiled during the evaluation based on information presented in Table 1.6, pp40-44 of the resubmission and the past PBAC minutes</w:t>
      </w:r>
    </w:p>
    <w:p w:rsidR="00B60939" w:rsidRPr="0067437A" w:rsidRDefault="00B50DB8" w:rsidP="00B91726">
      <w:pPr>
        <w:pStyle w:val="2-SectionHeading"/>
      </w:pPr>
      <w:bookmarkStart w:id="9" w:name="_Toc40866413"/>
      <w:r w:rsidRPr="0067437A">
        <w:t>Requested listing</w:t>
      </w:r>
      <w:bookmarkEnd w:id="9"/>
    </w:p>
    <w:p w:rsidR="00D3649E" w:rsidRPr="0067437A" w:rsidRDefault="006312EB" w:rsidP="00D3649E">
      <w:pPr>
        <w:pStyle w:val="3-BodyText"/>
        <w:ind w:left="709"/>
      </w:pPr>
      <w:r w:rsidRPr="0067437A">
        <w:t>The requested listing is presented below</w:t>
      </w:r>
      <w:r w:rsidRPr="0067437A">
        <w:rPr>
          <w:i/>
        </w:rPr>
        <w:t xml:space="preserve">. </w:t>
      </w:r>
    </w:p>
    <w:tbl>
      <w:tblPr>
        <w:tblW w:w="4977" w:type="pct"/>
        <w:tblInd w:w="28" w:type="dxa"/>
        <w:tblCellMar>
          <w:left w:w="28" w:type="dxa"/>
          <w:right w:w="28" w:type="dxa"/>
        </w:tblCellMar>
        <w:tblLook w:val="0000" w:firstRow="0" w:lastRow="0" w:firstColumn="0" w:lastColumn="0" w:noHBand="0" w:noVBand="0"/>
      </w:tblPr>
      <w:tblGrid>
        <w:gridCol w:w="1533"/>
        <w:gridCol w:w="1276"/>
        <w:gridCol w:w="1276"/>
        <w:gridCol w:w="848"/>
        <w:gridCol w:w="1905"/>
        <w:gridCol w:w="2147"/>
      </w:tblGrid>
      <w:tr w:rsidR="003517F9" w:rsidRPr="0067437A" w:rsidTr="00B94F5E">
        <w:trPr>
          <w:cantSplit/>
          <w:trHeight w:val="463"/>
        </w:trPr>
        <w:tc>
          <w:tcPr>
            <w:tcW w:w="1563" w:type="pct"/>
            <w:gridSpan w:val="2"/>
            <w:tcBorders>
              <w:top w:val="single" w:sz="4" w:space="0" w:color="auto"/>
              <w:bottom w:val="single" w:sz="4" w:space="0" w:color="auto"/>
            </w:tcBorders>
            <w:vAlign w:val="center"/>
          </w:tcPr>
          <w:p w:rsidR="00617E12" w:rsidRPr="0067437A" w:rsidRDefault="00617E12" w:rsidP="00665B7A">
            <w:pPr>
              <w:jc w:val="left"/>
              <w:rPr>
                <w:rFonts w:ascii="Arial Narrow" w:hAnsi="Arial Narrow"/>
                <w:b/>
                <w:sz w:val="20"/>
                <w:szCs w:val="20"/>
              </w:rPr>
            </w:pPr>
            <w:r w:rsidRPr="0067437A">
              <w:rPr>
                <w:rFonts w:ascii="Arial Narrow" w:hAnsi="Arial Narrow"/>
                <w:b/>
                <w:sz w:val="20"/>
                <w:szCs w:val="20"/>
              </w:rPr>
              <w:t>Name, Restriction,</w:t>
            </w:r>
          </w:p>
          <w:p w:rsidR="00617E12" w:rsidRPr="0067437A" w:rsidRDefault="00617E12" w:rsidP="00665B7A">
            <w:pPr>
              <w:jc w:val="left"/>
              <w:rPr>
                <w:rFonts w:ascii="Arial Narrow" w:hAnsi="Arial Narrow"/>
                <w:b/>
                <w:sz w:val="20"/>
                <w:szCs w:val="20"/>
              </w:rPr>
            </w:pPr>
            <w:r w:rsidRPr="0067437A">
              <w:rPr>
                <w:rFonts w:ascii="Arial Narrow" w:hAnsi="Arial Narrow"/>
                <w:b/>
                <w:sz w:val="20"/>
                <w:szCs w:val="20"/>
              </w:rPr>
              <w:t>Manner of administration and form</w:t>
            </w:r>
          </w:p>
        </w:tc>
        <w:tc>
          <w:tcPr>
            <w:tcW w:w="710" w:type="pct"/>
            <w:tcBorders>
              <w:top w:val="single" w:sz="4" w:space="0" w:color="auto"/>
              <w:bottom w:val="single" w:sz="4" w:space="0" w:color="auto"/>
            </w:tcBorders>
            <w:vAlign w:val="center"/>
          </w:tcPr>
          <w:p w:rsidR="00617E12" w:rsidRPr="0067437A" w:rsidRDefault="00617E12" w:rsidP="00665B7A">
            <w:pPr>
              <w:jc w:val="center"/>
              <w:rPr>
                <w:rFonts w:ascii="Arial Narrow" w:hAnsi="Arial Narrow"/>
                <w:b/>
                <w:sz w:val="20"/>
                <w:szCs w:val="20"/>
              </w:rPr>
            </w:pPr>
            <w:r w:rsidRPr="0067437A">
              <w:rPr>
                <w:rFonts w:ascii="Arial Narrow" w:hAnsi="Arial Narrow"/>
                <w:b/>
                <w:sz w:val="20"/>
                <w:szCs w:val="20"/>
              </w:rPr>
              <w:t>Max.</w:t>
            </w:r>
          </w:p>
          <w:p w:rsidR="00617E12" w:rsidRPr="0067437A" w:rsidRDefault="00617E12" w:rsidP="00665B7A">
            <w:pPr>
              <w:jc w:val="center"/>
              <w:rPr>
                <w:rFonts w:ascii="Arial Narrow" w:hAnsi="Arial Narrow"/>
                <w:b/>
                <w:sz w:val="20"/>
                <w:szCs w:val="20"/>
              </w:rPr>
            </w:pPr>
            <w:r w:rsidRPr="0067437A">
              <w:rPr>
                <w:rFonts w:ascii="Arial Narrow" w:hAnsi="Arial Narrow"/>
                <w:b/>
                <w:sz w:val="20"/>
                <w:szCs w:val="20"/>
              </w:rPr>
              <w:t>Qty</w:t>
            </w:r>
          </w:p>
        </w:tc>
        <w:tc>
          <w:tcPr>
            <w:tcW w:w="472" w:type="pct"/>
            <w:tcBorders>
              <w:top w:val="single" w:sz="4" w:space="0" w:color="auto"/>
              <w:bottom w:val="single" w:sz="4" w:space="0" w:color="auto"/>
            </w:tcBorders>
            <w:vAlign w:val="center"/>
          </w:tcPr>
          <w:p w:rsidR="00617E12" w:rsidRPr="0067437A" w:rsidRDefault="00617E12" w:rsidP="00665B7A">
            <w:pPr>
              <w:jc w:val="center"/>
              <w:rPr>
                <w:rFonts w:ascii="Arial Narrow" w:hAnsi="Arial Narrow"/>
                <w:b/>
                <w:sz w:val="20"/>
                <w:szCs w:val="20"/>
              </w:rPr>
            </w:pPr>
            <w:r w:rsidRPr="0067437A">
              <w:rPr>
                <w:rFonts w:ascii="Arial Narrow" w:hAnsi="Arial Narrow" w:cs="Times New Roman"/>
                <w:b/>
                <w:sz w:val="20"/>
                <w:szCs w:val="20"/>
              </w:rPr>
              <w:t>№</w:t>
            </w:r>
            <w:r w:rsidRPr="0067437A">
              <w:rPr>
                <w:rFonts w:ascii="Arial Narrow" w:hAnsi="Arial Narrow"/>
                <w:b/>
                <w:sz w:val="20"/>
                <w:szCs w:val="20"/>
              </w:rPr>
              <w:t>.of</w:t>
            </w:r>
          </w:p>
          <w:p w:rsidR="00617E12" w:rsidRPr="0067437A" w:rsidRDefault="00617E12" w:rsidP="00665B7A">
            <w:pPr>
              <w:jc w:val="center"/>
              <w:rPr>
                <w:rFonts w:ascii="Arial Narrow" w:hAnsi="Arial Narrow"/>
                <w:b/>
                <w:sz w:val="20"/>
                <w:szCs w:val="20"/>
              </w:rPr>
            </w:pPr>
            <w:r w:rsidRPr="0067437A">
              <w:rPr>
                <w:rFonts w:ascii="Arial Narrow" w:hAnsi="Arial Narrow"/>
                <w:b/>
                <w:sz w:val="20"/>
                <w:szCs w:val="20"/>
              </w:rPr>
              <w:t>Rpts</w:t>
            </w:r>
          </w:p>
        </w:tc>
        <w:tc>
          <w:tcPr>
            <w:tcW w:w="1060" w:type="pct"/>
            <w:tcBorders>
              <w:top w:val="single" w:sz="4" w:space="0" w:color="auto"/>
              <w:bottom w:val="single" w:sz="4" w:space="0" w:color="auto"/>
            </w:tcBorders>
            <w:vAlign w:val="center"/>
          </w:tcPr>
          <w:p w:rsidR="00617E12" w:rsidRPr="0067437A" w:rsidRDefault="00617E12" w:rsidP="00665B7A">
            <w:pPr>
              <w:jc w:val="center"/>
              <w:rPr>
                <w:rFonts w:ascii="Arial Narrow" w:hAnsi="Arial Narrow"/>
                <w:b/>
                <w:sz w:val="20"/>
                <w:szCs w:val="20"/>
              </w:rPr>
            </w:pPr>
            <w:r w:rsidRPr="0067437A">
              <w:rPr>
                <w:rFonts w:ascii="Arial Narrow" w:hAnsi="Arial Narrow"/>
                <w:b/>
                <w:sz w:val="20"/>
                <w:szCs w:val="20"/>
              </w:rPr>
              <w:t>Dispensed Price for Max. Qty</w:t>
            </w:r>
          </w:p>
        </w:tc>
        <w:tc>
          <w:tcPr>
            <w:tcW w:w="1195" w:type="pct"/>
            <w:tcBorders>
              <w:top w:val="single" w:sz="4" w:space="0" w:color="auto"/>
              <w:bottom w:val="single" w:sz="4" w:space="0" w:color="auto"/>
            </w:tcBorders>
            <w:vAlign w:val="center"/>
          </w:tcPr>
          <w:p w:rsidR="00617E12" w:rsidRPr="0067437A" w:rsidRDefault="00617E12" w:rsidP="00665B7A">
            <w:pPr>
              <w:jc w:val="center"/>
              <w:rPr>
                <w:rFonts w:ascii="Arial Narrow" w:hAnsi="Arial Narrow"/>
                <w:b/>
                <w:sz w:val="20"/>
                <w:szCs w:val="20"/>
              </w:rPr>
            </w:pPr>
            <w:r w:rsidRPr="0067437A">
              <w:rPr>
                <w:rFonts w:ascii="Arial Narrow" w:hAnsi="Arial Narrow"/>
                <w:b/>
                <w:sz w:val="20"/>
                <w:szCs w:val="20"/>
              </w:rPr>
              <w:t>Proprietary Name and Manufacturer</w:t>
            </w:r>
          </w:p>
        </w:tc>
      </w:tr>
      <w:tr w:rsidR="00BE5E3C" w:rsidRPr="0067437A" w:rsidTr="00B94F5E">
        <w:trPr>
          <w:cantSplit/>
          <w:trHeight w:val="463"/>
        </w:trPr>
        <w:tc>
          <w:tcPr>
            <w:tcW w:w="1563" w:type="pct"/>
            <w:gridSpan w:val="2"/>
            <w:tcBorders>
              <w:top w:val="single" w:sz="4" w:space="0" w:color="auto"/>
              <w:bottom w:val="single" w:sz="4" w:space="0" w:color="auto"/>
            </w:tcBorders>
            <w:vAlign w:val="center"/>
          </w:tcPr>
          <w:p w:rsidR="00BE5E3C" w:rsidRPr="0067437A" w:rsidRDefault="00BE5E3C" w:rsidP="00665B7A">
            <w:pPr>
              <w:jc w:val="left"/>
              <w:rPr>
                <w:rFonts w:ascii="Arial Narrow" w:hAnsi="Arial Narrow"/>
                <w:sz w:val="20"/>
                <w:szCs w:val="20"/>
                <w:u w:val="single"/>
              </w:rPr>
            </w:pPr>
            <w:r w:rsidRPr="0067437A">
              <w:rPr>
                <w:rFonts w:ascii="Arial Narrow" w:hAnsi="Arial Narrow"/>
                <w:sz w:val="20"/>
                <w:szCs w:val="20"/>
                <w:u w:val="single"/>
              </w:rPr>
              <w:t>Initial treatment:</w:t>
            </w:r>
          </w:p>
          <w:p w:rsidR="00BE5E3C" w:rsidRPr="0067437A" w:rsidRDefault="00BE5E3C" w:rsidP="00665B7A">
            <w:pPr>
              <w:jc w:val="left"/>
              <w:rPr>
                <w:rFonts w:ascii="Arial Narrow" w:hAnsi="Arial Narrow"/>
                <w:sz w:val="20"/>
                <w:szCs w:val="20"/>
              </w:rPr>
            </w:pPr>
            <w:r w:rsidRPr="0067437A">
              <w:rPr>
                <w:rFonts w:ascii="Arial Narrow" w:hAnsi="Arial Narrow"/>
                <w:sz w:val="20"/>
                <w:szCs w:val="20"/>
              </w:rPr>
              <w:t>SEL</w:t>
            </w:r>
            <w:r w:rsidR="00744685" w:rsidRPr="0067437A">
              <w:rPr>
                <w:rFonts w:ascii="Arial Narrow" w:hAnsi="Arial Narrow"/>
                <w:sz w:val="20"/>
                <w:szCs w:val="20"/>
              </w:rPr>
              <w:t>E</w:t>
            </w:r>
            <w:r w:rsidRPr="0067437A">
              <w:rPr>
                <w:rFonts w:ascii="Arial Narrow" w:hAnsi="Arial Narrow"/>
                <w:sz w:val="20"/>
                <w:szCs w:val="20"/>
              </w:rPr>
              <w:t>XIPAG</w:t>
            </w:r>
          </w:p>
          <w:p w:rsidR="00BE5E3C" w:rsidRPr="0067437A" w:rsidRDefault="00BE5E3C" w:rsidP="00665B7A">
            <w:pPr>
              <w:jc w:val="left"/>
              <w:rPr>
                <w:rFonts w:ascii="Arial Narrow" w:hAnsi="Arial Narrow"/>
                <w:sz w:val="20"/>
                <w:szCs w:val="20"/>
              </w:rPr>
            </w:pPr>
            <w:r w:rsidRPr="0067437A">
              <w:rPr>
                <w:rFonts w:ascii="Arial Narrow" w:hAnsi="Arial Narrow"/>
                <w:sz w:val="20"/>
                <w:szCs w:val="20"/>
              </w:rPr>
              <w:t>Tablets 200mcg</w:t>
            </w:r>
          </w:p>
        </w:tc>
        <w:tc>
          <w:tcPr>
            <w:tcW w:w="710" w:type="pct"/>
            <w:tcBorders>
              <w:top w:val="single" w:sz="4" w:space="0" w:color="auto"/>
              <w:bottom w:val="single" w:sz="4" w:space="0" w:color="auto"/>
            </w:tcBorders>
          </w:tcPr>
          <w:p w:rsidR="00BE5E3C" w:rsidRPr="0067437A" w:rsidRDefault="00BE5E3C" w:rsidP="00665B7A">
            <w:pPr>
              <w:jc w:val="center"/>
              <w:rPr>
                <w:rFonts w:ascii="Arial Narrow" w:hAnsi="Arial Narrow"/>
                <w:sz w:val="20"/>
                <w:szCs w:val="20"/>
              </w:rPr>
            </w:pPr>
            <w:r w:rsidRPr="0067437A">
              <w:rPr>
                <w:rFonts w:ascii="Arial Narrow" w:hAnsi="Arial Narrow"/>
                <w:sz w:val="20"/>
                <w:szCs w:val="20"/>
              </w:rPr>
              <w:t>140</w:t>
            </w:r>
          </w:p>
        </w:tc>
        <w:tc>
          <w:tcPr>
            <w:tcW w:w="472" w:type="pct"/>
            <w:tcBorders>
              <w:top w:val="single" w:sz="4" w:space="0" w:color="auto"/>
              <w:bottom w:val="single" w:sz="4" w:space="0" w:color="auto"/>
            </w:tcBorders>
          </w:tcPr>
          <w:p w:rsidR="00BE5E3C" w:rsidRPr="0067437A" w:rsidRDefault="00BE5E3C" w:rsidP="00665B7A">
            <w:pPr>
              <w:jc w:val="center"/>
              <w:rPr>
                <w:rFonts w:ascii="Arial Narrow" w:hAnsi="Arial Narrow" w:cs="Times New Roman"/>
                <w:sz w:val="20"/>
                <w:szCs w:val="20"/>
              </w:rPr>
            </w:pPr>
            <w:r w:rsidRPr="0067437A">
              <w:rPr>
                <w:rFonts w:ascii="Arial Narrow" w:hAnsi="Arial Narrow" w:cs="Times New Roman"/>
                <w:sz w:val="20"/>
                <w:szCs w:val="20"/>
              </w:rPr>
              <w:t>2</w:t>
            </w:r>
          </w:p>
        </w:tc>
        <w:tc>
          <w:tcPr>
            <w:tcW w:w="1060" w:type="pct"/>
            <w:tcBorders>
              <w:top w:val="single" w:sz="4" w:space="0" w:color="auto"/>
              <w:bottom w:val="single" w:sz="4" w:space="0" w:color="auto"/>
            </w:tcBorders>
          </w:tcPr>
          <w:p w:rsidR="00BE5E3C" w:rsidRPr="0067437A" w:rsidRDefault="00BE5E3C" w:rsidP="00665B7A">
            <w:pPr>
              <w:pStyle w:val="Tabletext"/>
              <w:rPr>
                <w:szCs w:val="20"/>
              </w:rPr>
            </w:pPr>
            <w:r w:rsidRPr="0067437A">
              <w:rPr>
                <w:szCs w:val="20"/>
              </w:rPr>
              <w:t>$</w:t>
            </w:r>
            <w:r w:rsidR="00B24936">
              <w:rPr>
                <w:noProof/>
                <w:color w:val="000000"/>
                <w:szCs w:val="20"/>
                <w:highlight w:val="black"/>
              </w:rPr>
              <w:t>''''''''''''''''''''</w:t>
            </w:r>
            <w:r w:rsidRPr="0067437A">
              <w:rPr>
                <w:szCs w:val="20"/>
              </w:rPr>
              <w:t xml:space="preserve"> (public)</w:t>
            </w:r>
          </w:p>
          <w:p w:rsidR="005A0F86" w:rsidRPr="0067437A" w:rsidRDefault="00BE5E3C" w:rsidP="00665B7A">
            <w:pPr>
              <w:pStyle w:val="Tabletext"/>
              <w:rPr>
                <w:szCs w:val="20"/>
              </w:rPr>
            </w:pPr>
            <w:r w:rsidRPr="0067437A">
              <w:rPr>
                <w:szCs w:val="20"/>
              </w:rPr>
              <w:t>$</w:t>
            </w:r>
            <w:r w:rsidR="00B24936">
              <w:rPr>
                <w:noProof/>
                <w:color w:val="000000"/>
                <w:szCs w:val="20"/>
                <w:highlight w:val="black"/>
              </w:rPr>
              <w:t>''''''''''''''''''''</w:t>
            </w:r>
            <w:r w:rsidRPr="0067437A">
              <w:rPr>
                <w:szCs w:val="20"/>
              </w:rPr>
              <w:t xml:space="preserve"> (private)</w:t>
            </w:r>
          </w:p>
        </w:tc>
        <w:tc>
          <w:tcPr>
            <w:tcW w:w="1195" w:type="pct"/>
            <w:tcBorders>
              <w:top w:val="single" w:sz="4" w:space="0" w:color="auto"/>
              <w:left w:val="nil"/>
              <w:bottom w:val="single" w:sz="4" w:space="0" w:color="auto"/>
            </w:tcBorders>
          </w:tcPr>
          <w:p w:rsidR="00BE5E3C" w:rsidRPr="0067437A" w:rsidRDefault="00BE5E3C" w:rsidP="00665B7A">
            <w:pPr>
              <w:jc w:val="center"/>
              <w:rPr>
                <w:rFonts w:ascii="Arial Narrow" w:hAnsi="Arial Narrow"/>
                <w:sz w:val="20"/>
                <w:szCs w:val="20"/>
              </w:rPr>
            </w:pPr>
            <w:r w:rsidRPr="0067437A">
              <w:rPr>
                <w:rFonts w:ascii="Arial Narrow" w:hAnsi="Arial Narrow"/>
                <w:sz w:val="20"/>
                <w:szCs w:val="20"/>
              </w:rPr>
              <w:t>UPTRAVI®</w:t>
            </w:r>
          </w:p>
          <w:p w:rsidR="00BE5E3C" w:rsidRPr="0067437A" w:rsidRDefault="00BE5E3C" w:rsidP="00665B7A">
            <w:pPr>
              <w:jc w:val="center"/>
              <w:rPr>
                <w:rFonts w:ascii="Arial Narrow" w:hAnsi="Arial Narrow"/>
                <w:sz w:val="20"/>
                <w:szCs w:val="20"/>
              </w:rPr>
            </w:pPr>
            <w:r w:rsidRPr="0067437A">
              <w:rPr>
                <w:rFonts w:ascii="Arial Narrow" w:hAnsi="Arial Narrow"/>
                <w:sz w:val="20"/>
                <w:szCs w:val="20"/>
              </w:rPr>
              <w:t>Janssen Cilag Pty Ltd</w:t>
            </w:r>
          </w:p>
        </w:tc>
      </w:tr>
      <w:tr w:rsidR="00BE5E3C" w:rsidRPr="0067437A" w:rsidTr="00665B7A">
        <w:trPr>
          <w:cantSplit/>
          <w:trHeight w:val="463"/>
        </w:trPr>
        <w:tc>
          <w:tcPr>
            <w:tcW w:w="1563" w:type="pct"/>
            <w:gridSpan w:val="2"/>
            <w:tcBorders>
              <w:top w:val="single" w:sz="4" w:space="0" w:color="auto"/>
              <w:bottom w:val="single" w:sz="4" w:space="0" w:color="auto"/>
            </w:tcBorders>
          </w:tcPr>
          <w:p w:rsidR="00BE5E3C" w:rsidRPr="0067437A" w:rsidRDefault="00BE5E3C" w:rsidP="00665B7A">
            <w:pPr>
              <w:jc w:val="left"/>
              <w:rPr>
                <w:rFonts w:ascii="Arial Narrow" w:hAnsi="Arial Narrow"/>
                <w:sz w:val="20"/>
                <w:szCs w:val="20"/>
                <w:u w:val="single"/>
              </w:rPr>
            </w:pPr>
            <w:r w:rsidRPr="0067437A">
              <w:rPr>
                <w:rFonts w:ascii="Arial Narrow" w:hAnsi="Arial Narrow"/>
                <w:sz w:val="20"/>
                <w:szCs w:val="20"/>
                <w:u w:val="single"/>
              </w:rPr>
              <w:t>Initial treatment:</w:t>
            </w:r>
          </w:p>
          <w:p w:rsidR="00BE5E3C" w:rsidRPr="0067437A" w:rsidRDefault="00BE5E3C" w:rsidP="00665B7A">
            <w:pPr>
              <w:jc w:val="left"/>
              <w:rPr>
                <w:rFonts w:ascii="Arial Narrow" w:hAnsi="Arial Narrow"/>
                <w:sz w:val="20"/>
                <w:szCs w:val="20"/>
              </w:rPr>
            </w:pPr>
            <w:r w:rsidRPr="0067437A">
              <w:rPr>
                <w:rFonts w:ascii="Arial Narrow" w:hAnsi="Arial Narrow"/>
                <w:sz w:val="20"/>
                <w:szCs w:val="20"/>
              </w:rPr>
              <w:t xml:space="preserve">SELEXIPAG </w:t>
            </w:r>
          </w:p>
          <w:p w:rsidR="00BE5E3C" w:rsidRPr="0067437A" w:rsidRDefault="00BE5E3C" w:rsidP="00665B7A">
            <w:pPr>
              <w:jc w:val="left"/>
              <w:rPr>
                <w:rFonts w:ascii="Arial Narrow" w:hAnsi="Arial Narrow"/>
                <w:sz w:val="20"/>
                <w:szCs w:val="20"/>
              </w:rPr>
            </w:pPr>
            <w:r w:rsidRPr="0067437A">
              <w:rPr>
                <w:rFonts w:ascii="Arial Narrow" w:hAnsi="Arial Narrow"/>
                <w:sz w:val="20"/>
                <w:szCs w:val="20"/>
              </w:rPr>
              <w:t>Tablets 800mcg</w:t>
            </w:r>
          </w:p>
        </w:tc>
        <w:tc>
          <w:tcPr>
            <w:tcW w:w="710" w:type="pct"/>
            <w:tcBorders>
              <w:top w:val="single" w:sz="4" w:space="0" w:color="auto"/>
              <w:bottom w:val="single" w:sz="4" w:space="0" w:color="auto"/>
            </w:tcBorders>
          </w:tcPr>
          <w:p w:rsidR="00BE5E3C" w:rsidRPr="0067437A" w:rsidRDefault="00BE5E3C" w:rsidP="00665B7A">
            <w:pPr>
              <w:jc w:val="center"/>
              <w:rPr>
                <w:rFonts w:ascii="Arial Narrow" w:hAnsi="Arial Narrow"/>
                <w:sz w:val="20"/>
                <w:szCs w:val="20"/>
              </w:rPr>
            </w:pPr>
            <w:r w:rsidRPr="0067437A">
              <w:rPr>
                <w:rFonts w:ascii="Arial Narrow" w:hAnsi="Arial Narrow"/>
                <w:sz w:val="20"/>
                <w:szCs w:val="20"/>
              </w:rPr>
              <w:t>60</w:t>
            </w:r>
          </w:p>
        </w:tc>
        <w:tc>
          <w:tcPr>
            <w:tcW w:w="472" w:type="pct"/>
            <w:tcBorders>
              <w:top w:val="single" w:sz="4" w:space="0" w:color="auto"/>
              <w:bottom w:val="single" w:sz="4" w:space="0" w:color="auto"/>
            </w:tcBorders>
          </w:tcPr>
          <w:p w:rsidR="00BE5E3C" w:rsidRPr="0067437A" w:rsidRDefault="00BE5E3C" w:rsidP="00665B7A">
            <w:pPr>
              <w:jc w:val="center"/>
              <w:rPr>
                <w:rFonts w:ascii="Arial Narrow" w:hAnsi="Arial Narrow" w:cs="Times New Roman"/>
                <w:sz w:val="20"/>
                <w:szCs w:val="20"/>
              </w:rPr>
            </w:pPr>
            <w:r w:rsidRPr="0067437A">
              <w:rPr>
                <w:rFonts w:ascii="Arial Narrow" w:hAnsi="Arial Narrow" w:cs="Times New Roman"/>
                <w:sz w:val="20"/>
                <w:szCs w:val="20"/>
              </w:rPr>
              <w:t>3</w:t>
            </w:r>
          </w:p>
        </w:tc>
        <w:tc>
          <w:tcPr>
            <w:tcW w:w="1060" w:type="pct"/>
            <w:tcBorders>
              <w:top w:val="single" w:sz="4" w:space="0" w:color="auto"/>
              <w:bottom w:val="single" w:sz="4" w:space="0" w:color="auto"/>
            </w:tcBorders>
            <w:vAlign w:val="center"/>
          </w:tcPr>
          <w:p w:rsidR="00BE5E3C" w:rsidRPr="0067437A" w:rsidRDefault="00BE5E3C" w:rsidP="00665B7A">
            <w:pPr>
              <w:pStyle w:val="Tabletext"/>
              <w:rPr>
                <w:szCs w:val="20"/>
                <w:u w:val="single"/>
              </w:rPr>
            </w:pPr>
            <w:r w:rsidRPr="0067437A">
              <w:rPr>
                <w:szCs w:val="20"/>
                <w:u w:val="single"/>
              </w:rPr>
              <w:t>Published:</w:t>
            </w:r>
          </w:p>
          <w:p w:rsidR="00BE5E3C" w:rsidRPr="0067437A" w:rsidRDefault="00BE5E3C" w:rsidP="00665B7A">
            <w:pPr>
              <w:pStyle w:val="Tabletext"/>
              <w:rPr>
                <w:szCs w:val="20"/>
              </w:rPr>
            </w:pPr>
            <w:r w:rsidRPr="0067437A">
              <w:rPr>
                <w:szCs w:val="20"/>
              </w:rPr>
              <w:t>$3,450.00 (public)</w:t>
            </w:r>
          </w:p>
          <w:p w:rsidR="00BE5E3C" w:rsidRPr="0067437A" w:rsidRDefault="00BE5E3C" w:rsidP="00665B7A">
            <w:pPr>
              <w:pStyle w:val="Tabletext"/>
              <w:rPr>
                <w:szCs w:val="20"/>
              </w:rPr>
            </w:pPr>
            <w:r w:rsidRPr="0067437A">
              <w:rPr>
                <w:szCs w:val="20"/>
              </w:rPr>
              <w:t>$3,497.39 (private)</w:t>
            </w:r>
          </w:p>
          <w:p w:rsidR="00BE5E3C" w:rsidRPr="0067437A" w:rsidRDefault="00BE5E3C" w:rsidP="00665B7A">
            <w:pPr>
              <w:pStyle w:val="Tabletext"/>
              <w:rPr>
                <w:szCs w:val="20"/>
                <w:u w:val="single"/>
              </w:rPr>
            </w:pPr>
            <w:r w:rsidRPr="0067437A">
              <w:rPr>
                <w:szCs w:val="20"/>
                <w:u w:val="single"/>
              </w:rPr>
              <w:t>Effective:</w:t>
            </w:r>
          </w:p>
          <w:p w:rsidR="00BE5E3C" w:rsidRPr="0067437A" w:rsidRDefault="00BE5E3C" w:rsidP="00665B7A">
            <w:pPr>
              <w:pStyle w:val="Tabletext"/>
              <w:rPr>
                <w:szCs w:val="20"/>
              </w:rPr>
            </w:pPr>
            <w:r w:rsidRPr="0067437A">
              <w:rPr>
                <w:szCs w:val="20"/>
              </w:rPr>
              <w:t>$</w:t>
            </w:r>
            <w:r w:rsidR="00B24936">
              <w:rPr>
                <w:noProof/>
                <w:color w:val="000000"/>
                <w:szCs w:val="20"/>
                <w:highlight w:val="black"/>
              </w:rPr>
              <w:t>''''''''''''''''''''''</w:t>
            </w:r>
            <w:r w:rsidRPr="0067437A">
              <w:rPr>
                <w:szCs w:val="20"/>
              </w:rPr>
              <w:t xml:space="preserve"> (public)</w:t>
            </w:r>
          </w:p>
          <w:p w:rsidR="00BE5E3C" w:rsidRPr="0067437A" w:rsidRDefault="00BE5E3C" w:rsidP="00665B7A">
            <w:pPr>
              <w:jc w:val="left"/>
              <w:rPr>
                <w:rFonts w:ascii="Arial Narrow" w:hAnsi="Arial Narrow"/>
                <w:b/>
                <w:sz w:val="20"/>
                <w:szCs w:val="20"/>
              </w:rPr>
            </w:pPr>
            <w:r w:rsidRPr="0067437A">
              <w:rPr>
                <w:rFonts w:ascii="Arial Narrow" w:hAnsi="Arial Narrow"/>
                <w:sz w:val="20"/>
                <w:szCs w:val="20"/>
              </w:rPr>
              <w:t>$</w:t>
            </w:r>
            <w:r w:rsidR="00B24936">
              <w:rPr>
                <w:rFonts w:ascii="Arial Narrow" w:hAnsi="Arial Narrow"/>
                <w:noProof/>
                <w:color w:val="000000"/>
                <w:sz w:val="20"/>
                <w:szCs w:val="20"/>
                <w:highlight w:val="black"/>
              </w:rPr>
              <w:t>''''''''''''''''''''</w:t>
            </w:r>
            <w:r w:rsidRPr="0067437A">
              <w:rPr>
                <w:rFonts w:ascii="Arial Narrow" w:hAnsi="Arial Narrow"/>
                <w:sz w:val="20"/>
                <w:szCs w:val="20"/>
              </w:rPr>
              <w:t xml:space="preserve"> (private)</w:t>
            </w:r>
          </w:p>
        </w:tc>
        <w:tc>
          <w:tcPr>
            <w:tcW w:w="1195" w:type="pct"/>
            <w:tcBorders>
              <w:top w:val="single" w:sz="4" w:space="0" w:color="auto"/>
              <w:left w:val="nil"/>
              <w:bottom w:val="single" w:sz="4" w:space="0" w:color="auto"/>
            </w:tcBorders>
          </w:tcPr>
          <w:p w:rsidR="00B94F5E" w:rsidRPr="0067437A" w:rsidRDefault="00B94F5E" w:rsidP="00665B7A">
            <w:pPr>
              <w:jc w:val="center"/>
              <w:rPr>
                <w:rFonts w:ascii="Arial Narrow" w:hAnsi="Arial Narrow"/>
                <w:sz w:val="20"/>
                <w:szCs w:val="20"/>
              </w:rPr>
            </w:pPr>
            <w:r w:rsidRPr="0067437A">
              <w:rPr>
                <w:rFonts w:ascii="Arial Narrow" w:hAnsi="Arial Narrow"/>
                <w:sz w:val="20"/>
                <w:szCs w:val="20"/>
              </w:rPr>
              <w:t>UPTRAVI®</w:t>
            </w:r>
          </w:p>
          <w:p w:rsidR="00BE5E3C" w:rsidRPr="0067437A" w:rsidRDefault="00B94F5E" w:rsidP="00665B7A">
            <w:pPr>
              <w:jc w:val="center"/>
              <w:rPr>
                <w:rFonts w:ascii="Arial Narrow" w:hAnsi="Arial Narrow"/>
                <w:sz w:val="20"/>
                <w:szCs w:val="20"/>
              </w:rPr>
            </w:pPr>
            <w:r w:rsidRPr="0067437A">
              <w:rPr>
                <w:rFonts w:ascii="Arial Narrow" w:hAnsi="Arial Narrow"/>
                <w:sz w:val="20"/>
                <w:szCs w:val="20"/>
              </w:rPr>
              <w:t>Janssen Cilag Pty Ltd</w:t>
            </w:r>
          </w:p>
        </w:tc>
      </w:tr>
      <w:tr w:rsidR="00BE5E3C" w:rsidRPr="0067437A" w:rsidTr="00665B7A">
        <w:trPr>
          <w:cantSplit/>
          <w:trHeight w:val="567"/>
        </w:trPr>
        <w:tc>
          <w:tcPr>
            <w:tcW w:w="1563" w:type="pct"/>
            <w:gridSpan w:val="2"/>
            <w:tcBorders>
              <w:top w:val="single" w:sz="4" w:space="0" w:color="auto"/>
              <w:bottom w:val="single" w:sz="4" w:space="0" w:color="auto"/>
            </w:tcBorders>
          </w:tcPr>
          <w:p w:rsidR="00BE5E3C" w:rsidRPr="0067437A" w:rsidRDefault="00BE5E3C" w:rsidP="00665B7A">
            <w:pPr>
              <w:jc w:val="left"/>
              <w:rPr>
                <w:rFonts w:ascii="Arial Narrow" w:hAnsi="Arial Narrow"/>
                <w:sz w:val="20"/>
                <w:szCs w:val="20"/>
                <w:u w:val="single"/>
              </w:rPr>
            </w:pPr>
            <w:r w:rsidRPr="0067437A">
              <w:rPr>
                <w:rFonts w:ascii="Arial Narrow" w:hAnsi="Arial Narrow"/>
                <w:sz w:val="20"/>
                <w:szCs w:val="20"/>
                <w:u w:val="single"/>
              </w:rPr>
              <w:t xml:space="preserve">Continuing treatment </w:t>
            </w:r>
          </w:p>
          <w:p w:rsidR="00BE5E3C" w:rsidRPr="0067437A" w:rsidRDefault="00BE5E3C" w:rsidP="00665B7A">
            <w:pPr>
              <w:jc w:val="left"/>
              <w:rPr>
                <w:rFonts w:ascii="Arial Narrow" w:hAnsi="Arial Narrow"/>
                <w:sz w:val="20"/>
                <w:szCs w:val="20"/>
              </w:rPr>
            </w:pPr>
            <w:r w:rsidRPr="0067437A">
              <w:rPr>
                <w:rFonts w:ascii="Arial Narrow" w:hAnsi="Arial Narrow"/>
                <w:sz w:val="20"/>
                <w:szCs w:val="20"/>
              </w:rPr>
              <w:t>SEL</w:t>
            </w:r>
            <w:r w:rsidR="00744685" w:rsidRPr="0067437A">
              <w:rPr>
                <w:rFonts w:ascii="Arial Narrow" w:hAnsi="Arial Narrow"/>
                <w:sz w:val="20"/>
                <w:szCs w:val="20"/>
              </w:rPr>
              <w:t>E</w:t>
            </w:r>
            <w:r w:rsidRPr="0067437A">
              <w:rPr>
                <w:rFonts w:ascii="Arial Narrow" w:hAnsi="Arial Narrow"/>
                <w:sz w:val="20"/>
                <w:szCs w:val="20"/>
              </w:rPr>
              <w:t>XIPAG</w:t>
            </w:r>
          </w:p>
          <w:p w:rsidR="00BE5E3C" w:rsidRPr="0067437A" w:rsidRDefault="00BE5E3C" w:rsidP="00665B7A">
            <w:pPr>
              <w:jc w:val="left"/>
              <w:rPr>
                <w:rFonts w:ascii="Arial Narrow" w:hAnsi="Arial Narrow"/>
                <w:sz w:val="20"/>
                <w:szCs w:val="20"/>
              </w:rPr>
            </w:pPr>
            <w:r w:rsidRPr="0067437A">
              <w:rPr>
                <w:rFonts w:ascii="Arial Narrow" w:hAnsi="Arial Narrow"/>
                <w:sz w:val="20"/>
                <w:szCs w:val="20"/>
              </w:rPr>
              <w:t>Tablets 200, 400, 600, 800, 1000, 1200, 1400, 1600 mcg</w:t>
            </w:r>
          </w:p>
        </w:tc>
        <w:tc>
          <w:tcPr>
            <w:tcW w:w="710" w:type="pct"/>
            <w:tcBorders>
              <w:top w:val="single" w:sz="4" w:space="0" w:color="auto"/>
              <w:bottom w:val="single" w:sz="4" w:space="0" w:color="auto"/>
            </w:tcBorders>
          </w:tcPr>
          <w:p w:rsidR="00BE5E3C" w:rsidRPr="0067437A" w:rsidRDefault="00BE5E3C" w:rsidP="00665B7A">
            <w:pPr>
              <w:jc w:val="center"/>
              <w:rPr>
                <w:rFonts w:ascii="Arial Narrow" w:hAnsi="Arial Narrow"/>
                <w:sz w:val="20"/>
                <w:szCs w:val="20"/>
              </w:rPr>
            </w:pPr>
            <w:r w:rsidRPr="0067437A">
              <w:rPr>
                <w:rFonts w:ascii="Arial Narrow" w:hAnsi="Arial Narrow"/>
                <w:sz w:val="20"/>
                <w:szCs w:val="20"/>
              </w:rPr>
              <w:t>140</w:t>
            </w:r>
          </w:p>
        </w:tc>
        <w:tc>
          <w:tcPr>
            <w:tcW w:w="472" w:type="pct"/>
            <w:tcBorders>
              <w:top w:val="single" w:sz="4" w:space="0" w:color="auto"/>
              <w:bottom w:val="single" w:sz="4" w:space="0" w:color="auto"/>
            </w:tcBorders>
          </w:tcPr>
          <w:p w:rsidR="00BE5E3C" w:rsidRPr="0067437A" w:rsidRDefault="00BE5E3C" w:rsidP="00665B7A">
            <w:pPr>
              <w:jc w:val="center"/>
              <w:rPr>
                <w:rFonts w:ascii="Arial Narrow" w:hAnsi="Arial Narrow"/>
                <w:sz w:val="20"/>
                <w:szCs w:val="20"/>
              </w:rPr>
            </w:pPr>
            <w:r w:rsidRPr="0067437A">
              <w:rPr>
                <w:rFonts w:ascii="Arial Narrow" w:hAnsi="Arial Narrow"/>
                <w:sz w:val="20"/>
                <w:szCs w:val="20"/>
              </w:rPr>
              <w:t>2</w:t>
            </w:r>
          </w:p>
        </w:tc>
        <w:tc>
          <w:tcPr>
            <w:tcW w:w="1060" w:type="pct"/>
            <w:tcBorders>
              <w:top w:val="single" w:sz="4" w:space="0" w:color="auto"/>
              <w:bottom w:val="single" w:sz="4" w:space="0" w:color="auto"/>
            </w:tcBorders>
            <w:vAlign w:val="center"/>
          </w:tcPr>
          <w:p w:rsidR="00BE5E3C" w:rsidRPr="0067437A" w:rsidRDefault="00BE5E3C" w:rsidP="00665B7A">
            <w:pPr>
              <w:pStyle w:val="Tabletext"/>
              <w:rPr>
                <w:szCs w:val="20"/>
                <w:u w:val="single"/>
              </w:rPr>
            </w:pPr>
            <w:r w:rsidRPr="0067437A">
              <w:rPr>
                <w:szCs w:val="20"/>
                <w:u w:val="single"/>
              </w:rPr>
              <w:t>Published</w:t>
            </w:r>
          </w:p>
          <w:p w:rsidR="00BE5E3C" w:rsidRPr="0067437A" w:rsidRDefault="00BE5E3C" w:rsidP="00665B7A">
            <w:pPr>
              <w:pStyle w:val="Tabletext"/>
              <w:rPr>
                <w:szCs w:val="20"/>
              </w:rPr>
            </w:pPr>
            <w:r w:rsidRPr="0067437A">
              <w:rPr>
                <w:szCs w:val="20"/>
              </w:rPr>
              <w:t>$3,450.00 (public)</w:t>
            </w:r>
          </w:p>
          <w:p w:rsidR="00BE5E3C" w:rsidRPr="0067437A" w:rsidRDefault="00BE5E3C" w:rsidP="00665B7A">
            <w:pPr>
              <w:pStyle w:val="Tabletext"/>
              <w:rPr>
                <w:szCs w:val="20"/>
              </w:rPr>
            </w:pPr>
            <w:r w:rsidRPr="0067437A">
              <w:rPr>
                <w:szCs w:val="20"/>
              </w:rPr>
              <w:t>$3,497.39 (private)</w:t>
            </w:r>
          </w:p>
          <w:p w:rsidR="00BE5E3C" w:rsidRPr="0067437A" w:rsidRDefault="00BE5E3C" w:rsidP="00665B7A">
            <w:pPr>
              <w:pStyle w:val="Tabletext"/>
              <w:rPr>
                <w:szCs w:val="20"/>
                <w:u w:val="single"/>
              </w:rPr>
            </w:pPr>
            <w:r w:rsidRPr="0067437A">
              <w:rPr>
                <w:szCs w:val="20"/>
                <w:u w:val="single"/>
              </w:rPr>
              <w:t>Effective:</w:t>
            </w:r>
          </w:p>
          <w:p w:rsidR="00BE5E3C" w:rsidRPr="0067437A" w:rsidRDefault="00BE5E3C" w:rsidP="00665B7A">
            <w:pPr>
              <w:pStyle w:val="Tabletext"/>
              <w:rPr>
                <w:szCs w:val="20"/>
              </w:rPr>
            </w:pPr>
            <w:r w:rsidRPr="0067437A">
              <w:rPr>
                <w:szCs w:val="20"/>
              </w:rPr>
              <w:t>$</w:t>
            </w:r>
            <w:r w:rsidR="00B24936">
              <w:rPr>
                <w:noProof/>
                <w:color w:val="000000"/>
                <w:szCs w:val="20"/>
                <w:highlight w:val="black"/>
              </w:rPr>
              <w:t>''''''''''''''''''''</w:t>
            </w:r>
            <w:r w:rsidRPr="0067437A">
              <w:rPr>
                <w:szCs w:val="20"/>
              </w:rPr>
              <w:t xml:space="preserve"> (public)</w:t>
            </w:r>
          </w:p>
          <w:p w:rsidR="00BE5E3C" w:rsidRPr="0067437A" w:rsidRDefault="00BE5E3C" w:rsidP="00665B7A">
            <w:pPr>
              <w:jc w:val="left"/>
              <w:rPr>
                <w:rFonts w:ascii="Arial Narrow" w:hAnsi="Arial Narrow"/>
                <w:sz w:val="20"/>
                <w:szCs w:val="20"/>
              </w:rPr>
            </w:pPr>
            <w:r w:rsidRPr="0067437A">
              <w:rPr>
                <w:rFonts w:ascii="Arial Narrow" w:hAnsi="Arial Narrow"/>
                <w:sz w:val="20"/>
                <w:szCs w:val="20"/>
              </w:rPr>
              <w:t>$</w:t>
            </w:r>
            <w:r w:rsidR="00B24936">
              <w:rPr>
                <w:rFonts w:ascii="Arial Narrow" w:hAnsi="Arial Narrow"/>
                <w:noProof/>
                <w:color w:val="000000"/>
                <w:sz w:val="20"/>
                <w:szCs w:val="20"/>
                <w:highlight w:val="black"/>
              </w:rPr>
              <w:t xml:space="preserve">''''''''''''''''''''' </w:t>
            </w:r>
            <w:r w:rsidRPr="0067437A">
              <w:rPr>
                <w:rFonts w:ascii="Arial Narrow" w:hAnsi="Arial Narrow"/>
                <w:sz w:val="20"/>
                <w:szCs w:val="20"/>
              </w:rPr>
              <w:t>(private)</w:t>
            </w:r>
          </w:p>
          <w:p w:rsidR="00B94F5E" w:rsidRPr="0067437A" w:rsidRDefault="00B94F5E" w:rsidP="00665B7A">
            <w:pPr>
              <w:jc w:val="left"/>
              <w:rPr>
                <w:rFonts w:ascii="Arial Narrow" w:hAnsi="Arial Narrow"/>
                <w:sz w:val="20"/>
                <w:szCs w:val="20"/>
              </w:rPr>
            </w:pPr>
          </w:p>
        </w:tc>
        <w:tc>
          <w:tcPr>
            <w:tcW w:w="1195" w:type="pct"/>
            <w:tcBorders>
              <w:top w:val="single" w:sz="4" w:space="0" w:color="auto"/>
              <w:left w:val="nil"/>
              <w:bottom w:val="single" w:sz="4" w:space="0" w:color="auto"/>
            </w:tcBorders>
          </w:tcPr>
          <w:p w:rsidR="00B94F5E" w:rsidRPr="0067437A" w:rsidRDefault="00B94F5E" w:rsidP="00665B7A">
            <w:pPr>
              <w:jc w:val="center"/>
              <w:rPr>
                <w:rFonts w:ascii="Arial Narrow" w:hAnsi="Arial Narrow"/>
                <w:sz w:val="20"/>
                <w:szCs w:val="20"/>
              </w:rPr>
            </w:pPr>
            <w:r w:rsidRPr="0067437A">
              <w:rPr>
                <w:rFonts w:ascii="Arial Narrow" w:hAnsi="Arial Narrow"/>
                <w:sz w:val="20"/>
                <w:szCs w:val="20"/>
              </w:rPr>
              <w:t>UPTRAVI®</w:t>
            </w:r>
          </w:p>
          <w:p w:rsidR="00BE5E3C" w:rsidRPr="0067437A" w:rsidRDefault="00B94F5E" w:rsidP="00665B7A">
            <w:pPr>
              <w:jc w:val="center"/>
              <w:rPr>
                <w:rFonts w:ascii="Arial Narrow" w:hAnsi="Arial Narrow"/>
                <w:sz w:val="20"/>
                <w:szCs w:val="20"/>
              </w:rPr>
            </w:pPr>
            <w:r w:rsidRPr="0067437A">
              <w:rPr>
                <w:rFonts w:ascii="Arial Narrow" w:hAnsi="Arial Narrow"/>
                <w:sz w:val="20"/>
                <w:szCs w:val="20"/>
              </w:rPr>
              <w:t>Janssen Cilag Pty Ltd</w:t>
            </w:r>
          </w:p>
        </w:tc>
      </w:tr>
      <w:tr w:rsidR="00542C2D" w:rsidRPr="0067437A" w:rsidTr="00665B7A">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67437A" w:rsidRDefault="00591957" w:rsidP="00665B7A">
            <w:pPr>
              <w:pStyle w:val="Tabletext"/>
              <w:keepNext/>
              <w:keepLines/>
              <w:rPr>
                <w:szCs w:val="20"/>
              </w:rPr>
            </w:pPr>
            <w:r w:rsidRPr="0067437A">
              <w:rPr>
                <w:szCs w:val="20"/>
              </w:rPr>
              <w:lastRenderedPageBreak/>
              <w:t>Category/Program:</w:t>
            </w:r>
          </w:p>
        </w:tc>
        <w:tc>
          <w:tcPr>
            <w:tcW w:w="4147" w:type="pct"/>
            <w:gridSpan w:val="5"/>
            <w:tcBorders>
              <w:top w:val="single" w:sz="4" w:space="0" w:color="auto"/>
              <w:left w:val="single" w:sz="4" w:space="0" w:color="auto"/>
              <w:bottom w:val="single" w:sz="4" w:space="0" w:color="auto"/>
              <w:right w:val="single" w:sz="4" w:space="0" w:color="auto"/>
            </w:tcBorders>
          </w:tcPr>
          <w:p w:rsidR="00542C2D" w:rsidRPr="0067437A" w:rsidRDefault="00591957" w:rsidP="00665B7A">
            <w:pPr>
              <w:pStyle w:val="Tabletext"/>
              <w:keepNext/>
              <w:keepLines/>
              <w:rPr>
                <w:szCs w:val="20"/>
              </w:rPr>
            </w:pPr>
            <w:r w:rsidRPr="0067437A">
              <w:rPr>
                <w:szCs w:val="20"/>
              </w:rPr>
              <w:t>Section 100</w:t>
            </w:r>
            <w:r w:rsidR="00EC4947" w:rsidRPr="0067437A">
              <w:rPr>
                <w:szCs w:val="20"/>
              </w:rPr>
              <w:t xml:space="preserve"> – Highly Specialised Drugs Program</w:t>
            </w:r>
          </w:p>
        </w:tc>
      </w:tr>
      <w:tr w:rsidR="003A3191"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rsidR="003A3191" w:rsidRPr="0067437A" w:rsidRDefault="003A3191" w:rsidP="00665B7A">
            <w:pPr>
              <w:pStyle w:val="Tabletext"/>
              <w:keepNext/>
              <w:keepLines/>
              <w:rPr>
                <w:szCs w:val="20"/>
              </w:rPr>
            </w:pPr>
            <w:r w:rsidRPr="0067437A">
              <w:rPr>
                <w:szCs w:val="20"/>
              </w:rPr>
              <w:t>Prescriber type:</w:t>
            </w:r>
          </w:p>
        </w:tc>
        <w:tc>
          <w:tcPr>
            <w:tcW w:w="4147" w:type="pct"/>
            <w:gridSpan w:val="5"/>
            <w:tcBorders>
              <w:top w:val="single" w:sz="4" w:space="0" w:color="auto"/>
              <w:left w:val="single" w:sz="4" w:space="0" w:color="auto"/>
              <w:bottom w:val="single" w:sz="4" w:space="0" w:color="auto"/>
              <w:right w:val="single" w:sz="4" w:space="0" w:color="auto"/>
            </w:tcBorders>
          </w:tcPr>
          <w:p w:rsidR="003A3191" w:rsidRPr="0067437A" w:rsidRDefault="003A3191" w:rsidP="00665B7A">
            <w:pPr>
              <w:pStyle w:val="Tabletext"/>
              <w:keepNext/>
              <w:keepLines/>
              <w:rPr>
                <w:szCs w:val="20"/>
              </w:rPr>
            </w:pPr>
            <w:r w:rsidRPr="0067437A">
              <w:fldChar w:fldCharType="begin">
                <w:ffData>
                  <w:name w:val="Check1"/>
                  <w:enabled/>
                  <w:calcOnExit w:val="0"/>
                  <w:checkBox>
                    <w:sizeAuto/>
                    <w:default w:val="0"/>
                  </w:checkBox>
                </w:ffData>
              </w:fldChar>
            </w:r>
            <w:r w:rsidRPr="0067437A">
              <w:instrText xml:space="preserve"> FORMCHECKBOX </w:instrText>
            </w:r>
            <w:r w:rsidR="00340FCF">
              <w:fldChar w:fldCharType="separate"/>
            </w:r>
            <w:r w:rsidRPr="0067437A">
              <w:fldChar w:fldCharType="end"/>
            </w:r>
            <w:r w:rsidRPr="0067437A">
              <w:t xml:space="preserve">Dental  </w:t>
            </w:r>
            <w:r w:rsidRPr="0067437A">
              <w:fldChar w:fldCharType="begin">
                <w:ffData>
                  <w:name w:val=""/>
                  <w:enabled/>
                  <w:calcOnExit w:val="0"/>
                  <w:checkBox>
                    <w:sizeAuto/>
                    <w:default w:val="1"/>
                  </w:checkBox>
                </w:ffData>
              </w:fldChar>
            </w:r>
            <w:r w:rsidRPr="0067437A">
              <w:instrText xml:space="preserve"> FORMCHECKBOX </w:instrText>
            </w:r>
            <w:r w:rsidR="00340FCF">
              <w:fldChar w:fldCharType="separate"/>
            </w:r>
            <w:r w:rsidRPr="0067437A">
              <w:fldChar w:fldCharType="end"/>
            </w:r>
            <w:r w:rsidRPr="0067437A">
              <w:t xml:space="preserve">Medical Practitioners  </w:t>
            </w:r>
            <w:r w:rsidRPr="0067437A">
              <w:fldChar w:fldCharType="begin">
                <w:ffData>
                  <w:name w:val="Check1"/>
                  <w:enabled/>
                  <w:calcOnExit w:val="0"/>
                  <w:checkBox>
                    <w:sizeAuto/>
                    <w:default w:val="0"/>
                  </w:checkBox>
                </w:ffData>
              </w:fldChar>
            </w:r>
            <w:r w:rsidRPr="0067437A">
              <w:instrText xml:space="preserve"> FORMCHECKBOX </w:instrText>
            </w:r>
            <w:r w:rsidR="00340FCF">
              <w:fldChar w:fldCharType="separate"/>
            </w:r>
            <w:r w:rsidRPr="0067437A">
              <w:fldChar w:fldCharType="end"/>
            </w:r>
            <w:r w:rsidRPr="0067437A">
              <w:t xml:space="preserve">Nurse practitioners </w:t>
            </w:r>
            <w:r w:rsidRPr="0067437A">
              <w:fldChar w:fldCharType="begin">
                <w:ffData>
                  <w:name w:val="Check1"/>
                  <w:enabled/>
                  <w:calcOnExit w:val="0"/>
                  <w:checkBox>
                    <w:sizeAuto/>
                    <w:default w:val="0"/>
                  </w:checkBox>
                </w:ffData>
              </w:fldChar>
            </w:r>
            <w:r w:rsidRPr="0067437A">
              <w:instrText xml:space="preserve"> FORMCHECKBOX </w:instrText>
            </w:r>
            <w:r w:rsidR="00340FCF">
              <w:fldChar w:fldCharType="separate"/>
            </w:r>
            <w:r w:rsidRPr="0067437A">
              <w:fldChar w:fldCharType="end"/>
            </w:r>
            <w:r w:rsidRPr="0067437A">
              <w:t xml:space="preserve">Optometrists </w:t>
            </w:r>
            <w:r w:rsidRPr="0067437A">
              <w:fldChar w:fldCharType="begin">
                <w:ffData>
                  <w:name w:val="Check1"/>
                  <w:enabled/>
                  <w:calcOnExit w:val="0"/>
                  <w:checkBox>
                    <w:sizeAuto/>
                    <w:default w:val="0"/>
                  </w:checkBox>
                </w:ffData>
              </w:fldChar>
            </w:r>
            <w:r w:rsidRPr="0067437A">
              <w:instrText xml:space="preserve"> FORMCHECKBOX </w:instrText>
            </w:r>
            <w:r w:rsidR="00340FCF">
              <w:fldChar w:fldCharType="separate"/>
            </w:r>
            <w:r w:rsidRPr="0067437A">
              <w:fldChar w:fldCharType="end"/>
            </w:r>
            <w:r w:rsidRPr="0067437A">
              <w:t>Midwives</w:t>
            </w:r>
          </w:p>
        </w:tc>
      </w:tr>
      <w:tr w:rsidR="00542C2D"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67437A" w:rsidRDefault="00591957" w:rsidP="00665B7A">
            <w:pPr>
              <w:pStyle w:val="Tabletext"/>
              <w:keepNext/>
              <w:keepLines/>
              <w:rPr>
                <w:szCs w:val="20"/>
              </w:rPr>
            </w:pPr>
            <w:r w:rsidRPr="0067437A">
              <w:rPr>
                <w:szCs w:val="20"/>
              </w:rPr>
              <w:t>PBS indication:</w:t>
            </w:r>
          </w:p>
        </w:tc>
        <w:tc>
          <w:tcPr>
            <w:tcW w:w="4147" w:type="pct"/>
            <w:gridSpan w:val="5"/>
            <w:tcBorders>
              <w:top w:val="single" w:sz="4" w:space="0" w:color="auto"/>
              <w:left w:val="single" w:sz="4" w:space="0" w:color="auto"/>
              <w:bottom w:val="single" w:sz="4" w:space="0" w:color="auto"/>
              <w:right w:val="single" w:sz="4" w:space="0" w:color="auto"/>
            </w:tcBorders>
          </w:tcPr>
          <w:p w:rsidR="00542C2D" w:rsidRPr="0067437A" w:rsidRDefault="0078463A" w:rsidP="00665B7A">
            <w:pPr>
              <w:pStyle w:val="Tabletext"/>
              <w:keepNext/>
              <w:keepLines/>
              <w:rPr>
                <w:szCs w:val="20"/>
              </w:rPr>
            </w:pPr>
            <w:r w:rsidRPr="0067437A">
              <w:rPr>
                <w:szCs w:val="20"/>
              </w:rPr>
              <w:t>Pulmonary arterial hypertension</w:t>
            </w:r>
          </w:p>
        </w:tc>
      </w:tr>
      <w:tr w:rsidR="00542C2D"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67437A" w:rsidRDefault="00591957" w:rsidP="00665B7A">
            <w:pPr>
              <w:pStyle w:val="Tabletext"/>
              <w:keepNext/>
              <w:keepLines/>
              <w:rPr>
                <w:szCs w:val="20"/>
              </w:rPr>
            </w:pPr>
            <w:r w:rsidRPr="0067437A">
              <w:rPr>
                <w:szCs w:val="20"/>
              </w:rPr>
              <w:t>Treatment phase:</w:t>
            </w:r>
          </w:p>
        </w:tc>
        <w:tc>
          <w:tcPr>
            <w:tcW w:w="4147" w:type="pct"/>
            <w:gridSpan w:val="5"/>
            <w:tcBorders>
              <w:top w:val="single" w:sz="4" w:space="0" w:color="auto"/>
              <w:left w:val="single" w:sz="4" w:space="0" w:color="auto"/>
              <w:bottom w:val="single" w:sz="4" w:space="0" w:color="auto"/>
              <w:right w:val="single" w:sz="4" w:space="0" w:color="auto"/>
            </w:tcBorders>
          </w:tcPr>
          <w:p w:rsidR="00542C2D" w:rsidRPr="0067437A" w:rsidRDefault="0078463A" w:rsidP="00665B7A">
            <w:pPr>
              <w:pStyle w:val="Tabletext"/>
              <w:keepNext/>
              <w:keepLines/>
              <w:rPr>
                <w:szCs w:val="20"/>
              </w:rPr>
            </w:pPr>
            <w:r w:rsidRPr="0067437A">
              <w:rPr>
                <w:szCs w:val="20"/>
              </w:rPr>
              <w:t>Initial and maintenance</w:t>
            </w:r>
          </w:p>
        </w:tc>
      </w:tr>
      <w:tr w:rsidR="00542C2D"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67437A" w:rsidRDefault="00542C2D" w:rsidP="00665B7A">
            <w:pPr>
              <w:pStyle w:val="Tabletext"/>
              <w:keepNext/>
              <w:keepLines/>
              <w:rPr>
                <w:szCs w:val="20"/>
              </w:rPr>
            </w:pPr>
            <w:r w:rsidRPr="0067437A">
              <w:rPr>
                <w:szCs w:val="20"/>
              </w:rPr>
              <w:t>Restriction</w:t>
            </w:r>
            <w:r w:rsidR="00591957" w:rsidRPr="0067437A">
              <w:rPr>
                <w:szCs w:val="20"/>
              </w:rPr>
              <w:t>:</w:t>
            </w:r>
          </w:p>
        </w:tc>
        <w:tc>
          <w:tcPr>
            <w:tcW w:w="4147" w:type="pct"/>
            <w:gridSpan w:val="5"/>
            <w:tcBorders>
              <w:top w:val="single" w:sz="4" w:space="0" w:color="auto"/>
              <w:left w:val="single" w:sz="4" w:space="0" w:color="auto"/>
              <w:bottom w:val="single" w:sz="4" w:space="0" w:color="auto"/>
              <w:right w:val="single" w:sz="4" w:space="0" w:color="auto"/>
            </w:tcBorders>
          </w:tcPr>
          <w:p w:rsidR="00542C2D" w:rsidRPr="0067437A" w:rsidRDefault="003A3191" w:rsidP="00665B7A">
            <w:pPr>
              <w:pStyle w:val="Tabletext"/>
              <w:keepNext/>
              <w:keepLines/>
              <w:rPr>
                <w:szCs w:val="20"/>
              </w:rPr>
            </w:pPr>
            <w:r w:rsidRPr="0067437A">
              <w:rPr>
                <w:b/>
                <w:szCs w:val="20"/>
                <w:u w:val="single"/>
              </w:rPr>
              <w:t>Initial treatment:</w:t>
            </w:r>
            <w:r w:rsidRPr="0067437A">
              <w:rPr>
                <w:szCs w:val="20"/>
              </w:rPr>
              <w:t xml:space="preserve"> </w:t>
            </w:r>
            <w:r w:rsidR="0078463A" w:rsidRPr="0067437A">
              <w:rPr>
                <w:szCs w:val="20"/>
              </w:rPr>
              <w:t>Authority Required - In Writing</w:t>
            </w:r>
          </w:p>
          <w:p w:rsidR="003A3191" w:rsidRPr="0067437A" w:rsidRDefault="003A3191" w:rsidP="00665B7A">
            <w:pPr>
              <w:pStyle w:val="Tabletext"/>
              <w:keepNext/>
              <w:keepLines/>
              <w:rPr>
                <w:szCs w:val="20"/>
              </w:rPr>
            </w:pPr>
            <w:r w:rsidRPr="0067437A">
              <w:rPr>
                <w:b/>
                <w:szCs w:val="20"/>
                <w:u w:val="single"/>
              </w:rPr>
              <w:t>Continuing treatment:</w:t>
            </w:r>
            <w:r w:rsidRPr="0067437A">
              <w:rPr>
                <w:szCs w:val="20"/>
              </w:rPr>
              <w:t xml:space="preserve"> Authority Required – Telephone, Electronic</w:t>
            </w:r>
          </w:p>
        </w:tc>
      </w:tr>
      <w:tr w:rsidR="00542C2D"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67437A" w:rsidRDefault="00542C2D" w:rsidP="00665B7A">
            <w:pPr>
              <w:pStyle w:val="Tabletext"/>
              <w:keepNext/>
              <w:keepLines/>
              <w:rPr>
                <w:szCs w:val="20"/>
              </w:rPr>
            </w:pPr>
            <w:r w:rsidRPr="0067437A">
              <w:rPr>
                <w:szCs w:val="20"/>
              </w:rPr>
              <w:t>Treatment criteria</w:t>
            </w:r>
            <w:r w:rsidR="00591957" w:rsidRPr="0067437A">
              <w:rPr>
                <w:szCs w:val="20"/>
              </w:rPr>
              <w:t>:</w:t>
            </w:r>
          </w:p>
        </w:tc>
        <w:tc>
          <w:tcPr>
            <w:tcW w:w="4147" w:type="pct"/>
            <w:gridSpan w:val="5"/>
            <w:tcBorders>
              <w:top w:val="single" w:sz="4" w:space="0" w:color="auto"/>
              <w:left w:val="single" w:sz="4" w:space="0" w:color="auto"/>
              <w:bottom w:val="single" w:sz="4" w:space="0" w:color="auto"/>
              <w:right w:val="single" w:sz="4" w:space="0" w:color="auto"/>
            </w:tcBorders>
          </w:tcPr>
          <w:p w:rsidR="00542C2D" w:rsidRPr="0067437A" w:rsidRDefault="0078463A" w:rsidP="00665B7A">
            <w:pPr>
              <w:pStyle w:val="Tabletext"/>
              <w:keepNext/>
              <w:keepLines/>
              <w:rPr>
                <w:szCs w:val="20"/>
              </w:rPr>
            </w:pPr>
            <w:r w:rsidRPr="0067437A">
              <w:rPr>
                <w:b/>
                <w:szCs w:val="20"/>
                <w:u w:val="single"/>
              </w:rPr>
              <w:t>Initial treatment:</w:t>
            </w:r>
            <w:r w:rsidRPr="0067437A">
              <w:rPr>
                <w:szCs w:val="20"/>
              </w:rPr>
              <w:t xml:space="preserve"> Dose titration must be completed within a maximum of 12 weeks</w:t>
            </w:r>
          </w:p>
          <w:p w:rsidR="0078463A" w:rsidRPr="0067437A" w:rsidRDefault="0078463A" w:rsidP="00665B7A">
            <w:pPr>
              <w:pStyle w:val="Tabletext"/>
              <w:keepNext/>
              <w:keepLines/>
              <w:rPr>
                <w:b/>
                <w:szCs w:val="20"/>
                <w:u w:val="single"/>
              </w:rPr>
            </w:pPr>
            <w:r w:rsidRPr="0067437A">
              <w:rPr>
                <w:b/>
                <w:szCs w:val="20"/>
                <w:u w:val="single"/>
              </w:rPr>
              <w:t>Continuing treatment:</w:t>
            </w:r>
            <w:r w:rsidRPr="0067437A">
              <w:rPr>
                <w:szCs w:val="20"/>
              </w:rPr>
              <w:t xml:space="preserve"> Continuing</w:t>
            </w:r>
          </w:p>
        </w:tc>
      </w:tr>
      <w:tr w:rsidR="00542C2D"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542C2D" w:rsidRPr="0067437A" w:rsidRDefault="00542C2D" w:rsidP="00591957">
            <w:pPr>
              <w:pStyle w:val="Tabletext"/>
              <w:rPr>
                <w:szCs w:val="20"/>
              </w:rPr>
            </w:pPr>
            <w:r w:rsidRPr="0067437A">
              <w:rPr>
                <w:szCs w:val="20"/>
              </w:rPr>
              <w:t>Clinical criteria</w:t>
            </w:r>
            <w:r w:rsidR="00591957" w:rsidRPr="0067437A">
              <w:rPr>
                <w:szCs w:val="20"/>
              </w:rPr>
              <w:t>:</w:t>
            </w:r>
          </w:p>
        </w:tc>
        <w:tc>
          <w:tcPr>
            <w:tcW w:w="4147" w:type="pct"/>
            <w:gridSpan w:val="5"/>
            <w:tcBorders>
              <w:top w:val="single" w:sz="4" w:space="0" w:color="auto"/>
              <w:left w:val="single" w:sz="4" w:space="0" w:color="auto"/>
              <w:bottom w:val="single" w:sz="4" w:space="0" w:color="auto"/>
              <w:right w:val="single" w:sz="4" w:space="0" w:color="auto"/>
            </w:tcBorders>
          </w:tcPr>
          <w:p w:rsidR="0078463A" w:rsidRPr="0067437A" w:rsidRDefault="0078463A" w:rsidP="0078463A">
            <w:pPr>
              <w:pStyle w:val="Tabletext"/>
              <w:rPr>
                <w:b/>
                <w:szCs w:val="20"/>
                <w:u w:val="single"/>
              </w:rPr>
            </w:pPr>
            <w:r w:rsidRPr="0067437A">
              <w:rPr>
                <w:b/>
                <w:szCs w:val="20"/>
                <w:u w:val="single"/>
              </w:rPr>
              <w:t>Initial treatment:</w:t>
            </w:r>
          </w:p>
          <w:p w:rsidR="0078463A" w:rsidRPr="0067437A" w:rsidRDefault="0078463A" w:rsidP="0078463A">
            <w:pPr>
              <w:pStyle w:val="Tabletext"/>
              <w:rPr>
                <w:szCs w:val="20"/>
              </w:rPr>
            </w:pPr>
            <w:r w:rsidRPr="0067437A">
              <w:rPr>
                <w:szCs w:val="20"/>
              </w:rPr>
              <w:t>Patients must have WHO Functional Class III PAH or WHO Functional Class IV PAH</w:t>
            </w:r>
          </w:p>
          <w:p w:rsidR="0078463A" w:rsidRPr="0067437A" w:rsidRDefault="0078463A" w:rsidP="0078463A">
            <w:pPr>
              <w:pStyle w:val="Tabletext"/>
              <w:rPr>
                <w:szCs w:val="20"/>
              </w:rPr>
            </w:pPr>
            <w:r w:rsidRPr="0067437A">
              <w:rPr>
                <w:szCs w:val="20"/>
              </w:rPr>
              <w:t>AND</w:t>
            </w:r>
          </w:p>
          <w:p w:rsidR="0078463A" w:rsidRPr="0067437A" w:rsidRDefault="0078463A" w:rsidP="0078463A">
            <w:pPr>
              <w:pStyle w:val="Tabletext"/>
              <w:rPr>
                <w:szCs w:val="20"/>
              </w:rPr>
            </w:pPr>
            <w:r w:rsidRPr="0067437A">
              <w:rPr>
                <w:szCs w:val="20"/>
              </w:rPr>
              <w:t>Patient must have received prior dual therapy with a phosphodiesterase-5 inhibitor (PDE-5i) agent and an endothelin receptor antagonist (ERA) for pulmonary arterial hypertension (PAH)</w:t>
            </w:r>
          </w:p>
          <w:p w:rsidR="0078463A" w:rsidRPr="0067437A" w:rsidRDefault="0078463A" w:rsidP="0078463A">
            <w:pPr>
              <w:pStyle w:val="Tabletext"/>
              <w:rPr>
                <w:szCs w:val="20"/>
              </w:rPr>
            </w:pPr>
            <w:r w:rsidRPr="0067437A">
              <w:rPr>
                <w:szCs w:val="20"/>
              </w:rPr>
              <w:t>AND</w:t>
            </w:r>
          </w:p>
          <w:p w:rsidR="00542C2D" w:rsidRPr="0067437A" w:rsidRDefault="0078463A" w:rsidP="0078463A">
            <w:pPr>
              <w:pStyle w:val="Tabletext"/>
              <w:rPr>
                <w:szCs w:val="20"/>
              </w:rPr>
            </w:pPr>
            <w:r w:rsidRPr="0067437A">
              <w:rPr>
                <w:szCs w:val="20"/>
              </w:rPr>
              <w:t>The treatment must be in combination with a phosphodiesterase-5 inhibitor (PDE-5i) agent and an endothelin receptor antagonist (ERA) for this condition.</w:t>
            </w:r>
          </w:p>
          <w:p w:rsidR="0078463A" w:rsidRPr="0067437A" w:rsidRDefault="0078463A" w:rsidP="0078463A">
            <w:pPr>
              <w:pStyle w:val="Tabletext"/>
              <w:rPr>
                <w:szCs w:val="20"/>
              </w:rPr>
            </w:pPr>
          </w:p>
          <w:p w:rsidR="0078463A" w:rsidRPr="0067437A" w:rsidRDefault="0078463A" w:rsidP="0078463A">
            <w:pPr>
              <w:pStyle w:val="Tabletext"/>
              <w:rPr>
                <w:b/>
                <w:szCs w:val="20"/>
                <w:u w:val="single"/>
              </w:rPr>
            </w:pPr>
            <w:r w:rsidRPr="0067437A">
              <w:rPr>
                <w:b/>
                <w:szCs w:val="20"/>
                <w:u w:val="single"/>
              </w:rPr>
              <w:t>Continuing treatment:</w:t>
            </w:r>
          </w:p>
          <w:p w:rsidR="0078463A" w:rsidRPr="0067437A" w:rsidRDefault="0078463A" w:rsidP="0078463A">
            <w:pPr>
              <w:rPr>
                <w:rFonts w:ascii="Arial Narrow" w:hAnsi="Arial Narrow"/>
                <w:sz w:val="20"/>
                <w:szCs w:val="20"/>
              </w:rPr>
            </w:pPr>
            <w:r w:rsidRPr="0067437A">
              <w:rPr>
                <w:rFonts w:ascii="Arial Narrow" w:hAnsi="Arial Narrow"/>
                <w:sz w:val="20"/>
                <w:szCs w:val="20"/>
              </w:rPr>
              <w:t>Patients must have received this agent as their most recent course of PBS-subsidised treatment for this condition</w:t>
            </w:r>
          </w:p>
          <w:p w:rsidR="0078463A" w:rsidRPr="0067437A" w:rsidRDefault="0078463A" w:rsidP="0078463A">
            <w:pPr>
              <w:rPr>
                <w:rFonts w:ascii="Arial Narrow" w:hAnsi="Arial Narrow"/>
                <w:sz w:val="20"/>
                <w:szCs w:val="20"/>
              </w:rPr>
            </w:pPr>
            <w:r w:rsidRPr="0067437A">
              <w:rPr>
                <w:rFonts w:ascii="Arial Narrow" w:hAnsi="Arial Narrow"/>
                <w:sz w:val="20"/>
                <w:szCs w:val="20"/>
              </w:rPr>
              <w:t>OR</w:t>
            </w:r>
          </w:p>
          <w:p w:rsidR="0078463A" w:rsidRPr="0067437A" w:rsidRDefault="0078463A" w:rsidP="0078463A">
            <w:pPr>
              <w:rPr>
                <w:rFonts w:ascii="Arial Narrow" w:hAnsi="Arial Narrow"/>
                <w:sz w:val="20"/>
                <w:szCs w:val="20"/>
              </w:rPr>
            </w:pPr>
            <w:r w:rsidRPr="0067437A">
              <w:rPr>
                <w:rFonts w:ascii="Arial Narrow" w:hAnsi="Arial Narrow"/>
                <w:sz w:val="20"/>
                <w:szCs w:val="20"/>
              </w:rPr>
              <w:t>Patient must have received non-PBS subsidised therapy with this agent as part of triple therapy with a phosphodiesterase-5 inhibitor (PDE-5i) agent and an endothelin receptor antagonist (ERA), prior to [LISTING DATE] for this condition and must currently have, or have had WHO Functional Class III PAH or WHO Functional Class IV PAH</w:t>
            </w:r>
          </w:p>
          <w:p w:rsidR="0078463A" w:rsidRPr="0067437A" w:rsidRDefault="0078463A" w:rsidP="0078463A">
            <w:pPr>
              <w:rPr>
                <w:rFonts w:ascii="Arial Narrow" w:hAnsi="Arial Narrow"/>
                <w:sz w:val="20"/>
                <w:szCs w:val="20"/>
              </w:rPr>
            </w:pPr>
            <w:r w:rsidRPr="0067437A">
              <w:rPr>
                <w:rFonts w:ascii="Arial Narrow" w:hAnsi="Arial Narrow"/>
                <w:sz w:val="20"/>
                <w:szCs w:val="20"/>
              </w:rPr>
              <w:t>AND</w:t>
            </w:r>
          </w:p>
          <w:p w:rsidR="0078463A" w:rsidRPr="0067437A" w:rsidRDefault="0078463A" w:rsidP="0078463A">
            <w:pPr>
              <w:rPr>
                <w:rFonts w:ascii="Arial Narrow" w:hAnsi="Arial Narrow"/>
                <w:sz w:val="20"/>
                <w:szCs w:val="20"/>
              </w:rPr>
            </w:pPr>
            <w:r w:rsidRPr="0067437A">
              <w:rPr>
                <w:rFonts w:ascii="Arial Narrow" w:hAnsi="Arial Narrow"/>
                <w:sz w:val="20"/>
                <w:szCs w:val="20"/>
              </w:rPr>
              <w:t>The treatment must be in combination with a phosphodiesterase-5 inhibitor (PDE-5i) agent and an endothelin receptor antagonist (ERA) for this condition</w:t>
            </w:r>
          </w:p>
          <w:p w:rsidR="0078463A" w:rsidRPr="0067437A" w:rsidRDefault="0078463A" w:rsidP="0078463A">
            <w:pPr>
              <w:rPr>
                <w:rFonts w:ascii="Arial Narrow" w:hAnsi="Arial Narrow"/>
                <w:sz w:val="20"/>
                <w:szCs w:val="20"/>
              </w:rPr>
            </w:pPr>
            <w:r w:rsidRPr="0067437A">
              <w:rPr>
                <w:rFonts w:ascii="Arial Narrow" w:hAnsi="Arial Narrow"/>
                <w:sz w:val="20"/>
                <w:szCs w:val="20"/>
              </w:rPr>
              <w:t>AND</w:t>
            </w:r>
          </w:p>
          <w:p w:rsidR="0078463A" w:rsidRPr="0067437A" w:rsidRDefault="0078463A" w:rsidP="0078463A">
            <w:pPr>
              <w:pStyle w:val="Tabletext"/>
              <w:rPr>
                <w:b/>
                <w:szCs w:val="20"/>
                <w:u w:val="single"/>
              </w:rPr>
            </w:pPr>
            <w:r w:rsidRPr="0067437A">
              <w:rPr>
                <w:szCs w:val="20"/>
              </w:rPr>
              <w:t>Patient must not develop disease progression while receiving PBS-subsidised treatment with this drug for this condition.</w:t>
            </w:r>
          </w:p>
        </w:tc>
      </w:tr>
      <w:tr w:rsidR="00591957"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rsidR="00591957" w:rsidRPr="0067437A" w:rsidRDefault="00591957" w:rsidP="00591957">
            <w:pPr>
              <w:pStyle w:val="Tabletext"/>
              <w:rPr>
                <w:szCs w:val="20"/>
              </w:rPr>
            </w:pPr>
            <w:r w:rsidRPr="0067437A">
              <w:rPr>
                <w:szCs w:val="20"/>
              </w:rPr>
              <w:t>Population criteria:</w:t>
            </w:r>
          </w:p>
        </w:tc>
        <w:tc>
          <w:tcPr>
            <w:tcW w:w="4147" w:type="pct"/>
            <w:gridSpan w:val="5"/>
            <w:tcBorders>
              <w:top w:val="single" w:sz="4" w:space="0" w:color="auto"/>
              <w:left w:val="single" w:sz="4" w:space="0" w:color="auto"/>
              <w:bottom w:val="single" w:sz="4" w:space="0" w:color="auto"/>
              <w:right w:val="single" w:sz="4" w:space="0" w:color="auto"/>
            </w:tcBorders>
          </w:tcPr>
          <w:p w:rsidR="0078463A" w:rsidRPr="0067437A" w:rsidRDefault="0078463A" w:rsidP="0078463A">
            <w:pPr>
              <w:rPr>
                <w:rFonts w:ascii="Arial Narrow" w:hAnsi="Arial Narrow"/>
                <w:sz w:val="20"/>
                <w:szCs w:val="20"/>
              </w:rPr>
            </w:pPr>
            <w:r w:rsidRPr="0067437A">
              <w:rPr>
                <w:rFonts w:ascii="Arial Narrow" w:hAnsi="Arial Narrow"/>
                <w:sz w:val="20"/>
                <w:szCs w:val="20"/>
              </w:rPr>
              <w:t>PAH (WHO Group 1 pulmonary hypertension) currently includes the following subtypes:</w:t>
            </w:r>
          </w:p>
          <w:p w:rsidR="0078463A" w:rsidRPr="0067437A" w:rsidRDefault="0078463A" w:rsidP="0078463A">
            <w:pPr>
              <w:ind w:left="170"/>
              <w:rPr>
                <w:rFonts w:ascii="Arial Narrow" w:hAnsi="Arial Narrow"/>
                <w:sz w:val="20"/>
                <w:szCs w:val="20"/>
              </w:rPr>
            </w:pPr>
            <w:r w:rsidRPr="0067437A">
              <w:rPr>
                <w:rFonts w:ascii="Arial Narrow" w:hAnsi="Arial Narrow"/>
                <w:sz w:val="20"/>
                <w:szCs w:val="20"/>
              </w:rPr>
              <w:t>•</w:t>
            </w:r>
            <w:r w:rsidRPr="0067437A">
              <w:rPr>
                <w:rFonts w:ascii="Arial Narrow" w:hAnsi="Arial Narrow"/>
                <w:sz w:val="20"/>
                <w:szCs w:val="20"/>
              </w:rPr>
              <w:tab/>
              <w:t>Idiopathic PAH</w:t>
            </w:r>
          </w:p>
          <w:p w:rsidR="0078463A" w:rsidRPr="0067437A" w:rsidRDefault="0078463A" w:rsidP="0078463A">
            <w:pPr>
              <w:ind w:left="170"/>
              <w:rPr>
                <w:rFonts w:ascii="Arial Narrow" w:hAnsi="Arial Narrow"/>
                <w:sz w:val="20"/>
                <w:szCs w:val="20"/>
              </w:rPr>
            </w:pPr>
            <w:r w:rsidRPr="0067437A">
              <w:rPr>
                <w:rFonts w:ascii="Arial Narrow" w:hAnsi="Arial Narrow"/>
                <w:sz w:val="20"/>
                <w:szCs w:val="20"/>
              </w:rPr>
              <w:t>•</w:t>
            </w:r>
            <w:r w:rsidRPr="0067437A">
              <w:rPr>
                <w:rFonts w:ascii="Arial Narrow" w:hAnsi="Arial Narrow"/>
                <w:sz w:val="20"/>
                <w:szCs w:val="20"/>
              </w:rPr>
              <w:tab/>
              <w:t>Heritable PAH</w:t>
            </w:r>
          </w:p>
          <w:p w:rsidR="0078463A" w:rsidRPr="0067437A" w:rsidRDefault="0078463A" w:rsidP="0078463A">
            <w:pPr>
              <w:ind w:left="850"/>
              <w:rPr>
                <w:rFonts w:ascii="Arial Narrow" w:hAnsi="Arial Narrow"/>
                <w:sz w:val="20"/>
                <w:szCs w:val="20"/>
              </w:rPr>
            </w:pPr>
            <w:r w:rsidRPr="0067437A">
              <w:rPr>
                <w:rFonts w:ascii="Arial Narrow" w:hAnsi="Arial Narrow"/>
                <w:sz w:val="20"/>
                <w:szCs w:val="20"/>
              </w:rPr>
              <w:t>o</w:t>
            </w:r>
            <w:r w:rsidRPr="0067437A">
              <w:rPr>
                <w:rFonts w:ascii="Arial Narrow" w:hAnsi="Arial Narrow"/>
                <w:sz w:val="20"/>
                <w:szCs w:val="20"/>
              </w:rPr>
              <w:tab/>
              <w:t>BMPR2 mutation</w:t>
            </w:r>
          </w:p>
          <w:p w:rsidR="0078463A" w:rsidRPr="0067437A" w:rsidRDefault="0078463A" w:rsidP="0078463A">
            <w:pPr>
              <w:ind w:left="850"/>
              <w:rPr>
                <w:rFonts w:ascii="Arial Narrow" w:hAnsi="Arial Narrow"/>
                <w:sz w:val="20"/>
                <w:szCs w:val="20"/>
              </w:rPr>
            </w:pPr>
            <w:r w:rsidRPr="0067437A">
              <w:rPr>
                <w:rFonts w:ascii="Arial Narrow" w:hAnsi="Arial Narrow"/>
                <w:sz w:val="20"/>
                <w:szCs w:val="20"/>
              </w:rPr>
              <w:t>o</w:t>
            </w:r>
            <w:r w:rsidRPr="0067437A">
              <w:rPr>
                <w:rFonts w:ascii="Arial Narrow" w:hAnsi="Arial Narrow"/>
                <w:sz w:val="20"/>
                <w:szCs w:val="20"/>
              </w:rPr>
              <w:tab/>
              <w:t>ALK-1, ENG, SMAD9, CAV1, KCNK3 mutations</w:t>
            </w:r>
          </w:p>
          <w:p w:rsidR="0078463A" w:rsidRPr="0067437A" w:rsidRDefault="0078463A" w:rsidP="0078463A">
            <w:pPr>
              <w:ind w:left="850"/>
              <w:rPr>
                <w:rFonts w:ascii="Arial Narrow" w:hAnsi="Arial Narrow"/>
                <w:sz w:val="20"/>
                <w:szCs w:val="20"/>
              </w:rPr>
            </w:pPr>
            <w:r w:rsidRPr="0067437A">
              <w:rPr>
                <w:rFonts w:ascii="Arial Narrow" w:hAnsi="Arial Narrow"/>
                <w:sz w:val="20"/>
                <w:szCs w:val="20"/>
              </w:rPr>
              <w:t>o</w:t>
            </w:r>
            <w:r w:rsidRPr="0067437A">
              <w:rPr>
                <w:rFonts w:ascii="Arial Narrow" w:hAnsi="Arial Narrow"/>
                <w:sz w:val="20"/>
                <w:szCs w:val="20"/>
              </w:rPr>
              <w:tab/>
              <w:t>Other mutations</w:t>
            </w:r>
          </w:p>
          <w:p w:rsidR="0078463A" w:rsidRPr="0067437A" w:rsidRDefault="0078463A" w:rsidP="0078463A">
            <w:pPr>
              <w:ind w:left="170"/>
              <w:rPr>
                <w:rFonts w:ascii="Arial Narrow" w:hAnsi="Arial Narrow"/>
                <w:sz w:val="20"/>
                <w:szCs w:val="20"/>
              </w:rPr>
            </w:pPr>
            <w:r w:rsidRPr="0067437A">
              <w:rPr>
                <w:rFonts w:ascii="Arial Narrow" w:hAnsi="Arial Narrow"/>
                <w:sz w:val="20"/>
                <w:szCs w:val="20"/>
              </w:rPr>
              <w:t>•</w:t>
            </w:r>
            <w:r w:rsidRPr="0067437A">
              <w:rPr>
                <w:rFonts w:ascii="Arial Narrow" w:hAnsi="Arial Narrow"/>
                <w:sz w:val="20"/>
                <w:szCs w:val="20"/>
              </w:rPr>
              <w:tab/>
              <w:t>Drugs and toxins induced PAH</w:t>
            </w:r>
          </w:p>
          <w:p w:rsidR="0078463A" w:rsidRPr="0067437A" w:rsidRDefault="0078463A" w:rsidP="0078463A">
            <w:pPr>
              <w:ind w:left="170"/>
              <w:rPr>
                <w:rFonts w:ascii="Arial Narrow" w:hAnsi="Arial Narrow"/>
                <w:sz w:val="20"/>
                <w:szCs w:val="20"/>
              </w:rPr>
            </w:pPr>
            <w:r w:rsidRPr="0067437A">
              <w:rPr>
                <w:rFonts w:ascii="Arial Narrow" w:hAnsi="Arial Narrow"/>
                <w:sz w:val="20"/>
                <w:szCs w:val="20"/>
              </w:rPr>
              <w:t>•</w:t>
            </w:r>
            <w:r w:rsidRPr="0067437A">
              <w:rPr>
                <w:rFonts w:ascii="Arial Narrow" w:hAnsi="Arial Narrow"/>
                <w:sz w:val="20"/>
                <w:szCs w:val="20"/>
              </w:rPr>
              <w:tab/>
              <w:t>PAH associated with:</w:t>
            </w:r>
          </w:p>
          <w:p w:rsidR="0078463A" w:rsidRPr="0067437A" w:rsidRDefault="0078463A" w:rsidP="0078463A">
            <w:pPr>
              <w:ind w:left="850"/>
              <w:rPr>
                <w:rFonts w:ascii="Arial Narrow" w:hAnsi="Arial Narrow"/>
                <w:sz w:val="20"/>
                <w:szCs w:val="20"/>
              </w:rPr>
            </w:pPr>
            <w:r w:rsidRPr="0067437A">
              <w:rPr>
                <w:rFonts w:ascii="Arial Narrow" w:hAnsi="Arial Narrow"/>
                <w:sz w:val="20"/>
                <w:szCs w:val="20"/>
              </w:rPr>
              <w:t>o</w:t>
            </w:r>
            <w:r w:rsidRPr="0067437A">
              <w:rPr>
                <w:rFonts w:ascii="Arial Narrow" w:hAnsi="Arial Narrow"/>
                <w:sz w:val="20"/>
                <w:szCs w:val="20"/>
              </w:rPr>
              <w:tab/>
              <w:t>Connective tissue disease</w:t>
            </w:r>
          </w:p>
          <w:p w:rsidR="0078463A" w:rsidRPr="0067437A" w:rsidRDefault="0078463A" w:rsidP="0078463A">
            <w:pPr>
              <w:ind w:left="850"/>
              <w:rPr>
                <w:rFonts w:ascii="Arial Narrow" w:hAnsi="Arial Narrow"/>
                <w:sz w:val="20"/>
                <w:szCs w:val="20"/>
              </w:rPr>
            </w:pPr>
            <w:r w:rsidRPr="0067437A">
              <w:rPr>
                <w:rFonts w:ascii="Arial Narrow" w:hAnsi="Arial Narrow"/>
                <w:sz w:val="20"/>
                <w:szCs w:val="20"/>
              </w:rPr>
              <w:t>o</w:t>
            </w:r>
            <w:r w:rsidRPr="0067437A">
              <w:rPr>
                <w:rFonts w:ascii="Arial Narrow" w:hAnsi="Arial Narrow"/>
                <w:sz w:val="20"/>
                <w:szCs w:val="20"/>
              </w:rPr>
              <w:tab/>
              <w:t>Human immunodeficiency virus (HIV) infection</w:t>
            </w:r>
          </w:p>
          <w:p w:rsidR="0078463A" w:rsidRPr="0067437A" w:rsidRDefault="0078463A" w:rsidP="0078463A">
            <w:pPr>
              <w:ind w:left="850"/>
              <w:rPr>
                <w:rFonts w:ascii="Arial Narrow" w:hAnsi="Arial Narrow"/>
                <w:sz w:val="20"/>
                <w:szCs w:val="20"/>
              </w:rPr>
            </w:pPr>
            <w:r w:rsidRPr="0067437A">
              <w:rPr>
                <w:rFonts w:ascii="Arial Narrow" w:hAnsi="Arial Narrow"/>
                <w:sz w:val="20"/>
                <w:szCs w:val="20"/>
              </w:rPr>
              <w:t>o</w:t>
            </w:r>
            <w:r w:rsidRPr="0067437A">
              <w:rPr>
                <w:rFonts w:ascii="Arial Narrow" w:hAnsi="Arial Narrow"/>
                <w:sz w:val="20"/>
                <w:szCs w:val="20"/>
              </w:rPr>
              <w:tab/>
              <w:t>Portal hypertension</w:t>
            </w:r>
          </w:p>
          <w:p w:rsidR="0078463A" w:rsidRPr="0067437A" w:rsidRDefault="0078463A" w:rsidP="0078463A">
            <w:pPr>
              <w:ind w:left="850"/>
              <w:rPr>
                <w:rFonts w:ascii="Arial Narrow" w:hAnsi="Arial Narrow"/>
                <w:sz w:val="20"/>
                <w:szCs w:val="20"/>
              </w:rPr>
            </w:pPr>
            <w:r w:rsidRPr="0067437A">
              <w:rPr>
                <w:rFonts w:ascii="Arial Narrow" w:hAnsi="Arial Narrow"/>
                <w:sz w:val="20"/>
                <w:szCs w:val="20"/>
              </w:rPr>
              <w:t>o</w:t>
            </w:r>
            <w:r w:rsidRPr="0067437A">
              <w:rPr>
                <w:rFonts w:ascii="Arial Narrow" w:hAnsi="Arial Narrow"/>
                <w:sz w:val="20"/>
                <w:szCs w:val="20"/>
              </w:rPr>
              <w:tab/>
              <w:t>Congenital heart disease</w:t>
            </w:r>
          </w:p>
          <w:p w:rsidR="00591957" w:rsidRPr="0067437A" w:rsidRDefault="0078463A" w:rsidP="0078463A">
            <w:pPr>
              <w:pStyle w:val="Tabletext"/>
              <w:rPr>
                <w:color w:val="000000"/>
                <w:szCs w:val="20"/>
              </w:rPr>
            </w:pPr>
            <w:r w:rsidRPr="0067437A">
              <w:rPr>
                <w:szCs w:val="20"/>
              </w:rPr>
              <w:t>o</w:t>
            </w:r>
            <w:r w:rsidRPr="0067437A">
              <w:rPr>
                <w:szCs w:val="20"/>
              </w:rPr>
              <w:tab/>
              <w:t>Schistosomiasis</w:t>
            </w:r>
          </w:p>
        </w:tc>
      </w:tr>
      <w:tr w:rsidR="00335067"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hideMark/>
          </w:tcPr>
          <w:p w:rsidR="00335067" w:rsidRPr="0067437A" w:rsidRDefault="00335067" w:rsidP="00335067">
            <w:pPr>
              <w:pStyle w:val="Tabletext"/>
              <w:rPr>
                <w:szCs w:val="20"/>
              </w:rPr>
            </w:pPr>
            <w:r w:rsidRPr="0067437A">
              <w:rPr>
                <w:szCs w:val="20"/>
              </w:rPr>
              <w:t>Prescriber criteria:</w:t>
            </w:r>
          </w:p>
        </w:tc>
        <w:tc>
          <w:tcPr>
            <w:tcW w:w="4147" w:type="pct"/>
            <w:gridSpan w:val="5"/>
            <w:tcBorders>
              <w:top w:val="single" w:sz="4" w:space="0" w:color="auto"/>
              <w:left w:val="single" w:sz="4" w:space="0" w:color="auto"/>
              <w:bottom w:val="single" w:sz="4" w:space="0" w:color="auto"/>
              <w:right w:val="single" w:sz="4" w:space="0" w:color="auto"/>
            </w:tcBorders>
          </w:tcPr>
          <w:p w:rsidR="00335067" w:rsidRPr="0067437A" w:rsidRDefault="00335067" w:rsidP="00335067">
            <w:pPr>
              <w:rPr>
                <w:rFonts w:ascii="Arial Narrow" w:hAnsi="Arial Narrow"/>
                <w:sz w:val="20"/>
                <w:szCs w:val="20"/>
              </w:rPr>
            </w:pPr>
            <w:r w:rsidRPr="0067437A">
              <w:rPr>
                <w:rFonts w:ascii="Arial Narrow" w:hAnsi="Arial Narrow"/>
                <w:sz w:val="20"/>
                <w:szCs w:val="20"/>
              </w:rPr>
              <w:t>The maximum quantity authorised will be limited to provide sufficient supply for 1 month of treatment, based on the dosage recommendations in the TGA-approved Product Information.</w:t>
            </w:r>
          </w:p>
          <w:p w:rsidR="00335067" w:rsidRPr="0067437A" w:rsidRDefault="00335067" w:rsidP="00335067">
            <w:pPr>
              <w:rPr>
                <w:rFonts w:ascii="Arial Narrow" w:hAnsi="Arial Narrow"/>
                <w:sz w:val="20"/>
                <w:szCs w:val="20"/>
              </w:rPr>
            </w:pPr>
            <w:r w:rsidRPr="0067437A">
              <w:rPr>
                <w:rFonts w:ascii="Arial Narrow" w:hAnsi="Arial Narrow"/>
                <w:sz w:val="20"/>
                <w:szCs w:val="20"/>
              </w:rPr>
              <w:t>A maximum of 5 repeats will be authorised.</w:t>
            </w:r>
          </w:p>
          <w:p w:rsidR="00335067" w:rsidRPr="0067437A" w:rsidRDefault="00335067" w:rsidP="00335067">
            <w:pPr>
              <w:rPr>
                <w:rFonts w:ascii="Arial Narrow" w:hAnsi="Arial Narrow"/>
                <w:sz w:val="20"/>
                <w:szCs w:val="20"/>
              </w:rPr>
            </w:pPr>
            <w:r w:rsidRPr="0067437A">
              <w:rPr>
                <w:rFonts w:ascii="Arial Narrow" w:hAnsi="Arial Narrow"/>
                <w:sz w:val="20"/>
                <w:szCs w:val="20"/>
              </w:rPr>
              <w:t>For the purposes of PBS subsidy, dual combination therapy refers to the combined use of one agent from each of the following classes:</w:t>
            </w:r>
          </w:p>
          <w:p w:rsidR="00335067" w:rsidRPr="0067437A" w:rsidRDefault="00335067" w:rsidP="00335067">
            <w:pPr>
              <w:rPr>
                <w:rFonts w:ascii="Arial Narrow" w:hAnsi="Arial Narrow"/>
                <w:sz w:val="20"/>
                <w:szCs w:val="20"/>
              </w:rPr>
            </w:pPr>
            <w:r w:rsidRPr="0067437A">
              <w:rPr>
                <w:rFonts w:ascii="Arial Narrow" w:hAnsi="Arial Narrow"/>
                <w:sz w:val="20"/>
                <w:szCs w:val="20"/>
              </w:rPr>
              <w:t>(i) Endothelin receptor antagonists (ERAs): ambrisentan, and macitentan</w:t>
            </w:r>
          </w:p>
          <w:p w:rsidR="00335067" w:rsidRPr="0067437A" w:rsidRDefault="00335067" w:rsidP="00335067">
            <w:pPr>
              <w:rPr>
                <w:rFonts w:ascii="Arial Narrow" w:hAnsi="Arial Narrow"/>
                <w:sz w:val="20"/>
                <w:szCs w:val="20"/>
              </w:rPr>
            </w:pPr>
            <w:r w:rsidRPr="0067437A">
              <w:rPr>
                <w:rFonts w:ascii="Arial Narrow" w:hAnsi="Arial Narrow"/>
                <w:sz w:val="20"/>
                <w:szCs w:val="20"/>
              </w:rPr>
              <w:t xml:space="preserve">(ii) Phosphodiesterase-5 inhibitors (PDE-5i): sildenafil citrate, and tadalafil. </w:t>
            </w:r>
          </w:p>
          <w:p w:rsidR="00335067" w:rsidRPr="0067437A" w:rsidRDefault="00335067" w:rsidP="00335067">
            <w:pPr>
              <w:pStyle w:val="Tabletext"/>
              <w:rPr>
                <w:color w:val="000000"/>
                <w:szCs w:val="20"/>
              </w:rPr>
            </w:pPr>
            <w:r w:rsidRPr="0067437A">
              <w:rPr>
                <w:szCs w:val="20"/>
              </w:rPr>
              <w:t>PAH agents are not PBS-subsidised for patients with pulmonary hypertension secondary to interstitial lung disease associated with connective tissue disease, where the total lung capacity is less than 70% of predicted.</w:t>
            </w:r>
          </w:p>
        </w:tc>
      </w:tr>
      <w:tr w:rsidR="001A3341" w:rsidRPr="0067437A" w:rsidTr="00DC19B2">
        <w:tblPrEx>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tcPr>
          <w:p w:rsidR="001A3341" w:rsidRPr="0067437A" w:rsidRDefault="001A3341" w:rsidP="00335067">
            <w:pPr>
              <w:pStyle w:val="Tabletext"/>
              <w:rPr>
                <w:szCs w:val="20"/>
              </w:rPr>
            </w:pPr>
            <w:r w:rsidRPr="0067437A">
              <w:rPr>
                <w:szCs w:val="20"/>
              </w:rPr>
              <w:lastRenderedPageBreak/>
              <w:t>Administrative Advice</w:t>
            </w:r>
          </w:p>
        </w:tc>
        <w:tc>
          <w:tcPr>
            <w:tcW w:w="4147" w:type="pct"/>
            <w:gridSpan w:val="5"/>
            <w:tcBorders>
              <w:top w:val="single" w:sz="4" w:space="0" w:color="auto"/>
              <w:left w:val="single" w:sz="4" w:space="0" w:color="auto"/>
              <w:bottom w:val="single" w:sz="4" w:space="0" w:color="auto"/>
              <w:right w:val="single" w:sz="4" w:space="0" w:color="auto"/>
            </w:tcBorders>
          </w:tcPr>
          <w:p w:rsidR="001A3341" w:rsidRPr="0067437A" w:rsidRDefault="001A3341" w:rsidP="001A3341">
            <w:pPr>
              <w:rPr>
                <w:rFonts w:ascii="Arial Narrow" w:hAnsi="Arial Narrow"/>
                <w:sz w:val="20"/>
                <w:szCs w:val="20"/>
                <w:u w:val="single"/>
              </w:rPr>
            </w:pPr>
            <w:r w:rsidRPr="0067437A">
              <w:rPr>
                <w:rFonts w:ascii="Arial Narrow" w:hAnsi="Arial Narrow"/>
                <w:sz w:val="20"/>
                <w:szCs w:val="20"/>
                <w:u w:val="single"/>
              </w:rPr>
              <w:t>Note</w:t>
            </w:r>
          </w:p>
          <w:p w:rsidR="001A3341" w:rsidRPr="0067437A" w:rsidRDefault="001A3341" w:rsidP="001A3341">
            <w:pPr>
              <w:rPr>
                <w:rFonts w:ascii="Arial Narrow" w:hAnsi="Arial Narrow"/>
                <w:sz w:val="20"/>
                <w:szCs w:val="20"/>
              </w:rPr>
            </w:pPr>
            <w:r w:rsidRPr="0067437A">
              <w:rPr>
                <w:rFonts w:ascii="Arial Narrow" w:hAnsi="Arial Narrow"/>
                <w:sz w:val="20"/>
                <w:szCs w:val="20"/>
              </w:rPr>
              <w:t>Spe</w:t>
            </w:r>
            <w:r w:rsidR="00DC19B2" w:rsidRPr="0067437A">
              <w:rPr>
                <w:rFonts w:ascii="Arial Narrow" w:hAnsi="Arial Narrow"/>
                <w:sz w:val="20"/>
                <w:szCs w:val="20"/>
              </w:rPr>
              <w:t>cial Pricing Arrangements apply</w:t>
            </w:r>
          </w:p>
        </w:tc>
      </w:tr>
    </w:tbl>
    <w:p w:rsidR="00B60939" w:rsidRPr="0067437A" w:rsidRDefault="009620EF" w:rsidP="004B1CB4">
      <w:pPr>
        <w:rPr>
          <w:rFonts w:ascii="Arial Narrow" w:hAnsi="Arial Narrow"/>
          <w:sz w:val="20"/>
          <w:szCs w:val="20"/>
        </w:rPr>
      </w:pPr>
      <w:r w:rsidRPr="0067437A">
        <w:rPr>
          <w:rFonts w:ascii="Arial Narrow" w:hAnsi="Arial Narrow"/>
          <w:sz w:val="20"/>
          <w:szCs w:val="20"/>
        </w:rPr>
        <w:t xml:space="preserve">Note: this is </w:t>
      </w:r>
      <w:r w:rsidR="000D07AB" w:rsidRPr="0067437A">
        <w:rPr>
          <w:rFonts w:ascii="Arial Narrow" w:hAnsi="Arial Narrow"/>
          <w:sz w:val="20"/>
          <w:szCs w:val="20"/>
        </w:rPr>
        <w:t xml:space="preserve">a </w:t>
      </w:r>
      <w:r w:rsidRPr="0067437A">
        <w:rPr>
          <w:rFonts w:ascii="Arial Narrow" w:hAnsi="Arial Narrow"/>
          <w:sz w:val="20"/>
          <w:szCs w:val="20"/>
        </w:rPr>
        <w:t>summarised presentation of the requested restrictions</w:t>
      </w:r>
      <w:r w:rsidR="00A374A4" w:rsidRPr="0067437A">
        <w:rPr>
          <w:rFonts w:ascii="Arial Narrow" w:hAnsi="Arial Narrow"/>
          <w:sz w:val="20"/>
          <w:szCs w:val="20"/>
        </w:rPr>
        <w:t xml:space="preserve"> </w:t>
      </w:r>
      <w:r w:rsidR="003A43AA" w:rsidRPr="0067437A">
        <w:rPr>
          <w:rFonts w:ascii="Arial Narrow" w:hAnsi="Arial Narrow"/>
          <w:sz w:val="20"/>
          <w:szCs w:val="20"/>
        </w:rPr>
        <w:t xml:space="preserve">for </w:t>
      </w:r>
      <w:r w:rsidRPr="0067437A">
        <w:rPr>
          <w:rFonts w:ascii="Arial Narrow" w:hAnsi="Arial Narrow"/>
          <w:sz w:val="20"/>
          <w:szCs w:val="20"/>
        </w:rPr>
        <w:t>initial and continuing</w:t>
      </w:r>
      <w:r w:rsidR="00A374A4" w:rsidRPr="0067437A">
        <w:rPr>
          <w:rFonts w:ascii="Arial Narrow" w:hAnsi="Arial Narrow"/>
          <w:sz w:val="20"/>
          <w:szCs w:val="20"/>
        </w:rPr>
        <w:t xml:space="preserve"> therapy.</w:t>
      </w:r>
    </w:p>
    <w:p w:rsidR="009620EF" w:rsidRPr="0067437A" w:rsidRDefault="009620EF" w:rsidP="004B1CB4">
      <w:pPr>
        <w:rPr>
          <w:rFonts w:ascii="Arial Narrow" w:hAnsi="Arial Narrow"/>
          <w:i/>
          <w:sz w:val="20"/>
          <w:szCs w:val="20"/>
        </w:rPr>
      </w:pPr>
    </w:p>
    <w:p w:rsidR="00512AA1" w:rsidRPr="0067437A" w:rsidRDefault="001B6B61" w:rsidP="00A10759">
      <w:pPr>
        <w:pStyle w:val="3-BodyText"/>
        <w:ind w:left="709"/>
      </w:pPr>
      <w:r w:rsidRPr="0067437A">
        <w:t xml:space="preserve">The resubmission proposed a </w:t>
      </w:r>
      <w:r w:rsidR="00FB4205" w:rsidRPr="0067437A">
        <w:t xml:space="preserve">Special Pricing Arrangement (SPA) for all maintenance packs of selexipag </w:t>
      </w:r>
      <w:r w:rsidRPr="0067437A">
        <w:t>as well as the</w:t>
      </w:r>
      <w:r w:rsidR="00FB4205" w:rsidRPr="0067437A">
        <w:t xml:space="preserve"> 800</w:t>
      </w:r>
      <w:r w:rsidR="00B44977" w:rsidRPr="0067437A">
        <w:t xml:space="preserve"> </w:t>
      </w:r>
      <w:r w:rsidR="00FB4205" w:rsidRPr="0067437A">
        <w:t xml:space="preserve">mcg </w:t>
      </w:r>
      <w:r w:rsidR="00CF1664" w:rsidRPr="0067437A">
        <w:t xml:space="preserve">strength </w:t>
      </w:r>
      <w:r w:rsidR="00FB4205" w:rsidRPr="0067437A">
        <w:t>initia</w:t>
      </w:r>
      <w:r w:rsidR="00CF1664" w:rsidRPr="0067437A">
        <w:t>tion</w:t>
      </w:r>
      <w:r w:rsidR="00FB4205" w:rsidRPr="0067437A">
        <w:t xml:space="preserve"> pack</w:t>
      </w:r>
      <w:r w:rsidR="0067437A">
        <w:t xml:space="preserve">. </w:t>
      </w:r>
      <w:r w:rsidR="00925D64" w:rsidRPr="0067437A">
        <w:t xml:space="preserve">A flat pricing </w:t>
      </w:r>
      <w:r w:rsidR="00FF114B" w:rsidRPr="0067437A">
        <w:t xml:space="preserve">structure </w:t>
      </w:r>
      <w:r w:rsidR="00925D64" w:rsidRPr="0067437A">
        <w:t>was pr</w:t>
      </w:r>
      <w:r w:rsidR="004A28AD" w:rsidRPr="0067437A">
        <w:t>oposed for these packs</w:t>
      </w:r>
      <w:r w:rsidR="001E0D19" w:rsidRPr="0067437A">
        <w:t xml:space="preserve">. The </w:t>
      </w:r>
      <w:r w:rsidR="00CF1664" w:rsidRPr="0067437A">
        <w:t xml:space="preserve">effective </w:t>
      </w:r>
      <w:r w:rsidR="00925D64" w:rsidRPr="0067437A">
        <w:t>price</w:t>
      </w:r>
      <w:r w:rsidR="001E0D19" w:rsidRPr="0067437A">
        <w:t>s</w:t>
      </w:r>
      <w:r w:rsidR="00770BC6">
        <w:t xml:space="preserve"> proposed in the resubmission were</w:t>
      </w:r>
      <w:r w:rsidR="009E52D6" w:rsidRPr="0067437A">
        <w:t xml:space="preserve"> the same as </w:t>
      </w:r>
      <w:r w:rsidR="001E0D19" w:rsidRPr="0067437A">
        <w:t xml:space="preserve">those </w:t>
      </w:r>
      <w:r w:rsidRPr="0067437A">
        <w:t xml:space="preserve">in the </w:t>
      </w:r>
      <w:r w:rsidR="00FB4205" w:rsidRPr="0067437A">
        <w:t>March 2017 resubmission</w:t>
      </w:r>
      <w:r w:rsidR="0067437A">
        <w:t xml:space="preserve">. </w:t>
      </w:r>
      <w:r w:rsidR="00D96618" w:rsidRPr="0067437A">
        <w:t xml:space="preserve">However, </w:t>
      </w:r>
      <w:r w:rsidR="001E0D19" w:rsidRPr="0067437A">
        <w:t xml:space="preserve">contrary to the March 2017 resubmission, the </w:t>
      </w:r>
      <w:r w:rsidR="00FB4205" w:rsidRPr="0067437A">
        <w:t>200</w:t>
      </w:r>
      <w:r w:rsidR="00B44977" w:rsidRPr="0067437A">
        <w:t xml:space="preserve"> </w:t>
      </w:r>
      <w:r w:rsidR="00FB4205" w:rsidRPr="0067437A">
        <w:t>mcg initia</w:t>
      </w:r>
      <w:r w:rsidR="00D133B3" w:rsidRPr="0067437A">
        <w:t>tion</w:t>
      </w:r>
      <w:r w:rsidR="00FB4205" w:rsidRPr="0067437A">
        <w:t xml:space="preserve"> pack </w:t>
      </w:r>
      <w:r w:rsidR="009E52D6" w:rsidRPr="0067437A">
        <w:t xml:space="preserve">was </w:t>
      </w:r>
      <w:r w:rsidR="00D96618" w:rsidRPr="0067437A">
        <w:t xml:space="preserve">excluded from </w:t>
      </w:r>
      <w:r w:rsidR="009E52D6" w:rsidRPr="0067437A">
        <w:t xml:space="preserve">the </w:t>
      </w:r>
      <w:r w:rsidR="00B7673F" w:rsidRPr="0067437A">
        <w:t xml:space="preserve">SPA (resulting </w:t>
      </w:r>
      <w:r w:rsidR="00682D04" w:rsidRPr="0067437A">
        <w:t xml:space="preserve">in </w:t>
      </w:r>
      <w:r w:rsidR="004A28AD" w:rsidRPr="0067437A">
        <w:t xml:space="preserve">an </w:t>
      </w:r>
      <w:r w:rsidR="00682D04" w:rsidRPr="0067437A">
        <w:t xml:space="preserve">additional </w:t>
      </w:r>
      <w:r w:rsidR="00D133B3" w:rsidRPr="0067437A">
        <w:t>$</w:t>
      </w:r>
      <w:r w:rsidR="00B24936">
        <w:rPr>
          <w:noProof/>
          <w:color w:val="000000"/>
          <w:highlight w:val="black"/>
        </w:rPr>
        <w:t>'''''''''''''''''</w:t>
      </w:r>
      <w:r w:rsidR="001E0D19" w:rsidRPr="0067437A">
        <w:t xml:space="preserve"> per </w:t>
      </w:r>
      <w:r w:rsidR="00B94F5E" w:rsidRPr="0067437A">
        <w:t xml:space="preserve">initiation pack </w:t>
      </w:r>
      <w:r w:rsidR="0059235B" w:rsidRPr="0067437A">
        <w:t>prescription</w:t>
      </w:r>
      <w:r w:rsidR="00D133B3" w:rsidRPr="0067437A">
        <w:t>)</w:t>
      </w:r>
      <w:r w:rsidR="0067437A">
        <w:t xml:space="preserve">. </w:t>
      </w:r>
      <w:r w:rsidR="00D96618" w:rsidRPr="0067437A">
        <w:t xml:space="preserve">Another </w:t>
      </w:r>
      <w:r w:rsidR="007E50D5" w:rsidRPr="0067437A">
        <w:t xml:space="preserve">difference </w:t>
      </w:r>
      <w:r w:rsidR="00A727C2" w:rsidRPr="0067437A">
        <w:t xml:space="preserve">from </w:t>
      </w:r>
      <w:r w:rsidR="007E50D5" w:rsidRPr="0067437A">
        <w:t xml:space="preserve">the March 2017 resubmission was the removal of the </w:t>
      </w:r>
      <w:r w:rsidR="00D96618" w:rsidRPr="0067437A">
        <w:t xml:space="preserve">offer to rebate </w:t>
      </w:r>
      <w:r w:rsidR="00B24936">
        <w:rPr>
          <w:noProof/>
          <w:color w:val="000000"/>
          <w:highlight w:val="black"/>
        </w:rPr>
        <w:t>''''''''</w:t>
      </w:r>
      <w:r w:rsidR="00FB4205" w:rsidRPr="0067437A">
        <w:t>% of the cost of sildenafil when used as add-on to Actelion-sponsored ERA products (</w:t>
      </w:r>
      <w:r w:rsidR="00B94F5E" w:rsidRPr="0067437A">
        <w:t>i.e.</w:t>
      </w:r>
      <w:r w:rsidR="007E50D5" w:rsidRPr="0067437A">
        <w:t xml:space="preserve">, </w:t>
      </w:r>
      <w:r w:rsidR="0059235B" w:rsidRPr="0067437A">
        <w:t>TRACLEER</w:t>
      </w:r>
      <w:r w:rsidR="0059235B" w:rsidRPr="0067437A">
        <w:rPr>
          <w:vertAlign w:val="superscript"/>
        </w:rPr>
        <w:t>®</w:t>
      </w:r>
      <w:r w:rsidR="0059235B" w:rsidRPr="0067437A">
        <w:t xml:space="preserve"> branded bosentan and OPSUMIT</w:t>
      </w:r>
      <w:r w:rsidR="0059235B" w:rsidRPr="0067437A">
        <w:rPr>
          <w:vertAlign w:val="superscript"/>
        </w:rPr>
        <w:t>®</w:t>
      </w:r>
      <w:r w:rsidR="0059235B" w:rsidRPr="0067437A">
        <w:t xml:space="preserve"> branded macitentan) (</w:t>
      </w:r>
      <w:r w:rsidR="00FB4205" w:rsidRPr="0067437A">
        <w:t>para</w:t>
      </w:r>
      <w:r w:rsidR="00C40BFD">
        <w:t>graph</w:t>
      </w:r>
      <w:r w:rsidR="00FB4205" w:rsidRPr="0067437A">
        <w:t xml:space="preserve"> 6.1, selexipag</w:t>
      </w:r>
      <w:r w:rsidR="00B94F5E" w:rsidRPr="0067437A">
        <w:t xml:space="preserve"> </w:t>
      </w:r>
      <w:r w:rsidR="009A6604">
        <w:t>Public Summary Document (</w:t>
      </w:r>
      <w:r w:rsidR="00C40BFD">
        <w:t>PSD</w:t>
      </w:r>
      <w:r w:rsidR="009A6604">
        <w:t>)</w:t>
      </w:r>
      <w:r w:rsidR="00B94F5E" w:rsidRPr="0067437A">
        <w:t>,</w:t>
      </w:r>
      <w:r w:rsidR="00FB4205" w:rsidRPr="0067437A">
        <w:t xml:space="preserve"> March 2017)</w:t>
      </w:r>
      <w:r w:rsidR="00B94F5E" w:rsidRPr="0067437A">
        <w:t>; the</w:t>
      </w:r>
      <w:r w:rsidR="007E50D5" w:rsidRPr="0067437A">
        <w:t xml:space="preserve"> </w:t>
      </w:r>
      <w:r w:rsidR="00157ACD">
        <w:t>dispensed price for maximum quantity (</w:t>
      </w:r>
      <w:r w:rsidR="006B67CF" w:rsidRPr="0067437A">
        <w:t>DPMQ</w:t>
      </w:r>
      <w:r w:rsidR="00157ACD">
        <w:t>)</w:t>
      </w:r>
      <w:r w:rsidR="006B67CF" w:rsidRPr="0067437A">
        <w:t xml:space="preserve"> (S100 HSD Public)</w:t>
      </w:r>
      <w:r w:rsidR="009A266F" w:rsidRPr="0067437A">
        <w:t xml:space="preserve"> </w:t>
      </w:r>
      <w:r w:rsidR="00FB4205" w:rsidRPr="0067437A">
        <w:t xml:space="preserve">of sildenafil as </w:t>
      </w:r>
      <w:r w:rsidR="00B44977" w:rsidRPr="0067437A">
        <w:t xml:space="preserve">of </w:t>
      </w:r>
      <w:r w:rsidR="00FB4205" w:rsidRPr="0067437A">
        <w:t>1 April 2020 was $254.31 for a 30-day supply</w:t>
      </w:r>
      <w:r w:rsidR="0067437A">
        <w:t xml:space="preserve">. </w:t>
      </w:r>
      <w:r w:rsidR="00606AEB" w:rsidRPr="0067437A">
        <w:t xml:space="preserve">Given these changes, </w:t>
      </w:r>
      <w:r w:rsidR="0059235B" w:rsidRPr="0067437A">
        <w:t xml:space="preserve">the </w:t>
      </w:r>
      <w:r w:rsidR="006B67CF" w:rsidRPr="0067437A">
        <w:t xml:space="preserve">overall </w:t>
      </w:r>
      <w:r w:rsidR="0059235B" w:rsidRPr="0067437A">
        <w:t xml:space="preserve">requested price for </w:t>
      </w:r>
      <w:r w:rsidR="00B27BAB" w:rsidRPr="0067437A">
        <w:t xml:space="preserve">selexipag </w:t>
      </w:r>
      <w:r w:rsidR="00606AEB" w:rsidRPr="0067437A">
        <w:t xml:space="preserve">in this resubmission </w:t>
      </w:r>
      <w:r w:rsidR="00770BC6">
        <w:t>wa</w:t>
      </w:r>
      <w:r w:rsidR="00606AEB" w:rsidRPr="0067437A">
        <w:t xml:space="preserve">s </w:t>
      </w:r>
      <w:r w:rsidR="0059235B" w:rsidRPr="0067437A">
        <w:t>higher than th</w:t>
      </w:r>
      <w:r w:rsidR="00B94F5E" w:rsidRPr="0067437A">
        <w:t>at</w:t>
      </w:r>
      <w:r w:rsidR="0059235B" w:rsidRPr="0067437A">
        <w:t xml:space="preserve"> requested in </w:t>
      </w:r>
      <w:r w:rsidR="00606AEB" w:rsidRPr="0067437A">
        <w:t xml:space="preserve">the </w:t>
      </w:r>
      <w:r w:rsidR="0059235B" w:rsidRPr="0067437A">
        <w:t>March 2017</w:t>
      </w:r>
      <w:r w:rsidR="009E52D6" w:rsidRPr="0067437A">
        <w:t xml:space="preserve"> resubmission</w:t>
      </w:r>
      <w:r w:rsidR="0059235B" w:rsidRPr="0067437A">
        <w:t>.</w:t>
      </w:r>
      <w:r w:rsidR="003A2CCE" w:rsidRPr="0067437A">
        <w:t xml:space="preserve"> In the pre-PBAC response, a reduced price for selexipag was proposed of $</w:t>
      </w:r>
      <w:r w:rsidR="00B24936">
        <w:rPr>
          <w:noProof/>
          <w:color w:val="000000"/>
          <w:highlight w:val="black"/>
        </w:rPr>
        <w:t>'''''''''</w:t>
      </w:r>
      <w:r w:rsidR="003A2CCE" w:rsidRPr="0067437A">
        <w:t xml:space="preserve"> per pack (i.e. for both the titration and continuing packs). This represented a </w:t>
      </w:r>
      <w:r w:rsidR="00B24936">
        <w:rPr>
          <w:noProof/>
          <w:color w:val="000000"/>
          <w:highlight w:val="black"/>
        </w:rPr>
        <w:t>''''''''</w:t>
      </w:r>
      <w:r w:rsidR="003A2CCE" w:rsidRPr="0067437A">
        <w:t xml:space="preserve">% reduction for the 200 mcg and 800 mcg initiation packs, a </w:t>
      </w:r>
      <w:r w:rsidR="00B24936">
        <w:rPr>
          <w:noProof/>
          <w:color w:val="000000"/>
          <w:highlight w:val="black"/>
        </w:rPr>
        <w:t>''''''''</w:t>
      </w:r>
      <w:r w:rsidR="003A2CCE" w:rsidRPr="0067437A">
        <w:t xml:space="preserve">% reduction for the maintenance packs and a </w:t>
      </w:r>
      <w:r w:rsidR="00B24936">
        <w:rPr>
          <w:noProof/>
          <w:color w:val="000000"/>
          <w:highlight w:val="black"/>
        </w:rPr>
        <w:t>''''''''</w:t>
      </w:r>
      <w:r w:rsidR="003A2CCE" w:rsidRPr="0067437A">
        <w:t>% reduction overall.</w:t>
      </w:r>
    </w:p>
    <w:p w:rsidR="000B4BEB" w:rsidRPr="0067437A" w:rsidRDefault="000B4BEB" w:rsidP="00A10759">
      <w:pPr>
        <w:pStyle w:val="3-BodyText"/>
        <w:ind w:left="709"/>
      </w:pPr>
      <w:r w:rsidRPr="0067437A">
        <w:t xml:space="preserve">The requested quantities </w:t>
      </w:r>
      <w:r w:rsidR="005B0094" w:rsidRPr="0067437A">
        <w:t>we</w:t>
      </w:r>
      <w:r w:rsidRPr="0067437A">
        <w:t>re intended to provide up to 12 weeks of treatment for initial therapy and 6 months of treatment for continuation therapy (taking into account individualised dosing).</w:t>
      </w:r>
      <w:r w:rsidR="00091B50" w:rsidRPr="0067437A">
        <w:t xml:space="preserve"> </w:t>
      </w:r>
      <w:r w:rsidR="002C69CF" w:rsidRPr="0067437A">
        <w:t>In GRIPHON,</w:t>
      </w:r>
      <w:r w:rsidR="00091B50" w:rsidRPr="0067437A">
        <w:t xml:space="preserve"> </w:t>
      </w:r>
      <w:r w:rsidR="000F4E82" w:rsidRPr="0067437A">
        <w:t xml:space="preserve">the main trial supporting the resubmission, </w:t>
      </w:r>
      <w:r w:rsidR="002C69CF" w:rsidRPr="0067437A">
        <w:t xml:space="preserve">initiating patients used an average of 1.65 packs of the 200 mcg tablets and 0.65 of the 800 mcg tablets. </w:t>
      </w:r>
    </w:p>
    <w:p w:rsidR="00CC35EA" w:rsidRPr="0067437A" w:rsidRDefault="00D0388E" w:rsidP="00A10759">
      <w:pPr>
        <w:pStyle w:val="3-BodyText"/>
        <w:ind w:left="709"/>
      </w:pPr>
      <w:r w:rsidRPr="0067437A">
        <w:t xml:space="preserve">The proposed PBS </w:t>
      </w:r>
      <w:r w:rsidR="000D07AB" w:rsidRPr="0067437A">
        <w:t xml:space="preserve">restriction </w:t>
      </w:r>
      <w:r w:rsidRPr="0067437A">
        <w:t>is narrower than the TGA approved indication. The requested restriction</w:t>
      </w:r>
      <w:r w:rsidR="000D07AB" w:rsidRPr="0067437A">
        <w:t>s</w:t>
      </w:r>
      <w:r w:rsidRPr="0067437A">
        <w:t xml:space="preserve"> limit use to triple therapy for patients with WHO FC III and IV PAH.</w:t>
      </w:r>
      <w:r w:rsidR="00684DE2" w:rsidRPr="0067437A">
        <w:t xml:space="preserve"> The ESC</w:t>
      </w:r>
      <w:r w:rsidR="006312EB" w:rsidRPr="0067437A">
        <w:t xml:space="preserve"> and PBAC</w:t>
      </w:r>
      <w:r w:rsidR="00684DE2" w:rsidRPr="0067437A">
        <w:t xml:space="preserve"> considered that</w:t>
      </w:r>
      <w:r w:rsidR="0098635C" w:rsidRPr="0067437A">
        <w:t xml:space="preserve"> </w:t>
      </w:r>
      <w:r w:rsidR="00684DE2" w:rsidRPr="0067437A">
        <w:t>i</w:t>
      </w:r>
      <w:r w:rsidR="0098635C" w:rsidRPr="0067437A">
        <w:t xml:space="preserve">f selexipag is listed on the PBS as requested, leakage of use to patients with WHO FC II disease </w:t>
      </w:r>
      <w:r w:rsidR="00742916" w:rsidRPr="0067437A">
        <w:t>would be unlikely to occur</w:t>
      </w:r>
      <w:r w:rsidR="0098635C" w:rsidRPr="0067437A">
        <w:t>.</w:t>
      </w:r>
    </w:p>
    <w:p w:rsidR="002408C2" w:rsidRPr="0067437A" w:rsidRDefault="002408C2" w:rsidP="00A10759">
      <w:pPr>
        <w:pStyle w:val="3-BodyText"/>
        <w:ind w:left="709"/>
      </w:pPr>
      <w:r w:rsidRPr="0067437A">
        <w:t>For the purposes of PBS subsidy, the resubmission defined dual combination therapy as use of one agent from each of the following classes: (i) ERA: ambrisentan, and macitentan and (ii) PDE-5i: sildenafil citrate, and tadalafil</w:t>
      </w:r>
      <w:r w:rsidR="0067437A">
        <w:t xml:space="preserve">. </w:t>
      </w:r>
      <w:r w:rsidRPr="0067437A">
        <w:t>Notably, bosentan</w:t>
      </w:r>
      <w:r w:rsidR="00684DE2" w:rsidRPr="0067437A">
        <w:t xml:space="preserve"> was removed</w:t>
      </w:r>
      <w:r w:rsidRPr="0067437A">
        <w:t xml:space="preserve"> from the ERA list.</w:t>
      </w:r>
      <w:r w:rsidR="00542605" w:rsidRPr="0067437A">
        <w:t xml:space="preserve"> </w:t>
      </w:r>
      <w:r w:rsidRPr="0067437A">
        <w:t>The resubmission stated the reasons behind this were:</w:t>
      </w:r>
    </w:p>
    <w:p w:rsidR="005C1FD5" w:rsidRPr="0067437A" w:rsidRDefault="002C69CF" w:rsidP="00F33FA7">
      <w:pPr>
        <w:pStyle w:val="3-BodyText"/>
        <w:numPr>
          <w:ilvl w:val="0"/>
          <w:numId w:val="16"/>
        </w:numPr>
        <w:spacing w:after="0"/>
        <w:ind w:left="1077" w:hanging="357"/>
      </w:pPr>
      <w:r w:rsidRPr="0067437A">
        <w:t>that b</w:t>
      </w:r>
      <w:r w:rsidR="002408C2" w:rsidRPr="0067437A">
        <w:t xml:space="preserve">osentan is not TGA </w:t>
      </w:r>
      <w:r w:rsidR="002D5B15" w:rsidRPr="0067437A">
        <w:t>registered</w:t>
      </w:r>
      <w:r w:rsidR="002408C2" w:rsidRPr="0067437A">
        <w:t xml:space="preserve"> for dual therapy</w:t>
      </w:r>
      <w:r w:rsidR="00D72809" w:rsidRPr="0067437A">
        <w:t>.</w:t>
      </w:r>
      <w:r w:rsidR="00944B59" w:rsidRPr="0067437A">
        <w:t xml:space="preserve"> However,</w:t>
      </w:r>
      <w:r w:rsidR="00D72809" w:rsidRPr="0067437A">
        <w:t xml:space="preserve"> </w:t>
      </w:r>
      <w:r w:rsidR="00944B59" w:rsidRPr="0067437A">
        <w:t>s</w:t>
      </w:r>
      <w:r w:rsidR="00D72809" w:rsidRPr="0067437A">
        <w:t xml:space="preserve">ildenafil </w:t>
      </w:r>
      <w:r w:rsidR="005E522D">
        <w:t xml:space="preserve">also </w:t>
      </w:r>
      <w:r w:rsidR="00D72809" w:rsidRPr="0067437A">
        <w:t>does not have a TGA indication for combined therapy</w:t>
      </w:r>
      <w:r w:rsidR="002408C2" w:rsidRPr="0067437A">
        <w:t xml:space="preserve">; </w:t>
      </w:r>
    </w:p>
    <w:p w:rsidR="002D5B15" w:rsidRPr="0067437A" w:rsidRDefault="002C69CF" w:rsidP="00F33FA7">
      <w:pPr>
        <w:pStyle w:val="3-BodyText"/>
        <w:numPr>
          <w:ilvl w:val="0"/>
          <w:numId w:val="16"/>
        </w:numPr>
        <w:spacing w:after="0"/>
        <w:ind w:left="1077" w:hanging="357"/>
      </w:pPr>
      <w:r w:rsidRPr="0067437A">
        <w:t>t</w:t>
      </w:r>
      <w:r w:rsidR="002408C2" w:rsidRPr="0067437A">
        <w:t>here are clinically relevant drug-drug interactions between bosentan and sildenafil</w:t>
      </w:r>
      <w:r w:rsidRPr="0067437A">
        <w:t>/</w:t>
      </w:r>
      <w:r w:rsidR="002408C2" w:rsidRPr="0067437A">
        <w:t>tadalafil resulting in changed pharmacokinetics of the PDE-5i and bosentan (when given with sildenafil)</w:t>
      </w:r>
      <w:r w:rsidR="00770BC6">
        <w:t>;</w:t>
      </w:r>
      <w:r w:rsidR="002408C2" w:rsidRPr="0067437A">
        <w:t xml:space="preserve"> and</w:t>
      </w:r>
    </w:p>
    <w:p w:rsidR="004F39A9" w:rsidRPr="0067437A" w:rsidRDefault="002C69CF" w:rsidP="003E0B34">
      <w:pPr>
        <w:pStyle w:val="3-BodyText"/>
        <w:numPr>
          <w:ilvl w:val="0"/>
          <w:numId w:val="16"/>
        </w:numPr>
        <w:ind w:left="1077" w:hanging="357"/>
      </w:pPr>
      <w:r w:rsidRPr="0067437A">
        <w:t xml:space="preserve">a </w:t>
      </w:r>
      <w:r w:rsidR="002408C2" w:rsidRPr="0067437A">
        <w:t>demonstrated lack of a clinically significant benefit in clinical trial</w:t>
      </w:r>
      <w:r w:rsidR="008807D3" w:rsidRPr="0067437A">
        <w:t xml:space="preserve"> (</w:t>
      </w:r>
      <w:r w:rsidRPr="0067437A">
        <w:t xml:space="preserve">the submission </w:t>
      </w:r>
      <w:r w:rsidR="002D5B15" w:rsidRPr="0067437A">
        <w:t>referenc</w:t>
      </w:r>
      <w:r w:rsidRPr="0067437A">
        <w:t>ed</w:t>
      </w:r>
      <w:r w:rsidR="002D5B15" w:rsidRPr="0067437A">
        <w:t xml:space="preserve"> the COMPASS-2 trial where the results showed no additional benefit </w:t>
      </w:r>
      <w:r w:rsidR="00592D35">
        <w:t>for</w:t>
      </w:r>
      <w:r w:rsidR="002D5B15" w:rsidRPr="0067437A">
        <w:t xml:space="preserve"> bosentan </w:t>
      </w:r>
      <w:r w:rsidR="00592D35">
        <w:t xml:space="preserve">and </w:t>
      </w:r>
      <w:r w:rsidR="002D5B15" w:rsidRPr="0067437A">
        <w:t>sildenafil combination therapy over sildenafil monotherapy).</w:t>
      </w:r>
    </w:p>
    <w:p w:rsidR="002C69CF" w:rsidRPr="0067437A" w:rsidRDefault="0039307F" w:rsidP="002C69CF">
      <w:pPr>
        <w:pStyle w:val="3-BodyText"/>
        <w:ind w:left="709"/>
      </w:pPr>
      <w:r w:rsidRPr="0067437A">
        <w:lastRenderedPageBreak/>
        <w:t>I</w:t>
      </w:r>
      <w:r w:rsidR="00520420" w:rsidRPr="0067437A">
        <w:t>n November 2018 t</w:t>
      </w:r>
      <w:r w:rsidR="008E4557" w:rsidRPr="0067437A">
        <w:t>he</w:t>
      </w:r>
      <w:r w:rsidR="002C69CF" w:rsidRPr="0067437A">
        <w:t xml:space="preserve"> P</w:t>
      </w:r>
      <w:r w:rsidR="008E4557" w:rsidRPr="0067437A">
        <w:t>BAC, when considering the PMR of the PAH medicines,</w:t>
      </w:r>
      <w:r w:rsidR="002C69CF" w:rsidRPr="0067437A">
        <w:t xml:space="preserve"> stat</w:t>
      </w:r>
      <w:r w:rsidR="00520420" w:rsidRPr="0067437A">
        <w:t>ed</w:t>
      </w:r>
      <w:r w:rsidR="002C69CF" w:rsidRPr="0067437A">
        <w:t xml:space="preserve"> that a recommendation for dual combination therapy should be for a medicine class, instead of individual medicines (para</w:t>
      </w:r>
      <w:r w:rsidR="00E24146">
        <w:t>graph</w:t>
      </w:r>
      <w:r w:rsidR="002C69CF" w:rsidRPr="0067437A">
        <w:t xml:space="preserve"> 5.4.8, PAH PMR minutes, Nov</w:t>
      </w:r>
      <w:r w:rsidR="009D513A">
        <w:t>ember</w:t>
      </w:r>
      <w:r w:rsidR="002C69CF" w:rsidRPr="0067437A">
        <w:t xml:space="preserve"> 2018)</w:t>
      </w:r>
      <w:r w:rsidR="00520420" w:rsidRPr="0067437A">
        <w:t>. However, in November 2019, noting the uncertain clinical evidence to support the equi-eff</w:t>
      </w:r>
      <w:r w:rsidR="00157ACD">
        <w:t xml:space="preserve">ectiveness of bosentan plus </w:t>
      </w:r>
      <w:r w:rsidR="00520420" w:rsidRPr="0067437A">
        <w:t>PDE-5i com</w:t>
      </w:r>
      <w:r w:rsidR="00157ACD">
        <w:t xml:space="preserve">binations compared to other ERA plus </w:t>
      </w:r>
      <w:r w:rsidR="00520420" w:rsidRPr="0067437A">
        <w:t xml:space="preserve">PDE-5i combinations, current clinical guidelines and clinician concerns over increased hepatotoxicity, </w:t>
      </w:r>
      <w:r w:rsidR="00520420" w:rsidRPr="0067437A">
        <w:rPr>
          <w:rFonts w:cstheme="minorHAnsi"/>
        </w:rPr>
        <w:t>the PBAC agreed that the basis for benchm</w:t>
      </w:r>
      <w:r w:rsidR="00157ACD">
        <w:rPr>
          <w:rFonts w:cstheme="minorHAnsi"/>
        </w:rPr>
        <w:t xml:space="preserve">arking the price of all PBS ERA plus </w:t>
      </w:r>
      <w:r w:rsidR="00520420" w:rsidRPr="0067437A">
        <w:rPr>
          <w:rFonts w:cstheme="minorHAnsi"/>
        </w:rPr>
        <w:t>PDE-5i combinations to that of bosentan and sildenafil was not fully justified</w:t>
      </w:r>
      <w:r w:rsidRPr="0067437A">
        <w:rPr>
          <w:rFonts w:cstheme="minorHAnsi"/>
        </w:rPr>
        <w:t xml:space="preserve"> (paragraph 5.28, PAH PMR minutes, Nov</w:t>
      </w:r>
      <w:r w:rsidR="009155BE">
        <w:rPr>
          <w:rFonts w:cstheme="minorHAnsi"/>
        </w:rPr>
        <w:t>ember</w:t>
      </w:r>
      <w:r w:rsidRPr="0067437A">
        <w:rPr>
          <w:rFonts w:cstheme="minorHAnsi"/>
        </w:rPr>
        <w:t xml:space="preserve"> 2019)</w:t>
      </w:r>
      <w:r w:rsidR="002C69CF" w:rsidRPr="0067437A">
        <w:t xml:space="preserve">. </w:t>
      </w:r>
      <w:r w:rsidRPr="0067437A">
        <w:t xml:space="preserve">In November 2019 the PBAC also considered that clinicians had </w:t>
      </w:r>
      <w:r w:rsidR="00B15228">
        <w:t xml:space="preserve">adequately </w:t>
      </w:r>
      <w:r w:rsidRPr="0067437A">
        <w:t xml:space="preserve">managed </w:t>
      </w:r>
      <w:r w:rsidR="00B15228">
        <w:t xml:space="preserve">potential </w:t>
      </w:r>
      <w:r w:rsidRPr="0067437A">
        <w:t>drug-drug interactions and safety concerns of bosen</w:t>
      </w:r>
      <w:r w:rsidR="00157ACD">
        <w:t xml:space="preserve">tan plus </w:t>
      </w:r>
      <w:r w:rsidRPr="0067437A">
        <w:t>PDE-5i combination</w:t>
      </w:r>
      <w:r w:rsidR="003E341F">
        <w:t xml:space="preserve"> use.</w:t>
      </w:r>
      <w:r w:rsidRPr="0067437A">
        <w:t xml:space="preserve">  </w:t>
      </w:r>
      <w:r w:rsidR="003E341F">
        <w:t>R</w:t>
      </w:r>
      <w:r w:rsidRPr="0067437A">
        <w:t xml:space="preserve">egistry data collected by the </w:t>
      </w:r>
      <w:r w:rsidR="00157ACD">
        <w:t>Pulmonary Hypertension Society of Australia and New Zealand (</w:t>
      </w:r>
      <w:r w:rsidRPr="0067437A">
        <w:t>PHSANZ</w:t>
      </w:r>
      <w:r w:rsidR="00157ACD">
        <w:t>)</w:t>
      </w:r>
      <w:r w:rsidRPr="0067437A">
        <w:t xml:space="preserve"> indicated that nearly 20% of patients on dual combin</w:t>
      </w:r>
      <w:r w:rsidR="00157ACD">
        <w:t xml:space="preserve">ation therapy used the bosentan + </w:t>
      </w:r>
      <w:r w:rsidRPr="0067437A">
        <w:t xml:space="preserve">sildenafil combination, and 25% of patients used triple therapy </w:t>
      </w:r>
      <w:r w:rsidR="00D3649E" w:rsidRPr="0067437A">
        <w:t>consisting of</w:t>
      </w:r>
      <w:r w:rsidRPr="0067437A">
        <w:t xml:space="preserve"> bosentan, sildenafil and epoprostenol (paragraph 5.26, PAH PMR minutes, November 2019)</w:t>
      </w:r>
      <w:r w:rsidR="002C69CF" w:rsidRPr="0067437A">
        <w:t>.</w:t>
      </w:r>
      <w:r w:rsidR="008E4557" w:rsidRPr="0067437A">
        <w:t xml:space="preserve"> </w:t>
      </w:r>
      <w:r w:rsidR="005E522D">
        <w:t>P</w:t>
      </w:r>
      <w:r w:rsidR="008E4557" w:rsidRPr="0067437A">
        <w:t>rohibit</w:t>
      </w:r>
      <w:r w:rsidR="005E522D">
        <w:t>ing</w:t>
      </w:r>
      <w:r w:rsidR="008E4557" w:rsidRPr="0067437A">
        <w:t xml:space="preserve"> dual therapy with bosentan </w:t>
      </w:r>
      <w:r w:rsidR="005E522D">
        <w:t>would likely result in</w:t>
      </w:r>
      <w:r w:rsidR="005E522D" w:rsidRPr="0067437A">
        <w:t xml:space="preserve"> </w:t>
      </w:r>
      <w:r w:rsidR="008E4557" w:rsidRPr="0067437A">
        <w:t xml:space="preserve">any new patients initiating monotherapy or dual therapy with an ERA </w:t>
      </w:r>
      <w:r w:rsidR="005E522D">
        <w:t>to</w:t>
      </w:r>
      <w:r w:rsidR="008E4557" w:rsidRPr="0067437A">
        <w:t xml:space="preserve"> </w:t>
      </w:r>
      <w:r w:rsidR="00D20203" w:rsidRPr="0067437A">
        <w:t>not</w:t>
      </w:r>
      <w:r w:rsidR="008E4557" w:rsidRPr="0067437A">
        <w:t xml:space="preserve"> initiate with bosentan to avoid the need to switch drugs later to qualify for triple therapy. </w:t>
      </w:r>
      <w:r w:rsidR="00D3649E" w:rsidRPr="0067437A">
        <w:t xml:space="preserve">In addition, </w:t>
      </w:r>
      <w:r w:rsidR="008E4557" w:rsidRPr="0067437A">
        <w:t>patients otherwise stabilised on bosentan will be required to switch to another ERA to qualify for selexipag triple therapy. The modelled economic evaluation assumed that 16% of the ERA use in combination with selexipag will be with bosentan.</w:t>
      </w:r>
      <w:r w:rsidR="00A72AE5" w:rsidRPr="0067437A">
        <w:t xml:space="preserve"> The PSCR stated that PBS data from the last 12 months demonstrated that bosentan comprised 16.1% of ERA prescriptions, and its volume has been steadily declining since 2010.</w:t>
      </w:r>
      <w:r w:rsidR="002579C0" w:rsidRPr="0067437A">
        <w:t xml:space="preserve"> The PBAC reiterated its view from the November 2019 </w:t>
      </w:r>
      <w:r w:rsidR="005E522D">
        <w:t>PMR</w:t>
      </w:r>
      <w:r w:rsidR="002579C0" w:rsidRPr="0067437A">
        <w:t xml:space="preserve"> of PAH medicines and considered that the</w:t>
      </w:r>
      <w:r w:rsidR="00770BC6">
        <w:t xml:space="preserve"> potential</w:t>
      </w:r>
      <w:r w:rsidR="002579C0" w:rsidRPr="0067437A">
        <w:t xml:space="preserve"> drug interaction and </w:t>
      </w:r>
      <w:r w:rsidR="00157ACD">
        <w:t xml:space="preserve">safety concerns of the bosentan + </w:t>
      </w:r>
      <w:r w:rsidR="002579C0" w:rsidRPr="0067437A">
        <w:t xml:space="preserve">PDE-5i combination were well </w:t>
      </w:r>
      <w:r w:rsidR="00592D35">
        <w:t xml:space="preserve">understood and </w:t>
      </w:r>
      <w:r w:rsidR="002579C0" w:rsidRPr="0067437A">
        <w:t>managed by clinicians.</w:t>
      </w:r>
      <w:r w:rsidR="003E341F">
        <w:t xml:space="preserve"> The </w:t>
      </w:r>
      <w:r w:rsidR="00592D35">
        <w:t xml:space="preserve">PBAC considered that the proposed selexipag </w:t>
      </w:r>
      <w:r w:rsidR="003E341F">
        <w:t>restriction need not be exclusive of bosentan.</w:t>
      </w:r>
    </w:p>
    <w:p w:rsidR="002408C2" w:rsidRPr="0067437A" w:rsidRDefault="002408C2" w:rsidP="00742916">
      <w:pPr>
        <w:pStyle w:val="3-BodyText"/>
        <w:ind w:left="709"/>
      </w:pPr>
      <w:r w:rsidRPr="0067437A">
        <w:t xml:space="preserve">Unlike the March 2017 request, the resubmission removed the criteria of inadequate response </w:t>
      </w:r>
      <w:r w:rsidR="00F536EF" w:rsidRPr="0067437A">
        <w:t xml:space="preserve">to dual therapy </w:t>
      </w:r>
      <w:r w:rsidRPr="0067437A">
        <w:t xml:space="preserve">as </w:t>
      </w:r>
      <w:r w:rsidR="00542605" w:rsidRPr="0067437A">
        <w:t xml:space="preserve">a </w:t>
      </w:r>
      <w:r w:rsidRPr="0067437A">
        <w:t>prerequisite for initiating selexipag.</w:t>
      </w:r>
      <w:r w:rsidR="00542605" w:rsidRPr="0067437A">
        <w:t xml:space="preserve"> </w:t>
      </w:r>
      <w:r w:rsidR="00D3649E" w:rsidRPr="0067437A">
        <w:t>The ESC considered that progression of disease to WHO FC III represented inadequate response to dual therapy.</w:t>
      </w:r>
      <w:r w:rsidR="007F2382">
        <w:t xml:space="preserve"> </w:t>
      </w:r>
      <w:r w:rsidR="00B76F1E">
        <w:t>The PBAC considered that it was not necessary to indicate a minimum duration of time on dual therapy before progressing to triple therapy with selexipag. Rather individual circumstances and adequacy of response to dual therapy as assessed by the patient and PAH physicians would better determine the timing of initiation of selexipag.  The PBAC considered that progression to triple therapy should only be instituted when PAH physicians felt that there had been an adequate time to assess response to dual therapy and that, despite this, the patient remained in WHO FC III/IV.</w:t>
      </w:r>
    </w:p>
    <w:p w:rsidR="002408C2" w:rsidRPr="0067437A" w:rsidRDefault="002408C2" w:rsidP="00A10759">
      <w:pPr>
        <w:pStyle w:val="3-BodyText"/>
        <w:ind w:left="709"/>
      </w:pPr>
      <w:r w:rsidRPr="0067437A">
        <w:t xml:space="preserve">For continuing maintenance therapy the resubmission proposed a new criterion: “Patient must not develop disease progression while receiving PBS-subsidised treatment with this drug for this condition”. In the March 2017 resubmission, </w:t>
      </w:r>
      <w:r w:rsidR="00542605" w:rsidRPr="0067437A">
        <w:t>a</w:t>
      </w:r>
      <w:r w:rsidRPr="0067437A">
        <w:t xml:space="preserve"> continuation criteri</w:t>
      </w:r>
      <w:r w:rsidR="00542605" w:rsidRPr="0067437A">
        <w:t>on</w:t>
      </w:r>
      <w:r w:rsidRPr="0067437A">
        <w:t xml:space="preserve"> was “Patient must have demonstrated a response within 12 </w:t>
      </w:r>
      <w:r w:rsidRPr="0067437A">
        <w:lastRenderedPageBreak/>
        <w:t>weeks of initiating treatment with this drug (i.e. following titration phase)”</w:t>
      </w:r>
      <w:r w:rsidR="0067437A">
        <w:t xml:space="preserve">. </w:t>
      </w:r>
      <w:r w:rsidRPr="0067437A">
        <w:t xml:space="preserve">The resubmission argued that the new criterion was akin to criterion for disease progression used in oncology treatments. </w:t>
      </w:r>
      <w:r w:rsidR="00C14A3A" w:rsidRPr="0067437A">
        <w:t xml:space="preserve">The resubmission suggested </w:t>
      </w:r>
      <w:r w:rsidR="00F536EF" w:rsidRPr="0067437A">
        <w:t xml:space="preserve">the following definitions of disease progression from </w:t>
      </w:r>
      <w:r w:rsidR="00F048A7" w:rsidRPr="0067437A">
        <w:t xml:space="preserve">the GRIPHON trial </w:t>
      </w:r>
      <w:r w:rsidRPr="0067437A">
        <w:t>including:</w:t>
      </w:r>
    </w:p>
    <w:p w:rsidR="002408C2" w:rsidRPr="0067437A" w:rsidRDefault="00157ACD" w:rsidP="00F33FA7">
      <w:pPr>
        <w:pStyle w:val="3-BodyText"/>
        <w:numPr>
          <w:ilvl w:val="1"/>
          <w:numId w:val="17"/>
        </w:numPr>
        <w:spacing w:after="0"/>
        <w:ind w:left="1077" w:hanging="357"/>
      </w:pPr>
      <w:r>
        <w:t>H</w:t>
      </w:r>
      <w:r w:rsidR="002408C2" w:rsidRPr="0067437A">
        <w:t>ospitalisation</w:t>
      </w:r>
      <w:r>
        <w:t>;</w:t>
      </w:r>
    </w:p>
    <w:p w:rsidR="003E08D8" w:rsidRPr="0067437A" w:rsidRDefault="00157ACD" w:rsidP="00F33FA7">
      <w:pPr>
        <w:pStyle w:val="3-BodyText"/>
        <w:numPr>
          <w:ilvl w:val="1"/>
          <w:numId w:val="17"/>
        </w:numPr>
        <w:spacing w:after="0"/>
        <w:ind w:left="1077" w:hanging="357"/>
      </w:pPr>
      <w:r>
        <w:t>d</w:t>
      </w:r>
      <w:r w:rsidR="003E08D8" w:rsidRPr="0067437A">
        <w:t xml:space="preserve">isease progression (confirmed by </w:t>
      </w:r>
      <w:r w:rsidR="003E08D8" w:rsidRPr="0067437A">
        <w:rPr>
          <w:rFonts w:cstheme="minorHAnsi"/>
        </w:rPr>
        <w:t>≥</w:t>
      </w:r>
      <w:r w:rsidR="003E08D8" w:rsidRPr="0067437A">
        <w:t xml:space="preserve"> 15% decrease in 6-Minute Walk Distance (6MWD) from baseline plus worsening of WHO FC or need for additional PAH-specific therapy)</w:t>
      </w:r>
      <w:r>
        <w:t>;</w:t>
      </w:r>
    </w:p>
    <w:p w:rsidR="002408C2" w:rsidRPr="0067437A" w:rsidRDefault="00157ACD" w:rsidP="00F33FA7">
      <w:pPr>
        <w:pStyle w:val="3-BodyText"/>
        <w:numPr>
          <w:ilvl w:val="1"/>
          <w:numId w:val="17"/>
        </w:numPr>
        <w:spacing w:after="0"/>
        <w:ind w:left="1077" w:hanging="357"/>
      </w:pPr>
      <w:r>
        <w:t>i</w:t>
      </w:r>
      <w:r w:rsidR="002408C2" w:rsidRPr="0067437A">
        <w:t>nitiation of parenteral prostanoid therapy or long-term oxygen therapy for worsening of PAH</w:t>
      </w:r>
      <w:r>
        <w:t>; and</w:t>
      </w:r>
    </w:p>
    <w:p w:rsidR="002408C2" w:rsidRPr="0067437A" w:rsidRDefault="00157ACD" w:rsidP="00F33FA7">
      <w:pPr>
        <w:pStyle w:val="3-BodyText"/>
        <w:numPr>
          <w:ilvl w:val="1"/>
          <w:numId w:val="17"/>
        </w:numPr>
        <w:ind w:left="1077" w:hanging="357"/>
      </w:pPr>
      <w:r>
        <w:t>n</w:t>
      </w:r>
      <w:r w:rsidR="002408C2" w:rsidRPr="0067437A">
        <w:t>eed for lung transplantation or balloon atrial septostomy for worsening of PAH.</w:t>
      </w:r>
    </w:p>
    <w:p w:rsidR="00B15228" w:rsidRDefault="00B15228" w:rsidP="00A10759">
      <w:pPr>
        <w:pStyle w:val="3-BodyText"/>
        <w:ind w:left="709"/>
      </w:pPr>
      <w:r w:rsidRPr="0067437A">
        <w:t>Patients in GRIPHON were required to discontinue treatment with selexipag but could continue their ERA and PDE-5i upon experiencing any of the above outcomes. The ESC considered that this was reasonable.</w:t>
      </w:r>
    </w:p>
    <w:p w:rsidR="00B15228" w:rsidRDefault="00B15228" w:rsidP="00B15228">
      <w:pPr>
        <w:pStyle w:val="3-BodyText"/>
        <w:ind w:left="709"/>
      </w:pPr>
      <w:r w:rsidRPr="0067437A">
        <w:t xml:space="preserve">Despite requesting the PBAC to consider an </w:t>
      </w:r>
      <w:r>
        <w:t xml:space="preserve">exception </w:t>
      </w:r>
      <w:r w:rsidRPr="0067437A">
        <w:t>for selexipag as dual therapy in patients who are intolerant or contraindicated to an ERA or PDE-5i, the resubmission did not propose</w:t>
      </w:r>
      <w:r>
        <w:t xml:space="preserve"> words for an additional eligibility clause to permit this</w:t>
      </w:r>
      <w:r w:rsidRPr="0067437A">
        <w:t>.</w:t>
      </w:r>
    </w:p>
    <w:p w:rsidR="002408C2" w:rsidRDefault="002408C2" w:rsidP="00A10759">
      <w:pPr>
        <w:pStyle w:val="3-BodyText"/>
        <w:ind w:left="709"/>
      </w:pPr>
      <w:r w:rsidRPr="0067437A">
        <w:t xml:space="preserve">Similar to other PBS listed therapies for PAH, the </w:t>
      </w:r>
      <w:r w:rsidR="00785419">
        <w:t xml:space="preserve">restriction </w:t>
      </w:r>
      <w:r w:rsidRPr="0067437A">
        <w:t>does not specifically preclude use in children</w:t>
      </w:r>
      <w:r w:rsidR="00157ACD">
        <w:t xml:space="preserve">; </w:t>
      </w:r>
      <w:r w:rsidRPr="0067437A">
        <w:t>however</w:t>
      </w:r>
      <w:r w:rsidR="00157ACD">
        <w:t xml:space="preserve">, the TGA approved Product Information for </w:t>
      </w:r>
      <w:r w:rsidRPr="0067437A">
        <w:t xml:space="preserve">selexipag cautions </w:t>
      </w:r>
      <w:r w:rsidR="00416E23" w:rsidRPr="0067437A">
        <w:t xml:space="preserve">against </w:t>
      </w:r>
      <w:r w:rsidRPr="0067437A">
        <w:t>use in children (&lt;</w:t>
      </w:r>
      <w:r w:rsidR="00157ACD">
        <w:t xml:space="preserve"> </w:t>
      </w:r>
      <w:r w:rsidRPr="0067437A">
        <w:t>18 years</w:t>
      </w:r>
      <w:r w:rsidR="00542605" w:rsidRPr="0067437A">
        <w:t xml:space="preserve"> of age</w:t>
      </w:r>
      <w:r w:rsidRPr="0067437A">
        <w:t xml:space="preserve">) due to a lack </w:t>
      </w:r>
      <w:r w:rsidR="00592D35">
        <w:t xml:space="preserve">of </w:t>
      </w:r>
      <w:r w:rsidRPr="0067437A">
        <w:t>efficacy and safety data in this population.</w:t>
      </w:r>
    </w:p>
    <w:p w:rsidR="009B4003" w:rsidRPr="009B4003" w:rsidRDefault="00785419" w:rsidP="009B4003">
      <w:pPr>
        <w:pStyle w:val="3-BodyText"/>
        <w:ind w:left="709"/>
      </w:pPr>
      <w:r>
        <w:t xml:space="preserve"> </w:t>
      </w:r>
      <w:r w:rsidR="00131A81">
        <w:t xml:space="preserve">The </w:t>
      </w:r>
      <w:r w:rsidR="009B4003" w:rsidRPr="009B4003">
        <w:t xml:space="preserve">Highly Specialised Drugs (HSD) Program </w:t>
      </w:r>
      <w:r w:rsidR="00131A81">
        <w:t xml:space="preserve">is </w:t>
      </w:r>
      <w:r w:rsidR="009B4003" w:rsidRPr="009B4003">
        <w:t>for drugs that are highly specialised, making administration outside an institutional environment problematic</w:t>
      </w:r>
      <w:r w:rsidR="009B4003">
        <w:t xml:space="preserve">. The </w:t>
      </w:r>
      <w:r w:rsidR="00157ACD">
        <w:t>re</w:t>
      </w:r>
      <w:r w:rsidR="009B4003">
        <w:t xml:space="preserve">submission </w:t>
      </w:r>
      <w:r w:rsidR="009943BF">
        <w:t>requested</w:t>
      </w:r>
      <w:r w:rsidR="009B4003">
        <w:t xml:space="preserve"> a Section 100 H</w:t>
      </w:r>
      <w:r w:rsidR="00157ACD">
        <w:t>SD</w:t>
      </w:r>
      <w:r w:rsidR="009B4003">
        <w:t xml:space="preserve"> Program listing </w:t>
      </w:r>
      <w:r w:rsidR="00157ACD">
        <w:t xml:space="preserve">for selexipag </w:t>
      </w:r>
      <w:r w:rsidR="009943BF">
        <w:t>as</w:t>
      </w:r>
      <w:r w:rsidR="00157ACD">
        <w:t>,</w:t>
      </w:r>
      <w:r w:rsidR="009943BF">
        <w:t xml:space="preserve"> currently</w:t>
      </w:r>
      <w:r w:rsidR="00157ACD">
        <w:t>,</w:t>
      </w:r>
      <w:r w:rsidR="009943BF">
        <w:t xml:space="preserve"> the PBS listed </w:t>
      </w:r>
      <w:r w:rsidR="009B4003">
        <w:t>ERAs and PDE</w:t>
      </w:r>
      <w:r w:rsidR="009943BF">
        <w:t>-5</w:t>
      </w:r>
      <w:r w:rsidR="009B4003">
        <w:t>i</w:t>
      </w:r>
      <w:r w:rsidR="009943BF">
        <w:t xml:space="preserve"> hav</w:t>
      </w:r>
      <w:r w:rsidR="009B4003">
        <w:t>e S</w:t>
      </w:r>
      <w:r w:rsidR="00157ACD">
        <w:t xml:space="preserve">ection </w:t>
      </w:r>
      <w:r w:rsidR="009B4003">
        <w:t>100 HSD</w:t>
      </w:r>
      <w:r w:rsidR="009943BF">
        <w:t xml:space="preserve"> </w:t>
      </w:r>
      <w:r w:rsidR="009B4003">
        <w:t>P</w:t>
      </w:r>
      <w:r w:rsidR="009943BF">
        <w:t>rogram</w:t>
      </w:r>
      <w:r w:rsidR="009B4003">
        <w:t xml:space="preserve"> listings. </w:t>
      </w:r>
      <w:r w:rsidR="00157ACD">
        <w:t>The administration of s</w:t>
      </w:r>
      <w:r w:rsidR="009B4003">
        <w:t>elexipag</w:t>
      </w:r>
      <w:r w:rsidR="00157ACD">
        <w:t xml:space="preserve"> </w:t>
      </w:r>
      <w:r w:rsidR="009B4003">
        <w:t>outside an institution environment was considered by the PBAC to be</w:t>
      </w:r>
      <w:r w:rsidR="00592D35">
        <w:t xml:space="preserve"> </w:t>
      </w:r>
      <w:r w:rsidR="009B4003" w:rsidRPr="00592D35">
        <w:t xml:space="preserve">non-problematic, as it is an orally administered drug that is unlikely to have immediate, life-threatening administration </w:t>
      </w:r>
      <w:r w:rsidR="00592D35" w:rsidRPr="00592D35">
        <w:t>sequalae</w:t>
      </w:r>
      <w:r w:rsidR="009B4003" w:rsidRPr="00592D35">
        <w:t xml:space="preserve"> for which an institutional environment equipped with resuscitation equipment and expertise to handle an acute medical emergency, would be needed.  </w:t>
      </w:r>
      <w:r w:rsidR="00A90692" w:rsidRPr="00592D35">
        <w:t>Therefore, listing selexipag under sp</w:t>
      </w:r>
      <w:r w:rsidR="004D0718" w:rsidRPr="00592D35">
        <w:t>ecial circumstances through the</w:t>
      </w:r>
      <w:r w:rsidR="00A90692" w:rsidRPr="00592D35">
        <w:t xml:space="preserve"> S</w:t>
      </w:r>
      <w:r w:rsidR="00157ACD">
        <w:t xml:space="preserve">ection </w:t>
      </w:r>
      <w:r w:rsidR="00A90692" w:rsidRPr="00592D35">
        <w:t>100 HSD</w:t>
      </w:r>
      <w:r w:rsidR="009943BF" w:rsidRPr="00592D35">
        <w:t xml:space="preserve"> </w:t>
      </w:r>
      <w:r w:rsidR="00A90692" w:rsidRPr="00592D35">
        <w:t>P</w:t>
      </w:r>
      <w:r w:rsidR="009943BF" w:rsidRPr="00592D35">
        <w:t>rogram,</w:t>
      </w:r>
      <w:r w:rsidR="00A90692" w:rsidRPr="00592D35">
        <w:t xml:space="preserve"> was not considered</w:t>
      </w:r>
      <w:r w:rsidR="00A90692">
        <w:t xml:space="preserve"> appropriate. </w:t>
      </w:r>
    </w:p>
    <w:p w:rsidR="0081252B" w:rsidRPr="0067437A" w:rsidRDefault="0081252B" w:rsidP="002579C0">
      <w:pPr>
        <w:pStyle w:val="ListParagraph"/>
        <w:numPr>
          <w:ilvl w:val="0"/>
          <w:numId w:val="0"/>
        </w:numPr>
        <w:ind w:left="709"/>
      </w:pPr>
      <w:r w:rsidRPr="0067437A">
        <w:rPr>
          <w:i/>
        </w:rPr>
        <w:t>For more detail on PBAC’s view, see section 7 PBAC outcome.</w:t>
      </w:r>
    </w:p>
    <w:p w:rsidR="00B50DB8" w:rsidRPr="0067437A" w:rsidRDefault="00203181" w:rsidP="004E18E9">
      <w:pPr>
        <w:pStyle w:val="2-SectionHeading"/>
      </w:pPr>
      <w:bookmarkStart w:id="10" w:name="_Toc40866414"/>
      <w:r w:rsidRPr="0067437A">
        <w:t xml:space="preserve">Population and </w:t>
      </w:r>
      <w:r w:rsidR="008E0D3C" w:rsidRPr="0067437A">
        <w:t>d</w:t>
      </w:r>
      <w:r w:rsidRPr="0067437A">
        <w:t>isease</w:t>
      </w:r>
      <w:bookmarkEnd w:id="10"/>
    </w:p>
    <w:p w:rsidR="00614B26" w:rsidRPr="0067437A" w:rsidRDefault="001B0E5B" w:rsidP="00AA67FB">
      <w:pPr>
        <w:pStyle w:val="3-BodyText"/>
        <w:ind w:left="709"/>
      </w:pPr>
      <w:r w:rsidRPr="0067437A">
        <w:rPr>
          <w:color w:val="000000" w:themeColor="text1"/>
        </w:rPr>
        <w:t xml:space="preserve">PAH is a rare, intractable and progressive disease characterised by </w:t>
      </w:r>
      <w:r w:rsidR="00742916" w:rsidRPr="0067437A">
        <w:rPr>
          <w:color w:val="000000" w:themeColor="text1"/>
        </w:rPr>
        <w:t xml:space="preserve">high </w:t>
      </w:r>
      <w:r w:rsidRPr="0067437A">
        <w:rPr>
          <w:color w:val="000000" w:themeColor="text1"/>
        </w:rPr>
        <w:t xml:space="preserve">pressure in the pulmonary arteries, which can lead to right heart failure and premature death. </w:t>
      </w:r>
      <w:r w:rsidR="00FC67C3" w:rsidRPr="0067437A">
        <w:rPr>
          <w:color w:val="000000" w:themeColor="text1"/>
        </w:rPr>
        <w:t xml:space="preserve">Patients with PAH experience a high co-morbidity burden </w:t>
      </w:r>
      <w:r w:rsidR="00944B59" w:rsidRPr="0067437A">
        <w:rPr>
          <w:color w:val="000000" w:themeColor="text1"/>
        </w:rPr>
        <w:t>and</w:t>
      </w:r>
      <w:r w:rsidR="00FC67C3" w:rsidRPr="0067437A">
        <w:rPr>
          <w:color w:val="000000" w:themeColor="text1"/>
        </w:rPr>
        <w:t xml:space="preserve"> negative impacts</w:t>
      </w:r>
      <w:r w:rsidR="00A727C2" w:rsidRPr="0067437A">
        <w:rPr>
          <w:color w:val="000000" w:themeColor="text1"/>
        </w:rPr>
        <w:t xml:space="preserve"> on</w:t>
      </w:r>
      <w:r w:rsidR="00FC67C3" w:rsidRPr="0067437A">
        <w:rPr>
          <w:color w:val="000000" w:themeColor="text1"/>
        </w:rPr>
        <w:t xml:space="preserve"> quality of life. </w:t>
      </w:r>
      <w:r w:rsidR="002A3E94" w:rsidRPr="0067437A">
        <w:rPr>
          <w:color w:val="000000" w:themeColor="text1"/>
        </w:rPr>
        <w:t>The goal of PAH therapy is to achieve a low-risk (I or II) WHO FC status</w:t>
      </w:r>
      <w:r w:rsidR="0067437A">
        <w:rPr>
          <w:color w:val="000000" w:themeColor="text1"/>
        </w:rPr>
        <w:t xml:space="preserve">. </w:t>
      </w:r>
      <w:r w:rsidR="00614B26" w:rsidRPr="0067437A">
        <w:rPr>
          <w:color w:val="000000" w:themeColor="text1"/>
        </w:rPr>
        <w:t>WHO FC I status is defined as no limitation of usual physical activity</w:t>
      </w:r>
      <w:r w:rsidR="00944B59" w:rsidRPr="0067437A">
        <w:rPr>
          <w:color w:val="000000" w:themeColor="text1"/>
        </w:rPr>
        <w:t xml:space="preserve"> and</w:t>
      </w:r>
      <w:r w:rsidR="00614B26" w:rsidRPr="0067437A">
        <w:rPr>
          <w:color w:val="000000" w:themeColor="text1"/>
        </w:rPr>
        <w:t xml:space="preserve"> where ordinary physical activity does not cause increased dyspnoea, fatigue, chest pain, or </w:t>
      </w:r>
      <w:r w:rsidR="00614B26" w:rsidRPr="0067437A">
        <w:rPr>
          <w:color w:val="000000" w:themeColor="text1"/>
        </w:rPr>
        <w:lastRenderedPageBreak/>
        <w:t xml:space="preserve">presyncope. WHO FC II status is defined as mild limitation of physical activity where there is no discomfort at rest, but normal physical activity causes increased dyspnoea, fatigue, chest pain, or presyncope. </w:t>
      </w:r>
    </w:p>
    <w:p w:rsidR="0029319C" w:rsidRPr="0067437A" w:rsidRDefault="00AA67FB" w:rsidP="00290097">
      <w:pPr>
        <w:pStyle w:val="3-BodyText"/>
        <w:ind w:left="709"/>
      </w:pPr>
      <w:r w:rsidRPr="0067437A">
        <w:t>The resubmission argued that</w:t>
      </w:r>
      <w:r w:rsidR="00742916" w:rsidRPr="0067437A">
        <w:t>,</w:t>
      </w:r>
      <w:r w:rsidRPr="0067437A">
        <w:t xml:space="preserve"> d</w:t>
      </w:r>
      <w:r w:rsidR="0029319C" w:rsidRPr="0067437A">
        <w:t>espite available treatments, there remains an unmet clinical need for patients who experience clinical worsening or disease progression while stabilised on dual therapy with an ERA and a PDE-5i. The most widely used treatment strategy for PAH is sequential combination therapy using agents of different mechanisms. Selexipag is a selective, I-prostanoid receptor agonist; it is structurally and pharmacologically distinct from prostacyclin analogues</w:t>
      </w:r>
      <w:r w:rsidR="00BA7B47" w:rsidRPr="0067437A">
        <w:t xml:space="preserve"> (such as iloprost or epoprostenol, which are also PBS listed for PAH)</w:t>
      </w:r>
      <w:r w:rsidR="0067437A">
        <w:t xml:space="preserve">. </w:t>
      </w:r>
      <w:r w:rsidR="0029319C" w:rsidRPr="0067437A">
        <w:t>It can be used in combination with a PDE-5i that targets the nitric oxide pathway and an ERA that targets the endothelin pathway; enabling synergistic effects covering each of the three pathways implicated in the molecular pathophysiology of PAH.</w:t>
      </w:r>
    </w:p>
    <w:p w:rsidR="00B50DB8" w:rsidRPr="0067437A" w:rsidRDefault="00B50DB8" w:rsidP="004E18E9">
      <w:pPr>
        <w:pStyle w:val="2-SectionHeading"/>
      </w:pPr>
      <w:bookmarkStart w:id="11" w:name="_Toc40866415"/>
      <w:r w:rsidRPr="0067437A">
        <w:t>Comparator</w:t>
      </w:r>
      <w:bookmarkEnd w:id="11"/>
    </w:p>
    <w:p w:rsidR="00C10E16" w:rsidRPr="0067437A" w:rsidRDefault="008D1FC1" w:rsidP="00290097">
      <w:pPr>
        <w:pStyle w:val="3-BodyText"/>
        <w:ind w:left="709"/>
        <w:rPr>
          <w:snapToGrid/>
          <w:color w:val="000000" w:themeColor="text1"/>
        </w:rPr>
      </w:pPr>
      <w:r w:rsidRPr="0067437A">
        <w:rPr>
          <w:color w:val="000000" w:themeColor="text1"/>
        </w:rPr>
        <w:t>Placebo was nominated as the main comparator</w:t>
      </w:r>
      <w:r w:rsidR="007A5BF2" w:rsidRPr="0067437A">
        <w:rPr>
          <w:color w:val="000000" w:themeColor="text1"/>
        </w:rPr>
        <w:t>,</w:t>
      </w:r>
      <w:r w:rsidRPr="0067437A">
        <w:rPr>
          <w:color w:val="000000" w:themeColor="text1"/>
        </w:rPr>
        <w:t xml:space="preserve"> </w:t>
      </w:r>
      <w:r w:rsidR="006F06D7" w:rsidRPr="0067437A">
        <w:rPr>
          <w:color w:val="000000" w:themeColor="text1"/>
        </w:rPr>
        <w:t>c</w:t>
      </w:r>
      <w:r w:rsidRPr="0067437A">
        <w:rPr>
          <w:color w:val="000000" w:themeColor="text1"/>
        </w:rPr>
        <w:t xml:space="preserve">onsistent with </w:t>
      </w:r>
      <w:r w:rsidR="00C10E16" w:rsidRPr="0067437A">
        <w:rPr>
          <w:color w:val="000000" w:themeColor="text1"/>
        </w:rPr>
        <w:t xml:space="preserve">the </w:t>
      </w:r>
      <w:r w:rsidRPr="0067437A">
        <w:rPr>
          <w:color w:val="000000" w:themeColor="text1"/>
        </w:rPr>
        <w:t xml:space="preserve">March 2016 and 2017 submissions. The PBAC previously </w:t>
      </w:r>
      <w:r w:rsidR="006F06D7" w:rsidRPr="0067437A">
        <w:rPr>
          <w:color w:val="000000" w:themeColor="text1"/>
        </w:rPr>
        <w:t xml:space="preserve">agreed that </w:t>
      </w:r>
      <w:r w:rsidRPr="0067437A">
        <w:rPr>
          <w:color w:val="000000" w:themeColor="text1"/>
        </w:rPr>
        <w:t>placebo</w:t>
      </w:r>
      <w:r w:rsidR="006F06D7" w:rsidRPr="0067437A">
        <w:rPr>
          <w:color w:val="000000" w:themeColor="text1"/>
        </w:rPr>
        <w:t xml:space="preserve"> (as add-on to an ERA or PDE-5i, or both) w</w:t>
      </w:r>
      <w:r w:rsidRPr="0067437A">
        <w:rPr>
          <w:color w:val="000000" w:themeColor="text1"/>
        </w:rPr>
        <w:t>as an appropriate comparator</w:t>
      </w:r>
      <w:r w:rsidR="006F06D7" w:rsidRPr="0067437A">
        <w:rPr>
          <w:color w:val="000000" w:themeColor="text1"/>
        </w:rPr>
        <w:t xml:space="preserve"> (para</w:t>
      </w:r>
      <w:r w:rsidR="00E24146">
        <w:rPr>
          <w:color w:val="000000" w:themeColor="text1"/>
        </w:rPr>
        <w:t>graph</w:t>
      </w:r>
      <w:r w:rsidR="006F06D7" w:rsidRPr="0067437A">
        <w:rPr>
          <w:color w:val="000000" w:themeColor="text1"/>
        </w:rPr>
        <w:t xml:space="preserve"> 7.3, selexipag PSD, March 2016).</w:t>
      </w:r>
    </w:p>
    <w:p w:rsidR="00C10E16" w:rsidRPr="0067437A" w:rsidRDefault="00C10E16" w:rsidP="00290097">
      <w:pPr>
        <w:pStyle w:val="3-BodyText"/>
        <w:ind w:left="709"/>
      </w:pPr>
      <w:r w:rsidRPr="0067437A">
        <w:t>The resubmission also reasonably argued that</w:t>
      </w:r>
      <w:r w:rsidR="00DC7BB2" w:rsidRPr="0067437A">
        <w:t xml:space="preserve"> intravenous (IV</w:t>
      </w:r>
      <w:r w:rsidR="00F536EF" w:rsidRPr="0067437A">
        <w:t>)</w:t>
      </w:r>
      <w:r w:rsidR="00DC7BB2" w:rsidRPr="0067437A">
        <w:t xml:space="preserve"> epoprostenol would not be a main comparator </w:t>
      </w:r>
      <w:r w:rsidR="00524F1B" w:rsidRPr="0067437A">
        <w:t>as</w:t>
      </w:r>
      <w:r w:rsidR="00DC7BB2" w:rsidRPr="0067437A">
        <w:t xml:space="preserve"> </w:t>
      </w:r>
      <w:r w:rsidRPr="0067437A">
        <w:t xml:space="preserve">selexipag would </w:t>
      </w:r>
      <w:r w:rsidR="00416E23" w:rsidRPr="0067437A">
        <w:t>disp</w:t>
      </w:r>
      <w:r w:rsidR="00742916" w:rsidRPr="0067437A">
        <w:t>la</w:t>
      </w:r>
      <w:r w:rsidR="00416E23" w:rsidRPr="0067437A">
        <w:t xml:space="preserve">ce, </w:t>
      </w:r>
      <w:r w:rsidRPr="0067437A">
        <w:t xml:space="preserve">rather </w:t>
      </w:r>
      <w:r w:rsidR="00416E23" w:rsidRPr="0067437A">
        <w:t>than replace</w:t>
      </w:r>
      <w:r w:rsidR="00DC7BB2" w:rsidRPr="0067437A">
        <w:t xml:space="preserve"> its use. </w:t>
      </w:r>
      <w:r w:rsidR="00524F1B" w:rsidRPr="0067437A">
        <w:t>Although n</w:t>
      </w:r>
      <w:r w:rsidRPr="0067437A">
        <w:t xml:space="preserve">ot discussed </w:t>
      </w:r>
      <w:r w:rsidR="007A5BF2" w:rsidRPr="0067437A">
        <w:t>in</w:t>
      </w:r>
      <w:r w:rsidRPr="0067437A">
        <w:t xml:space="preserve"> the resubmission, similar argument</w:t>
      </w:r>
      <w:r w:rsidR="003D7C75" w:rsidRPr="0067437A">
        <w:t xml:space="preserve">s </w:t>
      </w:r>
      <w:r w:rsidRPr="0067437A">
        <w:t xml:space="preserve">would </w:t>
      </w:r>
      <w:r w:rsidR="00524F1B" w:rsidRPr="0067437A">
        <w:t xml:space="preserve">also </w:t>
      </w:r>
      <w:r w:rsidRPr="0067437A">
        <w:t xml:space="preserve">likely apply to inhaled iloprost (which is administered </w:t>
      </w:r>
      <w:r w:rsidR="00742916" w:rsidRPr="0067437A">
        <w:t>six to nine</w:t>
      </w:r>
      <w:r w:rsidRPr="0067437A">
        <w:t xml:space="preserve"> times per day). </w:t>
      </w:r>
    </w:p>
    <w:p w:rsidR="0081252B" w:rsidRPr="0067437A" w:rsidRDefault="0081252B" w:rsidP="002579C0">
      <w:pPr>
        <w:pStyle w:val="ListParagraph"/>
        <w:numPr>
          <w:ilvl w:val="0"/>
          <w:numId w:val="0"/>
        </w:numPr>
        <w:ind w:left="709"/>
      </w:pPr>
      <w:r w:rsidRPr="0067437A">
        <w:rPr>
          <w:i/>
        </w:rPr>
        <w:t>For more detail on PBAC’s view, see section 7 PBAC outcome.</w:t>
      </w:r>
    </w:p>
    <w:p w:rsidR="00223D5A" w:rsidRPr="0067437A" w:rsidRDefault="00223D5A" w:rsidP="00223D5A">
      <w:pPr>
        <w:pStyle w:val="2-SectionHeading"/>
      </w:pPr>
      <w:bookmarkStart w:id="12" w:name="_Toc40866416"/>
      <w:bookmarkStart w:id="13" w:name="_Toc22897640"/>
      <w:r w:rsidRPr="0067437A">
        <w:t>Consideration of the evidence</w:t>
      </w:r>
      <w:bookmarkEnd w:id="12"/>
    </w:p>
    <w:p w:rsidR="0081252B" w:rsidRPr="00856390" w:rsidRDefault="0081252B" w:rsidP="00856390">
      <w:pPr>
        <w:pStyle w:val="4-SubsectionHeading"/>
      </w:pPr>
      <w:bookmarkStart w:id="14" w:name="_Toc40866417"/>
      <w:r w:rsidRPr="00856390">
        <w:t>Sponsor hearing</w:t>
      </w:r>
    </w:p>
    <w:p w:rsidR="0081252B" w:rsidRPr="0067437A" w:rsidRDefault="00B15228" w:rsidP="0081252B">
      <w:pPr>
        <w:widowControl w:val="0"/>
        <w:numPr>
          <w:ilvl w:val="1"/>
          <w:numId w:val="1"/>
        </w:numPr>
        <w:spacing w:after="120"/>
        <w:ind w:left="720"/>
        <w:rPr>
          <w:rFonts w:asciiTheme="minorHAnsi" w:hAnsiTheme="minorHAnsi"/>
          <w:bCs/>
          <w:snapToGrid w:val="0"/>
        </w:rPr>
      </w:pPr>
      <w:r>
        <w:rPr>
          <w:rFonts w:asciiTheme="minorHAnsi" w:hAnsiTheme="minorHAnsi"/>
          <w:bCs/>
          <w:snapToGrid w:val="0"/>
        </w:rPr>
        <w:t xml:space="preserve">The sponsor requested a hearing for this item. </w:t>
      </w:r>
      <w:r w:rsidR="00843BE0" w:rsidRPr="0067437A">
        <w:rPr>
          <w:rFonts w:asciiTheme="minorHAnsi" w:hAnsiTheme="minorHAnsi"/>
          <w:bCs/>
          <w:snapToGrid w:val="0"/>
        </w:rPr>
        <w:t>The clinician described the importance of additional treatment options for late-stage PAH and highlighted the ongoing high mortality rate in this diseas</w:t>
      </w:r>
      <w:r w:rsidR="006312EB" w:rsidRPr="0067437A">
        <w:rPr>
          <w:rFonts w:asciiTheme="minorHAnsi" w:hAnsiTheme="minorHAnsi"/>
          <w:bCs/>
          <w:snapToGrid w:val="0"/>
        </w:rPr>
        <w:t>e and</w:t>
      </w:r>
      <w:r w:rsidR="00843BE0" w:rsidRPr="0067437A">
        <w:rPr>
          <w:rFonts w:asciiTheme="minorHAnsi" w:hAnsiTheme="minorHAnsi"/>
          <w:bCs/>
          <w:snapToGrid w:val="0"/>
        </w:rPr>
        <w:t xml:space="preserve"> the issues with current treatments which act on the prostacyclin pathway, including limited evidence of long-term benefit with inhaled iloprost and the severe quality of life decrements associated with the </w:t>
      </w:r>
      <w:r w:rsidR="006312EB" w:rsidRPr="0067437A">
        <w:rPr>
          <w:rFonts w:asciiTheme="minorHAnsi" w:hAnsiTheme="minorHAnsi"/>
          <w:bCs/>
          <w:snapToGrid w:val="0"/>
        </w:rPr>
        <w:t>use of</w:t>
      </w:r>
      <w:r w:rsidR="00843BE0" w:rsidRPr="0067437A">
        <w:rPr>
          <w:rFonts w:asciiTheme="minorHAnsi" w:hAnsiTheme="minorHAnsi"/>
          <w:bCs/>
          <w:snapToGrid w:val="0"/>
        </w:rPr>
        <w:t xml:space="preserve"> IV epoprostenol.</w:t>
      </w:r>
      <w:r w:rsidR="00092DDB" w:rsidRPr="0067437A">
        <w:rPr>
          <w:rFonts w:asciiTheme="minorHAnsi" w:hAnsiTheme="minorHAnsi"/>
          <w:bCs/>
          <w:snapToGrid w:val="0"/>
        </w:rPr>
        <w:t xml:space="preserve"> The clinician also highlighted the additional health system costs and patient burden associated with IV epoprostenol, particularly in terms of long hospitalisation at treatment initiation.</w:t>
      </w:r>
      <w:r w:rsidR="00107302" w:rsidRPr="0067437A">
        <w:rPr>
          <w:rFonts w:asciiTheme="minorHAnsi" w:hAnsiTheme="minorHAnsi"/>
          <w:bCs/>
          <w:snapToGrid w:val="0"/>
        </w:rPr>
        <w:t xml:space="preserve"> The PBAC considered that the presentation was informative as it provided a clinical perspective on treating PAH.</w:t>
      </w:r>
    </w:p>
    <w:p w:rsidR="0081252B" w:rsidRPr="00856390" w:rsidRDefault="0081252B" w:rsidP="00856390">
      <w:pPr>
        <w:pStyle w:val="4-SubsectionHeading"/>
      </w:pPr>
      <w:r w:rsidRPr="00856390">
        <w:t>Consumer comments</w:t>
      </w:r>
    </w:p>
    <w:p w:rsidR="00092DDB" w:rsidRPr="0067437A" w:rsidRDefault="0081252B" w:rsidP="00A8762D">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The PBAC noted and welcom</w:t>
      </w:r>
      <w:r w:rsidR="00092DDB" w:rsidRPr="0067437A">
        <w:rPr>
          <w:rFonts w:asciiTheme="minorHAnsi" w:hAnsiTheme="minorHAnsi"/>
          <w:bCs/>
          <w:snapToGrid w:val="0"/>
        </w:rPr>
        <w:t>ed the input from individuals (113), health care professionals (26</w:t>
      </w:r>
      <w:r w:rsidRPr="0067437A">
        <w:rPr>
          <w:rFonts w:asciiTheme="minorHAnsi" w:hAnsiTheme="minorHAnsi"/>
          <w:bCs/>
          <w:snapToGrid w:val="0"/>
        </w:rPr>
        <w:t>) a</w:t>
      </w:r>
      <w:r w:rsidR="00092DDB" w:rsidRPr="0067437A">
        <w:rPr>
          <w:rFonts w:asciiTheme="minorHAnsi" w:hAnsiTheme="minorHAnsi"/>
          <w:bCs/>
          <w:snapToGrid w:val="0"/>
        </w:rPr>
        <w:t>nd organisations (3</w:t>
      </w:r>
      <w:r w:rsidRPr="0067437A">
        <w:rPr>
          <w:rFonts w:asciiTheme="minorHAnsi" w:hAnsiTheme="minorHAnsi"/>
          <w:bCs/>
          <w:snapToGrid w:val="0"/>
        </w:rPr>
        <w:t xml:space="preserve">) via the Consumer Comments facility on the </w:t>
      </w:r>
      <w:r w:rsidRPr="0067437A">
        <w:rPr>
          <w:rFonts w:asciiTheme="minorHAnsi" w:hAnsiTheme="minorHAnsi"/>
          <w:bCs/>
          <w:snapToGrid w:val="0"/>
        </w:rPr>
        <w:lastRenderedPageBreak/>
        <w:t xml:space="preserve">PBS website. </w:t>
      </w:r>
      <w:r w:rsidR="002579C0" w:rsidRPr="0067437A">
        <w:rPr>
          <w:rFonts w:asciiTheme="minorHAnsi" w:hAnsiTheme="minorHAnsi"/>
          <w:bCs/>
          <w:snapToGrid w:val="0"/>
        </w:rPr>
        <w:t xml:space="preserve">The </w:t>
      </w:r>
      <w:r w:rsidR="00A8762D" w:rsidRPr="0067437A">
        <w:rPr>
          <w:rFonts w:asciiTheme="minorHAnsi" w:hAnsiTheme="minorHAnsi"/>
          <w:bCs/>
          <w:snapToGrid w:val="0"/>
        </w:rPr>
        <w:t>majority of</w:t>
      </w:r>
      <w:r w:rsidR="002579C0" w:rsidRPr="0067437A">
        <w:rPr>
          <w:rFonts w:asciiTheme="minorHAnsi" w:hAnsiTheme="minorHAnsi"/>
          <w:bCs/>
          <w:snapToGrid w:val="0"/>
        </w:rPr>
        <w:t xml:space="preserve"> </w:t>
      </w:r>
      <w:r w:rsidR="00107302" w:rsidRPr="0067437A">
        <w:rPr>
          <w:rFonts w:asciiTheme="minorHAnsi" w:hAnsiTheme="minorHAnsi"/>
          <w:bCs/>
          <w:snapToGrid w:val="0"/>
        </w:rPr>
        <w:t xml:space="preserve">the </w:t>
      </w:r>
      <w:r w:rsidR="00A8762D" w:rsidRPr="0067437A">
        <w:rPr>
          <w:rFonts w:asciiTheme="minorHAnsi" w:hAnsiTheme="minorHAnsi"/>
          <w:bCs/>
          <w:snapToGrid w:val="0"/>
        </w:rPr>
        <w:t>consumer comments, as well as patient advocates from the Pulmonary Hypertension Network Australia, the Lung Foundation Australia and PAH Association of Australia</w:t>
      </w:r>
      <w:r w:rsidR="00107302" w:rsidRPr="0067437A">
        <w:rPr>
          <w:rFonts w:asciiTheme="minorHAnsi" w:hAnsiTheme="minorHAnsi"/>
          <w:bCs/>
          <w:snapToGrid w:val="0"/>
        </w:rPr>
        <w:t>,</w:t>
      </w:r>
      <w:r w:rsidR="00376E7E" w:rsidRPr="0067437A">
        <w:rPr>
          <w:rFonts w:asciiTheme="minorHAnsi" w:hAnsiTheme="minorHAnsi"/>
          <w:bCs/>
          <w:snapToGrid w:val="0"/>
        </w:rPr>
        <w:t xml:space="preserve"> </w:t>
      </w:r>
      <w:r w:rsidR="00107302" w:rsidRPr="0067437A">
        <w:rPr>
          <w:rFonts w:asciiTheme="minorHAnsi" w:hAnsiTheme="minorHAnsi"/>
          <w:bCs/>
          <w:snapToGrid w:val="0"/>
        </w:rPr>
        <w:t>described</w:t>
      </w:r>
      <w:r w:rsidR="007C1F0D" w:rsidRPr="0067437A">
        <w:rPr>
          <w:rFonts w:asciiTheme="minorHAnsi" w:hAnsiTheme="minorHAnsi"/>
          <w:bCs/>
          <w:snapToGrid w:val="0"/>
        </w:rPr>
        <w:t xml:space="preserve"> </w:t>
      </w:r>
      <w:r w:rsidR="00107302" w:rsidRPr="0067437A">
        <w:rPr>
          <w:rFonts w:asciiTheme="minorHAnsi" w:hAnsiTheme="minorHAnsi"/>
          <w:bCs/>
          <w:snapToGrid w:val="0"/>
        </w:rPr>
        <w:t xml:space="preserve">living with </w:t>
      </w:r>
      <w:r w:rsidR="00A8762D" w:rsidRPr="0067437A">
        <w:rPr>
          <w:rFonts w:asciiTheme="minorHAnsi" w:hAnsiTheme="minorHAnsi"/>
          <w:bCs/>
          <w:snapToGrid w:val="0"/>
        </w:rPr>
        <w:t xml:space="preserve">PAH and </w:t>
      </w:r>
      <w:r w:rsidR="00107302" w:rsidRPr="0067437A">
        <w:rPr>
          <w:rFonts w:asciiTheme="minorHAnsi" w:hAnsiTheme="minorHAnsi"/>
          <w:bCs/>
          <w:snapToGrid w:val="0"/>
        </w:rPr>
        <w:t xml:space="preserve">the reduced ability to undertake daily activities. The comments also described </w:t>
      </w:r>
      <w:r w:rsidR="00A8762D" w:rsidRPr="0067437A">
        <w:rPr>
          <w:rFonts w:asciiTheme="minorHAnsi" w:hAnsiTheme="minorHAnsi"/>
          <w:bCs/>
          <w:snapToGrid w:val="0"/>
        </w:rPr>
        <w:t xml:space="preserve">treatment with </w:t>
      </w:r>
      <w:r w:rsidR="00092DDB" w:rsidRPr="0067437A">
        <w:rPr>
          <w:rFonts w:asciiTheme="minorHAnsi" w:hAnsiTheme="minorHAnsi"/>
          <w:bCs/>
          <w:snapToGrid w:val="0"/>
        </w:rPr>
        <w:t>IV epoprostenol</w:t>
      </w:r>
      <w:r w:rsidR="00376E7E" w:rsidRPr="0067437A">
        <w:rPr>
          <w:rFonts w:asciiTheme="minorHAnsi" w:hAnsiTheme="minorHAnsi"/>
          <w:bCs/>
          <w:snapToGrid w:val="0"/>
        </w:rPr>
        <w:t xml:space="preserve"> and the risks associated with </w:t>
      </w:r>
      <w:r w:rsidR="002579C0" w:rsidRPr="0067437A">
        <w:rPr>
          <w:rFonts w:asciiTheme="minorHAnsi" w:hAnsiTheme="minorHAnsi"/>
          <w:bCs/>
          <w:snapToGrid w:val="0"/>
        </w:rPr>
        <w:t>the continuous IV</w:t>
      </w:r>
      <w:r w:rsidR="00794C7F">
        <w:rPr>
          <w:rFonts w:asciiTheme="minorHAnsi" w:hAnsiTheme="minorHAnsi"/>
          <w:bCs/>
          <w:snapToGrid w:val="0"/>
        </w:rPr>
        <w:t xml:space="preserve"> infusion</w:t>
      </w:r>
      <w:r w:rsidR="002579C0" w:rsidRPr="0067437A">
        <w:rPr>
          <w:rFonts w:asciiTheme="minorHAnsi" w:hAnsiTheme="minorHAnsi"/>
          <w:bCs/>
          <w:snapToGrid w:val="0"/>
        </w:rPr>
        <w:t xml:space="preserve">, including pump </w:t>
      </w:r>
      <w:r w:rsidR="00376E7E" w:rsidRPr="0067437A">
        <w:rPr>
          <w:rFonts w:asciiTheme="minorHAnsi" w:hAnsiTheme="minorHAnsi"/>
          <w:bCs/>
          <w:snapToGrid w:val="0"/>
        </w:rPr>
        <w:t xml:space="preserve">failure </w:t>
      </w:r>
      <w:r w:rsidR="002579C0" w:rsidRPr="0067437A">
        <w:rPr>
          <w:rFonts w:asciiTheme="minorHAnsi" w:hAnsiTheme="minorHAnsi"/>
          <w:bCs/>
          <w:snapToGrid w:val="0"/>
        </w:rPr>
        <w:t>and</w:t>
      </w:r>
      <w:r w:rsidR="00376E7E" w:rsidRPr="0067437A">
        <w:rPr>
          <w:rFonts w:asciiTheme="minorHAnsi" w:hAnsiTheme="minorHAnsi"/>
          <w:bCs/>
          <w:snapToGrid w:val="0"/>
        </w:rPr>
        <w:t xml:space="preserve"> infections</w:t>
      </w:r>
      <w:r w:rsidR="0067437A">
        <w:rPr>
          <w:rFonts w:asciiTheme="minorHAnsi" w:hAnsiTheme="minorHAnsi"/>
          <w:bCs/>
          <w:snapToGrid w:val="0"/>
        </w:rPr>
        <w:t xml:space="preserve">. </w:t>
      </w:r>
      <w:r w:rsidR="00A8762D" w:rsidRPr="0067437A">
        <w:rPr>
          <w:rFonts w:asciiTheme="minorHAnsi" w:hAnsiTheme="minorHAnsi"/>
          <w:bCs/>
          <w:snapToGrid w:val="0"/>
        </w:rPr>
        <w:t xml:space="preserve">The health professionals and patients </w:t>
      </w:r>
      <w:r w:rsidR="00376E7E" w:rsidRPr="0067437A">
        <w:rPr>
          <w:rFonts w:asciiTheme="minorHAnsi" w:hAnsiTheme="minorHAnsi"/>
          <w:bCs/>
          <w:snapToGrid w:val="0"/>
        </w:rPr>
        <w:t>highlighted the</w:t>
      </w:r>
      <w:r w:rsidR="007C1F0D" w:rsidRPr="0067437A">
        <w:rPr>
          <w:rFonts w:asciiTheme="minorHAnsi" w:hAnsiTheme="minorHAnsi"/>
          <w:bCs/>
          <w:snapToGrid w:val="0"/>
        </w:rPr>
        <w:t xml:space="preserve"> efficacy of selexipag and</w:t>
      </w:r>
      <w:r w:rsidR="00376E7E" w:rsidRPr="0067437A">
        <w:rPr>
          <w:rFonts w:asciiTheme="minorHAnsi" w:hAnsiTheme="minorHAnsi"/>
          <w:bCs/>
          <w:snapToGrid w:val="0"/>
        </w:rPr>
        <w:t xml:space="preserve"> quality of life benefits patients would experience if </w:t>
      </w:r>
      <w:r w:rsidR="00A8762D" w:rsidRPr="0067437A">
        <w:rPr>
          <w:rFonts w:asciiTheme="minorHAnsi" w:hAnsiTheme="minorHAnsi"/>
          <w:bCs/>
          <w:snapToGrid w:val="0"/>
        </w:rPr>
        <w:t xml:space="preserve">IV </w:t>
      </w:r>
      <w:r w:rsidR="00376E7E" w:rsidRPr="0067437A">
        <w:rPr>
          <w:rFonts w:asciiTheme="minorHAnsi" w:hAnsiTheme="minorHAnsi"/>
          <w:bCs/>
          <w:snapToGrid w:val="0"/>
        </w:rPr>
        <w:t xml:space="preserve">epoprostenol could be delayed or avoided through the PBS listing of selexipag. </w:t>
      </w:r>
    </w:p>
    <w:p w:rsidR="00B60939" w:rsidRPr="0067437A" w:rsidRDefault="00B60939" w:rsidP="002E4F02">
      <w:pPr>
        <w:pStyle w:val="4-SubsectionHeading"/>
      </w:pPr>
      <w:r w:rsidRPr="0067437A">
        <w:t>Clinical</w:t>
      </w:r>
      <w:r w:rsidR="004C6FF2" w:rsidRPr="0067437A">
        <w:t xml:space="preserve"> trials</w:t>
      </w:r>
      <w:bookmarkEnd w:id="13"/>
      <w:bookmarkEnd w:id="14"/>
    </w:p>
    <w:p w:rsidR="00D67B1F" w:rsidRPr="0067437A" w:rsidRDefault="00A414CA" w:rsidP="007512CF">
      <w:pPr>
        <w:pStyle w:val="3-BodyText"/>
        <w:ind w:left="709"/>
        <w:rPr>
          <w:snapToGrid/>
        </w:rPr>
      </w:pPr>
      <w:r w:rsidRPr="0067437A">
        <w:rPr>
          <w:snapToGrid/>
        </w:rPr>
        <w:t>As per the March 2016 and March 2017 submission</w:t>
      </w:r>
      <w:r w:rsidR="004A7F35" w:rsidRPr="0067437A">
        <w:rPr>
          <w:snapToGrid/>
        </w:rPr>
        <w:t>s</w:t>
      </w:r>
      <w:r w:rsidRPr="0067437A">
        <w:rPr>
          <w:snapToGrid/>
        </w:rPr>
        <w:t>, t</w:t>
      </w:r>
      <w:r w:rsidR="00A73134" w:rsidRPr="0067437A">
        <w:rPr>
          <w:snapToGrid/>
        </w:rPr>
        <w:t xml:space="preserve">he </w:t>
      </w:r>
      <w:r w:rsidR="00AA66E6" w:rsidRPr="0067437A">
        <w:rPr>
          <w:snapToGrid/>
        </w:rPr>
        <w:t>res</w:t>
      </w:r>
      <w:r w:rsidR="00A73134" w:rsidRPr="0067437A">
        <w:rPr>
          <w:snapToGrid/>
        </w:rPr>
        <w:t xml:space="preserve">ubmission </w:t>
      </w:r>
      <w:r w:rsidR="00D5243B" w:rsidRPr="0067437A">
        <w:rPr>
          <w:snapToGrid/>
        </w:rPr>
        <w:t>wa</w:t>
      </w:r>
      <w:r w:rsidR="00A73134" w:rsidRPr="0067437A">
        <w:rPr>
          <w:snapToGrid/>
        </w:rPr>
        <w:t>s based on one head-to-head trial</w:t>
      </w:r>
      <w:r w:rsidR="00D53211" w:rsidRPr="0067437A">
        <w:rPr>
          <w:snapToGrid/>
        </w:rPr>
        <w:t xml:space="preserve"> (GRIPHON</w:t>
      </w:r>
      <w:r w:rsidR="00733E03" w:rsidRPr="0067437A">
        <w:rPr>
          <w:snapToGrid/>
        </w:rPr>
        <w:t xml:space="preserve">, </w:t>
      </w:r>
      <w:r w:rsidR="00EB6BFC" w:rsidRPr="0067437A">
        <w:rPr>
          <w:snapToGrid/>
        </w:rPr>
        <w:t>N</w:t>
      </w:r>
      <w:r w:rsidR="00733E03" w:rsidRPr="0067437A">
        <w:rPr>
          <w:snapToGrid/>
        </w:rPr>
        <w:t>=1</w:t>
      </w:r>
      <w:r w:rsidR="00524F1B" w:rsidRPr="0067437A">
        <w:rPr>
          <w:snapToGrid/>
        </w:rPr>
        <w:t>,</w:t>
      </w:r>
      <w:r w:rsidR="00733E03" w:rsidRPr="0067437A">
        <w:rPr>
          <w:snapToGrid/>
        </w:rPr>
        <w:t>156</w:t>
      </w:r>
      <w:r w:rsidR="00D53211" w:rsidRPr="0067437A">
        <w:rPr>
          <w:snapToGrid/>
        </w:rPr>
        <w:t>)</w:t>
      </w:r>
      <w:r w:rsidR="00BB74C3" w:rsidRPr="0067437A">
        <w:rPr>
          <w:snapToGrid/>
        </w:rPr>
        <w:t xml:space="preserve"> </w:t>
      </w:r>
      <w:r w:rsidR="00524F1B" w:rsidRPr="0067437A">
        <w:rPr>
          <w:snapToGrid/>
        </w:rPr>
        <w:t>which compared</w:t>
      </w:r>
      <w:r w:rsidR="00A73134" w:rsidRPr="0067437A">
        <w:rPr>
          <w:snapToGrid/>
        </w:rPr>
        <w:t xml:space="preserve"> </w:t>
      </w:r>
      <w:r w:rsidR="00BB74C3" w:rsidRPr="0067437A">
        <w:rPr>
          <w:snapToGrid/>
        </w:rPr>
        <w:t>selexipag</w:t>
      </w:r>
      <w:r w:rsidR="00A73134" w:rsidRPr="0067437A">
        <w:rPr>
          <w:snapToGrid/>
        </w:rPr>
        <w:t xml:space="preserve"> to </w:t>
      </w:r>
      <w:r w:rsidR="00BB74C3" w:rsidRPr="0067437A">
        <w:rPr>
          <w:snapToGrid/>
        </w:rPr>
        <w:t>placebo</w:t>
      </w:r>
      <w:r w:rsidR="00AA66E6" w:rsidRPr="0067437A">
        <w:rPr>
          <w:snapToGrid/>
        </w:rPr>
        <w:t xml:space="preserve"> </w:t>
      </w:r>
      <w:r w:rsidR="00D53211" w:rsidRPr="0067437A">
        <w:rPr>
          <w:snapToGrid/>
        </w:rPr>
        <w:t xml:space="preserve">in a broad </w:t>
      </w:r>
      <w:r w:rsidR="00733E03" w:rsidRPr="0067437A">
        <w:rPr>
          <w:snapToGrid/>
        </w:rPr>
        <w:t>population of PAH patients</w:t>
      </w:r>
      <w:r w:rsidR="003E400C" w:rsidRPr="0067437A">
        <w:rPr>
          <w:snapToGrid/>
        </w:rPr>
        <w:t xml:space="preserve"> (WHO FC I to IV)</w:t>
      </w:r>
      <w:r w:rsidR="00524F1B" w:rsidRPr="0067437A">
        <w:rPr>
          <w:snapToGrid/>
        </w:rPr>
        <w:t xml:space="preserve"> and </w:t>
      </w:r>
      <w:r w:rsidR="00733E03" w:rsidRPr="0067437A">
        <w:rPr>
          <w:snapToGrid/>
        </w:rPr>
        <w:t>includ</w:t>
      </w:r>
      <w:r w:rsidR="00524F1B" w:rsidRPr="0067437A">
        <w:rPr>
          <w:snapToGrid/>
        </w:rPr>
        <w:t>ed</w:t>
      </w:r>
      <w:r w:rsidR="00733E03" w:rsidRPr="0067437A">
        <w:rPr>
          <w:snapToGrid/>
        </w:rPr>
        <w:t xml:space="preserve"> treatment naïve</w:t>
      </w:r>
      <w:r w:rsidRPr="0067437A">
        <w:rPr>
          <w:snapToGrid/>
        </w:rPr>
        <w:t xml:space="preserve"> and</w:t>
      </w:r>
      <w:r w:rsidR="00733E03" w:rsidRPr="0067437A">
        <w:rPr>
          <w:snapToGrid/>
        </w:rPr>
        <w:t xml:space="preserve"> </w:t>
      </w:r>
      <w:r w:rsidR="000B6826" w:rsidRPr="0067437A">
        <w:rPr>
          <w:snapToGrid/>
        </w:rPr>
        <w:t xml:space="preserve">patients </w:t>
      </w:r>
      <w:r w:rsidRPr="0067437A">
        <w:rPr>
          <w:snapToGrid/>
        </w:rPr>
        <w:t>receiving</w:t>
      </w:r>
      <w:r w:rsidR="000B6826" w:rsidRPr="0067437A">
        <w:rPr>
          <w:snapToGrid/>
        </w:rPr>
        <w:t xml:space="preserve"> single or dual alternative</w:t>
      </w:r>
      <w:r w:rsidR="00733E03" w:rsidRPr="0067437A">
        <w:rPr>
          <w:snapToGrid/>
        </w:rPr>
        <w:t xml:space="preserve"> PAH therapies</w:t>
      </w:r>
      <w:r w:rsidR="004C3957" w:rsidRPr="0067437A">
        <w:rPr>
          <w:snapToGrid/>
        </w:rPr>
        <w:t xml:space="preserve">. </w:t>
      </w:r>
      <w:r w:rsidR="00AA66E6" w:rsidRPr="0067437A">
        <w:rPr>
          <w:snapToGrid/>
        </w:rPr>
        <w:t xml:space="preserve">In addition, three new </w:t>
      </w:r>
      <w:r w:rsidR="00524F1B" w:rsidRPr="0067437A">
        <w:rPr>
          <w:snapToGrid/>
        </w:rPr>
        <w:t>GRIPHON publications</w:t>
      </w:r>
      <w:r w:rsidR="006B6E15" w:rsidRPr="0067437A">
        <w:rPr>
          <w:snapToGrid/>
        </w:rPr>
        <w:t xml:space="preserve"> (two full</w:t>
      </w:r>
      <w:r w:rsidR="00CA2F63" w:rsidRPr="0067437A">
        <w:rPr>
          <w:snapToGrid/>
        </w:rPr>
        <w:t xml:space="preserve"> publications</w:t>
      </w:r>
      <w:r w:rsidR="008F7D46" w:rsidRPr="0067437A">
        <w:rPr>
          <w:snapToGrid/>
        </w:rPr>
        <w:t>: McLaughlin et al 2018 and Coghlan et al 2018</w:t>
      </w:r>
      <w:r w:rsidR="00944B59" w:rsidRPr="0067437A">
        <w:rPr>
          <w:snapToGrid/>
        </w:rPr>
        <w:t>a</w:t>
      </w:r>
      <w:r w:rsidRPr="0067437A">
        <w:rPr>
          <w:snapToGrid/>
        </w:rPr>
        <w:t>; and</w:t>
      </w:r>
      <w:r w:rsidR="006B6E15" w:rsidRPr="0067437A">
        <w:rPr>
          <w:snapToGrid/>
        </w:rPr>
        <w:t xml:space="preserve"> one conference abstract</w:t>
      </w:r>
      <w:r w:rsidRPr="0067437A">
        <w:rPr>
          <w:snapToGrid/>
        </w:rPr>
        <w:t>:</w:t>
      </w:r>
      <w:r w:rsidR="008F7D46" w:rsidRPr="0067437A">
        <w:rPr>
          <w:snapToGrid/>
        </w:rPr>
        <w:t xml:space="preserve"> Coghlan et al 2018b</w:t>
      </w:r>
      <w:r w:rsidR="006B6E15" w:rsidRPr="0067437A">
        <w:rPr>
          <w:snapToGrid/>
        </w:rPr>
        <w:t>)</w:t>
      </w:r>
      <w:r w:rsidR="00490C7B" w:rsidRPr="0067437A">
        <w:rPr>
          <w:snapToGrid/>
        </w:rPr>
        <w:t xml:space="preserve"> </w:t>
      </w:r>
      <w:r w:rsidR="00AA66E6" w:rsidRPr="0067437A">
        <w:rPr>
          <w:snapToGrid/>
        </w:rPr>
        <w:t>were presented</w:t>
      </w:r>
      <w:r w:rsidR="006B6E15" w:rsidRPr="0067437A">
        <w:rPr>
          <w:snapToGrid/>
        </w:rPr>
        <w:t>, which provide</w:t>
      </w:r>
      <w:r w:rsidRPr="0067437A">
        <w:rPr>
          <w:snapToGrid/>
        </w:rPr>
        <w:t>d</w:t>
      </w:r>
      <w:r w:rsidR="006B6E15" w:rsidRPr="0067437A">
        <w:rPr>
          <w:snapToGrid/>
        </w:rPr>
        <w:t xml:space="preserve"> new information</w:t>
      </w:r>
      <w:r w:rsidR="00D67B1F" w:rsidRPr="0067437A">
        <w:rPr>
          <w:snapToGrid/>
        </w:rPr>
        <w:t>:</w:t>
      </w:r>
    </w:p>
    <w:p w:rsidR="007512CF" w:rsidRPr="0067437A" w:rsidRDefault="007512CF" w:rsidP="00F33FA7">
      <w:pPr>
        <w:pStyle w:val="ListParagraph"/>
        <w:numPr>
          <w:ilvl w:val="0"/>
          <w:numId w:val="14"/>
        </w:numPr>
        <w:ind w:left="1134"/>
      </w:pPr>
      <w:r w:rsidRPr="0067437A">
        <w:t xml:space="preserve">Mclaughlin et al 2018, presented a post hoc analysis of the GRIPHON trial (plus results from SERAPHIN trial of </w:t>
      </w:r>
      <w:r w:rsidR="0047510D" w:rsidRPr="0067437A">
        <w:t>macitentan</w:t>
      </w:r>
      <w:r w:rsidRPr="0067437A">
        <w:t xml:space="preserve"> versus placebo) </w:t>
      </w:r>
      <w:r w:rsidR="00524F1B" w:rsidRPr="0067437A">
        <w:t>and</w:t>
      </w:r>
      <w:r w:rsidRPr="0067437A">
        <w:t xml:space="preserve"> the impact of morbidity events on the risk of subsequent mortality at 3, 6 and 12-month landmark time points</w:t>
      </w:r>
      <w:r w:rsidR="00524F1B" w:rsidRPr="0067437A">
        <w:t>;</w:t>
      </w:r>
    </w:p>
    <w:p w:rsidR="007512CF" w:rsidRPr="0067437A" w:rsidRDefault="007512CF" w:rsidP="00F33FA7">
      <w:pPr>
        <w:pStyle w:val="ListParagraph"/>
        <w:numPr>
          <w:ilvl w:val="0"/>
          <w:numId w:val="14"/>
        </w:numPr>
        <w:ind w:left="1134"/>
        <w:rPr>
          <w:snapToGrid/>
        </w:rPr>
      </w:pPr>
      <w:r w:rsidRPr="0067437A">
        <w:t xml:space="preserve">Coghlan et al 2018a, was a subgroup analysis of patients </w:t>
      </w:r>
      <w:r w:rsidR="00524F1B" w:rsidRPr="0067437A">
        <w:t xml:space="preserve">with WHO FC III severity and </w:t>
      </w:r>
      <w:r w:rsidRPr="0067437A">
        <w:t>recei</w:t>
      </w:r>
      <w:r w:rsidR="00524F1B" w:rsidRPr="0067437A">
        <w:t>ving double combination therapy</w:t>
      </w:r>
      <w:r w:rsidR="00844F07" w:rsidRPr="0067437A">
        <w:t xml:space="preserve"> at baseline</w:t>
      </w:r>
      <w:r w:rsidR="00524F1B" w:rsidRPr="0067437A">
        <w:t xml:space="preserve">. This </w:t>
      </w:r>
      <w:r w:rsidRPr="0067437A">
        <w:t>was</w:t>
      </w:r>
      <w:r w:rsidRPr="0067437A">
        <w:rPr>
          <w:snapToGrid/>
        </w:rPr>
        <w:t xml:space="preserve"> used by the resubmission as proxy for the proposed PBS population; and </w:t>
      </w:r>
    </w:p>
    <w:p w:rsidR="007512CF" w:rsidRPr="0067437A" w:rsidRDefault="007512CF" w:rsidP="00F33FA7">
      <w:pPr>
        <w:pStyle w:val="ListParagraph"/>
        <w:numPr>
          <w:ilvl w:val="0"/>
          <w:numId w:val="14"/>
        </w:numPr>
        <w:ind w:left="1134"/>
        <w:rPr>
          <w:snapToGrid/>
        </w:rPr>
      </w:pPr>
      <w:r w:rsidRPr="0067437A">
        <w:rPr>
          <w:snapToGrid/>
        </w:rPr>
        <w:t>Coghlan et al 2018b reported survival and adverse events data up to 5 years from the open label extension (OLE) of the GRIPHON trial</w:t>
      </w:r>
      <w:r w:rsidR="0067437A">
        <w:rPr>
          <w:snapToGrid/>
        </w:rPr>
        <w:t xml:space="preserve">. </w:t>
      </w:r>
      <w:r w:rsidRPr="0067437A">
        <w:rPr>
          <w:snapToGrid/>
        </w:rPr>
        <w:t>At the data cut of 20 December 2017, 180 patients had received selexipag for at least 5 years.</w:t>
      </w:r>
    </w:p>
    <w:p w:rsidR="00862502" w:rsidRPr="0067437A" w:rsidRDefault="006B6E15" w:rsidP="004A7F35">
      <w:pPr>
        <w:pStyle w:val="3-BodyText"/>
        <w:ind w:left="709"/>
      </w:pPr>
      <w:r w:rsidRPr="0067437A">
        <w:rPr>
          <w:snapToGrid/>
        </w:rPr>
        <w:t xml:space="preserve">The details </w:t>
      </w:r>
      <w:r w:rsidR="006D6BC8" w:rsidRPr="0067437A">
        <w:rPr>
          <w:snapToGrid/>
        </w:rPr>
        <w:t xml:space="preserve">of the </w:t>
      </w:r>
      <w:r w:rsidRPr="0067437A">
        <w:rPr>
          <w:snapToGrid/>
        </w:rPr>
        <w:t xml:space="preserve">GRIPHON trial </w:t>
      </w:r>
      <w:r w:rsidR="00490C7B" w:rsidRPr="0067437A">
        <w:rPr>
          <w:snapToGrid/>
        </w:rPr>
        <w:t xml:space="preserve">and associated reports </w:t>
      </w:r>
      <w:r w:rsidR="00A73134" w:rsidRPr="0067437A">
        <w:rPr>
          <w:snapToGrid/>
        </w:rPr>
        <w:t xml:space="preserve">presented in the </w:t>
      </w:r>
      <w:r w:rsidR="006D6BC8" w:rsidRPr="0067437A">
        <w:rPr>
          <w:snapToGrid/>
        </w:rPr>
        <w:t>re</w:t>
      </w:r>
      <w:r w:rsidR="00A73134" w:rsidRPr="0067437A">
        <w:rPr>
          <w:snapToGrid/>
        </w:rPr>
        <w:t xml:space="preserve">submission are provided in </w:t>
      </w:r>
      <w:r w:rsidR="00665B7A" w:rsidRPr="0067437A">
        <w:rPr>
          <w:snapToGrid/>
        </w:rPr>
        <w:t>T</w:t>
      </w:r>
      <w:r w:rsidR="00A73134" w:rsidRPr="0067437A">
        <w:rPr>
          <w:snapToGrid/>
        </w:rPr>
        <w:t xml:space="preserve">able </w:t>
      </w:r>
      <w:r w:rsidR="00665B7A" w:rsidRPr="0067437A">
        <w:rPr>
          <w:snapToGrid/>
        </w:rPr>
        <w:t>3</w:t>
      </w:r>
      <w:r w:rsidR="00A73134" w:rsidRPr="0067437A">
        <w:rPr>
          <w:snapToGrid/>
        </w:rPr>
        <w:t>.</w:t>
      </w:r>
    </w:p>
    <w:p w:rsidR="008E0D3C" w:rsidRPr="0067437A" w:rsidRDefault="008E0D3C" w:rsidP="002E4F02">
      <w:pPr>
        <w:pStyle w:val="TableFigureHeading"/>
        <w:rPr>
          <w:rStyle w:val="CommentReference"/>
          <w:b/>
          <w:szCs w:val="24"/>
        </w:rPr>
      </w:pPr>
      <w:r w:rsidRPr="0067437A">
        <w:rPr>
          <w:rStyle w:val="CommentReference"/>
          <w:b/>
          <w:szCs w:val="24"/>
        </w:rPr>
        <w:lastRenderedPageBreak/>
        <w:t xml:space="preserve">Table </w:t>
      </w:r>
      <w:r w:rsidR="008F7D46" w:rsidRPr="0067437A">
        <w:rPr>
          <w:rStyle w:val="CommentReference"/>
          <w:b/>
          <w:szCs w:val="24"/>
        </w:rPr>
        <w:t>3</w:t>
      </w:r>
      <w:r w:rsidRPr="0067437A">
        <w:rPr>
          <w:rStyle w:val="CommentReference"/>
          <w:b/>
          <w:szCs w:val="24"/>
        </w:rPr>
        <w:t>:</w:t>
      </w:r>
      <w:r w:rsidR="00BC591F" w:rsidRPr="0067437A">
        <w:rPr>
          <w:rStyle w:val="CommentReference"/>
          <w:b/>
          <w:szCs w:val="24"/>
        </w:rPr>
        <w:t xml:space="preserve"> </w:t>
      </w:r>
      <w:r w:rsidR="00D33FB7" w:rsidRPr="0067437A">
        <w:rPr>
          <w:rStyle w:val="CommentReference"/>
          <w:b/>
          <w:szCs w:val="24"/>
        </w:rPr>
        <w:t xml:space="preserve">GRIPHON trial </w:t>
      </w:r>
      <w:r w:rsidRPr="0067437A">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ED0AB2" w:rsidRPr="0067437A" w:rsidTr="00D91D84">
        <w:trPr>
          <w:cantSplit/>
          <w:tblHeader/>
        </w:trPr>
        <w:tc>
          <w:tcPr>
            <w:tcW w:w="795" w:type="pct"/>
            <w:tcBorders>
              <w:top w:val="single" w:sz="4" w:space="0" w:color="auto"/>
              <w:left w:val="single" w:sz="4" w:space="0" w:color="auto"/>
              <w:bottom w:val="single" w:sz="4" w:space="0" w:color="auto"/>
              <w:right w:val="single" w:sz="4" w:space="0" w:color="auto"/>
            </w:tcBorders>
            <w:vAlign w:val="center"/>
          </w:tcPr>
          <w:p w:rsidR="00ED0AB2" w:rsidRPr="0067437A" w:rsidRDefault="00ED0AB2" w:rsidP="00B236C0">
            <w:pPr>
              <w:pStyle w:val="In-tableHeading"/>
              <w:rPr>
                <w:lang w:val="en-AU"/>
              </w:rPr>
            </w:pPr>
          </w:p>
        </w:tc>
        <w:tc>
          <w:tcPr>
            <w:tcW w:w="2803" w:type="pct"/>
            <w:tcBorders>
              <w:top w:val="single" w:sz="4" w:space="0" w:color="auto"/>
              <w:left w:val="single" w:sz="4" w:space="0" w:color="auto"/>
              <w:bottom w:val="single" w:sz="4" w:space="0" w:color="auto"/>
              <w:right w:val="single" w:sz="4" w:space="0" w:color="auto"/>
            </w:tcBorders>
            <w:vAlign w:val="center"/>
          </w:tcPr>
          <w:p w:rsidR="00ED0AB2" w:rsidRPr="0067437A" w:rsidRDefault="00ED0AB2" w:rsidP="00673B39">
            <w:pPr>
              <w:pStyle w:val="In-tableHeading"/>
              <w:rPr>
                <w:lang w:val="en-AU"/>
              </w:rPr>
            </w:pPr>
            <w:r w:rsidRPr="0067437A">
              <w:rPr>
                <w:lang w:val="en-AU"/>
              </w:rPr>
              <w:t>Protocol title/ Publication title</w:t>
            </w:r>
          </w:p>
        </w:tc>
        <w:tc>
          <w:tcPr>
            <w:tcW w:w="1402" w:type="pct"/>
            <w:tcBorders>
              <w:top w:val="single" w:sz="4" w:space="0" w:color="auto"/>
              <w:left w:val="single" w:sz="4" w:space="0" w:color="auto"/>
              <w:bottom w:val="single" w:sz="4" w:space="0" w:color="auto"/>
              <w:right w:val="single" w:sz="4" w:space="0" w:color="auto"/>
            </w:tcBorders>
            <w:vAlign w:val="center"/>
          </w:tcPr>
          <w:p w:rsidR="00ED0AB2" w:rsidRPr="0067437A" w:rsidRDefault="00ED0AB2" w:rsidP="00673B39">
            <w:pPr>
              <w:pStyle w:val="In-tableHeading"/>
              <w:rPr>
                <w:lang w:val="en-AU"/>
              </w:rPr>
            </w:pPr>
            <w:r w:rsidRPr="0067437A">
              <w:rPr>
                <w:lang w:val="en-AU"/>
              </w:rPr>
              <w:t>Publication citation</w:t>
            </w:r>
          </w:p>
        </w:tc>
      </w:tr>
      <w:tr w:rsidR="00ED0AB2" w:rsidRPr="0067437A" w:rsidTr="00A414CA">
        <w:trPr>
          <w:cantSplit/>
          <w:tblHeader/>
        </w:trPr>
        <w:tc>
          <w:tcPr>
            <w:tcW w:w="795" w:type="pct"/>
            <w:vMerge w:val="restart"/>
            <w:tcBorders>
              <w:top w:val="single" w:sz="4" w:space="0" w:color="auto"/>
              <w:left w:val="single" w:sz="4" w:space="0" w:color="auto"/>
              <w:right w:val="single" w:sz="4" w:space="0" w:color="auto"/>
            </w:tcBorders>
          </w:tcPr>
          <w:p w:rsidR="00ED0AB2" w:rsidRPr="0067437A" w:rsidRDefault="00ED0AB2" w:rsidP="00A414CA">
            <w:pPr>
              <w:pStyle w:val="In-tableHeading"/>
              <w:rPr>
                <w:b w:val="0"/>
                <w:lang w:val="en-AU"/>
              </w:rPr>
            </w:pPr>
            <w:r w:rsidRPr="0067437A">
              <w:rPr>
                <w:b w:val="0"/>
                <w:lang w:val="en-AU"/>
              </w:rPr>
              <w:t>GRIPHON</w:t>
            </w:r>
          </w:p>
        </w:tc>
        <w:tc>
          <w:tcPr>
            <w:tcW w:w="2803" w:type="pct"/>
            <w:tcBorders>
              <w:top w:val="single" w:sz="4" w:space="0" w:color="auto"/>
              <w:left w:val="single" w:sz="4" w:space="0" w:color="auto"/>
              <w:bottom w:val="nil"/>
              <w:right w:val="single" w:sz="4" w:space="0" w:color="auto"/>
            </w:tcBorders>
          </w:tcPr>
          <w:p w:rsidR="00ED0AB2" w:rsidRPr="0067437A" w:rsidRDefault="00ED0AB2" w:rsidP="00A414CA">
            <w:pPr>
              <w:pStyle w:val="In-tableHeading"/>
              <w:rPr>
                <w:rStyle w:val="TableTextChar1"/>
                <w:rFonts w:cs="Times New Roman"/>
                <w:b w:val="0"/>
                <w:lang w:val="en-AU" w:eastAsia="en-AU"/>
              </w:rPr>
            </w:pPr>
            <w:r w:rsidRPr="0067437A">
              <w:rPr>
                <w:b w:val="0"/>
                <w:lang w:val="en-AU"/>
              </w:rPr>
              <w:t xml:space="preserve">GRIHON Clinical study </w:t>
            </w:r>
            <w:r w:rsidRPr="0067437A">
              <w:rPr>
                <w:rStyle w:val="TableTextChar1"/>
                <w:rFonts w:cs="Times New Roman"/>
                <w:b w:val="0"/>
                <w:lang w:val="en-AU" w:eastAsia="en-AU"/>
              </w:rPr>
              <w:t>report AC-065A302: Prostacyclin (PGI2) receptor agonist in pulmonary arterial hypertension: A multicenter, double-blind, placebo-controlled Phase 3 study assessing the efficacy and safety of selexipag (ACT-293987) on morbidity and mortality in patients with pulmonary arterial hypertension (PAH) (including data from AC-065A303/GRIPHON OL up to 10 March 2014).</w:t>
            </w:r>
          </w:p>
          <w:p w:rsidR="00ED0AB2" w:rsidRPr="0067437A" w:rsidRDefault="00ED0AB2" w:rsidP="00A414CA">
            <w:pPr>
              <w:pStyle w:val="In-tableHeading"/>
              <w:rPr>
                <w:b w:val="0"/>
                <w:lang w:val="en-AU"/>
              </w:rPr>
            </w:pPr>
          </w:p>
        </w:tc>
        <w:tc>
          <w:tcPr>
            <w:tcW w:w="1402" w:type="pct"/>
            <w:tcBorders>
              <w:top w:val="single" w:sz="4" w:space="0" w:color="auto"/>
              <w:left w:val="single" w:sz="4" w:space="0" w:color="auto"/>
              <w:bottom w:val="nil"/>
              <w:right w:val="single" w:sz="4" w:space="0" w:color="auto"/>
            </w:tcBorders>
          </w:tcPr>
          <w:p w:rsidR="00ED0AB2" w:rsidRPr="0067437A" w:rsidRDefault="00ED0AB2" w:rsidP="00A414CA">
            <w:pPr>
              <w:pStyle w:val="In-tableHeading"/>
              <w:rPr>
                <w:b w:val="0"/>
                <w:lang w:val="en-AU"/>
              </w:rPr>
            </w:pPr>
            <w:r w:rsidRPr="0067437A">
              <w:rPr>
                <w:b w:val="0"/>
                <w:lang w:val="en-AU"/>
              </w:rPr>
              <w:t>March 2014 (data cut-off)</w:t>
            </w:r>
          </w:p>
        </w:tc>
      </w:tr>
      <w:tr w:rsidR="00ED0AB2" w:rsidRPr="0067437A" w:rsidTr="00A414CA">
        <w:trPr>
          <w:cantSplit/>
          <w:tblHeader/>
        </w:trPr>
        <w:tc>
          <w:tcPr>
            <w:tcW w:w="795" w:type="pct"/>
            <w:vMerge/>
            <w:tcBorders>
              <w:left w:val="single" w:sz="4" w:space="0" w:color="auto"/>
              <w:bottom w:val="single" w:sz="4" w:space="0" w:color="auto"/>
              <w:right w:val="single" w:sz="4" w:space="0" w:color="auto"/>
            </w:tcBorders>
          </w:tcPr>
          <w:p w:rsidR="00ED0AB2" w:rsidRPr="0067437A" w:rsidRDefault="00ED0AB2" w:rsidP="00A414CA">
            <w:pPr>
              <w:pStyle w:val="In-tableHeading"/>
              <w:rPr>
                <w:b w:val="0"/>
                <w:lang w:val="en-AU"/>
              </w:rPr>
            </w:pPr>
          </w:p>
        </w:tc>
        <w:tc>
          <w:tcPr>
            <w:tcW w:w="2803" w:type="pct"/>
            <w:tcBorders>
              <w:top w:val="nil"/>
              <w:left w:val="single" w:sz="4" w:space="0" w:color="auto"/>
              <w:bottom w:val="single" w:sz="4" w:space="0" w:color="auto"/>
              <w:right w:val="single" w:sz="4" w:space="0" w:color="auto"/>
            </w:tcBorders>
          </w:tcPr>
          <w:p w:rsidR="00ED0AB2" w:rsidRPr="0067437A" w:rsidRDefault="00ED0AB2" w:rsidP="00A414CA">
            <w:pPr>
              <w:pStyle w:val="In-tableHeading"/>
              <w:rPr>
                <w:b w:val="0"/>
                <w:lang w:val="en-AU"/>
              </w:rPr>
            </w:pPr>
            <w:r w:rsidRPr="0067437A">
              <w:rPr>
                <w:b w:val="0"/>
                <w:lang w:val="en-AU"/>
              </w:rPr>
              <w:t xml:space="preserve">Sitbon O, Channick R, Chin KM, et al. Selexipag for the Treatment of Pulmonary Arterial Hypertension. </w:t>
            </w:r>
          </w:p>
        </w:tc>
        <w:tc>
          <w:tcPr>
            <w:tcW w:w="1402" w:type="pct"/>
            <w:tcBorders>
              <w:top w:val="nil"/>
              <w:left w:val="single" w:sz="4" w:space="0" w:color="auto"/>
              <w:bottom w:val="single" w:sz="4" w:space="0" w:color="auto"/>
              <w:right w:val="single" w:sz="4" w:space="0" w:color="auto"/>
            </w:tcBorders>
          </w:tcPr>
          <w:p w:rsidR="00ED0AB2" w:rsidRPr="0067437A" w:rsidRDefault="00ED0AB2" w:rsidP="00A414CA">
            <w:pPr>
              <w:pStyle w:val="In-tableHeading"/>
              <w:rPr>
                <w:b w:val="0"/>
                <w:lang w:val="en-AU"/>
              </w:rPr>
            </w:pPr>
            <w:r w:rsidRPr="0067437A">
              <w:rPr>
                <w:b w:val="0"/>
                <w:lang w:val="en-AU"/>
              </w:rPr>
              <w:t>NEJM 2015; 373(26):2522–2533</w:t>
            </w:r>
          </w:p>
        </w:tc>
      </w:tr>
      <w:tr w:rsidR="00D91D84" w:rsidRPr="0067437A" w:rsidTr="00A414CA">
        <w:trPr>
          <w:cantSplit/>
          <w:trHeight w:val="510"/>
          <w:tblHeader/>
        </w:trPr>
        <w:tc>
          <w:tcPr>
            <w:tcW w:w="795" w:type="pct"/>
            <w:vMerge w:val="restart"/>
            <w:tcBorders>
              <w:top w:val="single" w:sz="4" w:space="0" w:color="auto"/>
              <w:left w:val="single" w:sz="4" w:space="0" w:color="auto"/>
              <w:right w:val="single" w:sz="4" w:space="0" w:color="auto"/>
            </w:tcBorders>
          </w:tcPr>
          <w:p w:rsidR="00D91D84" w:rsidRPr="0067437A" w:rsidRDefault="00D91D84" w:rsidP="00A414CA">
            <w:pPr>
              <w:pStyle w:val="In-tableHeading"/>
              <w:rPr>
                <w:b w:val="0"/>
                <w:lang w:val="en-AU"/>
              </w:rPr>
            </w:pPr>
            <w:r w:rsidRPr="0067437A">
              <w:rPr>
                <w:b w:val="0"/>
                <w:lang w:val="en-AU"/>
              </w:rPr>
              <w:t>GRIPHON sub-group analyses, post-hoc analyses and sub-studies</w:t>
            </w:r>
          </w:p>
        </w:tc>
        <w:tc>
          <w:tcPr>
            <w:tcW w:w="2803" w:type="pct"/>
            <w:tcBorders>
              <w:top w:val="single" w:sz="4" w:space="0" w:color="auto"/>
              <w:left w:val="single" w:sz="4" w:space="0" w:color="auto"/>
              <w:bottom w:val="nil"/>
              <w:right w:val="single" w:sz="4" w:space="0" w:color="auto"/>
            </w:tcBorders>
          </w:tcPr>
          <w:p w:rsidR="00D91D84" w:rsidRPr="0067437A" w:rsidRDefault="00D91D84" w:rsidP="00A414CA">
            <w:pPr>
              <w:pStyle w:val="In-tableHeading"/>
              <w:rPr>
                <w:b w:val="0"/>
                <w:lang w:val="en-AU"/>
              </w:rPr>
            </w:pPr>
            <w:r w:rsidRPr="0067437A">
              <w:rPr>
                <w:b w:val="0"/>
                <w:lang w:val="en-AU"/>
              </w:rPr>
              <w:t>Coghlan JG, Channick R, Chin K, et al. Targeting the prostacyclin pathway with selexipag in patients with pulmonary arterial hypertension receiving double combination therapy: insights from the randomized controlled GRIPHON study.</w:t>
            </w:r>
          </w:p>
        </w:tc>
        <w:tc>
          <w:tcPr>
            <w:tcW w:w="1402" w:type="pct"/>
            <w:tcBorders>
              <w:top w:val="single" w:sz="4" w:space="0" w:color="auto"/>
              <w:left w:val="single" w:sz="4" w:space="0" w:color="auto"/>
              <w:bottom w:val="nil"/>
              <w:right w:val="single" w:sz="4" w:space="0" w:color="auto"/>
            </w:tcBorders>
          </w:tcPr>
          <w:p w:rsidR="00D91D84" w:rsidRPr="0067437A" w:rsidRDefault="00D91D84" w:rsidP="00A414CA">
            <w:pPr>
              <w:pStyle w:val="In-tableHeading"/>
              <w:rPr>
                <w:b w:val="0"/>
                <w:lang w:val="en-AU"/>
              </w:rPr>
            </w:pPr>
            <w:r w:rsidRPr="0067437A">
              <w:rPr>
                <w:b w:val="0"/>
                <w:lang w:val="en-AU"/>
              </w:rPr>
              <w:t>American Journal of Cardiovascular Drugs. 2018 Feb 1;18(1):37-47.</w:t>
            </w:r>
          </w:p>
        </w:tc>
      </w:tr>
      <w:tr w:rsidR="00D91D84" w:rsidRPr="0067437A" w:rsidTr="00A414CA">
        <w:trPr>
          <w:cantSplit/>
          <w:trHeight w:val="509"/>
          <w:tblHeader/>
        </w:trPr>
        <w:tc>
          <w:tcPr>
            <w:tcW w:w="795" w:type="pct"/>
            <w:vMerge/>
            <w:tcBorders>
              <w:left w:val="single" w:sz="4" w:space="0" w:color="auto"/>
              <w:bottom w:val="single" w:sz="4" w:space="0" w:color="auto"/>
              <w:right w:val="single" w:sz="4" w:space="0" w:color="auto"/>
            </w:tcBorders>
          </w:tcPr>
          <w:p w:rsidR="00D91D84" w:rsidRPr="0067437A" w:rsidRDefault="00D91D84" w:rsidP="00A414CA">
            <w:pPr>
              <w:pStyle w:val="In-tableHeading"/>
              <w:rPr>
                <w:b w:val="0"/>
                <w:lang w:val="en-AU"/>
              </w:rPr>
            </w:pPr>
          </w:p>
        </w:tc>
        <w:tc>
          <w:tcPr>
            <w:tcW w:w="2803" w:type="pct"/>
            <w:tcBorders>
              <w:top w:val="nil"/>
              <w:left w:val="single" w:sz="4" w:space="0" w:color="auto"/>
              <w:bottom w:val="single" w:sz="4" w:space="0" w:color="auto"/>
              <w:right w:val="single" w:sz="4" w:space="0" w:color="auto"/>
            </w:tcBorders>
          </w:tcPr>
          <w:p w:rsidR="00844F07" w:rsidRPr="0067437A" w:rsidRDefault="00844F07" w:rsidP="00A414CA">
            <w:pPr>
              <w:pStyle w:val="In-tableHeading"/>
              <w:rPr>
                <w:b w:val="0"/>
                <w:lang w:val="en-AU"/>
              </w:rPr>
            </w:pPr>
          </w:p>
          <w:p w:rsidR="00D91D84" w:rsidRPr="0067437A" w:rsidRDefault="00D91D84" w:rsidP="00A414CA">
            <w:pPr>
              <w:pStyle w:val="In-tableHeading"/>
              <w:rPr>
                <w:b w:val="0"/>
                <w:lang w:val="en-AU"/>
              </w:rPr>
            </w:pPr>
            <w:r w:rsidRPr="0067437A">
              <w:rPr>
                <w:b w:val="0"/>
                <w:lang w:val="en-AU"/>
              </w:rPr>
              <w:t>McLaughlin VV, Hoeper MM, Channick RN, et al. Pulmonary arterial hypertension-related morbidity is prognostic for mortality.</w:t>
            </w:r>
          </w:p>
        </w:tc>
        <w:tc>
          <w:tcPr>
            <w:tcW w:w="1402" w:type="pct"/>
            <w:tcBorders>
              <w:top w:val="nil"/>
              <w:left w:val="single" w:sz="4" w:space="0" w:color="auto"/>
              <w:bottom w:val="single" w:sz="4" w:space="0" w:color="auto"/>
              <w:right w:val="single" w:sz="4" w:space="0" w:color="auto"/>
            </w:tcBorders>
          </w:tcPr>
          <w:p w:rsidR="00844F07" w:rsidRPr="0067437A" w:rsidRDefault="00844F07" w:rsidP="00A414CA">
            <w:pPr>
              <w:pStyle w:val="In-tableHeading"/>
              <w:rPr>
                <w:b w:val="0"/>
                <w:lang w:val="en-AU"/>
              </w:rPr>
            </w:pPr>
          </w:p>
          <w:p w:rsidR="00D91D84" w:rsidRPr="0067437A" w:rsidRDefault="00D91D84" w:rsidP="00A414CA">
            <w:pPr>
              <w:pStyle w:val="In-tableHeading"/>
              <w:rPr>
                <w:b w:val="0"/>
                <w:lang w:val="en-AU"/>
              </w:rPr>
            </w:pPr>
            <w:r w:rsidRPr="0067437A">
              <w:rPr>
                <w:b w:val="0"/>
                <w:lang w:val="en-AU"/>
              </w:rPr>
              <w:t>Journal of the American College of Cardiology. 2018 Feb 12;71(7):752-63.</w:t>
            </w:r>
          </w:p>
        </w:tc>
      </w:tr>
      <w:tr w:rsidR="00ED0AB2" w:rsidRPr="0067437A" w:rsidTr="00A414CA">
        <w:trPr>
          <w:cantSplit/>
          <w:tblHeader/>
        </w:trPr>
        <w:tc>
          <w:tcPr>
            <w:tcW w:w="795" w:type="pct"/>
            <w:tcBorders>
              <w:top w:val="single" w:sz="4" w:space="0" w:color="auto"/>
              <w:left w:val="single" w:sz="4" w:space="0" w:color="auto"/>
              <w:bottom w:val="single" w:sz="4" w:space="0" w:color="auto"/>
              <w:right w:val="single" w:sz="4" w:space="0" w:color="auto"/>
            </w:tcBorders>
          </w:tcPr>
          <w:p w:rsidR="00ED0AB2" w:rsidRPr="0067437A" w:rsidRDefault="00ED0AB2" w:rsidP="00844F07">
            <w:pPr>
              <w:pStyle w:val="In-tableHeading"/>
              <w:rPr>
                <w:b w:val="0"/>
                <w:lang w:val="en-AU"/>
              </w:rPr>
            </w:pPr>
            <w:r w:rsidRPr="0067437A">
              <w:rPr>
                <w:b w:val="0"/>
                <w:lang w:val="en-AU"/>
              </w:rPr>
              <w:t>GRIPHON open label extension (abstract only)</w:t>
            </w:r>
          </w:p>
        </w:tc>
        <w:tc>
          <w:tcPr>
            <w:tcW w:w="2803" w:type="pct"/>
            <w:tcBorders>
              <w:top w:val="single" w:sz="4" w:space="0" w:color="auto"/>
              <w:left w:val="single" w:sz="4" w:space="0" w:color="auto"/>
              <w:bottom w:val="single" w:sz="4" w:space="0" w:color="auto"/>
              <w:right w:val="single" w:sz="4" w:space="0" w:color="auto"/>
            </w:tcBorders>
          </w:tcPr>
          <w:p w:rsidR="00ED0AB2" w:rsidRPr="0067437A" w:rsidRDefault="00ED0AB2" w:rsidP="00A414CA">
            <w:pPr>
              <w:pStyle w:val="In-tableHeading"/>
              <w:rPr>
                <w:b w:val="0"/>
                <w:lang w:val="en-AU"/>
              </w:rPr>
            </w:pPr>
            <w:r w:rsidRPr="0067437A">
              <w:rPr>
                <w:b w:val="0"/>
                <w:lang w:val="en-AU"/>
              </w:rPr>
              <w:t>Coghlan JG, Galiè N, Gaine S, et al. Long-term survival and safety with selexipag in patients with pulmonary arterial hypertension: results from the GRIPHON study and its open-label extension. Thorax 2018;73:A76-A77</w:t>
            </w:r>
          </w:p>
        </w:tc>
        <w:tc>
          <w:tcPr>
            <w:tcW w:w="1402" w:type="pct"/>
            <w:tcBorders>
              <w:top w:val="single" w:sz="4" w:space="0" w:color="auto"/>
              <w:left w:val="single" w:sz="4" w:space="0" w:color="auto"/>
              <w:bottom w:val="single" w:sz="4" w:space="0" w:color="auto"/>
              <w:right w:val="single" w:sz="4" w:space="0" w:color="auto"/>
            </w:tcBorders>
          </w:tcPr>
          <w:p w:rsidR="00ED0AB2" w:rsidRPr="0067437A" w:rsidRDefault="00ED0AB2" w:rsidP="00A414CA">
            <w:pPr>
              <w:pStyle w:val="In-tableHeading"/>
              <w:rPr>
                <w:b w:val="0"/>
                <w:lang w:val="en-AU"/>
              </w:rPr>
            </w:pPr>
            <w:r w:rsidRPr="0067437A">
              <w:rPr>
                <w:b w:val="0"/>
                <w:lang w:val="en-AU"/>
              </w:rPr>
              <w:t>Thorax 2018;73:A76-A77</w:t>
            </w:r>
          </w:p>
        </w:tc>
      </w:tr>
    </w:tbl>
    <w:p w:rsidR="008E0D3C" w:rsidRPr="0067437A" w:rsidRDefault="008E0D3C" w:rsidP="00EC5836">
      <w:pPr>
        <w:pStyle w:val="TableFigureFooter"/>
        <w:rPr>
          <w:sz w:val="20"/>
        </w:rPr>
      </w:pPr>
      <w:r w:rsidRPr="0067437A">
        <w:t>Source:</w:t>
      </w:r>
      <w:r w:rsidR="00ED0AB2" w:rsidRPr="0067437A">
        <w:t xml:space="preserve"> Table 1, 5.11 s</w:t>
      </w:r>
      <w:r w:rsidR="009A6604">
        <w:t>elexipag PSD</w:t>
      </w:r>
      <w:r w:rsidR="00ED0AB2" w:rsidRPr="0067437A">
        <w:t>, March 2016 PBAC meeting; Table 2.4, p68-69 of the submission.</w:t>
      </w:r>
    </w:p>
    <w:p w:rsidR="007F1017" w:rsidRPr="0067437A" w:rsidRDefault="008F120A" w:rsidP="00290097">
      <w:pPr>
        <w:pStyle w:val="3-BodyText"/>
        <w:ind w:left="709"/>
      </w:pPr>
      <w:r w:rsidRPr="0067437A">
        <w:t>The key features of the</w:t>
      </w:r>
      <w:r w:rsidR="007B7384" w:rsidRPr="0067437A">
        <w:t xml:space="preserve"> GRIPHON </w:t>
      </w:r>
      <w:r w:rsidRPr="0067437A">
        <w:t>randomised trials</w:t>
      </w:r>
      <w:r w:rsidR="007B7384" w:rsidRPr="0067437A">
        <w:t xml:space="preserve"> and the three new </w:t>
      </w:r>
      <w:r w:rsidR="008F7D46" w:rsidRPr="0067437A">
        <w:t xml:space="preserve">associated reports </w:t>
      </w:r>
      <w:r w:rsidRPr="0067437A">
        <w:t xml:space="preserve">are summarised in </w:t>
      </w:r>
      <w:r w:rsidR="00665B7A" w:rsidRPr="0067437A">
        <w:t>T</w:t>
      </w:r>
      <w:r w:rsidRPr="0067437A">
        <w:t xml:space="preserve">able </w:t>
      </w:r>
      <w:r w:rsidR="00665B7A" w:rsidRPr="0067437A">
        <w:t>4</w:t>
      </w:r>
      <w:r w:rsidRPr="0067437A">
        <w:t>.</w:t>
      </w:r>
    </w:p>
    <w:p w:rsidR="007F1017" w:rsidRPr="0067437A" w:rsidRDefault="007F1017" w:rsidP="00EC5836">
      <w:pPr>
        <w:pStyle w:val="TableFigureHeading"/>
        <w:rPr>
          <w:rStyle w:val="CommentReference"/>
          <w:b/>
          <w:szCs w:val="24"/>
        </w:rPr>
      </w:pPr>
      <w:r w:rsidRPr="0067437A">
        <w:rPr>
          <w:rStyle w:val="CommentReference"/>
          <w:b/>
          <w:szCs w:val="24"/>
        </w:rPr>
        <w:t xml:space="preserve">Table </w:t>
      </w:r>
      <w:r w:rsidR="008F7D46" w:rsidRPr="0067437A">
        <w:rPr>
          <w:rStyle w:val="CommentReference"/>
          <w:b/>
          <w:szCs w:val="24"/>
        </w:rPr>
        <w:t>4</w:t>
      </w:r>
      <w:r w:rsidRPr="0067437A">
        <w:rPr>
          <w:rStyle w:val="CommentReference"/>
          <w:b/>
          <w:szCs w:val="24"/>
        </w:rPr>
        <w:t>: Key features of the included evidence</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6"/>
        <w:gridCol w:w="573"/>
        <w:gridCol w:w="1028"/>
        <w:gridCol w:w="731"/>
        <w:gridCol w:w="2347"/>
        <w:gridCol w:w="1026"/>
        <w:gridCol w:w="2036"/>
      </w:tblGrid>
      <w:tr w:rsidR="007B7384" w:rsidRPr="0067437A" w:rsidTr="000F29FA">
        <w:trPr>
          <w:cantSplit/>
          <w:trHeight w:val="431"/>
          <w:tblHeader/>
        </w:trPr>
        <w:tc>
          <w:tcPr>
            <w:tcW w:w="731" w:type="pct"/>
            <w:shd w:val="clear" w:color="auto" w:fill="auto"/>
            <w:vAlign w:val="center"/>
          </w:tcPr>
          <w:p w:rsidR="007B7384" w:rsidRPr="0067437A" w:rsidRDefault="007B7384" w:rsidP="00673B39">
            <w:pPr>
              <w:pStyle w:val="In-tableHeading"/>
              <w:rPr>
                <w:lang w:val="en-AU"/>
              </w:rPr>
            </w:pPr>
            <w:r w:rsidRPr="0067437A">
              <w:rPr>
                <w:lang w:val="en-AU"/>
              </w:rPr>
              <w:t>Trial</w:t>
            </w:r>
          </w:p>
        </w:tc>
        <w:tc>
          <w:tcPr>
            <w:tcW w:w="316" w:type="pct"/>
            <w:shd w:val="clear" w:color="auto" w:fill="auto"/>
            <w:vAlign w:val="center"/>
          </w:tcPr>
          <w:p w:rsidR="007B7384" w:rsidRPr="0067437A" w:rsidRDefault="007B7384" w:rsidP="00673B39">
            <w:pPr>
              <w:pStyle w:val="In-tableHeading"/>
              <w:jc w:val="center"/>
              <w:rPr>
                <w:lang w:val="en-AU"/>
              </w:rPr>
            </w:pPr>
            <w:r w:rsidRPr="0067437A">
              <w:rPr>
                <w:lang w:val="en-AU"/>
              </w:rPr>
              <w:t>N</w:t>
            </w:r>
          </w:p>
        </w:tc>
        <w:tc>
          <w:tcPr>
            <w:tcW w:w="567" w:type="pct"/>
            <w:shd w:val="clear" w:color="auto" w:fill="auto"/>
            <w:vAlign w:val="center"/>
          </w:tcPr>
          <w:p w:rsidR="007B7384" w:rsidRPr="0067437A" w:rsidRDefault="007B7384" w:rsidP="00673B39">
            <w:pPr>
              <w:pStyle w:val="In-tableHeading"/>
              <w:jc w:val="center"/>
              <w:rPr>
                <w:lang w:val="en-AU"/>
              </w:rPr>
            </w:pPr>
            <w:r w:rsidRPr="0067437A">
              <w:rPr>
                <w:lang w:val="en-AU"/>
              </w:rPr>
              <w:t>Design/ duration</w:t>
            </w:r>
          </w:p>
        </w:tc>
        <w:tc>
          <w:tcPr>
            <w:tcW w:w="403" w:type="pct"/>
            <w:shd w:val="clear" w:color="auto" w:fill="auto"/>
            <w:vAlign w:val="center"/>
          </w:tcPr>
          <w:p w:rsidR="007B7384" w:rsidRPr="0067437A" w:rsidRDefault="007B7384" w:rsidP="00673B39">
            <w:pPr>
              <w:pStyle w:val="In-tableHeading"/>
              <w:jc w:val="center"/>
              <w:rPr>
                <w:lang w:val="en-AU"/>
              </w:rPr>
            </w:pPr>
            <w:r w:rsidRPr="0067437A">
              <w:rPr>
                <w:lang w:val="en-AU"/>
              </w:rPr>
              <w:t>Risk of bias</w:t>
            </w:r>
          </w:p>
        </w:tc>
        <w:tc>
          <w:tcPr>
            <w:tcW w:w="1294" w:type="pct"/>
            <w:shd w:val="clear" w:color="auto" w:fill="auto"/>
            <w:vAlign w:val="center"/>
          </w:tcPr>
          <w:p w:rsidR="007B7384" w:rsidRPr="0067437A" w:rsidRDefault="007B7384" w:rsidP="00673B39">
            <w:pPr>
              <w:pStyle w:val="In-tableHeading"/>
              <w:jc w:val="center"/>
              <w:rPr>
                <w:lang w:val="en-AU"/>
              </w:rPr>
            </w:pPr>
            <w:r w:rsidRPr="0067437A">
              <w:rPr>
                <w:lang w:val="en-AU"/>
              </w:rPr>
              <w:t>Patient population</w:t>
            </w:r>
          </w:p>
        </w:tc>
        <w:tc>
          <w:tcPr>
            <w:tcW w:w="566" w:type="pct"/>
            <w:shd w:val="clear" w:color="auto" w:fill="auto"/>
            <w:vAlign w:val="center"/>
          </w:tcPr>
          <w:p w:rsidR="007B7384" w:rsidRPr="0067437A" w:rsidRDefault="007B7384" w:rsidP="00673B39">
            <w:pPr>
              <w:pStyle w:val="In-tableHeading"/>
              <w:jc w:val="center"/>
              <w:rPr>
                <w:lang w:val="en-AU"/>
              </w:rPr>
            </w:pPr>
            <w:r w:rsidRPr="0067437A">
              <w:rPr>
                <w:lang w:val="en-AU"/>
              </w:rPr>
              <w:t>Outcomes</w:t>
            </w:r>
          </w:p>
        </w:tc>
        <w:tc>
          <w:tcPr>
            <w:tcW w:w="1123" w:type="pct"/>
            <w:shd w:val="clear" w:color="auto" w:fill="auto"/>
            <w:vAlign w:val="center"/>
          </w:tcPr>
          <w:p w:rsidR="007B7384" w:rsidRPr="0067437A" w:rsidRDefault="007B7384" w:rsidP="00673B39">
            <w:pPr>
              <w:pStyle w:val="In-tableHeading"/>
              <w:jc w:val="center"/>
              <w:rPr>
                <w:lang w:val="en-AU"/>
              </w:rPr>
            </w:pPr>
            <w:r w:rsidRPr="0067437A">
              <w:rPr>
                <w:lang w:val="en-AU"/>
              </w:rPr>
              <w:t>Use in modelled evaluation</w:t>
            </w:r>
          </w:p>
        </w:tc>
      </w:tr>
      <w:tr w:rsidR="007B7384" w:rsidRPr="0067437A" w:rsidTr="000F29FA">
        <w:trPr>
          <w:cantSplit/>
          <w:trHeight w:val="221"/>
        </w:trPr>
        <w:tc>
          <w:tcPr>
            <w:tcW w:w="5000" w:type="pct"/>
            <w:gridSpan w:val="7"/>
            <w:shd w:val="clear" w:color="auto" w:fill="auto"/>
            <w:vAlign w:val="center"/>
          </w:tcPr>
          <w:p w:rsidR="007B7384" w:rsidRPr="0067437A" w:rsidRDefault="007B7384" w:rsidP="00673B39">
            <w:pPr>
              <w:pStyle w:val="In-tableHeading"/>
              <w:rPr>
                <w:lang w:val="en-AU"/>
              </w:rPr>
            </w:pPr>
            <w:r w:rsidRPr="0067437A">
              <w:rPr>
                <w:lang w:val="en-AU"/>
              </w:rPr>
              <w:t>Selexipag versus placebo</w:t>
            </w:r>
          </w:p>
        </w:tc>
      </w:tr>
      <w:tr w:rsidR="007B7384" w:rsidRPr="0067437A" w:rsidTr="00EB6BFC">
        <w:trPr>
          <w:cantSplit/>
          <w:trHeight w:val="918"/>
        </w:trPr>
        <w:tc>
          <w:tcPr>
            <w:tcW w:w="731" w:type="pct"/>
            <w:shd w:val="clear" w:color="auto" w:fill="auto"/>
            <w:vAlign w:val="center"/>
          </w:tcPr>
          <w:p w:rsidR="007B7384" w:rsidRPr="0067437A" w:rsidRDefault="007B7384" w:rsidP="00673B39">
            <w:pPr>
              <w:pStyle w:val="TableText0"/>
            </w:pPr>
            <w:r w:rsidRPr="0067437A">
              <w:t>GRIPHON</w:t>
            </w:r>
          </w:p>
        </w:tc>
        <w:tc>
          <w:tcPr>
            <w:tcW w:w="316" w:type="pct"/>
            <w:shd w:val="clear" w:color="auto" w:fill="auto"/>
            <w:vAlign w:val="center"/>
          </w:tcPr>
          <w:p w:rsidR="007B7384" w:rsidRPr="0067437A" w:rsidRDefault="007B7384" w:rsidP="00673B39">
            <w:pPr>
              <w:pStyle w:val="TableText0"/>
              <w:jc w:val="center"/>
            </w:pPr>
            <w:r w:rsidRPr="0067437A">
              <w:t>1156</w:t>
            </w:r>
          </w:p>
        </w:tc>
        <w:tc>
          <w:tcPr>
            <w:tcW w:w="567" w:type="pct"/>
            <w:shd w:val="clear" w:color="auto" w:fill="auto"/>
            <w:vAlign w:val="center"/>
          </w:tcPr>
          <w:p w:rsidR="007B7384" w:rsidRPr="0067437A" w:rsidRDefault="007B7384" w:rsidP="00673B39">
            <w:pPr>
              <w:pStyle w:val="TableText0"/>
              <w:jc w:val="center"/>
            </w:pPr>
            <w:r w:rsidRPr="0067437A">
              <w:t>R, DB</w:t>
            </w:r>
          </w:p>
          <w:p w:rsidR="007B7384" w:rsidRPr="0067437A" w:rsidRDefault="007B7384" w:rsidP="00673B39">
            <w:pPr>
              <w:pStyle w:val="TableText0"/>
              <w:jc w:val="center"/>
            </w:pPr>
            <w:r w:rsidRPr="0067437A">
              <w:t>6 mths</w:t>
            </w:r>
          </w:p>
        </w:tc>
        <w:tc>
          <w:tcPr>
            <w:tcW w:w="403" w:type="pct"/>
            <w:shd w:val="clear" w:color="auto" w:fill="auto"/>
            <w:vAlign w:val="center"/>
          </w:tcPr>
          <w:p w:rsidR="007B7384" w:rsidRPr="0067437A" w:rsidRDefault="007B7384" w:rsidP="00673B39">
            <w:pPr>
              <w:pStyle w:val="TableText0"/>
              <w:jc w:val="center"/>
            </w:pPr>
            <w:r w:rsidRPr="0067437A">
              <w:t>Low</w:t>
            </w:r>
          </w:p>
        </w:tc>
        <w:tc>
          <w:tcPr>
            <w:tcW w:w="1294" w:type="pct"/>
            <w:shd w:val="clear" w:color="auto" w:fill="auto"/>
            <w:vAlign w:val="center"/>
          </w:tcPr>
          <w:p w:rsidR="007B7384" w:rsidRPr="0067437A" w:rsidRDefault="007B7384" w:rsidP="00673B39">
            <w:pPr>
              <w:pStyle w:val="TableText0"/>
              <w:jc w:val="center"/>
            </w:pPr>
            <w:r w:rsidRPr="0067437A">
              <w:t>Broad population of PAH patients</w:t>
            </w:r>
            <w:r w:rsidR="00A71BC4" w:rsidRPr="0067437A">
              <w:t xml:space="preserve"> (WHO FC I to IV)</w:t>
            </w:r>
            <w:r w:rsidRPr="0067437A">
              <w:t>:</w:t>
            </w:r>
          </w:p>
          <w:p w:rsidR="00A50B1C" w:rsidRPr="0067437A" w:rsidRDefault="00EB6BFC" w:rsidP="00EB6BFC">
            <w:pPr>
              <w:pStyle w:val="TableText0"/>
              <w:jc w:val="center"/>
            </w:pPr>
            <w:r w:rsidRPr="0067437A">
              <w:t xml:space="preserve">Treatment </w:t>
            </w:r>
            <w:r w:rsidR="007B7384" w:rsidRPr="0067437A">
              <w:t>naïve, or background single or dual therapy</w:t>
            </w:r>
          </w:p>
        </w:tc>
        <w:tc>
          <w:tcPr>
            <w:tcW w:w="566" w:type="pct"/>
            <w:shd w:val="clear" w:color="auto" w:fill="auto"/>
            <w:vAlign w:val="center"/>
          </w:tcPr>
          <w:p w:rsidR="007B7384" w:rsidRPr="0067437A" w:rsidRDefault="007B7384" w:rsidP="00673B39">
            <w:pPr>
              <w:pStyle w:val="TableText0"/>
              <w:jc w:val="center"/>
            </w:pPr>
            <w:r w:rsidRPr="0067437A">
              <w:t>1</w:t>
            </w:r>
            <w:r w:rsidRPr="0067437A">
              <w:rPr>
                <w:vertAlign w:val="superscript"/>
              </w:rPr>
              <w:t>0</w:t>
            </w:r>
            <w:r w:rsidRPr="0067437A">
              <w:rPr>
                <w:vertAlign w:val="subscript"/>
              </w:rPr>
              <w:t xml:space="preserve">: </w:t>
            </w:r>
            <w:r w:rsidRPr="0067437A">
              <w:t>time to first CEC-confirmed MM event</w:t>
            </w:r>
          </w:p>
        </w:tc>
        <w:tc>
          <w:tcPr>
            <w:tcW w:w="1123" w:type="pct"/>
            <w:shd w:val="clear" w:color="auto" w:fill="auto"/>
            <w:vAlign w:val="center"/>
          </w:tcPr>
          <w:p w:rsidR="007B7384" w:rsidRPr="0067437A" w:rsidRDefault="007B7384" w:rsidP="00844F07">
            <w:pPr>
              <w:pStyle w:val="TableText0"/>
              <w:jc w:val="center"/>
            </w:pPr>
            <w:r w:rsidRPr="0067437A">
              <w:t>Yes, for time to mortality event (assumed same for selexipag and placebo).</w:t>
            </w:r>
          </w:p>
        </w:tc>
      </w:tr>
      <w:tr w:rsidR="007B7384" w:rsidRPr="0067437A" w:rsidTr="000F29FA">
        <w:trPr>
          <w:cantSplit/>
          <w:trHeight w:val="873"/>
        </w:trPr>
        <w:tc>
          <w:tcPr>
            <w:tcW w:w="731" w:type="pct"/>
            <w:shd w:val="clear" w:color="auto" w:fill="auto"/>
            <w:vAlign w:val="center"/>
          </w:tcPr>
          <w:p w:rsidR="007B7384" w:rsidRPr="0067437A" w:rsidRDefault="007B7384" w:rsidP="00673B39">
            <w:pPr>
              <w:pStyle w:val="TableText0"/>
            </w:pPr>
            <w:r w:rsidRPr="0067437A">
              <w:t>McLaughlin et al 2018</w:t>
            </w:r>
          </w:p>
        </w:tc>
        <w:tc>
          <w:tcPr>
            <w:tcW w:w="316" w:type="pct"/>
            <w:shd w:val="clear" w:color="auto" w:fill="auto"/>
            <w:vAlign w:val="center"/>
          </w:tcPr>
          <w:p w:rsidR="007B7384" w:rsidRPr="0067437A" w:rsidRDefault="007B7384" w:rsidP="00673B39">
            <w:pPr>
              <w:pStyle w:val="TableText0"/>
              <w:jc w:val="center"/>
            </w:pPr>
            <w:r w:rsidRPr="0067437A">
              <w:t>1127*</w:t>
            </w:r>
          </w:p>
        </w:tc>
        <w:tc>
          <w:tcPr>
            <w:tcW w:w="2830" w:type="pct"/>
            <w:gridSpan w:val="4"/>
            <w:shd w:val="clear" w:color="auto" w:fill="auto"/>
            <w:vAlign w:val="center"/>
          </w:tcPr>
          <w:p w:rsidR="007B7384" w:rsidRPr="0067437A" w:rsidRDefault="007B7384" w:rsidP="00673B39">
            <w:pPr>
              <w:pStyle w:val="TableText0"/>
              <w:jc w:val="center"/>
            </w:pPr>
            <w:r w:rsidRPr="0067437A">
              <w:t xml:space="preserve">Post hoc analysis of the GRIPHON trial (plus results from SERAPHIN trial of </w:t>
            </w:r>
            <w:r w:rsidR="0047510D" w:rsidRPr="0067437A">
              <w:t>macitentan</w:t>
            </w:r>
            <w:r w:rsidRPr="0067437A">
              <w:t xml:space="preserve"> versus placebo) to look at the impact of morbidity events on the risk of subsequent mortality at 3, 6- and 12-months landmark time points.</w:t>
            </w:r>
          </w:p>
        </w:tc>
        <w:tc>
          <w:tcPr>
            <w:tcW w:w="1123" w:type="pct"/>
            <w:shd w:val="clear" w:color="auto" w:fill="auto"/>
            <w:vAlign w:val="center"/>
          </w:tcPr>
          <w:p w:rsidR="007B7384" w:rsidRPr="0067437A" w:rsidRDefault="007B7384" w:rsidP="00673B39">
            <w:pPr>
              <w:pStyle w:val="TableText0"/>
              <w:jc w:val="center"/>
            </w:pPr>
            <w:r w:rsidRPr="0067437A">
              <w:t>No</w:t>
            </w:r>
          </w:p>
        </w:tc>
      </w:tr>
      <w:tr w:rsidR="007B7384" w:rsidRPr="0067437A" w:rsidTr="000F29FA">
        <w:trPr>
          <w:cantSplit/>
          <w:trHeight w:val="652"/>
        </w:trPr>
        <w:tc>
          <w:tcPr>
            <w:tcW w:w="731" w:type="pct"/>
            <w:shd w:val="clear" w:color="auto" w:fill="auto"/>
            <w:vAlign w:val="center"/>
          </w:tcPr>
          <w:p w:rsidR="007B7384" w:rsidRPr="0067437A" w:rsidRDefault="007B7384" w:rsidP="00673B39">
            <w:pPr>
              <w:pStyle w:val="TableText0"/>
            </w:pPr>
            <w:r w:rsidRPr="0067437A">
              <w:t>Coghlan 2018a</w:t>
            </w:r>
          </w:p>
        </w:tc>
        <w:tc>
          <w:tcPr>
            <w:tcW w:w="316" w:type="pct"/>
            <w:shd w:val="clear" w:color="auto" w:fill="auto"/>
            <w:vAlign w:val="center"/>
          </w:tcPr>
          <w:p w:rsidR="007B7384" w:rsidRPr="0067437A" w:rsidRDefault="007B7384" w:rsidP="00844F07">
            <w:pPr>
              <w:pStyle w:val="TableText0"/>
              <w:jc w:val="center"/>
            </w:pPr>
            <w:r w:rsidRPr="0067437A">
              <w:t>255</w:t>
            </w:r>
          </w:p>
        </w:tc>
        <w:tc>
          <w:tcPr>
            <w:tcW w:w="2830" w:type="pct"/>
            <w:gridSpan w:val="4"/>
            <w:shd w:val="clear" w:color="auto" w:fill="auto"/>
            <w:vAlign w:val="center"/>
          </w:tcPr>
          <w:p w:rsidR="007B7384" w:rsidRPr="0067437A" w:rsidRDefault="007B7384" w:rsidP="004314B3">
            <w:pPr>
              <w:pStyle w:val="TableText0"/>
              <w:jc w:val="center"/>
            </w:pPr>
            <w:r w:rsidRPr="0067437A">
              <w:t>Subgroup analysis of patients receiving d</w:t>
            </w:r>
            <w:r w:rsidR="00E93D7C" w:rsidRPr="0067437A">
              <w:t xml:space="preserve">ual background </w:t>
            </w:r>
            <w:r w:rsidRPr="0067437A">
              <w:t xml:space="preserve">therapy </w:t>
            </w:r>
            <w:r w:rsidR="004314B3" w:rsidRPr="0067437A">
              <w:t xml:space="preserve">with an ERA and a PDE-5i at baseline and </w:t>
            </w:r>
            <w:r w:rsidR="00E93D7C" w:rsidRPr="0067437A">
              <w:t>had</w:t>
            </w:r>
            <w:r w:rsidRPr="0067437A">
              <w:t xml:space="preserve"> WHO FC III </w:t>
            </w:r>
            <w:r w:rsidR="00E93D7C" w:rsidRPr="0067437A">
              <w:t>disease</w:t>
            </w:r>
          </w:p>
        </w:tc>
        <w:tc>
          <w:tcPr>
            <w:tcW w:w="1123" w:type="pct"/>
            <w:shd w:val="clear" w:color="auto" w:fill="auto"/>
            <w:vAlign w:val="center"/>
          </w:tcPr>
          <w:p w:rsidR="007B7384" w:rsidRPr="0067437A" w:rsidRDefault="007B7384" w:rsidP="00673B39">
            <w:pPr>
              <w:pStyle w:val="TableText0"/>
              <w:jc w:val="center"/>
            </w:pPr>
            <w:r w:rsidRPr="0067437A">
              <w:t>Yes, subgroup results used for time to morbidity event.</w:t>
            </w:r>
          </w:p>
        </w:tc>
      </w:tr>
      <w:tr w:rsidR="007B7384" w:rsidRPr="0067437A" w:rsidTr="000F29FA">
        <w:trPr>
          <w:cantSplit/>
          <w:trHeight w:val="652"/>
        </w:trPr>
        <w:tc>
          <w:tcPr>
            <w:tcW w:w="731" w:type="pct"/>
            <w:shd w:val="clear" w:color="auto" w:fill="auto"/>
            <w:vAlign w:val="center"/>
          </w:tcPr>
          <w:p w:rsidR="007B7384" w:rsidRPr="0067437A" w:rsidRDefault="007B7384" w:rsidP="00673B39">
            <w:pPr>
              <w:pStyle w:val="TableText0"/>
            </w:pPr>
            <w:r w:rsidRPr="0067437A">
              <w:t>Coghlan 2018b</w:t>
            </w:r>
          </w:p>
        </w:tc>
        <w:tc>
          <w:tcPr>
            <w:tcW w:w="316" w:type="pct"/>
            <w:shd w:val="clear" w:color="auto" w:fill="auto"/>
            <w:vAlign w:val="center"/>
          </w:tcPr>
          <w:p w:rsidR="007B7384" w:rsidRPr="0067437A" w:rsidRDefault="007B7384" w:rsidP="00673B39">
            <w:pPr>
              <w:pStyle w:val="TableText0"/>
              <w:jc w:val="center"/>
              <w:rPr>
                <w:vertAlign w:val="superscript"/>
              </w:rPr>
            </w:pPr>
            <w:r w:rsidRPr="0067437A">
              <w:t>953</w:t>
            </w:r>
            <w:r w:rsidRPr="0067437A">
              <w:rPr>
                <w:vertAlign w:val="superscript"/>
              </w:rPr>
              <w:t>#</w:t>
            </w:r>
          </w:p>
        </w:tc>
        <w:tc>
          <w:tcPr>
            <w:tcW w:w="2830" w:type="pct"/>
            <w:gridSpan w:val="4"/>
            <w:shd w:val="clear" w:color="auto" w:fill="auto"/>
            <w:vAlign w:val="center"/>
          </w:tcPr>
          <w:p w:rsidR="007B7384" w:rsidRPr="0067437A" w:rsidRDefault="007B7384" w:rsidP="00673393">
            <w:pPr>
              <w:pStyle w:val="TableText0"/>
              <w:jc w:val="center"/>
            </w:pPr>
            <w:r w:rsidRPr="0067437A">
              <w:t>OL</w:t>
            </w:r>
            <w:r w:rsidR="00673393" w:rsidRPr="0067437A">
              <w:t xml:space="preserve"> extension </w:t>
            </w:r>
            <w:r w:rsidRPr="0067437A">
              <w:t>of the GRIPHON trial</w:t>
            </w:r>
            <w:r w:rsidR="0067437A">
              <w:t xml:space="preserve">. </w:t>
            </w:r>
            <w:r w:rsidRPr="0067437A">
              <w:t>Reported survival and AEs up to 5</w:t>
            </w:r>
            <w:r w:rsidR="00844F07" w:rsidRPr="0067437A">
              <w:t xml:space="preserve"> </w:t>
            </w:r>
            <w:r w:rsidRPr="0067437A">
              <w:t>years follow up (data cut off 20 Dec 2017)</w:t>
            </w:r>
            <w:r w:rsidR="00844F07" w:rsidRPr="0067437A">
              <w:t>;</w:t>
            </w:r>
            <w:r w:rsidRPr="0067437A">
              <w:t xml:space="preserve"> 180 patients had been receiving selexipag for at least 5 years. </w:t>
            </w:r>
          </w:p>
        </w:tc>
        <w:tc>
          <w:tcPr>
            <w:tcW w:w="1123" w:type="pct"/>
            <w:shd w:val="clear" w:color="auto" w:fill="auto"/>
            <w:vAlign w:val="center"/>
          </w:tcPr>
          <w:p w:rsidR="007B7384" w:rsidRPr="0067437A" w:rsidRDefault="007B7384" w:rsidP="00673B39">
            <w:pPr>
              <w:pStyle w:val="TableText0"/>
              <w:jc w:val="center"/>
            </w:pPr>
            <w:r w:rsidRPr="0067437A">
              <w:t>No</w:t>
            </w:r>
          </w:p>
        </w:tc>
      </w:tr>
    </w:tbl>
    <w:p w:rsidR="007B7384" w:rsidRPr="0067437A" w:rsidRDefault="007B7384" w:rsidP="00DB0118">
      <w:pPr>
        <w:pStyle w:val="TableFigureFooter"/>
        <w:rPr>
          <w:rFonts w:eastAsia="Calibri"/>
        </w:rPr>
      </w:pPr>
      <w:r w:rsidRPr="0067437A">
        <w:t>1</w:t>
      </w:r>
      <w:r w:rsidRPr="0067437A">
        <w:rPr>
          <w:vertAlign w:val="superscript"/>
        </w:rPr>
        <w:t>0</w:t>
      </w:r>
      <w:r w:rsidR="00EB6BFC" w:rsidRPr="0067437A">
        <w:rPr>
          <w:vertAlign w:val="superscript"/>
        </w:rPr>
        <w:t xml:space="preserve"> </w:t>
      </w:r>
      <w:r w:rsidRPr="0067437A">
        <w:t>=</w:t>
      </w:r>
      <w:r w:rsidR="00EB6BFC" w:rsidRPr="0067437A">
        <w:t xml:space="preserve"> </w:t>
      </w:r>
      <w:r w:rsidRPr="0067437A">
        <w:t xml:space="preserve">primary outcome, </w:t>
      </w:r>
      <w:r w:rsidR="00673393" w:rsidRPr="0067437A">
        <w:t xml:space="preserve">AE = adverse event; </w:t>
      </w:r>
      <w:r w:rsidR="00EB6BFC" w:rsidRPr="0067437A">
        <w:rPr>
          <w:rFonts w:eastAsia="Calibri"/>
        </w:rPr>
        <w:t xml:space="preserve">CEC = Critical Event Committee; </w:t>
      </w:r>
      <w:r w:rsidRPr="0067437A">
        <w:t>DB = double blind;</w:t>
      </w:r>
      <w:r w:rsidR="00EB6BFC" w:rsidRPr="0067437A">
        <w:t xml:space="preserve"> ERA = endothelin receptor antagonist;</w:t>
      </w:r>
      <w:r w:rsidRPr="0067437A">
        <w:t xml:space="preserve"> </w:t>
      </w:r>
      <w:r w:rsidR="00EB6BFC" w:rsidRPr="0067437A">
        <w:t xml:space="preserve">FC = functional class; </w:t>
      </w:r>
      <w:r w:rsidR="00EB6BFC" w:rsidRPr="0067437A">
        <w:rPr>
          <w:rFonts w:eastAsia="Calibri"/>
        </w:rPr>
        <w:t xml:space="preserve">MM = morbidity/mortality; </w:t>
      </w:r>
      <w:r w:rsidR="00673393" w:rsidRPr="0067437A">
        <w:rPr>
          <w:rFonts w:eastAsia="Calibri"/>
        </w:rPr>
        <w:t xml:space="preserve">OL = open label; </w:t>
      </w:r>
      <w:r w:rsidR="00EB6BFC" w:rsidRPr="0067437A">
        <w:rPr>
          <w:rFonts w:eastAsia="Calibri"/>
        </w:rPr>
        <w:t xml:space="preserve">PAH = pulmonary arterial hypertension; </w:t>
      </w:r>
      <w:r w:rsidR="00EB6BFC" w:rsidRPr="0067437A">
        <w:t xml:space="preserve">PDE-5i = phosphodiesterase type 5 inhibitor; </w:t>
      </w:r>
      <w:r w:rsidRPr="0067437A">
        <w:t>R = randomised</w:t>
      </w:r>
      <w:r w:rsidR="00DB0118" w:rsidRPr="0067437A">
        <w:t xml:space="preserve">; </w:t>
      </w:r>
      <w:r w:rsidR="00EB6BFC" w:rsidRPr="0067437A">
        <w:rPr>
          <w:rFonts w:eastAsia="Calibri"/>
        </w:rPr>
        <w:t>WHO = World Health Organisation</w:t>
      </w:r>
    </w:p>
    <w:p w:rsidR="00DB0118" w:rsidRPr="0067437A" w:rsidRDefault="00DB0118" w:rsidP="00DB0118">
      <w:pPr>
        <w:pStyle w:val="TableFigureFooter"/>
      </w:pPr>
      <w:r w:rsidRPr="0067437A">
        <w:t>*</w:t>
      </w:r>
      <w:r w:rsidRPr="0067437A">
        <w:tab/>
        <w:t>Patients from GRIPHON evaluated at land mark times, n=1127 at 3 months, n=1089 at 6 months and n= 964 at 12 months.</w:t>
      </w:r>
    </w:p>
    <w:p w:rsidR="00DB0118" w:rsidRPr="0067437A" w:rsidRDefault="00DB0118" w:rsidP="00DB0118">
      <w:pPr>
        <w:pStyle w:val="TableFigureFooter"/>
        <w:ind w:left="165" w:hanging="165"/>
        <w:rPr>
          <w:sz w:val="20"/>
        </w:rPr>
      </w:pPr>
      <w:r w:rsidRPr="0067437A">
        <w:rPr>
          <w:vertAlign w:val="superscript"/>
        </w:rPr>
        <w:t>#</w:t>
      </w:r>
      <w:r w:rsidRPr="0067437A">
        <w:rPr>
          <w:vertAlign w:val="superscript"/>
        </w:rPr>
        <w:tab/>
      </w:r>
      <w:r w:rsidRPr="0067437A">
        <w:t>Comprising 574 patients who received selexipag in the DB phase and 379 who switched from placebo to selexipag in the OL extension</w:t>
      </w:r>
    </w:p>
    <w:p w:rsidR="007B7384" w:rsidRPr="0067437A" w:rsidRDefault="007B7384" w:rsidP="007B7384">
      <w:pPr>
        <w:pStyle w:val="TableFigureFooter"/>
      </w:pPr>
      <w:r w:rsidRPr="0067437A">
        <w:t>Source: compiled during the evaluation</w:t>
      </w:r>
    </w:p>
    <w:p w:rsidR="00620C25" w:rsidRPr="0067437A" w:rsidRDefault="00620C25" w:rsidP="00EC5836">
      <w:pPr>
        <w:pStyle w:val="TableFigureFooter"/>
        <w:rPr>
          <w:sz w:val="20"/>
        </w:rPr>
      </w:pPr>
    </w:p>
    <w:p w:rsidR="00CA2F63" w:rsidRPr="0067437A" w:rsidRDefault="00CA2F63" w:rsidP="00CA2F63">
      <w:pPr>
        <w:pStyle w:val="3-BodyText"/>
        <w:ind w:left="709"/>
        <w:rPr>
          <w:snapToGrid/>
        </w:rPr>
      </w:pPr>
      <w:r w:rsidRPr="0067437A">
        <w:rPr>
          <w:snapToGrid/>
        </w:rPr>
        <w:lastRenderedPageBreak/>
        <w:t>The risk of bias in the GRIPHON trial was considered</w:t>
      </w:r>
      <w:r w:rsidR="00844F07" w:rsidRPr="0067437A">
        <w:rPr>
          <w:snapToGrid/>
        </w:rPr>
        <w:t xml:space="preserve"> overall to be </w:t>
      </w:r>
      <w:r w:rsidRPr="0067437A">
        <w:rPr>
          <w:snapToGrid/>
        </w:rPr>
        <w:t>low</w:t>
      </w:r>
      <w:r w:rsidR="00A727C2" w:rsidRPr="0067437A">
        <w:rPr>
          <w:snapToGrid/>
        </w:rPr>
        <w:t>.</w:t>
      </w:r>
      <w:r w:rsidRPr="0067437A">
        <w:rPr>
          <w:snapToGrid/>
        </w:rPr>
        <w:t xml:space="preserve"> </w:t>
      </w:r>
      <w:r w:rsidR="00844F07" w:rsidRPr="0067437A">
        <w:rPr>
          <w:snapToGrid/>
        </w:rPr>
        <w:t>However, a</w:t>
      </w:r>
      <w:r w:rsidRPr="0067437A">
        <w:rPr>
          <w:snapToGrid/>
        </w:rPr>
        <w:t>s raised in previous commentaries, the occurrence of typical prostacyclin receptor agonist adverse events</w:t>
      </w:r>
      <w:r w:rsidR="00A727C2" w:rsidRPr="0067437A">
        <w:rPr>
          <w:snapToGrid/>
        </w:rPr>
        <w:t>,</w:t>
      </w:r>
      <w:r w:rsidRPr="0067437A">
        <w:rPr>
          <w:snapToGrid/>
        </w:rPr>
        <w:t xml:space="preserve"> especially during dose titration, and the resulting difference in the distribution of the maximum tolerated dose of medication achieved by patients may have led to a degree of unblinding of investigators and patients. </w:t>
      </w:r>
    </w:p>
    <w:p w:rsidR="00B60939" w:rsidRPr="0067437A" w:rsidRDefault="00B60939" w:rsidP="00EC5836">
      <w:pPr>
        <w:pStyle w:val="4-SubsectionHeading"/>
      </w:pPr>
      <w:bookmarkStart w:id="15" w:name="_Toc22897641"/>
      <w:bookmarkStart w:id="16" w:name="_Toc40866418"/>
      <w:r w:rsidRPr="0067437A">
        <w:t>Comparative effectiveness</w:t>
      </w:r>
      <w:bookmarkEnd w:id="15"/>
      <w:bookmarkEnd w:id="16"/>
    </w:p>
    <w:p w:rsidR="00144D9E" w:rsidRPr="0067437A" w:rsidRDefault="00144D9E" w:rsidP="00144D9E">
      <w:pPr>
        <w:pStyle w:val="Heading5"/>
        <w:rPr>
          <w:i/>
          <w:sz w:val="24"/>
          <w:szCs w:val="24"/>
        </w:rPr>
      </w:pPr>
      <w:r w:rsidRPr="0067437A">
        <w:rPr>
          <w:i/>
          <w:sz w:val="24"/>
          <w:szCs w:val="24"/>
        </w:rPr>
        <w:t xml:space="preserve">Primary endpoint: time to first CEC-confirmed MM event (up to 7 days after treatment end), </w:t>
      </w:r>
      <w:r w:rsidR="00745709" w:rsidRPr="0067437A">
        <w:rPr>
          <w:i/>
          <w:sz w:val="24"/>
          <w:szCs w:val="24"/>
        </w:rPr>
        <w:t>ITT</w:t>
      </w:r>
      <w:r w:rsidRPr="0067437A">
        <w:rPr>
          <w:i/>
          <w:sz w:val="24"/>
          <w:szCs w:val="24"/>
        </w:rPr>
        <w:t xml:space="preserve"> and subgroup results</w:t>
      </w:r>
    </w:p>
    <w:p w:rsidR="003A3D7F" w:rsidRPr="0067437A" w:rsidRDefault="00FA7116" w:rsidP="006332BB">
      <w:pPr>
        <w:pStyle w:val="3-BodyText"/>
        <w:ind w:left="709"/>
        <w:rPr>
          <w:i/>
        </w:rPr>
      </w:pPr>
      <w:r w:rsidRPr="0067437A">
        <w:rPr>
          <w:snapToGrid/>
        </w:rPr>
        <w:t xml:space="preserve">The primary </w:t>
      </w:r>
      <w:r w:rsidR="00582182" w:rsidRPr="0067437A">
        <w:rPr>
          <w:snapToGrid/>
        </w:rPr>
        <w:t>trial outcome from GRIPHON of</w:t>
      </w:r>
      <w:r w:rsidR="001645E8" w:rsidRPr="0067437A">
        <w:rPr>
          <w:snapToGrid/>
        </w:rPr>
        <w:t xml:space="preserve"> time to </w:t>
      </w:r>
      <w:r w:rsidR="00B01FE2" w:rsidRPr="0067437A">
        <w:rPr>
          <w:snapToGrid/>
        </w:rPr>
        <w:t xml:space="preserve">first Critical Event Committee (CEC) confirmed morbidity/mortality (MM) event (up to 7 days after treatment end) </w:t>
      </w:r>
      <w:r w:rsidR="00582182" w:rsidRPr="0067437A">
        <w:rPr>
          <w:snapToGrid/>
        </w:rPr>
        <w:t>was previously presented in</w:t>
      </w:r>
      <w:r w:rsidRPr="0067437A">
        <w:rPr>
          <w:snapToGrid/>
        </w:rPr>
        <w:t xml:space="preserve"> </w:t>
      </w:r>
      <w:r w:rsidR="00B01FE2" w:rsidRPr="0067437A">
        <w:rPr>
          <w:snapToGrid/>
        </w:rPr>
        <w:t xml:space="preserve">the </w:t>
      </w:r>
      <w:r w:rsidRPr="0067437A">
        <w:rPr>
          <w:snapToGrid/>
        </w:rPr>
        <w:t xml:space="preserve">March 2016 submission. </w:t>
      </w:r>
      <w:r w:rsidR="00B01FE2" w:rsidRPr="0067437A">
        <w:rPr>
          <w:snapToGrid/>
        </w:rPr>
        <w:t>Th</w:t>
      </w:r>
      <w:r w:rsidR="00774F4C" w:rsidRPr="0067437A">
        <w:rPr>
          <w:snapToGrid/>
        </w:rPr>
        <w:t>is</w:t>
      </w:r>
      <w:r w:rsidR="00B01FE2" w:rsidRPr="0067437A">
        <w:rPr>
          <w:snapToGrid/>
        </w:rPr>
        <w:t xml:space="preserve"> </w:t>
      </w:r>
      <w:r w:rsidR="00582182" w:rsidRPr="0067437A">
        <w:rPr>
          <w:snapToGrid/>
        </w:rPr>
        <w:t xml:space="preserve">resubmission presented </w:t>
      </w:r>
      <w:r w:rsidR="005035BF" w:rsidRPr="0067437A">
        <w:rPr>
          <w:snapToGrid/>
        </w:rPr>
        <w:t xml:space="preserve">the </w:t>
      </w:r>
      <w:r w:rsidR="00844F07" w:rsidRPr="0067437A">
        <w:rPr>
          <w:snapToGrid/>
        </w:rPr>
        <w:t>intention to treat (</w:t>
      </w:r>
      <w:r w:rsidR="005035BF" w:rsidRPr="0067437A">
        <w:rPr>
          <w:snapToGrid/>
        </w:rPr>
        <w:t>ITT</w:t>
      </w:r>
      <w:r w:rsidR="00844F07" w:rsidRPr="0067437A">
        <w:rPr>
          <w:snapToGrid/>
        </w:rPr>
        <w:t>)</w:t>
      </w:r>
      <w:r w:rsidR="005035BF" w:rsidRPr="0067437A">
        <w:rPr>
          <w:snapToGrid/>
        </w:rPr>
        <w:t xml:space="preserve"> results plus </w:t>
      </w:r>
      <w:r w:rsidR="00582182" w:rsidRPr="0067437A">
        <w:rPr>
          <w:snapToGrid/>
        </w:rPr>
        <w:t xml:space="preserve">additional </w:t>
      </w:r>
      <w:r w:rsidR="003A3D7F" w:rsidRPr="0067437A">
        <w:rPr>
          <w:snapToGrid/>
        </w:rPr>
        <w:t>primary outcome results stratified by subgroups</w:t>
      </w:r>
      <w:r w:rsidR="00B74F4E" w:rsidRPr="0067437A">
        <w:rPr>
          <w:snapToGrid/>
        </w:rPr>
        <w:t xml:space="preserve"> receiving background dual therapy (</w:t>
      </w:r>
      <w:r w:rsidR="005035BF" w:rsidRPr="0067437A">
        <w:rPr>
          <w:snapToGrid/>
        </w:rPr>
        <w:t xml:space="preserve">an </w:t>
      </w:r>
      <w:r w:rsidR="00B74F4E" w:rsidRPr="0067437A">
        <w:rPr>
          <w:snapToGrid/>
        </w:rPr>
        <w:t xml:space="preserve">ERA plus </w:t>
      </w:r>
      <w:r w:rsidR="005035BF" w:rsidRPr="0067437A">
        <w:rPr>
          <w:snapToGrid/>
        </w:rPr>
        <w:t xml:space="preserve">a </w:t>
      </w:r>
      <w:r w:rsidR="00B74F4E" w:rsidRPr="0067437A">
        <w:rPr>
          <w:snapToGrid/>
        </w:rPr>
        <w:t>PDE-5i)</w:t>
      </w:r>
      <w:r w:rsidR="00582182" w:rsidRPr="0067437A">
        <w:rPr>
          <w:snapToGrid/>
        </w:rPr>
        <w:t xml:space="preserve"> from Coghlan et al 2018</w:t>
      </w:r>
      <w:r w:rsidR="005035BF" w:rsidRPr="0067437A">
        <w:rPr>
          <w:snapToGrid/>
        </w:rPr>
        <w:t>a</w:t>
      </w:r>
      <w:r w:rsidR="0067437A">
        <w:rPr>
          <w:snapToGrid/>
        </w:rPr>
        <w:t xml:space="preserve">. </w:t>
      </w:r>
      <w:r w:rsidR="003A3D7F" w:rsidRPr="0067437A">
        <w:rPr>
          <w:snapToGrid/>
        </w:rPr>
        <w:t xml:space="preserve">Table </w:t>
      </w:r>
      <w:r w:rsidR="00582182" w:rsidRPr="0067437A">
        <w:rPr>
          <w:snapToGrid/>
        </w:rPr>
        <w:t xml:space="preserve">5 </w:t>
      </w:r>
      <w:r w:rsidR="00165267" w:rsidRPr="0067437A">
        <w:rPr>
          <w:snapToGrid/>
        </w:rPr>
        <w:t>summarise</w:t>
      </w:r>
      <w:r w:rsidR="00EE276D" w:rsidRPr="0067437A">
        <w:rPr>
          <w:snapToGrid/>
        </w:rPr>
        <w:t>s</w:t>
      </w:r>
      <w:r w:rsidR="00757484" w:rsidRPr="0067437A">
        <w:rPr>
          <w:snapToGrid/>
        </w:rPr>
        <w:t xml:space="preserve"> the results </w:t>
      </w:r>
      <w:r w:rsidR="003A3D7F" w:rsidRPr="0067437A">
        <w:rPr>
          <w:snapToGrid/>
        </w:rPr>
        <w:t xml:space="preserve">of </w:t>
      </w:r>
      <w:r w:rsidR="005035BF" w:rsidRPr="0067437A">
        <w:rPr>
          <w:snapToGrid/>
        </w:rPr>
        <w:t>the</w:t>
      </w:r>
      <w:r w:rsidR="006332BB" w:rsidRPr="0067437A">
        <w:rPr>
          <w:snapToGrid/>
        </w:rPr>
        <w:t xml:space="preserve"> ITT population</w:t>
      </w:r>
      <w:r w:rsidR="005035BF" w:rsidRPr="0067437A">
        <w:rPr>
          <w:snapToGrid/>
        </w:rPr>
        <w:t xml:space="preserve"> and subgroup</w:t>
      </w:r>
      <w:r w:rsidR="00757484" w:rsidRPr="0067437A">
        <w:rPr>
          <w:snapToGrid/>
        </w:rPr>
        <w:t>s</w:t>
      </w:r>
      <w:r w:rsidR="003A3D7F" w:rsidRPr="0067437A">
        <w:rPr>
          <w:snapToGrid/>
        </w:rPr>
        <w:t>.</w:t>
      </w:r>
      <w:r w:rsidR="00156516" w:rsidRPr="0067437A">
        <w:rPr>
          <w:snapToGrid/>
        </w:rPr>
        <w:t xml:space="preserve"> Blue</w:t>
      </w:r>
      <w:r w:rsidR="00757484" w:rsidRPr="0067437A">
        <w:rPr>
          <w:snapToGrid/>
        </w:rPr>
        <w:t xml:space="preserve"> shading </w:t>
      </w:r>
      <w:r w:rsidR="00D5031F" w:rsidRPr="0067437A">
        <w:rPr>
          <w:snapToGrid/>
        </w:rPr>
        <w:t>represents</w:t>
      </w:r>
      <w:r w:rsidR="00757484" w:rsidRPr="0067437A">
        <w:rPr>
          <w:snapToGrid/>
        </w:rPr>
        <w:t xml:space="preserve"> results</w:t>
      </w:r>
      <w:r w:rsidR="00BE6C3F" w:rsidRPr="0067437A">
        <w:rPr>
          <w:snapToGrid/>
        </w:rPr>
        <w:t xml:space="preserve"> </w:t>
      </w:r>
      <w:r w:rsidR="00156516" w:rsidRPr="0067437A">
        <w:rPr>
          <w:snapToGrid/>
        </w:rPr>
        <w:t>previously seen by the PBAC</w:t>
      </w:r>
      <w:r w:rsidR="0067437A">
        <w:rPr>
          <w:snapToGrid/>
        </w:rPr>
        <w:t xml:space="preserve">. </w:t>
      </w:r>
    </w:p>
    <w:p w:rsidR="00B41E12" w:rsidRPr="0067437A" w:rsidRDefault="00B41E12" w:rsidP="00B41E12">
      <w:pPr>
        <w:pStyle w:val="TableFigureHeading"/>
        <w:rPr>
          <w:rStyle w:val="CommentReference"/>
          <w:b/>
          <w:szCs w:val="24"/>
        </w:rPr>
      </w:pPr>
      <w:r w:rsidRPr="0067437A">
        <w:rPr>
          <w:rStyle w:val="CommentReference"/>
          <w:b/>
          <w:szCs w:val="24"/>
        </w:rPr>
        <w:t>Table</w:t>
      </w:r>
      <w:r w:rsidR="00BE6C3F" w:rsidRPr="0067437A">
        <w:rPr>
          <w:rStyle w:val="CommentReference"/>
          <w:b/>
          <w:szCs w:val="24"/>
        </w:rPr>
        <w:t xml:space="preserve"> 5</w:t>
      </w:r>
      <w:r w:rsidRPr="0067437A">
        <w:rPr>
          <w:rStyle w:val="CommentReference"/>
          <w:b/>
          <w:szCs w:val="24"/>
        </w:rPr>
        <w:t xml:space="preserve">: Results of primary outcome </w:t>
      </w:r>
      <w:r w:rsidRPr="0067437A">
        <w:t xml:space="preserve">time to first CEC-confirmed MM event (up to 7 days after treatment end) </w:t>
      </w:r>
      <w:r w:rsidRPr="0067437A">
        <w:rPr>
          <w:rStyle w:val="CommentReference"/>
          <w:b/>
          <w:szCs w:val="24"/>
        </w:rPr>
        <w:t>in the GRIPHON trial (</w:t>
      </w:r>
      <w:r w:rsidR="005640DD" w:rsidRPr="0067437A">
        <w:rPr>
          <w:rStyle w:val="CommentReference"/>
          <w:b/>
          <w:szCs w:val="24"/>
        </w:rPr>
        <w:t>ITT</w:t>
      </w:r>
      <w:r w:rsidRPr="0067437A">
        <w:rPr>
          <w:rStyle w:val="CommentReference"/>
          <w:b/>
          <w:szCs w:val="24"/>
        </w:rPr>
        <w:t xml:space="preserve"> and subgroups as defined by Coghlan et al 2018a)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4A0" w:firstRow="1" w:lastRow="0" w:firstColumn="1" w:lastColumn="0" w:noHBand="0" w:noVBand="1"/>
      </w:tblPr>
      <w:tblGrid>
        <w:gridCol w:w="4225"/>
        <w:gridCol w:w="1407"/>
        <w:gridCol w:w="1412"/>
        <w:gridCol w:w="1973"/>
      </w:tblGrid>
      <w:tr w:rsidR="00B41E12" w:rsidRPr="0067437A" w:rsidTr="001847DC">
        <w:trPr>
          <w:trHeight w:val="463"/>
          <w:tblHeader/>
        </w:trPr>
        <w:tc>
          <w:tcPr>
            <w:tcW w:w="2343" w:type="pct"/>
            <w:shd w:val="clear" w:color="auto" w:fill="auto"/>
            <w:vAlign w:val="center"/>
          </w:tcPr>
          <w:p w:rsidR="00B41E12" w:rsidRPr="0067437A" w:rsidRDefault="00B41E12" w:rsidP="001D3AB1">
            <w:pPr>
              <w:pStyle w:val="In-tableHeading"/>
              <w:rPr>
                <w:szCs w:val="20"/>
                <w:lang w:val="en-AU"/>
              </w:rPr>
            </w:pPr>
            <w:r w:rsidRPr="0067437A">
              <w:rPr>
                <w:szCs w:val="20"/>
                <w:lang w:val="en-AU"/>
              </w:rPr>
              <w:t xml:space="preserve">GRIPHON </w:t>
            </w:r>
            <w:r w:rsidR="0073671F" w:rsidRPr="0067437A">
              <w:rPr>
                <w:szCs w:val="20"/>
                <w:lang w:val="en-AU"/>
              </w:rPr>
              <w:t>ITT</w:t>
            </w:r>
            <w:r w:rsidRPr="0067437A">
              <w:rPr>
                <w:szCs w:val="20"/>
                <w:lang w:val="en-AU"/>
              </w:rPr>
              <w:t xml:space="preserve"> and subgroups</w:t>
            </w:r>
          </w:p>
        </w:tc>
        <w:tc>
          <w:tcPr>
            <w:tcW w:w="780" w:type="pct"/>
            <w:shd w:val="clear" w:color="auto" w:fill="auto"/>
            <w:vAlign w:val="center"/>
          </w:tcPr>
          <w:p w:rsidR="00B41E12" w:rsidRPr="0067437A" w:rsidRDefault="00B41E12" w:rsidP="001D3AB1">
            <w:pPr>
              <w:pStyle w:val="In-tableHeading"/>
              <w:ind w:left="-23"/>
              <w:jc w:val="center"/>
              <w:rPr>
                <w:szCs w:val="20"/>
                <w:lang w:val="en-AU"/>
              </w:rPr>
            </w:pPr>
            <w:r w:rsidRPr="0067437A">
              <w:rPr>
                <w:szCs w:val="20"/>
                <w:lang w:val="en-AU"/>
              </w:rPr>
              <w:t>Selexipag</w:t>
            </w:r>
          </w:p>
        </w:tc>
        <w:tc>
          <w:tcPr>
            <w:tcW w:w="783" w:type="pct"/>
            <w:shd w:val="clear" w:color="auto" w:fill="auto"/>
            <w:vAlign w:val="center"/>
          </w:tcPr>
          <w:p w:rsidR="00B41E12" w:rsidRPr="0067437A" w:rsidRDefault="00B41E12" w:rsidP="001D3AB1">
            <w:pPr>
              <w:pStyle w:val="In-tableHeading"/>
              <w:jc w:val="center"/>
              <w:rPr>
                <w:szCs w:val="20"/>
                <w:lang w:val="en-AU"/>
              </w:rPr>
            </w:pPr>
            <w:r w:rsidRPr="0067437A">
              <w:rPr>
                <w:szCs w:val="20"/>
                <w:lang w:val="en-AU"/>
              </w:rPr>
              <w:t>PBO</w:t>
            </w:r>
          </w:p>
        </w:tc>
        <w:tc>
          <w:tcPr>
            <w:tcW w:w="1094" w:type="pct"/>
            <w:shd w:val="clear" w:color="auto" w:fill="auto"/>
            <w:vAlign w:val="center"/>
          </w:tcPr>
          <w:p w:rsidR="00B41E12" w:rsidRPr="0067437A" w:rsidRDefault="00B41E12" w:rsidP="001D3AB1">
            <w:pPr>
              <w:pStyle w:val="In-tableHeading"/>
              <w:jc w:val="center"/>
              <w:rPr>
                <w:szCs w:val="20"/>
                <w:lang w:val="en-AU"/>
              </w:rPr>
            </w:pPr>
            <w:r w:rsidRPr="0067437A">
              <w:rPr>
                <w:szCs w:val="20"/>
                <w:lang w:val="en-AU"/>
              </w:rPr>
              <w:t>HR (99% CI*)</w:t>
            </w:r>
          </w:p>
        </w:tc>
      </w:tr>
      <w:tr w:rsidR="00B41E12" w:rsidRPr="0067437A" w:rsidTr="001847DC">
        <w:trPr>
          <w:trHeight w:val="243"/>
          <w:tblHeader/>
        </w:trPr>
        <w:tc>
          <w:tcPr>
            <w:tcW w:w="5000" w:type="pct"/>
            <w:gridSpan w:val="4"/>
            <w:shd w:val="clear" w:color="auto" w:fill="DBE5F1" w:themeFill="accent1" w:themeFillTint="33"/>
            <w:vAlign w:val="center"/>
          </w:tcPr>
          <w:p w:rsidR="00B41E12" w:rsidRPr="0067437A" w:rsidRDefault="00B41E12" w:rsidP="001D3AB1">
            <w:pPr>
              <w:pStyle w:val="In-tableHeading"/>
              <w:rPr>
                <w:szCs w:val="20"/>
                <w:lang w:val="en-AU"/>
              </w:rPr>
            </w:pPr>
            <w:r w:rsidRPr="0067437A">
              <w:rPr>
                <w:szCs w:val="20"/>
                <w:lang w:val="en-AU"/>
              </w:rPr>
              <w:t xml:space="preserve">GRIPHON </w:t>
            </w:r>
            <w:r w:rsidR="005640DD" w:rsidRPr="0067437A">
              <w:rPr>
                <w:szCs w:val="20"/>
                <w:lang w:val="en-AU"/>
              </w:rPr>
              <w:t>ITT population</w:t>
            </w:r>
          </w:p>
        </w:tc>
      </w:tr>
      <w:tr w:rsidR="00B41E12" w:rsidRPr="0067437A" w:rsidTr="001847DC">
        <w:trPr>
          <w:trHeight w:val="62"/>
          <w:tblHeader/>
        </w:trPr>
        <w:tc>
          <w:tcPr>
            <w:tcW w:w="2343" w:type="pct"/>
            <w:shd w:val="clear" w:color="auto" w:fill="DBE5F1" w:themeFill="accent1" w:themeFillTint="33"/>
            <w:vAlign w:val="center"/>
          </w:tcPr>
          <w:p w:rsidR="00B41E12" w:rsidRPr="0067437A" w:rsidRDefault="00B41E12" w:rsidP="001D3AB1">
            <w:pPr>
              <w:pStyle w:val="In-tableHeading"/>
              <w:rPr>
                <w:b w:val="0"/>
                <w:szCs w:val="20"/>
                <w:lang w:val="en-AU"/>
              </w:rPr>
            </w:pPr>
            <w:r w:rsidRPr="0067437A">
              <w:rPr>
                <w:b w:val="0"/>
                <w:szCs w:val="20"/>
                <w:lang w:val="en-AU"/>
              </w:rPr>
              <w:t>Median duration of follow-up, weeks (IQR)</w:t>
            </w:r>
          </w:p>
        </w:tc>
        <w:tc>
          <w:tcPr>
            <w:tcW w:w="780" w:type="pct"/>
            <w:shd w:val="clear" w:color="auto" w:fill="DBE5F1" w:themeFill="accent1" w:themeFillTint="33"/>
            <w:vAlign w:val="center"/>
          </w:tcPr>
          <w:p w:rsidR="00B41E12" w:rsidRPr="0067437A" w:rsidRDefault="00B41E12" w:rsidP="001D3AB1">
            <w:pPr>
              <w:pStyle w:val="In-tableHeading"/>
              <w:ind w:left="-30"/>
              <w:jc w:val="center"/>
              <w:rPr>
                <w:b w:val="0"/>
                <w:szCs w:val="20"/>
                <w:lang w:val="en-AU"/>
              </w:rPr>
            </w:pPr>
            <w:r w:rsidRPr="0067437A">
              <w:rPr>
                <w:b w:val="0"/>
                <w:szCs w:val="20"/>
                <w:lang w:val="en-AU"/>
              </w:rPr>
              <w:t>70.7 (32.0, 117.1)</w:t>
            </w:r>
          </w:p>
        </w:tc>
        <w:tc>
          <w:tcPr>
            <w:tcW w:w="783" w:type="pct"/>
            <w:shd w:val="clear" w:color="auto" w:fill="DBE5F1" w:themeFill="accent1" w:themeFillTint="33"/>
            <w:vAlign w:val="center"/>
          </w:tcPr>
          <w:p w:rsidR="00B41E12" w:rsidRPr="0067437A" w:rsidRDefault="00B41E12" w:rsidP="001D3AB1">
            <w:pPr>
              <w:pStyle w:val="In-tableHeading"/>
              <w:jc w:val="center"/>
              <w:rPr>
                <w:b w:val="0"/>
                <w:szCs w:val="20"/>
                <w:lang w:val="en-AU"/>
              </w:rPr>
            </w:pPr>
            <w:r w:rsidRPr="0067437A">
              <w:rPr>
                <w:b w:val="0"/>
                <w:szCs w:val="20"/>
                <w:lang w:val="en-AU"/>
              </w:rPr>
              <w:t>63.7 (28.6, 107.1)</w:t>
            </w:r>
          </w:p>
        </w:tc>
        <w:tc>
          <w:tcPr>
            <w:tcW w:w="1094" w:type="pct"/>
            <w:shd w:val="clear" w:color="auto" w:fill="DBE5F1" w:themeFill="accent1" w:themeFillTint="33"/>
            <w:vAlign w:val="center"/>
          </w:tcPr>
          <w:p w:rsidR="00B41E12" w:rsidRPr="0067437A" w:rsidRDefault="00B41E12" w:rsidP="00B15228">
            <w:pPr>
              <w:pStyle w:val="In-tableHeading"/>
              <w:jc w:val="center"/>
              <w:rPr>
                <w:b w:val="0"/>
                <w:szCs w:val="20"/>
                <w:lang w:val="en-AU"/>
              </w:rPr>
            </w:pPr>
            <w:r w:rsidRPr="0067437A">
              <w:rPr>
                <w:b w:val="0"/>
                <w:szCs w:val="20"/>
                <w:lang w:val="en-AU"/>
              </w:rPr>
              <w:t>-</w:t>
            </w:r>
          </w:p>
        </w:tc>
      </w:tr>
      <w:tr w:rsidR="00B41E12" w:rsidRPr="0067437A" w:rsidTr="001847DC">
        <w:trPr>
          <w:trHeight w:val="139"/>
        </w:trPr>
        <w:tc>
          <w:tcPr>
            <w:tcW w:w="2343" w:type="pct"/>
            <w:tcBorders>
              <w:bottom w:val="single" w:sz="4" w:space="0" w:color="auto"/>
            </w:tcBorders>
            <w:shd w:val="clear" w:color="auto" w:fill="DBE5F1" w:themeFill="accent1" w:themeFillTint="33"/>
            <w:vAlign w:val="center"/>
          </w:tcPr>
          <w:p w:rsidR="00B41E12" w:rsidRPr="0067437A" w:rsidRDefault="00B41E12" w:rsidP="001D3AB1">
            <w:pPr>
              <w:pStyle w:val="TableText0"/>
              <w:rPr>
                <w:szCs w:val="20"/>
              </w:rPr>
            </w:pPr>
            <w:r w:rsidRPr="0067437A">
              <w:rPr>
                <w:szCs w:val="20"/>
              </w:rPr>
              <w:t>Primary outcome first CEC-confirmed MM event, n/N (%)</w:t>
            </w:r>
          </w:p>
        </w:tc>
        <w:tc>
          <w:tcPr>
            <w:tcW w:w="780" w:type="pct"/>
            <w:tcBorders>
              <w:bottom w:val="single" w:sz="4" w:space="0" w:color="auto"/>
            </w:tcBorders>
            <w:shd w:val="clear" w:color="auto" w:fill="DBE5F1" w:themeFill="accent1" w:themeFillTint="33"/>
            <w:vAlign w:val="center"/>
          </w:tcPr>
          <w:p w:rsidR="00B41E12" w:rsidRPr="0067437A" w:rsidRDefault="00B41E12" w:rsidP="00530239">
            <w:pPr>
              <w:pStyle w:val="TableText0"/>
              <w:ind w:left="-80"/>
              <w:jc w:val="center"/>
              <w:rPr>
                <w:szCs w:val="20"/>
              </w:rPr>
            </w:pPr>
            <w:r w:rsidRPr="0067437A">
              <w:rPr>
                <w:szCs w:val="20"/>
              </w:rPr>
              <w:t>1</w:t>
            </w:r>
            <w:r w:rsidR="00530239" w:rsidRPr="0067437A">
              <w:rPr>
                <w:szCs w:val="20"/>
              </w:rPr>
              <w:t>40</w:t>
            </w:r>
            <w:r w:rsidRPr="0067437A">
              <w:rPr>
                <w:szCs w:val="20"/>
              </w:rPr>
              <w:t>/574 (</w:t>
            </w:r>
            <w:r w:rsidR="00530239" w:rsidRPr="0067437A">
              <w:rPr>
                <w:szCs w:val="20"/>
              </w:rPr>
              <w:t>24.3</w:t>
            </w:r>
            <w:r w:rsidRPr="0067437A">
              <w:rPr>
                <w:szCs w:val="20"/>
              </w:rPr>
              <w:t>%)</w:t>
            </w:r>
          </w:p>
        </w:tc>
        <w:tc>
          <w:tcPr>
            <w:tcW w:w="783" w:type="pct"/>
            <w:tcBorders>
              <w:bottom w:val="single" w:sz="4" w:space="0" w:color="auto"/>
            </w:tcBorders>
            <w:shd w:val="clear" w:color="auto" w:fill="DBE5F1" w:themeFill="accent1" w:themeFillTint="33"/>
            <w:vAlign w:val="center"/>
          </w:tcPr>
          <w:p w:rsidR="00B41E12" w:rsidRPr="0067437A" w:rsidRDefault="00B41E12" w:rsidP="002F392E">
            <w:pPr>
              <w:pStyle w:val="TableText0"/>
              <w:jc w:val="center"/>
              <w:rPr>
                <w:szCs w:val="20"/>
              </w:rPr>
            </w:pPr>
            <w:r w:rsidRPr="0067437A">
              <w:rPr>
                <w:szCs w:val="20"/>
              </w:rPr>
              <w:t>2</w:t>
            </w:r>
            <w:r w:rsidR="00530239" w:rsidRPr="0067437A">
              <w:rPr>
                <w:szCs w:val="20"/>
              </w:rPr>
              <w:t>12</w:t>
            </w:r>
            <w:r w:rsidRPr="0067437A">
              <w:rPr>
                <w:szCs w:val="20"/>
              </w:rPr>
              <w:t>/582 (</w:t>
            </w:r>
            <w:r w:rsidR="002F392E" w:rsidRPr="0067437A">
              <w:rPr>
                <w:szCs w:val="20"/>
              </w:rPr>
              <w:t>36.4</w:t>
            </w:r>
            <w:r w:rsidRPr="0067437A">
              <w:rPr>
                <w:szCs w:val="20"/>
              </w:rPr>
              <w:t>%)</w:t>
            </w:r>
          </w:p>
        </w:tc>
        <w:tc>
          <w:tcPr>
            <w:tcW w:w="1094" w:type="pct"/>
            <w:tcBorders>
              <w:bottom w:val="single" w:sz="4" w:space="0" w:color="auto"/>
            </w:tcBorders>
            <w:shd w:val="clear" w:color="auto" w:fill="DBE5F1" w:themeFill="accent1" w:themeFillTint="33"/>
          </w:tcPr>
          <w:p w:rsidR="00B41E12" w:rsidRPr="0067437A" w:rsidRDefault="00B41E12" w:rsidP="001D3AB1">
            <w:pPr>
              <w:pStyle w:val="TableText0"/>
              <w:jc w:val="center"/>
              <w:rPr>
                <w:b/>
                <w:szCs w:val="20"/>
              </w:rPr>
            </w:pPr>
            <w:r w:rsidRPr="0067437A">
              <w:rPr>
                <w:b/>
                <w:szCs w:val="20"/>
              </w:rPr>
              <w:t>0.61 (0.46</w:t>
            </w:r>
            <w:r w:rsidR="0058235A" w:rsidRPr="0067437A">
              <w:rPr>
                <w:b/>
                <w:szCs w:val="20"/>
              </w:rPr>
              <w:t xml:space="preserve">, </w:t>
            </w:r>
            <w:r w:rsidRPr="0067437A">
              <w:rPr>
                <w:b/>
                <w:szCs w:val="20"/>
              </w:rPr>
              <w:t>0.81)^</w:t>
            </w:r>
          </w:p>
          <w:p w:rsidR="00B41E12" w:rsidRPr="0067437A" w:rsidRDefault="00B41E12" w:rsidP="001D3AB1">
            <w:pPr>
              <w:pStyle w:val="TableText0"/>
              <w:jc w:val="center"/>
              <w:rPr>
                <w:szCs w:val="20"/>
              </w:rPr>
            </w:pPr>
            <w:r w:rsidRPr="0067437A">
              <w:rPr>
                <w:b/>
                <w:szCs w:val="20"/>
              </w:rPr>
              <w:t>p&lt;0.0</w:t>
            </w:r>
            <w:r w:rsidR="003B1AD7" w:rsidRPr="0067437A">
              <w:rPr>
                <w:b/>
                <w:szCs w:val="20"/>
              </w:rPr>
              <w:t>0</w:t>
            </w:r>
            <w:r w:rsidRPr="0067437A">
              <w:rPr>
                <w:b/>
                <w:szCs w:val="20"/>
              </w:rPr>
              <w:t>01</w:t>
            </w:r>
          </w:p>
        </w:tc>
      </w:tr>
      <w:tr w:rsidR="00B41E12" w:rsidRPr="0067437A" w:rsidTr="001847DC">
        <w:trPr>
          <w:trHeight w:val="139"/>
        </w:trPr>
        <w:tc>
          <w:tcPr>
            <w:tcW w:w="3906" w:type="pct"/>
            <w:gridSpan w:val="3"/>
            <w:shd w:val="clear" w:color="auto" w:fill="FFFFFF" w:themeFill="background1"/>
            <w:vAlign w:val="center"/>
          </w:tcPr>
          <w:p w:rsidR="00B41E12" w:rsidRPr="0067437A" w:rsidRDefault="00B41E12" w:rsidP="001D3AB1">
            <w:pPr>
              <w:pStyle w:val="TableText0"/>
              <w:rPr>
                <w:szCs w:val="20"/>
              </w:rPr>
            </w:pPr>
            <w:r w:rsidRPr="0067437A">
              <w:rPr>
                <w:b/>
                <w:szCs w:val="20"/>
              </w:rPr>
              <w:t xml:space="preserve">Subgroup analysis patients receiving background dual therapy of an ERA + a PDE-5i </w:t>
            </w:r>
          </w:p>
          <w:p w:rsidR="00B41E12" w:rsidRPr="0067437A" w:rsidRDefault="00B41E12" w:rsidP="001D3AB1">
            <w:pPr>
              <w:pStyle w:val="TableText0"/>
              <w:rPr>
                <w:b/>
                <w:szCs w:val="20"/>
              </w:rPr>
            </w:pPr>
            <w:r w:rsidRPr="0067437A">
              <w:rPr>
                <w:b/>
                <w:szCs w:val="20"/>
              </w:rPr>
              <w:t>(Coghlan et al 2018a)</w:t>
            </w:r>
          </w:p>
        </w:tc>
        <w:tc>
          <w:tcPr>
            <w:tcW w:w="1094" w:type="pct"/>
            <w:shd w:val="clear" w:color="auto" w:fill="FFFFFF" w:themeFill="background1"/>
            <w:vAlign w:val="center"/>
          </w:tcPr>
          <w:p w:rsidR="00B41E12" w:rsidRPr="0067437A" w:rsidRDefault="00B41E12" w:rsidP="001D3AB1">
            <w:pPr>
              <w:pStyle w:val="TableText0"/>
              <w:jc w:val="center"/>
              <w:rPr>
                <w:b/>
                <w:szCs w:val="20"/>
              </w:rPr>
            </w:pPr>
            <w:r w:rsidRPr="0067437A">
              <w:rPr>
                <w:b/>
                <w:szCs w:val="20"/>
              </w:rPr>
              <w:t>HR (95% CI)</w:t>
            </w:r>
          </w:p>
        </w:tc>
      </w:tr>
      <w:tr w:rsidR="00B41E12" w:rsidRPr="0067437A" w:rsidTr="001847DC">
        <w:trPr>
          <w:trHeight w:val="265"/>
        </w:trPr>
        <w:tc>
          <w:tcPr>
            <w:tcW w:w="2343" w:type="pct"/>
            <w:shd w:val="clear" w:color="auto" w:fill="FFFFFF" w:themeFill="background1"/>
            <w:vAlign w:val="center"/>
          </w:tcPr>
          <w:p w:rsidR="00B41E12" w:rsidRPr="0067437A" w:rsidRDefault="00B41E12" w:rsidP="001D3AB1">
            <w:pPr>
              <w:pStyle w:val="TableText0"/>
              <w:rPr>
                <w:b/>
                <w:szCs w:val="20"/>
              </w:rPr>
            </w:pPr>
            <w:r w:rsidRPr="0067437A">
              <w:rPr>
                <w:szCs w:val="20"/>
              </w:rPr>
              <w:t>All patients receiving background dual therapy</w:t>
            </w:r>
          </w:p>
        </w:tc>
        <w:tc>
          <w:tcPr>
            <w:tcW w:w="780" w:type="pct"/>
            <w:shd w:val="clear" w:color="auto" w:fill="FFFFFF" w:themeFill="background1"/>
            <w:vAlign w:val="center"/>
          </w:tcPr>
          <w:p w:rsidR="00B41E12" w:rsidRPr="0067437A" w:rsidRDefault="00B41E12" w:rsidP="001D3AB1">
            <w:pPr>
              <w:pStyle w:val="TableText0"/>
              <w:ind w:left="-1168" w:firstLine="1168"/>
              <w:jc w:val="center"/>
              <w:rPr>
                <w:szCs w:val="20"/>
              </w:rPr>
            </w:pPr>
            <w:r w:rsidRPr="0067437A">
              <w:rPr>
                <w:szCs w:val="20"/>
              </w:rPr>
              <w:t>47/179 (26%)</w:t>
            </w:r>
          </w:p>
        </w:tc>
        <w:tc>
          <w:tcPr>
            <w:tcW w:w="783" w:type="pct"/>
            <w:shd w:val="clear" w:color="auto" w:fill="FFFFFF" w:themeFill="background1"/>
            <w:vAlign w:val="center"/>
          </w:tcPr>
          <w:p w:rsidR="00B41E12" w:rsidRPr="0067437A" w:rsidRDefault="00B41E12" w:rsidP="001D3AB1">
            <w:pPr>
              <w:pStyle w:val="TableText0"/>
              <w:jc w:val="center"/>
              <w:rPr>
                <w:szCs w:val="20"/>
              </w:rPr>
            </w:pPr>
            <w:r w:rsidRPr="0067437A">
              <w:rPr>
                <w:szCs w:val="20"/>
              </w:rPr>
              <w:t>80/197 (41%)</w:t>
            </w:r>
          </w:p>
        </w:tc>
        <w:tc>
          <w:tcPr>
            <w:tcW w:w="1094" w:type="pct"/>
            <w:shd w:val="clear" w:color="auto" w:fill="FFFFFF" w:themeFill="background1"/>
            <w:vAlign w:val="center"/>
          </w:tcPr>
          <w:p w:rsidR="00B41E12" w:rsidRPr="0067437A" w:rsidRDefault="00B41E12" w:rsidP="0058235A">
            <w:pPr>
              <w:pStyle w:val="TableText0"/>
              <w:jc w:val="center"/>
              <w:rPr>
                <w:b/>
                <w:szCs w:val="20"/>
              </w:rPr>
            </w:pPr>
            <w:r w:rsidRPr="0067437A">
              <w:rPr>
                <w:b/>
                <w:szCs w:val="20"/>
              </w:rPr>
              <w:t>0.63 (0.44</w:t>
            </w:r>
            <w:r w:rsidR="0058235A" w:rsidRPr="0067437A">
              <w:rPr>
                <w:b/>
                <w:szCs w:val="20"/>
              </w:rPr>
              <w:t xml:space="preserve">, </w:t>
            </w:r>
            <w:r w:rsidRPr="0067437A">
              <w:rPr>
                <w:b/>
                <w:szCs w:val="20"/>
              </w:rPr>
              <w:t>0.90)</w:t>
            </w:r>
            <w:r w:rsidR="008234E9" w:rsidRPr="0067437A">
              <w:rPr>
                <w:b/>
                <w:szCs w:val="20"/>
                <w:vertAlign w:val="superscript"/>
              </w:rPr>
              <w:t xml:space="preserve"> §</w:t>
            </w:r>
          </w:p>
        </w:tc>
      </w:tr>
      <w:tr w:rsidR="00B41E12" w:rsidRPr="0067437A" w:rsidTr="001847DC">
        <w:trPr>
          <w:trHeight w:val="139"/>
        </w:trPr>
        <w:tc>
          <w:tcPr>
            <w:tcW w:w="2343" w:type="pct"/>
            <w:shd w:val="clear" w:color="auto" w:fill="FFFFFF" w:themeFill="background1"/>
            <w:vAlign w:val="center"/>
          </w:tcPr>
          <w:p w:rsidR="00B41E12" w:rsidRPr="0067437A" w:rsidRDefault="00B41E12" w:rsidP="001D3AB1">
            <w:pPr>
              <w:pStyle w:val="In-tableHeading"/>
              <w:rPr>
                <w:b w:val="0"/>
                <w:szCs w:val="20"/>
                <w:lang w:val="en-AU"/>
              </w:rPr>
            </w:pPr>
            <w:r w:rsidRPr="0067437A">
              <w:rPr>
                <w:b w:val="0"/>
                <w:szCs w:val="20"/>
                <w:lang w:val="en-AU"/>
              </w:rPr>
              <w:t>WHO FC II patients receiving background dual therapy</w:t>
            </w:r>
          </w:p>
        </w:tc>
        <w:tc>
          <w:tcPr>
            <w:tcW w:w="780" w:type="pct"/>
            <w:shd w:val="clear" w:color="auto" w:fill="FFFFFF" w:themeFill="background1"/>
            <w:vAlign w:val="center"/>
          </w:tcPr>
          <w:p w:rsidR="00B41E12" w:rsidRPr="0067437A" w:rsidRDefault="00B41E12" w:rsidP="001D3AB1">
            <w:pPr>
              <w:pStyle w:val="In-tableHeading"/>
              <w:jc w:val="center"/>
              <w:rPr>
                <w:b w:val="0"/>
                <w:szCs w:val="20"/>
                <w:lang w:val="en-AU"/>
              </w:rPr>
            </w:pPr>
            <w:r w:rsidRPr="0067437A">
              <w:rPr>
                <w:b w:val="0"/>
                <w:szCs w:val="20"/>
                <w:lang w:val="en-AU"/>
              </w:rPr>
              <w:t>6/55 (11%)</w:t>
            </w:r>
          </w:p>
        </w:tc>
        <w:tc>
          <w:tcPr>
            <w:tcW w:w="783" w:type="pct"/>
            <w:shd w:val="clear" w:color="auto" w:fill="FFFFFF" w:themeFill="background1"/>
            <w:vAlign w:val="center"/>
          </w:tcPr>
          <w:p w:rsidR="00B41E12" w:rsidRPr="0067437A" w:rsidRDefault="00B41E12" w:rsidP="001D3AB1">
            <w:pPr>
              <w:pStyle w:val="In-tableHeading"/>
              <w:jc w:val="center"/>
              <w:rPr>
                <w:b w:val="0"/>
                <w:szCs w:val="20"/>
                <w:lang w:val="en-AU"/>
              </w:rPr>
            </w:pPr>
            <w:r w:rsidRPr="0067437A">
              <w:rPr>
                <w:b w:val="0"/>
                <w:szCs w:val="20"/>
                <w:lang w:val="en-AU"/>
              </w:rPr>
              <w:t>18/60 (30%)</w:t>
            </w:r>
          </w:p>
        </w:tc>
        <w:tc>
          <w:tcPr>
            <w:tcW w:w="1094" w:type="pct"/>
            <w:shd w:val="clear" w:color="auto" w:fill="FFFFFF" w:themeFill="background1"/>
            <w:vAlign w:val="center"/>
          </w:tcPr>
          <w:p w:rsidR="00B41E12" w:rsidRPr="0067437A" w:rsidRDefault="00B41E12" w:rsidP="001D3AB1">
            <w:pPr>
              <w:pStyle w:val="TableText0"/>
              <w:jc w:val="center"/>
              <w:rPr>
                <w:b/>
                <w:szCs w:val="20"/>
              </w:rPr>
            </w:pPr>
            <w:r w:rsidRPr="0067437A">
              <w:rPr>
                <w:b/>
                <w:szCs w:val="20"/>
              </w:rPr>
              <w:t>0.36 (0.14, 0.91)</w:t>
            </w:r>
            <w:r w:rsidR="008234E9" w:rsidRPr="0067437A">
              <w:rPr>
                <w:b/>
                <w:szCs w:val="20"/>
                <w:vertAlign w:val="superscript"/>
              </w:rPr>
              <w:t xml:space="preserve"> §</w:t>
            </w:r>
          </w:p>
        </w:tc>
      </w:tr>
      <w:tr w:rsidR="00B41E12" w:rsidRPr="0067437A" w:rsidTr="001847DC">
        <w:trPr>
          <w:trHeight w:val="139"/>
        </w:trPr>
        <w:tc>
          <w:tcPr>
            <w:tcW w:w="2343" w:type="pct"/>
            <w:shd w:val="clear" w:color="auto" w:fill="FFFFFF" w:themeFill="background1"/>
            <w:vAlign w:val="center"/>
          </w:tcPr>
          <w:p w:rsidR="00B41E12" w:rsidRPr="0067437A" w:rsidRDefault="00B41E12" w:rsidP="001D3AB1">
            <w:pPr>
              <w:pStyle w:val="In-tableHeading"/>
              <w:rPr>
                <w:szCs w:val="20"/>
                <w:lang w:val="en-AU"/>
              </w:rPr>
            </w:pPr>
            <w:r w:rsidRPr="0067437A">
              <w:rPr>
                <w:b w:val="0"/>
                <w:szCs w:val="20"/>
                <w:lang w:val="en-AU"/>
              </w:rPr>
              <w:t>WHO FC III patients receiving background dual therapy</w:t>
            </w:r>
          </w:p>
        </w:tc>
        <w:tc>
          <w:tcPr>
            <w:tcW w:w="780" w:type="pct"/>
            <w:shd w:val="clear" w:color="auto" w:fill="FFFFFF" w:themeFill="background1"/>
            <w:vAlign w:val="center"/>
          </w:tcPr>
          <w:p w:rsidR="00B41E12" w:rsidRPr="0067437A" w:rsidRDefault="00B41E12" w:rsidP="001D3AB1">
            <w:pPr>
              <w:pStyle w:val="In-tableHeading"/>
              <w:jc w:val="center"/>
              <w:rPr>
                <w:b w:val="0"/>
                <w:szCs w:val="20"/>
                <w:lang w:val="en-AU"/>
              </w:rPr>
            </w:pPr>
            <w:r w:rsidRPr="0067437A">
              <w:rPr>
                <w:b w:val="0"/>
                <w:szCs w:val="20"/>
                <w:lang w:val="en-AU"/>
              </w:rPr>
              <w:t>41/122 (34%)</w:t>
            </w:r>
          </w:p>
        </w:tc>
        <w:tc>
          <w:tcPr>
            <w:tcW w:w="783" w:type="pct"/>
            <w:shd w:val="clear" w:color="auto" w:fill="FFFFFF" w:themeFill="background1"/>
            <w:vAlign w:val="center"/>
          </w:tcPr>
          <w:p w:rsidR="00B41E12" w:rsidRPr="0067437A" w:rsidRDefault="00B41E12" w:rsidP="001D3AB1">
            <w:pPr>
              <w:pStyle w:val="In-tableHeading"/>
              <w:jc w:val="center"/>
              <w:rPr>
                <w:b w:val="0"/>
                <w:szCs w:val="20"/>
                <w:lang w:val="en-AU"/>
              </w:rPr>
            </w:pPr>
            <w:r w:rsidRPr="0067437A">
              <w:rPr>
                <w:b w:val="0"/>
                <w:szCs w:val="20"/>
                <w:lang w:val="en-AU"/>
              </w:rPr>
              <w:t>59/133 (44%)</w:t>
            </w:r>
          </w:p>
        </w:tc>
        <w:tc>
          <w:tcPr>
            <w:tcW w:w="1094" w:type="pct"/>
            <w:shd w:val="clear" w:color="auto" w:fill="FFFFFF" w:themeFill="background1"/>
            <w:vAlign w:val="center"/>
          </w:tcPr>
          <w:p w:rsidR="00B41E12" w:rsidRPr="0067437A" w:rsidRDefault="00B41E12" w:rsidP="0058235A">
            <w:pPr>
              <w:pStyle w:val="TableText0"/>
              <w:jc w:val="center"/>
              <w:rPr>
                <w:szCs w:val="20"/>
              </w:rPr>
            </w:pPr>
            <w:r w:rsidRPr="0067437A">
              <w:rPr>
                <w:szCs w:val="20"/>
              </w:rPr>
              <w:t>0.74 (0.50</w:t>
            </w:r>
            <w:r w:rsidR="0058235A" w:rsidRPr="0067437A">
              <w:rPr>
                <w:szCs w:val="20"/>
              </w:rPr>
              <w:t xml:space="preserve">, </w:t>
            </w:r>
            <w:r w:rsidRPr="0067437A">
              <w:rPr>
                <w:szCs w:val="20"/>
              </w:rPr>
              <w:t>1.10)</w:t>
            </w:r>
            <w:r w:rsidR="008234E9" w:rsidRPr="0067437A">
              <w:rPr>
                <w:b/>
                <w:szCs w:val="20"/>
                <w:vertAlign w:val="superscript"/>
              </w:rPr>
              <w:t xml:space="preserve"> §</w:t>
            </w:r>
            <w:r w:rsidRPr="0067437A">
              <w:rPr>
                <w:szCs w:val="20"/>
              </w:rPr>
              <w:t xml:space="preserve"> </w:t>
            </w:r>
          </w:p>
        </w:tc>
      </w:tr>
    </w:tbl>
    <w:p w:rsidR="00B41E12" w:rsidRPr="0067437A" w:rsidRDefault="00B41E12" w:rsidP="00B41E12">
      <w:pPr>
        <w:pStyle w:val="TableFigureFooter"/>
        <w:rPr>
          <w:rFonts w:eastAsia="Calibri"/>
          <w:szCs w:val="18"/>
        </w:rPr>
      </w:pPr>
      <w:r w:rsidRPr="0067437A">
        <w:rPr>
          <w:rFonts w:eastAsia="Calibri"/>
          <w:szCs w:val="18"/>
          <w:shd w:val="clear" w:color="auto" w:fill="DBE5F1" w:themeFill="accent1" w:themeFillTint="33"/>
        </w:rPr>
        <w:t>Blue shading</w:t>
      </w:r>
      <w:r w:rsidRPr="0067437A">
        <w:rPr>
          <w:rFonts w:eastAsia="Calibri"/>
          <w:szCs w:val="18"/>
        </w:rPr>
        <w:t xml:space="preserve"> indicates results previously seen by the PBAC;</w:t>
      </w:r>
      <w:r w:rsidRPr="0067437A">
        <w:rPr>
          <w:rFonts w:eastAsia="Calibri"/>
          <w:b/>
          <w:szCs w:val="18"/>
        </w:rPr>
        <w:t xml:space="preserve"> Bold</w:t>
      </w:r>
      <w:r w:rsidRPr="0067437A">
        <w:rPr>
          <w:rFonts w:eastAsia="Calibri"/>
          <w:szCs w:val="18"/>
        </w:rPr>
        <w:t xml:space="preserve"> typography indicates statistically significant results.</w:t>
      </w:r>
    </w:p>
    <w:p w:rsidR="00B41E12" w:rsidRPr="0067437A" w:rsidRDefault="00673393" w:rsidP="00B41E12">
      <w:pPr>
        <w:pStyle w:val="TableFigureFooter"/>
        <w:rPr>
          <w:rFonts w:eastAsia="Calibri"/>
          <w:i/>
          <w:szCs w:val="18"/>
        </w:rPr>
      </w:pPr>
      <w:r w:rsidRPr="0067437A">
        <w:rPr>
          <w:rFonts w:eastAsia="Calibri"/>
          <w:szCs w:val="18"/>
        </w:rPr>
        <w:t xml:space="preserve">CEC = Critical Event Committee; CI = confidence interval; </w:t>
      </w:r>
      <w:r w:rsidRPr="0067437A">
        <w:t xml:space="preserve">ERA = endothelin receptor antagonist; FC = functional class; </w:t>
      </w:r>
      <w:r w:rsidRPr="0067437A">
        <w:rPr>
          <w:rFonts w:eastAsia="Calibri"/>
          <w:szCs w:val="18"/>
        </w:rPr>
        <w:t xml:space="preserve">HR = hazard ratio; </w:t>
      </w:r>
      <w:r w:rsidR="00B41E12" w:rsidRPr="0067437A">
        <w:rPr>
          <w:rFonts w:eastAsia="Calibri"/>
          <w:szCs w:val="18"/>
        </w:rPr>
        <w:t xml:space="preserve">IQR = interquartile range; </w:t>
      </w:r>
      <w:r w:rsidRPr="0067437A">
        <w:rPr>
          <w:rFonts w:eastAsia="Calibri"/>
          <w:szCs w:val="18"/>
        </w:rPr>
        <w:t xml:space="preserve">ITT = intention to treat; </w:t>
      </w:r>
      <w:r w:rsidR="00B41E12" w:rsidRPr="0067437A">
        <w:rPr>
          <w:rFonts w:eastAsia="Calibri"/>
          <w:szCs w:val="18"/>
        </w:rPr>
        <w:t>MM = morbidity</w:t>
      </w:r>
      <w:r w:rsidRPr="0067437A">
        <w:rPr>
          <w:rFonts w:eastAsia="Calibri"/>
          <w:szCs w:val="18"/>
        </w:rPr>
        <w:t>/</w:t>
      </w:r>
      <w:r w:rsidR="00B41E12" w:rsidRPr="0067437A">
        <w:rPr>
          <w:rFonts w:eastAsia="Calibri"/>
          <w:szCs w:val="18"/>
        </w:rPr>
        <w:t>mortality</w:t>
      </w:r>
      <w:r w:rsidRPr="0067437A">
        <w:rPr>
          <w:rFonts w:eastAsia="Calibri"/>
          <w:szCs w:val="18"/>
        </w:rPr>
        <w:t xml:space="preserve">; PBO = placebo; </w:t>
      </w:r>
      <w:r w:rsidRPr="0067437A">
        <w:t>PDE-5i = phosphodiesterase type 5 inhibitor</w:t>
      </w:r>
      <w:r w:rsidRPr="0067437A">
        <w:rPr>
          <w:rFonts w:eastAsia="Calibri"/>
          <w:szCs w:val="18"/>
        </w:rPr>
        <w:t>; WHO = World Health Organisation</w:t>
      </w:r>
      <w:r w:rsidR="00B41E12" w:rsidRPr="0067437A">
        <w:rPr>
          <w:rFonts w:eastAsia="Calibri"/>
          <w:szCs w:val="18"/>
        </w:rPr>
        <w:t xml:space="preserve"> </w:t>
      </w:r>
    </w:p>
    <w:p w:rsidR="00B41E12" w:rsidRPr="0067437A" w:rsidRDefault="00B41E12" w:rsidP="00B41E12">
      <w:pPr>
        <w:pStyle w:val="TableFigureFooter"/>
        <w:spacing w:after="0"/>
        <w:ind w:left="165" w:hanging="165"/>
        <w:rPr>
          <w:rFonts w:eastAsia="Calibri"/>
          <w:szCs w:val="18"/>
        </w:rPr>
      </w:pPr>
      <w:r w:rsidRPr="0067437A">
        <w:rPr>
          <w:rFonts w:eastAsia="Calibri"/>
          <w:szCs w:val="18"/>
        </w:rPr>
        <w:t>*</w:t>
      </w:r>
      <w:r w:rsidRPr="0067437A">
        <w:rPr>
          <w:rFonts w:eastAsia="Calibri"/>
          <w:szCs w:val="18"/>
        </w:rPr>
        <w:tab/>
        <w:t>one sided unstratified log-rank</w:t>
      </w:r>
    </w:p>
    <w:p w:rsidR="00290097" w:rsidRPr="0067437A" w:rsidRDefault="00B41E12" w:rsidP="00290097">
      <w:pPr>
        <w:pStyle w:val="TableFigureFooter"/>
        <w:spacing w:after="0"/>
        <w:ind w:left="165" w:hanging="165"/>
        <w:rPr>
          <w:szCs w:val="18"/>
        </w:rPr>
      </w:pPr>
      <w:r w:rsidRPr="0067437A">
        <w:rPr>
          <w:szCs w:val="18"/>
        </w:rPr>
        <w:t>^</w:t>
      </w:r>
      <w:r w:rsidRPr="0067437A">
        <w:rPr>
          <w:szCs w:val="18"/>
        </w:rPr>
        <w:tab/>
      </w:r>
      <w:r w:rsidR="00290097" w:rsidRPr="0067437A">
        <w:rPr>
          <w:szCs w:val="18"/>
        </w:rPr>
        <w:t>result from the GRIPHON trial Clinical Study Report (Table 15-48), it was noted that the published report by Sitbon et al 2015 had reported slightly different HR (99% CI) of 0.60 (0.46, 0.78) with a total of 155 and 242 primary outcomes events in selexipag and placebo groups, respectively. Inclusion or exclusion of events occurring prior to 16 August 2011 (n=45) accounts for the discrepancy in event rates which occurred as a result of a Global Protocol Amendment. Both sets of results were presented in the resubmission.</w:t>
      </w:r>
    </w:p>
    <w:p w:rsidR="00290097" w:rsidRPr="0067437A" w:rsidRDefault="00290097" w:rsidP="00290097">
      <w:pPr>
        <w:pStyle w:val="TableFigureFooter"/>
        <w:ind w:left="165" w:hanging="165"/>
        <w:rPr>
          <w:szCs w:val="18"/>
        </w:rPr>
      </w:pPr>
      <w:r w:rsidRPr="0067437A">
        <w:rPr>
          <w:szCs w:val="18"/>
        </w:rPr>
        <w:t>§ Analyses were unadjusted for 6-Minute-Walk-Distance. Adjusted results (for 6MWD): HR</w:t>
      </w:r>
      <w:r w:rsidR="00673393" w:rsidRPr="0067437A">
        <w:rPr>
          <w:szCs w:val="18"/>
        </w:rPr>
        <w:t xml:space="preserve"> =</w:t>
      </w:r>
      <w:r w:rsidRPr="0067437A">
        <w:rPr>
          <w:szCs w:val="18"/>
        </w:rPr>
        <w:t xml:space="preserve"> 0.37; 95% CI</w:t>
      </w:r>
      <w:r w:rsidR="00673393" w:rsidRPr="0067437A">
        <w:rPr>
          <w:szCs w:val="18"/>
        </w:rPr>
        <w:t>:</w:t>
      </w:r>
      <w:r w:rsidRPr="0067437A">
        <w:rPr>
          <w:szCs w:val="18"/>
        </w:rPr>
        <w:t xml:space="preserve"> 0.15</w:t>
      </w:r>
      <w:r w:rsidR="00673393" w:rsidRPr="0067437A">
        <w:rPr>
          <w:szCs w:val="18"/>
        </w:rPr>
        <w:t xml:space="preserve">, </w:t>
      </w:r>
      <w:r w:rsidRPr="0067437A">
        <w:rPr>
          <w:szCs w:val="18"/>
        </w:rPr>
        <w:t xml:space="preserve">0.95 in patients with WHO FC II symptoms (on background dual therapy) and HR </w:t>
      </w:r>
      <w:r w:rsidR="00673393" w:rsidRPr="0067437A">
        <w:rPr>
          <w:szCs w:val="18"/>
        </w:rPr>
        <w:t xml:space="preserve">= </w:t>
      </w:r>
      <w:r w:rsidRPr="0067437A">
        <w:rPr>
          <w:szCs w:val="18"/>
        </w:rPr>
        <w:t>0.67; 95% CI</w:t>
      </w:r>
      <w:r w:rsidR="00673393" w:rsidRPr="0067437A">
        <w:rPr>
          <w:szCs w:val="18"/>
        </w:rPr>
        <w:t>:</w:t>
      </w:r>
      <w:r w:rsidRPr="0067437A">
        <w:rPr>
          <w:szCs w:val="18"/>
        </w:rPr>
        <w:t xml:space="preserve"> 0.45</w:t>
      </w:r>
      <w:r w:rsidR="00673393" w:rsidRPr="0067437A">
        <w:rPr>
          <w:szCs w:val="18"/>
        </w:rPr>
        <w:t xml:space="preserve">, </w:t>
      </w:r>
      <w:r w:rsidRPr="0067437A">
        <w:rPr>
          <w:szCs w:val="18"/>
        </w:rPr>
        <w:t>1.01 in patients with WHO FC III symptoms (on background dual therapy)</w:t>
      </w:r>
      <w:r w:rsidR="008234E9" w:rsidRPr="0067437A">
        <w:rPr>
          <w:szCs w:val="18"/>
        </w:rPr>
        <w:t>.</w:t>
      </w:r>
    </w:p>
    <w:p w:rsidR="00290097" w:rsidRPr="0067437A" w:rsidRDefault="00290097" w:rsidP="0073671F">
      <w:pPr>
        <w:pStyle w:val="TableFigureFooter"/>
        <w:spacing w:after="0"/>
        <w:rPr>
          <w:szCs w:val="18"/>
        </w:rPr>
      </w:pPr>
      <w:r w:rsidRPr="0067437A">
        <w:rPr>
          <w:szCs w:val="18"/>
        </w:rPr>
        <w:t xml:space="preserve">Source: GRIPHON trial Clinical Study Report pp199; Sitbon et al (2015) Table 2, pp2529; Coghlan et al (2018a): in-text results pp40 and Figure 2, pp42. </w:t>
      </w:r>
    </w:p>
    <w:p w:rsidR="00F815ED" w:rsidRPr="0067437A" w:rsidRDefault="00F815ED" w:rsidP="00B41E12">
      <w:pPr>
        <w:pStyle w:val="TableFigureFooter"/>
        <w:spacing w:after="0"/>
        <w:ind w:left="165" w:hanging="165"/>
        <w:rPr>
          <w:szCs w:val="18"/>
        </w:rPr>
      </w:pPr>
    </w:p>
    <w:p w:rsidR="00B153A8" w:rsidRPr="0067437A" w:rsidRDefault="00774F4C" w:rsidP="003B1AD7">
      <w:pPr>
        <w:pStyle w:val="3-BodyText"/>
        <w:ind w:left="709"/>
      </w:pPr>
      <w:r w:rsidRPr="0067437A">
        <w:t xml:space="preserve">For the </w:t>
      </w:r>
      <w:r w:rsidR="00903D28" w:rsidRPr="0067437A">
        <w:t>ITT population</w:t>
      </w:r>
      <w:r w:rsidRPr="0067437A">
        <w:t xml:space="preserve">, </w:t>
      </w:r>
      <w:r w:rsidR="00324831" w:rsidRPr="0067437A">
        <w:t>comprised of a broad population of patients with WHO FC I</w:t>
      </w:r>
      <w:r w:rsidR="00947063" w:rsidRPr="0067437A">
        <w:t>-</w:t>
      </w:r>
      <w:r w:rsidR="00324831" w:rsidRPr="0067437A">
        <w:t>IV disease (although 98.3% o</w:t>
      </w:r>
      <w:r w:rsidR="00947063" w:rsidRPr="0067437A">
        <w:t xml:space="preserve">f the population had WHO II or III PAH) </w:t>
      </w:r>
      <w:r w:rsidR="00324831" w:rsidRPr="0067437A">
        <w:t xml:space="preserve">and taking </w:t>
      </w:r>
      <w:r w:rsidR="00947063" w:rsidRPr="0067437A">
        <w:t xml:space="preserve">a range of concomitant therapies (including treatment naïve, monotherapy with an ERA or PDE-5i or dual therapy with both agents), the GRIPHON trial found selexipag treatment </w:t>
      </w:r>
      <w:r w:rsidR="00947063" w:rsidRPr="0067437A">
        <w:lastRenderedPageBreak/>
        <w:t xml:space="preserve">to be associated with a </w:t>
      </w:r>
      <w:r w:rsidR="00B153A8" w:rsidRPr="0067437A">
        <w:t xml:space="preserve">39% risk reduction </w:t>
      </w:r>
      <w:r w:rsidR="00947063" w:rsidRPr="0067437A">
        <w:t xml:space="preserve">for </w:t>
      </w:r>
      <w:r w:rsidR="00B153A8" w:rsidRPr="0067437A">
        <w:t xml:space="preserve">the primary endpoint of </w:t>
      </w:r>
      <w:r w:rsidRPr="0067437A">
        <w:t>first CEC-confirmed MM event</w:t>
      </w:r>
      <w:r w:rsidR="00B153A8" w:rsidRPr="0067437A">
        <w:t xml:space="preserve"> (HR</w:t>
      </w:r>
      <w:r w:rsidR="00157ACD">
        <w:t xml:space="preserve"> </w:t>
      </w:r>
      <w:r w:rsidRPr="0067437A">
        <w:t>=</w:t>
      </w:r>
      <w:r w:rsidR="00157ACD">
        <w:t xml:space="preserve"> </w:t>
      </w:r>
      <w:r w:rsidRPr="0067437A">
        <w:t>0.61</w:t>
      </w:r>
      <w:r w:rsidR="005D3033" w:rsidRPr="0067437A">
        <w:t>,</w:t>
      </w:r>
      <w:r w:rsidRPr="0067437A">
        <w:t xml:space="preserve"> </w:t>
      </w:r>
      <w:r w:rsidR="00B153A8" w:rsidRPr="0067437A">
        <w:t>99% CI</w:t>
      </w:r>
      <w:r w:rsidRPr="0067437A">
        <w:t>:</w:t>
      </w:r>
      <w:r w:rsidR="00B153A8" w:rsidRPr="0067437A">
        <w:t xml:space="preserve"> 0.46</w:t>
      </w:r>
      <w:r w:rsidRPr="0067437A">
        <w:t xml:space="preserve">, </w:t>
      </w:r>
      <w:r w:rsidR="00B153A8" w:rsidRPr="0067437A">
        <w:t>0.81</w:t>
      </w:r>
      <w:r w:rsidRPr="0067437A">
        <w:t>)</w:t>
      </w:r>
      <w:r w:rsidR="00B153A8" w:rsidRPr="0067437A">
        <w:t xml:space="preserve"> versus placebo-treated patients.</w:t>
      </w:r>
    </w:p>
    <w:p w:rsidR="00D82F41" w:rsidRPr="0067437A" w:rsidRDefault="00D82F41" w:rsidP="009E0E38">
      <w:pPr>
        <w:pStyle w:val="3-BodyText"/>
        <w:ind w:left="709"/>
      </w:pPr>
      <w:r w:rsidRPr="0067437A">
        <w:t xml:space="preserve">The </w:t>
      </w:r>
      <w:r w:rsidR="001715D9" w:rsidRPr="0067437A">
        <w:t>subgroup analys</w:t>
      </w:r>
      <w:r w:rsidRPr="0067437A">
        <w:t>i</w:t>
      </w:r>
      <w:r w:rsidR="001715D9" w:rsidRPr="0067437A">
        <w:t xml:space="preserve">s </w:t>
      </w:r>
      <w:r w:rsidRPr="0067437A">
        <w:t xml:space="preserve">for all </w:t>
      </w:r>
      <w:r w:rsidR="001715D9" w:rsidRPr="0067437A">
        <w:t xml:space="preserve">patients receiving dual </w:t>
      </w:r>
      <w:r w:rsidRPr="0067437A">
        <w:t xml:space="preserve">ERA plus PDE-5i </w:t>
      </w:r>
      <w:r w:rsidR="001715D9" w:rsidRPr="0067437A">
        <w:t>therapy at baseline (n=376) demonstrated a statistically significant and similar risk reduction for the primary endpoint (HR</w:t>
      </w:r>
      <w:r w:rsidR="00157ACD">
        <w:t xml:space="preserve"> </w:t>
      </w:r>
      <w:r w:rsidR="001715D9" w:rsidRPr="0067437A">
        <w:t>=</w:t>
      </w:r>
      <w:r w:rsidR="00157ACD">
        <w:t xml:space="preserve"> </w:t>
      </w:r>
      <w:r w:rsidR="001715D9" w:rsidRPr="0067437A">
        <w:t>0.63, 95% CI: 0.44</w:t>
      </w:r>
      <w:r w:rsidR="00844F07" w:rsidRPr="0067437A">
        <w:t xml:space="preserve">, </w:t>
      </w:r>
      <w:r w:rsidR="001715D9" w:rsidRPr="0067437A">
        <w:t xml:space="preserve">0.90) compared to the ITT population. </w:t>
      </w:r>
      <w:r w:rsidRPr="0067437A">
        <w:t>T</w:t>
      </w:r>
      <w:r w:rsidR="001715D9" w:rsidRPr="0067437A">
        <w:t>he result for the WHO FC II subgroup receiving dual therapy (n=115) also demonstrated significantly reduced risk of the primary endpoint in selexipag-treated patients versus placebo, although the confidence interval was wide</w:t>
      </w:r>
      <w:r w:rsidR="000833D8" w:rsidRPr="0067437A">
        <w:t>r</w:t>
      </w:r>
      <w:r w:rsidR="001715D9" w:rsidRPr="0067437A">
        <w:t xml:space="preserve"> (HR</w:t>
      </w:r>
      <w:r w:rsidR="00157ACD">
        <w:t xml:space="preserve"> </w:t>
      </w:r>
      <w:r w:rsidR="001715D9" w:rsidRPr="0067437A">
        <w:t>=</w:t>
      </w:r>
      <w:r w:rsidR="00157ACD">
        <w:t xml:space="preserve"> </w:t>
      </w:r>
      <w:r w:rsidR="001715D9" w:rsidRPr="0067437A">
        <w:t>0.36, 95% CI: 0.14</w:t>
      </w:r>
      <w:r w:rsidRPr="0067437A">
        <w:t xml:space="preserve">, </w:t>
      </w:r>
      <w:r w:rsidR="001715D9" w:rsidRPr="0067437A">
        <w:t>0.91). However, for the WHO FC III subgroup receiving dual therapy, no significant difference was observed between selexipag and placebo groups (HR</w:t>
      </w:r>
      <w:r w:rsidR="00157ACD">
        <w:t xml:space="preserve"> </w:t>
      </w:r>
      <w:r w:rsidR="001715D9" w:rsidRPr="0067437A">
        <w:t>=</w:t>
      </w:r>
      <w:r w:rsidR="00157ACD">
        <w:t xml:space="preserve"> </w:t>
      </w:r>
      <w:r w:rsidR="001715D9" w:rsidRPr="0067437A">
        <w:t>0.74, 95% CI, 0.50</w:t>
      </w:r>
      <w:r w:rsidRPr="0067437A">
        <w:t xml:space="preserve">, </w:t>
      </w:r>
      <w:r w:rsidR="001715D9" w:rsidRPr="0067437A">
        <w:t>1.10</w:t>
      </w:r>
      <w:r w:rsidRPr="0067437A">
        <w:t>)</w:t>
      </w:r>
      <w:r w:rsidR="001715D9" w:rsidRPr="0067437A">
        <w:rPr>
          <w:i/>
        </w:rPr>
        <w:t xml:space="preserve">. </w:t>
      </w:r>
      <w:r w:rsidR="001715D9" w:rsidRPr="0067437A">
        <w:t xml:space="preserve">In addition, an adjusted Cox regression subgroup analysis of patients with WHO FC III </w:t>
      </w:r>
      <w:r w:rsidRPr="0067437A">
        <w:t>and receiving background</w:t>
      </w:r>
      <w:r w:rsidR="001715D9" w:rsidRPr="0067437A">
        <w:t xml:space="preserve"> dual therapy demonstrated </w:t>
      </w:r>
      <w:r w:rsidR="00B24936">
        <w:rPr>
          <w:noProof/>
          <w:color w:val="000000"/>
          <w:highlight w:val="black"/>
        </w:rPr>
        <w:t>''' ''''''''''''''''''''''''''''' '''''' '''''''''''''''' '''' '''''' '''''''''''''''' '''''''''''''''''' ''''''' ''' '''''''''' '''''''' ''''' ''''''''' '''''''''</w:t>
      </w:r>
      <w:r w:rsidR="001715D9" w:rsidRPr="0067437A">
        <w:t xml:space="preserve">, which was consistent with </w:t>
      </w:r>
      <w:r w:rsidRPr="0067437A">
        <w:t xml:space="preserve">the </w:t>
      </w:r>
      <w:r w:rsidR="001715D9" w:rsidRPr="0067437A">
        <w:t>analys</w:t>
      </w:r>
      <w:r w:rsidRPr="0067437A">
        <w:t>i</w:t>
      </w:r>
      <w:r w:rsidR="001715D9" w:rsidRPr="0067437A">
        <w:t>s presented by Coghlan et al (2018a)</w:t>
      </w:r>
      <w:r w:rsidRPr="0067437A">
        <w:t xml:space="preserve"> above</w:t>
      </w:r>
      <w:r w:rsidR="001715D9" w:rsidRPr="0067437A">
        <w:t xml:space="preserve">. </w:t>
      </w:r>
    </w:p>
    <w:p w:rsidR="001715D9" w:rsidRPr="0067437A" w:rsidRDefault="001715D9" w:rsidP="009E0E38">
      <w:pPr>
        <w:pStyle w:val="3-BodyText"/>
        <w:ind w:left="709"/>
      </w:pPr>
      <w:r w:rsidRPr="0067437A">
        <w:t xml:space="preserve">Coghlan et al 2018a </w:t>
      </w:r>
      <w:r w:rsidR="00D3725C" w:rsidRPr="0067437A">
        <w:t>stated</w:t>
      </w:r>
      <w:r w:rsidRPr="0067437A">
        <w:t xml:space="preserve"> “Our data indicate that the relative reduction in the risk of morbidity/mortality events with selexipag versus placebo may be more pronounced in patients with WHO FC II symptoms, and a similar observation has been reported previously in PAH. While these data raise the possibility that patients with less progressive disease respond better to therapy, caution is required to avoid over-interpretation of these post-hoc subgroup analyses. The number of morbidity/mortality events in the WHO FC II subgroup analysis was low (6% of all events in the study), the interaction p-value of 0.1436 indicates consistency in the results, irrespective of WHO FC, and there was also no difference in the treatment response between patients with WHO FC II and III symptoms in the GRIPHON population as a whole.”</w:t>
      </w:r>
    </w:p>
    <w:p w:rsidR="00C735F2" w:rsidRPr="0067437A" w:rsidRDefault="00404A9C" w:rsidP="009E0E38">
      <w:pPr>
        <w:pStyle w:val="3-BodyText"/>
        <w:ind w:left="709"/>
      </w:pPr>
      <w:r w:rsidRPr="0067437A">
        <w:t xml:space="preserve">The PSCR </w:t>
      </w:r>
      <w:r w:rsidR="001E12D8" w:rsidRPr="0067437A">
        <w:t>and pre-</w:t>
      </w:r>
      <w:r w:rsidR="0067437A" w:rsidRPr="0067437A">
        <w:t>PBAC</w:t>
      </w:r>
      <w:r w:rsidR="001E12D8" w:rsidRPr="0067437A">
        <w:t xml:space="preserve"> response </w:t>
      </w:r>
      <w:r w:rsidRPr="0067437A">
        <w:t xml:space="preserve">stated that the subgroup analyses were not powered to demonstrate treatment effects, thus the lack of statistical significance was the result of a Type II error. </w:t>
      </w:r>
    </w:p>
    <w:p w:rsidR="001F6298" w:rsidRPr="0067437A" w:rsidRDefault="00D3725C" w:rsidP="00D42958">
      <w:pPr>
        <w:pStyle w:val="3-BodyText"/>
        <w:ind w:left="709" w:hanging="709"/>
      </w:pPr>
      <w:r w:rsidRPr="0067437A">
        <w:t>N</w:t>
      </w:r>
      <w:r w:rsidR="001F6298" w:rsidRPr="0067437A">
        <w:t xml:space="preserve">o data </w:t>
      </w:r>
      <w:r w:rsidR="00751E2A" w:rsidRPr="0067437A">
        <w:t>w</w:t>
      </w:r>
      <w:r w:rsidRPr="0067437A">
        <w:t>ere</w:t>
      </w:r>
      <w:r w:rsidR="001F6298" w:rsidRPr="0067437A">
        <w:t xml:space="preserve"> available from the GRIPHON trial to determine the efficacy of sequential triple therapy of selexipag added to background dual therapy </w:t>
      </w:r>
      <w:r w:rsidRPr="0067437A">
        <w:t>of</w:t>
      </w:r>
      <w:r w:rsidR="001F6298" w:rsidRPr="0067437A">
        <w:t xml:space="preserve"> an ERA and a PDE-5i in patients with WHO FC IV disease, due to insufficient sample size (n=6). The resubmission requested listing in this patient population on a high clinical need basis and argued that there is no biological rationale to consider that the relative treatment benefit from triple therapy with selexipag will be significantly different in WHO IV patients</w:t>
      </w:r>
      <w:r w:rsidR="00EB6C72" w:rsidRPr="0067437A">
        <w:t>.</w:t>
      </w:r>
      <w:r w:rsidR="00944B59" w:rsidRPr="0067437A">
        <w:t xml:space="preserve"> The ESC </w:t>
      </w:r>
      <w:r w:rsidR="00DA3C60" w:rsidRPr="0067437A">
        <w:t xml:space="preserve">agreed with the clinical need, but </w:t>
      </w:r>
      <w:r w:rsidR="00944B59" w:rsidRPr="0067437A">
        <w:t>considered</w:t>
      </w:r>
      <w:r w:rsidR="00EB6C72" w:rsidRPr="0067437A">
        <w:t xml:space="preserve"> </w:t>
      </w:r>
      <w:r w:rsidR="00A727C2" w:rsidRPr="0067437A">
        <w:t xml:space="preserve">that </w:t>
      </w:r>
      <w:r w:rsidR="00944B59" w:rsidRPr="0067437A">
        <w:t>th</w:t>
      </w:r>
      <w:r w:rsidR="00751E2A" w:rsidRPr="0067437A">
        <w:t xml:space="preserve">is statement </w:t>
      </w:r>
      <w:r w:rsidR="00944B59" w:rsidRPr="0067437A">
        <w:t>was not adequately</w:t>
      </w:r>
      <w:r w:rsidR="00751E2A" w:rsidRPr="0067437A">
        <w:t xml:space="preserve"> supported</w:t>
      </w:r>
      <w:r w:rsidR="00944B59" w:rsidRPr="0067437A">
        <w:t>, particularly</w:t>
      </w:r>
      <w:r w:rsidR="00751E2A" w:rsidRPr="0067437A">
        <w:t xml:space="preserve"> given </w:t>
      </w:r>
      <w:r w:rsidR="00BB0A87" w:rsidRPr="0067437A">
        <w:t xml:space="preserve">the </w:t>
      </w:r>
      <w:r w:rsidR="00751E2A" w:rsidRPr="0067437A">
        <w:t xml:space="preserve">evidence </w:t>
      </w:r>
      <w:r w:rsidR="00D003ED" w:rsidRPr="0067437A">
        <w:t xml:space="preserve">illustrating better efficacy </w:t>
      </w:r>
      <w:r w:rsidR="00751E2A" w:rsidRPr="0067437A">
        <w:t xml:space="preserve">for WHO FC II </w:t>
      </w:r>
      <w:r w:rsidR="00D003ED" w:rsidRPr="0067437A">
        <w:t xml:space="preserve">versus III </w:t>
      </w:r>
      <w:r w:rsidR="00751E2A" w:rsidRPr="0067437A">
        <w:t>patients</w:t>
      </w:r>
      <w:r w:rsidR="0067437A">
        <w:t xml:space="preserve">. </w:t>
      </w:r>
      <w:r w:rsidR="00592D35">
        <w:t xml:space="preserve">The </w:t>
      </w:r>
      <w:r w:rsidR="004E6A8D">
        <w:t>PBAC</w:t>
      </w:r>
      <w:r w:rsidR="00592D35">
        <w:t xml:space="preserve"> considered that the data from the relatively few WHO FC IV patients in the GRIPHON trial should have been included in the </w:t>
      </w:r>
      <w:r w:rsidR="00382733">
        <w:t xml:space="preserve">submissions subgroup analyses. </w:t>
      </w:r>
      <w:r w:rsidR="00C86763" w:rsidRPr="0067437A">
        <w:t>The pre-PBAC response stated that</w:t>
      </w:r>
      <w:r w:rsidR="00382733">
        <w:t>,</w:t>
      </w:r>
      <w:r w:rsidR="00C86763" w:rsidRPr="0067437A">
        <w:t xml:space="preserve"> although </w:t>
      </w:r>
      <w:r w:rsidR="001E12D8" w:rsidRPr="0067437A">
        <w:t>the sponsor</w:t>
      </w:r>
      <w:r w:rsidR="00C86763" w:rsidRPr="0067437A">
        <w:t xml:space="preserve"> considered that </w:t>
      </w:r>
      <w:r w:rsidR="00B877F0">
        <w:t xml:space="preserve">WHO </w:t>
      </w:r>
      <w:r w:rsidR="00C86763" w:rsidRPr="0067437A">
        <w:t>FC was not a treatment effect modifier, there was uncertainty in the magnitude of benefit of selexipag in</w:t>
      </w:r>
      <w:r w:rsidR="00B877F0">
        <w:t xml:space="preserve"> WHO</w:t>
      </w:r>
      <w:r w:rsidR="00C86763" w:rsidRPr="0067437A">
        <w:t xml:space="preserve"> FC IV patients. </w:t>
      </w:r>
    </w:p>
    <w:p w:rsidR="00144D9E" w:rsidRPr="0067437A" w:rsidRDefault="0044750B" w:rsidP="007E65E4">
      <w:pPr>
        <w:pStyle w:val="Heading5"/>
        <w:keepNext/>
        <w:keepLines/>
        <w:rPr>
          <w:i/>
          <w:sz w:val="24"/>
          <w:szCs w:val="24"/>
        </w:rPr>
      </w:pPr>
      <w:r w:rsidRPr="0067437A">
        <w:rPr>
          <w:i/>
          <w:sz w:val="24"/>
          <w:szCs w:val="24"/>
        </w:rPr>
        <w:lastRenderedPageBreak/>
        <w:t>Type of first CEC-confirmed MM events in the primary composite endpoint</w:t>
      </w:r>
      <w:r w:rsidRPr="0067437A" w:rsidDel="00BF665A">
        <w:rPr>
          <w:i/>
          <w:sz w:val="24"/>
          <w:szCs w:val="24"/>
        </w:rPr>
        <w:t xml:space="preserve"> </w:t>
      </w:r>
      <w:r w:rsidR="00144D9E" w:rsidRPr="0067437A">
        <w:rPr>
          <w:i/>
          <w:sz w:val="24"/>
          <w:szCs w:val="24"/>
        </w:rPr>
        <w:t xml:space="preserve">(GRIPHON </w:t>
      </w:r>
      <w:r w:rsidR="00EE2333" w:rsidRPr="0067437A">
        <w:rPr>
          <w:i/>
          <w:sz w:val="24"/>
          <w:szCs w:val="24"/>
        </w:rPr>
        <w:t>ITT</w:t>
      </w:r>
      <w:r w:rsidR="00144D9E" w:rsidRPr="0067437A">
        <w:rPr>
          <w:i/>
          <w:sz w:val="24"/>
          <w:szCs w:val="24"/>
        </w:rPr>
        <w:t xml:space="preserve"> and subgroups from Coghlan et al 2018a</w:t>
      </w:r>
      <w:r w:rsidR="00EE276D" w:rsidRPr="0067437A">
        <w:rPr>
          <w:i/>
          <w:sz w:val="24"/>
          <w:szCs w:val="24"/>
        </w:rPr>
        <w:t>)</w:t>
      </w:r>
    </w:p>
    <w:p w:rsidR="00585B42" w:rsidRPr="0067437A" w:rsidRDefault="00DC691B" w:rsidP="007E65E4">
      <w:pPr>
        <w:pStyle w:val="3-BodyText"/>
        <w:keepNext/>
        <w:keepLines/>
        <w:ind w:left="709"/>
      </w:pPr>
      <w:r w:rsidRPr="0067437A">
        <w:t>Table 6 summarises the</w:t>
      </w:r>
      <w:r w:rsidR="00AA5F48" w:rsidRPr="0067437A">
        <w:t xml:space="preserve"> type of first CEC-confirmed MM event in the </w:t>
      </w:r>
      <w:r w:rsidRPr="0067437A">
        <w:t>primary composite endpoint</w:t>
      </w:r>
      <w:r w:rsidR="00E72CC6" w:rsidRPr="0067437A">
        <w:t xml:space="preserve"> for the </w:t>
      </w:r>
      <w:r w:rsidR="00FB2276" w:rsidRPr="0067437A">
        <w:t xml:space="preserve">GRIPHON </w:t>
      </w:r>
      <w:r w:rsidR="00E72CC6" w:rsidRPr="0067437A">
        <w:t>ITT population and subgroups identified in Coghlan et</w:t>
      </w:r>
      <w:r w:rsidR="00FB2276" w:rsidRPr="0067437A">
        <w:t xml:space="preserve"> al 2018a</w:t>
      </w:r>
      <w:r w:rsidR="0067437A">
        <w:t xml:space="preserve">. </w:t>
      </w:r>
      <w:r w:rsidR="00FB2276" w:rsidRPr="0067437A">
        <w:rPr>
          <w:rFonts w:eastAsia="Calibri"/>
        </w:rPr>
        <w:t xml:space="preserve">Results for the subgroup of patients with WHO FC III PAH and </w:t>
      </w:r>
      <w:r w:rsidR="00D3725C" w:rsidRPr="0067437A">
        <w:rPr>
          <w:rFonts w:eastAsia="Calibri"/>
        </w:rPr>
        <w:t>receiving background</w:t>
      </w:r>
      <w:r w:rsidR="00FB2276" w:rsidRPr="0067437A">
        <w:rPr>
          <w:rFonts w:eastAsia="Calibri"/>
        </w:rPr>
        <w:t xml:space="preserve"> dual combination therapy </w:t>
      </w:r>
      <w:r w:rsidR="00D3725C" w:rsidRPr="0067437A">
        <w:rPr>
          <w:rFonts w:eastAsia="Calibri"/>
        </w:rPr>
        <w:t>(highlighted g</w:t>
      </w:r>
      <w:r w:rsidR="00BF5BCA" w:rsidRPr="0067437A">
        <w:rPr>
          <w:rFonts w:eastAsia="Calibri"/>
        </w:rPr>
        <w:t>reen</w:t>
      </w:r>
      <w:r w:rsidR="00BF5BCA" w:rsidRPr="0067437A">
        <w:t xml:space="preserve">) </w:t>
      </w:r>
      <w:r w:rsidR="00FB2276" w:rsidRPr="0067437A">
        <w:rPr>
          <w:rFonts w:eastAsia="Calibri"/>
        </w:rPr>
        <w:t xml:space="preserve">are used in the modelled economic evaluation </w:t>
      </w:r>
      <w:r w:rsidR="00BF5BCA" w:rsidRPr="0067437A">
        <w:rPr>
          <w:rFonts w:eastAsia="Calibri"/>
        </w:rPr>
        <w:t>to represent the proposed PBS population.</w:t>
      </w:r>
    </w:p>
    <w:p w:rsidR="00DC691B" w:rsidRPr="0067437A" w:rsidRDefault="0098421F" w:rsidP="00DC691B">
      <w:pPr>
        <w:pStyle w:val="TableFigureFooter"/>
        <w:keepNext/>
        <w:keepLines/>
        <w:spacing w:after="0"/>
        <w:rPr>
          <w:b/>
          <w:sz w:val="20"/>
        </w:rPr>
      </w:pPr>
      <w:r w:rsidRPr="0067437A">
        <w:rPr>
          <w:b/>
          <w:sz w:val="20"/>
        </w:rPr>
        <w:t>Table 6</w:t>
      </w:r>
      <w:r w:rsidR="00DC691B" w:rsidRPr="0067437A">
        <w:rPr>
          <w:b/>
          <w:sz w:val="20"/>
        </w:rPr>
        <w:t xml:space="preserve">: </w:t>
      </w:r>
      <w:r w:rsidR="00F01DD0" w:rsidRPr="0067437A">
        <w:rPr>
          <w:b/>
          <w:sz w:val="20"/>
        </w:rPr>
        <w:t>Type of first CEC-confirmed MM events in the primary composite endpoint</w:t>
      </w:r>
      <w:r w:rsidR="00DC691B" w:rsidRPr="0067437A">
        <w:rPr>
          <w:b/>
          <w:sz w:val="20"/>
          <w:vertAlign w:val="superscript"/>
        </w:rPr>
        <w:t>#</w:t>
      </w:r>
      <w:r w:rsidR="00FB2276" w:rsidRPr="0067437A">
        <w:rPr>
          <w:b/>
          <w:sz w:val="20"/>
          <w:vertAlign w:val="superscript"/>
        </w:rPr>
        <w:t xml:space="preserve"> </w:t>
      </w:r>
      <w:r w:rsidR="00FB2276" w:rsidRPr="0067437A">
        <w:rPr>
          <w:b/>
          <w:sz w:val="20"/>
        </w:rPr>
        <w:t>for the GRIPHON ITT population and subgroups identified in Coghlan et al 2018a</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849"/>
        <w:gridCol w:w="709"/>
        <w:gridCol w:w="851"/>
        <w:gridCol w:w="709"/>
        <w:gridCol w:w="851"/>
        <w:gridCol w:w="707"/>
        <w:gridCol w:w="851"/>
        <w:gridCol w:w="738"/>
      </w:tblGrid>
      <w:tr w:rsidR="00DC691B" w:rsidRPr="0067437A" w:rsidTr="00E72CC6">
        <w:trPr>
          <w:trHeight w:val="139"/>
        </w:trPr>
        <w:tc>
          <w:tcPr>
            <w:tcW w:w="1502" w:type="pct"/>
            <w:tcBorders>
              <w:bottom w:val="single" w:sz="4" w:space="0" w:color="auto"/>
            </w:tcBorders>
            <w:shd w:val="clear" w:color="auto" w:fill="auto"/>
            <w:vAlign w:val="center"/>
          </w:tcPr>
          <w:p w:rsidR="00DC691B" w:rsidRPr="0067437A" w:rsidRDefault="00DC691B" w:rsidP="00AE5275">
            <w:pPr>
              <w:pStyle w:val="TableText0"/>
              <w:keepLines/>
              <w:rPr>
                <w:b/>
                <w:szCs w:val="20"/>
              </w:rPr>
            </w:pPr>
            <w:r w:rsidRPr="0067437A">
              <w:rPr>
                <w:b/>
                <w:szCs w:val="20"/>
              </w:rPr>
              <w:t>GRIPHON trial and subgroups</w:t>
            </w:r>
          </w:p>
        </w:tc>
        <w:tc>
          <w:tcPr>
            <w:tcW w:w="870" w:type="pct"/>
            <w:gridSpan w:val="2"/>
            <w:tcBorders>
              <w:bottom w:val="single" w:sz="4" w:space="0" w:color="auto"/>
            </w:tcBorders>
            <w:shd w:val="clear" w:color="auto" w:fill="DBE5F1" w:themeFill="accent1" w:themeFillTint="33"/>
            <w:vAlign w:val="center"/>
          </w:tcPr>
          <w:p w:rsidR="00DC691B" w:rsidRPr="0067437A" w:rsidRDefault="009E03B9" w:rsidP="00AE5275">
            <w:pPr>
              <w:pStyle w:val="TableText0"/>
              <w:keepLines/>
              <w:jc w:val="center"/>
              <w:rPr>
                <w:b/>
                <w:szCs w:val="20"/>
              </w:rPr>
            </w:pPr>
            <w:r w:rsidRPr="0067437A">
              <w:rPr>
                <w:b/>
                <w:szCs w:val="20"/>
              </w:rPr>
              <w:t>ITT</w:t>
            </w:r>
            <w:r w:rsidR="0051347C" w:rsidRPr="0067437A">
              <w:rPr>
                <w:b/>
                <w:szCs w:val="20"/>
              </w:rPr>
              <w:t>*</w:t>
            </w:r>
          </w:p>
        </w:tc>
        <w:tc>
          <w:tcPr>
            <w:tcW w:w="871" w:type="pct"/>
            <w:gridSpan w:val="2"/>
            <w:tcBorders>
              <w:bottom w:val="single" w:sz="4" w:space="0" w:color="auto"/>
            </w:tcBorders>
            <w:shd w:val="clear" w:color="auto" w:fill="auto"/>
            <w:vAlign w:val="center"/>
          </w:tcPr>
          <w:p w:rsidR="00DC691B" w:rsidRPr="0067437A" w:rsidRDefault="00D3725C" w:rsidP="00D3725C">
            <w:pPr>
              <w:pStyle w:val="TableText0"/>
              <w:keepLines/>
              <w:jc w:val="center"/>
              <w:rPr>
                <w:b/>
                <w:szCs w:val="20"/>
              </w:rPr>
            </w:pPr>
            <w:r w:rsidRPr="0067437A">
              <w:rPr>
                <w:b/>
                <w:szCs w:val="20"/>
              </w:rPr>
              <w:t>B</w:t>
            </w:r>
            <w:r w:rsidR="00DC691B" w:rsidRPr="0067437A">
              <w:rPr>
                <w:b/>
                <w:szCs w:val="20"/>
              </w:rPr>
              <w:t xml:space="preserve">ackground </w:t>
            </w:r>
            <w:r w:rsidRPr="0067437A">
              <w:rPr>
                <w:b/>
                <w:szCs w:val="20"/>
              </w:rPr>
              <w:t xml:space="preserve">dual </w:t>
            </w:r>
            <w:r w:rsidR="00DC691B" w:rsidRPr="0067437A">
              <w:rPr>
                <w:b/>
                <w:szCs w:val="20"/>
              </w:rPr>
              <w:t>therapy</w:t>
            </w:r>
          </w:p>
        </w:tc>
        <w:tc>
          <w:tcPr>
            <w:tcW w:w="870" w:type="pct"/>
            <w:gridSpan w:val="2"/>
            <w:tcBorders>
              <w:bottom w:val="single" w:sz="4" w:space="0" w:color="auto"/>
            </w:tcBorders>
          </w:tcPr>
          <w:p w:rsidR="00DC691B" w:rsidRPr="0067437A" w:rsidRDefault="00D3725C" w:rsidP="00AE5275">
            <w:pPr>
              <w:pStyle w:val="TableText0"/>
              <w:keepLines/>
              <w:jc w:val="center"/>
              <w:rPr>
                <w:b/>
                <w:szCs w:val="20"/>
              </w:rPr>
            </w:pPr>
            <w:r w:rsidRPr="0067437A">
              <w:rPr>
                <w:b/>
                <w:szCs w:val="20"/>
              </w:rPr>
              <w:t>B</w:t>
            </w:r>
            <w:r w:rsidR="00DC691B" w:rsidRPr="0067437A">
              <w:rPr>
                <w:b/>
                <w:szCs w:val="20"/>
              </w:rPr>
              <w:t xml:space="preserve">ackground </w:t>
            </w:r>
            <w:r w:rsidRPr="0067437A">
              <w:rPr>
                <w:b/>
                <w:szCs w:val="20"/>
              </w:rPr>
              <w:t xml:space="preserve">dual </w:t>
            </w:r>
            <w:r w:rsidR="00DC691B" w:rsidRPr="0067437A">
              <w:rPr>
                <w:b/>
                <w:szCs w:val="20"/>
              </w:rPr>
              <w:t xml:space="preserve">therapy + </w:t>
            </w:r>
            <w:r w:rsidR="00AD0C4E" w:rsidRPr="0067437A">
              <w:rPr>
                <w:b/>
                <w:szCs w:val="20"/>
              </w:rPr>
              <w:br/>
            </w:r>
            <w:r w:rsidR="00DC691B" w:rsidRPr="0067437A">
              <w:rPr>
                <w:b/>
                <w:szCs w:val="20"/>
              </w:rPr>
              <w:t>WHO FC II</w:t>
            </w:r>
          </w:p>
        </w:tc>
        <w:tc>
          <w:tcPr>
            <w:tcW w:w="887" w:type="pct"/>
            <w:gridSpan w:val="2"/>
            <w:tcBorders>
              <w:bottom w:val="single" w:sz="4" w:space="0" w:color="auto"/>
            </w:tcBorders>
            <w:shd w:val="clear" w:color="auto" w:fill="D6E3BC" w:themeFill="accent3" w:themeFillTint="66"/>
            <w:vAlign w:val="center"/>
          </w:tcPr>
          <w:p w:rsidR="00DC691B" w:rsidRPr="0067437A" w:rsidRDefault="00D3725C" w:rsidP="00AE5275">
            <w:pPr>
              <w:pStyle w:val="TableText0"/>
              <w:keepLines/>
              <w:jc w:val="center"/>
              <w:rPr>
                <w:b/>
                <w:szCs w:val="20"/>
              </w:rPr>
            </w:pPr>
            <w:r w:rsidRPr="0067437A">
              <w:rPr>
                <w:b/>
                <w:szCs w:val="20"/>
              </w:rPr>
              <w:t>B</w:t>
            </w:r>
            <w:r w:rsidR="00DC691B" w:rsidRPr="0067437A">
              <w:rPr>
                <w:b/>
                <w:szCs w:val="20"/>
              </w:rPr>
              <w:t>ackground</w:t>
            </w:r>
            <w:r w:rsidRPr="0067437A">
              <w:rPr>
                <w:b/>
                <w:szCs w:val="20"/>
              </w:rPr>
              <w:t xml:space="preserve"> dual</w:t>
            </w:r>
            <w:r w:rsidR="00DC691B" w:rsidRPr="0067437A">
              <w:rPr>
                <w:b/>
                <w:szCs w:val="20"/>
              </w:rPr>
              <w:t xml:space="preserve"> therapy + </w:t>
            </w:r>
            <w:r w:rsidR="00AD0C4E" w:rsidRPr="0067437A">
              <w:rPr>
                <w:b/>
                <w:szCs w:val="20"/>
              </w:rPr>
              <w:br/>
            </w:r>
            <w:r w:rsidR="00DC691B" w:rsidRPr="0067437A">
              <w:rPr>
                <w:b/>
                <w:szCs w:val="20"/>
              </w:rPr>
              <w:t>WHO FC III</w:t>
            </w:r>
          </w:p>
        </w:tc>
      </w:tr>
      <w:tr w:rsidR="00AD0C4E" w:rsidRPr="0067437A" w:rsidTr="00E72CC6">
        <w:trPr>
          <w:trHeight w:val="139"/>
        </w:trPr>
        <w:tc>
          <w:tcPr>
            <w:tcW w:w="1502" w:type="pct"/>
            <w:tcBorders>
              <w:bottom w:val="single" w:sz="4" w:space="0" w:color="auto"/>
            </w:tcBorders>
            <w:shd w:val="clear" w:color="auto" w:fill="auto"/>
            <w:vAlign w:val="center"/>
          </w:tcPr>
          <w:p w:rsidR="00DC691B" w:rsidRPr="0067437A" w:rsidRDefault="00DC691B" w:rsidP="00AE5275">
            <w:pPr>
              <w:pStyle w:val="TableText0"/>
              <w:keepLines/>
              <w:rPr>
                <w:szCs w:val="20"/>
              </w:rPr>
            </w:pPr>
            <w:r w:rsidRPr="0067437A">
              <w:rPr>
                <w:b/>
                <w:szCs w:val="20"/>
              </w:rPr>
              <w:t>Component outcomes of primary composite endpoint, n/N (%)</w:t>
            </w:r>
          </w:p>
        </w:tc>
        <w:tc>
          <w:tcPr>
            <w:tcW w:w="474"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ind w:left="-1168" w:firstLine="1168"/>
              <w:jc w:val="center"/>
              <w:rPr>
                <w:b/>
                <w:szCs w:val="20"/>
              </w:rPr>
            </w:pPr>
            <w:r w:rsidRPr="0067437A">
              <w:rPr>
                <w:b/>
                <w:szCs w:val="20"/>
              </w:rPr>
              <w:t>Selexipag</w:t>
            </w:r>
          </w:p>
          <w:p w:rsidR="00DC691B" w:rsidRPr="0067437A" w:rsidRDefault="00DC691B" w:rsidP="00AE5275">
            <w:pPr>
              <w:pStyle w:val="TableText0"/>
              <w:keepLines/>
              <w:ind w:left="-1168" w:firstLine="1168"/>
              <w:jc w:val="center"/>
              <w:rPr>
                <w:b/>
                <w:szCs w:val="20"/>
              </w:rPr>
            </w:pPr>
            <w:r w:rsidRPr="0067437A">
              <w:rPr>
                <w:b/>
                <w:szCs w:val="20"/>
              </w:rPr>
              <w:t>N=574</w:t>
            </w:r>
          </w:p>
        </w:tc>
        <w:tc>
          <w:tcPr>
            <w:tcW w:w="396"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jc w:val="center"/>
              <w:rPr>
                <w:b/>
                <w:szCs w:val="20"/>
              </w:rPr>
            </w:pPr>
            <w:r w:rsidRPr="0067437A">
              <w:rPr>
                <w:b/>
                <w:szCs w:val="20"/>
              </w:rPr>
              <w:t>Placebo</w:t>
            </w:r>
          </w:p>
          <w:p w:rsidR="00DC691B" w:rsidRPr="0067437A" w:rsidRDefault="00DC691B" w:rsidP="00AE5275">
            <w:pPr>
              <w:pStyle w:val="TableText0"/>
              <w:keepLines/>
              <w:jc w:val="center"/>
              <w:rPr>
                <w:b/>
                <w:szCs w:val="20"/>
              </w:rPr>
            </w:pPr>
            <w:r w:rsidRPr="0067437A">
              <w:rPr>
                <w:b/>
                <w:szCs w:val="20"/>
              </w:rPr>
              <w:t>N=582</w:t>
            </w:r>
          </w:p>
        </w:tc>
        <w:tc>
          <w:tcPr>
            <w:tcW w:w="475" w:type="pct"/>
            <w:tcBorders>
              <w:bottom w:val="single" w:sz="4" w:space="0" w:color="auto"/>
            </w:tcBorders>
            <w:shd w:val="clear" w:color="auto" w:fill="auto"/>
            <w:vAlign w:val="center"/>
          </w:tcPr>
          <w:p w:rsidR="00DC691B" w:rsidRPr="0067437A" w:rsidRDefault="00DC691B" w:rsidP="00AE5275">
            <w:pPr>
              <w:pStyle w:val="TableText0"/>
              <w:keepLines/>
              <w:jc w:val="center"/>
              <w:rPr>
                <w:b/>
                <w:szCs w:val="20"/>
              </w:rPr>
            </w:pPr>
            <w:r w:rsidRPr="0067437A">
              <w:rPr>
                <w:b/>
                <w:szCs w:val="20"/>
              </w:rPr>
              <w:t>Selexipag</w:t>
            </w:r>
          </w:p>
          <w:p w:rsidR="00DC691B" w:rsidRPr="0067437A" w:rsidRDefault="00DC691B" w:rsidP="00AE5275">
            <w:pPr>
              <w:pStyle w:val="TableText0"/>
              <w:keepLines/>
              <w:jc w:val="center"/>
              <w:rPr>
                <w:b/>
                <w:szCs w:val="20"/>
              </w:rPr>
            </w:pPr>
            <w:r w:rsidRPr="0067437A">
              <w:rPr>
                <w:b/>
                <w:szCs w:val="20"/>
              </w:rPr>
              <w:t>N=179</w:t>
            </w:r>
          </w:p>
        </w:tc>
        <w:tc>
          <w:tcPr>
            <w:tcW w:w="396" w:type="pct"/>
            <w:tcBorders>
              <w:bottom w:val="single" w:sz="4" w:space="0" w:color="auto"/>
            </w:tcBorders>
            <w:shd w:val="clear" w:color="auto" w:fill="auto"/>
            <w:vAlign w:val="center"/>
          </w:tcPr>
          <w:p w:rsidR="00DC691B" w:rsidRPr="0067437A" w:rsidRDefault="00DC691B" w:rsidP="00AE5275">
            <w:pPr>
              <w:pStyle w:val="TableText0"/>
              <w:keepLines/>
              <w:jc w:val="center"/>
              <w:rPr>
                <w:b/>
                <w:szCs w:val="20"/>
              </w:rPr>
            </w:pPr>
            <w:r w:rsidRPr="0067437A">
              <w:rPr>
                <w:b/>
                <w:szCs w:val="20"/>
              </w:rPr>
              <w:t>Placebo</w:t>
            </w:r>
          </w:p>
          <w:p w:rsidR="00DC691B" w:rsidRPr="0067437A" w:rsidRDefault="00DC691B" w:rsidP="00AE5275">
            <w:pPr>
              <w:pStyle w:val="TableText0"/>
              <w:keepLines/>
              <w:jc w:val="center"/>
              <w:rPr>
                <w:b/>
                <w:szCs w:val="20"/>
              </w:rPr>
            </w:pPr>
            <w:r w:rsidRPr="0067437A">
              <w:rPr>
                <w:b/>
                <w:szCs w:val="20"/>
              </w:rPr>
              <w:t>N=197</w:t>
            </w:r>
          </w:p>
        </w:tc>
        <w:tc>
          <w:tcPr>
            <w:tcW w:w="475" w:type="pct"/>
            <w:tcBorders>
              <w:bottom w:val="single" w:sz="4" w:space="0" w:color="auto"/>
            </w:tcBorders>
            <w:vAlign w:val="center"/>
          </w:tcPr>
          <w:p w:rsidR="00DC691B" w:rsidRPr="0067437A" w:rsidRDefault="00DC691B" w:rsidP="00AE5275">
            <w:pPr>
              <w:pStyle w:val="TableText0"/>
              <w:keepLines/>
              <w:jc w:val="center"/>
              <w:rPr>
                <w:b/>
                <w:szCs w:val="20"/>
              </w:rPr>
            </w:pPr>
            <w:r w:rsidRPr="0067437A">
              <w:rPr>
                <w:b/>
                <w:szCs w:val="20"/>
              </w:rPr>
              <w:t>Selexipag</w:t>
            </w:r>
          </w:p>
          <w:p w:rsidR="00DC691B" w:rsidRPr="0067437A" w:rsidRDefault="00DC691B" w:rsidP="00AE5275">
            <w:pPr>
              <w:pStyle w:val="TableText0"/>
              <w:keepLines/>
              <w:jc w:val="center"/>
              <w:rPr>
                <w:b/>
                <w:szCs w:val="20"/>
              </w:rPr>
            </w:pPr>
            <w:r w:rsidRPr="0067437A">
              <w:rPr>
                <w:b/>
                <w:szCs w:val="20"/>
              </w:rPr>
              <w:t>N=55</w:t>
            </w:r>
          </w:p>
        </w:tc>
        <w:tc>
          <w:tcPr>
            <w:tcW w:w="395" w:type="pct"/>
            <w:tcBorders>
              <w:bottom w:val="single" w:sz="4" w:space="0" w:color="auto"/>
            </w:tcBorders>
            <w:vAlign w:val="center"/>
          </w:tcPr>
          <w:p w:rsidR="00DC691B" w:rsidRPr="0067437A" w:rsidRDefault="00DC691B" w:rsidP="00AE5275">
            <w:pPr>
              <w:pStyle w:val="TableText0"/>
              <w:keepLines/>
              <w:jc w:val="center"/>
              <w:rPr>
                <w:b/>
                <w:szCs w:val="20"/>
              </w:rPr>
            </w:pPr>
            <w:r w:rsidRPr="0067437A">
              <w:rPr>
                <w:b/>
                <w:szCs w:val="20"/>
              </w:rPr>
              <w:t>Placebo</w:t>
            </w:r>
          </w:p>
          <w:p w:rsidR="00DC691B" w:rsidRPr="0067437A" w:rsidRDefault="00DC691B" w:rsidP="00AE5275">
            <w:pPr>
              <w:pStyle w:val="TableText0"/>
              <w:keepLines/>
              <w:jc w:val="center"/>
              <w:rPr>
                <w:b/>
                <w:szCs w:val="20"/>
              </w:rPr>
            </w:pPr>
            <w:r w:rsidRPr="0067437A">
              <w:rPr>
                <w:b/>
                <w:szCs w:val="20"/>
              </w:rPr>
              <w:t>N=60</w:t>
            </w:r>
          </w:p>
        </w:tc>
        <w:tc>
          <w:tcPr>
            <w:tcW w:w="475"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b/>
                <w:szCs w:val="20"/>
              </w:rPr>
            </w:pPr>
            <w:r w:rsidRPr="0067437A">
              <w:rPr>
                <w:b/>
                <w:szCs w:val="20"/>
              </w:rPr>
              <w:t>Selexipag</w:t>
            </w:r>
          </w:p>
          <w:p w:rsidR="00DC691B" w:rsidRPr="0067437A" w:rsidRDefault="00DC691B" w:rsidP="00AE5275">
            <w:pPr>
              <w:pStyle w:val="TableText0"/>
              <w:keepLines/>
              <w:jc w:val="center"/>
              <w:rPr>
                <w:b/>
                <w:szCs w:val="20"/>
              </w:rPr>
            </w:pPr>
            <w:r w:rsidRPr="0067437A">
              <w:rPr>
                <w:b/>
                <w:szCs w:val="20"/>
              </w:rPr>
              <w:t>N=122</w:t>
            </w:r>
          </w:p>
        </w:tc>
        <w:tc>
          <w:tcPr>
            <w:tcW w:w="412"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b/>
                <w:szCs w:val="20"/>
              </w:rPr>
            </w:pPr>
            <w:r w:rsidRPr="0067437A">
              <w:rPr>
                <w:b/>
                <w:szCs w:val="20"/>
              </w:rPr>
              <w:t>Placebo</w:t>
            </w:r>
          </w:p>
          <w:p w:rsidR="00DC691B" w:rsidRPr="0067437A" w:rsidRDefault="00DC691B" w:rsidP="00AE5275">
            <w:pPr>
              <w:pStyle w:val="TableText0"/>
              <w:keepLines/>
              <w:jc w:val="center"/>
              <w:rPr>
                <w:b/>
                <w:szCs w:val="20"/>
              </w:rPr>
            </w:pPr>
            <w:r w:rsidRPr="0067437A">
              <w:rPr>
                <w:b/>
                <w:szCs w:val="20"/>
              </w:rPr>
              <w:t>N=133</w:t>
            </w:r>
          </w:p>
        </w:tc>
      </w:tr>
      <w:tr w:rsidR="00AD0C4E" w:rsidRPr="0067437A" w:rsidTr="00E72CC6">
        <w:trPr>
          <w:trHeight w:val="139"/>
        </w:trPr>
        <w:tc>
          <w:tcPr>
            <w:tcW w:w="1502" w:type="pct"/>
            <w:tcBorders>
              <w:bottom w:val="single" w:sz="4" w:space="0" w:color="auto"/>
            </w:tcBorders>
            <w:shd w:val="clear" w:color="auto" w:fill="auto"/>
            <w:vAlign w:val="center"/>
          </w:tcPr>
          <w:p w:rsidR="00DC691B" w:rsidRPr="0067437A" w:rsidRDefault="00DC691B" w:rsidP="00AE5275">
            <w:pPr>
              <w:pStyle w:val="TableText0"/>
              <w:keepLines/>
              <w:rPr>
                <w:szCs w:val="20"/>
              </w:rPr>
            </w:pPr>
            <w:r w:rsidRPr="0067437A">
              <w:rPr>
                <w:szCs w:val="20"/>
              </w:rPr>
              <w:t>All events</w:t>
            </w:r>
          </w:p>
        </w:tc>
        <w:tc>
          <w:tcPr>
            <w:tcW w:w="474"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ind w:left="-1168" w:firstLine="1168"/>
              <w:jc w:val="center"/>
              <w:rPr>
                <w:szCs w:val="20"/>
              </w:rPr>
            </w:pPr>
            <w:r w:rsidRPr="0067437A">
              <w:rPr>
                <w:szCs w:val="20"/>
              </w:rPr>
              <w:t>155</w:t>
            </w:r>
          </w:p>
          <w:p w:rsidR="00DC691B" w:rsidRPr="0067437A" w:rsidRDefault="00DC691B" w:rsidP="00AE5275">
            <w:pPr>
              <w:pStyle w:val="TableText0"/>
              <w:keepLines/>
              <w:ind w:left="-1168" w:firstLine="1168"/>
              <w:jc w:val="center"/>
              <w:rPr>
                <w:szCs w:val="20"/>
              </w:rPr>
            </w:pPr>
            <w:r w:rsidRPr="0067437A">
              <w:rPr>
                <w:szCs w:val="20"/>
              </w:rPr>
              <w:t>(27%)</w:t>
            </w:r>
          </w:p>
        </w:tc>
        <w:tc>
          <w:tcPr>
            <w:tcW w:w="396"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jc w:val="center"/>
              <w:rPr>
                <w:szCs w:val="20"/>
              </w:rPr>
            </w:pPr>
            <w:r w:rsidRPr="0067437A">
              <w:rPr>
                <w:szCs w:val="20"/>
              </w:rPr>
              <w:t>242</w:t>
            </w:r>
          </w:p>
          <w:p w:rsidR="00DC691B" w:rsidRPr="0067437A" w:rsidRDefault="00DC691B" w:rsidP="00AE5275">
            <w:pPr>
              <w:pStyle w:val="TableText0"/>
              <w:keepLines/>
              <w:jc w:val="center"/>
              <w:rPr>
                <w:szCs w:val="20"/>
              </w:rPr>
            </w:pPr>
            <w:r w:rsidRPr="0067437A">
              <w:rPr>
                <w:szCs w:val="20"/>
              </w:rPr>
              <w:t>(41.6%)</w:t>
            </w:r>
          </w:p>
        </w:tc>
        <w:tc>
          <w:tcPr>
            <w:tcW w:w="475"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47</w:t>
            </w:r>
          </w:p>
          <w:p w:rsidR="00DC691B" w:rsidRPr="0067437A" w:rsidRDefault="00DC691B" w:rsidP="00AE5275">
            <w:pPr>
              <w:pStyle w:val="TableText0"/>
              <w:keepLines/>
              <w:jc w:val="center"/>
              <w:rPr>
                <w:szCs w:val="20"/>
              </w:rPr>
            </w:pPr>
            <w:r w:rsidRPr="0067437A">
              <w:rPr>
                <w:szCs w:val="20"/>
              </w:rPr>
              <w:t>(26.3%)</w:t>
            </w:r>
          </w:p>
        </w:tc>
        <w:tc>
          <w:tcPr>
            <w:tcW w:w="396"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80</w:t>
            </w:r>
          </w:p>
          <w:p w:rsidR="00DC691B" w:rsidRPr="0067437A" w:rsidRDefault="00DC691B" w:rsidP="00AE5275">
            <w:pPr>
              <w:pStyle w:val="TableText0"/>
              <w:keepLines/>
              <w:jc w:val="center"/>
              <w:rPr>
                <w:szCs w:val="20"/>
              </w:rPr>
            </w:pPr>
            <w:r w:rsidRPr="0067437A">
              <w:rPr>
                <w:szCs w:val="20"/>
              </w:rPr>
              <w:t>(40.6%)</w:t>
            </w:r>
          </w:p>
        </w:tc>
        <w:tc>
          <w:tcPr>
            <w:tcW w:w="47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6</w:t>
            </w:r>
          </w:p>
          <w:p w:rsidR="00DC691B" w:rsidRPr="0067437A" w:rsidRDefault="00DC691B" w:rsidP="00AE5275">
            <w:pPr>
              <w:pStyle w:val="TableText0"/>
              <w:keepLines/>
              <w:jc w:val="center"/>
              <w:rPr>
                <w:szCs w:val="20"/>
              </w:rPr>
            </w:pPr>
            <w:r w:rsidRPr="0067437A">
              <w:rPr>
                <w:szCs w:val="20"/>
              </w:rPr>
              <w:t>(10.9%)</w:t>
            </w:r>
          </w:p>
        </w:tc>
        <w:tc>
          <w:tcPr>
            <w:tcW w:w="39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18</w:t>
            </w:r>
          </w:p>
          <w:p w:rsidR="00DC691B" w:rsidRPr="0067437A" w:rsidRDefault="00DC691B" w:rsidP="00AE5275">
            <w:pPr>
              <w:pStyle w:val="TableText0"/>
              <w:keepLines/>
              <w:jc w:val="center"/>
              <w:rPr>
                <w:szCs w:val="20"/>
              </w:rPr>
            </w:pPr>
            <w:r w:rsidRPr="0067437A">
              <w:rPr>
                <w:szCs w:val="20"/>
              </w:rPr>
              <w:t>(30%)</w:t>
            </w:r>
          </w:p>
        </w:tc>
        <w:tc>
          <w:tcPr>
            <w:tcW w:w="475" w:type="pct"/>
            <w:tcBorders>
              <w:bottom w:val="single" w:sz="4" w:space="0" w:color="auto"/>
            </w:tcBorders>
            <w:shd w:val="clear" w:color="auto" w:fill="D6E3BC" w:themeFill="accent3" w:themeFillTint="66"/>
            <w:vAlign w:val="center"/>
          </w:tcPr>
          <w:p w:rsidR="00AD0C4E" w:rsidRPr="0067437A" w:rsidRDefault="00DC691B" w:rsidP="00AE5275">
            <w:pPr>
              <w:pStyle w:val="TableText0"/>
              <w:keepLines/>
              <w:jc w:val="center"/>
              <w:rPr>
                <w:szCs w:val="20"/>
              </w:rPr>
            </w:pPr>
            <w:r w:rsidRPr="0067437A">
              <w:rPr>
                <w:szCs w:val="20"/>
              </w:rPr>
              <w:t xml:space="preserve">41 </w:t>
            </w:r>
          </w:p>
          <w:p w:rsidR="00DC691B" w:rsidRPr="0067437A" w:rsidRDefault="00DC691B" w:rsidP="00AE5275">
            <w:pPr>
              <w:pStyle w:val="TableText0"/>
              <w:keepLines/>
              <w:jc w:val="center"/>
              <w:rPr>
                <w:szCs w:val="20"/>
              </w:rPr>
            </w:pPr>
            <w:r w:rsidRPr="0067437A">
              <w:rPr>
                <w:szCs w:val="20"/>
              </w:rPr>
              <w:t>(33.6%)</w:t>
            </w:r>
          </w:p>
        </w:tc>
        <w:tc>
          <w:tcPr>
            <w:tcW w:w="412"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59</w:t>
            </w:r>
          </w:p>
          <w:p w:rsidR="00DC691B" w:rsidRPr="0067437A" w:rsidRDefault="00DC691B" w:rsidP="00AE5275">
            <w:pPr>
              <w:pStyle w:val="TableText0"/>
              <w:keepLines/>
              <w:jc w:val="center"/>
              <w:rPr>
                <w:szCs w:val="20"/>
              </w:rPr>
            </w:pPr>
            <w:r w:rsidRPr="0067437A">
              <w:rPr>
                <w:szCs w:val="20"/>
              </w:rPr>
              <w:t>(44.4%)</w:t>
            </w:r>
          </w:p>
        </w:tc>
      </w:tr>
      <w:tr w:rsidR="00AD0C4E" w:rsidRPr="0067437A" w:rsidTr="00E72CC6">
        <w:trPr>
          <w:trHeight w:val="139"/>
        </w:trPr>
        <w:tc>
          <w:tcPr>
            <w:tcW w:w="1502" w:type="pct"/>
            <w:tcBorders>
              <w:bottom w:val="single" w:sz="4" w:space="0" w:color="auto"/>
            </w:tcBorders>
            <w:shd w:val="clear" w:color="auto" w:fill="auto"/>
            <w:vAlign w:val="center"/>
          </w:tcPr>
          <w:p w:rsidR="00DC691B" w:rsidRPr="0067437A" w:rsidRDefault="00DC691B" w:rsidP="00AE5275">
            <w:pPr>
              <w:pStyle w:val="TableText0"/>
              <w:keepLines/>
              <w:ind w:left="246"/>
              <w:rPr>
                <w:szCs w:val="20"/>
              </w:rPr>
            </w:pPr>
            <w:r w:rsidRPr="0067437A">
              <w:rPr>
                <w:szCs w:val="20"/>
              </w:rPr>
              <w:t>Death</w:t>
            </w:r>
          </w:p>
        </w:tc>
        <w:tc>
          <w:tcPr>
            <w:tcW w:w="474"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ind w:left="-1168" w:firstLine="1168"/>
              <w:jc w:val="center"/>
              <w:rPr>
                <w:szCs w:val="20"/>
              </w:rPr>
            </w:pPr>
            <w:r w:rsidRPr="0067437A">
              <w:rPr>
                <w:szCs w:val="20"/>
              </w:rPr>
              <w:t>28</w:t>
            </w:r>
          </w:p>
          <w:p w:rsidR="00DC691B" w:rsidRPr="0067437A" w:rsidRDefault="00DC691B" w:rsidP="00AE5275">
            <w:pPr>
              <w:pStyle w:val="TableText0"/>
              <w:keepLines/>
              <w:ind w:left="-1168" w:firstLine="1168"/>
              <w:jc w:val="center"/>
              <w:rPr>
                <w:szCs w:val="20"/>
              </w:rPr>
            </w:pPr>
            <w:r w:rsidRPr="0067437A">
              <w:rPr>
                <w:szCs w:val="20"/>
              </w:rPr>
              <w:t>(4.9%)</w:t>
            </w:r>
          </w:p>
        </w:tc>
        <w:tc>
          <w:tcPr>
            <w:tcW w:w="396"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jc w:val="center"/>
              <w:rPr>
                <w:szCs w:val="20"/>
              </w:rPr>
            </w:pPr>
            <w:r w:rsidRPr="0067437A">
              <w:rPr>
                <w:szCs w:val="20"/>
              </w:rPr>
              <w:t>18 (3.1%)</w:t>
            </w:r>
          </w:p>
        </w:tc>
        <w:tc>
          <w:tcPr>
            <w:tcW w:w="475"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4</w:t>
            </w:r>
          </w:p>
          <w:p w:rsidR="00DC691B" w:rsidRPr="0067437A" w:rsidRDefault="00DC691B" w:rsidP="00AE5275">
            <w:pPr>
              <w:pStyle w:val="TableText0"/>
              <w:keepLines/>
              <w:jc w:val="center"/>
              <w:rPr>
                <w:szCs w:val="20"/>
              </w:rPr>
            </w:pPr>
            <w:r w:rsidRPr="0067437A">
              <w:rPr>
                <w:szCs w:val="20"/>
              </w:rPr>
              <w:t>(2.2%)</w:t>
            </w:r>
          </w:p>
        </w:tc>
        <w:tc>
          <w:tcPr>
            <w:tcW w:w="396"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3</w:t>
            </w:r>
          </w:p>
          <w:p w:rsidR="00DC691B" w:rsidRPr="0067437A" w:rsidRDefault="00DC691B" w:rsidP="00AE5275">
            <w:pPr>
              <w:pStyle w:val="TableText0"/>
              <w:keepLines/>
              <w:jc w:val="center"/>
              <w:rPr>
                <w:szCs w:val="20"/>
              </w:rPr>
            </w:pPr>
            <w:r w:rsidRPr="0067437A">
              <w:rPr>
                <w:szCs w:val="20"/>
              </w:rPr>
              <w:t>(1.5%)</w:t>
            </w:r>
          </w:p>
        </w:tc>
        <w:tc>
          <w:tcPr>
            <w:tcW w:w="47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0</w:t>
            </w:r>
          </w:p>
        </w:tc>
        <w:tc>
          <w:tcPr>
            <w:tcW w:w="395" w:type="pct"/>
            <w:tcBorders>
              <w:bottom w:val="single" w:sz="4" w:space="0" w:color="auto"/>
            </w:tcBorders>
            <w:vAlign w:val="center"/>
          </w:tcPr>
          <w:p w:rsidR="0040603E" w:rsidRPr="0067437A" w:rsidRDefault="00DC691B" w:rsidP="00AE5275">
            <w:pPr>
              <w:pStyle w:val="TableText0"/>
              <w:keepLines/>
              <w:jc w:val="center"/>
              <w:rPr>
                <w:szCs w:val="20"/>
              </w:rPr>
            </w:pPr>
            <w:r w:rsidRPr="0067437A">
              <w:rPr>
                <w:szCs w:val="20"/>
              </w:rPr>
              <w:t xml:space="preserve">1 </w:t>
            </w:r>
          </w:p>
          <w:p w:rsidR="00DC691B" w:rsidRPr="0067437A" w:rsidRDefault="00DC691B" w:rsidP="00AE5275">
            <w:pPr>
              <w:pStyle w:val="TableText0"/>
              <w:keepLines/>
              <w:jc w:val="center"/>
              <w:rPr>
                <w:szCs w:val="20"/>
              </w:rPr>
            </w:pPr>
            <w:r w:rsidRPr="0067437A">
              <w:rPr>
                <w:szCs w:val="20"/>
              </w:rPr>
              <w:t>(1.7%)</w:t>
            </w:r>
          </w:p>
        </w:tc>
        <w:tc>
          <w:tcPr>
            <w:tcW w:w="475" w:type="pct"/>
            <w:tcBorders>
              <w:bottom w:val="single" w:sz="4" w:space="0" w:color="auto"/>
            </w:tcBorders>
            <w:shd w:val="clear" w:color="auto" w:fill="D6E3BC" w:themeFill="accent3" w:themeFillTint="66"/>
            <w:vAlign w:val="center"/>
          </w:tcPr>
          <w:p w:rsidR="00AD0C4E" w:rsidRPr="0067437A" w:rsidRDefault="00DC691B" w:rsidP="00AE5275">
            <w:pPr>
              <w:pStyle w:val="TableText0"/>
              <w:keepLines/>
              <w:jc w:val="center"/>
              <w:rPr>
                <w:szCs w:val="20"/>
              </w:rPr>
            </w:pPr>
            <w:r w:rsidRPr="0067437A">
              <w:rPr>
                <w:szCs w:val="20"/>
              </w:rPr>
              <w:t xml:space="preserve">4 </w:t>
            </w:r>
          </w:p>
          <w:p w:rsidR="00DC691B" w:rsidRPr="0067437A" w:rsidRDefault="00DC691B" w:rsidP="00AE5275">
            <w:pPr>
              <w:pStyle w:val="TableText0"/>
              <w:keepLines/>
              <w:jc w:val="center"/>
              <w:rPr>
                <w:szCs w:val="20"/>
              </w:rPr>
            </w:pPr>
            <w:r w:rsidRPr="0067437A">
              <w:rPr>
                <w:szCs w:val="20"/>
              </w:rPr>
              <w:t>(3.3%)</w:t>
            </w:r>
          </w:p>
        </w:tc>
        <w:tc>
          <w:tcPr>
            <w:tcW w:w="412"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2</w:t>
            </w:r>
          </w:p>
          <w:p w:rsidR="00DC691B" w:rsidRPr="0067437A" w:rsidRDefault="00DC691B" w:rsidP="00AE5275">
            <w:pPr>
              <w:pStyle w:val="TableText0"/>
              <w:keepLines/>
              <w:jc w:val="center"/>
              <w:rPr>
                <w:szCs w:val="20"/>
              </w:rPr>
            </w:pPr>
            <w:r w:rsidRPr="0067437A">
              <w:rPr>
                <w:szCs w:val="20"/>
              </w:rPr>
              <w:t>(1.5%)</w:t>
            </w:r>
          </w:p>
        </w:tc>
      </w:tr>
      <w:tr w:rsidR="00AD0C4E" w:rsidRPr="0067437A" w:rsidTr="00E72CC6">
        <w:trPr>
          <w:trHeight w:val="139"/>
        </w:trPr>
        <w:tc>
          <w:tcPr>
            <w:tcW w:w="1502" w:type="pct"/>
            <w:tcBorders>
              <w:bottom w:val="single" w:sz="4" w:space="0" w:color="auto"/>
            </w:tcBorders>
            <w:shd w:val="clear" w:color="auto" w:fill="auto"/>
            <w:vAlign w:val="center"/>
          </w:tcPr>
          <w:p w:rsidR="00DC691B" w:rsidRPr="0067437A" w:rsidRDefault="00DC691B" w:rsidP="00AE5275">
            <w:pPr>
              <w:pStyle w:val="TableText0"/>
              <w:keepLines/>
              <w:ind w:left="246"/>
              <w:rPr>
                <w:szCs w:val="20"/>
              </w:rPr>
            </w:pPr>
            <w:r w:rsidRPr="0067437A">
              <w:rPr>
                <w:szCs w:val="20"/>
              </w:rPr>
              <w:t>Hospitalisation for PAH worsening</w:t>
            </w:r>
          </w:p>
        </w:tc>
        <w:tc>
          <w:tcPr>
            <w:tcW w:w="474"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ind w:left="-1168" w:firstLine="1168"/>
              <w:jc w:val="center"/>
              <w:rPr>
                <w:szCs w:val="20"/>
              </w:rPr>
            </w:pPr>
            <w:r w:rsidRPr="0067437A">
              <w:rPr>
                <w:szCs w:val="20"/>
              </w:rPr>
              <w:t>78</w:t>
            </w:r>
          </w:p>
          <w:p w:rsidR="00DC691B" w:rsidRPr="0067437A" w:rsidRDefault="00DC691B" w:rsidP="00AE5275">
            <w:pPr>
              <w:pStyle w:val="TableText0"/>
              <w:keepLines/>
              <w:ind w:left="-1168" w:firstLine="1168"/>
              <w:jc w:val="center"/>
              <w:rPr>
                <w:szCs w:val="20"/>
              </w:rPr>
            </w:pPr>
            <w:r w:rsidRPr="0067437A">
              <w:rPr>
                <w:szCs w:val="20"/>
              </w:rPr>
              <w:t>(13.6%)</w:t>
            </w:r>
          </w:p>
        </w:tc>
        <w:tc>
          <w:tcPr>
            <w:tcW w:w="396"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jc w:val="center"/>
              <w:rPr>
                <w:szCs w:val="20"/>
              </w:rPr>
            </w:pPr>
            <w:r w:rsidRPr="0067437A">
              <w:rPr>
                <w:szCs w:val="20"/>
              </w:rPr>
              <w:t>109 (18.7%)</w:t>
            </w:r>
          </w:p>
        </w:tc>
        <w:tc>
          <w:tcPr>
            <w:tcW w:w="475"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27</w:t>
            </w:r>
          </w:p>
          <w:p w:rsidR="00DC691B" w:rsidRPr="0067437A" w:rsidRDefault="00DC691B" w:rsidP="00AE5275">
            <w:pPr>
              <w:pStyle w:val="TableText0"/>
              <w:keepLines/>
              <w:jc w:val="center"/>
              <w:rPr>
                <w:szCs w:val="20"/>
              </w:rPr>
            </w:pPr>
            <w:r w:rsidRPr="0067437A">
              <w:rPr>
                <w:szCs w:val="20"/>
              </w:rPr>
              <w:t>(15.1%)</w:t>
            </w:r>
          </w:p>
        </w:tc>
        <w:tc>
          <w:tcPr>
            <w:tcW w:w="396"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43</w:t>
            </w:r>
          </w:p>
          <w:p w:rsidR="00DC691B" w:rsidRPr="0067437A" w:rsidRDefault="00DC691B" w:rsidP="00AE5275">
            <w:pPr>
              <w:pStyle w:val="TableText0"/>
              <w:keepLines/>
              <w:jc w:val="center"/>
              <w:rPr>
                <w:szCs w:val="20"/>
              </w:rPr>
            </w:pPr>
            <w:r w:rsidRPr="0067437A">
              <w:rPr>
                <w:szCs w:val="20"/>
              </w:rPr>
              <w:t>(21.8%)</w:t>
            </w:r>
          </w:p>
        </w:tc>
        <w:tc>
          <w:tcPr>
            <w:tcW w:w="47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3</w:t>
            </w:r>
          </w:p>
          <w:p w:rsidR="00DC691B" w:rsidRPr="0067437A" w:rsidRDefault="00DC691B" w:rsidP="00AE5275">
            <w:pPr>
              <w:pStyle w:val="TableText0"/>
              <w:keepLines/>
              <w:jc w:val="center"/>
              <w:rPr>
                <w:szCs w:val="20"/>
              </w:rPr>
            </w:pPr>
            <w:r w:rsidRPr="0067437A">
              <w:rPr>
                <w:szCs w:val="20"/>
              </w:rPr>
              <w:t>(5.5%)</w:t>
            </w:r>
          </w:p>
        </w:tc>
        <w:tc>
          <w:tcPr>
            <w:tcW w:w="39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8</w:t>
            </w:r>
          </w:p>
          <w:p w:rsidR="00DC691B" w:rsidRPr="0067437A" w:rsidRDefault="00DC691B" w:rsidP="00AE5275">
            <w:pPr>
              <w:pStyle w:val="TableText0"/>
              <w:keepLines/>
              <w:jc w:val="center"/>
              <w:rPr>
                <w:szCs w:val="20"/>
              </w:rPr>
            </w:pPr>
            <w:r w:rsidRPr="0067437A">
              <w:rPr>
                <w:szCs w:val="20"/>
              </w:rPr>
              <w:t>(13.3%)</w:t>
            </w:r>
          </w:p>
        </w:tc>
        <w:tc>
          <w:tcPr>
            <w:tcW w:w="475" w:type="pct"/>
            <w:tcBorders>
              <w:bottom w:val="single" w:sz="4" w:space="0" w:color="auto"/>
            </w:tcBorders>
            <w:shd w:val="clear" w:color="auto" w:fill="D6E3BC" w:themeFill="accent3" w:themeFillTint="66"/>
            <w:vAlign w:val="center"/>
          </w:tcPr>
          <w:p w:rsidR="00AD0C4E" w:rsidRPr="0067437A" w:rsidRDefault="00DC691B" w:rsidP="00AE5275">
            <w:pPr>
              <w:pStyle w:val="TableText0"/>
              <w:keepLines/>
              <w:jc w:val="center"/>
              <w:rPr>
                <w:szCs w:val="20"/>
              </w:rPr>
            </w:pPr>
            <w:r w:rsidRPr="0067437A">
              <w:rPr>
                <w:szCs w:val="20"/>
              </w:rPr>
              <w:t xml:space="preserve">24 </w:t>
            </w:r>
          </w:p>
          <w:p w:rsidR="00DC691B" w:rsidRPr="0067437A" w:rsidRDefault="00DC691B" w:rsidP="00AE5275">
            <w:pPr>
              <w:pStyle w:val="TableText0"/>
              <w:keepLines/>
              <w:jc w:val="center"/>
              <w:rPr>
                <w:szCs w:val="20"/>
              </w:rPr>
            </w:pPr>
            <w:r w:rsidRPr="0067437A">
              <w:rPr>
                <w:szCs w:val="20"/>
              </w:rPr>
              <w:t>(19.7%)</w:t>
            </w:r>
          </w:p>
        </w:tc>
        <w:tc>
          <w:tcPr>
            <w:tcW w:w="412"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33</w:t>
            </w:r>
          </w:p>
          <w:p w:rsidR="00DC691B" w:rsidRPr="0067437A" w:rsidRDefault="00DC691B" w:rsidP="00AE5275">
            <w:pPr>
              <w:pStyle w:val="TableText0"/>
              <w:keepLines/>
              <w:jc w:val="center"/>
              <w:rPr>
                <w:szCs w:val="20"/>
              </w:rPr>
            </w:pPr>
            <w:r w:rsidRPr="0067437A">
              <w:rPr>
                <w:szCs w:val="20"/>
              </w:rPr>
              <w:t>(24.8%)</w:t>
            </w:r>
          </w:p>
        </w:tc>
      </w:tr>
      <w:tr w:rsidR="00AD0C4E" w:rsidRPr="0067437A" w:rsidTr="00E72CC6">
        <w:trPr>
          <w:trHeight w:val="139"/>
        </w:trPr>
        <w:tc>
          <w:tcPr>
            <w:tcW w:w="1502" w:type="pct"/>
            <w:tcBorders>
              <w:bottom w:val="single" w:sz="4" w:space="0" w:color="auto"/>
            </w:tcBorders>
            <w:shd w:val="clear" w:color="auto" w:fill="auto"/>
            <w:vAlign w:val="center"/>
          </w:tcPr>
          <w:p w:rsidR="00DC691B" w:rsidRPr="0067437A" w:rsidRDefault="00DC691B" w:rsidP="00AE5275">
            <w:pPr>
              <w:pStyle w:val="TableText0"/>
              <w:keepLines/>
              <w:ind w:left="246"/>
              <w:rPr>
                <w:szCs w:val="20"/>
              </w:rPr>
            </w:pPr>
            <w:r w:rsidRPr="0067437A">
              <w:rPr>
                <w:szCs w:val="20"/>
              </w:rPr>
              <w:t>Parenteral prostanoid or chronic oxygen therapy</w:t>
            </w:r>
          </w:p>
        </w:tc>
        <w:tc>
          <w:tcPr>
            <w:tcW w:w="474"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ind w:left="-1168" w:firstLine="1168"/>
              <w:jc w:val="center"/>
              <w:rPr>
                <w:szCs w:val="20"/>
              </w:rPr>
            </w:pPr>
            <w:r w:rsidRPr="0067437A">
              <w:rPr>
                <w:szCs w:val="20"/>
              </w:rPr>
              <w:t>10</w:t>
            </w:r>
          </w:p>
          <w:p w:rsidR="00DC691B" w:rsidRPr="0067437A" w:rsidRDefault="00DC691B" w:rsidP="00AE5275">
            <w:pPr>
              <w:pStyle w:val="TableText0"/>
              <w:keepLines/>
              <w:ind w:left="-1168" w:firstLine="1168"/>
              <w:jc w:val="center"/>
              <w:rPr>
                <w:szCs w:val="20"/>
              </w:rPr>
            </w:pPr>
            <w:r w:rsidRPr="0067437A">
              <w:rPr>
                <w:szCs w:val="20"/>
              </w:rPr>
              <w:t>(1.7%)</w:t>
            </w:r>
          </w:p>
        </w:tc>
        <w:tc>
          <w:tcPr>
            <w:tcW w:w="396"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jc w:val="center"/>
              <w:rPr>
                <w:szCs w:val="20"/>
              </w:rPr>
            </w:pPr>
            <w:r w:rsidRPr="0067437A">
              <w:rPr>
                <w:szCs w:val="20"/>
              </w:rPr>
              <w:t>13 (2.2%)</w:t>
            </w:r>
          </w:p>
        </w:tc>
        <w:tc>
          <w:tcPr>
            <w:tcW w:w="475"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5</w:t>
            </w:r>
          </w:p>
          <w:p w:rsidR="00DC691B" w:rsidRPr="0067437A" w:rsidRDefault="00DC691B" w:rsidP="00AE5275">
            <w:pPr>
              <w:pStyle w:val="TableText0"/>
              <w:keepLines/>
              <w:jc w:val="center"/>
              <w:rPr>
                <w:szCs w:val="20"/>
              </w:rPr>
            </w:pPr>
            <w:r w:rsidRPr="0067437A">
              <w:rPr>
                <w:szCs w:val="20"/>
              </w:rPr>
              <w:t>(2.8%)</w:t>
            </w:r>
          </w:p>
        </w:tc>
        <w:tc>
          <w:tcPr>
            <w:tcW w:w="396"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10</w:t>
            </w:r>
          </w:p>
          <w:p w:rsidR="00DC691B" w:rsidRPr="0067437A" w:rsidRDefault="00DC691B" w:rsidP="00AE5275">
            <w:pPr>
              <w:pStyle w:val="TableText0"/>
              <w:keepLines/>
              <w:jc w:val="center"/>
              <w:rPr>
                <w:szCs w:val="20"/>
              </w:rPr>
            </w:pPr>
            <w:r w:rsidRPr="0067437A">
              <w:rPr>
                <w:szCs w:val="20"/>
              </w:rPr>
              <w:t>(5.1%)</w:t>
            </w:r>
          </w:p>
        </w:tc>
        <w:tc>
          <w:tcPr>
            <w:tcW w:w="47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2</w:t>
            </w:r>
          </w:p>
          <w:p w:rsidR="00DC691B" w:rsidRPr="0067437A" w:rsidRDefault="00DC691B" w:rsidP="00AE5275">
            <w:pPr>
              <w:pStyle w:val="TableText0"/>
              <w:keepLines/>
              <w:jc w:val="center"/>
              <w:rPr>
                <w:szCs w:val="20"/>
              </w:rPr>
            </w:pPr>
            <w:r w:rsidRPr="0067437A">
              <w:rPr>
                <w:szCs w:val="20"/>
              </w:rPr>
              <w:t>(3.6%)</w:t>
            </w:r>
          </w:p>
        </w:tc>
        <w:tc>
          <w:tcPr>
            <w:tcW w:w="39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3</w:t>
            </w:r>
          </w:p>
          <w:p w:rsidR="00DC691B" w:rsidRPr="0067437A" w:rsidRDefault="00DC691B" w:rsidP="00AE5275">
            <w:pPr>
              <w:pStyle w:val="TableText0"/>
              <w:keepLines/>
              <w:jc w:val="center"/>
              <w:rPr>
                <w:szCs w:val="20"/>
              </w:rPr>
            </w:pPr>
            <w:r w:rsidRPr="0067437A">
              <w:rPr>
                <w:szCs w:val="20"/>
              </w:rPr>
              <w:t>(5.0%)</w:t>
            </w:r>
          </w:p>
        </w:tc>
        <w:tc>
          <w:tcPr>
            <w:tcW w:w="475"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3</w:t>
            </w:r>
          </w:p>
          <w:p w:rsidR="00DC691B" w:rsidRPr="0067437A" w:rsidRDefault="00DC691B" w:rsidP="00AE5275">
            <w:pPr>
              <w:pStyle w:val="TableText0"/>
              <w:keepLines/>
              <w:jc w:val="center"/>
              <w:rPr>
                <w:szCs w:val="20"/>
              </w:rPr>
            </w:pPr>
            <w:r w:rsidRPr="0067437A">
              <w:rPr>
                <w:szCs w:val="20"/>
              </w:rPr>
              <w:t>(2.5%)</w:t>
            </w:r>
          </w:p>
        </w:tc>
        <w:tc>
          <w:tcPr>
            <w:tcW w:w="412"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7</w:t>
            </w:r>
          </w:p>
          <w:p w:rsidR="00DC691B" w:rsidRPr="0067437A" w:rsidRDefault="00DC691B" w:rsidP="00AE5275">
            <w:pPr>
              <w:pStyle w:val="TableText0"/>
              <w:keepLines/>
              <w:jc w:val="center"/>
              <w:rPr>
                <w:szCs w:val="20"/>
              </w:rPr>
            </w:pPr>
            <w:r w:rsidRPr="0067437A">
              <w:rPr>
                <w:szCs w:val="20"/>
              </w:rPr>
              <w:t>(5.3%)</w:t>
            </w:r>
          </w:p>
        </w:tc>
      </w:tr>
      <w:tr w:rsidR="00AD0C4E" w:rsidRPr="0067437A" w:rsidTr="00E72CC6">
        <w:trPr>
          <w:trHeight w:val="139"/>
        </w:trPr>
        <w:tc>
          <w:tcPr>
            <w:tcW w:w="1502" w:type="pct"/>
            <w:tcBorders>
              <w:bottom w:val="single" w:sz="4" w:space="0" w:color="auto"/>
            </w:tcBorders>
            <w:shd w:val="clear" w:color="auto" w:fill="auto"/>
            <w:vAlign w:val="center"/>
          </w:tcPr>
          <w:p w:rsidR="00DC691B" w:rsidRPr="0067437A" w:rsidRDefault="00DC691B" w:rsidP="00AE5275">
            <w:pPr>
              <w:pStyle w:val="TableText0"/>
              <w:keepLines/>
              <w:ind w:left="246"/>
              <w:rPr>
                <w:szCs w:val="20"/>
              </w:rPr>
            </w:pPr>
            <w:r w:rsidRPr="0067437A">
              <w:rPr>
                <w:szCs w:val="20"/>
              </w:rPr>
              <w:t>PAH worsening resulting in need for lung transplantation or balloon atrial septostomy</w:t>
            </w:r>
          </w:p>
        </w:tc>
        <w:tc>
          <w:tcPr>
            <w:tcW w:w="474"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ind w:left="-1168" w:firstLine="1168"/>
              <w:jc w:val="center"/>
              <w:rPr>
                <w:szCs w:val="20"/>
              </w:rPr>
            </w:pPr>
            <w:r w:rsidRPr="0067437A">
              <w:rPr>
                <w:szCs w:val="20"/>
              </w:rPr>
              <w:t>1</w:t>
            </w:r>
          </w:p>
          <w:p w:rsidR="00DC691B" w:rsidRPr="0067437A" w:rsidRDefault="00DC691B" w:rsidP="00AE5275">
            <w:pPr>
              <w:pStyle w:val="TableText0"/>
              <w:keepLines/>
              <w:ind w:left="-1168" w:firstLine="1168"/>
              <w:jc w:val="center"/>
              <w:rPr>
                <w:szCs w:val="20"/>
              </w:rPr>
            </w:pPr>
            <w:r w:rsidRPr="0067437A">
              <w:rPr>
                <w:szCs w:val="20"/>
              </w:rPr>
              <w:t>(0.2%)</w:t>
            </w:r>
          </w:p>
        </w:tc>
        <w:tc>
          <w:tcPr>
            <w:tcW w:w="396"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jc w:val="center"/>
              <w:rPr>
                <w:szCs w:val="20"/>
              </w:rPr>
            </w:pPr>
            <w:r w:rsidRPr="0067437A">
              <w:rPr>
                <w:szCs w:val="20"/>
              </w:rPr>
              <w:t>2</w:t>
            </w:r>
          </w:p>
          <w:p w:rsidR="00DC691B" w:rsidRPr="0067437A" w:rsidRDefault="00DC691B" w:rsidP="00AE5275">
            <w:pPr>
              <w:pStyle w:val="TableText0"/>
              <w:keepLines/>
              <w:jc w:val="center"/>
              <w:rPr>
                <w:szCs w:val="20"/>
              </w:rPr>
            </w:pPr>
            <w:r w:rsidRPr="0067437A">
              <w:rPr>
                <w:szCs w:val="20"/>
              </w:rPr>
              <w:t>(0.3%)</w:t>
            </w:r>
          </w:p>
        </w:tc>
        <w:tc>
          <w:tcPr>
            <w:tcW w:w="475"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0</w:t>
            </w:r>
          </w:p>
        </w:tc>
        <w:tc>
          <w:tcPr>
            <w:tcW w:w="396"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2</w:t>
            </w:r>
          </w:p>
          <w:p w:rsidR="00DC691B" w:rsidRPr="0067437A" w:rsidRDefault="00DC691B" w:rsidP="00AE5275">
            <w:pPr>
              <w:pStyle w:val="TableText0"/>
              <w:keepLines/>
              <w:jc w:val="center"/>
              <w:rPr>
                <w:szCs w:val="20"/>
              </w:rPr>
            </w:pPr>
            <w:r w:rsidRPr="0067437A">
              <w:rPr>
                <w:szCs w:val="20"/>
              </w:rPr>
              <w:t>(1.0%)</w:t>
            </w:r>
          </w:p>
        </w:tc>
        <w:tc>
          <w:tcPr>
            <w:tcW w:w="47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0</w:t>
            </w:r>
          </w:p>
        </w:tc>
        <w:tc>
          <w:tcPr>
            <w:tcW w:w="39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1</w:t>
            </w:r>
          </w:p>
          <w:p w:rsidR="00DC691B" w:rsidRPr="0067437A" w:rsidRDefault="00DC691B" w:rsidP="00AE5275">
            <w:pPr>
              <w:pStyle w:val="TableText0"/>
              <w:keepLines/>
              <w:jc w:val="center"/>
              <w:rPr>
                <w:szCs w:val="20"/>
              </w:rPr>
            </w:pPr>
            <w:r w:rsidRPr="0067437A">
              <w:rPr>
                <w:szCs w:val="20"/>
              </w:rPr>
              <w:t>(1.7%)</w:t>
            </w:r>
          </w:p>
        </w:tc>
        <w:tc>
          <w:tcPr>
            <w:tcW w:w="475"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0</w:t>
            </w:r>
          </w:p>
        </w:tc>
        <w:tc>
          <w:tcPr>
            <w:tcW w:w="412"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1</w:t>
            </w:r>
          </w:p>
          <w:p w:rsidR="00DC691B" w:rsidRPr="0067437A" w:rsidRDefault="00DC691B" w:rsidP="00AE5275">
            <w:pPr>
              <w:pStyle w:val="TableText0"/>
              <w:keepLines/>
              <w:jc w:val="center"/>
              <w:rPr>
                <w:szCs w:val="20"/>
              </w:rPr>
            </w:pPr>
            <w:r w:rsidRPr="0067437A">
              <w:rPr>
                <w:szCs w:val="20"/>
              </w:rPr>
              <w:t>(0.75%)</w:t>
            </w:r>
          </w:p>
        </w:tc>
      </w:tr>
      <w:tr w:rsidR="00AD0C4E" w:rsidRPr="0067437A" w:rsidTr="00E72CC6">
        <w:trPr>
          <w:trHeight w:val="139"/>
        </w:trPr>
        <w:tc>
          <w:tcPr>
            <w:tcW w:w="1502" w:type="pct"/>
            <w:tcBorders>
              <w:bottom w:val="single" w:sz="4" w:space="0" w:color="auto"/>
            </w:tcBorders>
            <w:shd w:val="clear" w:color="auto" w:fill="auto"/>
            <w:vAlign w:val="center"/>
          </w:tcPr>
          <w:p w:rsidR="00DC691B" w:rsidRPr="0067437A" w:rsidRDefault="00DC691B" w:rsidP="00AE5275">
            <w:pPr>
              <w:pStyle w:val="TableText0"/>
              <w:keepLines/>
              <w:ind w:left="246"/>
              <w:rPr>
                <w:szCs w:val="20"/>
              </w:rPr>
            </w:pPr>
            <w:r w:rsidRPr="0067437A">
              <w:rPr>
                <w:szCs w:val="20"/>
              </w:rPr>
              <w:t>Disease progression^</w:t>
            </w:r>
          </w:p>
        </w:tc>
        <w:tc>
          <w:tcPr>
            <w:tcW w:w="474"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ind w:left="-1168" w:firstLine="1168"/>
              <w:jc w:val="center"/>
              <w:rPr>
                <w:szCs w:val="20"/>
              </w:rPr>
            </w:pPr>
            <w:r w:rsidRPr="0067437A">
              <w:rPr>
                <w:szCs w:val="20"/>
              </w:rPr>
              <w:t>38</w:t>
            </w:r>
          </w:p>
          <w:p w:rsidR="00DC691B" w:rsidRPr="0067437A" w:rsidRDefault="00DC691B" w:rsidP="00AE5275">
            <w:pPr>
              <w:pStyle w:val="TableText0"/>
              <w:keepLines/>
              <w:ind w:left="-1168" w:firstLine="1168"/>
              <w:jc w:val="center"/>
              <w:rPr>
                <w:szCs w:val="20"/>
              </w:rPr>
            </w:pPr>
            <w:r w:rsidRPr="0067437A">
              <w:rPr>
                <w:szCs w:val="20"/>
              </w:rPr>
              <w:t>(6.6%)</w:t>
            </w:r>
          </w:p>
        </w:tc>
        <w:tc>
          <w:tcPr>
            <w:tcW w:w="396" w:type="pct"/>
            <w:tcBorders>
              <w:bottom w:val="single" w:sz="4" w:space="0" w:color="auto"/>
            </w:tcBorders>
            <w:shd w:val="clear" w:color="auto" w:fill="DBE5F1" w:themeFill="accent1" w:themeFillTint="33"/>
            <w:vAlign w:val="center"/>
          </w:tcPr>
          <w:p w:rsidR="00DC691B" w:rsidRPr="0067437A" w:rsidRDefault="00DC691B" w:rsidP="00AE5275">
            <w:pPr>
              <w:pStyle w:val="TableText0"/>
              <w:keepLines/>
              <w:jc w:val="center"/>
              <w:rPr>
                <w:szCs w:val="20"/>
              </w:rPr>
            </w:pPr>
            <w:r w:rsidRPr="0067437A">
              <w:rPr>
                <w:szCs w:val="20"/>
              </w:rPr>
              <w:t>100 (17.2%)</w:t>
            </w:r>
          </w:p>
        </w:tc>
        <w:tc>
          <w:tcPr>
            <w:tcW w:w="475"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11</w:t>
            </w:r>
          </w:p>
          <w:p w:rsidR="00DC691B" w:rsidRPr="0067437A" w:rsidRDefault="00DC691B" w:rsidP="00AE5275">
            <w:pPr>
              <w:pStyle w:val="TableText0"/>
              <w:keepLines/>
              <w:jc w:val="center"/>
              <w:rPr>
                <w:szCs w:val="20"/>
              </w:rPr>
            </w:pPr>
            <w:r w:rsidRPr="0067437A">
              <w:rPr>
                <w:szCs w:val="20"/>
              </w:rPr>
              <w:t>(6.1%)</w:t>
            </w:r>
          </w:p>
        </w:tc>
        <w:tc>
          <w:tcPr>
            <w:tcW w:w="396" w:type="pct"/>
            <w:tcBorders>
              <w:bottom w:val="single" w:sz="4" w:space="0" w:color="auto"/>
            </w:tcBorders>
            <w:shd w:val="clear" w:color="auto" w:fill="auto"/>
            <w:vAlign w:val="center"/>
          </w:tcPr>
          <w:p w:rsidR="00DC691B" w:rsidRPr="0067437A" w:rsidRDefault="00DC691B" w:rsidP="00AE5275">
            <w:pPr>
              <w:pStyle w:val="TableText0"/>
              <w:keepLines/>
              <w:jc w:val="center"/>
              <w:rPr>
                <w:szCs w:val="20"/>
              </w:rPr>
            </w:pPr>
            <w:r w:rsidRPr="0067437A">
              <w:rPr>
                <w:szCs w:val="20"/>
              </w:rPr>
              <w:t>22</w:t>
            </w:r>
          </w:p>
          <w:p w:rsidR="00DC691B" w:rsidRPr="0067437A" w:rsidRDefault="00DC691B" w:rsidP="00AE5275">
            <w:pPr>
              <w:pStyle w:val="TableText0"/>
              <w:keepLines/>
              <w:jc w:val="center"/>
              <w:rPr>
                <w:szCs w:val="20"/>
              </w:rPr>
            </w:pPr>
            <w:r w:rsidRPr="0067437A">
              <w:rPr>
                <w:szCs w:val="20"/>
              </w:rPr>
              <w:t>(11.2%)</w:t>
            </w:r>
          </w:p>
        </w:tc>
        <w:tc>
          <w:tcPr>
            <w:tcW w:w="47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1</w:t>
            </w:r>
          </w:p>
          <w:p w:rsidR="00DC691B" w:rsidRPr="0067437A" w:rsidRDefault="00DC691B" w:rsidP="00AE5275">
            <w:pPr>
              <w:pStyle w:val="TableText0"/>
              <w:keepLines/>
              <w:jc w:val="center"/>
              <w:rPr>
                <w:szCs w:val="20"/>
              </w:rPr>
            </w:pPr>
            <w:r w:rsidRPr="0067437A">
              <w:rPr>
                <w:szCs w:val="20"/>
              </w:rPr>
              <w:t>(1.8%)</w:t>
            </w:r>
          </w:p>
        </w:tc>
        <w:tc>
          <w:tcPr>
            <w:tcW w:w="395" w:type="pct"/>
            <w:tcBorders>
              <w:bottom w:val="single" w:sz="4" w:space="0" w:color="auto"/>
            </w:tcBorders>
            <w:vAlign w:val="center"/>
          </w:tcPr>
          <w:p w:rsidR="00DC691B" w:rsidRPr="0067437A" w:rsidRDefault="00DC691B" w:rsidP="00AE5275">
            <w:pPr>
              <w:pStyle w:val="TableText0"/>
              <w:keepLines/>
              <w:jc w:val="center"/>
              <w:rPr>
                <w:szCs w:val="20"/>
              </w:rPr>
            </w:pPr>
            <w:r w:rsidRPr="0067437A">
              <w:rPr>
                <w:szCs w:val="20"/>
              </w:rPr>
              <w:t>5</w:t>
            </w:r>
          </w:p>
          <w:p w:rsidR="00DC691B" w:rsidRPr="0067437A" w:rsidRDefault="00DC691B" w:rsidP="00AE5275">
            <w:pPr>
              <w:pStyle w:val="TableText0"/>
              <w:keepLines/>
              <w:jc w:val="center"/>
              <w:rPr>
                <w:szCs w:val="20"/>
              </w:rPr>
            </w:pPr>
            <w:r w:rsidRPr="0067437A">
              <w:rPr>
                <w:szCs w:val="20"/>
              </w:rPr>
              <w:t>(8.3%)</w:t>
            </w:r>
          </w:p>
        </w:tc>
        <w:tc>
          <w:tcPr>
            <w:tcW w:w="475"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10</w:t>
            </w:r>
          </w:p>
          <w:p w:rsidR="00DC691B" w:rsidRPr="0067437A" w:rsidRDefault="00DC691B" w:rsidP="00AE5275">
            <w:pPr>
              <w:pStyle w:val="TableText0"/>
              <w:keepLines/>
              <w:jc w:val="center"/>
              <w:rPr>
                <w:szCs w:val="20"/>
              </w:rPr>
            </w:pPr>
            <w:r w:rsidRPr="0067437A">
              <w:rPr>
                <w:szCs w:val="20"/>
              </w:rPr>
              <w:t>(8.2%)</w:t>
            </w:r>
          </w:p>
        </w:tc>
        <w:tc>
          <w:tcPr>
            <w:tcW w:w="412" w:type="pct"/>
            <w:tcBorders>
              <w:bottom w:val="single" w:sz="4" w:space="0" w:color="auto"/>
            </w:tcBorders>
            <w:shd w:val="clear" w:color="auto" w:fill="D6E3BC" w:themeFill="accent3" w:themeFillTint="66"/>
            <w:vAlign w:val="center"/>
          </w:tcPr>
          <w:p w:rsidR="00DC691B" w:rsidRPr="0067437A" w:rsidRDefault="00DC691B" w:rsidP="00AE5275">
            <w:pPr>
              <w:pStyle w:val="TableText0"/>
              <w:keepLines/>
              <w:jc w:val="center"/>
              <w:rPr>
                <w:szCs w:val="20"/>
              </w:rPr>
            </w:pPr>
            <w:r w:rsidRPr="0067437A">
              <w:rPr>
                <w:szCs w:val="20"/>
              </w:rPr>
              <w:t>16</w:t>
            </w:r>
          </w:p>
          <w:p w:rsidR="00DC691B" w:rsidRPr="0067437A" w:rsidRDefault="00DC691B" w:rsidP="00AE5275">
            <w:pPr>
              <w:pStyle w:val="TableText0"/>
              <w:keepLines/>
              <w:jc w:val="center"/>
              <w:rPr>
                <w:szCs w:val="20"/>
              </w:rPr>
            </w:pPr>
            <w:r w:rsidRPr="0067437A">
              <w:rPr>
                <w:szCs w:val="20"/>
              </w:rPr>
              <w:t>(12.0%)</w:t>
            </w:r>
          </w:p>
        </w:tc>
      </w:tr>
    </w:tbl>
    <w:p w:rsidR="00DC691B" w:rsidRPr="0067437A" w:rsidRDefault="00DC691B" w:rsidP="00DC691B">
      <w:pPr>
        <w:pStyle w:val="TableFigureFooter"/>
        <w:keepNext/>
        <w:keepLines/>
        <w:rPr>
          <w:rFonts w:eastAsia="Calibri"/>
        </w:rPr>
      </w:pPr>
      <w:r w:rsidRPr="0067437A">
        <w:rPr>
          <w:rFonts w:eastAsia="Calibri"/>
          <w:shd w:val="clear" w:color="auto" w:fill="DBE5F1" w:themeFill="accent1" w:themeFillTint="33"/>
        </w:rPr>
        <w:t>Blue shading</w:t>
      </w:r>
      <w:r w:rsidRPr="0067437A">
        <w:rPr>
          <w:rFonts w:eastAsia="Calibri"/>
        </w:rPr>
        <w:t xml:space="preserve"> indicates results previously seen by the PBAC</w:t>
      </w:r>
      <w:r w:rsidR="0067437A">
        <w:rPr>
          <w:rFonts w:eastAsia="Calibri"/>
        </w:rPr>
        <w:t xml:space="preserve">. </w:t>
      </w:r>
      <w:r w:rsidR="00D3725C" w:rsidRPr="0067437A">
        <w:rPr>
          <w:rFonts w:eastAsia="Calibri"/>
          <w:shd w:val="clear" w:color="auto" w:fill="D6E3BC" w:themeFill="accent3" w:themeFillTint="66"/>
        </w:rPr>
        <w:t>Green shading</w:t>
      </w:r>
      <w:r w:rsidR="00D3725C" w:rsidRPr="0067437A">
        <w:rPr>
          <w:rFonts w:eastAsia="Calibri"/>
        </w:rPr>
        <w:t xml:space="preserve"> indicates r</w:t>
      </w:r>
      <w:r w:rsidR="00FB2276" w:rsidRPr="0067437A">
        <w:rPr>
          <w:rFonts w:eastAsia="Calibri"/>
        </w:rPr>
        <w:t>esults used in the modelled economic evaluation.</w:t>
      </w:r>
    </w:p>
    <w:p w:rsidR="00DC691B" w:rsidRPr="0067437A" w:rsidRDefault="00673393" w:rsidP="00DC691B">
      <w:pPr>
        <w:pStyle w:val="TableFigureFooter"/>
        <w:keepNext/>
        <w:keepLines/>
      </w:pPr>
      <w:r w:rsidRPr="0067437A">
        <w:rPr>
          <w:rFonts w:eastAsia="Calibri"/>
        </w:rPr>
        <w:t xml:space="preserve">CEC = Critical Event Committee; FC = functional class; </w:t>
      </w:r>
      <w:r w:rsidR="0061463E" w:rsidRPr="0067437A">
        <w:rPr>
          <w:rFonts w:eastAsia="Calibri"/>
        </w:rPr>
        <w:t>ITT</w:t>
      </w:r>
      <w:r w:rsidRPr="0067437A">
        <w:rPr>
          <w:rFonts w:eastAsia="Calibri"/>
        </w:rPr>
        <w:t xml:space="preserve"> </w:t>
      </w:r>
      <w:r w:rsidR="00DC691B" w:rsidRPr="0067437A">
        <w:rPr>
          <w:rFonts w:eastAsia="Calibri"/>
        </w:rPr>
        <w:t>=</w:t>
      </w:r>
      <w:r w:rsidRPr="0067437A">
        <w:rPr>
          <w:rFonts w:eastAsia="Calibri"/>
        </w:rPr>
        <w:t xml:space="preserve"> </w:t>
      </w:r>
      <w:r w:rsidR="0061463E" w:rsidRPr="0067437A">
        <w:rPr>
          <w:rFonts w:eastAsia="Calibri"/>
        </w:rPr>
        <w:t xml:space="preserve">intention to treat population including </w:t>
      </w:r>
      <w:r w:rsidR="00DC691B" w:rsidRPr="0067437A">
        <w:rPr>
          <w:rFonts w:eastAsia="Calibri"/>
        </w:rPr>
        <w:t>all randomised patients</w:t>
      </w:r>
      <w:r w:rsidRPr="0067437A">
        <w:rPr>
          <w:rFonts w:eastAsia="Calibri"/>
        </w:rPr>
        <w:t xml:space="preserve"> (</w:t>
      </w:r>
      <w:r w:rsidR="0061463E" w:rsidRPr="0067437A">
        <w:rPr>
          <w:rFonts w:eastAsia="Calibri"/>
        </w:rPr>
        <w:t xml:space="preserve">note the resubmission </w:t>
      </w:r>
      <w:r w:rsidR="00D90AA5" w:rsidRPr="0067437A">
        <w:rPr>
          <w:rFonts w:eastAsia="Calibri"/>
        </w:rPr>
        <w:t>referred</w:t>
      </w:r>
      <w:r w:rsidR="0061463E" w:rsidRPr="0067437A">
        <w:rPr>
          <w:rFonts w:eastAsia="Calibri"/>
        </w:rPr>
        <w:t xml:space="preserve"> to this group as the Full Analysis Set</w:t>
      </w:r>
      <w:r w:rsidRPr="0067437A">
        <w:rPr>
          <w:rFonts w:eastAsia="Calibri"/>
        </w:rPr>
        <w:t xml:space="preserve">); MM = morbidity/mortality; PAH = pulmonary arterial hypertension; </w:t>
      </w:r>
      <w:r w:rsidRPr="0067437A">
        <w:t>WHO = World Health Organization; 6MWD = 6-minute walk distance</w:t>
      </w:r>
    </w:p>
    <w:p w:rsidR="00DC691B" w:rsidRPr="0067437A" w:rsidRDefault="00DC691B" w:rsidP="00DC691B">
      <w:pPr>
        <w:pStyle w:val="TableFigureFooter"/>
        <w:keepNext/>
        <w:keepLines/>
        <w:spacing w:after="0"/>
        <w:ind w:left="165" w:hanging="165"/>
      </w:pPr>
      <w:r w:rsidRPr="0067437A">
        <w:rPr>
          <w:vertAlign w:val="superscript"/>
        </w:rPr>
        <w:t>#</w:t>
      </w:r>
      <w:r w:rsidRPr="0067437A">
        <w:rPr>
          <w:vertAlign w:val="superscript"/>
        </w:rPr>
        <w:tab/>
      </w:r>
      <w:r w:rsidRPr="0067437A">
        <w:t>Rates for component outcomes reflect first events only as subsequent events were not accounted for (patients were right censored)</w:t>
      </w:r>
    </w:p>
    <w:p w:rsidR="00DC691B" w:rsidRPr="0067437A" w:rsidRDefault="00DC691B" w:rsidP="00DC691B">
      <w:pPr>
        <w:pStyle w:val="TableFigureFooter"/>
        <w:keepNext/>
        <w:keepLines/>
        <w:ind w:left="165" w:hanging="165"/>
      </w:pPr>
      <w:r w:rsidRPr="0067437A">
        <w:t>^</w:t>
      </w:r>
      <w:r w:rsidRPr="0067437A">
        <w:tab/>
        <w:t>Disease progression needs to be confirmed by ≥ 15% decrease in 6MWD from baseline plus: Worsening of WHO FC (for patients in WHO FC II-III at baseline); or need for additional PAH-specific therapy (for patients in WHO FC III-IV at baseline).</w:t>
      </w:r>
    </w:p>
    <w:p w:rsidR="0051347C" w:rsidRPr="0067437A" w:rsidRDefault="0051347C" w:rsidP="0051347C">
      <w:pPr>
        <w:pStyle w:val="TableFigureFooter"/>
        <w:keepNext/>
        <w:keepLines/>
        <w:ind w:left="165" w:hanging="165"/>
      </w:pPr>
      <w:r w:rsidRPr="0067437A">
        <w:t xml:space="preserve">* All events for the ITT population are based on table 15-48 of the CSR which included CEC-confirmed events dated up until 16 August 2011, which is what was also presented in the publication by Sitbon et al (2015). These event rates differ from Table 5 which did not include events occurring prior to 16 August 2011 (n=45). </w:t>
      </w:r>
    </w:p>
    <w:p w:rsidR="00DC691B" w:rsidRPr="0067437A" w:rsidRDefault="00DC691B" w:rsidP="00DC691B">
      <w:pPr>
        <w:pStyle w:val="TableFigureFooter"/>
        <w:keepNext/>
        <w:keepLines/>
      </w:pPr>
      <w:r w:rsidRPr="0067437A">
        <w:t>Source: Primary endpoints: Table 2.20, pp104 of the resubmission, Table 15-48 of GRIPHON CSR, Post-hoc subgroups analyses: Coghlan et al (2018a), pp42.</w:t>
      </w:r>
    </w:p>
    <w:p w:rsidR="003E08D8" w:rsidRPr="0067437A" w:rsidRDefault="00DC691B" w:rsidP="001F4BEC">
      <w:pPr>
        <w:pStyle w:val="3-BodyText"/>
        <w:ind w:left="709"/>
      </w:pPr>
      <w:r w:rsidRPr="0067437A">
        <w:t xml:space="preserve">The </w:t>
      </w:r>
      <w:r w:rsidR="003E08D8" w:rsidRPr="0067437A">
        <w:t xml:space="preserve">ITT </w:t>
      </w:r>
      <w:r w:rsidRPr="0067437A">
        <w:t xml:space="preserve">results for the composite MM outcome </w:t>
      </w:r>
      <w:r w:rsidR="00794C7F">
        <w:t>were</w:t>
      </w:r>
      <w:r w:rsidRPr="0067437A">
        <w:t xml:space="preserve"> largely driven by hospitalisation and</w:t>
      </w:r>
      <w:r w:rsidR="00944B59" w:rsidRPr="0067437A">
        <w:t xml:space="preserve"> disease progression</w:t>
      </w:r>
      <w:r w:rsidR="0067437A">
        <w:t xml:space="preserve">. </w:t>
      </w:r>
      <w:r w:rsidRPr="0067437A">
        <w:t xml:space="preserve">A similar pattern with respect to the component outcomes of the primary composite outcome </w:t>
      </w:r>
      <w:r w:rsidR="007F5EB6" w:rsidRPr="0067437A">
        <w:t>was</w:t>
      </w:r>
      <w:r w:rsidRPr="0067437A">
        <w:t xml:space="preserve"> observed for the subgroups of patient</w:t>
      </w:r>
      <w:r w:rsidR="00D5031F" w:rsidRPr="0067437A">
        <w:t>s</w:t>
      </w:r>
      <w:r w:rsidRPr="0067437A">
        <w:t xml:space="preserve"> who were </w:t>
      </w:r>
      <w:r w:rsidR="003E08D8" w:rsidRPr="0067437A">
        <w:t>receiving</w:t>
      </w:r>
      <w:r w:rsidRPr="0067437A">
        <w:t xml:space="preserve"> background </w:t>
      </w:r>
      <w:r w:rsidR="003E08D8" w:rsidRPr="0067437A">
        <w:t xml:space="preserve">dual </w:t>
      </w:r>
      <w:r w:rsidRPr="0067437A">
        <w:t>therapy at baseline.</w:t>
      </w:r>
      <w:r w:rsidR="00D5031F" w:rsidRPr="0067437A">
        <w:t xml:space="preserve"> </w:t>
      </w:r>
    </w:p>
    <w:p w:rsidR="00DC691B" w:rsidRPr="0067437A" w:rsidRDefault="00DC691B" w:rsidP="001F4BEC">
      <w:pPr>
        <w:pStyle w:val="3-BodyText"/>
        <w:ind w:left="709"/>
      </w:pPr>
      <w:r w:rsidRPr="0067437A">
        <w:t>In relation to the higher number of death</w:t>
      </w:r>
      <w:r w:rsidR="007F5EB6" w:rsidRPr="0067437A">
        <w:t>s</w:t>
      </w:r>
      <w:r w:rsidRPr="0067437A">
        <w:t xml:space="preserve"> </w:t>
      </w:r>
      <w:r w:rsidR="003E08D8" w:rsidRPr="0067437A">
        <w:t xml:space="preserve">reported </w:t>
      </w:r>
      <w:r w:rsidRPr="0067437A">
        <w:t xml:space="preserve">in the selexipag treatment arm </w:t>
      </w:r>
      <w:r w:rsidR="003E08D8" w:rsidRPr="0067437A">
        <w:t xml:space="preserve">(28) </w:t>
      </w:r>
      <w:r w:rsidRPr="0067437A">
        <w:t>versus placebo</w:t>
      </w:r>
      <w:r w:rsidR="003E08D8" w:rsidRPr="0067437A">
        <w:t xml:space="preserve"> (18)</w:t>
      </w:r>
      <w:r w:rsidR="00181DF6" w:rsidRPr="0067437A">
        <w:t>, t</w:t>
      </w:r>
      <w:r w:rsidRPr="0067437A">
        <w:t>he resubmission argued that informative censoring in the trial due to more morbidity events in the placebo arm had biased the results against selexipag.</w:t>
      </w:r>
      <w:r w:rsidR="00181DF6" w:rsidRPr="0067437A">
        <w:t xml:space="preserve"> </w:t>
      </w:r>
      <w:r w:rsidR="0075179E" w:rsidRPr="0067437A">
        <w:t>The ESC considered that t</w:t>
      </w:r>
      <w:r w:rsidRPr="0067437A">
        <w:t xml:space="preserve">his was </w:t>
      </w:r>
      <w:r w:rsidR="00944B59" w:rsidRPr="0067437A">
        <w:t>plausible</w:t>
      </w:r>
      <w:r w:rsidRPr="0067437A">
        <w:t xml:space="preserve">. </w:t>
      </w:r>
      <w:r w:rsidR="0040603E" w:rsidRPr="0067437A">
        <w:t>Overall, the mortality results</w:t>
      </w:r>
      <w:r w:rsidRPr="0067437A">
        <w:t xml:space="preserve"> between selexipag </w:t>
      </w:r>
      <w:r w:rsidR="0040603E" w:rsidRPr="0067437A">
        <w:t xml:space="preserve">(4.9%) </w:t>
      </w:r>
      <w:r w:rsidRPr="0067437A">
        <w:t xml:space="preserve">and placebo </w:t>
      </w:r>
      <w:r w:rsidR="0040603E" w:rsidRPr="0067437A">
        <w:t>(3.1%)</w:t>
      </w:r>
      <w:r w:rsidR="003E08D8" w:rsidRPr="0067437A">
        <w:t xml:space="preserve"> </w:t>
      </w:r>
      <w:r w:rsidR="0040603E" w:rsidRPr="0067437A">
        <w:t>were similar</w:t>
      </w:r>
      <w:r w:rsidR="0067437A">
        <w:t xml:space="preserve">. </w:t>
      </w:r>
      <w:r w:rsidRPr="0067437A">
        <w:t xml:space="preserve">The </w:t>
      </w:r>
      <w:r w:rsidR="0075179E" w:rsidRPr="0067437A">
        <w:t xml:space="preserve">ESC noted that the </w:t>
      </w:r>
      <w:r w:rsidRPr="0067437A">
        <w:t xml:space="preserve">modelled economic evaluation </w:t>
      </w:r>
      <w:r w:rsidR="00802017" w:rsidRPr="0067437A">
        <w:t xml:space="preserve">appropriately </w:t>
      </w:r>
      <w:r w:rsidRPr="0067437A">
        <w:t xml:space="preserve">assumed similar survival for selexipag </w:t>
      </w:r>
      <w:r w:rsidRPr="0067437A">
        <w:lastRenderedPageBreak/>
        <w:t>and placebo based on survival in the selexipag arm of the GRIPHON trial</w:t>
      </w:r>
      <w:r w:rsidR="00802017" w:rsidRPr="0067437A">
        <w:t xml:space="preserve"> (see paragraph </w:t>
      </w:r>
      <w:r w:rsidR="00DC3D3B" w:rsidRPr="00DC3D3B">
        <w:t>6.46</w:t>
      </w:r>
      <w:r w:rsidR="00802017" w:rsidRPr="0067437A">
        <w:t>)</w:t>
      </w:r>
      <w:r w:rsidRPr="0067437A">
        <w:t>.</w:t>
      </w:r>
    </w:p>
    <w:p w:rsidR="00DC691B" w:rsidRPr="0067437A" w:rsidRDefault="00DC691B" w:rsidP="002B75D1">
      <w:pPr>
        <w:pStyle w:val="Heading5"/>
        <w:keepNext/>
        <w:rPr>
          <w:i/>
          <w:sz w:val="24"/>
          <w:szCs w:val="24"/>
        </w:rPr>
      </w:pPr>
      <w:r w:rsidRPr="0067437A">
        <w:rPr>
          <w:i/>
          <w:sz w:val="24"/>
          <w:szCs w:val="24"/>
        </w:rPr>
        <w:t>Landmark analysis investigating prognostic relevance of PAH-morbidity for mortality (McLaughlin et al 2018)</w:t>
      </w:r>
    </w:p>
    <w:p w:rsidR="00DC691B" w:rsidRPr="0067437A" w:rsidRDefault="003E08D8" w:rsidP="002B75D1">
      <w:pPr>
        <w:pStyle w:val="3-BodyText"/>
        <w:keepNext/>
        <w:ind w:left="709"/>
      </w:pPr>
      <w:r w:rsidRPr="0067437A">
        <w:t>Results of landmark analyse</w:t>
      </w:r>
      <w:r w:rsidR="00DC691B" w:rsidRPr="0067437A">
        <w:t xml:space="preserve">s investigating prognostic relevance of PAH-morbidity for mortality </w:t>
      </w:r>
      <w:r w:rsidR="001A09E6" w:rsidRPr="0067437A">
        <w:t xml:space="preserve">by </w:t>
      </w:r>
      <w:r w:rsidR="00DC691B" w:rsidRPr="0067437A">
        <w:t>McLaughlin et al 2018</w:t>
      </w:r>
      <w:r w:rsidR="001A09E6" w:rsidRPr="0067437A">
        <w:t xml:space="preserve"> is</w:t>
      </w:r>
      <w:r w:rsidRPr="0067437A">
        <w:t xml:space="preserve"> presented in Figure 1</w:t>
      </w:r>
      <w:r w:rsidR="0067437A">
        <w:t xml:space="preserve">. </w:t>
      </w:r>
      <w:r w:rsidRPr="0067437A">
        <w:t>A c</w:t>
      </w:r>
      <w:r w:rsidR="00BA3709" w:rsidRPr="0067437A">
        <w:t>omparison is made for death rates in those with prior morbidity event</w:t>
      </w:r>
      <w:r w:rsidR="00FD7F18" w:rsidRPr="0067437A">
        <w:t>s and</w:t>
      </w:r>
      <w:r w:rsidR="00BA3709" w:rsidRPr="0067437A">
        <w:t xml:space="preserve"> those without. </w:t>
      </w:r>
    </w:p>
    <w:p w:rsidR="009E090E" w:rsidRPr="0067437A" w:rsidRDefault="009E090E" w:rsidP="009E090E">
      <w:pPr>
        <w:keepNext/>
        <w:keepLines/>
        <w:rPr>
          <w:rFonts w:ascii="Arial Narrow" w:hAnsi="Arial Narrow"/>
          <w:b/>
          <w:sz w:val="20"/>
          <w:szCs w:val="20"/>
          <w:highlight w:val="green"/>
        </w:rPr>
      </w:pPr>
      <w:r w:rsidRPr="0067437A">
        <w:rPr>
          <w:rFonts w:ascii="Arial Narrow" w:hAnsi="Arial Narrow"/>
          <w:b/>
          <w:sz w:val="20"/>
          <w:szCs w:val="20"/>
        </w:rPr>
        <w:t xml:space="preserve">Figure 1. </w:t>
      </w:r>
      <w:r w:rsidRPr="0067437A">
        <w:rPr>
          <w:rFonts w:ascii="Arial Narrow" w:hAnsi="Arial Narrow"/>
          <w:b/>
          <w:bCs/>
          <w:sz w:val="20"/>
          <w:szCs w:val="20"/>
        </w:rPr>
        <w:t>Association</w:t>
      </w:r>
      <w:r w:rsidR="00BA3709" w:rsidRPr="0067437A">
        <w:rPr>
          <w:rFonts w:ascii="Arial Narrow" w:hAnsi="Arial Narrow"/>
          <w:b/>
          <w:bCs/>
          <w:sz w:val="20"/>
          <w:szCs w:val="20"/>
        </w:rPr>
        <w:t>^</w:t>
      </w:r>
      <w:r w:rsidRPr="0067437A">
        <w:rPr>
          <w:rFonts w:ascii="Arial Narrow" w:hAnsi="Arial Narrow"/>
          <w:b/>
          <w:bCs/>
          <w:sz w:val="20"/>
          <w:szCs w:val="20"/>
        </w:rPr>
        <w:t xml:space="preserve"> between morbidity and mortality</w:t>
      </w:r>
      <w:r w:rsidR="00BA3709" w:rsidRPr="0067437A">
        <w:rPr>
          <w:rFonts w:ascii="Arial Narrow" w:hAnsi="Arial Narrow"/>
          <w:b/>
          <w:bCs/>
          <w:sz w:val="20"/>
          <w:szCs w:val="20"/>
        </w:rPr>
        <w:t>*</w:t>
      </w:r>
      <w:r w:rsidRPr="0067437A">
        <w:rPr>
          <w:rFonts w:ascii="Arial Narrow" w:hAnsi="Arial Narrow"/>
          <w:b/>
          <w:bCs/>
          <w:sz w:val="20"/>
          <w:szCs w:val="20"/>
        </w:rPr>
        <w:t xml:space="preserve"> in GRIPHON at 3, 6 and 12-month landmark time points</w:t>
      </w:r>
    </w:p>
    <w:p w:rsidR="009E090E" w:rsidRPr="0067437A" w:rsidRDefault="009E090E" w:rsidP="009E090E">
      <w:pPr>
        <w:keepNext/>
        <w:keepLines/>
      </w:pPr>
      <w:r w:rsidRPr="0067437A">
        <w:rPr>
          <w:b/>
          <w:bCs/>
          <w:noProof/>
        </w:rPr>
        <w:drawing>
          <wp:inline distT="0" distB="0" distL="0" distR="0" wp14:anchorId="6C13D03F" wp14:editId="4F28EF7B">
            <wp:extent cx="5676595" cy="1929765"/>
            <wp:effectExtent l="19050" t="19050" r="19685" b="13335"/>
            <wp:docPr id="2" name="Picture 2"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1964" cy="1958786"/>
                    </a:xfrm>
                    <a:prstGeom prst="rect">
                      <a:avLst/>
                    </a:prstGeom>
                    <a:ln>
                      <a:solidFill>
                        <a:schemeClr val="tx1"/>
                      </a:solidFill>
                    </a:ln>
                  </pic:spPr>
                </pic:pic>
              </a:graphicData>
            </a:graphic>
          </wp:inline>
        </w:drawing>
      </w:r>
    </w:p>
    <w:p w:rsidR="00AB0737" w:rsidRPr="0067437A" w:rsidRDefault="00AB0737" w:rsidP="00BA3709">
      <w:pPr>
        <w:pStyle w:val="TableFigureFooter"/>
        <w:ind w:left="165" w:hanging="165"/>
        <w:rPr>
          <w:rFonts w:eastAsia="Calibri"/>
          <w:szCs w:val="18"/>
        </w:rPr>
      </w:pPr>
      <w:r w:rsidRPr="0067437A">
        <w:rPr>
          <w:rFonts w:eastAsia="Calibri"/>
          <w:szCs w:val="18"/>
        </w:rPr>
        <w:t xml:space="preserve">CI = confidence interval; FC = functional class; HR = hazard ratio; </w:t>
      </w:r>
      <w:r w:rsidRPr="0067437A">
        <w:t>WHO = World Health Organization; 6MWD = 6-minute walk distance</w:t>
      </w:r>
    </w:p>
    <w:p w:rsidR="00BA3709" w:rsidRPr="0067437A" w:rsidRDefault="00BA3709" w:rsidP="00BA3709">
      <w:pPr>
        <w:pStyle w:val="TableFigureFooter"/>
        <w:ind w:left="165" w:hanging="165"/>
        <w:rPr>
          <w:rFonts w:eastAsia="Calibri"/>
          <w:szCs w:val="18"/>
        </w:rPr>
      </w:pPr>
      <w:r w:rsidRPr="0067437A">
        <w:rPr>
          <w:rFonts w:eastAsia="Calibri"/>
          <w:szCs w:val="18"/>
        </w:rPr>
        <w:t>^</w:t>
      </w:r>
      <w:r w:rsidRPr="0067437A">
        <w:rPr>
          <w:rFonts w:eastAsia="Calibri"/>
          <w:szCs w:val="18"/>
        </w:rPr>
        <w:tab/>
        <w:t>Cox model also included baseline characteristics (</w:t>
      </w:r>
      <w:r w:rsidR="003E08D8" w:rsidRPr="0067437A">
        <w:rPr>
          <w:rFonts w:eastAsia="Calibri"/>
          <w:szCs w:val="18"/>
        </w:rPr>
        <w:t>i.e.</w:t>
      </w:r>
      <w:r w:rsidRPr="0067437A">
        <w:rPr>
          <w:rFonts w:eastAsia="Calibri"/>
          <w:szCs w:val="18"/>
        </w:rPr>
        <w:t xml:space="preserve"> WHO FC and 6MWD) to take into account potential differences between patients with and without a prior morbidity event.</w:t>
      </w:r>
    </w:p>
    <w:p w:rsidR="00BA3709" w:rsidRPr="0067437A" w:rsidRDefault="00BA3709" w:rsidP="00BA3709">
      <w:pPr>
        <w:pStyle w:val="TableFigureFooter"/>
        <w:spacing w:after="0"/>
        <w:ind w:left="165" w:hanging="165"/>
        <w:rPr>
          <w:szCs w:val="18"/>
        </w:rPr>
      </w:pPr>
      <w:r w:rsidRPr="0067437A">
        <w:rPr>
          <w:szCs w:val="18"/>
        </w:rPr>
        <w:t>*</w:t>
      </w:r>
      <w:r w:rsidRPr="0067437A">
        <w:rPr>
          <w:szCs w:val="18"/>
        </w:rPr>
        <w:tab/>
        <w:t>Death occurred between the landmark time point and end of study period</w:t>
      </w:r>
    </w:p>
    <w:p w:rsidR="009E090E" w:rsidRPr="0067437A" w:rsidRDefault="009E090E" w:rsidP="003E08D8">
      <w:pPr>
        <w:pStyle w:val="TableFooter"/>
      </w:pPr>
      <w:r w:rsidRPr="0067437A">
        <w:t>Source: Figure 2B, p759 of McLaughlin et al., 2018, Figure 2.16, p111 of the resubmission.</w:t>
      </w:r>
    </w:p>
    <w:p w:rsidR="009E090E" w:rsidRPr="0067437A" w:rsidRDefault="009E090E" w:rsidP="00FD7F18"/>
    <w:p w:rsidR="001A09E6" w:rsidRPr="0067437A" w:rsidRDefault="001A09E6" w:rsidP="000C012D">
      <w:pPr>
        <w:pStyle w:val="3-BodyText"/>
        <w:ind w:left="709"/>
      </w:pPr>
      <w:r w:rsidRPr="0067437A">
        <w:t xml:space="preserve">The number of GRIPHON trial patients available for survival follow-up at the 3, 6, and 12 </w:t>
      </w:r>
      <w:r w:rsidR="0040603E" w:rsidRPr="0067437A">
        <w:t>month</w:t>
      </w:r>
      <w:r w:rsidR="00BD4082" w:rsidRPr="0067437A">
        <w:t xml:space="preserve">s </w:t>
      </w:r>
      <w:r w:rsidRPr="0067437A">
        <w:t>landmark time points w</w:t>
      </w:r>
      <w:r w:rsidR="0040603E" w:rsidRPr="0067437A">
        <w:t>ere</w:t>
      </w:r>
      <w:r w:rsidRPr="0067437A">
        <w:t xml:space="preserve"> 1,127, 1,089, and 964, respectively. Differences in baseline characteristics were evident between </w:t>
      </w:r>
      <w:r w:rsidR="00DC657A" w:rsidRPr="0067437A">
        <w:t xml:space="preserve">the prior </w:t>
      </w:r>
      <w:r w:rsidRPr="0067437A">
        <w:t xml:space="preserve">morbidity and no-morbidity groups at the landmark time points, including: 1) patients who experienced a morbidity event tended to be more impaired, with higher WHO FC status and shorter 6MWD, compared with those who did not, 2) the proportion of incident patients (enrolled </w:t>
      </w:r>
      <w:r w:rsidRPr="0067437A">
        <w:rPr>
          <w:rFonts w:cs="Calibri"/>
        </w:rPr>
        <w:t>≤</w:t>
      </w:r>
      <w:r w:rsidR="00734740" w:rsidRPr="0067437A">
        <w:rPr>
          <w:rFonts w:cs="Calibri"/>
        </w:rPr>
        <w:t xml:space="preserve"> </w:t>
      </w:r>
      <w:r w:rsidRPr="0067437A">
        <w:t xml:space="preserve">6 months after diagnosis) was greater among those who experienced a morbidity event before the 3-month landmark time point compared with those that did not (the difference dissipated at the later time points). However, the proportion of patients receiving PAH treatment at baseline did not vary greatly between those who did and those who did not experience </w:t>
      </w:r>
      <w:r w:rsidR="00FD7F18" w:rsidRPr="0067437A">
        <w:t xml:space="preserve">a </w:t>
      </w:r>
      <w:r w:rsidRPr="0067437A">
        <w:t xml:space="preserve">morbidity event. </w:t>
      </w:r>
    </w:p>
    <w:p w:rsidR="00CA0FFD" w:rsidRPr="0067437A" w:rsidRDefault="001A09E6" w:rsidP="0082216A">
      <w:pPr>
        <w:pStyle w:val="3-BodyText"/>
        <w:ind w:left="709"/>
        <w:rPr>
          <w:i/>
        </w:rPr>
      </w:pPr>
      <w:r w:rsidRPr="0067437A">
        <w:t xml:space="preserve">On the basis of the 3-month and 6-month landmark time points, there was over a </w:t>
      </w:r>
      <w:r w:rsidR="00157ACD">
        <w:t>four</w:t>
      </w:r>
      <w:r w:rsidRPr="0067437A">
        <w:t xml:space="preserve">-fold increased </w:t>
      </w:r>
      <w:r w:rsidR="007F5EB6" w:rsidRPr="0067437A">
        <w:t>risk of death</w:t>
      </w:r>
      <w:r w:rsidRPr="0067437A">
        <w:t xml:space="preserve"> if a patient experienced a morbidity endpoint in the </w:t>
      </w:r>
      <w:r w:rsidR="00F0229C" w:rsidRPr="0067437A">
        <w:t xml:space="preserve">composite </w:t>
      </w:r>
      <w:r w:rsidR="00C0531E">
        <w:t>MM</w:t>
      </w:r>
      <w:r w:rsidR="00F0229C" w:rsidRPr="0067437A">
        <w:t xml:space="preserve"> </w:t>
      </w:r>
      <w:r w:rsidRPr="0067437A">
        <w:t>outcome, regardless of treatment received</w:t>
      </w:r>
      <w:r w:rsidR="00F0229C" w:rsidRPr="0067437A">
        <w:t>.</w:t>
      </w:r>
      <w:r w:rsidR="00181DF6" w:rsidRPr="0067437A">
        <w:t xml:space="preserve"> </w:t>
      </w:r>
      <w:r w:rsidR="00D70224" w:rsidRPr="0067437A">
        <w:t xml:space="preserve">The </w:t>
      </w:r>
      <w:r w:rsidR="00C0531E">
        <w:t>hazard ratio</w:t>
      </w:r>
      <w:r w:rsidR="00D70224" w:rsidRPr="0067437A">
        <w:t xml:space="preserve"> for risk of death for the morbidity event group was</w:t>
      </w:r>
      <w:r w:rsidR="00F0229C" w:rsidRPr="0067437A">
        <w:t xml:space="preserve"> </w:t>
      </w:r>
      <w:r w:rsidRPr="0067437A">
        <w:t xml:space="preserve">4.48 (95% CI: 2.98, 6.73) </w:t>
      </w:r>
      <w:r w:rsidR="00734740" w:rsidRPr="0067437A">
        <w:t xml:space="preserve">at </w:t>
      </w:r>
      <w:r w:rsidRPr="0067437A">
        <w:t>the 3-month landmark time point, and 4.10 (95% CI: 2.86</w:t>
      </w:r>
      <w:r w:rsidR="00734740" w:rsidRPr="0067437A">
        <w:t xml:space="preserve">, </w:t>
      </w:r>
      <w:r w:rsidRPr="0067437A">
        <w:t xml:space="preserve">5.87) </w:t>
      </w:r>
      <w:r w:rsidR="00734740" w:rsidRPr="0067437A">
        <w:t>at</w:t>
      </w:r>
      <w:r w:rsidRPr="0067437A">
        <w:t xml:space="preserve"> the 6-month landmark time point</w:t>
      </w:r>
      <w:r w:rsidR="0067437A">
        <w:t xml:space="preserve">. </w:t>
      </w:r>
      <w:r w:rsidRPr="0067437A">
        <w:t>Analyses based on the 12-month landmark time point also demonstrated an increased risk of death if patients exper</w:t>
      </w:r>
      <w:r w:rsidR="0032021A" w:rsidRPr="0067437A">
        <w:t>ienced a morbidity endpoint (HR</w:t>
      </w:r>
      <w:r w:rsidR="00C0531E">
        <w:t xml:space="preserve"> </w:t>
      </w:r>
      <w:r w:rsidR="005D3033" w:rsidRPr="0067437A">
        <w:t>=</w:t>
      </w:r>
      <w:r w:rsidR="00C0531E">
        <w:t xml:space="preserve"> </w:t>
      </w:r>
      <w:r w:rsidRPr="0067437A">
        <w:t>3.</w:t>
      </w:r>
      <w:r w:rsidR="0032021A" w:rsidRPr="0067437A">
        <w:t>52</w:t>
      </w:r>
      <w:r w:rsidR="0082216A" w:rsidRPr="0067437A">
        <w:t>, 95%</w:t>
      </w:r>
      <w:r w:rsidR="005D3033" w:rsidRPr="0067437A">
        <w:t xml:space="preserve"> </w:t>
      </w:r>
      <w:r w:rsidR="0082216A" w:rsidRPr="0067437A">
        <w:t xml:space="preserve">CI: </w:t>
      </w:r>
      <w:r w:rsidRPr="0067437A">
        <w:t>2.35</w:t>
      </w:r>
      <w:r w:rsidR="00734740" w:rsidRPr="0067437A">
        <w:t xml:space="preserve">, </w:t>
      </w:r>
      <w:r w:rsidRPr="0067437A">
        <w:t>5.31</w:t>
      </w:r>
      <w:r w:rsidR="0032021A" w:rsidRPr="0067437A">
        <w:t>)</w:t>
      </w:r>
      <w:r w:rsidRPr="0067437A">
        <w:t xml:space="preserve">. </w:t>
      </w:r>
      <w:r w:rsidR="0032021A" w:rsidRPr="0067437A">
        <w:t xml:space="preserve">The </w:t>
      </w:r>
      <w:r w:rsidRPr="0067437A">
        <w:t xml:space="preserve">landmark analyses </w:t>
      </w:r>
      <w:r w:rsidR="006F375D" w:rsidRPr="0067437A">
        <w:t xml:space="preserve">suggested </w:t>
      </w:r>
      <w:r w:rsidRPr="0067437A">
        <w:t xml:space="preserve">that morbidity, as captured in the </w:t>
      </w:r>
      <w:r w:rsidRPr="0067437A">
        <w:lastRenderedPageBreak/>
        <w:t>primary endpoint events of the GRIPHON trial, is associated with increased mortality</w:t>
      </w:r>
      <w:r w:rsidR="0067437A">
        <w:t xml:space="preserve">. </w:t>
      </w:r>
      <w:r w:rsidR="00734740" w:rsidRPr="0067437A">
        <w:t>C</w:t>
      </w:r>
      <w:r w:rsidR="00CA0FFD" w:rsidRPr="0067437A">
        <w:t>aution</w:t>
      </w:r>
      <w:r w:rsidR="00734740" w:rsidRPr="0067437A">
        <w:t xml:space="preserve"> when interpreting the results should be applied</w:t>
      </w:r>
      <w:r w:rsidR="00CA0FFD" w:rsidRPr="0067437A">
        <w:t xml:space="preserve"> as the publication noted that patients who experienced a morbidity event tended to be more impaired, with a higher WHO FC status and shorter 6MWD, compared with those who did not experience morbidity events. In addition, the 95% confidence intervals appear wide, which reflect some overall uncertainty in results. </w:t>
      </w:r>
    </w:p>
    <w:p w:rsidR="001A09E6" w:rsidRPr="0067437A" w:rsidRDefault="00D70224" w:rsidP="0008733D">
      <w:pPr>
        <w:pStyle w:val="3-BodyText"/>
        <w:ind w:left="709"/>
      </w:pPr>
      <w:r w:rsidRPr="0067437A">
        <w:t>The a</w:t>
      </w:r>
      <w:r w:rsidR="001A09E6" w:rsidRPr="0067437A">
        <w:t>ssociation of individual morbidity components with the risk of death was also evaluated</w:t>
      </w:r>
      <w:r w:rsidR="00181DF6" w:rsidRPr="0067437A">
        <w:t xml:space="preserve"> </w:t>
      </w:r>
      <w:r w:rsidR="00734740" w:rsidRPr="0067437A">
        <w:t xml:space="preserve">and </w:t>
      </w:r>
      <w:r w:rsidR="001A09E6" w:rsidRPr="0067437A">
        <w:t>demonstrat</w:t>
      </w:r>
      <w:r w:rsidR="00734740" w:rsidRPr="0067437A">
        <w:t>ed that</w:t>
      </w:r>
      <w:r w:rsidR="001A09E6" w:rsidRPr="0067437A">
        <w:t xml:space="preserve"> hospitalisation due to </w:t>
      </w:r>
      <w:r w:rsidR="00325C62" w:rsidRPr="0067437A">
        <w:t xml:space="preserve">worsening </w:t>
      </w:r>
      <w:r w:rsidR="001A09E6" w:rsidRPr="0067437A">
        <w:t>PAH and disease progression w</w:t>
      </w:r>
      <w:r w:rsidR="00734740" w:rsidRPr="0067437A">
        <w:t>as</w:t>
      </w:r>
      <w:r w:rsidR="001A09E6" w:rsidRPr="0067437A">
        <w:t xml:space="preserve"> associated with </w:t>
      </w:r>
      <w:r w:rsidR="00A40AB0" w:rsidRPr="0067437A">
        <w:t>statistically significantly</w:t>
      </w:r>
      <w:r w:rsidR="001A09E6" w:rsidRPr="0067437A">
        <w:t xml:space="preserve"> higher subsequent death risk </w:t>
      </w:r>
      <w:r w:rsidR="00325C62" w:rsidRPr="0067437A">
        <w:t xml:space="preserve">at </w:t>
      </w:r>
      <w:r w:rsidR="001A09E6" w:rsidRPr="0067437A">
        <w:t xml:space="preserve">all landmark </w:t>
      </w:r>
      <w:r w:rsidR="0047510D" w:rsidRPr="0067437A">
        <w:t>time points</w:t>
      </w:r>
      <w:r w:rsidR="00A40AB0" w:rsidRPr="0067437A">
        <w:t xml:space="preserve"> (</w:t>
      </w:r>
      <w:r w:rsidR="00265CCD" w:rsidRPr="0067437A">
        <w:t>Figure 2)</w:t>
      </w:r>
      <w:r w:rsidR="00610A02" w:rsidRPr="0067437A">
        <w:t>.</w:t>
      </w:r>
    </w:p>
    <w:p w:rsidR="001A09E6" w:rsidRPr="0067437A" w:rsidRDefault="001A09E6" w:rsidP="005974D8">
      <w:pPr>
        <w:keepNext/>
        <w:keepLines/>
        <w:rPr>
          <w:rFonts w:ascii="Arial Narrow" w:hAnsi="Arial Narrow"/>
          <w:b/>
          <w:sz w:val="20"/>
          <w:szCs w:val="20"/>
        </w:rPr>
      </w:pPr>
      <w:r w:rsidRPr="0067437A">
        <w:rPr>
          <w:rFonts w:ascii="Arial Narrow" w:hAnsi="Arial Narrow"/>
          <w:b/>
          <w:sz w:val="20"/>
          <w:szCs w:val="20"/>
        </w:rPr>
        <w:t xml:space="preserve">Figure </w:t>
      </w:r>
      <w:r w:rsidR="0098421F" w:rsidRPr="0067437A">
        <w:rPr>
          <w:rFonts w:ascii="Arial Narrow" w:hAnsi="Arial Narrow"/>
          <w:b/>
          <w:sz w:val="20"/>
          <w:szCs w:val="20"/>
        </w:rPr>
        <w:t>2</w:t>
      </w:r>
      <w:r w:rsidRPr="0067437A">
        <w:rPr>
          <w:rFonts w:ascii="Arial Narrow" w:hAnsi="Arial Narrow"/>
          <w:b/>
          <w:sz w:val="20"/>
          <w:szCs w:val="20"/>
        </w:rPr>
        <w:t xml:space="preserve">. </w:t>
      </w:r>
      <w:r w:rsidRPr="0067437A">
        <w:rPr>
          <w:rFonts w:ascii="Arial Narrow" w:hAnsi="Arial Narrow"/>
          <w:b/>
          <w:bCs/>
          <w:sz w:val="20"/>
          <w:szCs w:val="20"/>
        </w:rPr>
        <w:t xml:space="preserve">Association of hospitalisation due to PAH worsening and disease progression with mortality risk at 3-, 6- and 12-month landmark time points. </w:t>
      </w:r>
    </w:p>
    <w:p w:rsidR="001A09E6" w:rsidRPr="0067437A" w:rsidRDefault="001A09E6" w:rsidP="005974D8">
      <w:pPr>
        <w:keepNext/>
        <w:keepLines/>
      </w:pPr>
      <w:r w:rsidRPr="0067437A">
        <w:rPr>
          <w:rFonts w:ascii="Arial" w:hAnsi="Arial" w:cstheme="minorBidi"/>
          <w:noProof/>
          <w:sz w:val="20"/>
        </w:rPr>
        <w:drawing>
          <wp:inline distT="0" distB="0" distL="0" distR="0" wp14:anchorId="08405AC9" wp14:editId="39F4BAA1">
            <wp:extent cx="5748793" cy="2185670"/>
            <wp:effectExtent l="19050" t="19050" r="23495" b="24130"/>
            <wp:docPr id="27" name="Picture 27"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480" cy="2188593"/>
                    </a:xfrm>
                    <a:prstGeom prst="rect">
                      <a:avLst/>
                    </a:prstGeom>
                    <a:ln>
                      <a:solidFill>
                        <a:schemeClr val="tx1"/>
                      </a:solidFill>
                    </a:ln>
                  </pic:spPr>
                </pic:pic>
              </a:graphicData>
            </a:graphic>
          </wp:inline>
        </w:drawing>
      </w:r>
    </w:p>
    <w:p w:rsidR="00AB0737" w:rsidRPr="0067437A" w:rsidRDefault="00AB0737" w:rsidP="00AB0737">
      <w:pPr>
        <w:pStyle w:val="TableFooter"/>
      </w:pPr>
      <w:r w:rsidRPr="0067437A">
        <w:t>CI = confidence interval; HR = hazard ratio; PAH = pulmonary arterial hypertension</w:t>
      </w:r>
    </w:p>
    <w:p w:rsidR="001A09E6" w:rsidRPr="0067437A" w:rsidRDefault="001A09E6" w:rsidP="00AB0737">
      <w:pPr>
        <w:pStyle w:val="TableFooter"/>
      </w:pPr>
      <w:r w:rsidRPr="0067437A">
        <w:t xml:space="preserve">Source: Figure 3, p760 of McLaughlin et al., 2018, Figure 2.17, p112 of the resubmission. </w:t>
      </w:r>
    </w:p>
    <w:p w:rsidR="001A09E6" w:rsidRPr="0067437A" w:rsidRDefault="001A09E6" w:rsidP="00610A02"/>
    <w:p w:rsidR="001A09E6" w:rsidRPr="0067437A" w:rsidRDefault="00F13B70" w:rsidP="00F13B70">
      <w:pPr>
        <w:pStyle w:val="3-BodyText"/>
        <w:ind w:left="709"/>
      </w:pPr>
      <w:r w:rsidRPr="0067437A">
        <w:rPr>
          <w:rStyle w:val="CommentReference"/>
          <w:rFonts w:asciiTheme="minorHAnsi" w:hAnsiTheme="minorHAnsi" w:cstheme="minorHAnsi"/>
          <w:b w:val="0"/>
          <w:sz w:val="24"/>
          <w:szCs w:val="24"/>
        </w:rPr>
        <w:t>McLaughlin et al 2018 noted s</w:t>
      </w:r>
      <w:r w:rsidR="001A09E6" w:rsidRPr="0067437A">
        <w:rPr>
          <w:rStyle w:val="CommentReference"/>
          <w:rFonts w:asciiTheme="minorHAnsi" w:hAnsiTheme="minorHAnsi" w:cstheme="minorHAnsi"/>
          <w:b w:val="0"/>
          <w:sz w:val="24"/>
          <w:szCs w:val="24"/>
        </w:rPr>
        <w:t xml:space="preserve">ome nuances </w:t>
      </w:r>
      <w:r w:rsidRPr="0067437A">
        <w:rPr>
          <w:rStyle w:val="CommentReference"/>
          <w:rFonts w:asciiTheme="minorHAnsi" w:hAnsiTheme="minorHAnsi" w:cstheme="minorHAnsi"/>
          <w:b w:val="0"/>
          <w:sz w:val="24"/>
          <w:szCs w:val="24"/>
        </w:rPr>
        <w:t xml:space="preserve">that </w:t>
      </w:r>
      <w:r w:rsidR="001A09E6" w:rsidRPr="0067437A">
        <w:rPr>
          <w:rStyle w:val="CommentReference"/>
          <w:rFonts w:asciiTheme="minorHAnsi" w:hAnsiTheme="minorHAnsi" w:cstheme="minorHAnsi"/>
          <w:b w:val="0"/>
          <w:sz w:val="24"/>
          <w:szCs w:val="24"/>
        </w:rPr>
        <w:t>should be considered when interpreting the landmark analysis results. First</w:t>
      </w:r>
      <w:r w:rsidR="00734740" w:rsidRPr="0067437A">
        <w:rPr>
          <w:rStyle w:val="CommentReference"/>
          <w:rFonts w:asciiTheme="minorHAnsi" w:hAnsiTheme="minorHAnsi" w:cstheme="minorHAnsi"/>
          <w:b w:val="0"/>
          <w:sz w:val="24"/>
          <w:szCs w:val="24"/>
        </w:rPr>
        <w:t>ly</w:t>
      </w:r>
      <w:r w:rsidR="001A09E6" w:rsidRPr="0067437A">
        <w:rPr>
          <w:rStyle w:val="CommentReference"/>
          <w:rFonts w:asciiTheme="minorHAnsi" w:hAnsiTheme="minorHAnsi" w:cstheme="minorHAnsi"/>
          <w:b w:val="0"/>
          <w:sz w:val="24"/>
          <w:szCs w:val="24"/>
        </w:rPr>
        <w:t>, very few patients were excluded f</w:t>
      </w:r>
      <w:r w:rsidR="00325C62" w:rsidRPr="0067437A">
        <w:rPr>
          <w:rStyle w:val="CommentReference"/>
          <w:rFonts w:asciiTheme="minorHAnsi" w:hAnsiTheme="minorHAnsi" w:cstheme="minorHAnsi"/>
          <w:b w:val="0"/>
          <w:sz w:val="24"/>
          <w:szCs w:val="24"/>
        </w:rPr>
        <w:t>rom</w:t>
      </w:r>
      <w:r w:rsidR="001A09E6" w:rsidRPr="0067437A">
        <w:rPr>
          <w:rStyle w:val="CommentReference"/>
          <w:rFonts w:asciiTheme="minorHAnsi" w:hAnsiTheme="minorHAnsi" w:cstheme="minorHAnsi"/>
          <w:b w:val="0"/>
          <w:sz w:val="24"/>
          <w:szCs w:val="24"/>
        </w:rPr>
        <w:t xml:space="preserve"> follow-up at the 3-month landmark</w:t>
      </w:r>
      <w:r w:rsidR="00325C62" w:rsidRPr="0067437A">
        <w:rPr>
          <w:rStyle w:val="CommentReference"/>
          <w:rFonts w:asciiTheme="minorHAnsi" w:hAnsiTheme="minorHAnsi" w:cstheme="minorHAnsi"/>
          <w:b w:val="0"/>
          <w:sz w:val="24"/>
          <w:szCs w:val="24"/>
        </w:rPr>
        <w:t xml:space="preserve"> (3%)</w:t>
      </w:r>
      <w:r w:rsidR="005974D8" w:rsidRPr="0067437A">
        <w:rPr>
          <w:rStyle w:val="CommentReference"/>
          <w:rFonts w:asciiTheme="minorHAnsi" w:hAnsiTheme="minorHAnsi" w:cstheme="minorHAnsi"/>
          <w:b w:val="0"/>
          <w:sz w:val="24"/>
          <w:szCs w:val="24"/>
        </w:rPr>
        <w:t>,</w:t>
      </w:r>
      <w:r w:rsidR="001A09E6" w:rsidRPr="0067437A">
        <w:rPr>
          <w:rStyle w:val="CommentReference"/>
          <w:rFonts w:asciiTheme="minorHAnsi" w:hAnsiTheme="minorHAnsi" w:cstheme="minorHAnsi"/>
          <w:b w:val="0"/>
          <w:sz w:val="24"/>
          <w:szCs w:val="24"/>
        </w:rPr>
        <w:t xml:space="preserve"> which may have led to a more </w:t>
      </w:r>
      <w:r w:rsidR="001A09E6" w:rsidRPr="0067437A">
        <w:t>representative</w:t>
      </w:r>
      <w:r w:rsidR="001A09E6" w:rsidRPr="0067437A">
        <w:rPr>
          <w:rStyle w:val="CommentReference"/>
          <w:rFonts w:asciiTheme="minorHAnsi" w:hAnsiTheme="minorHAnsi" w:cstheme="minorHAnsi"/>
          <w:b w:val="0"/>
          <w:sz w:val="24"/>
          <w:szCs w:val="24"/>
        </w:rPr>
        <w:t xml:space="preserve"> study population at month 3, particularly when compared to latter landmark time points</w:t>
      </w:r>
      <w:r w:rsidRPr="0067437A">
        <w:rPr>
          <w:rStyle w:val="CommentReference"/>
          <w:rFonts w:asciiTheme="minorHAnsi" w:hAnsiTheme="minorHAnsi" w:cstheme="minorHAnsi"/>
          <w:b w:val="0"/>
          <w:sz w:val="24"/>
          <w:szCs w:val="24"/>
        </w:rPr>
        <w:t xml:space="preserve"> (6% and 17% of patients were excluded at 6 and 12-month time points, respectively)</w:t>
      </w:r>
      <w:r w:rsidR="001A09E6" w:rsidRPr="0067437A">
        <w:rPr>
          <w:rStyle w:val="CommentReference"/>
          <w:rFonts w:asciiTheme="minorHAnsi" w:hAnsiTheme="minorHAnsi" w:cstheme="minorHAnsi"/>
          <w:b w:val="0"/>
          <w:sz w:val="24"/>
          <w:szCs w:val="24"/>
        </w:rPr>
        <w:t xml:space="preserve">. </w:t>
      </w:r>
      <w:r w:rsidR="00734740" w:rsidRPr="0067437A">
        <w:rPr>
          <w:rStyle w:val="CommentReference"/>
          <w:rFonts w:asciiTheme="minorHAnsi" w:hAnsiTheme="minorHAnsi" w:cstheme="minorHAnsi"/>
          <w:b w:val="0"/>
          <w:sz w:val="24"/>
          <w:szCs w:val="24"/>
        </w:rPr>
        <w:t>Secondly</w:t>
      </w:r>
      <w:r w:rsidR="001A09E6" w:rsidRPr="0067437A">
        <w:rPr>
          <w:rStyle w:val="CommentReference"/>
          <w:rFonts w:asciiTheme="minorHAnsi" w:hAnsiTheme="minorHAnsi" w:cstheme="minorHAnsi"/>
          <w:b w:val="0"/>
          <w:sz w:val="24"/>
          <w:szCs w:val="24"/>
        </w:rPr>
        <w:t>, more pronounced differences in baseline differences were apparent between patients with prior morbidity events compared to those without</w:t>
      </w:r>
      <w:r w:rsidR="005974D8" w:rsidRPr="0067437A">
        <w:rPr>
          <w:rStyle w:val="CommentReference"/>
          <w:rFonts w:asciiTheme="minorHAnsi" w:hAnsiTheme="minorHAnsi" w:cstheme="minorHAnsi"/>
          <w:b w:val="0"/>
          <w:sz w:val="24"/>
          <w:szCs w:val="24"/>
        </w:rPr>
        <w:t xml:space="preserve"> at the</w:t>
      </w:r>
      <w:r w:rsidR="001A09E6" w:rsidRPr="0067437A">
        <w:rPr>
          <w:rStyle w:val="CommentReference"/>
          <w:rFonts w:asciiTheme="minorHAnsi" w:hAnsiTheme="minorHAnsi" w:cstheme="minorHAnsi"/>
          <w:b w:val="0"/>
          <w:sz w:val="24"/>
          <w:szCs w:val="24"/>
        </w:rPr>
        <w:t xml:space="preserve"> 3-month compared to the 12-month landmark time point. The study authors considered that this may have resulted in the smaller hazard ratios for later landmark time points.</w:t>
      </w:r>
    </w:p>
    <w:p w:rsidR="001A09E6" w:rsidRPr="0067437A" w:rsidRDefault="001A69E3" w:rsidP="00676BEE">
      <w:pPr>
        <w:pStyle w:val="3-BodyText"/>
        <w:ind w:left="709"/>
        <w:rPr>
          <w:rStyle w:val="CommentReference"/>
          <w:rFonts w:asciiTheme="minorHAnsi" w:hAnsiTheme="minorHAnsi" w:cstheme="minorHAnsi"/>
          <w:sz w:val="24"/>
          <w:szCs w:val="24"/>
        </w:rPr>
      </w:pPr>
      <w:r w:rsidRPr="0067437A">
        <w:rPr>
          <w:rStyle w:val="CommentReference"/>
          <w:rFonts w:asciiTheme="minorHAnsi" w:hAnsiTheme="minorHAnsi" w:cstheme="minorHAnsi"/>
          <w:b w:val="0"/>
          <w:sz w:val="24"/>
          <w:szCs w:val="24"/>
        </w:rPr>
        <w:t>S</w:t>
      </w:r>
      <w:r w:rsidR="001A09E6" w:rsidRPr="0067437A">
        <w:rPr>
          <w:rStyle w:val="CommentReference"/>
          <w:rFonts w:asciiTheme="minorHAnsi" w:hAnsiTheme="minorHAnsi" w:cstheme="minorHAnsi"/>
          <w:b w:val="0"/>
          <w:sz w:val="24"/>
          <w:szCs w:val="24"/>
        </w:rPr>
        <w:t xml:space="preserve">ensitivity </w:t>
      </w:r>
      <w:r w:rsidR="001A09E6" w:rsidRPr="0067437A">
        <w:t>analyses</w:t>
      </w:r>
      <w:r w:rsidR="001A09E6" w:rsidRPr="0067437A">
        <w:rPr>
          <w:rStyle w:val="CommentReference"/>
          <w:rFonts w:asciiTheme="minorHAnsi" w:hAnsiTheme="minorHAnsi" w:cstheme="minorHAnsi"/>
          <w:b w:val="0"/>
          <w:sz w:val="24"/>
          <w:szCs w:val="24"/>
        </w:rPr>
        <w:t xml:space="preserve"> were undertaken by McLaughlin et al (2018) which adjusted for baseline differences in WHO FC and 6</w:t>
      </w:r>
      <w:r w:rsidRPr="0067437A">
        <w:rPr>
          <w:rStyle w:val="CommentReference"/>
          <w:rFonts w:asciiTheme="minorHAnsi" w:hAnsiTheme="minorHAnsi" w:cstheme="minorHAnsi"/>
          <w:b w:val="0"/>
          <w:sz w:val="24"/>
          <w:szCs w:val="24"/>
        </w:rPr>
        <w:t>MWD</w:t>
      </w:r>
      <w:r w:rsidR="001A09E6" w:rsidRPr="0067437A">
        <w:rPr>
          <w:rStyle w:val="CommentReference"/>
          <w:rFonts w:asciiTheme="minorHAnsi" w:hAnsiTheme="minorHAnsi" w:cstheme="minorHAnsi"/>
          <w:b w:val="0"/>
          <w:sz w:val="24"/>
          <w:szCs w:val="24"/>
        </w:rPr>
        <w:t xml:space="preserve"> (the characteristics that differed most between groups) for all associations between morbidity and mortality endpoints</w:t>
      </w:r>
      <w:r w:rsidRPr="0067437A">
        <w:rPr>
          <w:rStyle w:val="CommentReference"/>
          <w:rFonts w:asciiTheme="minorHAnsi" w:hAnsiTheme="minorHAnsi" w:cstheme="minorHAnsi"/>
          <w:b w:val="0"/>
          <w:sz w:val="24"/>
          <w:szCs w:val="24"/>
        </w:rPr>
        <w:t>. T</w:t>
      </w:r>
      <w:r w:rsidR="001A09E6" w:rsidRPr="0067437A">
        <w:rPr>
          <w:rStyle w:val="CommentReference"/>
          <w:rFonts w:asciiTheme="minorHAnsi" w:hAnsiTheme="minorHAnsi" w:cstheme="minorHAnsi"/>
          <w:b w:val="0"/>
          <w:sz w:val="24"/>
          <w:szCs w:val="24"/>
        </w:rPr>
        <w:t xml:space="preserve">he results were consistent with </w:t>
      </w:r>
      <w:r w:rsidRPr="0067437A">
        <w:rPr>
          <w:rStyle w:val="CommentReference"/>
          <w:rFonts w:asciiTheme="minorHAnsi" w:hAnsiTheme="minorHAnsi" w:cstheme="minorHAnsi"/>
          <w:b w:val="0"/>
          <w:sz w:val="24"/>
          <w:szCs w:val="24"/>
        </w:rPr>
        <w:t xml:space="preserve">the </w:t>
      </w:r>
      <w:r w:rsidR="001A09E6" w:rsidRPr="0067437A">
        <w:rPr>
          <w:rStyle w:val="CommentReference"/>
          <w:rFonts w:asciiTheme="minorHAnsi" w:hAnsiTheme="minorHAnsi" w:cstheme="minorHAnsi"/>
          <w:b w:val="0"/>
          <w:sz w:val="24"/>
          <w:szCs w:val="24"/>
        </w:rPr>
        <w:t>primary analyses</w:t>
      </w:r>
      <w:r w:rsidR="005974D8" w:rsidRPr="0067437A">
        <w:rPr>
          <w:rStyle w:val="CommentReference"/>
          <w:rFonts w:asciiTheme="minorHAnsi" w:hAnsiTheme="minorHAnsi" w:cstheme="minorHAnsi"/>
          <w:b w:val="0"/>
          <w:sz w:val="24"/>
          <w:szCs w:val="24"/>
        </w:rPr>
        <w:t>, albeit of smaller magnitude</w:t>
      </w:r>
      <w:r w:rsidR="00676BEE" w:rsidRPr="0067437A">
        <w:rPr>
          <w:rStyle w:val="CommentReference"/>
          <w:rFonts w:asciiTheme="minorHAnsi" w:hAnsiTheme="minorHAnsi" w:cstheme="minorHAnsi"/>
          <w:b w:val="0"/>
          <w:sz w:val="24"/>
          <w:szCs w:val="24"/>
        </w:rPr>
        <w:t>s</w:t>
      </w:r>
      <w:r w:rsidR="00504C5C" w:rsidRPr="0067437A">
        <w:rPr>
          <w:rStyle w:val="CommentReference"/>
          <w:rFonts w:asciiTheme="minorHAnsi" w:hAnsiTheme="minorHAnsi" w:cstheme="minorHAnsi"/>
          <w:b w:val="0"/>
          <w:sz w:val="24"/>
          <w:szCs w:val="24"/>
        </w:rPr>
        <w:t>.</w:t>
      </w:r>
    </w:p>
    <w:p w:rsidR="00AE0BF1" w:rsidRPr="0067437A" w:rsidRDefault="00AE0BF1" w:rsidP="002B75D1">
      <w:pPr>
        <w:pStyle w:val="Heading5"/>
        <w:keepNext/>
        <w:rPr>
          <w:i/>
          <w:sz w:val="24"/>
          <w:szCs w:val="24"/>
        </w:rPr>
      </w:pPr>
      <w:r w:rsidRPr="0067437A">
        <w:rPr>
          <w:i/>
          <w:sz w:val="24"/>
          <w:szCs w:val="24"/>
        </w:rPr>
        <w:lastRenderedPageBreak/>
        <w:t>Long-term efficacy data from Coghlan et al 2018b</w:t>
      </w:r>
    </w:p>
    <w:p w:rsidR="0098421F" w:rsidRPr="0067437A" w:rsidRDefault="00AE0BF1" w:rsidP="002B75D1">
      <w:pPr>
        <w:pStyle w:val="3-BodyText"/>
        <w:keepNext/>
        <w:ind w:left="709"/>
      </w:pPr>
      <w:r w:rsidRPr="0067437A">
        <w:t xml:space="preserve">Long-term survival and safety </w:t>
      </w:r>
      <w:r w:rsidR="001A69E3" w:rsidRPr="0067437A">
        <w:t xml:space="preserve">data </w:t>
      </w:r>
      <w:r w:rsidRPr="0067437A">
        <w:t xml:space="preserve">from the GRIPHON trial and its </w:t>
      </w:r>
      <w:r w:rsidR="00C0531E">
        <w:rPr>
          <w:rStyle w:val="CommentReference"/>
          <w:rFonts w:asciiTheme="minorHAnsi" w:hAnsiTheme="minorHAnsi" w:cstheme="minorHAnsi"/>
          <w:b w:val="0"/>
          <w:sz w:val="24"/>
          <w:szCs w:val="24"/>
        </w:rPr>
        <w:t>extension study</w:t>
      </w:r>
      <w:r w:rsidRPr="0067437A">
        <w:t xml:space="preserve"> have been published since the </w:t>
      </w:r>
      <w:r w:rsidR="001A69E3" w:rsidRPr="0067437A">
        <w:t>March 2017 re</w:t>
      </w:r>
      <w:r w:rsidRPr="0067437A">
        <w:t>submission (Coghlan et al 2018b, Galiè et al 2018)</w:t>
      </w:r>
      <w:r w:rsidR="0067437A">
        <w:t xml:space="preserve">. </w:t>
      </w:r>
      <w:r w:rsidRPr="0067437A">
        <w:t xml:space="preserve">All patients </w:t>
      </w:r>
      <w:r w:rsidR="00944B59" w:rsidRPr="0067437A">
        <w:t>who</w:t>
      </w:r>
      <w:r w:rsidRPr="0067437A">
        <w:t xml:space="preserve"> received selexipag in the GRIPHON trial and/or the OLE were included.</w:t>
      </w:r>
    </w:p>
    <w:p w:rsidR="00AE0BF1" w:rsidRPr="0067437A" w:rsidRDefault="00AE0BF1" w:rsidP="00676BEE">
      <w:pPr>
        <w:pStyle w:val="3-BodyText"/>
        <w:ind w:left="709"/>
      </w:pPr>
      <w:r w:rsidRPr="0067437A">
        <w:t>Patients were followed for adverse events and survival from selexipag initiation until the end of treatment (up to 30 days after selexipag discontinuation for survival), or until the cut-off date (20 December 2017)</w:t>
      </w:r>
      <w:r w:rsidR="0067437A">
        <w:t xml:space="preserve">. </w:t>
      </w:r>
      <w:r w:rsidRPr="0067437A">
        <w:t xml:space="preserve">At the cut-off date, 953 patients had received selexipag during the double blind </w:t>
      </w:r>
      <w:r w:rsidR="00734740" w:rsidRPr="0067437A">
        <w:t>tr</w:t>
      </w:r>
      <w:r w:rsidRPr="0067437A">
        <w:t>ial and/or the OLE</w:t>
      </w:r>
      <w:r w:rsidR="0067437A">
        <w:t xml:space="preserve">. </w:t>
      </w:r>
      <w:r w:rsidRPr="0067437A">
        <w:t>Of the 574 patients randomised to selexipag, 330 entered the OLE and continued to receive selexipag (of these, 67 had experienced a morbidity event). A further 379 patients switched from placebo to selexipag in the OLE (160 of whom had experienced a morbidity event).</w:t>
      </w:r>
    </w:p>
    <w:p w:rsidR="00AE0BF1" w:rsidRPr="0067437A" w:rsidRDefault="00AE0BF1" w:rsidP="00676BEE">
      <w:pPr>
        <w:pStyle w:val="3-BodyText"/>
        <w:ind w:left="709"/>
      </w:pPr>
      <w:r w:rsidRPr="0067437A">
        <w:t>The median (Q1, Q3) exposure to selexipag was 135.57 weeks (48.57, 228.14) (equivalent to 2561 patient-years)</w:t>
      </w:r>
      <w:r w:rsidR="001A69E3" w:rsidRPr="0067437A">
        <w:t xml:space="preserve">, and 180 patients received selexipag for at least </w:t>
      </w:r>
      <w:r w:rsidR="00C0531E">
        <w:t>five</w:t>
      </w:r>
      <w:r w:rsidR="001A69E3" w:rsidRPr="0067437A">
        <w:t xml:space="preserve"> years</w:t>
      </w:r>
      <w:r w:rsidRPr="0067437A">
        <w:t xml:space="preserve">. </w:t>
      </w:r>
      <w:r w:rsidR="001A69E3" w:rsidRPr="0067437A">
        <w:rPr>
          <w:rStyle w:val="CommentReference"/>
          <w:rFonts w:asciiTheme="minorHAnsi" w:hAnsiTheme="minorHAnsi" w:cstheme="minorHAnsi"/>
          <w:b w:val="0"/>
          <w:sz w:val="24"/>
          <w:szCs w:val="24"/>
        </w:rPr>
        <w:t>S</w:t>
      </w:r>
      <w:r w:rsidRPr="0067437A">
        <w:t>urvival estimates at 1, 2, 3 and 5 years were 92.1%, 86.4%, 80.8% a</w:t>
      </w:r>
      <w:r w:rsidR="0098421F" w:rsidRPr="0067437A">
        <w:t>nd 72.9%, respectively</w:t>
      </w:r>
      <w:r w:rsidRPr="0067437A">
        <w:t>.</w:t>
      </w:r>
    </w:p>
    <w:p w:rsidR="00B60939" w:rsidRPr="0067437A" w:rsidRDefault="00B60939" w:rsidP="00D86231">
      <w:pPr>
        <w:pStyle w:val="4-SubsectionHeading"/>
      </w:pPr>
      <w:bookmarkStart w:id="17" w:name="_Toc22897642"/>
      <w:bookmarkStart w:id="18" w:name="_Toc40866419"/>
      <w:r w:rsidRPr="0067437A">
        <w:t>Comparative harms</w:t>
      </w:r>
      <w:bookmarkEnd w:id="17"/>
      <w:bookmarkEnd w:id="18"/>
    </w:p>
    <w:p w:rsidR="00123AD1" w:rsidRPr="0067437A" w:rsidRDefault="00123AD1" w:rsidP="00E70C85">
      <w:pPr>
        <w:pStyle w:val="3-BodyText"/>
        <w:ind w:left="709"/>
        <w:rPr>
          <w:i/>
        </w:rPr>
      </w:pPr>
      <w:r w:rsidRPr="0067437A">
        <w:t>Consistent with previous submissions, the resubmission described selexipag as inferior in comparative safety compared to placebo. The PBAC have previously considered selexipag to be inferior to placebo in terms of comparative safety (</w:t>
      </w:r>
      <w:r w:rsidRPr="0067437A">
        <w:rPr>
          <w:iCs/>
        </w:rPr>
        <w:t>para</w:t>
      </w:r>
      <w:r w:rsidR="00E24146">
        <w:rPr>
          <w:iCs/>
        </w:rPr>
        <w:t>graph</w:t>
      </w:r>
      <w:r w:rsidRPr="0067437A">
        <w:rPr>
          <w:iCs/>
        </w:rPr>
        <w:t xml:space="preserve"> 7.4, selexipag PSD, March 2017</w:t>
      </w:r>
      <w:r w:rsidRPr="0067437A">
        <w:t>).</w:t>
      </w:r>
      <w:r w:rsidRPr="0067437A">
        <w:rPr>
          <w:i/>
        </w:rPr>
        <w:t xml:space="preserve"> </w:t>
      </w:r>
    </w:p>
    <w:p w:rsidR="00AE0BF1" w:rsidRPr="0067437A" w:rsidRDefault="00AE0BF1" w:rsidP="00E70C85">
      <w:pPr>
        <w:pStyle w:val="3-BodyText"/>
        <w:ind w:left="709"/>
      </w:pPr>
      <w:r w:rsidRPr="0067437A">
        <w:rPr>
          <w:rFonts w:cstheme="minorHAnsi"/>
        </w:rPr>
        <w:t xml:space="preserve">Overall, the majority of patients experienced an </w:t>
      </w:r>
      <w:r w:rsidR="00AB0737" w:rsidRPr="0067437A">
        <w:rPr>
          <w:rFonts w:cstheme="minorHAnsi"/>
        </w:rPr>
        <w:t xml:space="preserve">adverse event </w:t>
      </w:r>
      <w:r w:rsidRPr="0067437A">
        <w:rPr>
          <w:rFonts w:cstheme="minorHAnsi"/>
        </w:rPr>
        <w:t>(98.3% selexipag, 96.9% placebo).</w:t>
      </w:r>
      <w:r w:rsidR="00181DF6" w:rsidRPr="0067437A">
        <w:rPr>
          <w:rFonts w:cstheme="minorHAnsi"/>
        </w:rPr>
        <w:t xml:space="preserve"> </w:t>
      </w:r>
      <w:r w:rsidRPr="0067437A">
        <w:t>The</w:t>
      </w:r>
      <w:r w:rsidRPr="0067437A">
        <w:rPr>
          <w:rFonts w:cstheme="minorHAnsi"/>
        </w:rPr>
        <w:t xml:space="preserve"> most frequently reported </w:t>
      </w:r>
      <w:r w:rsidR="00C0531E">
        <w:rPr>
          <w:rFonts w:cstheme="minorHAnsi"/>
        </w:rPr>
        <w:t>adverse events</w:t>
      </w:r>
      <w:r w:rsidRPr="0067437A">
        <w:rPr>
          <w:rFonts w:cstheme="minorHAnsi"/>
        </w:rPr>
        <w:t xml:space="preserve"> were prostacyclin associated events which occurred more frequently in the selexipag group compared to placebo.</w:t>
      </w:r>
      <w:r w:rsidR="00181DF6" w:rsidRPr="0067437A">
        <w:rPr>
          <w:rFonts w:cstheme="minorHAnsi"/>
        </w:rPr>
        <w:t xml:space="preserve"> </w:t>
      </w:r>
      <w:r w:rsidRPr="0067437A">
        <w:rPr>
          <w:rFonts w:cstheme="minorHAnsi"/>
        </w:rPr>
        <w:t>Patients receiving placebo were significantly more likely to experience worsening of PAH during the treatment period (RR</w:t>
      </w:r>
      <w:r w:rsidR="00C0531E">
        <w:rPr>
          <w:rFonts w:cstheme="minorHAnsi"/>
        </w:rPr>
        <w:t xml:space="preserve"> </w:t>
      </w:r>
      <w:r w:rsidR="005D3033" w:rsidRPr="0067437A">
        <w:rPr>
          <w:rFonts w:cstheme="minorHAnsi"/>
        </w:rPr>
        <w:t>=</w:t>
      </w:r>
      <w:r w:rsidR="00C0531E">
        <w:rPr>
          <w:rFonts w:cstheme="minorHAnsi"/>
        </w:rPr>
        <w:t xml:space="preserve"> </w:t>
      </w:r>
      <w:r w:rsidR="00727EAC" w:rsidRPr="0067437A">
        <w:t>0.66</w:t>
      </w:r>
      <w:r w:rsidR="00727EAC" w:rsidRPr="0067437A">
        <w:rPr>
          <w:rFonts w:cstheme="minorHAnsi"/>
        </w:rPr>
        <w:t xml:space="preserve">, </w:t>
      </w:r>
      <w:r w:rsidRPr="0067437A">
        <w:rPr>
          <w:rFonts w:cstheme="minorHAnsi"/>
        </w:rPr>
        <w:t>95% CI</w:t>
      </w:r>
      <w:r w:rsidR="00727EAC" w:rsidRPr="0067437A">
        <w:t xml:space="preserve">: </w:t>
      </w:r>
      <w:r w:rsidRPr="0067437A">
        <w:t>0.51, 0.84</w:t>
      </w:r>
      <w:r w:rsidR="00123AD1" w:rsidRPr="0067437A">
        <w:t>)</w:t>
      </w:r>
      <w:r w:rsidR="0067437A">
        <w:t xml:space="preserve">. </w:t>
      </w:r>
      <w:r w:rsidRPr="0067437A">
        <w:rPr>
          <w:rFonts w:cstheme="minorHAnsi"/>
        </w:rPr>
        <w:t xml:space="preserve">A similar proportion of patients in trial arms experienced serious </w:t>
      </w:r>
      <w:r w:rsidR="00C0531E">
        <w:rPr>
          <w:rFonts w:cstheme="minorHAnsi"/>
        </w:rPr>
        <w:t>adverse events</w:t>
      </w:r>
      <w:r w:rsidRPr="0067437A">
        <w:rPr>
          <w:rFonts w:cstheme="minorHAnsi"/>
        </w:rPr>
        <w:t xml:space="preserve"> including PAH worsening (</w:t>
      </w:r>
      <w:r w:rsidRPr="0067437A">
        <w:rPr>
          <w:rFonts w:eastAsia="TimesNewRoman" w:cstheme="minorHAnsi"/>
          <w:lang w:eastAsia="en-GB"/>
        </w:rPr>
        <w:t>3.3% selexipag, 2.8% placebo)</w:t>
      </w:r>
      <w:r w:rsidRPr="0067437A">
        <w:rPr>
          <w:rFonts w:cstheme="minorHAnsi"/>
        </w:rPr>
        <w:t xml:space="preserve"> and right ventricular failure (1.2% selexipag, 1.0% placebo) up until end of treatment + 7 days with a subsequent fatal outcome. </w:t>
      </w:r>
      <w:r w:rsidR="00C0531E">
        <w:rPr>
          <w:rFonts w:cstheme="minorHAnsi"/>
        </w:rPr>
        <w:t>Events</w:t>
      </w:r>
      <w:r w:rsidRPr="0067437A">
        <w:rPr>
          <w:rFonts w:cstheme="minorHAnsi"/>
        </w:rPr>
        <w:t xml:space="preserve"> leading to study treatment discontinuation w</w:t>
      </w:r>
      <w:r w:rsidR="00F24B01" w:rsidRPr="0067437A">
        <w:rPr>
          <w:rFonts w:cstheme="minorHAnsi"/>
        </w:rPr>
        <w:t xml:space="preserve">ere reported in </w:t>
      </w:r>
      <w:r w:rsidRPr="0067437A">
        <w:rPr>
          <w:rFonts w:cstheme="minorHAnsi"/>
        </w:rPr>
        <w:t xml:space="preserve">31.7% </w:t>
      </w:r>
      <w:r w:rsidR="00F24B01" w:rsidRPr="0067437A">
        <w:rPr>
          <w:rFonts w:cstheme="minorHAnsi"/>
        </w:rPr>
        <w:t>of selexipag patients</w:t>
      </w:r>
      <w:r w:rsidRPr="0067437A">
        <w:rPr>
          <w:rFonts w:cstheme="minorHAnsi"/>
        </w:rPr>
        <w:t xml:space="preserve"> versus 37.1% for placebo</w:t>
      </w:r>
      <w:r w:rsidR="00F24B01" w:rsidRPr="0067437A">
        <w:rPr>
          <w:rFonts w:cstheme="minorHAnsi"/>
        </w:rPr>
        <w:t xml:space="preserve"> patients</w:t>
      </w:r>
      <w:r w:rsidRPr="0067437A">
        <w:rPr>
          <w:rFonts w:cstheme="minorHAnsi"/>
        </w:rPr>
        <w:t>.</w:t>
      </w:r>
      <w:r w:rsidR="00123AD1" w:rsidRPr="0067437A">
        <w:t xml:space="preserve"> </w:t>
      </w:r>
      <w:r w:rsidR="00C0531E">
        <w:t>Adverse event</w:t>
      </w:r>
      <w:r w:rsidR="00123AD1" w:rsidRPr="0067437A">
        <w:t xml:space="preserve"> rates </w:t>
      </w:r>
      <w:r w:rsidR="00F24B01" w:rsidRPr="0067437A">
        <w:t>were</w:t>
      </w:r>
      <w:r w:rsidR="00123AD1" w:rsidRPr="0067437A">
        <w:t xml:space="preserve"> not adjusted for treatment duration, which introduce</w:t>
      </w:r>
      <w:r w:rsidR="00F24B01" w:rsidRPr="0067437A">
        <w:t>d</w:t>
      </w:r>
      <w:r w:rsidR="00123AD1" w:rsidRPr="0067437A">
        <w:t xml:space="preserve"> a </w:t>
      </w:r>
      <w:r w:rsidR="00944B59" w:rsidRPr="0067437A">
        <w:t>likely</w:t>
      </w:r>
      <w:r w:rsidR="00123AD1" w:rsidRPr="0067437A">
        <w:t xml:space="preserve"> bias in favour of placebo (median treatment duration: 70.7 weeks for selexipag; 63.7 weeks for placebo). </w:t>
      </w:r>
    </w:p>
    <w:p w:rsidR="00AE0BF1" w:rsidRPr="0067437A" w:rsidRDefault="00AE0BF1" w:rsidP="00E70C85">
      <w:pPr>
        <w:pStyle w:val="3-BodyText"/>
        <w:ind w:left="709"/>
      </w:pPr>
      <w:r w:rsidRPr="0067437A">
        <w:t xml:space="preserve">As </w:t>
      </w:r>
      <w:r w:rsidRPr="0067437A">
        <w:rPr>
          <w:rFonts w:cstheme="minorHAnsi"/>
        </w:rPr>
        <w:t>individual</w:t>
      </w:r>
      <w:r w:rsidRPr="0067437A">
        <w:t xml:space="preserve"> maintenance doses of the study drugs were determined by up-titrating patients to the point at which the patient experienced </w:t>
      </w:r>
      <w:r w:rsidR="00C0531E">
        <w:t>adverse events</w:t>
      </w:r>
      <w:r w:rsidRPr="0067437A">
        <w:t xml:space="preserve"> and then back-titrating one dosing level, </w:t>
      </w:r>
      <w:r w:rsidR="00C7470F" w:rsidRPr="0067437A">
        <w:t xml:space="preserve">a greater difference in prostacyclin like </w:t>
      </w:r>
      <w:r w:rsidR="00C0531E">
        <w:t>adverse events</w:t>
      </w:r>
      <w:r w:rsidR="00C7470F" w:rsidRPr="0067437A">
        <w:t xml:space="preserve"> were reported in titration compared to the </w:t>
      </w:r>
      <w:r w:rsidRPr="0067437A">
        <w:t>maintenance phase</w:t>
      </w:r>
      <w:r w:rsidR="00C7470F" w:rsidRPr="0067437A">
        <w:t xml:space="preserve"> of the trial</w:t>
      </w:r>
      <w:r w:rsidR="0067437A">
        <w:t xml:space="preserve">. </w:t>
      </w:r>
    </w:p>
    <w:p w:rsidR="00AE0BF1" w:rsidRPr="0067437A" w:rsidRDefault="00973FC8" w:rsidP="00386D55">
      <w:pPr>
        <w:pStyle w:val="3-BodyText"/>
        <w:ind w:left="709"/>
      </w:pPr>
      <w:r w:rsidRPr="0067437A">
        <w:t>O</w:t>
      </w:r>
      <w:r w:rsidR="00AE0BF1" w:rsidRPr="0067437A">
        <w:t xml:space="preserve">f the 218 patients enrolled in the </w:t>
      </w:r>
      <w:r w:rsidR="00C0531E">
        <w:t>OLE</w:t>
      </w:r>
      <w:r w:rsidR="00AE0BF1" w:rsidRPr="0067437A">
        <w:t xml:space="preserve"> period who received selexipag, 209 (96%) experienced at least one </w:t>
      </w:r>
      <w:r w:rsidR="00C0531E">
        <w:t>adverse event</w:t>
      </w:r>
      <w:r w:rsidR="00AE0BF1" w:rsidRPr="0067437A">
        <w:t xml:space="preserve">. Prostacyclin-associated </w:t>
      </w:r>
      <w:r w:rsidR="00C0531E">
        <w:t>events</w:t>
      </w:r>
      <w:r w:rsidR="00AE0BF1" w:rsidRPr="0067437A">
        <w:t xml:space="preserve"> were most prevalent</w:t>
      </w:r>
      <w:r w:rsidR="0067437A">
        <w:t xml:space="preserve">. </w:t>
      </w:r>
      <w:r w:rsidR="00AE0BF1" w:rsidRPr="0067437A">
        <w:t xml:space="preserve">In the long-term safety and tolerability analysis, the proportion of patients </w:t>
      </w:r>
      <w:r w:rsidR="00AE0BF1" w:rsidRPr="0067437A">
        <w:lastRenderedPageBreak/>
        <w:t xml:space="preserve">with at least one </w:t>
      </w:r>
      <w:r w:rsidR="00C0531E">
        <w:t>adverse event</w:t>
      </w:r>
      <w:r w:rsidR="00AE0BF1" w:rsidRPr="0067437A">
        <w:t xml:space="preserve"> or serious </w:t>
      </w:r>
      <w:r w:rsidR="00C0531E">
        <w:t>adverse event</w:t>
      </w:r>
      <w:r w:rsidR="00AE0BF1" w:rsidRPr="0067437A">
        <w:t xml:space="preserve"> was 99.4% and 56.7%, respectively</w:t>
      </w:r>
      <w:r w:rsidR="0067437A">
        <w:t xml:space="preserve">. </w:t>
      </w:r>
      <w:r w:rsidR="00AE0BF1" w:rsidRPr="0067437A">
        <w:t xml:space="preserve">The most frequently reported </w:t>
      </w:r>
      <w:r w:rsidR="00C0531E">
        <w:t>adverse events</w:t>
      </w:r>
      <w:r w:rsidR="00AE0BF1" w:rsidRPr="0067437A">
        <w:t xml:space="preserve"> (headache 67.4%, disease progression 44.5% and diarrhoea 44.3%), were related to underlying disease and/or known prostacyclin-related effects. After adjusting for exposure, the incidence per patient year for these </w:t>
      </w:r>
      <w:r w:rsidR="00C0531E">
        <w:t>adverse events</w:t>
      </w:r>
      <w:r w:rsidRPr="0067437A">
        <w:t xml:space="preserve"> </w:t>
      </w:r>
      <w:r w:rsidR="00AE0BF1" w:rsidRPr="0067437A">
        <w:t>was 0.42, 0.28 and 0.25, respectively</w:t>
      </w:r>
      <w:r w:rsidR="0067437A">
        <w:t xml:space="preserve">. </w:t>
      </w:r>
      <w:r w:rsidR="000C6D11" w:rsidRPr="0067437A">
        <w:t>Overall,</w:t>
      </w:r>
      <w:r w:rsidR="00AE0BF1" w:rsidRPr="0067437A">
        <w:t xml:space="preserve"> </w:t>
      </w:r>
      <w:r w:rsidR="000C6D11" w:rsidRPr="0067437A">
        <w:t>n</w:t>
      </w:r>
      <w:r w:rsidR="00AE0BF1" w:rsidRPr="0067437A">
        <w:t>o specific or new safety issue</w:t>
      </w:r>
      <w:r w:rsidR="00181DF6" w:rsidRPr="0067437A">
        <w:t>s</w:t>
      </w:r>
      <w:r w:rsidR="00AE0BF1" w:rsidRPr="0067437A">
        <w:t xml:space="preserve"> were identified for selexipag</w:t>
      </w:r>
      <w:r w:rsidR="000C6D11" w:rsidRPr="0067437A">
        <w:t>.</w:t>
      </w:r>
    </w:p>
    <w:p w:rsidR="007F1017" w:rsidRPr="0067437A" w:rsidRDefault="007F1017" w:rsidP="00D86231">
      <w:pPr>
        <w:pStyle w:val="4-SubsectionHeading"/>
      </w:pPr>
      <w:bookmarkStart w:id="19" w:name="_Toc22897643"/>
      <w:bookmarkStart w:id="20" w:name="_Toc40866420"/>
      <w:r w:rsidRPr="0067437A">
        <w:t>Benefits/harms</w:t>
      </w:r>
      <w:bookmarkEnd w:id="19"/>
      <w:bookmarkEnd w:id="20"/>
    </w:p>
    <w:p w:rsidR="00E723BA" w:rsidRPr="0067437A" w:rsidRDefault="00EC00C9" w:rsidP="00373928">
      <w:pPr>
        <w:pStyle w:val="3-BodyText"/>
        <w:ind w:left="720"/>
        <w:rPr>
          <w:rStyle w:val="CommentReference"/>
          <w:i/>
        </w:rPr>
      </w:pPr>
      <w:r w:rsidRPr="0067437A">
        <w:t xml:space="preserve">A summary of the comparative benefits and harms for </w:t>
      </w:r>
      <w:r w:rsidR="000C6D11" w:rsidRPr="0067437A">
        <w:t xml:space="preserve">selexipag </w:t>
      </w:r>
      <w:r w:rsidRPr="0067437A">
        <w:t>versus</w:t>
      </w:r>
      <w:r w:rsidR="008F09D2" w:rsidRPr="0067437A">
        <w:t xml:space="preserve"> placebo</w:t>
      </w:r>
      <w:r w:rsidRPr="0067437A">
        <w:t xml:space="preserve"> </w:t>
      </w:r>
      <w:r w:rsidR="008F09D2" w:rsidRPr="0067437A">
        <w:t>i</w:t>
      </w:r>
      <w:r w:rsidRPr="0067437A">
        <w:t xml:space="preserve">s presented in </w:t>
      </w:r>
      <w:r w:rsidR="00665B7A" w:rsidRPr="0067437A">
        <w:t>T</w:t>
      </w:r>
      <w:r w:rsidRPr="0067437A">
        <w:t xml:space="preserve">able </w:t>
      </w:r>
      <w:r w:rsidR="00665B7A" w:rsidRPr="0067437A">
        <w:t>7</w:t>
      </w:r>
      <w:r w:rsidR="0067437A">
        <w:t xml:space="preserve">. </w:t>
      </w:r>
    </w:p>
    <w:p w:rsidR="00B62715" w:rsidRPr="0067437A" w:rsidRDefault="00B62715" w:rsidP="00D2155B">
      <w:pPr>
        <w:pStyle w:val="TableFigureHeading"/>
        <w:rPr>
          <w:rStyle w:val="CommentReference"/>
          <w:b/>
          <w:szCs w:val="24"/>
        </w:rPr>
      </w:pPr>
      <w:r w:rsidRPr="0067437A">
        <w:rPr>
          <w:rStyle w:val="CommentReference"/>
          <w:b/>
          <w:szCs w:val="24"/>
        </w:rPr>
        <w:t xml:space="preserve">Table </w:t>
      </w:r>
      <w:r w:rsidR="00665B7A" w:rsidRPr="0067437A">
        <w:rPr>
          <w:rStyle w:val="CommentReference"/>
          <w:b/>
          <w:szCs w:val="24"/>
        </w:rPr>
        <w:t>7</w:t>
      </w:r>
      <w:r w:rsidRPr="0067437A">
        <w:rPr>
          <w:rStyle w:val="CommentReference"/>
          <w:b/>
          <w:szCs w:val="24"/>
        </w:rPr>
        <w:t xml:space="preserve">: Summary of comparative benefits and harms for </w:t>
      </w:r>
      <w:r w:rsidR="008F09D2" w:rsidRPr="0067437A">
        <w:rPr>
          <w:rStyle w:val="CommentReference"/>
          <w:b/>
          <w:szCs w:val="24"/>
        </w:rPr>
        <w:t xml:space="preserve">selexipag </w:t>
      </w:r>
      <w:r w:rsidRPr="0067437A">
        <w:rPr>
          <w:rStyle w:val="CommentReference"/>
          <w:b/>
          <w:szCs w:val="24"/>
        </w:rPr>
        <w:t>and comparator</w:t>
      </w:r>
      <w:r w:rsidR="008F09D2" w:rsidRPr="0067437A">
        <w:rPr>
          <w:rStyle w:val="CommentReference"/>
          <w:b/>
          <w:szCs w:val="24"/>
        </w:rPr>
        <w:t xml:space="preserve"> placebo </w:t>
      </w:r>
    </w:p>
    <w:tbl>
      <w:tblPr>
        <w:tblStyle w:val="TableGrid"/>
        <w:tblW w:w="5028" w:type="pct"/>
        <w:tblLayout w:type="fixed"/>
        <w:tblCellMar>
          <w:left w:w="28" w:type="dxa"/>
          <w:right w:w="28" w:type="dxa"/>
        </w:tblCellMar>
        <w:tblLook w:val="04A0" w:firstRow="1" w:lastRow="0" w:firstColumn="1" w:lastColumn="0" w:noHBand="0" w:noVBand="1"/>
        <w:tblCaption w:val="Table 7"/>
      </w:tblPr>
      <w:tblGrid>
        <w:gridCol w:w="2972"/>
        <w:gridCol w:w="1418"/>
        <w:gridCol w:w="1418"/>
        <w:gridCol w:w="1705"/>
        <w:gridCol w:w="1554"/>
      </w:tblGrid>
      <w:tr w:rsidR="00085DB7" w:rsidRPr="0067437A" w:rsidTr="005518B9">
        <w:trPr>
          <w:trHeight w:val="20"/>
          <w:tblHeader/>
        </w:trPr>
        <w:tc>
          <w:tcPr>
            <w:tcW w:w="5000" w:type="pct"/>
            <w:gridSpan w:val="5"/>
            <w:shd w:val="clear" w:color="auto" w:fill="auto"/>
          </w:tcPr>
          <w:p w:rsidR="00085DB7" w:rsidRPr="0067437A" w:rsidRDefault="00085DB7" w:rsidP="00E75E4E">
            <w:pPr>
              <w:pStyle w:val="In-tableHeading"/>
              <w:rPr>
                <w:lang w:val="en-AU"/>
              </w:rPr>
            </w:pPr>
            <w:r w:rsidRPr="0067437A">
              <w:rPr>
                <w:lang w:val="en-AU"/>
              </w:rPr>
              <w:t>Benefits</w:t>
            </w:r>
          </w:p>
        </w:tc>
      </w:tr>
      <w:tr w:rsidR="00085DB7" w:rsidRPr="0067437A" w:rsidTr="00373928">
        <w:trPr>
          <w:trHeight w:val="20"/>
        </w:trPr>
        <w:tc>
          <w:tcPr>
            <w:tcW w:w="5000" w:type="pct"/>
            <w:gridSpan w:val="5"/>
            <w:shd w:val="clear" w:color="auto" w:fill="auto"/>
          </w:tcPr>
          <w:p w:rsidR="00085DB7" w:rsidRPr="0067437A" w:rsidRDefault="00203CF6" w:rsidP="00AB0737">
            <w:pPr>
              <w:pStyle w:val="In-tableHeading"/>
              <w:rPr>
                <w:lang w:val="en-AU"/>
              </w:rPr>
            </w:pPr>
            <w:r w:rsidRPr="0067437A">
              <w:rPr>
                <w:lang w:val="en-AU"/>
              </w:rPr>
              <w:t xml:space="preserve">GRIPHON ITT population: </w:t>
            </w:r>
            <w:r w:rsidR="00085DB7" w:rsidRPr="0067437A">
              <w:rPr>
                <w:lang w:val="en-AU"/>
              </w:rPr>
              <w:t xml:space="preserve">Time to first CEC confirmed </w:t>
            </w:r>
            <w:r w:rsidR="00AB0737" w:rsidRPr="0067437A">
              <w:rPr>
                <w:lang w:val="en-AU"/>
              </w:rPr>
              <w:t>MM</w:t>
            </w:r>
            <w:r w:rsidR="00085DB7" w:rsidRPr="0067437A">
              <w:rPr>
                <w:lang w:val="en-AU"/>
              </w:rPr>
              <w:t xml:space="preserve"> event (up to 7 days after treatment end)</w:t>
            </w:r>
          </w:p>
        </w:tc>
      </w:tr>
      <w:tr w:rsidR="00330DAA" w:rsidRPr="0067437A" w:rsidTr="002435A5">
        <w:trPr>
          <w:trHeight w:val="20"/>
        </w:trPr>
        <w:tc>
          <w:tcPr>
            <w:tcW w:w="1639" w:type="pct"/>
            <w:tcBorders>
              <w:bottom w:val="single" w:sz="4" w:space="0" w:color="auto"/>
            </w:tcBorders>
            <w:shd w:val="clear" w:color="auto" w:fill="auto"/>
          </w:tcPr>
          <w:p w:rsidR="00330DAA" w:rsidRPr="0067437A" w:rsidRDefault="00330DAA" w:rsidP="00D2155B">
            <w:pPr>
              <w:pStyle w:val="In-tableHeading"/>
              <w:rPr>
                <w:lang w:val="en-AU"/>
              </w:rPr>
            </w:pPr>
            <w:r w:rsidRPr="0067437A">
              <w:rPr>
                <w:lang w:val="en-AU"/>
              </w:rPr>
              <w:t>Event</w:t>
            </w:r>
          </w:p>
        </w:tc>
        <w:tc>
          <w:tcPr>
            <w:tcW w:w="782" w:type="pct"/>
            <w:tcBorders>
              <w:bottom w:val="single" w:sz="4" w:space="0" w:color="auto"/>
            </w:tcBorders>
            <w:shd w:val="clear" w:color="auto" w:fill="auto"/>
          </w:tcPr>
          <w:p w:rsidR="008E3FC5" w:rsidRPr="0067437A" w:rsidRDefault="008E3FC5" w:rsidP="00085DB7">
            <w:pPr>
              <w:pStyle w:val="In-tableHeading"/>
              <w:jc w:val="center"/>
              <w:rPr>
                <w:lang w:val="en-AU"/>
              </w:rPr>
            </w:pPr>
            <w:r w:rsidRPr="0067437A">
              <w:rPr>
                <w:lang w:val="en-AU"/>
              </w:rPr>
              <w:t>S</w:t>
            </w:r>
            <w:r w:rsidR="00AE5275" w:rsidRPr="0067437A">
              <w:rPr>
                <w:lang w:val="en-AU"/>
              </w:rPr>
              <w:t>elexipag</w:t>
            </w:r>
          </w:p>
        </w:tc>
        <w:tc>
          <w:tcPr>
            <w:tcW w:w="782" w:type="pct"/>
            <w:tcBorders>
              <w:bottom w:val="single" w:sz="4" w:space="0" w:color="auto"/>
            </w:tcBorders>
            <w:shd w:val="clear" w:color="auto" w:fill="auto"/>
          </w:tcPr>
          <w:p w:rsidR="008E3FC5" w:rsidRPr="0067437A" w:rsidRDefault="008E3FC5" w:rsidP="00085DB7">
            <w:pPr>
              <w:pStyle w:val="In-tableHeading"/>
              <w:jc w:val="center"/>
              <w:rPr>
                <w:lang w:val="en-AU"/>
              </w:rPr>
            </w:pPr>
            <w:r w:rsidRPr="0067437A">
              <w:rPr>
                <w:lang w:val="en-AU"/>
              </w:rPr>
              <w:t>P</w:t>
            </w:r>
            <w:r w:rsidR="00AE5275" w:rsidRPr="0067437A">
              <w:rPr>
                <w:lang w:val="en-AU"/>
              </w:rPr>
              <w:t>lacebo</w:t>
            </w:r>
          </w:p>
        </w:tc>
        <w:tc>
          <w:tcPr>
            <w:tcW w:w="940" w:type="pct"/>
            <w:tcBorders>
              <w:bottom w:val="single" w:sz="4" w:space="0" w:color="auto"/>
            </w:tcBorders>
            <w:shd w:val="clear" w:color="auto" w:fill="auto"/>
          </w:tcPr>
          <w:p w:rsidR="00330DAA" w:rsidRPr="0067437A" w:rsidRDefault="00330DAA" w:rsidP="00D2155B">
            <w:pPr>
              <w:pStyle w:val="In-tableHeading"/>
              <w:jc w:val="center"/>
              <w:rPr>
                <w:rFonts w:asciiTheme="minorHAnsi" w:hAnsiTheme="minorHAnsi"/>
                <w:lang w:val="en-AU"/>
              </w:rPr>
            </w:pPr>
            <w:r w:rsidRPr="0067437A">
              <w:rPr>
                <w:lang w:val="en-AU"/>
              </w:rPr>
              <w:t>Absolute Difference</w:t>
            </w:r>
          </w:p>
        </w:tc>
        <w:tc>
          <w:tcPr>
            <w:tcW w:w="857" w:type="pct"/>
            <w:tcBorders>
              <w:bottom w:val="single" w:sz="4" w:space="0" w:color="auto"/>
            </w:tcBorders>
            <w:shd w:val="clear" w:color="auto" w:fill="auto"/>
          </w:tcPr>
          <w:p w:rsidR="00330DAA" w:rsidRPr="0067437A" w:rsidRDefault="00330DAA" w:rsidP="00D2155B">
            <w:pPr>
              <w:pStyle w:val="In-tableHeading"/>
              <w:jc w:val="center"/>
              <w:rPr>
                <w:lang w:val="en-AU"/>
              </w:rPr>
            </w:pPr>
            <w:r w:rsidRPr="0067437A">
              <w:rPr>
                <w:lang w:val="en-AU"/>
              </w:rPr>
              <w:t>HR (95% CI)</w:t>
            </w:r>
          </w:p>
        </w:tc>
      </w:tr>
      <w:tr w:rsidR="00203CF6" w:rsidRPr="0067437A" w:rsidTr="002435A5">
        <w:trPr>
          <w:trHeight w:val="20"/>
        </w:trPr>
        <w:tc>
          <w:tcPr>
            <w:tcW w:w="1639" w:type="pct"/>
            <w:tcBorders>
              <w:bottom w:val="single" w:sz="4" w:space="0" w:color="auto"/>
              <w:right w:val="single" w:sz="4" w:space="0" w:color="auto"/>
            </w:tcBorders>
            <w:shd w:val="clear" w:color="auto" w:fill="auto"/>
          </w:tcPr>
          <w:p w:rsidR="00203CF6" w:rsidRPr="0067437A" w:rsidRDefault="00203CF6" w:rsidP="00816361">
            <w:pPr>
              <w:pStyle w:val="TableText0"/>
              <w:keepLines/>
              <w:widowControl w:val="0"/>
            </w:pPr>
            <w:r w:rsidRPr="0067437A">
              <w:rPr>
                <w:szCs w:val="20"/>
              </w:rPr>
              <w:t>Primary outcome first CEC-confirmed MM event</w:t>
            </w:r>
            <w:r w:rsidR="0075179E" w:rsidRPr="0067437A">
              <w:rPr>
                <w:szCs w:val="20"/>
              </w:rPr>
              <w:t>,</w:t>
            </w:r>
            <w:r w:rsidRPr="0067437A">
              <w:t xml:space="preserve"> n/N</w:t>
            </w:r>
            <w:r w:rsidR="00F24B01" w:rsidRPr="0067437A">
              <w:t xml:space="preserve"> </w:t>
            </w:r>
            <w:r w:rsidRPr="0067437A">
              <w:t>(%)</w:t>
            </w:r>
          </w:p>
        </w:tc>
        <w:tc>
          <w:tcPr>
            <w:tcW w:w="782" w:type="pct"/>
            <w:tcBorders>
              <w:left w:val="single" w:sz="4" w:space="0" w:color="auto"/>
              <w:bottom w:val="single" w:sz="4" w:space="0" w:color="auto"/>
              <w:right w:val="single" w:sz="4" w:space="0" w:color="auto"/>
            </w:tcBorders>
            <w:shd w:val="clear" w:color="auto" w:fill="auto"/>
            <w:vAlign w:val="center"/>
          </w:tcPr>
          <w:p w:rsidR="00203CF6" w:rsidRPr="0067437A" w:rsidRDefault="00203CF6" w:rsidP="00B309A3">
            <w:pPr>
              <w:pStyle w:val="TableText0"/>
              <w:keepLines/>
              <w:widowControl w:val="0"/>
              <w:jc w:val="center"/>
            </w:pPr>
            <w:r w:rsidRPr="0067437A">
              <w:rPr>
                <w:rFonts w:cs="Times New Roman"/>
                <w:szCs w:val="20"/>
              </w:rPr>
              <w:t>140/574 (24.4%)</w:t>
            </w:r>
          </w:p>
        </w:tc>
        <w:tc>
          <w:tcPr>
            <w:tcW w:w="782" w:type="pct"/>
            <w:tcBorders>
              <w:left w:val="single" w:sz="4" w:space="0" w:color="auto"/>
              <w:bottom w:val="single" w:sz="4" w:space="0" w:color="auto"/>
              <w:right w:val="single" w:sz="4" w:space="0" w:color="auto"/>
            </w:tcBorders>
            <w:shd w:val="clear" w:color="auto" w:fill="auto"/>
            <w:vAlign w:val="center"/>
          </w:tcPr>
          <w:p w:rsidR="00203CF6" w:rsidRPr="0067437A" w:rsidRDefault="00203CF6" w:rsidP="00B309A3">
            <w:pPr>
              <w:pStyle w:val="TableText0"/>
              <w:keepLines/>
              <w:widowControl w:val="0"/>
              <w:jc w:val="center"/>
            </w:pPr>
            <w:r w:rsidRPr="0067437A">
              <w:rPr>
                <w:rFonts w:cs="Times New Roman"/>
                <w:szCs w:val="20"/>
              </w:rPr>
              <w:t>212/582 (36.4%)</w:t>
            </w:r>
          </w:p>
        </w:tc>
        <w:tc>
          <w:tcPr>
            <w:tcW w:w="940" w:type="pct"/>
            <w:tcBorders>
              <w:left w:val="single" w:sz="4" w:space="0" w:color="auto"/>
              <w:bottom w:val="single" w:sz="4" w:space="0" w:color="auto"/>
              <w:right w:val="single" w:sz="4" w:space="0" w:color="auto"/>
            </w:tcBorders>
            <w:shd w:val="clear" w:color="auto" w:fill="auto"/>
          </w:tcPr>
          <w:p w:rsidR="00203CF6" w:rsidRPr="0067437A" w:rsidRDefault="006F375D" w:rsidP="005608E8">
            <w:pPr>
              <w:pStyle w:val="TableText0"/>
              <w:keepLines/>
              <w:widowControl w:val="0"/>
              <w:jc w:val="center"/>
            </w:pPr>
            <w:r w:rsidRPr="0067437A">
              <w:rPr>
                <w:i/>
              </w:rPr>
              <w:t>-</w:t>
            </w:r>
          </w:p>
        </w:tc>
        <w:tc>
          <w:tcPr>
            <w:tcW w:w="857" w:type="pct"/>
            <w:vMerge w:val="restart"/>
            <w:tcBorders>
              <w:left w:val="single" w:sz="4" w:space="0" w:color="auto"/>
            </w:tcBorders>
            <w:shd w:val="clear" w:color="auto" w:fill="auto"/>
            <w:vAlign w:val="center"/>
          </w:tcPr>
          <w:p w:rsidR="00203CF6" w:rsidRPr="0067437A" w:rsidRDefault="00203CF6" w:rsidP="00F24B01">
            <w:pPr>
              <w:pStyle w:val="TableText0"/>
              <w:keepLines/>
              <w:widowControl w:val="0"/>
              <w:jc w:val="center"/>
              <w:rPr>
                <w:szCs w:val="20"/>
              </w:rPr>
            </w:pPr>
            <w:r w:rsidRPr="0067437A">
              <w:rPr>
                <w:szCs w:val="20"/>
              </w:rPr>
              <w:t>0.61 (0.46, 0.81)</w:t>
            </w:r>
          </w:p>
          <w:p w:rsidR="00203CF6" w:rsidRPr="0067437A" w:rsidRDefault="0075179E" w:rsidP="00F24B01">
            <w:pPr>
              <w:pStyle w:val="TableText0"/>
              <w:keepLines/>
              <w:widowControl w:val="0"/>
              <w:jc w:val="center"/>
            </w:pPr>
            <w:r w:rsidRPr="0067437A">
              <w:rPr>
                <w:szCs w:val="20"/>
              </w:rPr>
              <w:t xml:space="preserve">p </w:t>
            </w:r>
            <w:r w:rsidR="00203CF6" w:rsidRPr="0067437A">
              <w:rPr>
                <w:szCs w:val="20"/>
              </w:rPr>
              <w:t>&lt;</w:t>
            </w:r>
            <w:r w:rsidRPr="0067437A">
              <w:rPr>
                <w:szCs w:val="20"/>
              </w:rPr>
              <w:t xml:space="preserve"> </w:t>
            </w:r>
            <w:r w:rsidR="00203CF6" w:rsidRPr="0067437A">
              <w:rPr>
                <w:szCs w:val="20"/>
              </w:rPr>
              <w:t>0.001</w:t>
            </w:r>
          </w:p>
        </w:tc>
      </w:tr>
      <w:tr w:rsidR="00203CF6" w:rsidRPr="0067437A" w:rsidTr="002435A5">
        <w:trPr>
          <w:trHeight w:val="20"/>
        </w:trPr>
        <w:tc>
          <w:tcPr>
            <w:tcW w:w="1639" w:type="pct"/>
            <w:tcBorders>
              <w:bottom w:val="single" w:sz="4" w:space="0" w:color="auto"/>
              <w:right w:val="single" w:sz="4" w:space="0" w:color="auto"/>
            </w:tcBorders>
            <w:shd w:val="clear" w:color="auto" w:fill="auto"/>
          </w:tcPr>
          <w:p w:rsidR="00203CF6" w:rsidRPr="0067437A" w:rsidRDefault="00203CF6" w:rsidP="008E3FC5">
            <w:pPr>
              <w:pStyle w:val="TableText0"/>
              <w:keepLines/>
              <w:widowControl w:val="0"/>
              <w:rPr>
                <w:szCs w:val="20"/>
              </w:rPr>
            </w:pPr>
            <w:r w:rsidRPr="0067437A">
              <w:t>Median follow up</w:t>
            </w:r>
            <w:r w:rsidR="0075179E" w:rsidRPr="0067437A">
              <w:t>,</w:t>
            </w:r>
            <w:r w:rsidRPr="0067437A">
              <w:t xml:space="preserve"> weeks (IQR)</w:t>
            </w:r>
          </w:p>
        </w:tc>
        <w:tc>
          <w:tcPr>
            <w:tcW w:w="782" w:type="pct"/>
            <w:tcBorders>
              <w:left w:val="single" w:sz="4" w:space="0" w:color="auto"/>
              <w:bottom w:val="single" w:sz="4" w:space="0" w:color="auto"/>
              <w:right w:val="single" w:sz="4" w:space="0" w:color="auto"/>
            </w:tcBorders>
            <w:shd w:val="clear" w:color="auto" w:fill="auto"/>
          </w:tcPr>
          <w:p w:rsidR="00203CF6" w:rsidRPr="0067437A" w:rsidRDefault="00203CF6" w:rsidP="008E3FC5">
            <w:pPr>
              <w:pStyle w:val="TableText0"/>
              <w:keepLines/>
              <w:widowControl w:val="0"/>
              <w:jc w:val="center"/>
              <w:rPr>
                <w:rFonts w:cs="Times New Roman"/>
                <w:szCs w:val="20"/>
              </w:rPr>
            </w:pPr>
            <w:r w:rsidRPr="0067437A">
              <w:rPr>
                <w:rFonts w:cs="Times New Roman"/>
                <w:szCs w:val="20"/>
              </w:rPr>
              <w:t>70.7 (32.0, 117.1)</w:t>
            </w:r>
          </w:p>
        </w:tc>
        <w:tc>
          <w:tcPr>
            <w:tcW w:w="782" w:type="pct"/>
            <w:tcBorders>
              <w:left w:val="single" w:sz="4" w:space="0" w:color="auto"/>
              <w:bottom w:val="single" w:sz="4" w:space="0" w:color="auto"/>
              <w:right w:val="single" w:sz="4" w:space="0" w:color="auto"/>
            </w:tcBorders>
            <w:shd w:val="clear" w:color="auto" w:fill="auto"/>
          </w:tcPr>
          <w:p w:rsidR="00203CF6" w:rsidRPr="0067437A" w:rsidRDefault="00203CF6" w:rsidP="008E3FC5">
            <w:pPr>
              <w:pStyle w:val="TableText0"/>
              <w:keepLines/>
              <w:widowControl w:val="0"/>
              <w:jc w:val="center"/>
              <w:rPr>
                <w:rFonts w:cs="Times New Roman"/>
                <w:szCs w:val="20"/>
              </w:rPr>
            </w:pPr>
            <w:r w:rsidRPr="0067437A">
              <w:rPr>
                <w:rFonts w:cs="Times New Roman"/>
                <w:szCs w:val="20"/>
              </w:rPr>
              <w:t>63.7 (28.6, 107.1)</w:t>
            </w:r>
          </w:p>
        </w:tc>
        <w:tc>
          <w:tcPr>
            <w:tcW w:w="940" w:type="pct"/>
            <w:tcBorders>
              <w:left w:val="single" w:sz="4" w:space="0" w:color="auto"/>
              <w:bottom w:val="single" w:sz="4" w:space="0" w:color="auto"/>
              <w:right w:val="single" w:sz="4" w:space="0" w:color="auto"/>
            </w:tcBorders>
            <w:shd w:val="clear" w:color="auto" w:fill="auto"/>
          </w:tcPr>
          <w:p w:rsidR="00203CF6" w:rsidRPr="0067437A" w:rsidRDefault="00203CF6" w:rsidP="008E3FC5">
            <w:pPr>
              <w:pStyle w:val="TableText0"/>
              <w:keepLines/>
              <w:widowControl w:val="0"/>
              <w:tabs>
                <w:tab w:val="left" w:pos="680"/>
                <w:tab w:val="center" w:pos="975"/>
              </w:tabs>
              <w:jc w:val="center"/>
            </w:pPr>
            <w:r w:rsidRPr="0067437A">
              <w:t>-</w:t>
            </w:r>
          </w:p>
        </w:tc>
        <w:tc>
          <w:tcPr>
            <w:tcW w:w="857" w:type="pct"/>
            <w:vMerge/>
            <w:tcBorders>
              <w:left w:val="single" w:sz="4" w:space="0" w:color="auto"/>
            </w:tcBorders>
            <w:shd w:val="clear" w:color="auto" w:fill="auto"/>
          </w:tcPr>
          <w:p w:rsidR="00203CF6" w:rsidRPr="0067437A" w:rsidRDefault="00203CF6" w:rsidP="008E3FC5">
            <w:pPr>
              <w:pStyle w:val="TableText0"/>
              <w:keepLines/>
              <w:widowControl w:val="0"/>
              <w:jc w:val="center"/>
              <w:rPr>
                <w:szCs w:val="20"/>
              </w:rPr>
            </w:pPr>
          </w:p>
        </w:tc>
      </w:tr>
      <w:tr w:rsidR="004267DA" w:rsidRPr="0067437A" w:rsidTr="002435A5">
        <w:trPr>
          <w:trHeight w:val="20"/>
        </w:trPr>
        <w:tc>
          <w:tcPr>
            <w:tcW w:w="1639" w:type="pct"/>
            <w:tcBorders>
              <w:bottom w:val="single" w:sz="4" w:space="0" w:color="auto"/>
              <w:right w:val="single" w:sz="4" w:space="0" w:color="auto"/>
            </w:tcBorders>
            <w:shd w:val="clear" w:color="auto" w:fill="auto"/>
          </w:tcPr>
          <w:p w:rsidR="004267DA" w:rsidRPr="0067437A" w:rsidRDefault="004267DA" w:rsidP="004267DA">
            <w:pPr>
              <w:pStyle w:val="TableText0"/>
              <w:keepLines/>
              <w:widowControl w:val="0"/>
            </w:pPr>
            <w:r w:rsidRPr="0067437A">
              <w:t>% with no event at 6 months (95% CI)</w:t>
            </w:r>
          </w:p>
        </w:tc>
        <w:tc>
          <w:tcPr>
            <w:tcW w:w="782" w:type="pct"/>
            <w:tcBorders>
              <w:left w:val="single" w:sz="4" w:space="0" w:color="auto"/>
              <w:bottom w:val="single" w:sz="4" w:space="0" w:color="auto"/>
              <w:right w:val="single" w:sz="4" w:space="0" w:color="auto"/>
            </w:tcBorders>
            <w:shd w:val="clear" w:color="auto" w:fill="auto"/>
          </w:tcPr>
          <w:p w:rsidR="004267DA" w:rsidRPr="0067437A" w:rsidRDefault="004267DA" w:rsidP="004267DA">
            <w:pPr>
              <w:pStyle w:val="TableText0"/>
              <w:keepLines/>
              <w:widowControl w:val="0"/>
              <w:jc w:val="center"/>
              <w:rPr>
                <w:rFonts w:cs="Times New Roman"/>
                <w:szCs w:val="20"/>
              </w:rPr>
            </w:pPr>
            <w:r w:rsidRPr="0067437A">
              <w:rPr>
                <w:szCs w:val="20"/>
              </w:rPr>
              <w:t>93</w:t>
            </w:r>
            <w:r w:rsidR="002435A5">
              <w:rPr>
                <w:szCs w:val="20"/>
              </w:rPr>
              <w:t>.0</w:t>
            </w:r>
            <w:r w:rsidRPr="0067437A">
              <w:rPr>
                <w:szCs w:val="20"/>
              </w:rPr>
              <w:t>% (90.5, 94.9)</w:t>
            </w:r>
          </w:p>
        </w:tc>
        <w:tc>
          <w:tcPr>
            <w:tcW w:w="782" w:type="pct"/>
            <w:tcBorders>
              <w:left w:val="single" w:sz="4" w:space="0" w:color="auto"/>
              <w:bottom w:val="single" w:sz="4" w:space="0" w:color="auto"/>
              <w:right w:val="single" w:sz="4" w:space="0" w:color="auto"/>
            </w:tcBorders>
            <w:shd w:val="clear" w:color="auto" w:fill="auto"/>
          </w:tcPr>
          <w:p w:rsidR="004267DA" w:rsidRPr="0067437A" w:rsidRDefault="004267DA" w:rsidP="00F24B01">
            <w:pPr>
              <w:pStyle w:val="TableText0"/>
              <w:keepLines/>
              <w:widowControl w:val="0"/>
              <w:jc w:val="center"/>
              <w:rPr>
                <w:rFonts w:cs="Times New Roman"/>
                <w:szCs w:val="20"/>
              </w:rPr>
            </w:pPr>
            <w:r w:rsidRPr="0067437A">
              <w:rPr>
                <w:szCs w:val="20"/>
              </w:rPr>
              <w:t>85.8% (82.5, 88.5)</w:t>
            </w:r>
          </w:p>
        </w:tc>
        <w:tc>
          <w:tcPr>
            <w:tcW w:w="940" w:type="pct"/>
            <w:tcBorders>
              <w:left w:val="single" w:sz="4" w:space="0" w:color="auto"/>
              <w:bottom w:val="single" w:sz="4" w:space="0" w:color="auto"/>
              <w:right w:val="single" w:sz="4" w:space="0" w:color="auto"/>
            </w:tcBorders>
            <w:shd w:val="clear" w:color="auto" w:fill="auto"/>
          </w:tcPr>
          <w:p w:rsidR="004267DA" w:rsidRPr="0067437A" w:rsidRDefault="004267DA" w:rsidP="005D3033">
            <w:pPr>
              <w:pStyle w:val="TableText0"/>
              <w:keepLines/>
              <w:widowControl w:val="0"/>
              <w:jc w:val="center"/>
            </w:pPr>
            <w:r w:rsidRPr="0067437A">
              <w:t>7.</w:t>
            </w:r>
            <w:r w:rsidR="005D3033" w:rsidRPr="0067437A">
              <w:t>2</w:t>
            </w:r>
            <w:r w:rsidRPr="0067437A">
              <w:t>% (NR)</w:t>
            </w:r>
          </w:p>
        </w:tc>
        <w:tc>
          <w:tcPr>
            <w:tcW w:w="857" w:type="pct"/>
            <w:vMerge/>
            <w:tcBorders>
              <w:left w:val="single" w:sz="4" w:space="0" w:color="auto"/>
            </w:tcBorders>
            <w:shd w:val="clear" w:color="auto" w:fill="auto"/>
          </w:tcPr>
          <w:p w:rsidR="004267DA" w:rsidRPr="0067437A" w:rsidRDefault="004267DA" w:rsidP="004267DA">
            <w:pPr>
              <w:pStyle w:val="TableText0"/>
              <w:keepLines/>
              <w:widowControl w:val="0"/>
              <w:jc w:val="center"/>
              <w:rPr>
                <w:szCs w:val="20"/>
              </w:rPr>
            </w:pPr>
          </w:p>
        </w:tc>
      </w:tr>
      <w:tr w:rsidR="009943BF" w:rsidRPr="0067437A" w:rsidTr="00592D35">
        <w:trPr>
          <w:trHeight w:val="20"/>
        </w:trPr>
        <w:tc>
          <w:tcPr>
            <w:tcW w:w="5000" w:type="pct"/>
            <w:gridSpan w:val="5"/>
            <w:shd w:val="clear" w:color="auto" w:fill="auto"/>
          </w:tcPr>
          <w:p w:rsidR="009943BF" w:rsidRPr="0067437A" w:rsidRDefault="007A6BE4" w:rsidP="009943BF">
            <w:pPr>
              <w:pStyle w:val="In-tableHeading"/>
              <w:rPr>
                <w:lang w:val="en-AU"/>
              </w:rPr>
            </w:pPr>
            <w:r>
              <w:rPr>
                <w:lang w:val="en-AU"/>
              </w:rPr>
              <w:t>S</w:t>
            </w:r>
            <w:r w:rsidR="009943BF">
              <w:rPr>
                <w:lang w:val="en-AU"/>
              </w:rPr>
              <w:t>ubgroup analysis of WHO FC III patients receiving background dual therapy of an ERA + a PDE-5i</w:t>
            </w:r>
            <w:r w:rsidR="009943BF" w:rsidRPr="0067437A">
              <w:rPr>
                <w:lang w:val="en-AU"/>
              </w:rPr>
              <w:t>: Time to first CEC confirmed MM event (up to 7 days after treatment end)</w:t>
            </w:r>
          </w:p>
        </w:tc>
      </w:tr>
      <w:tr w:rsidR="009943BF" w:rsidRPr="0067437A" w:rsidTr="002435A5">
        <w:trPr>
          <w:trHeight w:val="20"/>
        </w:trPr>
        <w:tc>
          <w:tcPr>
            <w:tcW w:w="1639" w:type="pct"/>
            <w:tcBorders>
              <w:bottom w:val="single" w:sz="4" w:space="0" w:color="auto"/>
            </w:tcBorders>
            <w:shd w:val="clear" w:color="auto" w:fill="auto"/>
          </w:tcPr>
          <w:p w:rsidR="009943BF" w:rsidRPr="0067437A" w:rsidRDefault="009943BF" w:rsidP="00592D35">
            <w:pPr>
              <w:pStyle w:val="In-tableHeading"/>
              <w:rPr>
                <w:lang w:val="en-AU"/>
              </w:rPr>
            </w:pPr>
            <w:r w:rsidRPr="0067437A">
              <w:rPr>
                <w:lang w:val="en-AU"/>
              </w:rPr>
              <w:t>Event</w:t>
            </w:r>
          </w:p>
        </w:tc>
        <w:tc>
          <w:tcPr>
            <w:tcW w:w="782" w:type="pct"/>
            <w:tcBorders>
              <w:bottom w:val="single" w:sz="4" w:space="0" w:color="auto"/>
            </w:tcBorders>
            <w:shd w:val="clear" w:color="auto" w:fill="auto"/>
          </w:tcPr>
          <w:p w:rsidR="009943BF" w:rsidRPr="0067437A" w:rsidRDefault="009943BF" w:rsidP="00592D35">
            <w:pPr>
              <w:pStyle w:val="In-tableHeading"/>
              <w:jc w:val="center"/>
              <w:rPr>
                <w:lang w:val="en-AU"/>
              </w:rPr>
            </w:pPr>
            <w:r w:rsidRPr="0067437A">
              <w:rPr>
                <w:lang w:val="en-AU"/>
              </w:rPr>
              <w:t>Selexipag</w:t>
            </w:r>
          </w:p>
        </w:tc>
        <w:tc>
          <w:tcPr>
            <w:tcW w:w="782" w:type="pct"/>
            <w:tcBorders>
              <w:bottom w:val="single" w:sz="4" w:space="0" w:color="auto"/>
            </w:tcBorders>
            <w:shd w:val="clear" w:color="auto" w:fill="auto"/>
          </w:tcPr>
          <w:p w:rsidR="009943BF" w:rsidRPr="0067437A" w:rsidRDefault="009943BF" w:rsidP="00592D35">
            <w:pPr>
              <w:pStyle w:val="In-tableHeading"/>
              <w:jc w:val="center"/>
              <w:rPr>
                <w:lang w:val="en-AU"/>
              </w:rPr>
            </w:pPr>
            <w:r w:rsidRPr="0067437A">
              <w:rPr>
                <w:lang w:val="en-AU"/>
              </w:rPr>
              <w:t>Placebo</w:t>
            </w:r>
          </w:p>
        </w:tc>
        <w:tc>
          <w:tcPr>
            <w:tcW w:w="940" w:type="pct"/>
            <w:tcBorders>
              <w:bottom w:val="single" w:sz="4" w:space="0" w:color="auto"/>
            </w:tcBorders>
            <w:shd w:val="clear" w:color="auto" w:fill="auto"/>
          </w:tcPr>
          <w:p w:rsidR="009943BF" w:rsidRPr="0067437A" w:rsidRDefault="009943BF" w:rsidP="00592D35">
            <w:pPr>
              <w:pStyle w:val="In-tableHeading"/>
              <w:jc w:val="center"/>
              <w:rPr>
                <w:rFonts w:asciiTheme="minorHAnsi" w:hAnsiTheme="minorHAnsi"/>
                <w:lang w:val="en-AU"/>
              </w:rPr>
            </w:pPr>
            <w:r w:rsidRPr="0067437A">
              <w:rPr>
                <w:lang w:val="en-AU"/>
              </w:rPr>
              <w:t>Absolute Difference</w:t>
            </w:r>
          </w:p>
        </w:tc>
        <w:tc>
          <w:tcPr>
            <w:tcW w:w="857" w:type="pct"/>
            <w:tcBorders>
              <w:bottom w:val="single" w:sz="4" w:space="0" w:color="auto"/>
            </w:tcBorders>
            <w:shd w:val="clear" w:color="auto" w:fill="auto"/>
          </w:tcPr>
          <w:p w:rsidR="009943BF" w:rsidRPr="0067437A" w:rsidRDefault="009943BF" w:rsidP="00592D35">
            <w:pPr>
              <w:pStyle w:val="In-tableHeading"/>
              <w:jc w:val="center"/>
              <w:rPr>
                <w:lang w:val="en-AU"/>
              </w:rPr>
            </w:pPr>
            <w:r w:rsidRPr="0067437A">
              <w:rPr>
                <w:lang w:val="en-AU"/>
              </w:rPr>
              <w:t>HR (95% CI)</w:t>
            </w:r>
          </w:p>
        </w:tc>
      </w:tr>
      <w:tr w:rsidR="002435A5" w:rsidRPr="0067437A" w:rsidTr="002435A5">
        <w:trPr>
          <w:trHeight w:val="20"/>
        </w:trPr>
        <w:tc>
          <w:tcPr>
            <w:tcW w:w="1639" w:type="pct"/>
            <w:tcBorders>
              <w:bottom w:val="single" w:sz="4" w:space="0" w:color="auto"/>
              <w:right w:val="single" w:sz="4" w:space="0" w:color="auto"/>
            </w:tcBorders>
            <w:shd w:val="clear" w:color="auto" w:fill="auto"/>
          </w:tcPr>
          <w:p w:rsidR="002435A5" w:rsidRPr="0067437A" w:rsidRDefault="002435A5" w:rsidP="00592D35">
            <w:pPr>
              <w:pStyle w:val="TableText0"/>
              <w:keepLines/>
              <w:widowControl w:val="0"/>
            </w:pPr>
            <w:r w:rsidRPr="0067437A">
              <w:rPr>
                <w:szCs w:val="20"/>
              </w:rPr>
              <w:t>Primary outcome first CEC-confirmed MM event,</w:t>
            </w:r>
            <w:r w:rsidRPr="0067437A">
              <w:t xml:space="preserve"> n/N (%)</w:t>
            </w:r>
          </w:p>
        </w:tc>
        <w:tc>
          <w:tcPr>
            <w:tcW w:w="782" w:type="pct"/>
            <w:tcBorders>
              <w:left w:val="single" w:sz="4" w:space="0" w:color="auto"/>
              <w:bottom w:val="single" w:sz="4" w:space="0" w:color="auto"/>
              <w:right w:val="single" w:sz="4" w:space="0" w:color="auto"/>
            </w:tcBorders>
            <w:shd w:val="clear" w:color="auto" w:fill="auto"/>
            <w:vAlign w:val="center"/>
          </w:tcPr>
          <w:p w:rsidR="002435A5" w:rsidRPr="0067437A" w:rsidRDefault="002435A5" w:rsidP="00592D35">
            <w:pPr>
              <w:pStyle w:val="TableText0"/>
              <w:keepLines/>
              <w:widowControl w:val="0"/>
              <w:jc w:val="center"/>
            </w:pPr>
            <w:r>
              <w:rPr>
                <w:rFonts w:cs="Times New Roman"/>
                <w:szCs w:val="20"/>
              </w:rPr>
              <w:t>41/122 (33.6%</w:t>
            </w:r>
            <w:r w:rsidRPr="0067437A">
              <w:rPr>
                <w:rFonts w:cs="Times New Roman"/>
                <w:szCs w:val="20"/>
              </w:rPr>
              <w:t>)</w:t>
            </w:r>
          </w:p>
        </w:tc>
        <w:tc>
          <w:tcPr>
            <w:tcW w:w="782" w:type="pct"/>
            <w:tcBorders>
              <w:left w:val="single" w:sz="4" w:space="0" w:color="auto"/>
              <w:bottom w:val="single" w:sz="4" w:space="0" w:color="auto"/>
              <w:right w:val="single" w:sz="4" w:space="0" w:color="auto"/>
            </w:tcBorders>
            <w:shd w:val="clear" w:color="auto" w:fill="auto"/>
            <w:vAlign w:val="center"/>
          </w:tcPr>
          <w:p w:rsidR="002435A5" w:rsidRPr="0067437A" w:rsidRDefault="002435A5" w:rsidP="009943BF">
            <w:pPr>
              <w:pStyle w:val="TableText0"/>
              <w:keepLines/>
              <w:widowControl w:val="0"/>
              <w:jc w:val="center"/>
            </w:pPr>
            <w:r>
              <w:t>59/133 (44.4%)</w:t>
            </w:r>
          </w:p>
        </w:tc>
        <w:tc>
          <w:tcPr>
            <w:tcW w:w="940" w:type="pct"/>
            <w:tcBorders>
              <w:left w:val="single" w:sz="4" w:space="0" w:color="auto"/>
              <w:bottom w:val="single" w:sz="4" w:space="0" w:color="auto"/>
              <w:right w:val="single" w:sz="4" w:space="0" w:color="auto"/>
            </w:tcBorders>
            <w:shd w:val="clear" w:color="auto" w:fill="auto"/>
          </w:tcPr>
          <w:p w:rsidR="002435A5" w:rsidRPr="0067437A" w:rsidRDefault="002435A5" w:rsidP="00592D35">
            <w:pPr>
              <w:pStyle w:val="TableText0"/>
              <w:keepLines/>
              <w:widowControl w:val="0"/>
              <w:jc w:val="center"/>
            </w:pPr>
            <w:r w:rsidRPr="0067437A">
              <w:rPr>
                <w:i/>
              </w:rPr>
              <w:t>-</w:t>
            </w:r>
          </w:p>
        </w:tc>
        <w:tc>
          <w:tcPr>
            <w:tcW w:w="857" w:type="pct"/>
            <w:vMerge w:val="restart"/>
            <w:tcBorders>
              <w:left w:val="single" w:sz="4" w:space="0" w:color="auto"/>
            </w:tcBorders>
            <w:shd w:val="clear" w:color="auto" w:fill="auto"/>
            <w:vAlign w:val="center"/>
          </w:tcPr>
          <w:p w:rsidR="002435A5" w:rsidRPr="009943BF" w:rsidRDefault="002435A5" w:rsidP="009943BF">
            <w:pPr>
              <w:pStyle w:val="TableText0"/>
              <w:keepLines/>
              <w:widowControl w:val="0"/>
              <w:jc w:val="center"/>
              <w:rPr>
                <w:szCs w:val="20"/>
              </w:rPr>
            </w:pPr>
            <w:r>
              <w:rPr>
                <w:szCs w:val="20"/>
              </w:rPr>
              <w:t>0.74 (0.50, 1.10)</w:t>
            </w:r>
          </w:p>
        </w:tc>
      </w:tr>
      <w:tr w:rsidR="002435A5" w:rsidRPr="0067437A" w:rsidTr="002435A5">
        <w:trPr>
          <w:trHeight w:val="20"/>
        </w:trPr>
        <w:tc>
          <w:tcPr>
            <w:tcW w:w="1639" w:type="pct"/>
            <w:tcBorders>
              <w:bottom w:val="single" w:sz="4" w:space="0" w:color="auto"/>
              <w:right w:val="single" w:sz="4" w:space="0" w:color="auto"/>
            </w:tcBorders>
            <w:shd w:val="clear" w:color="auto" w:fill="auto"/>
          </w:tcPr>
          <w:p w:rsidR="002435A5" w:rsidRDefault="002435A5" w:rsidP="00592D35">
            <w:pPr>
              <w:pStyle w:val="TableText0"/>
              <w:keepLines/>
              <w:widowControl w:val="0"/>
              <w:rPr>
                <w:szCs w:val="20"/>
              </w:rPr>
            </w:pPr>
            <w:r>
              <w:rPr>
                <w:szCs w:val="20"/>
              </w:rPr>
              <w:t>Median follow up, weeks (IQR)</w:t>
            </w:r>
          </w:p>
        </w:tc>
        <w:tc>
          <w:tcPr>
            <w:tcW w:w="782" w:type="pct"/>
            <w:tcBorders>
              <w:left w:val="single" w:sz="4" w:space="0" w:color="auto"/>
              <w:bottom w:val="single" w:sz="4" w:space="0" w:color="auto"/>
              <w:right w:val="single" w:sz="4" w:space="0" w:color="auto"/>
            </w:tcBorders>
            <w:shd w:val="clear" w:color="auto" w:fill="auto"/>
            <w:vAlign w:val="center"/>
          </w:tcPr>
          <w:p w:rsidR="002435A5" w:rsidRDefault="002435A5" w:rsidP="00592D35">
            <w:pPr>
              <w:pStyle w:val="TableText0"/>
              <w:keepLines/>
              <w:widowControl w:val="0"/>
              <w:jc w:val="center"/>
              <w:rPr>
                <w:rFonts w:cs="Times New Roman"/>
                <w:szCs w:val="20"/>
              </w:rPr>
            </w:pPr>
            <w:r>
              <w:rPr>
                <w:rFonts w:cs="Times New Roman"/>
                <w:szCs w:val="20"/>
              </w:rPr>
              <w:t>NR</w:t>
            </w:r>
          </w:p>
        </w:tc>
        <w:tc>
          <w:tcPr>
            <w:tcW w:w="782" w:type="pct"/>
            <w:tcBorders>
              <w:left w:val="single" w:sz="4" w:space="0" w:color="auto"/>
              <w:bottom w:val="single" w:sz="4" w:space="0" w:color="auto"/>
              <w:right w:val="single" w:sz="4" w:space="0" w:color="auto"/>
            </w:tcBorders>
            <w:shd w:val="clear" w:color="auto" w:fill="auto"/>
            <w:vAlign w:val="center"/>
          </w:tcPr>
          <w:p w:rsidR="002435A5" w:rsidRDefault="002435A5" w:rsidP="009943BF">
            <w:pPr>
              <w:pStyle w:val="TableText0"/>
              <w:keepLines/>
              <w:widowControl w:val="0"/>
              <w:jc w:val="center"/>
            </w:pPr>
            <w:r>
              <w:t>NR</w:t>
            </w:r>
          </w:p>
        </w:tc>
        <w:tc>
          <w:tcPr>
            <w:tcW w:w="940" w:type="pct"/>
            <w:tcBorders>
              <w:left w:val="single" w:sz="4" w:space="0" w:color="auto"/>
              <w:bottom w:val="single" w:sz="4" w:space="0" w:color="auto"/>
              <w:right w:val="single" w:sz="4" w:space="0" w:color="auto"/>
            </w:tcBorders>
            <w:shd w:val="clear" w:color="auto" w:fill="auto"/>
          </w:tcPr>
          <w:p w:rsidR="002435A5" w:rsidRPr="0067437A" w:rsidRDefault="002435A5" w:rsidP="00592D35">
            <w:pPr>
              <w:pStyle w:val="TableText0"/>
              <w:keepLines/>
              <w:widowControl w:val="0"/>
              <w:jc w:val="center"/>
              <w:rPr>
                <w:i/>
              </w:rPr>
            </w:pPr>
            <w:r>
              <w:rPr>
                <w:i/>
              </w:rPr>
              <w:t>-</w:t>
            </w:r>
          </w:p>
        </w:tc>
        <w:tc>
          <w:tcPr>
            <w:tcW w:w="857" w:type="pct"/>
            <w:vMerge/>
            <w:tcBorders>
              <w:left w:val="single" w:sz="4" w:space="0" w:color="auto"/>
            </w:tcBorders>
            <w:shd w:val="clear" w:color="auto" w:fill="auto"/>
            <w:vAlign w:val="center"/>
          </w:tcPr>
          <w:p w:rsidR="002435A5" w:rsidRDefault="002435A5" w:rsidP="009943BF">
            <w:pPr>
              <w:pStyle w:val="TableText0"/>
              <w:keepLines/>
              <w:widowControl w:val="0"/>
              <w:jc w:val="center"/>
              <w:rPr>
                <w:szCs w:val="20"/>
              </w:rPr>
            </w:pPr>
          </w:p>
        </w:tc>
      </w:tr>
      <w:tr w:rsidR="002435A5" w:rsidRPr="0067437A" w:rsidTr="002435A5">
        <w:trPr>
          <w:trHeight w:val="20"/>
        </w:trPr>
        <w:tc>
          <w:tcPr>
            <w:tcW w:w="1639" w:type="pct"/>
            <w:tcBorders>
              <w:bottom w:val="single" w:sz="4" w:space="0" w:color="auto"/>
              <w:right w:val="single" w:sz="4" w:space="0" w:color="auto"/>
            </w:tcBorders>
            <w:shd w:val="clear" w:color="auto" w:fill="auto"/>
          </w:tcPr>
          <w:p w:rsidR="002435A5" w:rsidRPr="0067437A" w:rsidRDefault="002435A5" w:rsidP="00592D35">
            <w:pPr>
              <w:pStyle w:val="TableText0"/>
              <w:keepLines/>
              <w:widowControl w:val="0"/>
              <w:rPr>
                <w:szCs w:val="20"/>
              </w:rPr>
            </w:pPr>
            <w:r>
              <w:rPr>
                <w:szCs w:val="20"/>
              </w:rPr>
              <w:t>% with no event at 12 months (95% CI)</w:t>
            </w:r>
          </w:p>
        </w:tc>
        <w:tc>
          <w:tcPr>
            <w:tcW w:w="782" w:type="pct"/>
            <w:tcBorders>
              <w:left w:val="single" w:sz="4" w:space="0" w:color="auto"/>
              <w:bottom w:val="single" w:sz="4" w:space="0" w:color="auto"/>
              <w:right w:val="single" w:sz="4" w:space="0" w:color="auto"/>
            </w:tcBorders>
            <w:shd w:val="clear" w:color="auto" w:fill="auto"/>
            <w:vAlign w:val="center"/>
          </w:tcPr>
          <w:p w:rsidR="002435A5" w:rsidRDefault="002435A5" w:rsidP="00592D35">
            <w:pPr>
              <w:pStyle w:val="TableText0"/>
              <w:keepLines/>
              <w:widowControl w:val="0"/>
              <w:jc w:val="center"/>
              <w:rPr>
                <w:rFonts w:cs="Times New Roman"/>
                <w:szCs w:val="20"/>
              </w:rPr>
            </w:pPr>
            <w:r>
              <w:rPr>
                <w:rFonts w:cs="Times New Roman"/>
                <w:szCs w:val="20"/>
              </w:rPr>
              <w:t>79.5% (70.2, 86.1)</w:t>
            </w:r>
          </w:p>
        </w:tc>
        <w:tc>
          <w:tcPr>
            <w:tcW w:w="782" w:type="pct"/>
            <w:tcBorders>
              <w:left w:val="single" w:sz="4" w:space="0" w:color="auto"/>
              <w:bottom w:val="single" w:sz="4" w:space="0" w:color="auto"/>
              <w:right w:val="single" w:sz="4" w:space="0" w:color="auto"/>
            </w:tcBorders>
            <w:shd w:val="clear" w:color="auto" w:fill="auto"/>
            <w:vAlign w:val="center"/>
          </w:tcPr>
          <w:p w:rsidR="002435A5" w:rsidRDefault="002435A5" w:rsidP="009943BF">
            <w:pPr>
              <w:pStyle w:val="TableText0"/>
              <w:keepLines/>
              <w:widowControl w:val="0"/>
              <w:jc w:val="center"/>
            </w:pPr>
            <w:r>
              <w:t>70.1% (61.1, 77.4)</w:t>
            </w:r>
          </w:p>
        </w:tc>
        <w:tc>
          <w:tcPr>
            <w:tcW w:w="940" w:type="pct"/>
            <w:tcBorders>
              <w:left w:val="single" w:sz="4" w:space="0" w:color="auto"/>
              <w:bottom w:val="single" w:sz="4" w:space="0" w:color="auto"/>
              <w:right w:val="single" w:sz="4" w:space="0" w:color="auto"/>
            </w:tcBorders>
            <w:shd w:val="clear" w:color="auto" w:fill="auto"/>
          </w:tcPr>
          <w:p w:rsidR="002435A5" w:rsidRPr="002435A5" w:rsidRDefault="002435A5" w:rsidP="00592D35">
            <w:pPr>
              <w:pStyle w:val="TableText0"/>
              <w:keepLines/>
              <w:widowControl w:val="0"/>
              <w:jc w:val="center"/>
            </w:pPr>
            <w:r w:rsidRPr="002435A5">
              <w:t>9.4% (NR)</w:t>
            </w:r>
          </w:p>
        </w:tc>
        <w:tc>
          <w:tcPr>
            <w:tcW w:w="857" w:type="pct"/>
            <w:vMerge/>
            <w:tcBorders>
              <w:left w:val="single" w:sz="4" w:space="0" w:color="auto"/>
            </w:tcBorders>
            <w:shd w:val="clear" w:color="auto" w:fill="auto"/>
            <w:vAlign w:val="center"/>
          </w:tcPr>
          <w:p w:rsidR="002435A5" w:rsidRDefault="002435A5" w:rsidP="009943BF">
            <w:pPr>
              <w:pStyle w:val="TableText0"/>
              <w:keepLines/>
              <w:widowControl w:val="0"/>
              <w:jc w:val="center"/>
              <w:rPr>
                <w:szCs w:val="20"/>
              </w:rPr>
            </w:pPr>
          </w:p>
        </w:tc>
      </w:tr>
    </w:tbl>
    <w:tbl>
      <w:tblPr>
        <w:tblW w:w="5028" w:type="pct"/>
        <w:tblLayout w:type="fixed"/>
        <w:tblCellMar>
          <w:left w:w="28" w:type="dxa"/>
          <w:right w:w="28" w:type="dxa"/>
        </w:tblCellMar>
        <w:tblLook w:val="04A0" w:firstRow="1" w:lastRow="0" w:firstColumn="1" w:lastColumn="0" w:noHBand="0" w:noVBand="1"/>
        <w:tblCaption w:val="Table 7"/>
      </w:tblPr>
      <w:tblGrid>
        <w:gridCol w:w="2260"/>
        <w:gridCol w:w="852"/>
        <w:gridCol w:w="850"/>
        <w:gridCol w:w="1561"/>
        <w:gridCol w:w="990"/>
        <w:gridCol w:w="994"/>
        <w:gridCol w:w="1560"/>
      </w:tblGrid>
      <w:tr w:rsidR="0099451E" w:rsidRPr="0067437A" w:rsidTr="00373928">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99451E" w:rsidRPr="0067437A" w:rsidRDefault="0099451E" w:rsidP="00D2155B">
            <w:pPr>
              <w:pStyle w:val="In-tableHeading"/>
              <w:rPr>
                <w:lang w:val="en-AU"/>
              </w:rPr>
            </w:pPr>
            <w:bookmarkStart w:id="21" w:name="_Hlk39069970"/>
            <w:r w:rsidRPr="0067437A">
              <w:rPr>
                <w:lang w:val="en-AU"/>
              </w:rPr>
              <w:t xml:space="preserve">Harms </w:t>
            </w:r>
          </w:p>
        </w:tc>
      </w:tr>
      <w:tr w:rsidR="007A6BE4" w:rsidRPr="0067437A" w:rsidTr="00373928">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7A6BE4" w:rsidRPr="0067437A" w:rsidRDefault="007A6BE4" w:rsidP="00D2155B">
            <w:pPr>
              <w:pStyle w:val="In-tableHeading"/>
              <w:rPr>
                <w:lang w:val="en-AU"/>
              </w:rPr>
            </w:pPr>
            <w:r>
              <w:rPr>
                <w:lang w:val="en-AU"/>
              </w:rPr>
              <w:t>GRIPHON ITT population</w:t>
            </w:r>
          </w:p>
        </w:tc>
      </w:tr>
      <w:tr w:rsidR="00373928" w:rsidRPr="0067437A" w:rsidTr="00373928">
        <w:trPr>
          <w:trHeight w:val="70"/>
        </w:trPr>
        <w:tc>
          <w:tcPr>
            <w:tcW w:w="12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51E" w:rsidRPr="0067437A" w:rsidRDefault="007A6BE4" w:rsidP="00D2155B">
            <w:pPr>
              <w:pStyle w:val="In-tableHeading"/>
              <w:rPr>
                <w:lang w:val="en-AU"/>
              </w:rPr>
            </w:pPr>
            <w:r>
              <w:rPr>
                <w:lang w:val="en-AU"/>
              </w:rPr>
              <w:t>Event</w:t>
            </w:r>
          </w:p>
        </w:tc>
        <w:tc>
          <w:tcPr>
            <w:tcW w:w="470" w:type="pct"/>
            <w:vMerge w:val="restart"/>
            <w:tcBorders>
              <w:top w:val="single" w:sz="4" w:space="0" w:color="auto"/>
              <w:left w:val="single" w:sz="4" w:space="0" w:color="auto"/>
              <w:bottom w:val="single" w:sz="4" w:space="0" w:color="auto"/>
              <w:right w:val="single" w:sz="4" w:space="0" w:color="auto"/>
            </w:tcBorders>
            <w:vAlign w:val="center"/>
          </w:tcPr>
          <w:p w:rsidR="0081468E" w:rsidRPr="0067437A" w:rsidRDefault="0081468E" w:rsidP="001E34DF">
            <w:pPr>
              <w:pStyle w:val="In-tableHeading"/>
              <w:jc w:val="center"/>
              <w:rPr>
                <w:lang w:val="en-AU"/>
              </w:rPr>
            </w:pPr>
            <w:r w:rsidRPr="0067437A">
              <w:rPr>
                <w:lang w:val="en-AU"/>
              </w:rPr>
              <w:t>Selexipag</w:t>
            </w:r>
          </w:p>
          <w:p w:rsidR="0099451E" w:rsidRPr="0067437A" w:rsidRDefault="0099451E" w:rsidP="001E34DF">
            <w:pPr>
              <w:pStyle w:val="In-tableHeading"/>
              <w:jc w:val="center"/>
              <w:rPr>
                <w:lang w:val="en-AU"/>
              </w:rPr>
            </w:pPr>
            <w:r w:rsidRPr="0067437A">
              <w:rPr>
                <w:lang w:val="en-AU"/>
              </w:rPr>
              <w:t>n/N</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rsidR="0099451E" w:rsidRPr="0067437A" w:rsidRDefault="0099451E" w:rsidP="001E34DF">
            <w:pPr>
              <w:pStyle w:val="In-tableHeading"/>
              <w:jc w:val="center"/>
              <w:rPr>
                <w:lang w:val="en-AU"/>
              </w:rPr>
            </w:pPr>
            <w:r w:rsidRPr="0067437A">
              <w:rPr>
                <w:lang w:val="en-AU"/>
              </w:rPr>
              <w:t>P</w:t>
            </w:r>
            <w:r w:rsidR="0081468E" w:rsidRPr="0067437A">
              <w:rPr>
                <w:lang w:val="en-AU"/>
              </w:rPr>
              <w:t>lacebo</w:t>
            </w:r>
          </w:p>
          <w:p w:rsidR="0099451E" w:rsidRPr="0067437A" w:rsidRDefault="0099451E" w:rsidP="001E34DF">
            <w:pPr>
              <w:pStyle w:val="In-tableHeading"/>
              <w:jc w:val="center"/>
              <w:rPr>
                <w:lang w:val="en-AU"/>
              </w:rPr>
            </w:pPr>
            <w:r w:rsidRPr="0067437A">
              <w:rPr>
                <w:lang w:val="en-AU"/>
              </w:rPr>
              <w:t>n/N</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99451E" w:rsidRPr="0067437A" w:rsidRDefault="0099451E" w:rsidP="001E34DF">
            <w:pPr>
              <w:pStyle w:val="In-tableHeading"/>
              <w:jc w:val="center"/>
              <w:rPr>
                <w:lang w:val="en-AU"/>
              </w:rPr>
            </w:pPr>
            <w:r w:rsidRPr="0067437A">
              <w:rPr>
                <w:lang w:val="en-AU"/>
              </w:rPr>
              <w:t>RR</w:t>
            </w:r>
          </w:p>
          <w:p w:rsidR="0099451E" w:rsidRPr="0067437A" w:rsidRDefault="0099451E" w:rsidP="001E34DF">
            <w:pPr>
              <w:pStyle w:val="In-tableHeading"/>
              <w:jc w:val="center"/>
              <w:rPr>
                <w:lang w:val="en-AU"/>
              </w:rPr>
            </w:pPr>
            <w:r w:rsidRPr="0067437A">
              <w:rPr>
                <w:lang w:val="en-AU"/>
              </w:rPr>
              <w:t>(95% CI)</w:t>
            </w:r>
          </w:p>
        </w:tc>
        <w:tc>
          <w:tcPr>
            <w:tcW w:w="1094" w:type="pct"/>
            <w:gridSpan w:val="2"/>
            <w:tcBorders>
              <w:top w:val="single" w:sz="4" w:space="0" w:color="auto"/>
              <w:left w:val="single" w:sz="4" w:space="0" w:color="auto"/>
              <w:bottom w:val="single" w:sz="4" w:space="0" w:color="auto"/>
              <w:right w:val="single" w:sz="4" w:space="0" w:color="auto"/>
            </w:tcBorders>
            <w:vAlign w:val="center"/>
          </w:tcPr>
          <w:p w:rsidR="0099451E" w:rsidRPr="0067437A" w:rsidRDefault="0099451E" w:rsidP="005D3033">
            <w:pPr>
              <w:pStyle w:val="In-tableHeading"/>
              <w:jc w:val="center"/>
              <w:rPr>
                <w:lang w:val="en-AU"/>
              </w:rPr>
            </w:pPr>
            <w:r w:rsidRPr="0067437A">
              <w:rPr>
                <w:lang w:val="en-AU"/>
              </w:rPr>
              <w:t>Event rate/100 patients</w:t>
            </w:r>
          </w:p>
        </w:tc>
        <w:tc>
          <w:tcPr>
            <w:tcW w:w="860" w:type="pct"/>
            <w:vMerge w:val="restart"/>
            <w:tcBorders>
              <w:top w:val="single" w:sz="4" w:space="0" w:color="auto"/>
              <w:left w:val="single" w:sz="4" w:space="0" w:color="auto"/>
              <w:bottom w:val="single" w:sz="4" w:space="0" w:color="auto"/>
              <w:right w:val="single" w:sz="4" w:space="0" w:color="auto"/>
            </w:tcBorders>
            <w:vAlign w:val="center"/>
          </w:tcPr>
          <w:p w:rsidR="0099451E" w:rsidRPr="0067437A" w:rsidRDefault="0099451E" w:rsidP="001E34DF">
            <w:pPr>
              <w:pStyle w:val="In-tableHeading"/>
              <w:jc w:val="center"/>
              <w:rPr>
                <w:lang w:val="en-AU"/>
              </w:rPr>
            </w:pPr>
            <w:r w:rsidRPr="0067437A">
              <w:rPr>
                <w:lang w:val="en-AU"/>
              </w:rPr>
              <w:t>RD</w:t>
            </w:r>
          </w:p>
          <w:p w:rsidR="0099451E" w:rsidRPr="0067437A" w:rsidRDefault="0099451E" w:rsidP="001E34DF">
            <w:pPr>
              <w:pStyle w:val="In-tableHeading"/>
              <w:jc w:val="center"/>
              <w:rPr>
                <w:lang w:val="en-AU"/>
              </w:rPr>
            </w:pPr>
            <w:r w:rsidRPr="0067437A">
              <w:rPr>
                <w:lang w:val="en-AU"/>
              </w:rPr>
              <w:t>(95% CI)</w:t>
            </w:r>
          </w:p>
        </w:tc>
      </w:tr>
      <w:tr w:rsidR="00373928" w:rsidRPr="0067437A" w:rsidTr="00350C25">
        <w:trPr>
          <w:trHeight w:val="390"/>
        </w:trPr>
        <w:tc>
          <w:tcPr>
            <w:tcW w:w="1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451E" w:rsidRPr="0067437A" w:rsidRDefault="0099451E" w:rsidP="00D2155B">
            <w:pPr>
              <w:pStyle w:val="In-tableHeading"/>
              <w:rPr>
                <w:lang w:val="en-AU"/>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99451E" w:rsidRPr="0067437A" w:rsidRDefault="0099451E" w:rsidP="00D2155B">
            <w:pPr>
              <w:pStyle w:val="In-tableHeading"/>
              <w:rPr>
                <w:lang w:val="en-AU"/>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99451E" w:rsidRPr="0067437A" w:rsidRDefault="0099451E" w:rsidP="00D2155B">
            <w:pPr>
              <w:pStyle w:val="In-tableHeading"/>
              <w:rPr>
                <w:lang w:val="en-AU"/>
              </w:rPr>
            </w:pPr>
          </w:p>
        </w:tc>
        <w:tc>
          <w:tcPr>
            <w:tcW w:w="861" w:type="pct"/>
            <w:vMerge/>
            <w:tcBorders>
              <w:top w:val="single" w:sz="4" w:space="0" w:color="auto"/>
              <w:left w:val="single" w:sz="4" w:space="0" w:color="auto"/>
              <w:bottom w:val="single" w:sz="4" w:space="0" w:color="auto"/>
              <w:right w:val="single" w:sz="4" w:space="0" w:color="auto"/>
            </w:tcBorders>
            <w:vAlign w:val="center"/>
          </w:tcPr>
          <w:p w:rsidR="0099451E" w:rsidRPr="0067437A" w:rsidRDefault="0099451E" w:rsidP="00D2155B">
            <w:pPr>
              <w:pStyle w:val="In-tableHeading"/>
              <w:rPr>
                <w:lang w:val="en-AU"/>
              </w:rPr>
            </w:pPr>
          </w:p>
        </w:tc>
        <w:tc>
          <w:tcPr>
            <w:tcW w:w="546" w:type="pct"/>
            <w:tcBorders>
              <w:top w:val="single" w:sz="4" w:space="0" w:color="auto"/>
              <w:left w:val="single" w:sz="4" w:space="0" w:color="auto"/>
              <w:bottom w:val="single" w:sz="4" w:space="0" w:color="auto"/>
              <w:right w:val="single" w:sz="4" w:space="0" w:color="auto"/>
            </w:tcBorders>
            <w:vAlign w:val="center"/>
          </w:tcPr>
          <w:p w:rsidR="0099451E" w:rsidRPr="0067437A" w:rsidRDefault="0081468E" w:rsidP="0081468E">
            <w:pPr>
              <w:pStyle w:val="In-tableHeading"/>
              <w:jc w:val="center"/>
              <w:rPr>
                <w:lang w:val="en-AU"/>
              </w:rPr>
            </w:pPr>
            <w:r w:rsidRPr="0067437A">
              <w:rPr>
                <w:lang w:val="en-AU"/>
              </w:rPr>
              <w:t>Selexipag</w:t>
            </w:r>
          </w:p>
        </w:tc>
        <w:tc>
          <w:tcPr>
            <w:tcW w:w="548" w:type="pct"/>
            <w:tcBorders>
              <w:top w:val="single" w:sz="4" w:space="0" w:color="auto"/>
              <w:left w:val="single" w:sz="4" w:space="0" w:color="auto"/>
              <w:bottom w:val="single" w:sz="4" w:space="0" w:color="auto"/>
              <w:right w:val="single" w:sz="4" w:space="0" w:color="auto"/>
            </w:tcBorders>
            <w:vAlign w:val="center"/>
          </w:tcPr>
          <w:p w:rsidR="0099451E" w:rsidRPr="0067437A" w:rsidRDefault="0081468E" w:rsidP="001E34DF">
            <w:pPr>
              <w:pStyle w:val="In-tableHeading"/>
              <w:jc w:val="center"/>
              <w:rPr>
                <w:lang w:val="en-AU"/>
              </w:rPr>
            </w:pPr>
            <w:r w:rsidRPr="0067437A">
              <w:rPr>
                <w:lang w:val="en-AU"/>
              </w:rPr>
              <w:t>Placebo</w:t>
            </w:r>
          </w:p>
        </w:tc>
        <w:tc>
          <w:tcPr>
            <w:tcW w:w="860" w:type="pct"/>
            <w:vMerge/>
            <w:tcBorders>
              <w:top w:val="single" w:sz="4" w:space="0" w:color="auto"/>
              <w:left w:val="single" w:sz="4" w:space="0" w:color="auto"/>
              <w:bottom w:val="single" w:sz="4" w:space="0" w:color="auto"/>
              <w:right w:val="single" w:sz="4" w:space="0" w:color="auto"/>
            </w:tcBorders>
            <w:vAlign w:val="center"/>
          </w:tcPr>
          <w:p w:rsidR="0099451E" w:rsidRPr="0067437A" w:rsidRDefault="0099451E" w:rsidP="00D2155B">
            <w:pPr>
              <w:pStyle w:val="In-tableHeading"/>
              <w:rPr>
                <w:lang w:val="en-AU"/>
              </w:rPr>
            </w:pP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99451E" w:rsidRPr="0067437A" w:rsidRDefault="0099451E" w:rsidP="00AB0737">
            <w:pPr>
              <w:pStyle w:val="TableText0"/>
            </w:pPr>
            <w:r w:rsidRPr="0067437A">
              <w:t>Tr</w:t>
            </w:r>
            <w:r w:rsidR="007F44AB" w:rsidRPr="0067437A">
              <w:t>eatment related AE</w:t>
            </w:r>
          </w:p>
        </w:tc>
        <w:tc>
          <w:tcPr>
            <w:tcW w:w="470" w:type="pct"/>
            <w:tcBorders>
              <w:top w:val="single" w:sz="4" w:space="0" w:color="auto"/>
              <w:left w:val="single" w:sz="4" w:space="0" w:color="auto"/>
              <w:bottom w:val="single" w:sz="4" w:space="0" w:color="auto"/>
              <w:right w:val="single" w:sz="4" w:space="0" w:color="auto"/>
            </w:tcBorders>
            <w:vAlign w:val="center"/>
          </w:tcPr>
          <w:p w:rsidR="0099451E" w:rsidRPr="0067437A" w:rsidRDefault="007F44AB" w:rsidP="007F44AB">
            <w:pPr>
              <w:pStyle w:val="TableText0"/>
              <w:jc w:val="center"/>
            </w:pPr>
            <w:r w:rsidRPr="0067437A">
              <w:t>515/575</w:t>
            </w:r>
          </w:p>
        </w:tc>
        <w:tc>
          <w:tcPr>
            <w:tcW w:w="469" w:type="pct"/>
            <w:tcBorders>
              <w:top w:val="single" w:sz="4" w:space="0" w:color="auto"/>
              <w:left w:val="single" w:sz="4" w:space="0" w:color="auto"/>
              <w:bottom w:val="single" w:sz="4" w:space="0" w:color="auto"/>
              <w:right w:val="single" w:sz="4" w:space="0" w:color="auto"/>
            </w:tcBorders>
            <w:vAlign w:val="center"/>
          </w:tcPr>
          <w:p w:rsidR="0099451E" w:rsidRPr="0067437A" w:rsidRDefault="007F44AB" w:rsidP="00D2155B">
            <w:pPr>
              <w:pStyle w:val="TableText0"/>
              <w:jc w:val="center"/>
            </w:pPr>
            <w:r w:rsidRPr="0067437A">
              <w:t>327/577</w:t>
            </w:r>
          </w:p>
        </w:tc>
        <w:tc>
          <w:tcPr>
            <w:tcW w:w="861" w:type="pct"/>
            <w:tcBorders>
              <w:top w:val="single" w:sz="4" w:space="0" w:color="auto"/>
              <w:left w:val="single" w:sz="4" w:space="0" w:color="auto"/>
              <w:bottom w:val="single" w:sz="4" w:space="0" w:color="auto"/>
              <w:right w:val="single" w:sz="4" w:space="0" w:color="auto"/>
            </w:tcBorders>
            <w:vAlign w:val="center"/>
          </w:tcPr>
          <w:p w:rsidR="0099451E" w:rsidRPr="0067437A" w:rsidRDefault="0099451E" w:rsidP="00C50F2A">
            <w:pPr>
              <w:pStyle w:val="TableText0"/>
              <w:jc w:val="center"/>
            </w:pPr>
            <w:r w:rsidRPr="0067437A">
              <w:t>1.</w:t>
            </w:r>
            <w:r w:rsidR="007F44AB" w:rsidRPr="0067437A">
              <w:t>58</w:t>
            </w:r>
            <w:r w:rsidR="00F24B01" w:rsidRPr="0067437A">
              <w:t xml:space="preserve"> </w:t>
            </w:r>
            <w:r w:rsidRPr="0067437A">
              <w:t>(1.</w:t>
            </w:r>
            <w:r w:rsidR="007F44AB" w:rsidRPr="0067437A">
              <w:t>46</w:t>
            </w:r>
            <w:r w:rsidRPr="0067437A">
              <w:t>, 1.</w:t>
            </w:r>
            <w:r w:rsidR="007F44AB" w:rsidRPr="0067437A">
              <w:t>71</w:t>
            </w:r>
            <w:r w:rsidRPr="0067437A">
              <w:t>)</w:t>
            </w:r>
          </w:p>
        </w:tc>
        <w:tc>
          <w:tcPr>
            <w:tcW w:w="546" w:type="pct"/>
            <w:tcBorders>
              <w:top w:val="single" w:sz="4" w:space="0" w:color="auto"/>
              <w:left w:val="single" w:sz="4" w:space="0" w:color="auto"/>
              <w:bottom w:val="single" w:sz="4" w:space="0" w:color="auto"/>
              <w:right w:val="single" w:sz="4" w:space="0" w:color="auto"/>
            </w:tcBorders>
            <w:vAlign w:val="center"/>
          </w:tcPr>
          <w:p w:rsidR="0099451E" w:rsidRPr="0067437A" w:rsidRDefault="007F44AB" w:rsidP="00D2155B">
            <w:pPr>
              <w:pStyle w:val="TableText0"/>
              <w:jc w:val="center"/>
            </w:pPr>
            <w:r w:rsidRPr="0067437A">
              <w:t>89.6</w:t>
            </w:r>
          </w:p>
        </w:tc>
        <w:tc>
          <w:tcPr>
            <w:tcW w:w="548" w:type="pct"/>
            <w:tcBorders>
              <w:top w:val="single" w:sz="4" w:space="0" w:color="auto"/>
              <w:left w:val="single" w:sz="4" w:space="0" w:color="auto"/>
              <w:bottom w:val="single" w:sz="4" w:space="0" w:color="auto"/>
              <w:right w:val="single" w:sz="4" w:space="0" w:color="auto"/>
            </w:tcBorders>
            <w:vAlign w:val="center"/>
          </w:tcPr>
          <w:p w:rsidR="0099451E" w:rsidRPr="0067437A" w:rsidRDefault="00260D80" w:rsidP="00D2155B">
            <w:pPr>
              <w:pStyle w:val="TableText0"/>
              <w:jc w:val="center"/>
            </w:pPr>
            <w:r w:rsidRPr="0067437A">
              <w:t>56.7</w:t>
            </w:r>
          </w:p>
        </w:tc>
        <w:tc>
          <w:tcPr>
            <w:tcW w:w="860" w:type="pct"/>
            <w:tcBorders>
              <w:top w:val="single" w:sz="4" w:space="0" w:color="auto"/>
              <w:left w:val="single" w:sz="4" w:space="0" w:color="auto"/>
              <w:bottom w:val="single" w:sz="4" w:space="0" w:color="auto"/>
              <w:right w:val="single" w:sz="4" w:space="0" w:color="auto"/>
            </w:tcBorders>
            <w:vAlign w:val="center"/>
          </w:tcPr>
          <w:p w:rsidR="0099451E" w:rsidRPr="0067437A" w:rsidRDefault="00260D80" w:rsidP="00373928">
            <w:pPr>
              <w:pStyle w:val="TableText0"/>
              <w:jc w:val="center"/>
            </w:pPr>
            <w:r w:rsidRPr="0067437A">
              <w:t>33</w:t>
            </w:r>
            <w:r w:rsidR="00356066" w:rsidRPr="0067437A">
              <w:t>%</w:t>
            </w:r>
            <w:r w:rsidRPr="0067437A">
              <w:t xml:space="preserve"> (28, 38)</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tcPr>
          <w:p w:rsidR="00356066" w:rsidRPr="0067437A" w:rsidRDefault="00356066" w:rsidP="00356066">
            <w:pPr>
              <w:pStyle w:val="TableText0"/>
            </w:pPr>
            <w:r w:rsidRPr="0067437A">
              <w:t>Death up to EOT + 7 days</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8A65AC">
            <w:pPr>
              <w:pStyle w:val="TableText0"/>
              <w:jc w:val="center"/>
            </w:pPr>
            <w:r w:rsidRPr="0067437A">
              <w:t>46</w:t>
            </w:r>
            <w:r w:rsidR="002D72BA" w:rsidRPr="0067437A">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8A65AC">
            <w:pPr>
              <w:pStyle w:val="TableText0"/>
              <w:jc w:val="center"/>
            </w:pPr>
            <w:r w:rsidRPr="0067437A">
              <w:t>37</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8A65AC">
            <w:pPr>
              <w:pStyle w:val="TableText0"/>
              <w:jc w:val="center"/>
            </w:pPr>
            <w:r w:rsidRPr="0067437A">
              <w:t>1.24 (0.82, 1.89)</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8A65AC">
            <w:pPr>
              <w:pStyle w:val="TableText0"/>
              <w:jc w:val="center"/>
            </w:pPr>
            <w:r w:rsidRPr="0067437A">
              <w:t>8.00</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8A65AC">
            <w:pPr>
              <w:pStyle w:val="TableText0"/>
              <w:jc w:val="center"/>
            </w:pPr>
            <w:r w:rsidRPr="0067437A">
              <w:t>6.4</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73928">
            <w:pPr>
              <w:pStyle w:val="TableText0"/>
              <w:jc w:val="center"/>
            </w:pPr>
            <w:r w:rsidRPr="0067437A">
              <w:t>1.6% (-1.4, 4.6)</w:t>
            </w:r>
          </w:p>
        </w:tc>
      </w:tr>
      <w:tr w:rsidR="00356066" w:rsidRPr="0067437A" w:rsidTr="00373928">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rPr>
                <w:b/>
                <w:szCs w:val="20"/>
              </w:rPr>
              <w:t>Prostacyclin-related AEs</w:t>
            </w:r>
          </w:p>
        </w:tc>
      </w:tr>
      <w:tr w:rsidR="00350C25"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0C25" w:rsidRPr="0067437A" w:rsidRDefault="00350C25" w:rsidP="006C1AF6">
            <w:pPr>
              <w:pStyle w:val="TableText0"/>
            </w:pPr>
            <w:r w:rsidRPr="0067437A">
              <w:t>Patient with at least one event</w:t>
            </w:r>
          </w:p>
        </w:tc>
        <w:tc>
          <w:tcPr>
            <w:tcW w:w="470" w:type="pct"/>
            <w:tcBorders>
              <w:top w:val="single" w:sz="4" w:space="0" w:color="auto"/>
              <w:left w:val="single" w:sz="4" w:space="0" w:color="auto"/>
              <w:bottom w:val="single" w:sz="4" w:space="0" w:color="auto"/>
              <w:right w:val="single" w:sz="4" w:space="0" w:color="auto"/>
            </w:tcBorders>
            <w:vAlign w:val="center"/>
          </w:tcPr>
          <w:p w:rsidR="00350C25" w:rsidRPr="0067437A" w:rsidRDefault="00350C25" w:rsidP="006C1AF6">
            <w:pPr>
              <w:pStyle w:val="TableText0"/>
              <w:jc w:val="center"/>
              <w:rPr>
                <w:rFonts w:eastAsia="OTNEJMScalaSansLF" w:cs="OTNEJMScalaSansLF"/>
                <w:szCs w:val="20"/>
              </w:rPr>
            </w:pPr>
            <w:r w:rsidRPr="0067437A">
              <w:rPr>
                <w:rFonts w:eastAsia="OTNEJMScalaSansLF" w:cs="OTNEJMScalaSansLF"/>
                <w:szCs w:val="20"/>
              </w:rPr>
              <w:t>499/575</w:t>
            </w:r>
          </w:p>
        </w:tc>
        <w:tc>
          <w:tcPr>
            <w:tcW w:w="469" w:type="pct"/>
            <w:tcBorders>
              <w:top w:val="single" w:sz="4" w:space="0" w:color="auto"/>
              <w:left w:val="single" w:sz="4" w:space="0" w:color="auto"/>
              <w:bottom w:val="single" w:sz="4" w:space="0" w:color="auto"/>
              <w:right w:val="single" w:sz="4" w:space="0" w:color="auto"/>
            </w:tcBorders>
            <w:vAlign w:val="center"/>
          </w:tcPr>
          <w:p w:rsidR="00350C25" w:rsidRPr="0067437A" w:rsidRDefault="00350C25" w:rsidP="006C1AF6">
            <w:pPr>
              <w:pStyle w:val="TableText0"/>
              <w:jc w:val="center"/>
              <w:rPr>
                <w:rFonts w:eastAsia="OTNEJMScalaSansLF" w:cs="OTNEJMScalaSansLF"/>
                <w:szCs w:val="20"/>
              </w:rPr>
            </w:pPr>
            <w:r w:rsidRPr="0067437A">
              <w:rPr>
                <w:rFonts w:eastAsia="OTNEJMScalaSansLF" w:cs="OTNEJMScalaSansLF"/>
                <w:szCs w:val="20"/>
              </w:rPr>
              <w:t>303/577</w:t>
            </w:r>
          </w:p>
        </w:tc>
        <w:tc>
          <w:tcPr>
            <w:tcW w:w="861" w:type="pct"/>
            <w:tcBorders>
              <w:top w:val="single" w:sz="4" w:space="0" w:color="auto"/>
              <w:left w:val="single" w:sz="4" w:space="0" w:color="auto"/>
              <w:bottom w:val="single" w:sz="4" w:space="0" w:color="auto"/>
              <w:right w:val="single" w:sz="4" w:space="0" w:color="auto"/>
            </w:tcBorders>
            <w:vAlign w:val="center"/>
          </w:tcPr>
          <w:p w:rsidR="00350C25" w:rsidRPr="0067437A" w:rsidRDefault="00350C25" w:rsidP="006C1AF6">
            <w:pPr>
              <w:pStyle w:val="TableText0"/>
              <w:jc w:val="center"/>
            </w:pPr>
            <w:r w:rsidRPr="0067437A">
              <w:rPr>
                <w:b/>
              </w:rPr>
              <w:t>1.65 (1.52, 1.80)</w:t>
            </w:r>
          </w:p>
        </w:tc>
        <w:tc>
          <w:tcPr>
            <w:tcW w:w="546" w:type="pct"/>
            <w:tcBorders>
              <w:top w:val="single" w:sz="4" w:space="0" w:color="auto"/>
              <w:left w:val="single" w:sz="4" w:space="0" w:color="auto"/>
              <w:bottom w:val="single" w:sz="4" w:space="0" w:color="auto"/>
              <w:right w:val="single" w:sz="4" w:space="0" w:color="auto"/>
            </w:tcBorders>
            <w:vAlign w:val="center"/>
          </w:tcPr>
          <w:p w:rsidR="00350C25" w:rsidRPr="0067437A" w:rsidRDefault="00350C25" w:rsidP="006C1AF6">
            <w:pPr>
              <w:pStyle w:val="TableText0"/>
              <w:jc w:val="center"/>
            </w:pPr>
            <w:r w:rsidRPr="0067437A">
              <w:t>86.8</w:t>
            </w:r>
          </w:p>
        </w:tc>
        <w:tc>
          <w:tcPr>
            <w:tcW w:w="548" w:type="pct"/>
            <w:tcBorders>
              <w:top w:val="single" w:sz="4" w:space="0" w:color="auto"/>
              <w:left w:val="single" w:sz="4" w:space="0" w:color="auto"/>
              <w:bottom w:val="single" w:sz="4" w:space="0" w:color="auto"/>
              <w:right w:val="single" w:sz="4" w:space="0" w:color="auto"/>
            </w:tcBorders>
            <w:vAlign w:val="center"/>
          </w:tcPr>
          <w:p w:rsidR="00350C25" w:rsidRPr="0067437A" w:rsidRDefault="00350C25" w:rsidP="006C1AF6">
            <w:pPr>
              <w:pStyle w:val="TableText0"/>
              <w:jc w:val="center"/>
            </w:pPr>
            <w:r w:rsidRPr="0067437A">
              <w:t>52.5</w:t>
            </w:r>
          </w:p>
        </w:tc>
        <w:tc>
          <w:tcPr>
            <w:tcW w:w="860" w:type="pct"/>
            <w:tcBorders>
              <w:top w:val="single" w:sz="4" w:space="0" w:color="auto"/>
              <w:left w:val="single" w:sz="4" w:space="0" w:color="auto"/>
              <w:bottom w:val="single" w:sz="4" w:space="0" w:color="auto"/>
              <w:right w:val="single" w:sz="4" w:space="0" w:color="auto"/>
            </w:tcBorders>
            <w:vAlign w:val="center"/>
          </w:tcPr>
          <w:p w:rsidR="00350C25" w:rsidRPr="0067437A" w:rsidRDefault="00350C25" w:rsidP="005760B0">
            <w:pPr>
              <w:pStyle w:val="TableText0"/>
              <w:jc w:val="center"/>
            </w:pPr>
            <w:r w:rsidRPr="0067437A">
              <w:t>34% (29, 39)</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Headache</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375</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189</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1.99 (1.75, 2.27)</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65.2</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32.8</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73928">
            <w:pPr>
              <w:pStyle w:val="TableText0"/>
              <w:jc w:val="center"/>
            </w:pPr>
            <w:r w:rsidRPr="0067437A">
              <w:t>32% (27, 38)</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Diarrhoea</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244</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110</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2.25 (1.83, 2.70)</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42.4</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19.1</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73928">
            <w:pPr>
              <w:pStyle w:val="TableText0"/>
              <w:jc w:val="center"/>
            </w:pPr>
            <w:r w:rsidRPr="0067437A">
              <w:t>23% (18, 28)</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Nausea</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193</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107</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1.81 (1.48, 2.23)</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33.6</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18.5</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73928">
            <w:pPr>
              <w:pStyle w:val="TableText0"/>
              <w:jc w:val="center"/>
            </w:pPr>
            <w:r w:rsidRPr="0067437A">
              <w:t>15% (10, 20)</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Pain in jaw</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148</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36</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4.13 (2.93, 5.83)</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25.7</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6.2</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73928">
            <w:pPr>
              <w:pStyle w:val="TableText0"/>
              <w:jc w:val="center"/>
            </w:pPr>
            <w:r w:rsidRPr="0067437A">
              <w:t>20% (15, 24)</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Vomiting</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104</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49</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2.13 (1.55, 2.93)</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18.1</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8.5</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73928" w:rsidP="00356066">
            <w:pPr>
              <w:pStyle w:val="TableText0"/>
              <w:jc w:val="center"/>
            </w:pPr>
            <w:r w:rsidRPr="0067437A">
              <w:t>10% (6, 14</w:t>
            </w:r>
            <w:r w:rsidR="00356066" w:rsidRPr="0067437A">
              <w:t>)</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Pain in extremity</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97</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46</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2.11 (1.52, 2.94)</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16.9</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8.0</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73928" w:rsidP="00356066">
            <w:pPr>
              <w:pStyle w:val="TableText0"/>
              <w:jc w:val="center"/>
            </w:pPr>
            <w:r w:rsidRPr="0067437A">
              <w:t>9% (5, 13</w:t>
            </w:r>
            <w:r w:rsidR="00356066" w:rsidRPr="0067437A">
              <w:t>)</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Myalgia</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92</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34</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2.72 (1.87, 3.95)</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16.0</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5.9</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73928">
            <w:pPr>
              <w:pStyle w:val="TableText0"/>
              <w:jc w:val="center"/>
            </w:pPr>
            <w:r w:rsidRPr="0067437A">
              <w:t>10% (7, 14)</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Flushing</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70</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29</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2.42 (1.60, 3.67)</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12.2</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5.0</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73928" w:rsidP="00356066">
            <w:pPr>
              <w:pStyle w:val="TableText0"/>
              <w:jc w:val="center"/>
            </w:pPr>
            <w:r w:rsidRPr="0067437A">
              <w:t>7% (4, 10</w:t>
            </w:r>
            <w:r w:rsidR="00356066" w:rsidRPr="0067437A">
              <w:t>)</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356066" w:rsidRPr="0067437A" w:rsidRDefault="00356066" w:rsidP="00356066">
            <w:pPr>
              <w:pStyle w:val="TableText0"/>
            </w:pPr>
            <w:r w:rsidRPr="0067437A">
              <w:t>Prostacyclin-related AE leading to discontinuation of study drug</w:t>
            </w:r>
          </w:p>
        </w:tc>
        <w:tc>
          <w:tcPr>
            <w:tcW w:w="47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59</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rPr>
                <w:rFonts w:eastAsia="OTNEJMScalaSansLF" w:cs="OTNEJMScalaSansLF"/>
                <w:szCs w:val="20"/>
              </w:rPr>
              <w:t>11</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56066">
            <w:pPr>
              <w:pStyle w:val="TableText0"/>
              <w:jc w:val="center"/>
            </w:pPr>
            <w:r w:rsidRPr="0067437A">
              <w:t>5.38 (2.86, 10.14)</w:t>
            </w:r>
          </w:p>
        </w:tc>
        <w:tc>
          <w:tcPr>
            <w:tcW w:w="546"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10.3</w:t>
            </w:r>
          </w:p>
        </w:tc>
        <w:tc>
          <w:tcPr>
            <w:tcW w:w="548" w:type="pct"/>
            <w:tcBorders>
              <w:top w:val="single" w:sz="4" w:space="0" w:color="auto"/>
              <w:left w:val="single" w:sz="4" w:space="0" w:color="auto"/>
              <w:bottom w:val="single" w:sz="4" w:space="0" w:color="auto"/>
              <w:right w:val="single" w:sz="4" w:space="0" w:color="auto"/>
            </w:tcBorders>
            <w:vAlign w:val="center"/>
          </w:tcPr>
          <w:p w:rsidR="00356066" w:rsidRPr="0067437A" w:rsidRDefault="00AC3CA3" w:rsidP="00356066">
            <w:pPr>
              <w:pStyle w:val="TableText0"/>
              <w:jc w:val="center"/>
            </w:pPr>
            <w:r w:rsidRPr="0067437A">
              <w:t>1.9</w:t>
            </w:r>
          </w:p>
        </w:tc>
        <w:tc>
          <w:tcPr>
            <w:tcW w:w="860" w:type="pct"/>
            <w:tcBorders>
              <w:top w:val="single" w:sz="4" w:space="0" w:color="auto"/>
              <w:left w:val="single" w:sz="4" w:space="0" w:color="auto"/>
              <w:bottom w:val="single" w:sz="4" w:space="0" w:color="auto"/>
              <w:right w:val="single" w:sz="4" w:space="0" w:color="auto"/>
            </w:tcBorders>
            <w:vAlign w:val="center"/>
          </w:tcPr>
          <w:p w:rsidR="00356066" w:rsidRPr="0067437A" w:rsidRDefault="00356066" w:rsidP="00373928">
            <w:pPr>
              <w:pStyle w:val="TableText0"/>
              <w:jc w:val="center"/>
            </w:pPr>
            <w:r w:rsidRPr="0067437A">
              <w:t>8% (</w:t>
            </w:r>
            <w:r w:rsidR="000019E6" w:rsidRPr="0067437A">
              <w:t>6</w:t>
            </w:r>
            <w:r w:rsidRPr="0067437A">
              <w:t>, 11)</w:t>
            </w:r>
          </w:p>
        </w:tc>
      </w:tr>
      <w:tr w:rsidR="00A05216" w:rsidRPr="0067437A" w:rsidTr="00373928">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A05216" w:rsidRPr="0067437A" w:rsidRDefault="00A05216" w:rsidP="00A05216">
            <w:pPr>
              <w:pStyle w:val="TableText0"/>
              <w:rPr>
                <w:b/>
              </w:rPr>
            </w:pPr>
            <w:r w:rsidRPr="0067437A">
              <w:rPr>
                <w:b/>
              </w:rPr>
              <w:t>Serious AEs (related to disease progression and other manifestations of underlying PAH)</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A05216" w:rsidRPr="0067437A" w:rsidRDefault="00A05216" w:rsidP="00A05216">
            <w:pPr>
              <w:pStyle w:val="TableText0"/>
            </w:pPr>
            <w:r w:rsidRPr="0067437A">
              <w:t>At least one SAE</w:t>
            </w:r>
          </w:p>
        </w:tc>
        <w:tc>
          <w:tcPr>
            <w:tcW w:w="470" w:type="pct"/>
            <w:tcBorders>
              <w:top w:val="single" w:sz="4" w:space="0" w:color="auto"/>
              <w:left w:val="single" w:sz="4" w:space="0" w:color="auto"/>
              <w:bottom w:val="single" w:sz="4" w:space="0" w:color="auto"/>
              <w:right w:val="single" w:sz="4" w:space="0" w:color="auto"/>
            </w:tcBorders>
            <w:vAlign w:val="center"/>
          </w:tcPr>
          <w:p w:rsidR="00A05216" w:rsidRPr="0067437A" w:rsidRDefault="00A05216" w:rsidP="00A05216">
            <w:pPr>
              <w:pStyle w:val="TableText0"/>
              <w:jc w:val="center"/>
            </w:pPr>
            <w:r w:rsidRPr="0067437A">
              <w:rPr>
                <w:rFonts w:eastAsia="OTNEJMScalaSansLF" w:cs="OTNEJMScalaSansLF"/>
                <w:szCs w:val="20"/>
              </w:rPr>
              <w:t>252</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A05216" w:rsidRPr="0067437A" w:rsidRDefault="00A05216" w:rsidP="00A05216">
            <w:pPr>
              <w:pStyle w:val="TableText0"/>
              <w:jc w:val="center"/>
            </w:pPr>
            <w:r w:rsidRPr="0067437A">
              <w:rPr>
                <w:rFonts w:eastAsia="OTNEJMScalaSansLF" w:cs="OTNEJMScalaSansLF"/>
                <w:szCs w:val="20"/>
              </w:rPr>
              <w:t>272</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A05216" w:rsidRPr="0067437A" w:rsidRDefault="00A05216" w:rsidP="00A05216">
            <w:pPr>
              <w:pStyle w:val="TableText0"/>
              <w:jc w:val="center"/>
            </w:pPr>
            <w:r w:rsidRPr="0067437A">
              <w:t>1.30 (0.59, 2.89)</w:t>
            </w:r>
          </w:p>
        </w:tc>
        <w:tc>
          <w:tcPr>
            <w:tcW w:w="546" w:type="pct"/>
            <w:tcBorders>
              <w:top w:val="single" w:sz="4" w:space="0" w:color="auto"/>
              <w:left w:val="single" w:sz="4" w:space="0" w:color="auto"/>
              <w:bottom w:val="single" w:sz="4" w:space="0" w:color="auto"/>
              <w:right w:val="single" w:sz="4" w:space="0" w:color="auto"/>
            </w:tcBorders>
            <w:vAlign w:val="center"/>
          </w:tcPr>
          <w:p w:rsidR="00A05216" w:rsidRPr="0067437A" w:rsidRDefault="00AC3CA3" w:rsidP="00A05216">
            <w:pPr>
              <w:pStyle w:val="TableText0"/>
              <w:jc w:val="center"/>
            </w:pPr>
            <w:r w:rsidRPr="0067437A">
              <w:t>43.8</w:t>
            </w:r>
          </w:p>
        </w:tc>
        <w:tc>
          <w:tcPr>
            <w:tcW w:w="548" w:type="pct"/>
            <w:tcBorders>
              <w:top w:val="single" w:sz="4" w:space="0" w:color="auto"/>
              <w:left w:val="single" w:sz="4" w:space="0" w:color="auto"/>
              <w:bottom w:val="single" w:sz="4" w:space="0" w:color="auto"/>
              <w:right w:val="single" w:sz="4" w:space="0" w:color="auto"/>
            </w:tcBorders>
            <w:vAlign w:val="center"/>
          </w:tcPr>
          <w:p w:rsidR="00A05216" w:rsidRPr="0067437A" w:rsidRDefault="00AC3CA3" w:rsidP="00A05216">
            <w:pPr>
              <w:pStyle w:val="TableText0"/>
              <w:jc w:val="center"/>
            </w:pPr>
            <w:r w:rsidRPr="0067437A">
              <w:t>47.1</w:t>
            </w:r>
          </w:p>
        </w:tc>
        <w:tc>
          <w:tcPr>
            <w:tcW w:w="860" w:type="pct"/>
            <w:tcBorders>
              <w:top w:val="single" w:sz="4" w:space="0" w:color="auto"/>
              <w:left w:val="single" w:sz="4" w:space="0" w:color="auto"/>
              <w:bottom w:val="single" w:sz="4" w:space="0" w:color="auto"/>
              <w:right w:val="single" w:sz="4" w:space="0" w:color="auto"/>
            </w:tcBorders>
            <w:vAlign w:val="center"/>
          </w:tcPr>
          <w:p w:rsidR="00A05216" w:rsidRPr="0067437A" w:rsidRDefault="00AE1D15" w:rsidP="00373928">
            <w:pPr>
              <w:pStyle w:val="TableText0"/>
              <w:jc w:val="center"/>
            </w:pPr>
            <w:r w:rsidRPr="0067437A">
              <w:t>-3</w:t>
            </w:r>
            <w:r w:rsidR="00A05216" w:rsidRPr="0067437A">
              <w:t>% (-</w:t>
            </w:r>
            <w:r w:rsidRPr="0067437A">
              <w:t>9</w:t>
            </w:r>
            <w:r w:rsidR="00A05216" w:rsidRPr="0067437A">
              <w:t xml:space="preserve">, </w:t>
            </w:r>
            <w:r w:rsidRPr="0067437A">
              <w:t>-</w:t>
            </w:r>
            <w:r w:rsidR="00A05216" w:rsidRPr="0067437A">
              <w:t>2)</w:t>
            </w:r>
          </w:p>
        </w:tc>
      </w:tr>
      <w:tr w:rsidR="00373928" w:rsidRPr="0067437A" w:rsidTr="00350C25">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A05216" w:rsidRPr="0067437A" w:rsidRDefault="00A05216" w:rsidP="00A05216">
            <w:pPr>
              <w:pStyle w:val="TableText0"/>
            </w:pPr>
            <w:r w:rsidRPr="0067437A">
              <w:t>Worsening of PAH</w:t>
            </w:r>
          </w:p>
        </w:tc>
        <w:tc>
          <w:tcPr>
            <w:tcW w:w="470" w:type="pct"/>
            <w:tcBorders>
              <w:top w:val="single" w:sz="4" w:space="0" w:color="auto"/>
              <w:left w:val="single" w:sz="4" w:space="0" w:color="auto"/>
              <w:bottom w:val="single" w:sz="4" w:space="0" w:color="auto"/>
              <w:right w:val="single" w:sz="4" w:space="0" w:color="auto"/>
            </w:tcBorders>
            <w:vAlign w:val="center"/>
          </w:tcPr>
          <w:p w:rsidR="00A05216" w:rsidRPr="0067437A" w:rsidRDefault="00A05216" w:rsidP="00A05216">
            <w:pPr>
              <w:pStyle w:val="TableText0"/>
              <w:jc w:val="center"/>
            </w:pPr>
            <w:r w:rsidRPr="0067437A">
              <w:rPr>
                <w:rFonts w:eastAsia="OTNEJMScalaSansLF" w:cs="OTNEJMScalaSansLF"/>
                <w:szCs w:val="20"/>
              </w:rPr>
              <w:t>83</w:t>
            </w:r>
            <w:r w:rsidR="002D72BA" w:rsidRPr="0067437A">
              <w:rPr>
                <w:rFonts w:eastAsia="OTNEJMScalaSansLF" w:cs="OTNEJMScalaSansLF"/>
                <w:szCs w:val="20"/>
              </w:rPr>
              <w:t>/575</w:t>
            </w:r>
          </w:p>
        </w:tc>
        <w:tc>
          <w:tcPr>
            <w:tcW w:w="469" w:type="pct"/>
            <w:tcBorders>
              <w:top w:val="single" w:sz="4" w:space="0" w:color="auto"/>
              <w:left w:val="single" w:sz="4" w:space="0" w:color="auto"/>
              <w:bottom w:val="single" w:sz="4" w:space="0" w:color="auto"/>
              <w:right w:val="single" w:sz="4" w:space="0" w:color="auto"/>
            </w:tcBorders>
            <w:vAlign w:val="center"/>
          </w:tcPr>
          <w:p w:rsidR="00A05216" w:rsidRPr="0067437A" w:rsidRDefault="00A05216" w:rsidP="00A05216">
            <w:pPr>
              <w:pStyle w:val="TableText0"/>
              <w:jc w:val="center"/>
            </w:pPr>
            <w:r w:rsidRPr="0067437A">
              <w:rPr>
                <w:rFonts w:eastAsia="OTNEJMScalaSansLF" w:cs="OTNEJMScalaSansLF"/>
                <w:szCs w:val="20"/>
              </w:rPr>
              <w:t>127</w:t>
            </w:r>
            <w:r w:rsidR="002D72BA" w:rsidRPr="0067437A">
              <w:t>/577</w:t>
            </w:r>
          </w:p>
        </w:tc>
        <w:tc>
          <w:tcPr>
            <w:tcW w:w="861" w:type="pct"/>
            <w:tcBorders>
              <w:top w:val="single" w:sz="4" w:space="0" w:color="auto"/>
              <w:left w:val="single" w:sz="4" w:space="0" w:color="auto"/>
              <w:bottom w:val="single" w:sz="4" w:space="0" w:color="auto"/>
              <w:right w:val="single" w:sz="4" w:space="0" w:color="auto"/>
            </w:tcBorders>
            <w:vAlign w:val="center"/>
          </w:tcPr>
          <w:p w:rsidR="00A05216" w:rsidRPr="0067437A" w:rsidRDefault="00A05216" w:rsidP="00A05216">
            <w:pPr>
              <w:pStyle w:val="TableText0"/>
              <w:jc w:val="center"/>
            </w:pPr>
            <w:r w:rsidRPr="0067437A">
              <w:t>0.66 (0.51, 0.84)</w:t>
            </w:r>
          </w:p>
        </w:tc>
        <w:tc>
          <w:tcPr>
            <w:tcW w:w="546" w:type="pct"/>
            <w:tcBorders>
              <w:top w:val="single" w:sz="4" w:space="0" w:color="auto"/>
              <w:left w:val="single" w:sz="4" w:space="0" w:color="auto"/>
              <w:bottom w:val="single" w:sz="4" w:space="0" w:color="auto"/>
              <w:right w:val="single" w:sz="4" w:space="0" w:color="auto"/>
            </w:tcBorders>
            <w:vAlign w:val="center"/>
          </w:tcPr>
          <w:p w:rsidR="00A05216" w:rsidRPr="0067437A" w:rsidRDefault="00AC3CA3" w:rsidP="00A05216">
            <w:pPr>
              <w:pStyle w:val="TableText0"/>
              <w:jc w:val="center"/>
            </w:pPr>
            <w:r w:rsidRPr="0067437A">
              <w:t>14.4</w:t>
            </w:r>
          </w:p>
        </w:tc>
        <w:tc>
          <w:tcPr>
            <w:tcW w:w="548" w:type="pct"/>
            <w:tcBorders>
              <w:top w:val="single" w:sz="4" w:space="0" w:color="auto"/>
              <w:left w:val="single" w:sz="4" w:space="0" w:color="auto"/>
              <w:bottom w:val="single" w:sz="4" w:space="0" w:color="auto"/>
              <w:right w:val="single" w:sz="4" w:space="0" w:color="auto"/>
            </w:tcBorders>
            <w:vAlign w:val="center"/>
          </w:tcPr>
          <w:p w:rsidR="00A05216" w:rsidRPr="0067437A" w:rsidRDefault="00AC3CA3" w:rsidP="00A05216">
            <w:pPr>
              <w:pStyle w:val="TableText0"/>
              <w:jc w:val="center"/>
            </w:pPr>
            <w:r w:rsidRPr="0067437A">
              <w:t>22.0</w:t>
            </w:r>
          </w:p>
        </w:tc>
        <w:tc>
          <w:tcPr>
            <w:tcW w:w="860" w:type="pct"/>
            <w:tcBorders>
              <w:top w:val="single" w:sz="4" w:space="0" w:color="auto"/>
              <w:left w:val="single" w:sz="4" w:space="0" w:color="auto"/>
              <w:bottom w:val="single" w:sz="4" w:space="0" w:color="auto"/>
              <w:right w:val="single" w:sz="4" w:space="0" w:color="auto"/>
            </w:tcBorders>
            <w:vAlign w:val="center"/>
          </w:tcPr>
          <w:p w:rsidR="00A05216" w:rsidRPr="0067437A" w:rsidRDefault="00A05216" w:rsidP="00373928">
            <w:pPr>
              <w:pStyle w:val="TableText0"/>
              <w:jc w:val="center"/>
            </w:pPr>
            <w:r w:rsidRPr="0067437A">
              <w:t>-7% (-12, -3)</w:t>
            </w:r>
          </w:p>
        </w:tc>
      </w:tr>
    </w:tbl>
    <w:bookmarkEnd w:id="21"/>
    <w:p w:rsidR="00620C25" w:rsidRPr="0067437A" w:rsidRDefault="00AB0737" w:rsidP="00620C25">
      <w:pPr>
        <w:pStyle w:val="TableFigureFooter"/>
      </w:pPr>
      <w:r w:rsidRPr="0067437A">
        <w:t xml:space="preserve"> AE = adverse event; CEC = Critical Event Committee; CI = confidence interval; EOT = end of treatment; </w:t>
      </w:r>
      <w:r w:rsidR="00620C25" w:rsidRPr="0067437A">
        <w:t xml:space="preserve">HR = hazard ratio; </w:t>
      </w:r>
      <w:r w:rsidRPr="0067437A">
        <w:t xml:space="preserve">IQR = interquartile range; ITT = intention to treat; MM = morbidity/mortality; NR = not reported; PAH = pulmonary arterial hypertension; </w:t>
      </w:r>
      <w:r w:rsidR="00620C25" w:rsidRPr="0067437A">
        <w:t>PBO = placebo; RD = risk difference; RR = risk ratio</w:t>
      </w:r>
      <w:r w:rsidR="0081468E" w:rsidRPr="0067437A">
        <w:t xml:space="preserve">, </w:t>
      </w:r>
      <w:r w:rsidR="0081468E" w:rsidRPr="0067437A">
        <w:rPr>
          <w:rFonts w:eastAsia="Calibri"/>
          <w:szCs w:val="18"/>
        </w:rPr>
        <w:t>CEC = Critical Event Committee</w:t>
      </w:r>
      <w:r w:rsidR="009E0E38" w:rsidRPr="0067437A">
        <w:rPr>
          <w:rFonts w:eastAsia="Calibri"/>
          <w:szCs w:val="18"/>
        </w:rPr>
        <w:t xml:space="preserve">, </w:t>
      </w:r>
    </w:p>
    <w:p w:rsidR="008A65AC" w:rsidRPr="0067437A" w:rsidRDefault="008A65AC" w:rsidP="008A65AC">
      <w:pPr>
        <w:pStyle w:val="TableFigureFooter"/>
        <w:rPr>
          <w:b/>
        </w:rPr>
      </w:pPr>
      <w:r w:rsidRPr="0067437A">
        <w:lastRenderedPageBreak/>
        <w:t>Source: Tables 2.27 and 2.28, pp124-125 of the submission and Tables 12-8 and 12-10, pp269-273 of GRIPHON CSR, Table B.6.4 of March 2016 commentary</w:t>
      </w:r>
    </w:p>
    <w:p w:rsidR="00921A51" w:rsidRPr="0067437A" w:rsidRDefault="00921A51" w:rsidP="00D2155B">
      <w:pPr>
        <w:pStyle w:val="TableFigureFooter"/>
      </w:pPr>
    </w:p>
    <w:p w:rsidR="00373928" w:rsidRPr="0067437A" w:rsidRDefault="00EC00C9" w:rsidP="00EE2247">
      <w:pPr>
        <w:pStyle w:val="3-BodyText"/>
        <w:ind w:left="709"/>
      </w:pPr>
      <w:r w:rsidRPr="0067437A">
        <w:t>On the basis of direct</w:t>
      </w:r>
      <w:r w:rsidR="00A912A7" w:rsidRPr="0067437A">
        <w:t xml:space="preserve"> </w:t>
      </w:r>
      <w:r w:rsidRPr="0067437A">
        <w:t xml:space="preserve">evidence presented by the </w:t>
      </w:r>
      <w:r w:rsidR="00A912A7" w:rsidRPr="0067437A">
        <w:t>re</w:t>
      </w:r>
      <w:r w:rsidRPr="0067437A">
        <w:t xml:space="preserve">submission, for every 100 patients treated with </w:t>
      </w:r>
      <w:r w:rsidR="00A912A7" w:rsidRPr="0067437A">
        <w:t>selexipag</w:t>
      </w:r>
      <w:r w:rsidRPr="0067437A">
        <w:t xml:space="preserve"> in comparison </w:t>
      </w:r>
      <w:r w:rsidR="006D68FB" w:rsidRPr="0067437A">
        <w:t xml:space="preserve">with </w:t>
      </w:r>
      <w:r w:rsidR="00A912A7" w:rsidRPr="0067437A">
        <w:t>placebo</w:t>
      </w:r>
      <w:r w:rsidR="00422260" w:rsidRPr="0067437A">
        <w:t xml:space="preserve"> </w:t>
      </w:r>
      <w:r w:rsidR="00D4089B" w:rsidRPr="0067437A">
        <w:t>in a broad population of PAH patients</w:t>
      </w:r>
      <w:r w:rsidR="006F375D" w:rsidRPr="0067437A">
        <w:t xml:space="preserve"> (WHO FC I to IV)</w:t>
      </w:r>
      <w:r w:rsidR="00D4089B" w:rsidRPr="0067437A">
        <w:t>, including treatment naïve, or taking background single or dual PAH therapies</w:t>
      </w:r>
      <w:r w:rsidR="00373928" w:rsidRPr="0067437A">
        <w:t>:</w:t>
      </w:r>
    </w:p>
    <w:p w:rsidR="00373928" w:rsidRPr="0067437A" w:rsidRDefault="009E0E38" w:rsidP="00F33FA7">
      <w:pPr>
        <w:pStyle w:val="3-BodyText"/>
        <w:numPr>
          <w:ilvl w:val="4"/>
          <w:numId w:val="18"/>
        </w:numPr>
        <w:ind w:left="1077" w:hanging="357"/>
      </w:pPr>
      <w:r w:rsidRPr="0067437A">
        <w:t xml:space="preserve">approximately </w:t>
      </w:r>
      <w:r w:rsidR="0075179E" w:rsidRPr="0067437A">
        <w:t>7</w:t>
      </w:r>
      <w:r w:rsidRPr="0067437A">
        <w:t xml:space="preserve"> patients would not have had a confirmed morbidity/mortality event at 6 months.</w:t>
      </w:r>
    </w:p>
    <w:p w:rsidR="002435A5" w:rsidRPr="0067437A" w:rsidRDefault="002435A5" w:rsidP="002435A5">
      <w:pPr>
        <w:pStyle w:val="3-BodyText"/>
        <w:ind w:left="709"/>
      </w:pPr>
      <w:r>
        <w:t>Although the results did not meet the nominal significance levels, o</w:t>
      </w:r>
      <w:r w:rsidRPr="0067437A">
        <w:t xml:space="preserve">n the basis of direct evidence presented by the resubmission, for every 100 patients treated with selexipag in comparison with placebo in </w:t>
      </w:r>
      <w:r>
        <w:t xml:space="preserve">patients with WHO FC III PAH and receiving </w:t>
      </w:r>
      <w:r w:rsidRPr="0067437A">
        <w:t>background dual PAH therap</w:t>
      </w:r>
      <w:r>
        <w:t>y</w:t>
      </w:r>
      <w:r w:rsidRPr="0067437A">
        <w:t>:</w:t>
      </w:r>
    </w:p>
    <w:p w:rsidR="002435A5" w:rsidRPr="0067437A" w:rsidRDefault="002435A5" w:rsidP="002435A5">
      <w:pPr>
        <w:pStyle w:val="3-BodyText"/>
        <w:numPr>
          <w:ilvl w:val="4"/>
          <w:numId w:val="18"/>
        </w:numPr>
        <w:ind w:left="1077" w:hanging="357"/>
      </w:pPr>
      <w:r w:rsidRPr="0067437A">
        <w:t xml:space="preserve">approximately </w:t>
      </w:r>
      <w:r>
        <w:t>9</w:t>
      </w:r>
      <w:r w:rsidRPr="0067437A">
        <w:t xml:space="preserve"> patients would not have had a confirme</w:t>
      </w:r>
      <w:r>
        <w:t>d morbidity/mortality event at 12</w:t>
      </w:r>
      <w:r w:rsidRPr="0067437A">
        <w:t xml:space="preserve"> months.</w:t>
      </w:r>
    </w:p>
    <w:p w:rsidR="00FC1884" w:rsidRPr="0067437A" w:rsidRDefault="009E0E38" w:rsidP="00EE2247">
      <w:pPr>
        <w:pStyle w:val="3-BodyText"/>
        <w:ind w:left="709"/>
      </w:pPr>
      <w:r w:rsidRPr="0067437A">
        <w:t>On the basis of direct evidence presented by the resubmission, for every 100 patients treated with selexipag in comparison with placebo in a broad population of PAH patients</w:t>
      </w:r>
      <w:r w:rsidR="006F375D" w:rsidRPr="0067437A">
        <w:t xml:space="preserve"> (WHO FC I to IV)</w:t>
      </w:r>
      <w:r w:rsidRPr="0067437A">
        <w:t>, including treatment naïve, or taking background single or dual PAH therapies</w:t>
      </w:r>
      <w:r w:rsidR="00D4089B" w:rsidRPr="0067437A">
        <w:t xml:space="preserve"> </w:t>
      </w:r>
      <w:r w:rsidR="00422260" w:rsidRPr="0067437A">
        <w:t xml:space="preserve">over a </w:t>
      </w:r>
      <w:r w:rsidR="00A912A7" w:rsidRPr="0067437A">
        <w:t>median</w:t>
      </w:r>
      <w:r w:rsidR="00422260" w:rsidRPr="0067437A">
        <w:t xml:space="preserve"> duration of </w:t>
      </w:r>
      <w:r w:rsidR="001C2A9B" w:rsidRPr="0067437A">
        <w:t>follow-up</w:t>
      </w:r>
      <w:r w:rsidR="00181DF6" w:rsidRPr="0067437A">
        <w:t xml:space="preserve"> of </w:t>
      </w:r>
      <w:r w:rsidR="00767440" w:rsidRPr="0067437A">
        <w:t>70.7 and 63.7 weeks in the selexipag and placebo treatment arms</w:t>
      </w:r>
      <w:r w:rsidR="00181DF6" w:rsidRPr="0067437A">
        <w:t xml:space="preserve">, </w:t>
      </w:r>
      <w:r w:rsidR="00767440" w:rsidRPr="0067437A">
        <w:t>respectively</w:t>
      </w:r>
      <w:r w:rsidR="001C2A9B" w:rsidRPr="0067437A">
        <w:t>:</w:t>
      </w:r>
    </w:p>
    <w:p w:rsidR="00FC1884" w:rsidRPr="0067437A" w:rsidRDefault="009E0E38" w:rsidP="00CB59B2">
      <w:pPr>
        <w:pStyle w:val="ListParagraph"/>
        <w:ind w:left="1077" w:hanging="357"/>
      </w:pPr>
      <w:r w:rsidRPr="0067437A">
        <w:t>a</w:t>
      </w:r>
      <w:r w:rsidR="00FC1884" w:rsidRPr="0067437A">
        <w:t xml:space="preserve">pproximately </w:t>
      </w:r>
      <w:r w:rsidR="00010C08" w:rsidRPr="0067437A">
        <w:t>33</w:t>
      </w:r>
      <w:r w:rsidR="00FC1884" w:rsidRPr="0067437A">
        <w:t xml:space="preserve"> additional </w:t>
      </w:r>
      <w:r w:rsidR="00C41768" w:rsidRPr="0067437A">
        <w:t xml:space="preserve">patients would experience </w:t>
      </w:r>
      <w:r w:rsidR="00FC1884" w:rsidRPr="0067437A">
        <w:t>treatment related adver</w:t>
      </w:r>
      <w:r w:rsidR="001C2A9B" w:rsidRPr="0067437A">
        <w:t>se events</w:t>
      </w:r>
      <w:r w:rsidR="007A4EA6" w:rsidRPr="0067437A">
        <w:t xml:space="preserve"> (any type)</w:t>
      </w:r>
      <w:r w:rsidR="00373928" w:rsidRPr="0067437A">
        <w:t>;</w:t>
      </w:r>
      <w:r w:rsidRPr="0067437A">
        <w:t xml:space="preserve"> and</w:t>
      </w:r>
    </w:p>
    <w:p w:rsidR="00350C25" w:rsidRPr="0067437A" w:rsidRDefault="00350C25" w:rsidP="00CB59B2">
      <w:pPr>
        <w:pStyle w:val="ListParagraph"/>
        <w:ind w:left="1077" w:hanging="357"/>
      </w:pPr>
      <w:r w:rsidRPr="0067437A">
        <w:t xml:space="preserve">approximately 34 additional patients would experience a prostacyclin-related adverse events including: headache, diarrhoea, nausea, jaw pain, vomiting, pain in </w:t>
      </w:r>
      <w:r w:rsidR="00A3361B" w:rsidRPr="0067437A">
        <w:t>extremity, myalgia and flushing.</w:t>
      </w:r>
    </w:p>
    <w:p w:rsidR="00010C08" w:rsidRPr="0067437A" w:rsidRDefault="009E0E38" w:rsidP="00CB59B2">
      <w:pPr>
        <w:pStyle w:val="ListParagraph"/>
        <w:ind w:left="1077" w:hanging="357"/>
      </w:pPr>
      <w:r w:rsidRPr="0067437A">
        <w:t>a</w:t>
      </w:r>
      <w:r w:rsidR="00010C08" w:rsidRPr="0067437A">
        <w:t>pproximately 8 additional patients would experience a prostacyclin-related adverse event resulting in treatment discontinuation</w:t>
      </w:r>
      <w:r w:rsidR="00373928" w:rsidRPr="0067437A">
        <w:t>;</w:t>
      </w:r>
      <w:r w:rsidR="00CB59B2" w:rsidRPr="0067437A">
        <w:t xml:space="preserve"> and</w:t>
      </w:r>
    </w:p>
    <w:p w:rsidR="00EB1485" w:rsidRPr="0067437A" w:rsidRDefault="009E0E38" w:rsidP="00CB59B2">
      <w:pPr>
        <w:pStyle w:val="ListParagraph"/>
        <w:ind w:left="1077" w:hanging="357"/>
      </w:pPr>
      <w:r w:rsidRPr="0067437A">
        <w:t>a</w:t>
      </w:r>
      <w:r w:rsidR="00EB1485" w:rsidRPr="0067437A">
        <w:t>pproximately 3 fewer patients would experience at least one serious adverse event</w:t>
      </w:r>
      <w:r w:rsidR="00A3361B" w:rsidRPr="0067437A">
        <w:t>.</w:t>
      </w:r>
    </w:p>
    <w:p w:rsidR="00B60939" w:rsidRPr="0067437A" w:rsidRDefault="00B60939" w:rsidP="00E9094A">
      <w:pPr>
        <w:pStyle w:val="4-SubsectionHeading"/>
      </w:pPr>
      <w:bookmarkStart w:id="22" w:name="_Toc22897644"/>
      <w:bookmarkStart w:id="23" w:name="_Toc40866421"/>
      <w:r w:rsidRPr="0067437A">
        <w:t>Clinical claim</w:t>
      </w:r>
      <w:bookmarkEnd w:id="22"/>
      <w:bookmarkEnd w:id="23"/>
    </w:p>
    <w:p w:rsidR="00CE6E45" w:rsidRPr="0067437A" w:rsidRDefault="00E72351" w:rsidP="00920BC9">
      <w:pPr>
        <w:pStyle w:val="3-BodyText"/>
        <w:ind w:left="709"/>
      </w:pPr>
      <w:r w:rsidRPr="0067437A">
        <w:t xml:space="preserve">The </w:t>
      </w:r>
      <w:r w:rsidR="00920BC9" w:rsidRPr="0067437A">
        <w:t>re</w:t>
      </w:r>
      <w:r w:rsidRPr="0067437A">
        <w:t>submission described selexipag as superior in terms of effectiveness and inferior in terms of safety compared with placebo when used as sequential add-on therapy with ERA and a PDE-5i (i</w:t>
      </w:r>
      <w:r w:rsidR="005308AC" w:rsidRPr="0067437A">
        <w:t>.</w:t>
      </w:r>
      <w:r w:rsidRPr="0067437A">
        <w:t>e</w:t>
      </w:r>
      <w:r w:rsidR="005308AC" w:rsidRPr="0067437A">
        <w:t>.</w:t>
      </w:r>
      <w:r w:rsidRPr="0067437A">
        <w:t xml:space="preserve"> triple therapy), for patients with WHO FC III or IV PAH</w:t>
      </w:r>
      <w:r w:rsidR="0067437A">
        <w:t xml:space="preserve">. </w:t>
      </w:r>
      <w:r w:rsidRPr="0067437A">
        <w:t>This claim was unchanged from the previous submissions</w:t>
      </w:r>
      <w:r w:rsidR="0067437A">
        <w:t xml:space="preserve">. </w:t>
      </w:r>
    </w:p>
    <w:p w:rsidR="00E72351" w:rsidRPr="0067437A" w:rsidRDefault="00CE6E45" w:rsidP="00CC5786">
      <w:pPr>
        <w:pStyle w:val="3-BodyText"/>
        <w:ind w:left="709"/>
      </w:pPr>
      <w:r w:rsidRPr="0067437A">
        <w:t>T</w:t>
      </w:r>
      <w:r w:rsidR="00E72351" w:rsidRPr="0067437A">
        <w:t>he</w:t>
      </w:r>
      <w:r w:rsidR="00E72351" w:rsidRPr="0067437A">
        <w:rPr>
          <w:i/>
        </w:rPr>
        <w:t xml:space="preserve"> </w:t>
      </w:r>
      <w:r w:rsidR="00CB59B2" w:rsidRPr="0067437A">
        <w:t xml:space="preserve">ESC considered the </w:t>
      </w:r>
      <w:r w:rsidR="00E72351" w:rsidRPr="0067437A">
        <w:t xml:space="preserve">claim </w:t>
      </w:r>
      <w:r w:rsidR="00452675">
        <w:t>of</w:t>
      </w:r>
      <w:r w:rsidRPr="0067437A">
        <w:t xml:space="preserve"> </w:t>
      </w:r>
      <w:r w:rsidR="00E72351" w:rsidRPr="0067437A">
        <w:t>superior eff</w:t>
      </w:r>
      <w:r w:rsidR="00A07F89">
        <w:t>ectiveness</w:t>
      </w:r>
      <w:r w:rsidR="00E72351" w:rsidRPr="0067437A">
        <w:t xml:space="preserve"> versus placebo in the subgroup of patients matching the PBS eligibility criteria </w:t>
      </w:r>
      <w:r w:rsidRPr="0067437A">
        <w:t>was not</w:t>
      </w:r>
      <w:r w:rsidR="00944B59" w:rsidRPr="0067437A">
        <w:t xml:space="preserve"> adequately</w:t>
      </w:r>
      <w:r w:rsidRPr="0067437A">
        <w:t xml:space="preserve"> supported as</w:t>
      </w:r>
      <w:r w:rsidR="00E72351" w:rsidRPr="0067437A">
        <w:t xml:space="preserve">: </w:t>
      </w:r>
    </w:p>
    <w:p w:rsidR="00E72351" w:rsidRPr="0067437A" w:rsidRDefault="009E0E38" w:rsidP="008712E2">
      <w:pPr>
        <w:pStyle w:val="ListParagraph"/>
        <w:spacing w:after="0"/>
        <w:ind w:left="1134" w:hanging="357"/>
      </w:pPr>
      <w:r w:rsidRPr="0067437A">
        <w:t>s</w:t>
      </w:r>
      <w:r w:rsidR="00E72351" w:rsidRPr="0067437A">
        <w:t xml:space="preserve">ubgroup analyses of patients with WHO FC III PAH on background dual therapy with an ERA and a PDE-5i in GRIPHON did not find a </w:t>
      </w:r>
      <w:r w:rsidR="00B877F0">
        <w:t xml:space="preserve">statistically </w:t>
      </w:r>
      <w:r w:rsidR="00E72351" w:rsidRPr="0067437A">
        <w:t xml:space="preserve">significant </w:t>
      </w:r>
      <w:r w:rsidR="00E72351" w:rsidRPr="0067437A">
        <w:lastRenderedPageBreak/>
        <w:t>difference between placebo and selexipag for the primary outcome of time to first CEC-confirmed MM event (up to 7 days after treatment end)</w:t>
      </w:r>
      <w:r w:rsidRPr="0067437A">
        <w:t xml:space="preserve"> (</w:t>
      </w:r>
      <w:r w:rsidR="00E72351" w:rsidRPr="0067437A">
        <w:t>HR</w:t>
      </w:r>
      <w:r w:rsidR="00C0531E">
        <w:t xml:space="preserve"> </w:t>
      </w:r>
      <w:r w:rsidRPr="0067437A">
        <w:t>=</w:t>
      </w:r>
      <w:r w:rsidR="00C0531E">
        <w:t xml:space="preserve"> </w:t>
      </w:r>
      <w:r w:rsidR="00E72351" w:rsidRPr="0067437A">
        <w:t>0.74</w:t>
      </w:r>
      <w:r w:rsidRPr="0067437A">
        <w:t xml:space="preserve">; 95% CI: </w:t>
      </w:r>
      <w:r w:rsidR="00E72351" w:rsidRPr="0067437A">
        <w:t>0.</w:t>
      </w:r>
      <w:r w:rsidRPr="0067437A">
        <w:t>50, 1.10)</w:t>
      </w:r>
      <w:r w:rsidR="00404A9C" w:rsidRPr="0067437A">
        <w:t>. A</w:t>
      </w:r>
      <w:r w:rsidR="00CB59B2" w:rsidRPr="0067437A">
        <w:t>lthough the</w:t>
      </w:r>
      <w:r w:rsidR="00944B59" w:rsidRPr="0067437A">
        <w:t xml:space="preserve"> ESC noted this was based on a subgroup analysis which was likely underpowered</w:t>
      </w:r>
      <w:r w:rsidR="00404A9C" w:rsidRPr="0067437A">
        <w:t xml:space="preserve">, the ESC considered that the magnitude of </w:t>
      </w:r>
      <w:r w:rsidR="00AB0A2D" w:rsidRPr="0067437A">
        <w:t xml:space="preserve">any </w:t>
      </w:r>
      <w:r w:rsidR="00404A9C" w:rsidRPr="0067437A">
        <w:t>benefit in patients with WHO FC III PAH remained uncertain</w:t>
      </w:r>
      <w:r w:rsidRPr="0067437A">
        <w:t>; and</w:t>
      </w:r>
    </w:p>
    <w:p w:rsidR="00E72351" w:rsidRPr="0067437A" w:rsidRDefault="00751AAE" w:rsidP="00354BD0">
      <w:pPr>
        <w:pStyle w:val="ListParagraph"/>
        <w:ind w:left="1134" w:hanging="357"/>
      </w:pPr>
      <w:r w:rsidRPr="0067437A">
        <w:t>no</w:t>
      </w:r>
      <w:r w:rsidR="00E72351" w:rsidRPr="0067437A">
        <w:t xml:space="preserve"> </w:t>
      </w:r>
      <w:r w:rsidR="009E0E38" w:rsidRPr="0067437A">
        <w:t>data wa</w:t>
      </w:r>
      <w:r w:rsidR="00E72351" w:rsidRPr="0067437A">
        <w:t>s available from the GRIPHON trial to determine efficacy of sequential triple therapy of selexipag added on to background dual therapy of an ERA and a PDE-5i in patients with WHO FC IV disease</w:t>
      </w:r>
      <w:r w:rsidR="0067437A">
        <w:t xml:space="preserve">. </w:t>
      </w:r>
      <w:r w:rsidR="00E72351" w:rsidRPr="0067437A">
        <w:t>The resubmission requested listing on a high clinical need basis and argued that there is no biological rationale to consider that the relative treatment effect from triple therapy with selexipag will be significantly different in this population</w:t>
      </w:r>
      <w:r w:rsidR="0067437A">
        <w:t xml:space="preserve">. </w:t>
      </w:r>
      <w:r w:rsidR="00E2737A" w:rsidRPr="0067437A">
        <w:t>T</w:t>
      </w:r>
      <w:r w:rsidR="00404A9C" w:rsidRPr="0067437A">
        <w:t>he ESC considered that t</w:t>
      </w:r>
      <w:r w:rsidR="00E2737A" w:rsidRPr="0067437A">
        <w:t xml:space="preserve">his statement </w:t>
      </w:r>
      <w:r w:rsidR="00944B59" w:rsidRPr="0067437A">
        <w:t>was not adequately</w:t>
      </w:r>
      <w:r w:rsidR="00E2737A" w:rsidRPr="0067437A">
        <w:t xml:space="preserve"> supported given </w:t>
      </w:r>
      <w:r w:rsidR="00986F30" w:rsidRPr="0067437A">
        <w:t xml:space="preserve">subgroup analysis suggested potentially better efficacy for selexipag triple therapy in </w:t>
      </w:r>
      <w:r w:rsidR="00E2737A" w:rsidRPr="0067437A">
        <w:t xml:space="preserve">WHO FC II </w:t>
      </w:r>
      <w:r w:rsidR="00986F30" w:rsidRPr="0067437A">
        <w:t>versus WHO FC III patients.</w:t>
      </w:r>
      <w:r w:rsidR="00AB0737" w:rsidRPr="0067437A">
        <w:t xml:space="preserve"> The PBAC considered </w:t>
      </w:r>
      <w:r w:rsidR="00382733">
        <w:t xml:space="preserve">that although </w:t>
      </w:r>
      <w:r w:rsidR="00AB0737" w:rsidRPr="0067437A">
        <w:t>it was biologically plausible that selexipag would be beneficial in the WHO FC IV population</w:t>
      </w:r>
      <w:r w:rsidR="00382733">
        <w:t>, the magnitude of the effect was highly uncertain</w:t>
      </w:r>
      <w:r w:rsidR="00AB0737" w:rsidRPr="0067437A">
        <w:t>.</w:t>
      </w:r>
    </w:p>
    <w:p w:rsidR="00CD5BDB" w:rsidRDefault="00CD5BDB" w:rsidP="00CD5BDB">
      <w:pPr>
        <w:pStyle w:val="3-BodyText"/>
        <w:ind w:left="709"/>
      </w:pPr>
      <w:r w:rsidRPr="0067437A">
        <w:t xml:space="preserve">The PBAC considered that the claim of superior comparative effectiveness was </w:t>
      </w:r>
      <w:r w:rsidR="001E12D8" w:rsidRPr="0067437A">
        <w:t xml:space="preserve">likely to be </w:t>
      </w:r>
      <w:r w:rsidRPr="0067437A">
        <w:t>reasonable.</w:t>
      </w:r>
    </w:p>
    <w:p w:rsidR="00452675" w:rsidRPr="0067437A" w:rsidRDefault="00452675" w:rsidP="00452675">
      <w:pPr>
        <w:pStyle w:val="3-BodyText"/>
        <w:ind w:left="709"/>
      </w:pPr>
      <w:r w:rsidRPr="0067437A">
        <w:t xml:space="preserve">The PBAC </w:t>
      </w:r>
      <w:r>
        <w:t>reaffirmed its view</w:t>
      </w:r>
      <w:r w:rsidRPr="0067437A">
        <w:t xml:space="preserve"> that the claim of inferior safety was reasonable.</w:t>
      </w:r>
    </w:p>
    <w:p w:rsidR="00F66DD2" w:rsidRPr="0067437A" w:rsidRDefault="00F66DD2" w:rsidP="00F66DD2">
      <w:pPr>
        <w:pStyle w:val="4-SubsectionHeading"/>
      </w:pPr>
      <w:bookmarkStart w:id="24" w:name="_Toc40866422"/>
      <w:bookmarkStart w:id="25" w:name="_Toc22897645"/>
      <w:r w:rsidRPr="0067437A">
        <w:t>Economic analysis</w:t>
      </w:r>
      <w:bookmarkEnd w:id="24"/>
      <w:r w:rsidRPr="0067437A">
        <w:t xml:space="preserve"> </w:t>
      </w:r>
    </w:p>
    <w:p w:rsidR="00F66DD2" w:rsidRPr="0067437A" w:rsidRDefault="00F66DD2" w:rsidP="00F66DD2">
      <w:pPr>
        <w:pStyle w:val="3-BodyText"/>
        <w:ind w:left="720"/>
        <w:rPr>
          <w:b/>
          <w:bCs/>
          <w:i/>
        </w:rPr>
      </w:pPr>
      <w:r w:rsidRPr="0067437A">
        <w:t>The resubmission presented a new stepped economic evaluation, starting with trial-based incremental cost per progression-free life year, and then implementing a modelled cost-utility analysis</w:t>
      </w:r>
      <w:r w:rsidR="0067437A">
        <w:t xml:space="preserve">. </w:t>
      </w:r>
      <w:r w:rsidRPr="0067437A">
        <w:t xml:space="preserve">This was appropriate, the March 2016 and March 2017 submissions did not present a cost-utility analysis and the PBAC had considered that a cost-utility analysis would </w:t>
      </w:r>
      <w:r w:rsidR="00090C10" w:rsidRPr="0067437A">
        <w:t>be more informative</w:t>
      </w:r>
      <w:r w:rsidRPr="0067437A">
        <w:t>.</w:t>
      </w:r>
    </w:p>
    <w:p w:rsidR="00F66DD2" w:rsidRPr="0067437A" w:rsidRDefault="00665B7A" w:rsidP="00F66DD2">
      <w:pPr>
        <w:pStyle w:val="3-BodyText"/>
        <w:ind w:left="720"/>
      </w:pPr>
      <w:r w:rsidRPr="0067437A">
        <w:t>Table 8</w:t>
      </w:r>
      <w:r w:rsidR="00F66DD2" w:rsidRPr="0067437A">
        <w:t xml:space="preserve"> summarises the key components of the economic evaluation.</w:t>
      </w:r>
    </w:p>
    <w:p w:rsidR="00F66DD2" w:rsidRPr="0067437A" w:rsidRDefault="00665B7A" w:rsidP="00F66DD2">
      <w:pPr>
        <w:pStyle w:val="3-BodyText"/>
        <w:keepNext/>
        <w:keepLines/>
        <w:numPr>
          <w:ilvl w:val="0"/>
          <w:numId w:val="0"/>
        </w:numPr>
        <w:spacing w:after="0"/>
        <w:rPr>
          <w:rStyle w:val="CommentReference"/>
          <w:szCs w:val="24"/>
        </w:rPr>
      </w:pPr>
      <w:r w:rsidRPr="0067437A">
        <w:rPr>
          <w:rStyle w:val="CommentReference"/>
          <w:szCs w:val="24"/>
        </w:rPr>
        <w:lastRenderedPageBreak/>
        <w:t>Table 8</w:t>
      </w:r>
      <w:r w:rsidR="00F66DD2" w:rsidRPr="0067437A">
        <w:rPr>
          <w:rStyle w:val="CommentReference"/>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F66DD2" w:rsidRPr="0067437A" w:rsidTr="00F66DD2">
        <w:trPr>
          <w:tblHeader/>
        </w:trPr>
        <w:tc>
          <w:tcPr>
            <w:tcW w:w="1396" w:type="pct"/>
            <w:shd w:val="clear" w:color="auto" w:fill="auto"/>
            <w:vAlign w:val="center"/>
          </w:tcPr>
          <w:p w:rsidR="00F66DD2" w:rsidRPr="0067437A" w:rsidRDefault="00F66DD2" w:rsidP="00F66DD2">
            <w:pPr>
              <w:pStyle w:val="In-tableHeading"/>
              <w:keepLines/>
              <w:rPr>
                <w:lang w:val="en-AU"/>
              </w:rPr>
            </w:pPr>
            <w:r w:rsidRPr="0067437A">
              <w:rPr>
                <w:lang w:val="en-AU"/>
              </w:rPr>
              <w:t>Component</w:t>
            </w:r>
          </w:p>
        </w:tc>
        <w:tc>
          <w:tcPr>
            <w:tcW w:w="3604" w:type="pct"/>
            <w:shd w:val="clear" w:color="auto" w:fill="auto"/>
            <w:vAlign w:val="center"/>
          </w:tcPr>
          <w:p w:rsidR="00F66DD2" w:rsidRPr="0067437A" w:rsidRDefault="00F66DD2" w:rsidP="00F66DD2">
            <w:pPr>
              <w:pStyle w:val="In-tableHeading"/>
              <w:keepLines/>
              <w:rPr>
                <w:lang w:val="en-AU"/>
              </w:rPr>
            </w:pPr>
            <w:r w:rsidRPr="0067437A">
              <w:rPr>
                <w:lang w:val="en-AU"/>
              </w:rPr>
              <w:t>Summary</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Treatments</w:t>
            </w:r>
          </w:p>
        </w:tc>
        <w:tc>
          <w:tcPr>
            <w:tcW w:w="3604" w:type="pct"/>
            <w:shd w:val="clear" w:color="auto" w:fill="auto"/>
            <w:vAlign w:val="center"/>
          </w:tcPr>
          <w:p w:rsidR="00F66DD2" w:rsidRPr="0067437A" w:rsidRDefault="00F66DD2" w:rsidP="00F66DD2">
            <w:pPr>
              <w:pStyle w:val="TableText0"/>
              <w:keepLines/>
            </w:pPr>
            <w:r w:rsidRPr="0067437A">
              <w:t>Selexipag versus placebo</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Time horizon</w:t>
            </w:r>
          </w:p>
        </w:tc>
        <w:tc>
          <w:tcPr>
            <w:tcW w:w="3604" w:type="pct"/>
            <w:shd w:val="clear" w:color="auto" w:fill="auto"/>
            <w:vAlign w:val="center"/>
          </w:tcPr>
          <w:p w:rsidR="00F66DD2" w:rsidRPr="0067437A" w:rsidRDefault="00F66DD2" w:rsidP="00F66DD2">
            <w:pPr>
              <w:pStyle w:val="TableText0"/>
              <w:keepLines/>
            </w:pPr>
            <w:r w:rsidRPr="0067437A">
              <w:t>20 years in the model base case vs. ~69 weeks in the GRIPHON trial</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Outcomes</w:t>
            </w:r>
          </w:p>
        </w:tc>
        <w:tc>
          <w:tcPr>
            <w:tcW w:w="3604" w:type="pct"/>
            <w:shd w:val="clear" w:color="auto" w:fill="auto"/>
            <w:vAlign w:val="center"/>
          </w:tcPr>
          <w:p w:rsidR="00F66DD2" w:rsidRPr="0067437A" w:rsidRDefault="00F66DD2" w:rsidP="00F66DD2">
            <w:pPr>
              <w:pStyle w:val="TableText0"/>
              <w:keepLines/>
            </w:pPr>
            <w:r w:rsidRPr="0067437A">
              <w:t>QALYs</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Methods used to generate results</w:t>
            </w:r>
          </w:p>
        </w:tc>
        <w:tc>
          <w:tcPr>
            <w:tcW w:w="3604" w:type="pct"/>
            <w:shd w:val="clear" w:color="auto" w:fill="auto"/>
            <w:vAlign w:val="center"/>
          </w:tcPr>
          <w:p w:rsidR="00F66DD2" w:rsidRPr="0067437A" w:rsidRDefault="00F66DD2" w:rsidP="00F66DD2">
            <w:pPr>
              <w:pStyle w:val="TableText0"/>
              <w:keepLines/>
            </w:pPr>
            <w:r w:rsidRPr="0067437A">
              <w:t>Markov state transition model</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Health states</w:t>
            </w:r>
          </w:p>
        </w:tc>
        <w:tc>
          <w:tcPr>
            <w:tcW w:w="3604" w:type="pct"/>
            <w:shd w:val="clear" w:color="auto" w:fill="auto"/>
            <w:vAlign w:val="center"/>
          </w:tcPr>
          <w:p w:rsidR="00F66DD2" w:rsidRPr="0067437A" w:rsidRDefault="00F66DD2" w:rsidP="00F66DD2">
            <w:pPr>
              <w:pStyle w:val="TableText0"/>
              <w:keepLines/>
            </w:pPr>
            <w:r w:rsidRPr="0067437A">
              <w:t>Four health states:</w:t>
            </w:r>
          </w:p>
          <w:p w:rsidR="00F66DD2" w:rsidRPr="0067437A" w:rsidRDefault="00F66DD2" w:rsidP="00F33FA7">
            <w:pPr>
              <w:pStyle w:val="TableText0"/>
              <w:keepLines/>
              <w:numPr>
                <w:ilvl w:val="0"/>
                <w:numId w:val="9"/>
              </w:numPr>
              <w:ind w:left="130" w:hanging="142"/>
            </w:pPr>
            <w:r w:rsidRPr="0067437A">
              <w:t>Improved PAH</w:t>
            </w:r>
          </w:p>
          <w:p w:rsidR="00F66DD2" w:rsidRPr="0067437A" w:rsidRDefault="00F66DD2" w:rsidP="00F33FA7">
            <w:pPr>
              <w:pStyle w:val="TableText0"/>
              <w:keepLines/>
              <w:numPr>
                <w:ilvl w:val="0"/>
                <w:numId w:val="9"/>
              </w:numPr>
              <w:ind w:left="130" w:hanging="142"/>
            </w:pPr>
            <w:r w:rsidRPr="0067437A">
              <w:t>Stable PAH</w:t>
            </w:r>
          </w:p>
          <w:p w:rsidR="00F66DD2" w:rsidRPr="0067437A" w:rsidRDefault="00F66DD2" w:rsidP="00F33FA7">
            <w:pPr>
              <w:pStyle w:val="TableText0"/>
              <w:keepLines/>
              <w:numPr>
                <w:ilvl w:val="0"/>
                <w:numId w:val="9"/>
              </w:numPr>
              <w:ind w:left="130" w:hanging="142"/>
            </w:pPr>
            <w:r w:rsidRPr="0067437A">
              <w:t>Progressed PAH</w:t>
            </w:r>
          </w:p>
          <w:p w:rsidR="00F66DD2" w:rsidRPr="0067437A" w:rsidRDefault="00F66DD2" w:rsidP="00F33FA7">
            <w:pPr>
              <w:pStyle w:val="TableText0"/>
              <w:keepLines/>
              <w:numPr>
                <w:ilvl w:val="0"/>
                <w:numId w:val="9"/>
              </w:numPr>
              <w:ind w:left="130" w:hanging="142"/>
            </w:pPr>
            <w:r w:rsidRPr="0067437A">
              <w:t>Death</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Cycle length</w:t>
            </w:r>
          </w:p>
        </w:tc>
        <w:tc>
          <w:tcPr>
            <w:tcW w:w="3604" w:type="pct"/>
            <w:shd w:val="clear" w:color="auto" w:fill="auto"/>
            <w:vAlign w:val="center"/>
          </w:tcPr>
          <w:p w:rsidR="00F66DD2" w:rsidRPr="0067437A" w:rsidRDefault="00F66DD2" w:rsidP="00F66DD2">
            <w:pPr>
              <w:pStyle w:val="TableText0"/>
              <w:keepLines/>
            </w:pPr>
            <w:r w:rsidRPr="0067437A">
              <w:t>3 months</w:t>
            </w:r>
            <w:r w:rsidR="0083513E" w:rsidRPr="0067437A">
              <w:t xml:space="preserve"> (1</w:t>
            </w:r>
            <w:r w:rsidR="00242838" w:rsidRPr="0067437A">
              <w:t>3</w:t>
            </w:r>
            <w:r w:rsidR="0083513E" w:rsidRPr="0067437A">
              <w:t xml:space="preserve"> weeks)</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Transition probabilities</w:t>
            </w:r>
          </w:p>
        </w:tc>
        <w:tc>
          <w:tcPr>
            <w:tcW w:w="3604" w:type="pct"/>
            <w:shd w:val="clear" w:color="auto" w:fill="auto"/>
            <w:vAlign w:val="center"/>
          </w:tcPr>
          <w:p w:rsidR="00F66DD2" w:rsidRPr="0067437A" w:rsidRDefault="00F66DD2" w:rsidP="00F66DD2">
            <w:pPr>
              <w:pStyle w:val="TableText0"/>
              <w:keepLines/>
            </w:pPr>
            <w:r w:rsidRPr="0067437A">
              <w:t>Stable PAH / Improved PAH to Progressed PAH</w:t>
            </w:r>
            <w:r w:rsidR="00256128" w:rsidRPr="0067437A">
              <w:t xml:space="preserve"> transition</w:t>
            </w:r>
            <w:r w:rsidRPr="0067437A">
              <w:t xml:space="preserve"> probabilities </w:t>
            </w:r>
            <w:r w:rsidR="00256128" w:rsidRPr="0067437A">
              <w:t xml:space="preserve">were </w:t>
            </w:r>
            <w:r w:rsidRPr="0067437A">
              <w:t>derived from morbidity events in the GRIPHON trial (</w:t>
            </w:r>
            <w:r w:rsidR="00AB0737" w:rsidRPr="0067437A">
              <w:t xml:space="preserve">proposed </w:t>
            </w:r>
            <w:r w:rsidRPr="0067437A">
              <w:t>PBS population).</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Extrapolation method</w:t>
            </w:r>
          </w:p>
        </w:tc>
        <w:tc>
          <w:tcPr>
            <w:tcW w:w="3604" w:type="pct"/>
            <w:shd w:val="clear" w:color="auto" w:fill="auto"/>
            <w:vAlign w:val="center"/>
          </w:tcPr>
          <w:p w:rsidR="00F66DD2" w:rsidRPr="0067437A" w:rsidRDefault="005B74C6" w:rsidP="00F66DD2">
            <w:pPr>
              <w:pStyle w:val="TableText0"/>
              <w:keepLines/>
            </w:pPr>
            <w:r w:rsidRPr="0067437A">
              <w:t>Parametric survival function</w:t>
            </w:r>
            <w:r w:rsidR="00F66DD2" w:rsidRPr="0067437A">
              <w:t>s were fitted to the Kaplan-Meier survival curve for the selexipag arm of the GRIPHON trial</w:t>
            </w:r>
            <w:r w:rsidR="0067437A">
              <w:t xml:space="preserve">. </w:t>
            </w:r>
            <w:r w:rsidR="00F66DD2" w:rsidRPr="0067437A">
              <w:t>The exponential distribution was selected in</w:t>
            </w:r>
            <w:r w:rsidR="00256128" w:rsidRPr="0067437A">
              <w:t xml:space="preserve"> the</w:t>
            </w:r>
            <w:r w:rsidR="00F66DD2" w:rsidRPr="0067437A">
              <w:t xml:space="preserve"> base case based on best statistical fit (lowest AIC/BIC values). No mortality reduction with selexipag versus placebo was assumed.</w:t>
            </w:r>
          </w:p>
          <w:p w:rsidR="00F66DD2" w:rsidRPr="0067437A" w:rsidRDefault="00F66DD2" w:rsidP="00F66DD2">
            <w:pPr>
              <w:pStyle w:val="TableText0"/>
              <w:keepLines/>
            </w:pPr>
          </w:p>
          <w:p w:rsidR="00F66DD2" w:rsidRPr="0067437A" w:rsidRDefault="00F66DD2" w:rsidP="00F66DD2">
            <w:pPr>
              <w:pStyle w:val="TableText0"/>
              <w:keepLines/>
            </w:pPr>
            <w:r w:rsidRPr="0067437A">
              <w:t>Around 81% of incremental QALYs and 30% of incremental costs occur in the extrapolated period.</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Health related quality of life</w:t>
            </w:r>
          </w:p>
        </w:tc>
        <w:tc>
          <w:tcPr>
            <w:tcW w:w="3604" w:type="pct"/>
            <w:shd w:val="clear" w:color="auto" w:fill="auto"/>
            <w:vAlign w:val="center"/>
          </w:tcPr>
          <w:p w:rsidR="00F66DD2" w:rsidRPr="0067437A" w:rsidRDefault="00F66DD2" w:rsidP="00F66DD2">
            <w:pPr>
              <w:pStyle w:val="TableText0"/>
              <w:keepLines/>
            </w:pPr>
            <w:r w:rsidRPr="0067437A">
              <w:t>Health state utilities: trial-based, derived from GRIPHON trial using CAMPHOR, a PAH-specific health-related quality of life measure.</w:t>
            </w:r>
          </w:p>
          <w:p w:rsidR="00F66DD2" w:rsidRPr="0067437A" w:rsidRDefault="00F66DD2" w:rsidP="00F33FA7">
            <w:pPr>
              <w:pStyle w:val="TableText0"/>
              <w:keepLines/>
              <w:numPr>
                <w:ilvl w:val="0"/>
                <w:numId w:val="9"/>
              </w:numPr>
              <w:ind w:left="130" w:hanging="142"/>
            </w:pPr>
            <w:r w:rsidRPr="0067437A">
              <w:t>Improved PAH = 0.727</w:t>
            </w:r>
          </w:p>
          <w:p w:rsidR="00F66DD2" w:rsidRPr="0067437A" w:rsidRDefault="00F66DD2" w:rsidP="00F33FA7">
            <w:pPr>
              <w:pStyle w:val="TableText0"/>
              <w:keepLines/>
              <w:numPr>
                <w:ilvl w:val="0"/>
                <w:numId w:val="9"/>
              </w:numPr>
              <w:ind w:left="130" w:hanging="142"/>
            </w:pPr>
            <w:r w:rsidRPr="0067437A">
              <w:t>Stable PAH = 0.61</w:t>
            </w:r>
          </w:p>
          <w:p w:rsidR="00F66DD2" w:rsidRPr="0067437A" w:rsidRDefault="00F66DD2" w:rsidP="00F33FA7">
            <w:pPr>
              <w:pStyle w:val="TableText0"/>
              <w:keepLines/>
              <w:numPr>
                <w:ilvl w:val="0"/>
                <w:numId w:val="9"/>
              </w:numPr>
              <w:ind w:left="130" w:hanging="142"/>
            </w:pPr>
            <w:r w:rsidRPr="0067437A">
              <w:t>Progressed PAH = 0.432</w:t>
            </w:r>
          </w:p>
          <w:p w:rsidR="00F66DD2" w:rsidRPr="0067437A" w:rsidRDefault="00F66DD2" w:rsidP="00F66DD2">
            <w:pPr>
              <w:pStyle w:val="TableText0"/>
              <w:keepLines/>
            </w:pPr>
            <w:r w:rsidRPr="0067437A">
              <w:t>Disutility associated with IV administration of epoprostenol: literature-based</w:t>
            </w:r>
            <w:r w:rsidR="00AE120D" w:rsidRPr="0067437A">
              <w:t xml:space="preserve"> (</w:t>
            </w:r>
            <w:r w:rsidR="00243F32" w:rsidRPr="0067437A">
              <w:t>0.307</w:t>
            </w:r>
            <w:r w:rsidR="00093629" w:rsidRPr="0067437A">
              <w:t>)</w:t>
            </w:r>
          </w:p>
          <w:p w:rsidR="00F66DD2" w:rsidRPr="0067437A" w:rsidRDefault="00F66DD2" w:rsidP="00CE13BB">
            <w:pPr>
              <w:pStyle w:val="TableText0"/>
              <w:keepLines/>
            </w:pPr>
            <w:r w:rsidRPr="0067437A">
              <w:t>Disutility associated with severe AEs: literature based</w:t>
            </w:r>
            <w:r w:rsidR="00093629" w:rsidRPr="0067437A">
              <w:t xml:space="preserve"> (headache, myalgia, pain 0.069, diarrhoea 0.047, nausea 0.048,</w:t>
            </w:r>
            <w:r w:rsidR="0072653B" w:rsidRPr="0067437A">
              <w:t xml:space="preserve"> oedema peripheral 0.06, syncope 0.041, pneumonia 0.2, sepsis 0.61)</w:t>
            </w:r>
            <w:r w:rsidRPr="0067437A">
              <w:t>.</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Proportion of patients hospitalised upon disease progression</w:t>
            </w:r>
          </w:p>
        </w:tc>
        <w:tc>
          <w:tcPr>
            <w:tcW w:w="3604" w:type="pct"/>
            <w:shd w:val="clear" w:color="auto" w:fill="auto"/>
            <w:vAlign w:val="center"/>
          </w:tcPr>
          <w:p w:rsidR="00F66DD2" w:rsidRPr="0067437A" w:rsidRDefault="00F66DD2" w:rsidP="00F66DD2">
            <w:pPr>
              <w:pStyle w:val="TableText0"/>
              <w:keepLines/>
            </w:pPr>
            <w:r w:rsidRPr="0067437A">
              <w:t>61.2%, based on hospitalisation and morbidity events from the GRIPHON trial (</w:t>
            </w:r>
            <w:r w:rsidR="00AB0737" w:rsidRPr="0067437A">
              <w:t xml:space="preserve">proposed </w:t>
            </w:r>
            <w:r w:rsidRPr="0067437A">
              <w:t>PBS population).</w:t>
            </w:r>
          </w:p>
        </w:tc>
      </w:tr>
      <w:tr w:rsidR="00F66DD2" w:rsidRPr="0067437A" w:rsidTr="00F66DD2">
        <w:tc>
          <w:tcPr>
            <w:tcW w:w="1396" w:type="pct"/>
            <w:shd w:val="clear" w:color="auto" w:fill="auto"/>
            <w:vAlign w:val="center"/>
          </w:tcPr>
          <w:p w:rsidR="00F66DD2" w:rsidRPr="0067437A" w:rsidRDefault="00F66DD2" w:rsidP="007271D5">
            <w:pPr>
              <w:pStyle w:val="TableText0"/>
              <w:keepLines/>
            </w:pPr>
            <w:r w:rsidRPr="0067437A">
              <w:t>Mean number of hospitalisations</w:t>
            </w:r>
            <w:r w:rsidR="00B17771" w:rsidRPr="0067437A">
              <w:t xml:space="preserve"> in the Progressed PAH health state</w:t>
            </w:r>
            <w:r w:rsidRPr="0067437A">
              <w:t xml:space="preserve"> </w:t>
            </w:r>
          </w:p>
        </w:tc>
        <w:tc>
          <w:tcPr>
            <w:tcW w:w="3604" w:type="pct"/>
            <w:shd w:val="clear" w:color="auto" w:fill="auto"/>
            <w:vAlign w:val="center"/>
          </w:tcPr>
          <w:p w:rsidR="00F66DD2" w:rsidRPr="0067437A" w:rsidRDefault="00F66DD2" w:rsidP="00F66DD2">
            <w:pPr>
              <w:pStyle w:val="TableText0"/>
              <w:keepLines/>
            </w:pPr>
            <w:r w:rsidRPr="0067437A">
              <w:t>2</w:t>
            </w:r>
            <w:r w:rsidR="007271D5" w:rsidRPr="0067437A">
              <w:t xml:space="preserve"> per patient per year</w:t>
            </w:r>
            <w:r w:rsidRPr="0067437A">
              <w:t>, based on Hospital Episode Statistics data (England).</w:t>
            </w:r>
          </w:p>
        </w:tc>
      </w:tr>
      <w:tr w:rsidR="00F66DD2" w:rsidRPr="0067437A" w:rsidTr="00F66DD2">
        <w:tc>
          <w:tcPr>
            <w:tcW w:w="1396" w:type="pct"/>
            <w:shd w:val="clear" w:color="auto" w:fill="auto"/>
            <w:vAlign w:val="center"/>
          </w:tcPr>
          <w:p w:rsidR="00F66DD2" w:rsidRPr="0067437A" w:rsidRDefault="00F66DD2" w:rsidP="00F66DD2">
            <w:pPr>
              <w:pStyle w:val="TableText0"/>
              <w:keepLines/>
            </w:pPr>
            <w:r w:rsidRPr="0067437A">
              <w:t>Proportion of patients switching to IV epoprostenol upon disease progression</w:t>
            </w:r>
          </w:p>
        </w:tc>
        <w:tc>
          <w:tcPr>
            <w:tcW w:w="3604" w:type="pct"/>
            <w:shd w:val="clear" w:color="auto" w:fill="auto"/>
            <w:vAlign w:val="center"/>
          </w:tcPr>
          <w:p w:rsidR="00F66DD2" w:rsidRPr="0067437A" w:rsidRDefault="00F66DD2" w:rsidP="00F66DD2">
            <w:pPr>
              <w:pStyle w:val="TableText0"/>
              <w:keepLines/>
            </w:pPr>
            <w:r w:rsidRPr="0067437A">
              <w:t>80%, based on clinical expert opinion.</w:t>
            </w:r>
          </w:p>
        </w:tc>
      </w:tr>
    </w:tbl>
    <w:p w:rsidR="00F66DD2" w:rsidRPr="0067437A" w:rsidRDefault="00AB0737" w:rsidP="00F66DD2">
      <w:pPr>
        <w:pStyle w:val="TableFigureFooter"/>
        <w:keepNext/>
        <w:keepLines/>
      </w:pPr>
      <w:bookmarkStart w:id="26" w:name="_Hlk38627800"/>
      <w:r w:rsidRPr="0067437A">
        <w:t xml:space="preserve">AE = adverse event; </w:t>
      </w:r>
      <w:r w:rsidR="00F66DD2" w:rsidRPr="0067437A">
        <w:t>AIC</w:t>
      </w:r>
      <w:r w:rsidRPr="0067437A">
        <w:t xml:space="preserve"> </w:t>
      </w:r>
      <w:r w:rsidR="00F66DD2" w:rsidRPr="0067437A">
        <w:t>= Akaike Information Criterion; BIC = Bayesian Information Criterion; CAMPHOR = Cambridge Pulmonary Hypertension Outcome Review; IV = intravenous; PAH = pulmonary arterial hypertension</w:t>
      </w:r>
      <w:r w:rsidRPr="0067437A">
        <w:t>; PBS = Pharmaceutical Benefits Scheme; QALY = quality adjusted life year</w:t>
      </w:r>
    </w:p>
    <w:p w:rsidR="00F66DD2" w:rsidRPr="0067437A" w:rsidRDefault="00F66DD2" w:rsidP="00F66DD2">
      <w:pPr>
        <w:pStyle w:val="TableFigureFooter"/>
        <w:keepNext/>
        <w:keepLines/>
      </w:pPr>
      <w:r w:rsidRPr="0067437A">
        <w:t>Source: constructed during the evaluation.</w:t>
      </w:r>
    </w:p>
    <w:bookmarkEnd w:id="26"/>
    <w:p w:rsidR="00F66DD2" w:rsidRPr="0067437A" w:rsidRDefault="00F66DD2" w:rsidP="005B74C6">
      <w:pPr>
        <w:pStyle w:val="3-BodyText"/>
        <w:ind w:left="709"/>
      </w:pPr>
      <w:r w:rsidRPr="0067437A">
        <w:t>The model comprised four health states: Improved PAH, Stable PAH, Progressed PAH and death</w:t>
      </w:r>
      <w:r w:rsidR="0067437A">
        <w:t xml:space="preserve">. </w:t>
      </w:r>
      <w:r w:rsidRPr="0067437A">
        <w:t>The base case analysis is based on the GRIPHON subgroup of patients with WHO FC III symptoms and taking dual background therapy at baseline</w:t>
      </w:r>
      <w:r w:rsidR="0067437A">
        <w:t xml:space="preserve">. </w:t>
      </w:r>
      <w:r w:rsidRPr="0067437A">
        <w:t>Patients initiate either selexipag or placebo as a new add-on therapy to their existing background therapy (dual therapy with an ERA and a PDE-5i).</w:t>
      </w:r>
    </w:p>
    <w:p w:rsidR="000D4174" w:rsidRPr="0067437A" w:rsidRDefault="0007076D" w:rsidP="00EA4F2A">
      <w:pPr>
        <w:pStyle w:val="3-BodyText"/>
        <w:keepNext/>
        <w:keepLines/>
        <w:ind w:left="709"/>
        <w:rPr>
          <w:i/>
        </w:rPr>
      </w:pPr>
      <w:r>
        <w:lastRenderedPageBreak/>
        <w:t>Table 9</w:t>
      </w:r>
      <w:r w:rsidR="000D4174" w:rsidRPr="0067437A">
        <w:t xml:space="preserve"> summarised the key drivers of the economic evaluation</w:t>
      </w:r>
      <w:r w:rsidR="0067437A">
        <w:t xml:space="preserve">. </w:t>
      </w:r>
      <w:r w:rsidR="000D4174" w:rsidRPr="0067437A">
        <w:rPr>
          <w:lang w:eastAsia="en-US"/>
        </w:rPr>
        <w:t>The main drivers of the model were disease progression probabilities</w:t>
      </w:r>
      <w:r w:rsidR="00090C10" w:rsidRPr="0067437A">
        <w:rPr>
          <w:lang w:eastAsia="en-US"/>
        </w:rPr>
        <w:t>,</w:t>
      </w:r>
      <w:r w:rsidR="000D4174" w:rsidRPr="0067437A">
        <w:rPr>
          <w:lang w:eastAsia="en-US"/>
        </w:rPr>
        <w:t xml:space="preserve"> the proportion of patients receiving IV epoprostenol upon disease progression</w:t>
      </w:r>
      <w:r w:rsidR="00090C10" w:rsidRPr="0067437A">
        <w:rPr>
          <w:lang w:eastAsia="en-US"/>
        </w:rPr>
        <w:t xml:space="preserve"> and the disutility assigned to IV epoprostenol</w:t>
      </w:r>
      <w:r w:rsidR="000D4174" w:rsidRPr="0067437A">
        <w:rPr>
          <w:lang w:eastAsia="en-US"/>
        </w:rPr>
        <w:t>.</w:t>
      </w:r>
    </w:p>
    <w:p w:rsidR="000D4174" w:rsidRPr="0067437A" w:rsidRDefault="0007076D" w:rsidP="000D4174">
      <w:pPr>
        <w:pStyle w:val="3-BodyText"/>
        <w:keepLines/>
        <w:numPr>
          <w:ilvl w:val="0"/>
          <w:numId w:val="0"/>
        </w:numPr>
        <w:spacing w:after="0"/>
        <w:rPr>
          <w:rStyle w:val="CommentReference"/>
          <w:szCs w:val="24"/>
        </w:rPr>
      </w:pPr>
      <w:r>
        <w:rPr>
          <w:rStyle w:val="CommentReference"/>
          <w:szCs w:val="24"/>
        </w:rPr>
        <w:t>Table 9</w:t>
      </w:r>
      <w:r w:rsidR="000D4174" w:rsidRPr="0067437A">
        <w:rPr>
          <w:rStyle w:val="CommentReference"/>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4678"/>
        <w:gridCol w:w="2784"/>
      </w:tblGrid>
      <w:tr w:rsidR="000D4174" w:rsidRPr="0067437A" w:rsidTr="001D780C">
        <w:trPr>
          <w:tblHeader/>
        </w:trPr>
        <w:tc>
          <w:tcPr>
            <w:tcW w:w="862" w:type="pct"/>
            <w:shd w:val="clear" w:color="auto" w:fill="auto"/>
            <w:vAlign w:val="center"/>
          </w:tcPr>
          <w:p w:rsidR="000D4174" w:rsidRPr="0067437A" w:rsidRDefault="000D4174" w:rsidP="000D4174">
            <w:pPr>
              <w:pStyle w:val="In-tableHeading"/>
              <w:keepNext w:val="0"/>
              <w:keepLines/>
              <w:rPr>
                <w:lang w:val="en-AU"/>
              </w:rPr>
            </w:pPr>
            <w:r w:rsidRPr="0067437A">
              <w:rPr>
                <w:lang w:val="en-AU"/>
              </w:rPr>
              <w:t>Description</w:t>
            </w:r>
          </w:p>
        </w:tc>
        <w:tc>
          <w:tcPr>
            <w:tcW w:w="2594" w:type="pct"/>
            <w:shd w:val="clear" w:color="auto" w:fill="auto"/>
            <w:vAlign w:val="center"/>
          </w:tcPr>
          <w:p w:rsidR="000D4174" w:rsidRPr="0067437A" w:rsidRDefault="000D4174" w:rsidP="00B85C9D">
            <w:pPr>
              <w:pStyle w:val="In-tableHeading"/>
              <w:keepNext w:val="0"/>
              <w:keepLines/>
              <w:jc w:val="center"/>
              <w:rPr>
                <w:lang w:val="en-AU"/>
              </w:rPr>
            </w:pPr>
            <w:r w:rsidRPr="0067437A">
              <w:rPr>
                <w:lang w:val="en-AU"/>
              </w:rPr>
              <w:t>Method/Value</w:t>
            </w:r>
          </w:p>
        </w:tc>
        <w:tc>
          <w:tcPr>
            <w:tcW w:w="1544" w:type="pct"/>
            <w:shd w:val="clear" w:color="auto" w:fill="auto"/>
            <w:vAlign w:val="center"/>
          </w:tcPr>
          <w:p w:rsidR="000D4174" w:rsidRPr="0067437A" w:rsidRDefault="000D4174" w:rsidP="000D4174">
            <w:pPr>
              <w:pStyle w:val="In-tableHeading"/>
              <w:keepNext w:val="0"/>
              <w:keepLines/>
              <w:jc w:val="center"/>
              <w:rPr>
                <w:lang w:val="en-AU"/>
              </w:rPr>
            </w:pPr>
            <w:r w:rsidRPr="0067437A">
              <w:rPr>
                <w:lang w:val="en-AU"/>
              </w:rPr>
              <w:t>Impact</w:t>
            </w:r>
          </w:p>
          <w:p w:rsidR="000D4174" w:rsidRPr="0067437A" w:rsidRDefault="000D4174" w:rsidP="000D4174">
            <w:pPr>
              <w:pStyle w:val="In-tableHeading"/>
              <w:keepNext w:val="0"/>
              <w:keepLines/>
              <w:jc w:val="center"/>
              <w:rPr>
                <w:lang w:val="en-AU"/>
              </w:rPr>
            </w:pPr>
            <w:r w:rsidRPr="0067437A">
              <w:rPr>
                <w:rFonts w:cs="Arial"/>
                <w:szCs w:val="20"/>
                <w:lang w:val="en-AU"/>
              </w:rPr>
              <w:t>Base case: $</w:t>
            </w:r>
            <w:r w:rsidR="00785434">
              <w:rPr>
                <w:rFonts w:cs="Arial"/>
                <w:szCs w:val="20"/>
                <w:lang w:val="en-AU"/>
              </w:rPr>
              <w:t>45,000 to</w:t>
            </w:r>
            <w:r w:rsidR="00BF4A71">
              <w:rPr>
                <w:rFonts w:cs="Arial"/>
                <w:szCs w:val="20"/>
                <w:lang w:val="en-AU"/>
              </w:rPr>
              <w:t xml:space="preserve"> $75,000</w:t>
            </w:r>
            <w:r w:rsidRPr="0067437A">
              <w:rPr>
                <w:rFonts w:cs="Arial"/>
                <w:szCs w:val="20"/>
                <w:lang w:val="en-AU"/>
              </w:rPr>
              <w:t>/QALY gained</w:t>
            </w:r>
            <w:r w:rsidRPr="0067437A">
              <w:rPr>
                <w:rFonts w:cs="Arial"/>
                <w:color w:val="3366FF"/>
                <w:szCs w:val="20"/>
                <w:lang w:val="en-AU"/>
              </w:rPr>
              <w:t>.</w:t>
            </w:r>
          </w:p>
        </w:tc>
      </w:tr>
      <w:tr w:rsidR="000D4174" w:rsidRPr="0067437A" w:rsidTr="001D780C">
        <w:tc>
          <w:tcPr>
            <w:tcW w:w="862" w:type="pct"/>
            <w:shd w:val="clear" w:color="auto" w:fill="auto"/>
            <w:vAlign w:val="center"/>
          </w:tcPr>
          <w:p w:rsidR="000D4174" w:rsidRPr="0067437A" w:rsidRDefault="000D4174" w:rsidP="000D4174">
            <w:pPr>
              <w:pStyle w:val="TableText0"/>
              <w:keepNext w:val="0"/>
              <w:keepLines/>
            </w:pPr>
            <w:r w:rsidRPr="0067437A">
              <w:t>Probability of disease progression (which determines transitions into the Progressed PAH health state)</w:t>
            </w:r>
          </w:p>
        </w:tc>
        <w:tc>
          <w:tcPr>
            <w:tcW w:w="2594" w:type="pct"/>
            <w:shd w:val="clear" w:color="auto" w:fill="auto"/>
            <w:vAlign w:val="center"/>
          </w:tcPr>
          <w:p w:rsidR="000D4174" w:rsidRPr="0067437A" w:rsidRDefault="000D4174" w:rsidP="00B85C9D">
            <w:pPr>
              <w:pStyle w:val="TableText0"/>
              <w:keepNext w:val="0"/>
              <w:keepLines/>
            </w:pPr>
            <w:r w:rsidRPr="0067437A">
              <w:t>Informed by morbidity events in the GRIPHON primary composite morbidity-mortality outcome for patient in the WHO FC III and receiving background dual therapy with an ERA and a PDE-5i subgroup</w:t>
            </w:r>
            <w:r w:rsidR="0067437A">
              <w:t xml:space="preserve">. </w:t>
            </w:r>
          </w:p>
          <w:p w:rsidR="00AB0A2D" w:rsidRPr="0067437A" w:rsidRDefault="000D4174" w:rsidP="00AB0A2D">
            <w:pPr>
              <w:pStyle w:val="TableText0"/>
              <w:keepNext w:val="0"/>
              <w:keepLines/>
              <w:rPr>
                <w:szCs w:val="22"/>
                <w:lang w:eastAsia="en-US"/>
              </w:rPr>
            </w:pPr>
            <w:r w:rsidRPr="0067437A">
              <w:rPr>
                <w:szCs w:val="22"/>
                <w:lang w:eastAsia="en-US"/>
              </w:rPr>
              <w:t xml:space="preserve">The rate of disease progression </w:t>
            </w:r>
            <w:r w:rsidR="005455FE" w:rsidRPr="0067437A">
              <w:rPr>
                <w:szCs w:val="22"/>
                <w:lang w:eastAsia="en-US"/>
              </w:rPr>
              <w:t>was</w:t>
            </w:r>
            <w:r w:rsidRPr="0067437A">
              <w:rPr>
                <w:szCs w:val="22"/>
                <w:lang w:eastAsia="en-US"/>
              </w:rPr>
              <w:t xml:space="preserve"> assumed to remain constant for the entire model duration of 20 years</w:t>
            </w:r>
            <w:r w:rsidR="00AB0A2D" w:rsidRPr="0067437A">
              <w:rPr>
                <w:szCs w:val="22"/>
                <w:lang w:eastAsia="en-US"/>
              </w:rPr>
              <w:t xml:space="preserve">. The ESC </w:t>
            </w:r>
            <w:r w:rsidR="00BB2871" w:rsidRPr="0067437A">
              <w:rPr>
                <w:szCs w:val="22"/>
                <w:lang w:eastAsia="en-US"/>
              </w:rPr>
              <w:t xml:space="preserve">and PBAC </w:t>
            </w:r>
            <w:r w:rsidR="00AB0A2D" w:rsidRPr="0067437A">
              <w:rPr>
                <w:szCs w:val="22"/>
                <w:lang w:eastAsia="en-US"/>
              </w:rPr>
              <w:t xml:space="preserve">considered that this was not </w:t>
            </w:r>
            <w:r w:rsidRPr="0067437A">
              <w:rPr>
                <w:szCs w:val="22"/>
                <w:lang w:eastAsia="en-US"/>
              </w:rPr>
              <w:t xml:space="preserve">clinically plausible given that the morbidity events were observed in the GRIPHON trial over a median duration of </w:t>
            </w:r>
            <w:r w:rsidR="00382733">
              <w:rPr>
                <w:szCs w:val="22"/>
                <w:lang w:eastAsia="en-US"/>
              </w:rPr>
              <w:t xml:space="preserve">only </w:t>
            </w:r>
            <w:r w:rsidRPr="0067437A">
              <w:rPr>
                <w:szCs w:val="22"/>
                <w:lang w:eastAsia="en-US"/>
              </w:rPr>
              <w:t>1.3 years</w:t>
            </w:r>
            <w:r w:rsidR="00AB0A2D" w:rsidRPr="0067437A">
              <w:rPr>
                <w:szCs w:val="22"/>
                <w:lang w:eastAsia="en-US"/>
              </w:rPr>
              <w:t xml:space="preserve"> and </w:t>
            </w:r>
            <w:r w:rsidR="00382733">
              <w:rPr>
                <w:szCs w:val="22"/>
                <w:lang w:eastAsia="en-US"/>
              </w:rPr>
              <w:t xml:space="preserve">due to </w:t>
            </w:r>
            <w:r w:rsidR="00AB0A2D" w:rsidRPr="0067437A">
              <w:rPr>
                <w:szCs w:val="22"/>
                <w:lang w:eastAsia="en-US"/>
              </w:rPr>
              <w:t>the progressive nature of the disease</w:t>
            </w:r>
            <w:r w:rsidRPr="0067437A">
              <w:rPr>
                <w:szCs w:val="22"/>
                <w:lang w:eastAsia="en-US"/>
              </w:rPr>
              <w:t xml:space="preserve">. </w:t>
            </w:r>
            <w:r w:rsidRPr="0067437A">
              <w:rPr>
                <w:szCs w:val="22"/>
                <w:lang w:eastAsia="en-US"/>
              </w:rPr>
              <w:tab/>
            </w:r>
          </w:p>
          <w:p w:rsidR="000D4174" w:rsidRPr="0067437A" w:rsidRDefault="000D4174" w:rsidP="00382733">
            <w:pPr>
              <w:pStyle w:val="TableText0"/>
              <w:keepNext w:val="0"/>
              <w:keepLines/>
            </w:pPr>
            <w:r w:rsidRPr="0067437A">
              <w:rPr>
                <w:szCs w:val="22"/>
                <w:lang w:eastAsia="en-US"/>
              </w:rPr>
              <w:t>The model also assumed the probability of transitioning from Stable PAH to Progressed PAH was the same as the probability of transitioning from Improved PAH to Progressed PAH</w:t>
            </w:r>
            <w:r w:rsidR="0067437A">
              <w:rPr>
                <w:szCs w:val="22"/>
                <w:lang w:eastAsia="en-US"/>
              </w:rPr>
              <w:t xml:space="preserve">. </w:t>
            </w:r>
            <w:r w:rsidR="00810380" w:rsidRPr="0067437A">
              <w:rPr>
                <w:szCs w:val="22"/>
                <w:lang w:eastAsia="en-US"/>
              </w:rPr>
              <w:t xml:space="preserve">The ESC </w:t>
            </w:r>
            <w:r w:rsidR="00BB2871" w:rsidRPr="0067437A">
              <w:rPr>
                <w:szCs w:val="22"/>
                <w:lang w:eastAsia="en-US"/>
              </w:rPr>
              <w:t xml:space="preserve">and PBAC </w:t>
            </w:r>
            <w:r w:rsidR="00810380" w:rsidRPr="0067437A">
              <w:rPr>
                <w:szCs w:val="22"/>
                <w:lang w:eastAsia="en-US"/>
              </w:rPr>
              <w:t xml:space="preserve">considered that </w:t>
            </w:r>
            <w:r w:rsidRPr="0067437A">
              <w:rPr>
                <w:szCs w:val="22"/>
                <w:lang w:eastAsia="en-US"/>
              </w:rPr>
              <w:t xml:space="preserve">it </w:t>
            </w:r>
            <w:r w:rsidR="00810380" w:rsidRPr="0067437A">
              <w:rPr>
                <w:szCs w:val="22"/>
                <w:lang w:eastAsia="en-US"/>
              </w:rPr>
              <w:t>would</w:t>
            </w:r>
            <w:r w:rsidRPr="0067437A">
              <w:rPr>
                <w:szCs w:val="22"/>
                <w:lang w:eastAsia="en-US"/>
              </w:rPr>
              <w:t xml:space="preserve"> be more reasonable to assume patients with Improved PAH have a lower probability of progressi</w:t>
            </w:r>
            <w:r w:rsidR="00382733">
              <w:rPr>
                <w:szCs w:val="22"/>
                <w:lang w:eastAsia="en-US"/>
              </w:rPr>
              <w:t>o</w:t>
            </w:r>
            <w:r w:rsidRPr="0067437A">
              <w:rPr>
                <w:szCs w:val="22"/>
                <w:lang w:eastAsia="en-US"/>
              </w:rPr>
              <w:t xml:space="preserve">n compared to those with Stable PAH. </w:t>
            </w:r>
          </w:p>
        </w:tc>
        <w:tc>
          <w:tcPr>
            <w:tcW w:w="1544" w:type="pct"/>
            <w:shd w:val="clear" w:color="auto" w:fill="auto"/>
            <w:vAlign w:val="center"/>
          </w:tcPr>
          <w:p w:rsidR="00AB0A2D" w:rsidRPr="0067437A" w:rsidRDefault="00AB0A2D" w:rsidP="00DE30C0">
            <w:pPr>
              <w:pStyle w:val="TableText0"/>
              <w:keepNext w:val="0"/>
              <w:keepLines/>
              <w:jc w:val="center"/>
            </w:pPr>
            <w:r w:rsidRPr="0067437A">
              <w:rPr>
                <w:snapToGrid w:val="0"/>
                <w:lang w:eastAsia="en-US"/>
              </w:rPr>
              <w:t xml:space="preserve">Uncertain, but likely to favour </w:t>
            </w:r>
            <w:r w:rsidR="00DA3C60" w:rsidRPr="0067437A">
              <w:rPr>
                <w:snapToGrid w:val="0"/>
                <w:lang w:eastAsia="en-US"/>
              </w:rPr>
              <w:t>sele</w:t>
            </w:r>
            <w:r w:rsidR="00DE30C0" w:rsidRPr="0067437A">
              <w:rPr>
                <w:snapToGrid w:val="0"/>
                <w:lang w:eastAsia="en-US"/>
              </w:rPr>
              <w:t>xipag</w:t>
            </w:r>
          </w:p>
        </w:tc>
      </w:tr>
      <w:tr w:rsidR="000D4174" w:rsidRPr="0067437A" w:rsidTr="000D4174">
        <w:trPr>
          <w:trHeight w:val="839"/>
        </w:trPr>
        <w:tc>
          <w:tcPr>
            <w:tcW w:w="862" w:type="pct"/>
            <w:shd w:val="clear" w:color="auto" w:fill="auto"/>
            <w:vAlign w:val="center"/>
          </w:tcPr>
          <w:p w:rsidR="000D4174" w:rsidRPr="0067437A" w:rsidRDefault="000D4174" w:rsidP="000D4174">
            <w:pPr>
              <w:pStyle w:val="TableText0"/>
              <w:keepNext w:val="0"/>
              <w:keepLines/>
            </w:pPr>
            <w:r w:rsidRPr="0067437A">
              <w:t>Proportion of patients receiving IV epoprostenol upon disease progression</w:t>
            </w:r>
            <w:r w:rsidR="00F62C72" w:rsidRPr="0067437A">
              <w:t xml:space="preserve"> = 80%</w:t>
            </w:r>
          </w:p>
        </w:tc>
        <w:tc>
          <w:tcPr>
            <w:tcW w:w="2594" w:type="pct"/>
            <w:shd w:val="clear" w:color="auto" w:fill="auto"/>
            <w:vAlign w:val="center"/>
          </w:tcPr>
          <w:p w:rsidR="007C1F0D" w:rsidRPr="0067437A" w:rsidRDefault="000D4174" w:rsidP="00F62C72">
            <w:pPr>
              <w:pStyle w:val="3-BodyText"/>
              <w:keepLines/>
              <w:numPr>
                <w:ilvl w:val="0"/>
                <w:numId w:val="0"/>
              </w:numPr>
              <w:spacing w:after="0"/>
              <w:jc w:val="left"/>
              <w:rPr>
                <w:rFonts w:ascii="Arial Narrow" w:hAnsi="Arial Narrow"/>
                <w:sz w:val="20"/>
                <w:szCs w:val="20"/>
                <w:lang w:eastAsia="en-US"/>
              </w:rPr>
            </w:pPr>
            <w:r w:rsidRPr="0067437A">
              <w:rPr>
                <w:rFonts w:ascii="Arial Narrow" w:hAnsi="Arial Narrow"/>
                <w:sz w:val="20"/>
                <w:szCs w:val="20"/>
              </w:rPr>
              <w:t>Informed by clinical experts in PAH management. W</w:t>
            </w:r>
            <w:r w:rsidRPr="0067437A">
              <w:rPr>
                <w:rFonts w:ascii="Arial Narrow" w:hAnsi="Arial Narrow"/>
                <w:sz w:val="20"/>
                <w:szCs w:val="20"/>
                <w:lang w:eastAsia="en-US"/>
              </w:rPr>
              <w:t xml:space="preserve">hile no </w:t>
            </w:r>
            <w:r w:rsidR="00F62C72" w:rsidRPr="0067437A">
              <w:rPr>
                <w:rFonts w:ascii="Arial Narrow" w:hAnsi="Arial Narrow"/>
                <w:sz w:val="20"/>
                <w:szCs w:val="20"/>
                <w:lang w:eastAsia="en-US"/>
              </w:rPr>
              <w:t>current Australian</w:t>
            </w:r>
            <w:r w:rsidRPr="0067437A">
              <w:rPr>
                <w:rFonts w:ascii="Arial Narrow" w:hAnsi="Arial Narrow"/>
                <w:sz w:val="20"/>
                <w:szCs w:val="20"/>
                <w:lang w:eastAsia="en-US"/>
              </w:rPr>
              <w:t xml:space="preserve"> data on use of prostacyclin post triple therapy with selexipag was found, utilisation data sourced suggested current utilisation of prostacyclin</w:t>
            </w:r>
            <w:r w:rsidR="00B85C9D" w:rsidRPr="0067437A">
              <w:rPr>
                <w:rFonts w:ascii="Arial Narrow" w:hAnsi="Arial Narrow"/>
                <w:sz w:val="20"/>
                <w:szCs w:val="20"/>
                <w:lang w:eastAsia="en-US"/>
              </w:rPr>
              <w:t>’</w:t>
            </w:r>
            <w:r w:rsidRPr="0067437A">
              <w:rPr>
                <w:rFonts w:ascii="Arial Narrow" w:hAnsi="Arial Narrow"/>
                <w:sz w:val="20"/>
                <w:szCs w:val="20"/>
                <w:lang w:eastAsia="en-US"/>
              </w:rPr>
              <w:t xml:space="preserve">s to be low in Australia and overseas. </w:t>
            </w:r>
            <w:r w:rsidR="00F62C72" w:rsidRPr="0067437A">
              <w:rPr>
                <w:rFonts w:ascii="Arial Narrow" w:hAnsi="Arial Narrow"/>
                <w:sz w:val="20"/>
                <w:szCs w:val="20"/>
                <w:lang w:eastAsia="en-US"/>
              </w:rPr>
              <w:t>The PSCR states that all high risk WHO FC IV patients are offered IV epoprostenol and the 2015 ESC/ERS PAH guidelines strongly recommend IV epoprostenol as a last-line treatment option.</w:t>
            </w:r>
            <w:r w:rsidRPr="0067437A">
              <w:rPr>
                <w:rFonts w:ascii="Arial Narrow" w:hAnsi="Arial Narrow"/>
                <w:sz w:val="20"/>
                <w:szCs w:val="20"/>
                <w:lang w:eastAsia="en-US"/>
              </w:rPr>
              <w:t xml:space="preserve"> </w:t>
            </w:r>
          </w:p>
          <w:p w:rsidR="007C1F0D" w:rsidRPr="0067437A" w:rsidRDefault="007C1F0D" w:rsidP="00382733">
            <w:pPr>
              <w:pStyle w:val="3-BodyText"/>
              <w:keepLines/>
              <w:numPr>
                <w:ilvl w:val="0"/>
                <w:numId w:val="0"/>
              </w:numPr>
              <w:spacing w:after="0"/>
              <w:jc w:val="left"/>
              <w:rPr>
                <w:rFonts w:ascii="Arial Narrow" w:hAnsi="Arial Narrow"/>
                <w:sz w:val="20"/>
                <w:szCs w:val="20"/>
                <w:lang w:eastAsia="en-US"/>
              </w:rPr>
            </w:pPr>
            <w:r w:rsidRPr="0067437A">
              <w:rPr>
                <w:rFonts w:ascii="Arial Narrow" w:hAnsi="Arial Narrow"/>
                <w:sz w:val="20"/>
                <w:szCs w:val="20"/>
                <w:lang w:eastAsia="en-US"/>
              </w:rPr>
              <w:t xml:space="preserve">The PBAC </w:t>
            </w:r>
            <w:r w:rsidR="002D10B1" w:rsidRPr="0067437A">
              <w:rPr>
                <w:rFonts w:ascii="Arial Narrow" w:hAnsi="Arial Narrow"/>
                <w:sz w:val="20"/>
                <w:szCs w:val="20"/>
                <w:lang w:eastAsia="en-US"/>
              </w:rPr>
              <w:t>considered that</w:t>
            </w:r>
            <w:r w:rsidRPr="0067437A">
              <w:rPr>
                <w:rFonts w:ascii="Arial Narrow" w:hAnsi="Arial Narrow"/>
                <w:sz w:val="20"/>
                <w:szCs w:val="20"/>
                <w:lang w:eastAsia="en-US"/>
              </w:rPr>
              <w:t xml:space="preserve"> </w:t>
            </w:r>
            <w:r w:rsidR="00382733">
              <w:rPr>
                <w:rFonts w:ascii="Arial Narrow" w:hAnsi="Arial Narrow"/>
                <w:sz w:val="20"/>
                <w:szCs w:val="20"/>
                <w:lang w:eastAsia="en-US"/>
              </w:rPr>
              <w:t xml:space="preserve">there was considerable uncertainty in the proportion of patients that would progress to require IV epoprostenol and that an </w:t>
            </w:r>
            <w:r w:rsidR="00E5078E" w:rsidRPr="0067437A">
              <w:rPr>
                <w:rFonts w:ascii="Arial Narrow" w:hAnsi="Arial Narrow"/>
                <w:sz w:val="20"/>
                <w:szCs w:val="20"/>
                <w:lang w:eastAsia="en-US"/>
              </w:rPr>
              <w:t xml:space="preserve">estimate </w:t>
            </w:r>
            <w:r w:rsidR="00382733">
              <w:rPr>
                <w:rFonts w:ascii="Arial Narrow" w:hAnsi="Arial Narrow"/>
                <w:sz w:val="20"/>
                <w:szCs w:val="20"/>
                <w:lang w:eastAsia="en-US"/>
              </w:rPr>
              <w:t xml:space="preserve">of </w:t>
            </w:r>
            <w:r w:rsidRPr="0067437A">
              <w:rPr>
                <w:rFonts w:ascii="Arial Narrow" w:hAnsi="Arial Narrow"/>
                <w:sz w:val="20"/>
                <w:szCs w:val="20"/>
                <w:lang w:eastAsia="en-US"/>
              </w:rPr>
              <w:t>50% was more reasonable</w:t>
            </w:r>
            <w:r w:rsidR="00E5078E" w:rsidRPr="0067437A">
              <w:rPr>
                <w:rFonts w:ascii="Arial Narrow" w:hAnsi="Arial Narrow"/>
                <w:sz w:val="20"/>
                <w:szCs w:val="20"/>
                <w:lang w:eastAsia="en-US"/>
              </w:rPr>
              <w:t xml:space="preserve"> (see paragraph </w:t>
            </w:r>
            <w:r w:rsidR="00E5078E" w:rsidRPr="003A47B7">
              <w:rPr>
                <w:rFonts w:ascii="Arial Narrow" w:hAnsi="Arial Narrow"/>
                <w:sz w:val="20"/>
                <w:szCs w:val="20"/>
                <w:lang w:eastAsia="en-US"/>
              </w:rPr>
              <w:t>6.45)</w:t>
            </w:r>
            <w:r w:rsidRPr="003A47B7">
              <w:rPr>
                <w:rFonts w:ascii="Arial Narrow" w:hAnsi="Arial Narrow"/>
                <w:sz w:val="20"/>
                <w:szCs w:val="20"/>
                <w:lang w:eastAsia="en-US"/>
              </w:rPr>
              <w:t>.</w:t>
            </w:r>
          </w:p>
        </w:tc>
        <w:tc>
          <w:tcPr>
            <w:tcW w:w="1544" w:type="pct"/>
            <w:shd w:val="clear" w:color="auto" w:fill="auto"/>
            <w:vAlign w:val="center"/>
          </w:tcPr>
          <w:p w:rsidR="000D4174" w:rsidRPr="0067437A" w:rsidRDefault="00DE30C0" w:rsidP="000D4174">
            <w:pPr>
              <w:pStyle w:val="TableText0"/>
              <w:keepNext w:val="0"/>
              <w:keepLines/>
              <w:jc w:val="center"/>
            </w:pPr>
            <w:r w:rsidRPr="0067437A">
              <w:t>Very h</w:t>
            </w:r>
            <w:r w:rsidR="000D4174" w:rsidRPr="0067437A">
              <w:t>igh, favours selexipag. Assuming 22.6% instead of 80% received IV epoprostenol increased the ICER to $</w:t>
            </w:r>
            <w:r w:rsidR="00BF4A71">
              <w:t>105,000 to $200,000</w:t>
            </w:r>
            <w:r w:rsidR="000D4174" w:rsidRPr="0067437A">
              <w:t>/QALY.</w:t>
            </w:r>
          </w:p>
        </w:tc>
      </w:tr>
      <w:tr w:rsidR="000D4174" w:rsidRPr="0067437A" w:rsidTr="001D780C">
        <w:tc>
          <w:tcPr>
            <w:tcW w:w="862" w:type="pct"/>
            <w:shd w:val="clear" w:color="auto" w:fill="auto"/>
            <w:vAlign w:val="center"/>
          </w:tcPr>
          <w:p w:rsidR="000D4174" w:rsidRPr="0067437A" w:rsidRDefault="000D4174" w:rsidP="000D4174">
            <w:pPr>
              <w:pStyle w:val="TableText0"/>
              <w:keepNext w:val="0"/>
              <w:keepLines/>
            </w:pPr>
            <w:r w:rsidRPr="0067437A">
              <w:t>Disutility of IV administration of epoprostenol</w:t>
            </w:r>
            <w:r w:rsidR="00F62C72" w:rsidRPr="0067437A">
              <w:t xml:space="preserve"> = 0.307</w:t>
            </w:r>
          </w:p>
        </w:tc>
        <w:tc>
          <w:tcPr>
            <w:tcW w:w="2594" w:type="pct"/>
            <w:shd w:val="clear" w:color="auto" w:fill="auto"/>
            <w:vAlign w:val="center"/>
          </w:tcPr>
          <w:p w:rsidR="000D4174" w:rsidRPr="0067437A" w:rsidRDefault="000D4174" w:rsidP="00D3255D">
            <w:pPr>
              <w:pStyle w:val="3-BodyText"/>
              <w:keepLines/>
              <w:numPr>
                <w:ilvl w:val="0"/>
                <w:numId w:val="0"/>
              </w:numPr>
              <w:spacing w:after="0"/>
              <w:jc w:val="left"/>
              <w:rPr>
                <w:rFonts w:ascii="Arial Narrow" w:hAnsi="Arial Narrow"/>
                <w:sz w:val="20"/>
                <w:szCs w:val="20"/>
              </w:rPr>
            </w:pPr>
            <w:r w:rsidRPr="0067437A">
              <w:rPr>
                <w:rFonts w:ascii="Arial Narrow" w:hAnsi="Arial Narrow"/>
                <w:sz w:val="20"/>
                <w:szCs w:val="20"/>
              </w:rPr>
              <w:t>Informed by Davies et al 2018</w:t>
            </w:r>
            <w:r w:rsidR="00B85C9D" w:rsidRPr="0067437A">
              <w:rPr>
                <w:rFonts w:ascii="Arial Narrow" w:hAnsi="Arial Narrow"/>
                <w:sz w:val="20"/>
                <w:szCs w:val="20"/>
              </w:rPr>
              <w:t>,</w:t>
            </w:r>
            <w:r w:rsidRPr="0067437A">
              <w:rPr>
                <w:rFonts w:ascii="Arial Narrow" w:hAnsi="Arial Narrow"/>
                <w:sz w:val="20"/>
                <w:szCs w:val="20"/>
              </w:rPr>
              <w:t xml:space="preserve"> </w:t>
            </w:r>
            <w:r w:rsidR="00B85C9D" w:rsidRPr="0067437A">
              <w:rPr>
                <w:rFonts w:ascii="Arial Narrow" w:hAnsi="Arial Narrow"/>
                <w:sz w:val="20"/>
                <w:szCs w:val="20"/>
              </w:rPr>
              <w:t>which reported utility weights associated with different modes of drug administration (i.e. oral versus non oral) for drugs acting on the prostacyclin pathway in PAH</w:t>
            </w:r>
            <w:r w:rsidR="0067437A">
              <w:rPr>
                <w:rFonts w:ascii="Arial Narrow" w:hAnsi="Arial Narrow"/>
                <w:sz w:val="20"/>
                <w:szCs w:val="20"/>
              </w:rPr>
              <w:t xml:space="preserve">. </w:t>
            </w:r>
            <w:r w:rsidRPr="0067437A">
              <w:rPr>
                <w:rFonts w:ascii="Arial Narrow" w:hAnsi="Arial Narrow"/>
                <w:sz w:val="20"/>
                <w:szCs w:val="20"/>
              </w:rPr>
              <w:t xml:space="preserve">Based on the model, patients in the Progressed PAH health state and on IV epoprostenol treatment would have a </w:t>
            </w:r>
            <w:r w:rsidR="00B85C9D" w:rsidRPr="0067437A">
              <w:rPr>
                <w:rFonts w:ascii="Arial Narrow" w:hAnsi="Arial Narrow"/>
                <w:sz w:val="20"/>
                <w:szCs w:val="20"/>
              </w:rPr>
              <w:t>utility of 0.125</w:t>
            </w:r>
            <w:r w:rsidRPr="0067437A">
              <w:rPr>
                <w:rFonts w:ascii="Arial Narrow" w:hAnsi="Arial Narrow"/>
                <w:sz w:val="20"/>
                <w:szCs w:val="20"/>
              </w:rPr>
              <w:t xml:space="preserve"> which is implausibly low.</w:t>
            </w:r>
            <w:r w:rsidR="00F62C72" w:rsidRPr="0067437A">
              <w:rPr>
                <w:rFonts w:ascii="Arial Narrow" w:hAnsi="Arial Narrow"/>
                <w:sz w:val="20"/>
                <w:szCs w:val="20"/>
              </w:rPr>
              <w:t xml:space="preserve"> Although the ESC considered that the use of IV epoprostenol would be associated with a disutility, the ESC considered </w:t>
            </w:r>
            <w:r w:rsidR="00834055">
              <w:rPr>
                <w:rFonts w:ascii="Arial Narrow" w:hAnsi="Arial Narrow"/>
                <w:sz w:val="20"/>
                <w:szCs w:val="20"/>
              </w:rPr>
              <w:t xml:space="preserve">that the </w:t>
            </w:r>
            <w:r w:rsidR="0076570E" w:rsidRPr="0067437A">
              <w:rPr>
                <w:rFonts w:ascii="Arial Narrow" w:hAnsi="Arial Narrow"/>
                <w:sz w:val="20"/>
                <w:szCs w:val="20"/>
              </w:rPr>
              <w:t>resultant utility of patients in the Progressed PAH patients and receiving IV epoprostenol (0.125) was implausibly low.</w:t>
            </w:r>
          </w:p>
          <w:p w:rsidR="007C1F0D" w:rsidRPr="0067437A" w:rsidRDefault="007C1F0D" w:rsidP="003A47B7">
            <w:pPr>
              <w:pStyle w:val="3-BodyText"/>
              <w:keepLines/>
              <w:numPr>
                <w:ilvl w:val="0"/>
                <w:numId w:val="0"/>
              </w:numPr>
              <w:spacing w:after="0"/>
              <w:jc w:val="left"/>
              <w:rPr>
                <w:rFonts w:ascii="Arial Narrow" w:hAnsi="Arial Narrow"/>
                <w:sz w:val="20"/>
                <w:szCs w:val="20"/>
              </w:rPr>
            </w:pPr>
            <w:r w:rsidRPr="0067437A">
              <w:rPr>
                <w:rFonts w:ascii="Arial Narrow" w:hAnsi="Arial Narrow"/>
                <w:sz w:val="20"/>
                <w:szCs w:val="20"/>
              </w:rPr>
              <w:t>The PBAC considered</w:t>
            </w:r>
            <w:r w:rsidR="002D10B1" w:rsidRPr="0067437A">
              <w:rPr>
                <w:rFonts w:ascii="Arial Narrow" w:hAnsi="Arial Narrow"/>
                <w:sz w:val="20"/>
                <w:szCs w:val="20"/>
              </w:rPr>
              <w:t xml:space="preserve"> </w:t>
            </w:r>
            <w:r w:rsidR="006D5E8F" w:rsidRPr="0067437A">
              <w:rPr>
                <w:rFonts w:ascii="Arial Narrow" w:hAnsi="Arial Narrow"/>
                <w:sz w:val="20"/>
                <w:szCs w:val="20"/>
              </w:rPr>
              <w:t xml:space="preserve">that the </w:t>
            </w:r>
            <w:r w:rsidR="002D10B1" w:rsidRPr="0067437A">
              <w:rPr>
                <w:rFonts w:ascii="Arial Narrow" w:hAnsi="Arial Narrow"/>
                <w:sz w:val="20"/>
                <w:szCs w:val="20"/>
              </w:rPr>
              <w:t xml:space="preserve">disutility </w:t>
            </w:r>
            <w:r w:rsidR="006D5E8F" w:rsidRPr="0067437A">
              <w:rPr>
                <w:rFonts w:ascii="Arial Narrow" w:hAnsi="Arial Narrow"/>
                <w:sz w:val="20"/>
                <w:szCs w:val="20"/>
              </w:rPr>
              <w:t xml:space="preserve">decrement </w:t>
            </w:r>
            <w:r w:rsidR="002D10B1" w:rsidRPr="0067437A">
              <w:rPr>
                <w:rFonts w:ascii="Arial Narrow" w:hAnsi="Arial Narrow"/>
                <w:sz w:val="20"/>
                <w:szCs w:val="20"/>
              </w:rPr>
              <w:t xml:space="preserve">of </w:t>
            </w:r>
            <w:r w:rsidR="006D5E8F" w:rsidRPr="0067437A">
              <w:rPr>
                <w:rFonts w:ascii="Arial Narrow" w:hAnsi="Arial Narrow"/>
                <w:sz w:val="20"/>
                <w:szCs w:val="20"/>
              </w:rPr>
              <w:t xml:space="preserve">0.307 for IV epoprostenol was implausibly large and considered that a decrement of </w:t>
            </w:r>
            <w:r w:rsidRPr="0067437A">
              <w:rPr>
                <w:rFonts w:ascii="Arial Narrow" w:hAnsi="Arial Narrow"/>
                <w:sz w:val="20"/>
                <w:szCs w:val="20"/>
              </w:rPr>
              <w:t>0.1</w:t>
            </w:r>
            <w:r w:rsidR="002021EA">
              <w:rPr>
                <w:rFonts w:ascii="Arial Narrow" w:hAnsi="Arial Narrow"/>
                <w:sz w:val="20"/>
                <w:szCs w:val="20"/>
              </w:rPr>
              <w:t>535</w:t>
            </w:r>
            <w:r w:rsidRPr="0067437A">
              <w:rPr>
                <w:rFonts w:ascii="Arial Narrow" w:hAnsi="Arial Narrow"/>
                <w:sz w:val="20"/>
                <w:szCs w:val="20"/>
              </w:rPr>
              <w:t xml:space="preserve"> w</w:t>
            </w:r>
            <w:r w:rsidR="006D5E8F" w:rsidRPr="0067437A">
              <w:rPr>
                <w:rFonts w:ascii="Arial Narrow" w:hAnsi="Arial Narrow"/>
                <w:sz w:val="20"/>
                <w:szCs w:val="20"/>
              </w:rPr>
              <w:t xml:space="preserve">ould be </w:t>
            </w:r>
            <w:r w:rsidRPr="0067437A">
              <w:rPr>
                <w:rFonts w:ascii="Arial Narrow" w:hAnsi="Arial Narrow"/>
                <w:sz w:val="20"/>
                <w:szCs w:val="20"/>
              </w:rPr>
              <w:t>more reasonable</w:t>
            </w:r>
            <w:r w:rsidR="00E5078E" w:rsidRPr="0067437A">
              <w:rPr>
                <w:rFonts w:ascii="Arial Narrow" w:hAnsi="Arial Narrow"/>
                <w:sz w:val="20"/>
                <w:szCs w:val="20"/>
              </w:rPr>
              <w:t xml:space="preserve"> (see paragraph </w:t>
            </w:r>
            <w:r w:rsidR="00E5078E" w:rsidRPr="003A47B7">
              <w:rPr>
                <w:rFonts w:ascii="Arial Narrow" w:hAnsi="Arial Narrow"/>
                <w:sz w:val="20"/>
                <w:szCs w:val="20"/>
              </w:rPr>
              <w:t>6.</w:t>
            </w:r>
            <w:r w:rsidR="003A47B7">
              <w:rPr>
                <w:rFonts w:ascii="Arial Narrow" w:hAnsi="Arial Narrow"/>
                <w:sz w:val="20"/>
                <w:szCs w:val="20"/>
              </w:rPr>
              <w:t>49</w:t>
            </w:r>
            <w:r w:rsidR="00E5078E" w:rsidRPr="0067437A">
              <w:rPr>
                <w:rFonts w:ascii="Arial Narrow" w:hAnsi="Arial Narrow"/>
                <w:sz w:val="20"/>
                <w:szCs w:val="20"/>
              </w:rPr>
              <w:t>)</w:t>
            </w:r>
            <w:r w:rsidRPr="0067437A">
              <w:rPr>
                <w:rFonts w:ascii="Arial Narrow" w:hAnsi="Arial Narrow"/>
                <w:sz w:val="20"/>
                <w:szCs w:val="20"/>
              </w:rPr>
              <w:t>.</w:t>
            </w:r>
          </w:p>
        </w:tc>
        <w:tc>
          <w:tcPr>
            <w:tcW w:w="1544" w:type="pct"/>
            <w:shd w:val="clear" w:color="auto" w:fill="auto"/>
            <w:vAlign w:val="center"/>
          </w:tcPr>
          <w:p w:rsidR="000D4174" w:rsidRPr="0067437A" w:rsidRDefault="000D4174" w:rsidP="00E5078E">
            <w:pPr>
              <w:pStyle w:val="TableText0"/>
              <w:keepNext w:val="0"/>
              <w:keepLines/>
              <w:jc w:val="center"/>
            </w:pPr>
            <w:r w:rsidRPr="0067437A">
              <w:t>High, favours selexipag</w:t>
            </w:r>
            <w:r w:rsidR="0067437A">
              <w:t xml:space="preserve">. </w:t>
            </w:r>
            <w:r w:rsidR="00DE30C0" w:rsidRPr="0067437A">
              <w:br/>
            </w:r>
            <w:r w:rsidRPr="0067437A">
              <w:t>Removing the annual disutility of IV epoprostenol in the model, increased the ICER to $</w:t>
            </w:r>
            <w:r w:rsidR="00BF4A71">
              <w:t>75,000 to $105,000</w:t>
            </w:r>
            <w:r w:rsidRPr="0067437A">
              <w:t>/QALY.</w:t>
            </w:r>
          </w:p>
        </w:tc>
      </w:tr>
      <w:tr w:rsidR="000D4174" w:rsidRPr="0067437A" w:rsidTr="001D780C">
        <w:tc>
          <w:tcPr>
            <w:tcW w:w="862" w:type="pct"/>
            <w:shd w:val="clear" w:color="auto" w:fill="auto"/>
            <w:vAlign w:val="center"/>
          </w:tcPr>
          <w:p w:rsidR="000D4174" w:rsidRPr="0067437A" w:rsidRDefault="000D4174" w:rsidP="000D4174">
            <w:pPr>
              <w:pStyle w:val="TableText0"/>
              <w:keepNext w:val="0"/>
              <w:keepLines/>
            </w:pPr>
            <w:r w:rsidRPr="0067437A">
              <w:lastRenderedPageBreak/>
              <w:t>Proportion of patients hospitalised upon disease progression</w:t>
            </w:r>
            <w:r w:rsidR="0076570E" w:rsidRPr="0067437A">
              <w:t xml:space="preserve"> = 61.2%</w:t>
            </w:r>
          </w:p>
        </w:tc>
        <w:tc>
          <w:tcPr>
            <w:tcW w:w="2594" w:type="pct"/>
            <w:shd w:val="clear" w:color="auto" w:fill="auto"/>
            <w:vAlign w:val="center"/>
          </w:tcPr>
          <w:p w:rsidR="000D4174" w:rsidRPr="0067437A" w:rsidRDefault="000D4174" w:rsidP="00B85C9D">
            <w:pPr>
              <w:pStyle w:val="TableText0"/>
              <w:keepNext w:val="0"/>
              <w:keepLines/>
            </w:pPr>
            <w:r w:rsidRPr="0067437A">
              <w:t>Informed by proportion of patients hospitalised upon morbidity event (weighted average across selexipag and placebo) for PBS subgroup</w:t>
            </w:r>
            <w:r w:rsidRPr="0067437A">
              <w:rPr>
                <w:vertAlign w:val="superscript"/>
              </w:rPr>
              <w:t>a</w:t>
            </w:r>
            <w:r w:rsidRPr="0067437A">
              <w:t xml:space="preserve"> from post hoc analysis of GRIPHON trial.</w:t>
            </w:r>
          </w:p>
        </w:tc>
        <w:tc>
          <w:tcPr>
            <w:tcW w:w="1544" w:type="pct"/>
            <w:shd w:val="clear" w:color="auto" w:fill="auto"/>
            <w:vAlign w:val="center"/>
          </w:tcPr>
          <w:p w:rsidR="000D4174" w:rsidRPr="0067437A" w:rsidRDefault="000D4174" w:rsidP="000D4174">
            <w:pPr>
              <w:pStyle w:val="TableText0"/>
              <w:keepNext w:val="0"/>
              <w:keepLines/>
              <w:jc w:val="center"/>
            </w:pPr>
            <w:r w:rsidRPr="0067437A">
              <w:t>Moderately high, favours selexipag.</w:t>
            </w:r>
          </w:p>
          <w:p w:rsidR="000D4174" w:rsidRPr="0067437A" w:rsidRDefault="000D4174" w:rsidP="000D4174">
            <w:pPr>
              <w:pStyle w:val="TableText0"/>
              <w:keepNext w:val="0"/>
              <w:keepLines/>
              <w:jc w:val="center"/>
            </w:pPr>
            <w:r w:rsidRPr="0067437A">
              <w:t>Assuming 48% instead of 61.2% hospitalised, increased the ICER to $</w:t>
            </w:r>
            <w:r w:rsidR="00785434">
              <w:t xml:space="preserve">45,000 </w:t>
            </w:r>
            <w:r w:rsidR="00BF4A71">
              <w:t>to $75,000</w:t>
            </w:r>
            <w:r w:rsidRPr="0067437A">
              <w:t>/QALY.</w:t>
            </w:r>
          </w:p>
        </w:tc>
      </w:tr>
      <w:tr w:rsidR="000D4174" w:rsidRPr="0067437A" w:rsidTr="001D780C">
        <w:tc>
          <w:tcPr>
            <w:tcW w:w="862" w:type="pct"/>
            <w:shd w:val="clear" w:color="auto" w:fill="auto"/>
            <w:vAlign w:val="center"/>
          </w:tcPr>
          <w:p w:rsidR="000D4174" w:rsidRPr="0067437A" w:rsidRDefault="000D4174" w:rsidP="000D4174">
            <w:pPr>
              <w:pStyle w:val="TableText0"/>
              <w:keepNext w:val="0"/>
              <w:keepLines/>
            </w:pPr>
            <w:r w:rsidRPr="0067437A">
              <w:t>Mean number of hospitalisations per patient per year</w:t>
            </w:r>
            <w:r w:rsidR="00F62C72" w:rsidRPr="0067437A">
              <w:t xml:space="preserve"> = 2</w:t>
            </w:r>
          </w:p>
        </w:tc>
        <w:tc>
          <w:tcPr>
            <w:tcW w:w="2594" w:type="pct"/>
            <w:shd w:val="clear" w:color="auto" w:fill="auto"/>
            <w:vAlign w:val="center"/>
          </w:tcPr>
          <w:p w:rsidR="000D4174" w:rsidRPr="0067437A" w:rsidRDefault="000D4174" w:rsidP="00B85C9D">
            <w:pPr>
              <w:pStyle w:val="3-BodyText"/>
              <w:keepLines/>
              <w:numPr>
                <w:ilvl w:val="0"/>
                <w:numId w:val="0"/>
              </w:numPr>
              <w:spacing w:after="0"/>
              <w:jc w:val="left"/>
              <w:rPr>
                <w:rFonts w:ascii="Arial Narrow" w:hAnsi="Arial Narrow"/>
                <w:sz w:val="20"/>
                <w:szCs w:val="20"/>
                <w:lang w:eastAsia="en-US"/>
              </w:rPr>
            </w:pPr>
            <w:r w:rsidRPr="0067437A">
              <w:rPr>
                <w:rFonts w:ascii="Arial Narrow" w:hAnsi="Arial Narrow"/>
                <w:sz w:val="20"/>
                <w:szCs w:val="20"/>
              </w:rPr>
              <w:t xml:space="preserve">Informed by Hospital Episode Statistics data in England (Beaudet et al 2019), </w:t>
            </w:r>
            <w:r w:rsidR="00B85C9D" w:rsidRPr="0067437A">
              <w:rPr>
                <w:rFonts w:ascii="Arial Narrow" w:hAnsi="Arial Narrow"/>
                <w:sz w:val="20"/>
                <w:szCs w:val="20"/>
              </w:rPr>
              <w:t>which was u</w:t>
            </w:r>
            <w:r w:rsidRPr="0067437A">
              <w:rPr>
                <w:rFonts w:ascii="Arial Narrow" w:hAnsi="Arial Narrow"/>
                <w:sz w:val="20"/>
                <w:szCs w:val="20"/>
              </w:rPr>
              <w:t>nable to be independently validated</w:t>
            </w:r>
            <w:r w:rsidR="0067437A">
              <w:rPr>
                <w:rFonts w:ascii="Arial Narrow" w:hAnsi="Arial Narrow"/>
                <w:sz w:val="20"/>
                <w:szCs w:val="20"/>
              </w:rPr>
              <w:t xml:space="preserve">. </w:t>
            </w:r>
            <w:r w:rsidRPr="0067437A">
              <w:rPr>
                <w:rFonts w:ascii="Arial Narrow" w:hAnsi="Arial Narrow"/>
                <w:sz w:val="20"/>
                <w:szCs w:val="20"/>
              </w:rPr>
              <w:t>A retrospective hospital database study in France (Bergot et al 2019) was used to support multiple hospitalisations per year</w:t>
            </w:r>
            <w:r w:rsidR="0067437A">
              <w:rPr>
                <w:rFonts w:ascii="Arial Narrow" w:hAnsi="Arial Narrow"/>
                <w:sz w:val="20"/>
                <w:szCs w:val="20"/>
              </w:rPr>
              <w:t xml:space="preserve">. </w:t>
            </w:r>
            <w:r w:rsidRPr="0067437A">
              <w:rPr>
                <w:rFonts w:ascii="Arial Narrow" w:hAnsi="Arial Narrow"/>
                <w:sz w:val="20"/>
                <w:szCs w:val="20"/>
              </w:rPr>
              <w:t>T</w:t>
            </w:r>
            <w:r w:rsidRPr="0067437A">
              <w:rPr>
                <w:rFonts w:ascii="Arial Narrow" w:hAnsi="Arial Narrow"/>
                <w:sz w:val="20"/>
                <w:szCs w:val="20"/>
                <w:lang w:eastAsia="en-US"/>
              </w:rPr>
              <w:t xml:space="preserve">he model costed all hospitalisations, initial and subsequent, using a single hospitalisation cost of $8,551, which may be inappropriate as subsequent hospitalisations can include day admissions for monitoring. </w:t>
            </w:r>
          </w:p>
          <w:p w:rsidR="006D5E8F" w:rsidRPr="0067437A" w:rsidRDefault="007C1F0D" w:rsidP="003A47B7">
            <w:pPr>
              <w:pStyle w:val="3-BodyText"/>
              <w:keepLines/>
              <w:numPr>
                <w:ilvl w:val="0"/>
                <w:numId w:val="0"/>
              </w:numPr>
              <w:spacing w:after="0"/>
              <w:jc w:val="left"/>
              <w:rPr>
                <w:rFonts w:ascii="Arial Narrow" w:hAnsi="Arial Narrow"/>
                <w:color w:val="0066FF"/>
                <w:sz w:val="20"/>
                <w:szCs w:val="20"/>
                <w:lang w:eastAsia="en-US"/>
              </w:rPr>
            </w:pPr>
            <w:r w:rsidRPr="0067437A">
              <w:rPr>
                <w:rFonts w:ascii="Arial Narrow" w:hAnsi="Arial Narrow"/>
                <w:sz w:val="20"/>
                <w:szCs w:val="20"/>
                <w:lang w:eastAsia="en-US"/>
              </w:rPr>
              <w:t xml:space="preserve">The PBAC considered </w:t>
            </w:r>
            <w:r w:rsidR="007B146B" w:rsidRPr="0067437A">
              <w:rPr>
                <w:rFonts w:ascii="Arial Narrow" w:hAnsi="Arial Narrow"/>
                <w:sz w:val="20"/>
                <w:szCs w:val="20"/>
                <w:lang w:eastAsia="en-US"/>
              </w:rPr>
              <w:t>a</w:t>
            </w:r>
            <w:r w:rsidRPr="0067437A">
              <w:rPr>
                <w:rFonts w:ascii="Arial Narrow" w:hAnsi="Arial Narrow"/>
                <w:sz w:val="20"/>
                <w:szCs w:val="20"/>
                <w:lang w:eastAsia="en-US"/>
              </w:rPr>
              <w:t xml:space="preserve"> mean number of hospitalisations per patient per year </w:t>
            </w:r>
            <w:r w:rsidR="007B146B" w:rsidRPr="0067437A">
              <w:rPr>
                <w:rFonts w:ascii="Arial Narrow" w:hAnsi="Arial Narrow"/>
                <w:sz w:val="20"/>
                <w:szCs w:val="20"/>
                <w:lang w:eastAsia="en-US"/>
              </w:rPr>
              <w:t xml:space="preserve">of 0.375 was reasonable. </w:t>
            </w:r>
            <w:r w:rsidR="006D5E8F" w:rsidRPr="0067437A">
              <w:rPr>
                <w:rFonts w:ascii="Arial Narrow" w:hAnsi="Arial Narrow"/>
                <w:sz w:val="20"/>
                <w:szCs w:val="20"/>
                <w:lang w:eastAsia="en-US"/>
              </w:rPr>
              <w:t xml:space="preserve">The PBAC also considered that the cost of hospitalisation </w:t>
            </w:r>
            <w:r w:rsidR="00C8459D">
              <w:rPr>
                <w:rFonts w:ascii="Arial Narrow" w:hAnsi="Arial Narrow"/>
                <w:sz w:val="20"/>
                <w:szCs w:val="20"/>
                <w:lang w:eastAsia="en-US"/>
              </w:rPr>
              <w:t xml:space="preserve">may be </w:t>
            </w:r>
            <w:r w:rsidR="00834055">
              <w:rPr>
                <w:rFonts w:ascii="Arial Narrow" w:hAnsi="Arial Narrow"/>
                <w:sz w:val="20"/>
                <w:szCs w:val="20"/>
                <w:lang w:eastAsia="en-US"/>
              </w:rPr>
              <w:t>conservative for those hospitalis</w:t>
            </w:r>
            <w:r w:rsidR="00037A67">
              <w:rPr>
                <w:rFonts w:ascii="Arial Narrow" w:hAnsi="Arial Narrow"/>
                <w:sz w:val="20"/>
                <w:szCs w:val="20"/>
                <w:lang w:eastAsia="en-US"/>
              </w:rPr>
              <w:t>ation</w:t>
            </w:r>
            <w:r w:rsidR="00834055">
              <w:rPr>
                <w:rFonts w:ascii="Arial Narrow" w:hAnsi="Arial Narrow"/>
                <w:sz w:val="20"/>
                <w:szCs w:val="20"/>
                <w:lang w:eastAsia="en-US"/>
              </w:rPr>
              <w:t xml:space="preserve"> events where IV epoprostenol is initiated, </w:t>
            </w:r>
            <w:r w:rsidR="00C8459D">
              <w:rPr>
                <w:rFonts w:ascii="Arial Narrow" w:hAnsi="Arial Narrow"/>
                <w:sz w:val="20"/>
                <w:szCs w:val="20"/>
                <w:lang w:eastAsia="en-US"/>
              </w:rPr>
              <w:t xml:space="preserve">given </w:t>
            </w:r>
            <w:r w:rsidR="006D5E8F" w:rsidRPr="0067437A">
              <w:rPr>
                <w:rFonts w:ascii="Arial Narrow" w:hAnsi="Arial Narrow"/>
                <w:sz w:val="20"/>
                <w:szCs w:val="20"/>
                <w:lang w:eastAsia="en-US"/>
              </w:rPr>
              <w:t xml:space="preserve">the </w:t>
            </w:r>
            <w:r w:rsidR="00834055">
              <w:rPr>
                <w:rFonts w:ascii="Arial Narrow" w:hAnsi="Arial Narrow"/>
                <w:sz w:val="20"/>
                <w:szCs w:val="20"/>
                <w:lang w:eastAsia="en-US"/>
              </w:rPr>
              <w:t xml:space="preserve">likely </w:t>
            </w:r>
            <w:r w:rsidR="00C8459D">
              <w:rPr>
                <w:rFonts w:ascii="Arial Narrow" w:hAnsi="Arial Narrow"/>
                <w:sz w:val="20"/>
                <w:szCs w:val="20"/>
                <w:lang w:eastAsia="en-US"/>
              </w:rPr>
              <w:t>duration of stay</w:t>
            </w:r>
            <w:r w:rsidR="006D5E8F" w:rsidRPr="0067437A">
              <w:rPr>
                <w:rFonts w:ascii="Arial Narrow" w:hAnsi="Arial Narrow"/>
                <w:sz w:val="20"/>
                <w:szCs w:val="20"/>
                <w:lang w:eastAsia="en-US"/>
              </w:rPr>
              <w:t xml:space="preserve"> </w:t>
            </w:r>
            <w:r w:rsidR="00E5078E" w:rsidRPr="0067437A">
              <w:rPr>
                <w:rFonts w:ascii="Arial Narrow" w:hAnsi="Arial Narrow"/>
                <w:sz w:val="20"/>
                <w:szCs w:val="20"/>
                <w:lang w:eastAsia="en-US"/>
              </w:rPr>
              <w:t xml:space="preserve">(see paragraph </w:t>
            </w:r>
            <w:r w:rsidR="00E5078E" w:rsidRPr="003A47B7">
              <w:rPr>
                <w:rFonts w:ascii="Arial Narrow" w:hAnsi="Arial Narrow"/>
                <w:sz w:val="20"/>
                <w:szCs w:val="20"/>
                <w:lang w:eastAsia="en-US"/>
              </w:rPr>
              <w:t>6.</w:t>
            </w:r>
            <w:r w:rsidR="003A47B7" w:rsidRPr="003A47B7">
              <w:rPr>
                <w:rFonts w:ascii="Arial Narrow" w:hAnsi="Arial Narrow"/>
                <w:sz w:val="20"/>
                <w:szCs w:val="20"/>
                <w:lang w:eastAsia="en-US"/>
              </w:rPr>
              <w:t>51</w:t>
            </w:r>
            <w:r w:rsidR="00E5078E" w:rsidRPr="0067437A">
              <w:rPr>
                <w:rFonts w:ascii="Arial Narrow" w:hAnsi="Arial Narrow"/>
                <w:sz w:val="20"/>
                <w:szCs w:val="20"/>
                <w:lang w:eastAsia="en-US"/>
              </w:rPr>
              <w:t>)</w:t>
            </w:r>
            <w:r w:rsidR="006D5E8F" w:rsidRPr="0067437A">
              <w:rPr>
                <w:rFonts w:ascii="Arial Narrow" w:hAnsi="Arial Narrow"/>
                <w:sz w:val="20"/>
                <w:szCs w:val="20"/>
                <w:lang w:eastAsia="en-US"/>
              </w:rPr>
              <w:t>.</w:t>
            </w:r>
          </w:p>
        </w:tc>
        <w:tc>
          <w:tcPr>
            <w:tcW w:w="1544" w:type="pct"/>
            <w:shd w:val="clear" w:color="auto" w:fill="auto"/>
            <w:vAlign w:val="center"/>
          </w:tcPr>
          <w:p w:rsidR="000D4174" w:rsidRPr="0067437A" w:rsidRDefault="000D4174" w:rsidP="000D4174">
            <w:pPr>
              <w:pStyle w:val="TableText0"/>
              <w:keepNext w:val="0"/>
              <w:keepLines/>
              <w:jc w:val="center"/>
            </w:pPr>
            <w:r w:rsidRPr="0067437A">
              <w:t>Moderately high, favours selexipag.</w:t>
            </w:r>
          </w:p>
          <w:p w:rsidR="000D4174" w:rsidRPr="0067437A" w:rsidRDefault="000D4174" w:rsidP="000D4174">
            <w:pPr>
              <w:pStyle w:val="TableText0"/>
              <w:keepNext w:val="0"/>
              <w:keepLines/>
              <w:jc w:val="center"/>
            </w:pPr>
            <w:r w:rsidRPr="0067437A">
              <w:t xml:space="preserve">  Assuming 0.375</w:t>
            </w:r>
            <w:r w:rsidRPr="0067437A">
              <w:rPr>
                <w:vertAlign w:val="superscript"/>
              </w:rPr>
              <w:t>b</w:t>
            </w:r>
            <w:r w:rsidRPr="0067437A">
              <w:t xml:space="preserve"> instead of 2 hospitalisations per patient per year, increased the ICER to $</w:t>
            </w:r>
            <w:r w:rsidR="00BF4A71">
              <w:t xml:space="preserve">45,000 to </w:t>
            </w:r>
            <w:r w:rsidR="00785434">
              <w:t>$75,000</w:t>
            </w:r>
            <w:r w:rsidRPr="0067437A">
              <w:t>/QALY.</w:t>
            </w:r>
          </w:p>
        </w:tc>
      </w:tr>
      <w:tr w:rsidR="000D4174" w:rsidRPr="0067437A" w:rsidTr="00354BD0">
        <w:trPr>
          <w:trHeight w:val="1716"/>
        </w:trPr>
        <w:tc>
          <w:tcPr>
            <w:tcW w:w="862" w:type="pct"/>
            <w:shd w:val="clear" w:color="auto" w:fill="auto"/>
            <w:vAlign w:val="center"/>
          </w:tcPr>
          <w:p w:rsidR="000D4174" w:rsidRPr="0067437A" w:rsidRDefault="000D4174" w:rsidP="000D4174">
            <w:pPr>
              <w:pStyle w:val="TableText0"/>
              <w:keepNext w:val="0"/>
              <w:keepLines/>
            </w:pPr>
            <w:r w:rsidRPr="0067437A">
              <w:t>Cost for selexipag (and assumptions around wastage)</w:t>
            </w:r>
          </w:p>
        </w:tc>
        <w:tc>
          <w:tcPr>
            <w:tcW w:w="2594" w:type="pct"/>
            <w:shd w:val="clear" w:color="auto" w:fill="auto"/>
            <w:vAlign w:val="center"/>
          </w:tcPr>
          <w:p w:rsidR="00CD5BDB" w:rsidRPr="0067437A" w:rsidRDefault="000D4174" w:rsidP="00354BD0">
            <w:pPr>
              <w:pStyle w:val="3-BodyText"/>
              <w:keepLines/>
              <w:numPr>
                <w:ilvl w:val="0"/>
                <w:numId w:val="0"/>
              </w:numPr>
              <w:spacing w:after="0"/>
              <w:ind w:left="-28"/>
              <w:jc w:val="left"/>
              <w:rPr>
                <w:rFonts w:ascii="Arial Narrow" w:hAnsi="Arial Narrow"/>
                <w:sz w:val="20"/>
                <w:szCs w:val="20"/>
              </w:rPr>
            </w:pPr>
            <w:r w:rsidRPr="0067437A">
              <w:rPr>
                <w:rFonts w:ascii="Arial Narrow" w:hAnsi="Arial Narrow"/>
                <w:sz w:val="20"/>
                <w:szCs w:val="20"/>
              </w:rPr>
              <w:t>Based on dosages used in the GRIPHON trial</w:t>
            </w:r>
            <w:r w:rsidR="00B85C9D" w:rsidRPr="0067437A">
              <w:rPr>
                <w:rFonts w:ascii="Arial Narrow" w:hAnsi="Arial Narrow"/>
                <w:sz w:val="20"/>
                <w:szCs w:val="20"/>
              </w:rPr>
              <w:t>. T</w:t>
            </w:r>
            <w:r w:rsidRPr="0067437A">
              <w:rPr>
                <w:rFonts w:ascii="Arial Narrow" w:hAnsi="Arial Narrow"/>
                <w:sz w:val="20"/>
                <w:szCs w:val="20"/>
              </w:rPr>
              <w:t xml:space="preserve">he resubmission estimated an average </w:t>
            </w:r>
            <w:r w:rsidR="00B85C9D" w:rsidRPr="0067437A">
              <w:rPr>
                <w:rFonts w:ascii="Arial Narrow" w:hAnsi="Arial Narrow"/>
                <w:sz w:val="20"/>
                <w:szCs w:val="20"/>
              </w:rPr>
              <w:t xml:space="preserve">titration </w:t>
            </w:r>
            <w:r w:rsidRPr="0067437A">
              <w:rPr>
                <w:rFonts w:ascii="Arial Narrow" w:hAnsi="Arial Narrow"/>
                <w:sz w:val="20"/>
                <w:szCs w:val="20"/>
              </w:rPr>
              <w:t>utilisation of 1.65 packs of the 200</w:t>
            </w:r>
            <w:r w:rsidR="00B85C9D" w:rsidRPr="0067437A">
              <w:rPr>
                <w:rFonts w:ascii="Arial Narrow" w:hAnsi="Arial Narrow"/>
                <w:sz w:val="20"/>
                <w:szCs w:val="20"/>
              </w:rPr>
              <w:t xml:space="preserve"> </w:t>
            </w:r>
            <w:r w:rsidRPr="0067437A">
              <w:rPr>
                <w:rFonts w:ascii="Arial Narrow" w:hAnsi="Arial Narrow"/>
                <w:sz w:val="20"/>
                <w:szCs w:val="20"/>
              </w:rPr>
              <w:t>mcg</w:t>
            </w:r>
            <w:r w:rsidR="00B85C9D" w:rsidRPr="0067437A">
              <w:rPr>
                <w:rFonts w:ascii="Arial Narrow" w:hAnsi="Arial Narrow"/>
                <w:sz w:val="20"/>
                <w:szCs w:val="20"/>
              </w:rPr>
              <w:t xml:space="preserve"> </w:t>
            </w:r>
            <w:r w:rsidRPr="0067437A">
              <w:rPr>
                <w:rFonts w:ascii="Arial Narrow" w:hAnsi="Arial Narrow"/>
                <w:sz w:val="20"/>
                <w:szCs w:val="20"/>
              </w:rPr>
              <w:t>x</w:t>
            </w:r>
            <w:r w:rsidR="00B85C9D" w:rsidRPr="0067437A">
              <w:rPr>
                <w:rFonts w:ascii="Arial Narrow" w:hAnsi="Arial Narrow"/>
                <w:sz w:val="20"/>
                <w:szCs w:val="20"/>
              </w:rPr>
              <w:t xml:space="preserve"> </w:t>
            </w:r>
            <w:r w:rsidRPr="0067437A">
              <w:rPr>
                <w:rFonts w:ascii="Arial Narrow" w:hAnsi="Arial Narrow"/>
                <w:sz w:val="20"/>
                <w:szCs w:val="20"/>
              </w:rPr>
              <w:t>140 tablets initial pack and 0.65 packs of the 800</w:t>
            </w:r>
            <w:r w:rsidR="00B85C9D" w:rsidRPr="0067437A">
              <w:rPr>
                <w:rFonts w:ascii="Arial Narrow" w:hAnsi="Arial Narrow"/>
                <w:sz w:val="20"/>
                <w:szCs w:val="20"/>
              </w:rPr>
              <w:t xml:space="preserve"> </w:t>
            </w:r>
            <w:r w:rsidRPr="0067437A">
              <w:rPr>
                <w:rFonts w:ascii="Arial Narrow" w:hAnsi="Arial Narrow"/>
                <w:sz w:val="20"/>
                <w:szCs w:val="20"/>
              </w:rPr>
              <w:t xml:space="preserve">mcg </w:t>
            </w:r>
            <w:r w:rsidR="00B85C9D" w:rsidRPr="0067437A">
              <w:rPr>
                <w:rFonts w:ascii="Arial Narrow" w:hAnsi="Arial Narrow"/>
                <w:sz w:val="20"/>
                <w:szCs w:val="20"/>
              </w:rPr>
              <w:t>initiation</w:t>
            </w:r>
            <w:r w:rsidRPr="0067437A">
              <w:rPr>
                <w:rFonts w:ascii="Arial Narrow" w:hAnsi="Arial Narrow"/>
                <w:sz w:val="20"/>
                <w:szCs w:val="20"/>
              </w:rPr>
              <w:t xml:space="preserve"> pack</w:t>
            </w:r>
            <w:r w:rsidR="0067437A">
              <w:rPr>
                <w:rFonts w:ascii="Arial Narrow" w:hAnsi="Arial Narrow"/>
                <w:sz w:val="20"/>
                <w:szCs w:val="20"/>
              </w:rPr>
              <w:t xml:space="preserve">. </w:t>
            </w:r>
            <w:r w:rsidRPr="0067437A">
              <w:rPr>
                <w:rFonts w:ascii="Arial Narrow" w:hAnsi="Arial Narrow"/>
                <w:sz w:val="20"/>
                <w:szCs w:val="20"/>
              </w:rPr>
              <w:t>However greater quantities are available on the PBS (3 for 200mcg, 140 pack and 4 for 800mcg, 60 pack</w:t>
            </w:r>
            <w:r w:rsidR="00B85C9D" w:rsidRPr="0067437A">
              <w:rPr>
                <w:rFonts w:ascii="Arial Narrow" w:hAnsi="Arial Narrow"/>
                <w:sz w:val="20"/>
                <w:szCs w:val="20"/>
              </w:rPr>
              <w:t>.</w:t>
            </w:r>
            <w:r w:rsidR="00354BD0">
              <w:rPr>
                <w:rFonts w:ascii="Arial Narrow" w:hAnsi="Arial Narrow"/>
                <w:sz w:val="20"/>
                <w:szCs w:val="20"/>
              </w:rPr>
              <w:t xml:space="preserve"> </w:t>
            </w:r>
          </w:p>
          <w:p w:rsidR="00CD5BDB" w:rsidRPr="0067437A" w:rsidRDefault="00CD5BDB" w:rsidP="00BB2871">
            <w:pPr>
              <w:pStyle w:val="3-BodyText"/>
              <w:keepLines/>
              <w:numPr>
                <w:ilvl w:val="0"/>
                <w:numId w:val="0"/>
              </w:numPr>
              <w:spacing w:after="0"/>
              <w:ind w:left="-28"/>
              <w:jc w:val="left"/>
              <w:rPr>
                <w:rFonts w:ascii="Arial Narrow" w:hAnsi="Arial Narrow"/>
                <w:sz w:val="20"/>
                <w:szCs w:val="20"/>
              </w:rPr>
            </w:pPr>
            <w:r w:rsidRPr="0067437A">
              <w:rPr>
                <w:rFonts w:ascii="Arial Narrow" w:hAnsi="Arial Narrow"/>
                <w:sz w:val="20"/>
                <w:szCs w:val="20"/>
              </w:rPr>
              <w:t xml:space="preserve">The </w:t>
            </w:r>
            <w:r w:rsidR="006D5E8F" w:rsidRPr="0067437A">
              <w:rPr>
                <w:rFonts w:ascii="Arial Narrow" w:hAnsi="Arial Narrow"/>
                <w:sz w:val="20"/>
                <w:szCs w:val="20"/>
              </w:rPr>
              <w:t>p</w:t>
            </w:r>
            <w:r w:rsidRPr="0067437A">
              <w:rPr>
                <w:rFonts w:ascii="Arial Narrow" w:hAnsi="Arial Narrow"/>
                <w:sz w:val="20"/>
                <w:szCs w:val="20"/>
              </w:rPr>
              <w:t xml:space="preserve">re-PBAC </w:t>
            </w:r>
            <w:r w:rsidR="006D5E8F" w:rsidRPr="0067437A">
              <w:rPr>
                <w:rFonts w:ascii="Arial Narrow" w:hAnsi="Arial Narrow"/>
                <w:sz w:val="20"/>
                <w:szCs w:val="20"/>
              </w:rPr>
              <w:t>r</w:t>
            </w:r>
            <w:r w:rsidRPr="0067437A">
              <w:rPr>
                <w:rFonts w:ascii="Arial Narrow" w:hAnsi="Arial Narrow"/>
                <w:sz w:val="20"/>
                <w:szCs w:val="20"/>
              </w:rPr>
              <w:t xml:space="preserve">esponse included a revised price offer of an </w:t>
            </w:r>
            <w:r w:rsidR="00BB2871" w:rsidRPr="0067437A">
              <w:rPr>
                <w:rFonts w:ascii="Arial Narrow" w:hAnsi="Arial Narrow"/>
                <w:sz w:val="20"/>
                <w:szCs w:val="20"/>
              </w:rPr>
              <w:t xml:space="preserve">effective </w:t>
            </w:r>
            <w:r w:rsidRPr="0067437A">
              <w:rPr>
                <w:rFonts w:ascii="Arial Narrow" w:hAnsi="Arial Narrow"/>
                <w:sz w:val="20"/>
                <w:szCs w:val="20"/>
              </w:rPr>
              <w:t>AEMP of $</w:t>
            </w:r>
            <w:r w:rsidR="00B24936">
              <w:rPr>
                <w:rFonts w:ascii="Arial Narrow" w:hAnsi="Arial Narrow"/>
                <w:noProof/>
                <w:color w:val="000000"/>
                <w:sz w:val="20"/>
                <w:szCs w:val="20"/>
                <w:highlight w:val="black"/>
              </w:rPr>
              <w:t>''''''''''''''</w:t>
            </w:r>
            <w:r w:rsidRPr="0067437A">
              <w:rPr>
                <w:rFonts w:ascii="Arial Narrow" w:hAnsi="Arial Narrow"/>
                <w:sz w:val="20"/>
                <w:szCs w:val="20"/>
              </w:rPr>
              <w:t xml:space="preserve"> </w:t>
            </w:r>
            <w:r w:rsidR="006D5E8F" w:rsidRPr="0067437A">
              <w:rPr>
                <w:rFonts w:ascii="Arial Narrow" w:hAnsi="Arial Narrow"/>
                <w:sz w:val="20"/>
                <w:szCs w:val="20"/>
              </w:rPr>
              <w:t xml:space="preserve">for the initiation and maintenance packs </w:t>
            </w:r>
            <w:r w:rsidRPr="0067437A">
              <w:rPr>
                <w:rFonts w:ascii="Arial Narrow" w:hAnsi="Arial Narrow"/>
                <w:sz w:val="20"/>
                <w:szCs w:val="20"/>
              </w:rPr>
              <w:t>(</w:t>
            </w:r>
            <w:r w:rsidR="00B24936">
              <w:rPr>
                <w:rFonts w:ascii="Arial Narrow" w:hAnsi="Arial Narrow"/>
                <w:noProof/>
                <w:color w:val="000000"/>
                <w:sz w:val="20"/>
                <w:szCs w:val="20"/>
                <w:highlight w:val="black"/>
              </w:rPr>
              <w:t>'''''''''''</w:t>
            </w:r>
            <w:r w:rsidRPr="0067437A">
              <w:rPr>
                <w:rFonts w:ascii="Arial Narrow" w:hAnsi="Arial Narrow"/>
                <w:sz w:val="20"/>
                <w:szCs w:val="20"/>
              </w:rPr>
              <w:t>% reduction).</w:t>
            </w:r>
          </w:p>
        </w:tc>
        <w:tc>
          <w:tcPr>
            <w:tcW w:w="1544" w:type="pct"/>
            <w:shd w:val="clear" w:color="auto" w:fill="auto"/>
            <w:vAlign w:val="center"/>
          </w:tcPr>
          <w:p w:rsidR="000D4174" w:rsidRPr="0067437A" w:rsidRDefault="000D4174" w:rsidP="000D4174">
            <w:pPr>
              <w:pStyle w:val="TableText0"/>
              <w:keepNext w:val="0"/>
              <w:keepLines/>
              <w:jc w:val="center"/>
            </w:pPr>
            <w:r w:rsidRPr="0067437A">
              <w:t>Moderately high, favours selexipag</w:t>
            </w:r>
          </w:p>
          <w:p w:rsidR="000D4174" w:rsidRPr="0067437A" w:rsidRDefault="000D4174" w:rsidP="00985661">
            <w:pPr>
              <w:pStyle w:val="TableText0"/>
              <w:keepNext w:val="0"/>
              <w:keepLines/>
              <w:jc w:val="center"/>
            </w:pPr>
            <w:r w:rsidRPr="0067437A">
              <w:t>A sensitivity analysis assuming selexipag patients would obtain the maximum number of initial packs prescribed assuming 1</w:t>
            </w:r>
            <w:r w:rsidR="00985661" w:rsidRPr="0067437A">
              <w:t xml:space="preserve"> </w:t>
            </w:r>
            <w:r w:rsidRPr="0067437A">
              <w:t>+ 2 repeats of the 200 mcg and 1</w:t>
            </w:r>
            <w:r w:rsidR="00985661" w:rsidRPr="0067437A">
              <w:t xml:space="preserve"> </w:t>
            </w:r>
            <w:r w:rsidRPr="0067437A">
              <w:t>+ 3 repeats of the 800 mcg packs inc</w:t>
            </w:r>
            <w:r w:rsidR="00354BD0">
              <w:t>reased the ICER to $</w:t>
            </w:r>
            <w:r w:rsidR="00141C18">
              <w:t xml:space="preserve">75,000 to </w:t>
            </w:r>
            <w:r w:rsidR="00BF4A71">
              <w:t>$105,000</w:t>
            </w:r>
            <w:r w:rsidR="00354BD0">
              <w:t>/QALY.</w:t>
            </w:r>
          </w:p>
        </w:tc>
      </w:tr>
    </w:tbl>
    <w:p w:rsidR="000D4174" w:rsidRPr="0067437A" w:rsidRDefault="00BB2871" w:rsidP="00BB2871">
      <w:pPr>
        <w:pStyle w:val="TableFooter"/>
      </w:pPr>
      <w:r w:rsidRPr="0067437A">
        <w:t xml:space="preserve">AEMP = approved ex-manufacturer price; ERA = endothelin receptor antagonist; ESC = Economic Sub-Committee; ESC/ERS = European Society of Cardiology/European Respiratory Society; FC = functional class; ICER = incremental cost effectiveness ratio; </w:t>
      </w:r>
      <w:r w:rsidR="000D4174" w:rsidRPr="0067437A">
        <w:t>IV</w:t>
      </w:r>
      <w:r w:rsidRPr="0067437A">
        <w:t xml:space="preserve"> </w:t>
      </w:r>
      <w:r w:rsidR="000D4174" w:rsidRPr="0067437A">
        <w:t>=</w:t>
      </w:r>
      <w:r w:rsidRPr="0067437A">
        <w:t xml:space="preserve"> </w:t>
      </w:r>
      <w:r w:rsidR="000D4174" w:rsidRPr="0067437A">
        <w:t xml:space="preserve">intravenous, PAH = pulmonary arterial hypertension; </w:t>
      </w:r>
      <w:r w:rsidRPr="0067437A">
        <w:t xml:space="preserve">PBAC = Pharmaceutical Benefits Advisory Committee; PDE-5i = phosphodiesterase type 5 inhibitor; PSCR = pre-Sub-Committee response; QALY = quality adjusted life year; </w:t>
      </w:r>
      <w:r w:rsidR="000D4174" w:rsidRPr="0067437A">
        <w:t>TTO = time trade-off</w:t>
      </w:r>
      <w:r w:rsidRPr="0067437A">
        <w:t xml:space="preserve">; WHO = World Health Organisation </w:t>
      </w:r>
    </w:p>
    <w:p w:rsidR="000D4174" w:rsidRPr="0067437A" w:rsidRDefault="000D4174" w:rsidP="00BB2871">
      <w:pPr>
        <w:pStyle w:val="TableFooter"/>
        <w:rPr>
          <w:rFonts w:cs="Times New Roman"/>
          <w:iCs/>
          <w:color w:val="000000"/>
          <w:vertAlign w:val="superscript"/>
          <w:lang w:eastAsia="zh-CN"/>
        </w:rPr>
      </w:pPr>
      <w:r w:rsidRPr="0067437A">
        <w:rPr>
          <w:vertAlign w:val="superscript"/>
        </w:rPr>
        <w:t>a</w:t>
      </w:r>
      <w:r w:rsidRPr="0067437A">
        <w:rPr>
          <w:vertAlign w:val="superscript"/>
        </w:rPr>
        <w:tab/>
      </w:r>
      <w:r w:rsidRPr="0067437A">
        <w:t>WHO FC III and on dual therapy.</w:t>
      </w:r>
    </w:p>
    <w:p w:rsidR="000D4174" w:rsidRPr="0067437A" w:rsidRDefault="000D4174" w:rsidP="00BB2871">
      <w:pPr>
        <w:pStyle w:val="TableFooter"/>
      </w:pPr>
      <w:r w:rsidRPr="0067437A">
        <w:rPr>
          <w:rFonts w:cs="Times New Roman"/>
          <w:iCs/>
          <w:color w:val="000000"/>
          <w:vertAlign w:val="superscript"/>
          <w:lang w:eastAsia="zh-CN"/>
        </w:rPr>
        <w:t>b</w:t>
      </w:r>
      <w:r w:rsidRPr="0067437A">
        <w:rPr>
          <w:rFonts w:cs="Times New Roman"/>
          <w:iCs/>
          <w:color w:val="000000"/>
          <w:lang w:eastAsia="zh-CN"/>
        </w:rPr>
        <w:tab/>
        <w:t xml:space="preserve">0.375 hospitalisations per patient per year, based on the Beaudet et al. 2019 abstract, which had 1.4 hospitalisations per patient over a mean </w:t>
      </w:r>
      <w:r w:rsidR="00285B5F">
        <w:rPr>
          <w:rFonts w:cs="Times New Roman"/>
          <w:iCs/>
          <w:color w:val="000000"/>
          <w:lang w:eastAsia="zh-CN"/>
        </w:rPr>
        <w:t xml:space="preserve">follow-up period of 44.8 months. </w:t>
      </w:r>
      <w:r w:rsidR="00285B5F" w:rsidRPr="00285B5F">
        <w:rPr>
          <w:rFonts w:cs="Times New Roman"/>
          <w:iCs/>
          <w:lang w:eastAsia="zh-CN"/>
        </w:rPr>
        <w:t>Following the PBAC meeting it was identified that the 1.4 hospitalisation was the average per year not the average over the 44.8 month follow-up period.</w:t>
      </w:r>
    </w:p>
    <w:p w:rsidR="000D4174" w:rsidRPr="0067437A" w:rsidRDefault="000D4174" w:rsidP="00BB2871">
      <w:pPr>
        <w:pStyle w:val="TableFooter"/>
      </w:pPr>
      <w:r w:rsidRPr="0067437A">
        <w:t>Source: constructed during the evaluation.</w:t>
      </w:r>
    </w:p>
    <w:p w:rsidR="00BB2871" w:rsidRPr="0067437A" w:rsidRDefault="00BB2871" w:rsidP="00BB2871"/>
    <w:p w:rsidR="00F66DD2" w:rsidRPr="0067437A" w:rsidRDefault="00F66DD2" w:rsidP="00452E83">
      <w:pPr>
        <w:pStyle w:val="3-BodyText"/>
        <w:ind w:left="709"/>
      </w:pPr>
      <w:r w:rsidRPr="0067437A">
        <w:t>All patients enter the model in the Stable PAH health state (assumed to be equivalent to WHO FC III)</w:t>
      </w:r>
      <w:r w:rsidR="0067437A">
        <w:t xml:space="preserve">. </w:t>
      </w:r>
      <w:r w:rsidR="003F27D9" w:rsidRPr="0067437A">
        <w:t>Th</w:t>
      </w:r>
      <w:r w:rsidR="00F33FA7" w:rsidRPr="0067437A">
        <w:t>e ESC considered that this</w:t>
      </w:r>
      <w:r w:rsidR="00F33FA7" w:rsidRPr="0067437A">
        <w:rPr>
          <w:i/>
        </w:rPr>
        <w:t xml:space="preserve"> </w:t>
      </w:r>
      <w:r w:rsidR="00F33FA7" w:rsidRPr="0067437A">
        <w:t xml:space="preserve">was </w:t>
      </w:r>
      <w:r w:rsidR="003F27D9" w:rsidRPr="0067437A">
        <w:t xml:space="preserve">not appropriate as data from the PHSANZ registry examined as part of the PMR for PAH medicines indicated approximately 6% of the cohort had entered the registry with WHO FC IV symptoms </w:t>
      </w:r>
      <w:r w:rsidR="003F27D9" w:rsidRPr="0067437A">
        <w:rPr>
          <w:iCs/>
          <w:szCs w:val="22"/>
          <w:lang w:eastAsia="en-US"/>
        </w:rPr>
        <w:t xml:space="preserve">(Item 9.1 PMR PAH Attachment 1.3 Term of Reference 2 medicine utilisation analysis). </w:t>
      </w:r>
      <w:r w:rsidR="003F27D9" w:rsidRPr="0067437A">
        <w:t>In addition, the model did not include</w:t>
      </w:r>
      <w:r w:rsidRPr="0067437A">
        <w:t xml:space="preserve"> specific data for patients with WHO FC IV PAH, as they comprised only 1% of the GRIPHON </w:t>
      </w:r>
      <w:r w:rsidR="00B17771" w:rsidRPr="0067437A">
        <w:t xml:space="preserve">trial </w:t>
      </w:r>
      <w:r w:rsidRPr="0067437A">
        <w:t>population</w:t>
      </w:r>
      <w:r w:rsidR="0067437A">
        <w:t xml:space="preserve">. </w:t>
      </w:r>
      <w:r w:rsidRPr="0067437A">
        <w:t>Instead, the resubmission assumed that results for WHO FC III would also apply to WHO FC IV</w:t>
      </w:r>
      <w:r w:rsidR="00CD10EF" w:rsidRPr="0067437A">
        <w:t xml:space="preserve"> patients</w:t>
      </w:r>
      <w:r w:rsidR="007E1D5D" w:rsidRPr="0067437A">
        <w:t>,</w:t>
      </w:r>
      <w:r w:rsidR="00CD10EF" w:rsidRPr="0067437A">
        <w:t xml:space="preserve"> based on the argument that there is no biological rationale to consider </w:t>
      </w:r>
      <w:r w:rsidR="003732D2" w:rsidRPr="0067437A">
        <w:t xml:space="preserve">that </w:t>
      </w:r>
      <w:r w:rsidR="00CD10EF" w:rsidRPr="0067437A">
        <w:t>the relative treatment effect from triple therapy with selexipag will be significantly different in this population</w:t>
      </w:r>
      <w:r w:rsidR="0067437A">
        <w:t xml:space="preserve">. </w:t>
      </w:r>
      <w:r w:rsidR="00CD10EF" w:rsidRPr="0067437A">
        <w:t xml:space="preserve">As discussed above, </w:t>
      </w:r>
      <w:r w:rsidR="00834055">
        <w:t xml:space="preserve">the PBAC considered that </w:t>
      </w:r>
      <w:r w:rsidR="00CD10EF" w:rsidRPr="0067437A">
        <w:t xml:space="preserve">this statement </w:t>
      </w:r>
      <w:r w:rsidR="00944B59" w:rsidRPr="0067437A">
        <w:t>was not</w:t>
      </w:r>
      <w:r w:rsidR="00CD10EF" w:rsidRPr="0067437A">
        <w:t xml:space="preserve"> </w:t>
      </w:r>
      <w:r w:rsidR="000B78D8" w:rsidRPr="0067437A">
        <w:lastRenderedPageBreak/>
        <w:t xml:space="preserve">adequately </w:t>
      </w:r>
      <w:r w:rsidR="00CD10EF" w:rsidRPr="0067437A">
        <w:t xml:space="preserve">supported given evidence for WHO FC II patients </w:t>
      </w:r>
      <w:r w:rsidR="00D854F7" w:rsidRPr="0067437A">
        <w:t>suggest</w:t>
      </w:r>
      <w:r w:rsidR="003732D2" w:rsidRPr="0067437A">
        <w:t xml:space="preserve">s </w:t>
      </w:r>
      <w:r w:rsidR="00D854F7" w:rsidRPr="0067437A">
        <w:t xml:space="preserve">a </w:t>
      </w:r>
      <w:r w:rsidR="00CD10EF" w:rsidRPr="0067437A">
        <w:t>potentially different treatment effect for selexipag</w:t>
      </w:r>
      <w:r w:rsidR="007E1D5D" w:rsidRPr="0067437A">
        <w:t xml:space="preserve"> in that population</w:t>
      </w:r>
      <w:r w:rsidR="00CD10EF" w:rsidRPr="0067437A">
        <w:t>.</w:t>
      </w:r>
    </w:p>
    <w:p w:rsidR="000B78D8" w:rsidRPr="0067437A" w:rsidRDefault="00F66DD2" w:rsidP="000B78D8">
      <w:pPr>
        <w:pStyle w:val="3-BodyText"/>
        <w:ind w:left="709"/>
        <w:rPr>
          <w:rFonts w:cstheme="minorHAnsi"/>
          <w:i/>
        </w:rPr>
      </w:pPr>
      <w:r w:rsidRPr="0067437A">
        <w:t xml:space="preserve">Patients </w:t>
      </w:r>
      <w:r w:rsidR="003F27D9" w:rsidRPr="0067437A">
        <w:t>we</w:t>
      </w:r>
      <w:r w:rsidRPr="0067437A">
        <w:t xml:space="preserve">re assumed to move from Stable PAH to Improved PAH only when a new treatment </w:t>
      </w:r>
      <w:r w:rsidR="003F27D9" w:rsidRPr="0067437A">
        <w:t>was</w:t>
      </w:r>
      <w:r w:rsidRPr="0067437A">
        <w:t xml:space="preserve"> initiated</w:t>
      </w:r>
      <w:r w:rsidR="00C0531E">
        <w:t>;</w:t>
      </w:r>
      <w:r w:rsidRPr="0067437A">
        <w:t xml:space="preserve"> hence</w:t>
      </w:r>
      <w:r w:rsidR="00C0531E">
        <w:t>,</w:t>
      </w:r>
      <w:r w:rsidRPr="0067437A">
        <w:t xml:space="preserve"> this </w:t>
      </w:r>
      <w:r w:rsidR="00CC4C41" w:rsidRPr="0067437A">
        <w:t xml:space="preserve">transition </w:t>
      </w:r>
      <w:r w:rsidRPr="0067437A">
        <w:t>applie</w:t>
      </w:r>
      <w:r w:rsidR="003F27D9" w:rsidRPr="0067437A">
        <w:t>d</w:t>
      </w:r>
      <w:r w:rsidRPr="0067437A">
        <w:t xml:space="preserve"> </w:t>
      </w:r>
      <w:r w:rsidR="00CC4C41" w:rsidRPr="0067437A">
        <w:t xml:space="preserve">only </w:t>
      </w:r>
      <w:r w:rsidRPr="0067437A">
        <w:t>to the first cycle of the model</w:t>
      </w:r>
      <w:r w:rsidR="003F27D9" w:rsidRPr="0067437A">
        <w:t xml:space="preserve"> (</w:t>
      </w:r>
      <w:r w:rsidR="005C1163" w:rsidRPr="0067437A">
        <w:t xml:space="preserve">25.2% </w:t>
      </w:r>
      <w:r w:rsidR="003F27D9" w:rsidRPr="0067437A">
        <w:t xml:space="preserve">of selexipag </w:t>
      </w:r>
      <w:r w:rsidR="005C1163" w:rsidRPr="0067437A">
        <w:t xml:space="preserve">and 16.9% of placebo </w:t>
      </w:r>
      <w:r w:rsidR="003F27D9" w:rsidRPr="0067437A">
        <w:t>patients</w:t>
      </w:r>
      <w:r w:rsidR="005C1163" w:rsidRPr="0067437A">
        <w:t xml:space="preserve"> moved to the Improved PAH health state</w:t>
      </w:r>
      <w:r w:rsidR="00010C27" w:rsidRPr="0067437A">
        <w:t xml:space="preserve"> based on subgroup results </w:t>
      </w:r>
      <w:r w:rsidR="003F27D9" w:rsidRPr="0067437A">
        <w:t>from</w:t>
      </w:r>
      <w:r w:rsidR="008506EE" w:rsidRPr="0067437A">
        <w:t xml:space="preserve"> GRIPHON </w:t>
      </w:r>
      <w:r w:rsidR="003F27D9" w:rsidRPr="0067437A">
        <w:t xml:space="preserve">in patients </w:t>
      </w:r>
      <w:r w:rsidR="008506EE" w:rsidRPr="0067437A">
        <w:t xml:space="preserve">who were WHO FC III and </w:t>
      </w:r>
      <w:r w:rsidR="003F27D9" w:rsidRPr="0067437A">
        <w:t>receiving background</w:t>
      </w:r>
      <w:r w:rsidR="008506EE" w:rsidRPr="0067437A">
        <w:t xml:space="preserve"> dual therapy </w:t>
      </w:r>
      <w:r w:rsidR="003F27D9" w:rsidRPr="0067437A">
        <w:t>who</w:t>
      </w:r>
      <w:r w:rsidR="008506EE" w:rsidRPr="0067437A">
        <w:t xml:space="preserve"> improved to</w:t>
      </w:r>
      <w:r w:rsidR="006F3AE9" w:rsidRPr="0067437A">
        <w:t xml:space="preserve"> WHO</w:t>
      </w:r>
      <w:r w:rsidR="008506EE" w:rsidRPr="0067437A">
        <w:t xml:space="preserve"> FC II </w:t>
      </w:r>
      <w:r w:rsidR="006F3AE9" w:rsidRPr="0067437A">
        <w:t>by Week 16</w:t>
      </w:r>
      <w:r w:rsidR="003F27D9" w:rsidRPr="0067437A">
        <w:t>)</w:t>
      </w:r>
      <w:r w:rsidR="00010C27" w:rsidRPr="0067437A">
        <w:t xml:space="preserve">. </w:t>
      </w:r>
      <w:r w:rsidR="003F27D9" w:rsidRPr="0067437A">
        <w:t>The</w:t>
      </w:r>
      <w:r w:rsidR="00F61C14" w:rsidRPr="0067437A">
        <w:t xml:space="preserve"> </w:t>
      </w:r>
      <w:r w:rsidR="003C2961" w:rsidRPr="0067437A">
        <w:t xml:space="preserve">same analysis also </w:t>
      </w:r>
      <w:r w:rsidR="003F27D9" w:rsidRPr="0067437A">
        <w:t xml:space="preserve">reported </w:t>
      </w:r>
      <w:r w:rsidR="003C2961" w:rsidRPr="0067437A">
        <w:t xml:space="preserve">that </w:t>
      </w:r>
      <w:r w:rsidR="00157DEF" w:rsidRPr="0067437A">
        <w:t xml:space="preserve">6.8% </w:t>
      </w:r>
      <w:r w:rsidR="003F27D9" w:rsidRPr="0067437A">
        <w:t xml:space="preserve">of selexipag patients </w:t>
      </w:r>
      <w:r w:rsidR="00157DEF" w:rsidRPr="0067437A">
        <w:t>and 1</w:t>
      </w:r>
      <w:r w:rsidR="003C2961" w:rsidRPr="0067437A">
        <w:t xml:space="preserve">.7% </w:t>
      </w:r>
      <w:r w:rsidR="00157DEF" w:rsidRPr="0067437A">
        <w:t xml:space="preserve">placebo </w:t>
      </w:r>
      <w:r w:rsidR="003F27D9" w:rsidRPr="0067437A">
        <w:t>patients</w:t>
      </w:r>
      <w:r w:rsidR="00F61C14" w:rsidRPr="0067437A">
        <w:t xml:space="preserve"> experienced </w:t>
      </w:r>
      <w:r w:rsidR="007E1D5D" w:rsidRPr="0067437A">
        <w:t xml:space="preserve">disease worsening </w:t>
      </w:r>
      <w:r w:rsidR="003C2961" w:rsidRPr="0067437A">
        <w:t xml:space="preserve">to </w:t>
      </w:r>
      <w:r w:rsidR="00F61C14" w:rsidRPr="0067437A">
        <w:t>WHO FC IV</w:t>
      </w:r>
      <w:r w:rsidR="00157DEF" w:rsidRPr="0067437A">
        <w:t xml:space="preserve"> </w:t>
      </w:r>
      <w:r w:rsidR="003C2961" w:rsidRPr="0067437A">
        <w:t>by Week 16</w:t>
      </w:r>
      <w:r w:rsidR="00B931C6" w:rsidRPr="0067437A">
        <w:t>, which was not incorporated in the model</w:t>
      </w:r>
      <w:r w:rsidR="0067437A">
        <w:t xml:space="preserve">. </w:t>
      </w:r>
      <w:r w:rsidR="00F61C14" w:rsidRPr="0067437A">
        <w:t xml:space="preserve">The resubmission </w:t>
      </w:r>
      <w:r w:rsidR="003F27D9" w:rsidRPr="0067437A">
        <w:t>stated that the application of improved PAH in</w:t>
      </w:r>
      <w:r w:rsidR="00FA1182" w:rsidRPr="0067437A">
        <w:t xml:space="preserve"> the model was conservative as it did not </w:t>
      </w:r>
      <w:r w:rsidR="00060160" w:rsidRPr="0067437A">
        <w:t xml:space="preserve">incorporate </w:t>
      </w:r>
      <w:r w:rsidR="00B931C6" w:rsidRPr="0067437A">
        <w:t xml:space="preserve">further </w:t>
      </w:r>
      <w:r w:rsidR="00FA1182" w:rsidRPr="0067437A">
        <w:t>improvement</w:t>
      </w:r>
      <w:r w:rsidR="00B931C6" w:rsidRPr="0067437A">
        <w:t>s</w:t>
      </w:r>
      <w:r w:rsidR="00FA1182" w:rsidRPr="0067437A">
        <w:t xml:space="preserve"> in </w:t>
      </w:r>
      <w:r w:rsidR="00B931C6" w:rsidRPr="0067437A">
        <w:t xml:space="preserve">WHO </w:t>
      </w:r>
      <w:r w:rsidR="003C2961" w:rsidRPr="0067437A">
        <w:t xml:space="preserve">FC </w:t>
      </w:r>
      <w:r w:rsidR="001C6617" w:rsidRPr="0067437A">
        <w:t xml:space="preserve">transitions </w:t>
      </w:r>
      <w:r w:rsidR="00FA1182" w:rsidRPr="0067437A">
        <w:t>beyond Week 16.</w:t>
      </w:r>
      <w:r w:rsidR="00834055">
        <w:t xml:space="preserve"> </w:t>
      </w:r>
      <w:r w:rsidR="000B78D8" w:rsidRPr="0067437A">
        <w:t xml:space="preserve">The ESC considered that WHO FC improvements after Week 16 would </w:t>
      </w:r>
      <w:r w:rsidR="0035520C" w:rsidRPr="0067437A">
        <w:t xml:space="preserve">be </w:t>
      </w:r>
      <w:r w:rsidR="000B78D8" w:rsidRPr="0067437A">
        <w:t>unlikely</w:t>
      </w:r>
      <w:r w:rsidR="0067437A">
        <w:t xml:space="preserve">. </w:t>
      </w:r>
    </w:p>
    <w:p w:rsidR="000B78D8" w:rsidRPr="0067437A" w:rsidRDefault="00DB2499" w:rsidP="000B78D8">
      <w:pPr>
        <w:pStyle w:val="3-BodyText"/>
        <w:ind w:left="709"/>
        <w:rPr>
          <w:rFonts w:cstheme="minorHAnsi"/>
          <w:i/>
        </w:rPr>
      </w:pPr>
      <w:r w:rsidRPr="0067437A">
        <w:rPr>
          <w:rFonts w:cstheme="minorHAnsi"/>
        </w:rPr>
        <w:t>Patient p</w:t>
      </w:r>
      <w:r w:rsidR="00F66DD2" w:rsidRPr="0067437A">
        <w:rPr>
          <w:rFonts w:cstheme="minorHAnsi"/>
        </w:rPr>
        <w:t xml:space="preserve">rogression </w:t>
      </w:r>
      <w:r w:rsidRPr="0067437A">
        <w:rPr>
          <w:rFonts w:cstheme="minorHAnsi"/>
        </w:rPr>
        <w:t>f</w:t>
      </w:r>
      <w:r w:rsidR="001212F2" w:rsidRPr="0067437A">
        <w:rPr>
          <w:rFonts w:cstheme="minorHAnsi"/>
        </w:rPr>
        <w:t xml:space="preserve">rom both </w:t>
      </w:r>
      <w:r w:rsidRPr="0067437A">
        <w:rPr>
          <w:rFonts w:cstheme="minorHAnsi"/>
        </w:rPr>
        <w:t xml:space="preserve">the </w:t>
      </w:r>
      <w:r w:rsidR="001212F2" w:rsidRPr="0067437A">
        <w:rPr>
          <w:rFonts w:cstheme="minorHAnsi"/>
        </w:rPr>
        <w:t xml:space="preserve">Stable PAH and Improved PAH </w:t>
      </w:r>
      <w:r w:rsidRPr="0067437A">
        <w:rPr>
          <w:rFonts w:cstheme="minorHAnsi"/>
        </w:rPr>
        <w:t xml:space="preserve">health states </w:t>
      </w:r>
      <w:r w:rsidR="00AA4732" w:rsidRPr="0067437A">
        <w:rPr>
          <w:rFonts w:cstheme="minorHAnsi"/>
        </w:rPr>
        <w:t xml:space="preserve">to </w:t>
      </w:r>
      <w:r w:rsidRPr="0067437A">
        <w:rPr>
          <w:rFonts w:cstheme="minorHAnsi"/>
        </w:rPr>
        <w:t xml:space="preserve">the </w:t>
      </w:r>
      <w:r w:rsidR="00AA4732" w:rsidRPr="0067437A">
        <w:rPr>
          <w:rFonts w:cstheme="minorHAnsi"/>
        </w:rPr>
        <w:t xml:space="preserve">Progressed PAH </w:t>
      </w:r>
      <w:r w:rsidR="00E0480D" w:rsidRPr="0067437A">
        <w:rPr>
          <w:rFonts w:cstheme="minorHAnsi"/>
        </w:rPr>
        <w:t xml:space="preserve">health state </w:t>
      </w:r>
      <w:r w:rsidRPr="0067437A">
        <w:rPr>
          <w:rFonts w:cstheme="minorHAnsi"/>
        </w:rPr>
        <w:t>wa</w:t>
      </w:r>
      <w:r w:rsidR="00234481" w:rsidRPr="0067437A">
        <w:rPr>
          <w:rFonts w:cstheme="minorHAnsi"/>
        </w:rPr>
        <w:t xml:space="preserve">s informed by </w:t>
      </w:r>
      <w:r w:rsidR="00F66DD2" w:rsidRPr="0067437A">
        <w:rPr>
          <w:rFonts w:cstheme="minorHAnsi"/>
        </w:rPr>
        <w:t xml:space="preserve">morbidity events </w:t>
      </w:r>
      <w:r w:rsidR="00225D10" w:rsidRPr="0067437A">
        <w:rPr>
          <w:rFonts w:cstheme="minorHAnsi"/>
        </w:rPr>
        <w:t xml:space="preserve">(hospitalisation for worsening of PAH, disease progression, initiation of IV prostanoid therapy or long-term oxygen therapy for worsening of PAH and need for lung transplantation or balloon atrial septostomy for worsening of PAH) </w:t>
      </w:r>
      <w:r w:rsidRPr="0067437A">
        <w:rPr>
          <w:rFonts w:cstheme="minorHAnsi"/>
        </w:rPr>
        <w:t>from t</w:t>
      </w:r>
      <w:r w:rsidR="00AB2CB2" w:rsidRPr="0067437A">
        <w:rPr>
          <w:rFonts w:cstheme="minorHAnsi"/>
        </w:rPr>
        <w:t>he</w:t>
      </w:r>
      <w:r w:rsidR="00EF2C1D" w:rsidRPr="0067437A">
        <w:rPr>
          <w:rFonts w:cstheme="minorHAnsi"/>
        </w:rPr>
        <w:t xml:space="preserve"> </w:t>
      </w:r>
      <w:r w:rsidR="00F66DD2" w:rsidRPr="0067437A">
        <w:rPr>
          <w:rFonts w:cstheme="minorHAnsi"/>
        </w:rPr>
        <w:t xml:space="preserve">primary </w:t>
      </w:r>
      <w:r w:rsidR="00EF2C1D" w:rsidRPr="0067437A">
        <w:rPr>
          <w:rFonts w:cstheme="minorHAnsi"/>
        </w:rPr>
        <w:t xml:space="preserve">composite </w:t>
      </w:r>
      <w:r w:rsidR="00AA4732" w:rsidRPr="0067437A">
        <w:rPr>
          <w:rFonts w:cstheme="minorHAnsi"/>
        </w:rPr>
        <w:t>morbidity-mortality</w:t>
      </w:r>
      <w:r w:rsidR="00F66DD2" w:rsidRPr="0067437A">
        <w:rPr>
          <w:rFonts w:cstheme="minorHAnsi"/>
        </w:rPr>
        <w:t xml:space="preserve"> endpoint</w:t>
      </w:r>
      <w:r w:rsidR="00AB2CB2" w:rsidRPr="0067437A">
        <w:rPr>
          <w:rFonts w:cstheme="minorHAnsi"/>
        </w:rPr>
        <w:t xml:space="preserve"> </w:t>
      </w:r>
      <w:r w:rsidRPr="0067437A">
        <w:rPr>
          <w:rFonts w:cstheme="minorHAnsi"/>
        </w:rPr>
        <w:t xml:space="preserve">in GRIPHON </w:t>
      </w:r>
      <w:r w:rsidR="00AB2CB2" w:rsidRPr="0067437A">
        <w:rPr>
          <w:rFonts w:cstheme="minorHAnsi"/>
        </w:rPr>
        <w:t>for</w:t>
      </w:r>
      <w:r w:rsidR="00D40E93" w:rsidRPr="0067437A">
        <w:rPr>
          <w:rFonts w:cstheme="minorHAnsi"/>
        </w:rPr>
        <w:t xml:space="preserve"> the </w:t>
      </w:r>
      <w:r w:rsidRPr="0067437A">
        <w:rPr>
          <w:rFonts w:cstheme="minorHAnsi"/>
        </w:rPr>
        <w:t xml:space="preserve">subgroup of patients with </w:t>
      </w:r>
      <w:r w:rsidR="00D40E93" w:rsidRPr="0067437A">
        <w:rPr>
          <w:rFonts w:cstheme="minorHAnsi"/>
        </w:rPr>
        <w:t xml:space="preserve">WHO FC III </w:t>
      </w:r>
      <w:r w:rsidRPr="0067437A">
        <w:rPr>
          <w:rFonts w:cstheme="minorHAnsi"/>
        </w:rPr>
        <w:t xml:space="preserve">and receiving background </w:t>
      </w:r>
      <w:r w:rsidR="00D40E93" w:rsidRPr="0067437A">
        <w:rPr>
          <w:rFonts w:cstheme="minorHAnsi"/>
        </w:rPr>
        <w:t>dual therapy</w:t>
      </w:r>
      <w:r w:rsidR="0067437A">
        <w:rPr>
          <w:rFonts w:cstheme="minorHAnsi"/>
        </w:rPr>
        <w:t xml:space="preserve">. </w:t>
      </w:r>
      <w:r w:rsidR="00782BD6" w:rsidRPr="0067437A">
        <w:rPr>
          <w:rFonts w:cstheme="minorHAnsi"/>
        </w:rPr>
        <w:t xml:space="preserve">The PBAC had previously considered the reduction in </w:t>
      </w:r>
      <w:r w:rsidR="00782BD6" w:rsidRPr="0067437A">
        <w:rPr>
          <w:rFonts w:cstheme="minorHAnsi"/>
          <w:lang w:eastAsia="en-US"/>
        </w:rPr>
        <w:t>morbidity events for selexipag in GRIPHON was largely driven by hospitalisations and escalation of treatment</w:t>
      </w:r>
      <w:r w:rsidR="0067437A">
        <w:rPr>
          <w:rFonts w:cstheme="minorHAnsi"/>
          <w:lang w:eastAsia="en-US"/>
        </w:rPr>
        <w:t xml:space="preserve">. </w:t>
      </w:r>
      <w:r w:rsidR="00E0480D" w:rsidRPr="0067437A">
        <w:rPr>
          <w:rFonts w:cstheme="minorHAnsi"/>
        </w:rPr>
        <w:t>The model was highly sensitive to the rate of progression and the components included in the composite morbidity outcome.</w:t>
      </w:r>
      <w:r w:rsidR="000B78D8" w:rsidRPr="0067437A">
        <w:rPr>
          <w:rFonts w:cstheme="minorHAnsi"/>
        </w:rPr>
        <w:t xml:space="preserve"> The PSCR stated that the components of the morbidity event are clinically appropriate markers for disease progression that indicate a clinically significant worsening of PAH</w:t>
      </w:r>
      <w:r w:rsidR="0035520C" w:rsidRPr="0067437A">
        <w:rPr>
          <w:rFonts w:cstheme="minorHAnsi"/>
        </w:rPr>
        <w:t>.</w:t>
      </w:r>
      <w:r w:rsidR="000B78D8" w:rsidRPr="0067437A">
        <w:rPr>
          <w:rFonts w:cstheme="minorHAnsi"/>
        </w:rPr>
        <w:t xml:space="preserve"> In addition, patients who met one of the component endpoints were no longer followed up for subsequent outcomes, despite remaining at risk of experiencing these events</w:t>
      </w:r>
      <w:r w:rsidR="0098399E" w:rsidRPr="0067437A">
        <w:rPr>
          <w:rFonts w:cstheme="minorHAnsi"/>
        </w:rPr>
        <w:t xml:space="preserve"> resulting in a bias against selexipag</w:t>
      </w:r>
      <w:r w:rsidR="000B78D8" w:rsidRPr="0067437A">
        <w:rPr>
          <w:rFonts w:cstheme="minorHAnsi"/>
        </w:rPr>
        <w:t xml:space="preserve">. The ESC agreed and considered that each component of the combined morbidity event </w:t>
      </w:r>
      <w:r w:rsidR="00DA3C60" w:rsidRPr="0067437A">
        <w:rPr>
          <w:rFonts w:cstheme="minorHAnsi"/>
        </w:rPr>
        <w:t xml:space="preserve">would </w:t>
      </w:r>
      <w:r w:rsidR="00834055">
        <w:rPr>
          <w:rFonts w:cstheme="minorHAnsi"/>
        </w:rPr>
        <w:t>reasonably</w:t>
      </w:r>
      <w:r w:rsidR="00DA3C60" w:rsidRPr="0067437A">
        <w:rPr>
          <w:rFonts w:cstheme="minorHAnsi"/>
        </w:rPr>
        <w:t xml:space="preserve"> </w:t>
      </w:r>
      <w:r w:rsidR="000B78D8" w:rsidRPr="0067437A">
        <w:rPr>
          <w:rFonts w:cstheme="minorHAnsi"/>
        </w:rPr>
        <w:t>represent disease progression.</w:t>
      </w:r>
    </w:p>
    <w:p w:rsidR="00F66DD2" w:rsidRPr="0067437A" w:rsidRDefault="00CE769D" w:rsidP="003B56BA">
      <w:pPr>
        <w:pStyle w:val="3-BodyText"/>
        <w:ind w:left="709"/>
      </w:pPr>
      <w:r w:rsidRPr="0067437A">
        <w:rPr>
          <w:szCs w:val="22"/>
          <w:lang w:eastAsia="en-US"/>
        </w:rPr>
        <w:t xml:space="preserve">Other </w:t>
      </w:r>
      <w:r w:rsidR="00DF4C3F" w:rsidRPr="0067437A">
        <w:rPr>
          <w:szCs w:val="22"/>
          <w:lang w:eastAsia="en-US"/>
        </w:rPr>
        <w:t xml:space="preserve">assumptions </w:t>
      </w:r>
      <w:r w:rsidR="00E0480D" w:rsidRPr="0067437A">
        <w:rPr>
          <w:szCs w:val="22"/>
          <w:lang w:eastAsia="en-US"/>
        </w:rPr>
        <w:t>relating to progression to the Progressed PAH state</w:t>
      </w:r>
      <w:r w:rsidR="00DF4C3F" w:rsidRPr="0067437A">
        <w:rPr>
          <w:szCs w:val="22"/>
          <w:lang w:eastAsia="en-US"/>
        </w:rPr>
        <w:t xml:space="preserve"> </w:t>
      </w:r>
      <w:r w:rsidR="006143F2" w:rsidRPr="0067437A">
        <w:rPr>
          <w:szCs w:val="22"/>
          <w:lang w:eastAsia="en-US"/>
        </w:rPr>
        <w:t xml:space="preserve">disease </w:t>
      </w:r>
      <w:r w:rsidR="00E75D7D">
        <w:rPr>
          <w:szCs w:val="22"/>
          <w:lang w:eastAsia="en-US"/>
        </w:rPr>
        <w:t xml:space="preserve">that were potentially inappropriate </w:t>
      </w:r>
      <w:r w:rsidR="006143F2" w:rsidRPr="0067437A">
        <w:rPr>
          <w:szCs w:val="22"/>
          <w:lang w:eastAsia="en-US"/>
        </w:rPr>
        <w:t>include</w:t>
      </w:r>
      <w:r w:rsidR="00225D10" w:rsidRPr="0067437A">
        <w:rPr>
          <w:szCs w:val="22"/>
          <w:lang w:eastAsia="en-US"/>
        </w:rPr>
        <w:t>d that the</w:t>
      </w:r>
      <w:r w:rsidR="00F66DD2" w:rsidRPr="0067437A">
        <w:rPr>
          <w:szCs w:val="22"/>
          <w:lang w:eastAsia="en-US"/>
        </w:rPr>
        <w:t>:</w:t>
      </w:r>
    </w:p>
    <w:p w:rsidR="00F66DD2" w:rsidRPr="0067437A" w:rsidRDefault="00DF1C29" w:rsidP="00F33FA7">
      <w:pPr>
        <w:pStyle w:val="ListParagraph"/>
        <w:widowControl w:val="0"/>
        <w:numPr>
          <w:ilvl w:val="0"/>
          <w:numId w:val="11"/>
        </w:numPr>
        <w:ind w:left="993" w:hanging="284"/>
        <w:rPr>
          <w:szCs w:val="22"/>
          <w:lang w:eastAsia="en-US"/>
        </w:rPr>
      </w:pPr>
      <w:r w:rsidRPr="0067437A">
        <w:rPr>
          <w:szCs w:val="22"/>
          <w:lang w:eastAsia="en-US"/>
        </w:rPr>
        <w:t xml:space="preserve">rate of disease progression will remain constant </w:t>
      </w:r>
      <w:r w:rsidR="00225D10" w:rsidRPr="0067437A">
        <w:rPr>
          <w:szCs w:val="22"/>
          <w:lang w:eastAsia="en-US"/>
        </w:rPr>
        <w:t>over the model time horizon (20 years). Th</w:t>
      </w:r>
      <w:r w:rsidR="000B78D8" w:rsidRPr="0067437A">
        <w:rPr>
          <w:szCs w:val="22"/>
          <w:lang w:eastAsia="en-US"/>
        </w:rPr>
        <w:t>e ESC considered that th</w:t>
      </w:r>
      <w:r w:rsidR="00225D10" w:rsidRPr="0067437A">
        <w:rPr>
          <w:szCs w:val="22"/>
          <w:lang w:eastAsia="en-US"/>
        </w:rPr>
        <w:t xml:space="preserve">is </w:t>
      </w:r>
      <w:r w:rsidR="00AB0A2D" w:rsidRPr="0067437A">
        <w:rPr>
          <w:szCs w:val="22"/>
          <w:lang w:eastAsia="en-US"/>
        </w:rPr>
        <w:t>was not</w:t>
      </w:r>
      <w:r w:rsidR="00F66DD2" w:rsidRPr="0067437A">
        <w:rPr>
          <w:szCs w:val="22"/>
          <w:lang w:eastAsia="en-US"/>
        </w:rPr>
        <w:t xml:space="preserve"> clinically plausible given</w:t>
      </w:r>
      <w:r w:rsidR="00225D10" w:rsidRPr="0067437A">
        <w:rPr>
          <w:szCs w:val="22"/>
          <w:lang w:eastAsia="en-US"/>
        </w:rPr>
        <w:t xml:space="preserve"> </w:t>
      </w:r>
      <w:r w:rsidR="00AB0A2D" w:rsidRPr="0067437A">
        <w:rPr>
          <w:szCs w:val="22"/>
          <w:lang w:eastAsia="en-US"/>
        </w:rPr>
        <w:t xml:space="preserve">the progressive nature of the disease, </w:t>
      </w:r>
      <w:r w:rsidR="00225D10" w:rsidRPr="0067437A">
        <w:rPr>
          <w:szCs w:val="22"/>
          <w:lang w:eastAsia="en-US"/>
        </w:rPr>
        <w:t>natural factors (e.g. patient age)</w:t>
      </w:r>
      <w:r w:rsidR="00AB0A2D" w:rsidRPr="0067437A">
        <w:rPr>
          <w:szCs w:val="22"/>
          <w:lang w:eastAsia="en-US"/>
        </w:rPr>
        <w:t xml:space="preserve"> and as </w:t>
      </w:r>
      <w:r w:rsidR="00F66DD2" w:rsidRPr="0067437A">
        <w:rPr>
          <w:szCs w:val="22"/>
          <w:lang w:eastAsia="en-US"/>
        </w:rPr>
        <w:t>the</w:t>
      </w:r>
      <w:r w:rsidRPr="0067437A">
        <w:rPr>
          <w:szCs w:val="22"/>
          <w:lang w:eastAsia="en-US"/>
        </w:rPr>
        <w:t xml:space="preserve"> morbidity </w:t>
      </w:r>
      <w:r w:rsidR="00F66DD2" w:rsidRPr="0067437A">
        <w:rPr>
          <w:szCs w:val="22"/>
          <w:lang w:eastAsia="en-US"/>
        </w:rPr>
        <w:t>events observed in GRIPHON</w:t>
      </w:r>
      <w:r w:rsidR="00225D10" w:rsidRPr="0067437A">
        <w:rPr>
          <w:szCs w:val="22"/>
          <w:lang w:eastAsia="en-US"/>
        </w:rPr>
        <w:t xml:space="preserve"> were reported</w:t>
      </w:r>
      <w:r w:rsidR="00F66DD2" w:rsidRPr="0067437A">
        <w:rPr>
          <w:szCs w:val="22"/>
          <w:lang w:eastAsia="en-US"/>
        </w:rPr>
        <w:t xml:space="preserve"> over a median duration of </w:t>
      </w:r>
      <w:r w:rsidR="00834055">
        <w:rPr>
          <w:szCs w:val="22"/>
          <w:lang w:eastAsia="en-US"/>
        </w:rPr>
        <w:t xml:space="preserve">only </w:t>
      </w:r>
      <w:r w:rsidR="00F66DD2" w:rsidRPr="0067437A">
        <w:rPr>
          <w:szCs w:val="22"/>
          <w:lang w:eastAsia="en-US"/>
        </w:rPr>
        <w:t>1.3 years</w:t>
      </w:r>
      <w:r w:rsidR="00225D10" w:rsidRPr="0067437A">
        <w:rPr>
          <w:szCs w:val="22"/>
          <w:lang w:eastAsia="en-US"/>
        </w:rPr>
        <w:t>; and</w:t>
      </w:r>
      <w:r w:rsidR="00F66DD2" w:rsidRPr="0067437A">
        <w:rPr>
          <w:szCs w:val="22"/>
          <w:lang w:eastAsia="en-US"/>
        </w:rPr>
        <w:t xml:space="preserve">  </w:t>
      </w:r>
    </w:p>
    <w:p w:rsidR="00F66DD2" w:rsidRPr="0067437A" w:rsidRDefault="00F66DD2" w:rsidP="00F33FA7">
      <w:pPr>
        <w:pStyle w:val="ListParagraph"/>
        <w:widowControl w:val="0"/>
        <w:numPr>
          <w:ilvl w:val="0"/>
          <w:numId w:val="11"/>
        </w:numPr>
        <w:ind w:left="993" w:hanging="284"/>
        <w:rPr>
          <w:szCs w:val="22"/>
          <w:lang w:eastAsia="en-US"/>
        </w:rPr>
      </w:pPr>
      <w:r w:rsidRPr="0067437A">
        <w:rPr>
          <w:szCs w:val="22"/>
          <w:lang w:eastAsia="en-US"/>
        </w:rPr>
        <w:t xml:space="preserve">probability of transitioning from the Stable PAH to </w:t>
      </w:r>
      <w:r w:rsidR="00225D10" w:rsidRPr="0067437A">
        <w:rPr>
          <w:szCs w:val="22"/>
          <w:lang w:eastAsia="en-US"/>
        </w:rPr>
        <w:t xml:space="preserve">the </w:t>
      </w:r>
      <w:r w:rsidRPr="0067437A">
        <w:rPr>
          <w:szCs w:val="22"/>
          <w:lang w:eastAsia="en-US"/>
        </w:rPr>
        <w:t>Progressed PAH</w:t>
      </w:r>
      <w:r w:rsidR="00225D10" w:rsidRPr="0067437A">
        <w:rPr>
          <w:szCs w:val="22"/>
          <w:lang w:eastAsia="en-US"/>
        </w:rPr>
        <w:t xml:space="preserve"> wa</w:t>
      </w:r>
      <w:r w:rsidR="00EE0230" w:rsidRPr="0067437A">
        <w:rPr>
          <w:szCs w:val="22"/>
          <w:lang w:eastAsia="en-US"/>
        </w:rPr>
        <w:t xml:space="preserve">s </w:t>
      </w:r>
      <w:r w:rsidRPr="0067437A">
        <w:rPr>
          <w:szCs w:val="22"/>
          <w:lang w:eastAsia="en-US"/>
        </w:rPr>
        <w:t xml:space="preserve">the same as the probability of transitioning from </w:t>
      </w:r>
      <w:r w:rsidR="00225D10" w:rsidRPr="0067437A">
        <w:rPr>
          <w:szCs w:val="22"/>
          <w:lang w:eastAsia="en-US"/>
        </w:rPr>
        <w:t xml:space="preserve">the </w:t>
      </w:r>
      <w:r w:rsidRPr="0067437A">
        <w:rPr>
          <w:szCs w:val="22"/>
          <w:lang w:eastAsia="en-US"/>
        </w:rPr>
        <w:t xml:space="preserve">Improved PAH to </w:t>
      </w:r>
      <w:r w:rsidR="00225D10" w:rsidRPr="0067437A">
        <w:rPr>
          <w:szCs w:val="22"/>
          <w:lang w:eastAsia="en-US"/>
        </w:rPr>
        <w:t xml:space="preserve">the </w:t>
      </w:r>
      <w:r w:rsidRPr="0067437A">
        <w:rPr>
          <w:szCs w:val="22"/>
          <w:lang w:eastAsia="en-US"/>
        </w:rPr>
        <w:t>Progressed PAH</w:t>
      </w:r>
      <w:r w:rsidR="0067437A">
        <w:rPr>
          <w:szCs w:val="22"/>
          <w:lang w:eastAsia="en-US"/>
        </w:rPr>
        <w:t xml:space="preserve">. </w:t>
      </w:r>
      <w:r w:rsidR="00EE0230" w:rsidRPr="0067437A">
        <w:rPr>
          <w:szCs w:val="22"/>
          <w:lang w:eastAsia="en-US"/>
        </w:rPr>
        <w:t xml:space="preserve"> </w:t>
      </w:r>
      <w:r w:rsidR="000B78D8" w:rsidRPr="0067437A">
        <w:rPr>
          <w:szCs w:val="22"/>
          <w:lang w:eastAsia="en-US"/>
        </w:rPr>
        <w:t xml:space="preserve">The ESC considered that </w:t>
      </w:r>
      <w:r w:rsidR="002142B2" w:rsidRPr="0067437A">
        <w:rPr>
          <w:szCs w:val="22"/>
          <w:lang w:eastAsia="en-US"/>
        </w:rPr>
        <w:t xml:space="preserve">it </w:t>
      </w:r>
      <w:r w:rsidR="000B78D8" w:rsidRPr="0067437A">
        <w:rPr>
          <w:szCs w:val="22"/>
          <w:lang w:eastAsia="en-US"/>
        </w:rPr>
        <w:t>would</w:t>
      </w:r>
      <w:r w:rsidR="002142B2" w:rsidRPr="0067437A">
        <w:rPr>
          <w:szCs w:val="22"/>
          <w:lang w:eastAsia="en-US"/>
        </w:rPr>
        <w:t xml:space="preserve"> be more reasonable to assume</w:t>
      </w:r>
      <w:r w:rsidRPr="0067437A">
        <w:rPr>
          <w:szCs w:val="22"/>
          <w:lang w:eastAsia="en-US"/>
        </w:rPr>
        <w:t xml:space="preserve"> patients </w:t>
      </w:r>
      <w:r w:rsidR="00EE0230" w:rsidRPr="0067437A">
        <w:rPr>
          <w:szCs w:val="22"/>
          <w:lang w:eastAsia="en-US"/>
        </w:rPr>
        <w:t xml:space="preserve">with </w:t>
      </w:r>
      <w:r w:rsidRPr="0067437A">
        <w:rPr>
          <w:szCs w:val="22"/>
          <w:lang w:eastAsia="en-US"/>
        </w:rPr>
        <w:t xml:space="preserve">Improved </w:t>
      </w:r>
      <w:r w:rsidR="00EE0230" w:rsidRPr="0067437A">
        <w:rPr>
          <w:szCs w:val="22"/>
          <w:lang w:eastAsia="en-US"/>
        </w:rPr>
        <w:t xml:space="preserve">PAH </w:t>
      </w:r>
      <w:r w:rsidRPr="0067437A">
        <w:rPr>
          <w:szCs w:val="22"/>
          <w:lang w:eastAsia="en-US"/>
        </w:rPr>
        <w:t xml:space="preserve">may have a lower probability of progressing compared to </w:t>
      </w:r>
      <w:r w:rsidR="002142B2" w:rsidRPr="0067437A">
        <w:rPr>
          <w:szCs w:val="22"/>
          <w:lang w:eastAsia="en-US"/>
        </w:rPr>
        <w:t xml:space="preserve">those </w:t>
      </w:r>
      <w:r w:rsidR="00EE0230" w:rsidRPr="0067437A">
        <w:rPr>
          <w:szCs w:val="22"/>
          <w:lang w:eastAsia="en-US"/>
        </w:rPr>
        <w:t xml:space="preserve">with </w:t>
      </w:r>
      <w:r w:rsidRPr="0067437A">
        <w:rPr>
          <w:szCs w:val="22"/>
          <w:lang w:eastAsia="en-US"/>
        </w:rPr>
        <w:lastRenderedPageBreak/>
        <w:t xml:space="preserve">Stable </w:t>
      </w:r>
      <w:r w:rsidR="00EE0230" w:rsidRPr="0067437A">
        <w:rPr>
          <w:szCs w:val="22"/>
          <w:lang w:eastAsia="en-US"/>
        </w:rPr>
        <w:t>PAH</w:t>
      </w:r>
      <w:r w:rsidR="0067437A">
        <w:rPr>
          <w:szCs w:val="22"/>
          <w:lang w:eastAsia="en-US"/>
        </w:rPr>
        <w:t xml:space="preserve">. </w:t>
      </w:r>
      <w:r w:rsidR="003A6EFA" w:rsidRPr="0067437A">
        <w:rPr>
          <w:szCs w:val="22"/>
          <w:lang w:eastAsia="en-US"/>
        </w:rPr>
        <w:t>The pre-PBAC response noted that if a lower transition rate was used for progression from Improved PAH to Progressed PAH, this would improve the cost effectiveness of selexipag</w:t>
      </w:r>
      <w:r w:rsidR="005E04B9">
        <w:rPr>
          <w:szCs w:val="22"/>
          <w:lang w:eastAsia="en-US"/>
        </w:rPr>
        <w:t>.</w:t>
      </w:r>
    </w:p>
    <w:p w:rsidR="00066264" w:rsidRPr="0067437A" w:rsidRDefault="00F66DD2" w:rsidP="000336DA">
      <w:pPr>
        <w:pStyle w:val="3-BodyText"/>
        <w:ind w:left="709"/>
        <w:rPr>
          <w:i/>
          <w:iCs/>
          <w:szCs w:val="22"/>
          <w:lang w:eastAsia="en-US"/>
        </w:rPr>
      </w:pPr>
      <w:r w:rsidRPr="0067437A">
        <w:rPr>
          <w:lang w:eastAsia="en-US"/>
        </w:rPr>
        <w:t>Patients remain</w:t>
      </w:r>
      <w:r w:rsidR="00604361" w:rsidRPr="0067437A">
        <w:rPr>
          <w:lang w:eastAsia="en-US"/>
        </w:rPr>
        <w:t>ed</w:t>
      </w:r>
      <w:r w:rsidRPr="0067437A">
        <w:rPr>
          <w:lang w:eastAsia="en-US"/>
        </w:rPr>
        <w:t xml:space="preserve"> on initial therapy (i.e. selexipag or placebo) until they transition</w:t>
      </w:r>
      <w:r w:rsidR="00604361" w:rsidRPr="0067437A">
        <w:rPr>
          <w:lang w:eastAsia="en-US"/>
        </w:rPr>
        <w:t>ed</w:t>
      </w:r>
      <w:r w:rsidRPr="0067437A">
        <w:rPr>
          <w:lang w:eastAsia="en-US"/>
        </w:rPr>
        <w:t xml:space="preserve"> to the </w:t>
      </w:r>
      <w:r w:rsidR="002142B2" w:rsidRPr="0067437A">
        <w:rPr>
          <w:lang w:eastAsia="en-US"/>
        </w:rPr>
        <w:t>P</w:t>
      </w:r>
      <w:r w:rsidRPr="0067437A">
        <w:rPr>
          <w:lang w:eastAsia="en-US"/>
        </w:rPr>
        <w:t>rogressed PAH health state</w:t>
      </w:r>
      <w:r w:rsidR="0067437A">
        <w:rPr>
          <w:lang w:eastAsia="en-US"/>
        </w:rPr>
        <w:t xml:space="preserve">. </w:t>
      </w:r>
      <w:r w:rsidR="003707EA" w:rsidRPr="0067437A">
        <w:rPr>
          <w:lang w:eastAsia="en-US"/>
        </w:rPr>
        <w:t xml:space="preserve">Based on advice </w:t>
      </w:r>
      <w:r w:rsidR="00834055">
        <w:rPr>
          <w:lang w:eastAsia="en-US"/>
        </w:rPr>
        <w:t xml:space="preserve">provided by the sponsor </w:t>
      </w:r>
      <w:r w:rsidR="003707EA" w:rsidRPr="0067437A">
        <w:rPr>
          <w:lang w:eastAsia="en-US"/>
        </w:rPr>
        <w:t xml:space="preserve">from clinical experts in PAH management, </w:t>
      </w:r>
      <w:r w:rsidR="00834055">
        <w:rPr>
          <w:lang w:eastAsia="en-US"/>
        </w:rPr>
        <w:t xml:space="preserve">the model assumes that, </w:t>
      </w:r>
      <w:r w:rsidR="003707EA" w:rsidRPr="0067437A">
        <w:rPr>
          <w:lang w:eastAsia="en-US"/>
        </w:rPr>
        <w:t>u</w:t>
      </w:r>
      <w:r w:rsidRPr="0067437A">
        <w:rPr>
          <w:lang w:eastAsia="en-US"/>
        </w:rPr>
        <w:t xml:space="preserve">pon disease progression, </w:t>
      </w:r>
      <w:r w:rsidR="002142B2" w:rsidRPr="0067437A">
        <w:rPr>
          <w:lang w:eastAsia="en-US"/>
        </w:rPr>
        <w:t>patients would cease selexipag and</w:t>
      </w:r>
      <w:r w:rsidRPr="0067437A">
        <w:rPr>
          <w:lang w:eastAsia="en-US"/>
        </w:rPr>
        <w:t xml:space="preserve"> 80% </w:t>
      </w:r>
      <w:r w:rsidR="002142B2" w:rsidRPr="0067437A">
        <w:rPr>
          <w:lang w:eastAsia="en-US"/>
        </w:rPr>
        <w:t xml:space="preserve">would initiate </w:t>
      </w:r>
      <w:r w:rsidRPr="0067437A">
        <w:rPr>
          <w:lang w:eastAsia="en-US"/>
        </w:rPr>
        <w:t>IV epoprostenol (</w:t>
      </w:r>
      <w:r w:rsidR="00604361" w:rsidRPr="0067437A">
        <w:rPr>
          <w:lang w:eastAsia="en-US"/>
        </w:rPr>
        <w:t xml:space="preserve">in addition to </w:t>
      </w:r>
      <w:r w:rsidRPr="0067437A">
        <w:rPr>
          <w:lang w:eastAsia="en-US"/>
        </w:rPr>
        <w:t xml:space="preserve">background </w:t>
      </w:r>
      <w:r w:rsidR="00604361" w:rsidRPr="0067437A">
        <w:rPr>
          <w:lang w:eastAsia="en-US"/>
        </w:rPr>
        <w:t xml:space="preserve">dual </w:t>
      </w:r>
      <w:r w:rsidRPr="0067437A">
        <w:rPr>
          <w:lang w:eastAsia="en-US"/>
        </w:rPr>
        <w:t>therapy)</w:t>
      </w:r>
      <w:r w:rsidR="0067437A">
        <w:rPr>
          <w:lang w:eastAsia="en-US"/>
        </w:rPr>
        <w:t xml:space="preserve">. </w:t>
      </w:r>
      <w:r w:rsidR="00604361" w:rsidRPr="0067437A">
        <w:rPr>
          <w:lang w:eastAsia="en-US"/>
        </w:rPr>
        <w:t>Current PBS restrictions allow IV epoprostenol as monotherapy only</w:t>
      </w:r>
      <w:r w:rsidR="00944B59" w:rsidRPr="0067437A">
        <w:rPr>
          <w:lang w:eastAsia="en-US"/>
        </w:rPr>
        <w:t xml:space="preserve"> in patients with WHO FC IV</w:t>
      </w:r>
      <w:r w:rsidR="0067437A">
        <w:rPr>
          <w:lang w:eastAsia="en-US"/>
        </w:rPr>
        <w:t xml:space="preserve">. </w:t>
      </w:r>
      <w:r w:rsidRPr="0067437A">
        <w:rPr>
          <w:lang w:eastAsia="en-US"/>
        </w:rPr>
        <w:t xml:space="preserve"> </w:t>
      </w:r>
      <w:r w:rsidR="00604361" w:rsidRPr="0067437A">
        <w:rPr>
          <w:lang w:eastAsia="en-US"/>
        </w:rPr>
        <w:t xml:space="preserve">In addition, although </w:t>
      </w:r>
      <w:r w:rsidRPr="0067437A">
        <w:rPr>
          <w:lang w:eastAsia="en-US"/>
        </w:rPr>
        <w:t xml:space="preserve">no </w:t>
      </w:r>
      <w:r w:rsidR="00944B59" w:rsidRPr="0067437A">
        <w:rPr>
          <w:lang w:eastAsia="en-US"/>
        </w:rPr>
        <w:t>current Australian</w:t>
      </w:r>
      <w:r w:rsidRPr="0067437A">
        <w:rPr>
          <w:lang w:eastAsia="en-US"/>
        </w:rPr>
        <w:t xml:space="preserve"> data on </w:t>
      </w:r>
      <w:r w:rsidR="00604361" w:rsidRPr="0067437A">
        <w:rPr>
          <w:lang w:eastAsia="en-US"/>
        </w:rPr>
        <w:t xml:space="preserve">the </w:t>
      </w:r>
      <w:r w:rsidRPr="0067437A">
        <w:rPr>
          <w:lang w:eastAsia="en-US"/>
        </w:rPr>
        <w:t>use of prostacyclin</w:t>
      </w:r>
      <w:r w:rsidR="00604361" w:rsidRPr="0067437A">
        <w:rPr>
          <w:lang w:eastAsia="en-US"/>
        </w:rPr>
        <w:t>s</w:t>
      </w:r>
      <w:r w:rsidRPr="0067437A">
        <w:rPr>
          <w:lang w:eastAsia="en-US"/>
        </w:rPr>
        <w:t xml:space="preserve"> </w:t>
      </w:r>
      <w:r w:rsidR="000336DA" w:rsidRPr="0067437A">
        <w:rPr>
          <w:lang w:eastAsia="en-US"/>
        </w:rPr>
        <w:t xml:space="preserve">after failing </w:t>
      </w:r>
      <w:r w:rsidRPr="0067437A">
        <w:rPr>
          <w:lang w:eastAsia="en-US"/>
        </w:rPr>
        <w:t xml:space="preserve">triple therapy with selexipag was </w:t>
      </w:r>
      <w:r w:rsidR="000336DA" w:rsidRPr="0067437A">
        <w:rPr>
          <w:lang w:eastAsia="en-US"/>
        </w:rPr>
        <w:t xml:space="preserve">able to be sourced during the evaluation, available </w:t>
      </w:r>
      <w:r w:rsidRPr="0067437A">
        <w:rPr>
          <w:lang w:eastAsia="en-US"/>
        </w:rPr>
        <w:t xml:space="preserve">utilisation data </w:t>
      </w:r>
      <w:r w:rsidR="000336DA" w:rsidRPr="0067437A">
        <w:rPr>
          <w:lang w:eastAsia="en-US"/>
        </w:rPr>
        <w:t>for IV epoprostenol and inhaled iloprost indicate</w:t>
      </w:r>
      <w:r w:rsidR="00604361" w:rsidRPr="0067437A">
        <w:rPr>
          <w:lang w:eastAsia="en-US"/>
        </w:rPr>
        <w:t>s the u</w:t>
      </w:r>
      <w:r w:rsidR="00834055">
        <w:rPr>
          <w:lang w:eastAsia="en-US"/>
        </w:rPr>
        <w:t>se</w:t>
      </w:r>
      <w:r w:rsidR="00604361" w:rsidRPr="0067437A">
        <w:rPr>
          <w:lang w:eastAsia="en-US"/>
        </w:rPr>
        <w:t xml:space="preserve"> of </w:t>
      </w:r>
      <w:r w:rsidRPr="0067437A">
        <w:rPr>
          <w:lang w:eastAsia="en-US"/>
        </w:rPr>
        <w:t xml:space="preserve">prostacyclins </w:t>
      </w:r>
      <w:r w:rsidR="00604361" w:rsidRPr="0067437A">
        <w:rPr>
          <w:lang w:eastAsia="en-US"/>
        </w:rPr>
        <w:t xml:space="preserve">is </w:t>
      </w:r>
      <w:r w:rsidRPr="0067437A">
        <w:rPr>
          <w:lang w:eastAsia="en-US"/>
        </w:rPr>
        <w:t>low i</w:t>
      </w:r>
      <w:r w:rsidR="000336DA" w:rsidRPr="0067437A">
        <w:rPr>
          <w:lang w:eastAsia="en-US"/>
        </w:rPr>
        <w:t xml:space="preserve">n </w:t>
      </w:r>
      <w:r w:rsidRPr="0067437A">
        <w:rPr>
          <w:lang w:eastAsia="en-US"/>
        </w:rPr>
        <w:t>Australia and overseas</w:t>
      </w:r>
      <w:r w:rsidR="0067437A">
        <w:rPr>
          <w:lang w:eastAsia="en-US"/>
        </w:rPr>
        <w:t xml:space="preserve">. </w:t>
      </w:r>
      <w:r w:rsidR="00796B77" w:rsidRPr="0067437A">
        <w:rPr>
          <w:lang w:eastAsia="en-US"/>
        </w:rPr>
        <w:t>The overall proportion of patient</w:t>
      </w:r>
      <w:r w:rsidR="00604361" w:rsidRPr="0067437A">
        <w:rPr>
          <w:lang w:eastAsia="en-US"/>
        </w:rPr>
        <w:t>’</w:t>
      </w:r>
      <w:r w:rsidR="00796B77" w:rsidRPr="0067437A">
        <w:rPr>
          <w:lang w:eastAsia="en-US"/>
        </w:rPr>
        <w:t>s prescribed triple therapy in the PHSANZ registry cohort was 10.4% (Item 9.1 PMR PAH Attachment 1.3 Term of Reference 2 medicine utilisation analysis)</w:t>
      </w:r>
      <w:r w:rsidR="0067437A">
        <w:rPr>
          <w:lang w:eastAsia="en-US"/>
        </w:rPr>
        <w:t xml:space="preserve">. </w:t>
      </w:r>
      <w:r w:rsidR="00604361" w:rsidRPr="0067437A">
        <w:rPr>
          <w:lang w:eastAsia="en-US"/>
        </w:rPr>
        <w:t>A</w:t>
      </w:r>
      <w:r w:rsidR="00281820" w:rsidRPr="0067437A">
        <w:rPr>
          <w:lang w:eastAsia="en-US"/>
        </w:rPr>
        <w:t xml:space="preserve"> retrospective analysis of a large health care claims database in the US</w:t>
      </w:r>
      <w:r w:rsidR="00C0531E">
        <w:rPr>
          <w:lang w:eastAsia="en-US"/>
        </w:rPr>
        <w:t>A</w:t>
      </w:r>
      <w:r w:rsidR="00281820" w:rsidRPr="0067437A">
        <w:rPr>
          <w:lang w:eastAsia="en-US"/>
        </w:rPr>
        <w:t xml:space="preserve"> (Burger et al 2018</w:t>
      </w:r>
      <w:r w:rsidR="00281820" w:rsidRPr="0067437A">
        <w:rPr>
          <w:vertAlign w:val="superscript"/>
        </w:rPr>
        <w:footnoteReference w:id="2"/>
      </w:r>
      <w:r w:rsidR="00281820" w:rsidRPr="0067437A">
        <w:rPr>
          <w:lang w:eastAsia="en-US"/>
        </w:rPr>
        <w:t>)</w:t>
      </w:r>
      <w:r w:rsidR="00604361" w:rsidRPr="0067437A">
        <w:rPr>
          <w:lang w:eastAsia="en-US"/>
        </w:rPr>
        <w:t>, where there are less funding restrictions on combination therapies in PAH,</w:t>
      </w:r>
      <w:r w:rsidR="004C65D4" w:rsidRPr="0067437A">
        <w:rPr>
          <w:lang w:eastAsia="en-US"/>
        </w:rPr>
        <w:t xml:space="preserve"> indicated the rates of prostacyclin use to be less than 25%</w:t>
      </w:r>
      <w:r w:rsidR="0067437A">
        <w:rPr>
          <w:lang w:eastAsia="en-US"/>
        </w:rPr>
        <w:t xml:space="preserve">. </w:t>
      </w:r>
      <w:r w:rsidR="0098399E" w:rsidRPr="0067437A">
        <w:rPr>
          <w:szCs w:val="22"/>
          <w:lang w:eastAsia="en-US"/>
        </w:rPr>
        <w:t xml:space="preserve">The PSCR stated that the utilisation figure from Burger et al 2018 (&lt; 25%) was not applicable as it represented the use of prostacyclins in the whole PAH population, not in WHO FC IV patients. </w:t>
      </w:r>
      <w:r w:rsidR="00066264" w:rsidRPr="0067437A">
        <w:rPr>
          <w:lang w:eastAsia="en-US"/>
        </w:rPr>
        <w:t>With regards to the PHSANZ data, the PSCR stated that</w:t>
      </w:r>
      <w:r w:rsidR="00066264" w:rsidRPr="0067437A">
        <w:rPr>
          <w:szCs w:val="22"/>
          <w:lang w:eastAsia="en-US"/>
        </w:rPr>
        <w:t xml:space="preserve"> 5.9% of the cohort were WHO FC IV. Given that epoprostenol is PBS listed for patients with WHO FC IV PAH only, the proportion of patients in the registry with WHO FC IV was lower than the proportion of patients receiving IV epoprostenol (10.4%)</w:t>
      </w:r>
      <w:r w:rsidR="00834055">
        <w:rPr>
          <w:szCs w:val="22"/>
          <w:lang w:eastAsia="en-US"/>
        </w:rPr>
        <w:t xml:space="preserve">. </w:t>
      </w:r>
      <w:r w:rsidR="00037A67">
        <w:rPr>
          <w:szCs w:val="22"/>
          <w:lang w:eastAsia="en-US"/>
        </w:rPr>
        <w:t>Although t</w:t>
      </w:r>
      <w:r w:rsidR="00834055">
        <w:rPr>
          <w:szCs w:val="22"/>
          <w:lang w:eastAsia="en-US"/>
        </w:rPr>
        <w:t xml:space="preserve">he PSCR suggested that this data was supportive of the clinical expert advice that </w:t>
      </w:r>
      <w:r w:rsidR="00066264" w:rsidRPr="0067437A">
        <w:rPr>
          <w:szCs w:val="22"/>
          <w:lang w:eastAsia="en-US"/>
        </w:rPr>
        <w:t>80% was a reasonable estimate</w:t>
      </w:r>
      <w:r w:rsidR="00037A67">
        <w:rPr>
          <w:szCs w:val="22"/>
          <w:lang w:eastAsia="en-US"/>
        </w:rPr>
        <w:t xml:space="preserve">, the ESC noted that this suggested either inconsistency in the data or usage of IV epoprostenol outside of the eligible population. </w:t>
      </w:r>
      <w:r w:rsidR="00CA0411" w:rsidRPr="0067437A">
        <w:rPr>
          <w:szCs w:val="22"/>
          <w:lang w:eastAsia="en-US"/>
        </w:rPr>
        <w:t>The ESC considered that there was a significant discordance in the PHSANZ data</w:t>
      </w:r>
      <w:r w:rsidR="005A4EA8" w:rsidRPr="0067437A">
        <w:rPr>
          <w:szCs w:val="22"/>
          <w:lang w:eastAsia="en-US"/>
        </w:rPr>
        <w:t xml:space="preserve"> and </w:t>
      </w:r>
      <w:r w:rsidR="00037A67">
        <w:rPr>
          <w:szCs w:val="22"/>
          <w:lang w:eastAsia="en-US"/>
        </w:rPr>
        <w:t xml:space="preserve">considered </w:t>
      </w:r>
      <w:r w:rsidR="005A4EA8" w:rsidRPr="0067437A">
        <w:rPr>
          <w:szCs w:val="22"/>
          <w:lang w:eastAsia="en-US"/>
        </w:rPr>
        <w:t>that the 80% estimation was likely too high</w:t>
      </w:r>
      <w:r w:rsidR="00CA0411" w:rsidRPr="0067437A">
        <w:rPr>
          <w:szCs w:val="22"/>
          <w:lang w:eastAsia="en-US"/>
        </w:rPr>
        <w:t>. T</w:t>
      </w:r>
      <w:r w:rsidR="00AA2627" w:rsidRPr="0067437A">
        <w:rPr>
          <w:szCs w:val="22"/>
          <w:lang w:eastAsia="en-US"/>
        </w:rPr>
        <w:t xml:space="preserve">he PSCR </w:t>
      </w:r>
      <w:r w:rsidR="00CA0411" w:rsidRPr="0067437A">
        <w:rPr>
          <w:szCs w:val="22"/>
          <w:lang w:eastAsia="en-US"/>
        </w:rPr>
        <w:t xml:space="preserve">also </w:t>
      </w:r>
      <w:r w:rsidR="00AA2627" w:rsidRPr="0067437A">
        <w:rPr>
          <w:szCs w:val="22"/>
          <w:lang w:eastAsia="en-US"/>
        </w:rPr>
        <w:t xml:space="preserve">stated that expert clinical advice indicated that all high risk WHO FC IV patients are offered IV epoprostenol and the 2015 </w:t>
      </w:r>
      <w:r w:rsidR="00C0531E">
        <w:rPr>
          <w:szCs w:val="22"/>
          <w:lang w:eastAsia="en-US"/>
        </w:rPr>
        <w:t>European Society of Cardiology (</w:t>
      </w:r>
      <w:r w:rsidR="00AA2627" w:rsidRPr="0067437A">
        <w:rPr>
          <w:szCs w:val="22"/>
          <w:lang w:eastAsia="en-US"/>
        </w:rPr>
        <w:t>ESC</w:t>
      </w:r>
      <w:r w:rsidR="00C0531E">
        <w:rPr>
          <w:szCs w:val="22"/>
          <w:lang w:eastAsia="en-US"/>
        </w:rPr>
        <w:t>)</w:t>
      </w:r>
      <w:r w:rsidR="00AA2627" w:rsidRPr="0067437A">
        <w:rPr>
          <w:szCs w:val="22"/>
          <w:lang w:eastAsia="en-US"/>
        </w:rPr>
        <w:t>/</w:t>
      </w:r>
      <w:r w:rsidR="00C0531E">
        <w:rPr>
          <w:szCs w:val="22"/>
          <w:lang w:eastAsia="en-US"/>
        </w:rPr>
        <w:t>European Respiratory Society (</w:t>
      </w:r>
      <w:r w:rsidR="00AA2627" w:rsidRPr="0067437A">
        <w:rPr>
          <w:szCs w:val="22"/>
          <w:lang w:eastAsia="en-US"/>
        </w:rPr>
        <w:t>ERS</w:t>
      </w:r>
      <w:r w:rsidR="00C0531E">
        <w:rPr>
          <w:szCs w:val="22"/>
          <w:lang w:eastAsia="en-US"/>
        </w:rPr>
        <w:t>)</w:t>
      </w:r>
      <w:r w:rsidR="00AA2627" w:rsidRPr="0067437A">
        <w:rPr>
          <w:szCs w:val="22"/>
          <w:lang w:eastAsia="en-US"/>
        </w:rPr>
        <w:t xml:space="preserve"> PAH guidelines strongly recommend IV epoprostenol as a last-line treatment option where other therapies are no longer able to control progressive disease.</w:t>
      </w:r>
      <w:r w:rsidR="003A6EFA" w:rsidRPr="0067437A">
        <w:rPr>
          <w:szCs w:val="22"/>
          <w:lang w:eastAsia="en-US"/>
        </w:rPr>
        <w:t xml:space="preserve"> </w:t>
      </w:r>
      <w:r w:rsidR="00D75605" w:rsidRPr="0067437A">
        <w:rPr>
          <w:szCs w:val="22"/>
          <w:lang w:eastAsia="en-US"/>
        </w:rPr>
        <w:t>In the GRIPHON trial, 1.7% and 2.2% of selexipag and placebo patients respectively required parenteral prostanoid therapy or chronic oxygen therapy due to worsening of PAH, although the ESC noted the number of WHO FC IV patients in the trial was low</w:t>
      </w:r>
      <w:r w:rsidR="00037A67">
        <w:rPr>
          <w:szCs w:val="22"/>
          <w:lang w:eastAsia="en-US"/>
        </w:rPr>
        <w:t xml:space="preserve"> (n = 6)</w:t>
      </w:r>
      <w:r w:rsidR="00D75605" w:rsidRPr="0067437A">
        <w:rPr>
          <w:szCs w:val="22"/>
          <w:lang w:eastAsia="en-US"/>
        </w:rPr>
        <w:t>. The ESC considered that as the model was highly sensitive to the proportion of patients receiving IV epoprostenol, further data on its use in Australia would better inform the economic model</w:t>
      </w:r>
      <w:r w:rsidR="00D75605">
        <w:rPr>
          <w:szCs w:val="22"/>
          <w:lang w:eastAsia="en-US"/>
        </w:rPr>
        <w:t xml:space="preserve">. </w:t>
      </w:r>
      <w:r w:rsidR="003A6EFA" w:rsidRPr="0067437A">
        <w:rPr>
          <w:szCs w:val="22"/>
          <w:lang w:eastAsia="en-US"/>
        </w:rPr>
        <w:t xml:space="preserve">The pre-PBAC response </w:t>
      </w:r>
      <w:r w:rsidR="003A6EFA" w:rsidRPr="0067437A">
        <w:rPr>
          <w:szCs w:val="22"/>
          <w:lang w:eastAsia="en-US"/>
        </w:rPr>
        <w:lastRenderedPageBreak/>
        <w:t>provided data from a published retrospective chart review of an Australian PAH clinic (Feenstra</w:t>
      </w:r>
      <w:r w:rsidR="004E3E98">
        <w:rPr>
          <w:szCs w:val="22"/>
          <w:lang w:eastAsia="en-US"/>
        </w:rPr>
        <w:t xml:space="preserve"> et al,</w:t>
      </w:r>
      <w:r w:rsidR="003A6EFA" w:rsidRPr="0067437A">
        <w:rPr>
          <w:szCs w:val="22"/>
          <w:lang w:eastAsia="en-US"/>
        </w:rPr>
        <w:t xml:space="preserve"> 2019) which estimated the utilisation of prostacyclins in WHO FC IV PAH ranged from 47.8% to 86.7% (depending on how patients were included in the analysis).</w:t>
      </w:r>
      <w:r w:rsidR="008E1B75" w:rsidRPr="0067437A">
        <w:rPr>
          <w:szCs w:val="22"/>
          <w:lang w:eastAsia="en-US"/>
        </w:rPr>
        <w:t xml:space="preserve"> The PBAC considered</w:t>
      </w:r>
      <w:r w:rsidR="00354BD0">
        <w:rPr>
          <w:szCs w:val="22"/>
          <w:lang w:eastAsia="en-US"/>
        </w:rPr>
        <w:t xml:space="preserve"> </w:t>
      </w:r>
      <w:r w:rsidR="008E1B75" w:rsidRPr="0067437A">
        <w:rPr>
          <w:szCs w:val="22"/>
          <w:lang w:eastAsia="en-US"/>
        </w:rPr>
        <w:t>that a</w:t>
      </w:r>
      <w:r w:rsidR="00037A67">
        <w:rPr>
          <w:szCs w:val="22"/>
          <w:lang w:eastAsia="en-US"/>
        </w:rPr>
        <w:t>n</w:t>
      </w:r>
      <w:r w:rsidR="008E1B75" w:rsidRPr="0067437A">
        <w:rPr>
          <w:szCs w:val="22"/>
          <w:lang w:eastAsia="en-US"/>
        </w:rPr>
        <w:t xml:space="preserve"> estimate of 50% would be </w:t>
      </w:r>
      <w:r w:rsidR="00037A67">
        <w:rPr>
          <w:szCs w:val="22"/>
          <w:lang w:eastAsia="en-US"/>
        </w:rPr>
        <w:t xml:space="preserve">more </w:t>
      </w:r>
      <w:r w:rsidR="008E1B75" w:rsidRPr="0067437A">
        <w:rPr>
          <w:szCs w:val="22"/>
          <w:lang w:eastAsia="en-US"/>
        </w:rPr>
        <w:t>reasonable</w:t>
      </w:r>
      <w:r w:rsidR="00BB2871" w:rsidRPr="0067437A">
        <w:rPr>
          <w:szCs w:val="22"/>
          <w:lang w:eastAsia="en-US"/>
        </w:rPr>
        <w:t>.</w:t>
      </w:r>
    </w:p>
    <w:p w:rsidR="00F66DD2" w:rsidRPr="0067437A" w:rsidRDefault="00F66DD2" w:rsidP="000336DA">
      <w:pPr>
        <w:pStyle w:val="3-BodyText"/>
        <w:ind w:left="709"/>
        <w:rPr>
          <w:iCs/>
          <w:szCs w:val="22"/>
          <w:lang w:eastAsia="en-US"/>
        </w:rPr>
      </w:pPr>
      <w:r w:rsidRPr="0067437A">
        <w:rPr>
          <w:lang w:eastAsia="en-US"/>
        </w:rPr>
        <w:t xml:space="preserve">The model did not include an improvement in overall survival between selexipag and placebo because the </w:t>
      </w:r>
      <w:r w:rsidR="005A4EA8" w:rsidRPr="0067437A">
        <w:rPr>
          <w:lang w:eastAsia="en-US"/>
        </w:rPr>
        <w:t xml:space="preserve">ITT analysis of the </w:t>
      </w:r>
      <w:r w:rsidRPr="0067437A">
        <w:rPr>
          <w:lang w:eastAsia="en-US"/>
        </w:rPr>
        <w:t xml:space="preserve">GRIPHON trial did not demonstrate a statistically significant survival gain </w:t>
      </w:r>
      <w:r w:rsidR="00927715" w:rsidRPr="0067437A">
        <w:rPr>
          <w:lang w:eastAsia="en-US"/>
        </w:rPr>
        <w:t xml:space="preserve">by the end </w:t>
      </w:r>
      <w:r w:rsidRPr="0067437A">
        <w:rPr>
          <w:lang w:eastAsia="en-US"/>
        </w:rPr>
        <w:t xml:space="preserve">of the </w:t>
      </w:r>
      <w:r w:rsidR="00927715" w:rsidRPr="0067437A">
        <w:rPr>
          <w:lang w:eastAsia="en-US"/>
        </w:rPr>
        <w:t xml:space="preserve">trial </w:t>
      </w:r>
      <w:r w:rsidRPr="0067437A">
        <w:rPr>
          <w:lang w:eastAsia="en-US"/>
        </w:rPr>
        <w:t>period</w:t>
      </w:r>
      <w:r w:rsidR="0067437A">
        <w:rPr>
          <w:lang w:eastAsia="en-US"/>
        </w:rPr>
        <w:t xml:space="preserve">. </w:t>
      </w:r>
      <w:r w:rsidR="009B471F" w:rsidRPr="0067437A">
        <w:rPr>
          <w:lang w:eastAsia="en-US"/>
        </w:rPr>
        <w:t xml:space="preserve">The ESC </w:t>
      </w:r>
      <w:r w:rsidR="00802017" w:rsidRPr="0067437A">
        <w:rPr>
          <w:lang w:eastAsia="en-US"/>
        </w:rPr>
        <w:t xml:space="preserve">noted </w:t>
      </w:r>
      <w:r w:rsidR="009B471F" w:rsidRPr="0067437A">
        <w:rPr>
          <w:lang w:eastAsia="en-US"/>
        </w:rPr>
        <w:t>this</w:t>
      </w:r>
      <w:r w:rsidR="005A4EA8" w:rsidRPr="0067437A">
        <w:rPr>
          <w:lang w:eastAsia="en-US"/>
        </w:rPr>
        <w:t xml:space="preserve"> may have been</w:t>
      </w:r>
      <w:r w:rsidR="009B471F" w:rsidRPr="0067437A">
        <w:rPr>
          <w:lang w:eastAsia="en-US"/>
        </w:rPr>
        <w:t xml:space="preserve"> conservative given the results of the landmark analysis by McLaughlin et al 2018</w:t>
      </w:r>
      <w:r w:rsidR="00E538E8" w:rsidRPr="0067437A">
        <w:rPr>
          <w:lang w:eastAsia="en-US"/>
        </w:rPr>
        <w:t xml:space="preserve">, but </w:t>
      </w:r>
      <w:r w:rsidR="00802017" w:rsidRPr="0067437A">
        <w:rPr>
          <w:lang w:eastAsia="en-US"/>
        </w:rPr>
        <w:t>considered</w:t>
      </w:r>
      <w:r w:rsidR="00E538E8" w:rsidRPr="0067437A">
        <w:rPr>
          <w:lang w:eastAsia="en-US"/>
        </w:rPr>
        <w:t xml:space="preserve"> that this was countered by the lack of </w:t>
      </w:r>
      <w:r w:rsidR="00037A67">
        <w:rPr>
          <w:lang w:eastAsia="en-US"/>
        </w:rPr>
        <w:t xml:space="preserve">a statistically significant </w:t>
      </w:r>
      <w:r w:rsidR="00E538E8" w:rsidRPr="0067437A">
        <w:rPr>
          <w:lang w:eastAsia="en-US"/>
        </w:rPr>
        <w:t xml:space="preserve">benefit in the requested population (WHO FC III PAH and receiving background dual therapy) in the GRIPHON trial. Overall, the ESC considered that </w:t>
      </w:r>
      <w:r w:rsidR="00802017" w:rsidRPr="0067437A">
        <w:rPr>
          <w:lang w:eastAsia="en-US"/>
        </w:rPr>
        <w:t xml:space="preserve">the lack of modelled survival benefit </w:t>
      </w:r>
      <w:r w:rsidR="00E538E8" w:rsidRPr="0067437A">
        <w:rPr>
          <w:lang w:eastAsia="en-US"/>
        </w:rPr>
        <w:t>was appropriate.</w:t>
      </w:r>
      <w:r w:rsidR="009B471F" w:rsidRPr="0067437A">
        <w:rPr>
          <w:lang w:eastAsia="en-US"/>
        </w:rPr>
        <w:t xml:space="preserve"> </w:t>
      </w:r>
      <w:r w:rsidR="00BE7B1B" w:rsidRPr="0067437A">
        <w:rPr>
          <w:szCs w:val="22"/>
          <w:lang w:eastAsia="en-US"/>
        </w:rPr>
        <w:t>Parametric survival</w:t>
      </w:r>
      <w:r w:rsidR="00646F28" w:rsidRPr="0067437A">
        <w:rPr>
          <w:szCs w:val="22"/>
          <w:lang w:eastAsia="en-US"/>
        </w:rPr>
        <w:t xml:space="preserve"> functions</w:t>
      </w:r>
      <w:r w:rsidR="00BE7B1B" w:rsidRPr="0067437A">
        <w:rPr>
          <w:szCs w:val="22"/>
          <w:lang w:eastAsia="en-US"/>
        </w:rPr>
        <w:t xml:space="preserve"> (exponential, Weibull, log-logistic and log-normal) were fitted to the </w:t>
      </w:r>
      <w:r w:rsidR="004E3E98">
        <w:rPr>
          <w:szCs w:val="22"/>
          <w:lang w:eastAsia="en-US"/>
        </w:rPr>
        <w:t>Kaplan Meier</w:t>
      </w:r>
      <w:r w:rsidR="00BE7B1B" w:rsidRPr="0067437A">
        <w:rPr>
          <w:szCs w:val="22"/>
          <w:lang w:eastAsia="en-US"/>
        </w:rPr>
        <w:t xml:space="preserve"> survival curve</w:t>
      </w:r>
      <w:r w:rsidR="00D00FFF" w:rsidRPr="0067437A">
        <w:rPr>
          <w:szCs w:val="22"/>
          <w:lang w:eastAsia="en-US"/>
        </w:rPr>
        <w:t xml:space="preserve"> </w:t>
      </w:r>
      <w:r w:rsidR="00646F28" w:rsidRPr="0067437A">
        <w:rPr>
          <w:szCs w:val="22"/>
          <w:lang w:eastAsia="en-US"/>
        </w:rPr>
        <w:t>of the selexipag arm of the</w:t>
      </w:r>
      <w:r w:rsidR="00D00FFF" w:rsidRPr="0067437A">
        <w:rPr>
          <w:szCs w:val="22"/>
          <w:lang w:eastAsia="en-US"/>
        </w:rPr>
        <w:t xml:space="preserve"> GRIPHON</w:t>
      </w:r>
      <w:r w:rsidR="00BE7B1B" w:rsidRPr="0067437A">
        <w:rPr>
          <w:szCs w:val="22"/>
          <w:lang w:eastAsia="en-US"/>
        </w:rPr>
        <w:t xml:space="preserve"> </w:t>
      </w:r>
      <w:r w:rsidR="00646F28" w:rsidRPr="0067437A">
        <w:rPr>
          <w:szCs w:val="22"/>
          <w:lang w:eastAsia="en-US"/>
        </w:rPr>
        <w:t xml:space="preserve">trial </w:t>
      </w:r>
      <w:r w:rsidR="00BE7B1B" w:rsidRPr="0067437A">
        <w:rPr>
          <w:szCs w:val="22"/>
          <w:lang w:eastAsia="en-US"/>
        </w:rPr>
        <w:t xml:space="preserve">to estimate the transition probabilities from </w:t>
      </w:r>
      <w:r w:rsidR="006170D9" w:rsidRPr="0067437A">
        <w:rPr>
          <w:szCs w:val="22"/>
          <w:lang w:eastAsia="en-US"/>
        </w:rPr>
        <w:t xml:space="preserve">the </w:t>
      </w:r>
      <w:r w:rsidR="00BE7B1B" w:rsidRPr="0067437A">
        <w:rPr>
          <w:szCs w:val="22"/>
          <w:lang w:eastAsia="en-US"/>
        </w:rPr>
        <w:t>PAH health states to death</w:t>
      </w:r>
      <w:r w:rsidR="0067437A">
        <w:rPr>
          <w:szCs w:val="22"/>
          <w:lang w:eastAsia="en-US"/>
        </w:rPr>
        <w:t xml:space="preserve">. </w:t>
      </w:r>
      <w:r w:rsidR="00BE7B1B" w:rsidRPr="0067437A">
        <w:rPr>
          <w:szCs w:val="22"/>
          <w:lang w:eastAsia="en-US"/>
        </w:rPr>
        <w:t>The exponential distribution was selected for the base case, as it had the best statistical fit (lowest AIC/BIC values)</w:t>
      </w:r>
      <w:r w:rsidR="0067437A">
        <w:rPr>
          <w:szCs w:val="22"/>
          <w:lang w:eastAsia="en-US"/>
        </w:rPr>
        <w:t xml:space="preserve">. </w:t>
      </w:r>
      <w:r w:rsidR="0046363C" w:rsidRPr="0067437A">
        <w:rPr>
          <w:iCs/>
          <w:szCs w:val="22"/>
          <w:lang w:eastAsia="en-US"/>
        </w:rPr>
        <w:t>As no mortality difference was assumed between the selexipag and placebo arms and as the same mortality extrapolations were applied to both arms, survival is not a driver of the model.</w:t>
      </w:r>
    </w:p>
    <w:p w:rsidR="001E01FF" w:rsidRPr="0067437A" w:rsidRDefault="001E01FF" w:rsidP="001E01FF">
      <w:pPr>
        <w:pStyle w:val="3-BodyText"/>
        <w:ind w:left="709"/>
      </w:pPr>
      <w:r w:rsidRPr="0067437A">
        <w:t>The model traces of the proportions of patients in the Improved PAH, Stable PAH, and Progressed PAH health states over time, are presen</w:t>
      </w:r>
      <w:r w:rsidR="00CA2F22" w:rsidRPr="0067437A">
        <w:t>ted in Figure 3</w:t>
      </w:r>
      <w:r w:rsidRPr="0067437A">
        <w:t>.</w:t>
      </w:r>
    </w:p>
    <w:p w:rsidR="001E01FF" w:rsidRPr="0067437A" w:rsidRDefault="00CA2F22" w:rsidP="001E01FF">
      <w:pPr>
        <w:pStyle w:val="3-BodyText"/>
        <w:keepNext/>
        <w:keepLines/>
        <w:numPr>
          <w:ilvl w:val="0"/>
          <w:numId w:val="0"/>
        </w:numPr>
        <w:spacing w:after="0"/>
        <w:rPr>
          <w:rFonts w:ascii="Arial Narrow" w:hAnsi="Arial Narrow"/>
          <w:b/>
          <w:sz w:val="20"/>
          <w:szCs w:val="20"/>
          <w:lang w:eastAsia="en-US"/>
        </w:rPr>
      </w:pPr>
      <w:r w:rsidRPr="0067437A">
        <w:rPr>
          <w:rFonts w:ascii="Arial Narrow" w:hAnsi="Arial Narrow"/>
          <w:b/>
          <w:sz w:val="20"/>
          <w:szCs w:val="20"/>
          <w:lang w:eastAsia="en-US"/>
        </w:rPr>
        <w:lastRenderedPageBreak/>
        <w:t>Figure 3</w:t>
      </w:r>
      <w:r w:rsidR="001E01FF" w:rsidRPr="0067437A">
        <w:rPr>
          <w:rFonts w:ascii="Arial Narrow" w:hAnsi="Arial Narrow"/>
          <w:b/>
          <w:sz w:val="20"/>
          <w:szCs w:val="20"/>
          <w:lang w:eastAsia="en-US"/>
        </w:rPr>
        <w:t>: Markov trace from the modelled economic evaluation</w:t>
      </w:r>
    </w:p>
    <w:p w:rsidR="001E01FF" w:rsidRPr="0067437A" w:rsidRDefault="00B24936" w:rsidP="001E01FF">
      <w:pPr>
        <w:pStyle w:val="3-BodyText"/>
        <w:keepNext/>
        <w:keepLines/>
        <w:numPr>
          <w:ilvl w:val="0"/>
          <w:numId w:val="0"/>
        </w:numPr>
        <w:spacing w:after="0"/>
        <w:rPr>
          <w:rFonts w:ascii="Arial Narrow" w:hAnsi="Arial Narrow"/>
          <w:b/>
          <w:sz w:val="20"/>
          <w:szCs w:val="20"/>
          <w:lang w:eastAsia="en-US"/>
        </w:rPr>
      </w:pPr>
      <w:r>
        <w:rPr>
          <w:rFonts w:ascii="Arial Narrow" w:hAnsi="Arial Narrow"/>
          <w:b/>
          <w:noProof/>
          <w:snapToGrid/>
          <w:sz w:val="20"/>
          <w:szCs w:val="20"/>
        </w:rPr>
        <w:drawing>
          <wp:inline distT="0" distB="0" distL="0" distR="0">
            <wp:extent cx="5732145" cy="4248785"/>
            <wp:effectExtent l="0" t="0" r="1905" b="0"/>
            <wp:docPr id="1" name="Picture 1" title="Figure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2145" cy="4248785"/>
                    </a:xfrm>
                    <a:prstGeom prst="rect">
                      <a:avLst/>
                    </a:prstGeom>
                  </pic:spPr>
                </pic:pic>
              </a:graphicData>
            </a:graphic>
          </wp:inline>
        </w:drawing>
      </w:r>
    </w:p>
    <w:p w:rsidR="001E01FF" w:rsidRPr="0067437A" w:rsidRDefault="001E01FF" w:rsidP="001E01FF">
      <w:pPr>
        <w:rPr>
          <w:rFonts w:ascii="Arial Narrow" w:hAnsi="Arial Narrow" w:cs="Times New Roman"/>
          <w:iCs/>
          <w:sz w:val="18"/>
          <w:szCs w:val="18"/>
          <w:lang w:eastAsia="en-US"/>
        </w:rPr>
      </w:pPr>
      <w:r w:rsidRPr="0067437A">
        <w:rPr>
          <w:rFonts w:ascii="Arial Narrow" w:hAnsi="Arial Narrow" w:cs="Times New Roman"/>
          <w:iCs/>
          <w:sz w:val="18"/>
          <w:szCs w:val="18"/>
          <w:lang w:eastAsia="en-US"/>
        </w:rPr>
        <w:t>Source: constructed during the evaluation.</w:t>
      </w:r>
    </w:p>
    <w:p w:rsidR="001E01FF" w:rsidRPr="0067437A" w:rsidRDefault="001E01FF" w:rsidP="001E01FF">
      <w:pPr>
        <w:rPr>
          <w:lang w:eastAsia="en-US"/>
        </w:rPr>
      </w:pPr>
    </w:p>
    <w:p w:rsidR="00F66DD2" w:rsidRPr="0067437A" w:rsidRDefault="00F66DD2" w:rsidP="00927715">
      <w:pPr>
        <w:pStyle w:val="3-BodyText"/>
        <w:ind w:left="709"/>
        <w:rPr>
          <w:lang w:eastAsia="en-US"/>
        </w:rPr>
      </w:pPr>
      <w:r w:rsidRPr="0067437A">
        <w:rPr>
          <w:lang w:eastAsia="en-US"/>
        </w:rPr>
        <w:t>The utility weights for the Stable PAH</w:t>
      </w:r>
      <w:r w:rsidR="00DE089F" w:rsidRPr="0067437A">
        <w:rPr>
          <w:lang w:eastAsia="en-US"/>
        </w:rPr>
        <w:t xml:space="preserve"> (0.610) </w:t>
      </w:r>
      <w:r w:rsidRPr="0067437A">
        <w:rPr>
          <w:lang w:eastAsia="en-US"/>
        </w:rPr>
        <w:t>and Improved PAH</w:t>
      </w:r>
      <w:r w:rsidR="00DE089F" w:rsidRPr="0067437A">
        <w:rPr>
          <w:lang w:eastAsia="en-US"/>
        </w:rPr>
        <w:t xml:space="preserve"> (0.727)</w:t>
      </w:r>
      <w:r w:rsidRPr="0067437A">
        <w:rPr>
          <w:lang w:eastAsia="en-US"/>
        </w:rPr>
        <w:t xml:space="preserve"> health states were derived from the baseline utilities by WHO FC in the GRIPHON trial, which used a PAH-specific H</w:t>
      </w:r>
      <w:r w:rsidR="0041667C" w:rsidRPr="0067437A">
        <w:rPr>
          <w:lang w:eastAsia="en-US"/>
        </w:rPr>
        <w:t>ealth related quality of life (H</w:t>
      </w:r>
      <w:r w:rsidR="00F83636" w:rsidRPr="0067437A">
        <w:rPr>
          <w:lang w:eastAsia="en-US"/>
        </w:rPr>
        <w:t>R</w:t>
      </w:r>
      <w:r w:rsidRPr="0067437A">
        <w:rPr>
          <w:lang w:eastAsia="en-US"/>
        </w:rPr>
        <w:t>Q</w:t>
      </w:r>
      <w:r w:rsidR="00F83636" w:rsidRPr="0067437A">
        <w:rPr>
          <w:lang w:eastAsia="en-US"/>
        </w:rPr>
        <w:t>o</w:t>
      </w:r>
      <w:r w:rsidRPr="0067437A">
        <w:rPr>
          <w:lang w:eastAsia="en-US"/>
        </w:rPr>
        <w:t>L</w:t>
      </w:r>
      <w:r w:rsidR="0041667C" w:rsidRPr="0067437A">
        <w:rPr>
          <w:lang w:eastAsia="en-US"/>
        </w:rPr>
        <w:t>)</w:t>
      </w:r>
      <w:r w:rsidRPr="0067437A">
        <w:rPr>
          <w:lang w:eastAsia="en-US"/>
        </w:rPr>
        <w:t xml:space="preserve"> measure assessing impairment, disability and quality of life: Cambridge Pulmonary Hypertension Outcome Review (CAMPHOR)</w:t>
      </w:r>
      <w:r w:rsidR="0067437A">
        <w:rPr>
          <w:lang w:eastAsia="en-US"/>
        </w:rPr>
        <w:t xml:space="preserve">. </w:t>
      </w:r>
      <w:r w:rsidRPr="0067437A">
        <w:rPr>
          <w:lang w:eastAsia="en-US"/>
        </w:rPr>
        <w:t xml:space="preserve">Due to lack of data on WHO FC IV patients in the GRIPHON trial, the difference in utility for the Progressed PAH health state compared to the Stable health state </w:t>
      </w:r>
      <w:r w:rsidR="00DE089F" w:rsidRPr="0067437A">
        <w:rPr>
          <w:lang w:eastAsia="en-US"/>
        </w:rPr>
        <w:t xml:space="preserve">(0.178) </w:t>
      </w:r>
      <w:r w:rsidRPr="0067437A">
        <w:rPr>
          <w:lang w:eastAsia="en-US"/>
        </w:rPr>
        <w:t>was estimated using the</w:t>
      </w:r>
      <w:r w:rsidR="00DE089F" w:rsidRPr="0067437A">
        <w:rPr>
          <w:lang w:eastAsia="en-US"/>
        </w:rPr>
        <w:t xml:space="preserve"> average</w:t>
      </w:r>
      <w:r w:rsidRPr="0067437A">
        <w:rPr>
          <w:lang w:eastAsia="en-US"/>
        </w:rPr>
        <w:t xml:space="preserve"> difference in utility between WHO FC III and IV and WHO FC II and III</w:t>
      </w:r>
      <w:r w:rsidR="0067437A">
        <w:rPr>
          <w:lang w:eastAsia="en-US"/>
        </w:rPr>
        <w:t xml:space="preserve">. </w:t>
      </w:r>
      <w:r w:rsidR="00DE089F" w:rsidRPr="0067437A">
        <w:rPr>
          <w:lang w:eastAsia="en-US"/>
        </w:rPr>
        <w:t>This was</w:t>
      </w:r>
      <w:r w:rsidR="00795DD4" w:rsidRPr="0067437A">
        <w:rPr>
          <w:lang w:eastAsia="en-US"/>
        </w:rPr>
        <w:t xml:space="preserve"> then</w:t>
      </w:r>
      <w:r w:rsidR="00DE089F" w:rsidRPr="0067437A">
        <w:rPr>
          <w:lang w:eastAsia="en-US"/>
        </w:rPr>
        <w:t xml:space="preserve"> subtracted from the Stable PAH health state utility to estimate a </w:t>
      </w:r>
      <w:r w:rsidR="00C45E19" w:rsidRPr="0067437A">
        <w:rPr>
          <w:lang w:eastAsia="en-US"/>
        </w:rPr>
        <w:t>utility of 0.432 for Progressed PAH</w:t>
      </w:r>
      <w:r w:rsidR="0067437A">
        <w:rPr>
          <w:lang w:eastAsia="en-US"/>
        </w:rPr>
        <w:t xml:space="preserve">. </w:t>
      </w:r>
      <w:r w:rsidR="009B43E3" w:rsidRPr="0067437A">
        <w:rPr>
          <w:lang w:eastAsia="en-US"/>
        </w:rPr>
        <w:t xml:space="preserve">The resubmission </w:t>
      </w:r>
      <w:r w:rsidR="00BF33F0" w:rsidRPr="0067437A">
        <w:rPr>
          <w:lang w:eastAsia="en-US"/>
        </w:rPr>
        <w:t>did not</w:t>
      </w:r>
      <w:r w:rsidR="009B43E3" w:rsidRPr="0067437A">
        <w:rPr>
          <w:lang w:eastAsia="en-US"/>
        </w:rPr>
        <w:t xml:space="preserve"> </w:t>
      </w:r>
      <w:r w:rsidR="00D13C0C" w:rsidRPr="0067437A">
        <w:rPr>
          <w:lang w:eastAsia="en-US"/>
        </w:rPr>
        <w:t xml:space="preserve">validate the model’s quality of life assumptions against </w:t>
      </w:r>
      <w:r w:rsidR="00BF33F0" w:rsidRPr="0067437A">
        <w:rPr>
          <w:lang w:eastAsia="en-US"/>
        </w:rPr>
        <w:t>broader literature</w:t>
      </w:r>
      <w:r w:rsidR="0067437A">
        <w:rPr>
          <w:lang w:eastAsia="en-US"/>
        </w:rPr>
        <w:t xml:space="preserve">. </w:t>
      </w:r>
      <w:r w:rsidR="00D13C0C" w:rsidRPr="0067437A">
        <w:rPr>
          <w:lang w:eastAsia="en-US"/>
        </w:rPr>
        <w:t>Data from an alternate publication</w:t>
      </w:r>
      <w:r w:rsidR="000655C7" w:rsidRPr="0067437A">
        <w:rPr>
          <w:lang w:eastAsia="en-US"/>
        </w:rPr>
        <w:t xml:space="preserve"> (that was also identified by the resubmission)</w:t>
      </w:r>
      <w:r w:rsidR="00D13C0C" w:rsidRPr="0067437A">
        <w:rPr>
          <w:lang w:eastAsia="en-US"/>
        </w:rPr>
        <w:t>, Keogh et al 2007</w:t>
      </w:r>
      <w:r w:rsidR="007A506C" w:rsidRPr="0067437A">
        <w:rPr>
          <w:lang w:eastAsia="en-US"/>
        </w:rPr>
        <w:t>,</w:t>
      </w:r>
      <w:r w:rsidR="00D13C0C" w:rsidRPr="0067437A">
        <w:rPr>
          <w:lang w:eastAsia="en-US"/>
        </w:rPr>
        <w:t xml:space="preserve"> reported </w:t>
      </w:r>
      <w:r w:rsidR="000655C7" w:rsidRPr="0067437A">
        <w:rPr>
          <w:lang w:eastAsia="en-US"/>
        </w:rPr>
        <w:t xml:space="preserve">smaller differences between the different PAH </w:t>
      </w:r>
      <w:r w:rsidR="007A506C" w:rsidRPr="0067437A">
        <w:rPr>
          <w:lang w:eastAsia="en-US"/>
        </w:rPr>
        <w:t>classes</w:t>
      </w:r>
      <w:r w:rsidR="000655C7" w:rsidRPr="0067437A">
        <w:rPr>
          <w:lang w:eastAsia="en-US"/>
        </w:rPr>
        <w:t xml:space="preserve"> and a much higher health state utility for Progressed PAH (</w:t>
      </w:r>
      <w:r w:rsidR="007A506C" w:rsidRPr="0067437A">
        <w:rPr>
          <w:lang w:eastAsia="en-US"/>
        </w:rPr>
        <w:t>i.e.</w:t>
      </w:r>
      <w:r w:rsidR="000655C7" w:rsidRPr="0067437A">
        <w:rPr>
          <w:lang w:eastAsia="en-US"/>
        </w:rPr>
        <w:t xml:space="preserve"> Improved PAH: 0.67, Stable PAH: 0.60 and Progressed PAH: 0.52)</w:t>
      </w:r>
      <w:r w:rsidR="0067437A">
        <w:rPr>
          <w:lang w:eastAsia="en-US"/>
        </w:rPr>
        <w:t xml:space="preserve">. </w:t>
      </w:r>
      <w:r w:rsidR="0041667C" w:rsidRPr="0067437A">
        <w:rPr>
          <w:lang w:eastAsia="en-US"/>
        </w:rPr>
        <w:t xml:space="preserve">The ICER increased to </w:t>
      </w:r>
      <w:r w:rsidR="00001451" w:rsidRPr="0067437A">
        <w:rPr>
          <w:lang w:eastAsia="en-US"/>
        </w:rPr>
        <w:t>$</w:t>
      </w:r>
      <w:r w:rsidR="00BF4A71">
        <w:rPr>
          <w:lang w:eastAsia="en-US"/>
        </w:rPr>
        <w:t>4</w:t>
      </w:r>
      <w:r w:rsidR="00141C18">
        <w:rPr>
          <w:lang w:eastAsia="en-US"/>
        </w:rPr>
        <w:t>5,000 to $75,000 per QALY</w:t>
      </w:r>
      <w:r w:rsidR="00001451" w:rsidRPr="0067437A">
        <w:rPr>
          <w:lang w:eastAsia="en-US"/>
        </w:rPr>
        <w:t xml:space="preserve"> from a base case of $</w:t>
      </w:r>
      <w:r w:rsidR="00141C18">
        <w:rPr>
          <w:lang w:eastAsia="en-US"/>
        </w:rPr>
        <w:t>45,000 to $</w:t>
      </w:r>
      <w:r w:rsidR="00BF4A71">
        <w:rPr>
          <w:lang w:eastAsia="en-US"/>
        </w:rPr>
        <w:t>7</w:t>
      </w:r>
      <w:r w:rsidR="00141C18">
        <w:rPr>
          <w:lang w:eastAsia="en-US"/>
        </w:rPr>
        <w:t>5,000</w:t>
      </w:r>
      <w:r w:rsidR="00001451" w:rsidRPr="0067437A">
        <w:rPr>
          <w:lang w:eastAsia="en-US"/>
        </w:rPr>
        <w:t xml:space="preserve"> when these alternate utilities were used.</w:t>
      </w:r>
    </w:p>
    <w:p w:rsidR="00A64FBD" w:rsidRPr="0067437A" w:rsidRDefault="00F66DD2" w:rsidP="004F01EB">
      <w:pPr>
        <w:pStyle w:val="3-BodyText"/>
        <w:ind w:left="709"/>
      </w:pPr>
      <w:r w:rsidRPr="0067437A">
        <w:t xml:space="preserve">The disutility of continuous IV administration of epoprostenol </w:t>
      </w:r>
      <w:r w:rsidR="007A506C" w:rsidRPr="0067437A">
        <w:t xml:space="preserve">for patients in the Progressed PAH state </w:t>
      </w:r>
      <w:r w:rsidRPr="0067437A">
        <w:t xml:space="preserve">was </w:t>
      </w:r>
      <w:r w:rsidR="00A801BE" w:rsidRPr="0067437A">
        <w:t>informed by Davies et al 2018, wh</w:t>
      </w:r>
      <w:r w:rsidR="007A506C" w:rsidRPr="0067437A">
        <w:t>ich</w:t>
      </w:r>
      <w:r w:rsidR="00A801BE" w:rsidRPr="0067437A">
        <w:t xml:space="preserve"> </w:t>
      </w:r>
      <w:r w:rsidR="00B75049" w:rsidRPr="0067437A">
        <w:t xml:space="preserve">reported utility weights associated with </w:t>
      </w:r>
      <w:r w:rsidR="00A801BE" w:rsidRPr="0067437A">
        <w:t>different modes</w:t>
      </w:r>
      <w:r w:rsidR="00E310C0" w:rsidRPr="0067437A">
        <w:t xml:space="preserve"> of</w:t>
      </w:r>
      <w:r w:rsidR="00A801BE" w:rsidRPr="0067437A">
        <w:t xml:space="preserve"> drug</w:t>
      </w:r>
      <w:r w:rsidR="0098611F" w:rsidRPr="0067437A">
        <w:t xml:space="preserve"> </w:t>
      </w:r>
      <w:r w:rsidR="00B75049" w:rsidRPr="0067437A">
        <w:t xml:space="preserve">administration </w:t>
      </w:r>
      <w:r w:rsidR="0098611F" w:rsidRPr="0067437A">
        <w:t>(</w:t>
      </w:r>
      <w:r w:rsidR="007A506C" w:rsidRPr="0067437A">
        <w:t>i.e.</w:t>
      </w:r>
      <w:r w:rsidR="00B75049" w:rsidRPr="0067437A">
        <w:t xml:space="preserve"> </w:t>
      </w:r>
      <w:r w:rsidR="0098611F" w:rsidRPr="0067437A">
        <w:t xml:space="preserve">oral versus non </w:t>
      </w:r>
      <w:r w:rsidR="0098611F" w:rsidRPr="0067437A">
        <w:lastRenderedPageBreak/>
        <w:t>oral) for drugs</w:t>
      </w:r>
      <w:r w:rsidR="00A801BE" w:rsidRPr="0067437A">
        <w:t xml:space="preserve"> acting on the prostacyclin pathway in PAH</w:t>
      </w:r>
      <w:r w:rsidR="0067437A">
        <w:t xml:space="preserve">. </w:t>
      </w:r>
      <w:r w:rsidR="007A506C" w:rsidRPr="0067437A">
        <w:t xml:space="preserve">The resubmission assumed that IV epoprostenol </w:t>
      </w:r>
      <w:r w:rsidR="00D54DEE" w:rsidRPr="0067437A">
        <w:t>result</w:t>
      </w:r>
      <w:r w:rsidR="007A506C" w:rsidRPr="0067437A">
        <w:t>ed</w:t>
      </w:r>
      <w:r w:rsidR="00D54DEE" w:rsidRPr="0067437A">
        <w:t xml:space="preserve"> in a disutility of 0.307</w:t>
      </w:r>
      <w:r w:rsidR="007A506C" w:rsidRPr="0067437A">
        <w:t xml:space="preserve">, which </w:t>
      </w:r>
      <w:r w:rsidR="00846F4F" w:rsidRPr="0067437A">
        <w:t xml:space="preserve">is larger </w:t>
      </w:r>
      <w:r w:rsidR="002B0AA1" w:rsidRPr="0067437A">
        <w:t xml:space="preserve">than other estimates in the literature </w:t>
      </w:r>
      <w:r w:rsidR="00C50190" w:rsidRPr="0067437A">
        <w:t xml:space="preserve">associated with </w:t>
      </w:r>
      <w:r w:rsidR="002B0AA1" w:rsidRPr="0067437A">
        <w:t>IV infusions</w:t>
      </w:r>
      <w:r w:rsidR="0067437A">
        <w:t xml:space="preserve">. </w:t>
      </w:r>
      <w:r w:rsidR="007A506C" w:rsidRPr="0067437A">
        <w:t>T</w:t>
      </w:r>
      <w:r w:rsidR="00A64FBD" w:rsidRPr="0067437A">
        <w:t>he appl</w:t>
      </w:r>
      <w:r w:rsidR="00C83EF7" w:rsidRPr="0067437A">
        <w:t>ication of this result in</w:t>
      </w:r>
      <w:r w:rsidR="00A64FBD" w:rsidRPr="0067437A">
        <w:t xml:space="preserve"> the</w:t>
      </w:r>
      <w:r w:rsidR="00736F4D" w:rsidRPr="0067437A">
        <w:t xml:space="preserve"> model </w:t>
      </w:r>
      <w:r w:rsidR="00254BA8" w:rsidRPr="0067437A">
        <w:t>could lead to</w:t>
      </w:r>
      <w:r w:rsidR="00C83EF7" w:rsidRPr="0067437A">
        <w:t xml:space="preserve"> </w:t>
      </w:r>
      <w:r w:rsidR="00A64FBD" w:rsidRPr="0067437A">
        <w:t>double counting</w:t>
      </w:r>
      <w:r w:rsidR="007A506C" w:rsidRPr="0067437A">
        <w:t xml:space="preserve"> of the disutility as</w:t>
      </w:r>
      <w:r w:rsidR="00A64FBD" w:rsidRPr="0067437A">
        <w:t xml:space="preserve"> the health state utility for Progressed PAH included events such as initiation of IV epoprostenol</w:t>
      </w:r>
      <w:r w:rsidR="0067437A">
        <w:t xml:space="preserve">. </w:t>
      </w:r>
      <w:r w:rsidR="00CA009A" w:rsidRPr="0067437A">
        <w:t>Based on the model, p</w:t>
      </w:r>
      <w:r w:rsidR="00254BA8" w:rsidRPr="0067437A">
        <w:t>atient</w:t>
      </w:r>
      <w:r w:rsidR="00CA009A" w:rsidRPr="0067437A">
        <w:t>s in the</w:t>
      </w:r>
      <w:r w:rsidR="00254BA8" w:rsidRPr="0067437A">
        <w:t xml:space="preserve"> Progressed PAH</w:t>
      </w:r>
      <w:r w:rsidR="00CA009A" w:rsidRPr="0067437A">
        <w:t xml:space="preserve"> health state</w:t>
      </w:r>
      <w:r w:rsidR="00254BA8" w:rsidRPr="0067437A">
        <w:t xml:space="preserve"> and </w:t>
      </w:r>
      <w:r w:rsidR="00D13C0C" w:rsidRPr="0067437A">
        <w:t xml:space="preserve">on </w:t>
      </w:r>
      <w:r w:rsidR="00254BA8" w:rsidRPr="0067437A">
        <w:t>IV epoprostenol</w:t>
      </w:r>
      <w:r w:rsidR="00CA009A" w:rsidRPr="0067437A">
        <w:t xml:space="preserve"> </w:t>
      </w:r>
      <w:r w:rsidR="00D13C0C" w:rsidRPr="0067437A">
        <w:t xml:space="preserve">treatment </w:t>
      </w:r>
      <w:r w:rsidR="00CA009A" w:rsidRPr="0067437A">
        <w:t xml:space="preserve">would have a </w:t>
      </w:r>
      <w:r w:rsidR="007A506C" w:rsidRPr="0067437A">
        <w:t>utility of 0.125</w:t>
      </w:r>
      <w:r w:rsidR="00CA009A" w:rsidRPr="0067437A">
        <w:t xml:space="preserve"> (</w:t>
      </w:r>
      <w:r w:rsidR="00E5078E" w:rsidRPr="0067437A">
        <w:t xml:space="preserve">i.e. </w:t>
      </w:r>
      <w:r w:rsidR="00CA009A" w:rsidRPr="0067437A">
        <w:t>0.432</w:t>
      </w:r>
      <w:r w:rsidR="00E5078E" w:rsidRPr="0067437A">
        <w:t xml:space="preserve"> - </w:t>
      </w:r>
      <w:r w:rsidR="00CA009A" w:rsidRPr="0067437A">
        <w:t>0.307)</w:t>
      </w:r>
      <w:r w:rsidR="00944B59" w:rsidRPr="0067437A">
        <w:t xml:space="preserve">. </w:t>
      </w:r>
      <w:r w:rsidR="00AA2627" w:rsidRPr="0067437A">
        <w:t xml:space="preserve">The PSCR considered that the disutility was not double counted as the proportion of patients in the GRIPHON trial receiving IV epoprostenol was very low (1.7% in the selexipag arm and 2.2% in the placebo arm); therefore, the results of these patients would not have significantly influenced the quality of life outcomes. </w:t>
      </w:r>
      <w:r w:rsidR="00C57DA2" w:rsidRPr="0067437A">
        <w:t>In terms of the disutility decrement of 0.307, the PSCR stated that Davies et al 2018 is the only published PAH specific utility study, that patients with WHO FC IV PAH are unable to carry out any physical activity without exhibiting a worsening of symptoms and that many patients experience significant discomfort at rest.</w:t>
      </w:r>
      <w:r w:rsidR="00944B59" w:rsidRPr="0067437A">
        <w:t xml:space="preserve"> The ESC recognised that IV epoprostenol </w:t>
      </w:r>
      <w:r w:rsidR="00C57DA2" w:rsidRPr="0067437A">
        <w:t>would</w:t>
      </w:r>
      <w:r w:rsidR="00944B59" w:rsidRPr="0067437A">
        <w:t xml:space="preserve"> be associated with some additional disutility, but also felt that symptom improvement could occur</w:t>
      </w:r>
      <w:r w:rsidR="00037A67">
        <w:t xml:space="preserve"> in the proportion of patients who benefited</w:t>
      </w:r>
      <w:r w:rsidR="0067437A">
        <w:t xml:space="preserve">. </w:t>
      </w:r>
      <w:r w:rsidR="00944B59" w:rsidRPr="0067437A">
        <w:t xml:space="preserve">The </w:t>
      </w:r>
      <w:r w:rsidR="00C57DA2" w:rsidRPr="0067437A">
        <w:t xml:space="preserve">ESC considered that the </w:t>
      </w:r>
      <w:r w:rsidR="00944B59" w:rsidRPr="0067437A">
        <w:t>utility of 0.125 for</w:t>
      </w:r>
      <w:r w:rsidR="00C57DA2" w:rsidRPr="0067437A">
        <w:t xml:space="preserve"> patients with progressed PAH and receiving </w:t>
      </w:r>
      <w:r w:rsidR="00944B59" w:rsidRPr="0067437A">
        <w:t xml:space="preserve">IV epoprostenol </w:t>
      </w:r>
      <w:r w:rsidR="00C57DA2" w:rsidRPr="0067437A">
        <w:t>was</w:t>
      </w:r>
      <w:r w:rsidR="00944B59" w:rsidRPr="0067437A">
        <w:t xml:space="preserve"> implausibly low.</w:t>
      </w:r>
      <w:r w:rsidR="008E1B75" w:rsidRPr="0067437A">
        <w:t xml:space="preserve"> The pre-PBAC response noted that the model assumed 30% of patients receiving IV epoprostenol would experience an improvement in quality of life</w:t>
      </w:r>
      <w:r w:rsidR="00DF39FC" w:rsidRPr="0067437A">
        <w:t xml:space="preserve">, and that for these patients the utility decrement of 0.307 was subtracted from the Stable PAH state utility, resulting in a utility of 0.303 (i.e. 0.610 </w:t>
      </w:r>
      <w:r w:rsidR="00E5078E" w:rsidRPr="0067437A">
        <w:t>-</w:t>
      </w:r>
      <w:r w:rsidR="00DF39FC" w:rsidRPr="0067437A">
        <w:t xml:space="preserve"> 0.307). </w:t>
      </w:r>
      <w:r w:rsidR="00BB067F">
        <w:t>Thus, the net utility for p</w:t>
      </w:r>
      <w:r w:rsidR="00BB067F" w:rsidRPr="00162345">
        <w:t xml:space="preserve">rogressed PAH </w:t>
      </w:r>
      <w:r w:rsidR="00BB067F">
        <w:t xml:space="preserve">patients on IV EPO in the model ranged from 0.125 to 0.303. </w:t>
      </w:r>
      <w:r w:rsidR="00D46FFF">
        <w:t xml:space="preserve">The PBAC noted the advice from ESC that the model inputs should be conservative (paragraph </w:t>
      </w:r>
      <w:r w:rsidR="00D46FFF" w:rsidRPr="003A47B7">
        <w:t>6.58</w:t>
      </w:r>
      <w:r w:rsidR="00D46FFF">
        <w:t>). The PBAC also acknowledged that IV epoprostenol can have a significant impact on quality of life</w:t>
      </w:r>
      <w:r w:rsidR="004E3E98">
        <w:t>,</w:t>
      </w:r>
      <w:r w:rsidR="00D46FFF">
        <w:t xml:space="preserve"> </w:t>
      </w:r>
      <w:r w:rsidR="004E3E98">
        <w:t>but</w:t>
      </w:r>
      <w:r w:rsidR="00D46FFF">
        <w:t xml:space="preserve"> considered that the sensitivity analysis in the ESC advice in which the utility decrement associated with IV epoprostenol was removed to be extreme.  </w:t>
      </w:r>
      <w:r w:rsidR="004E3E98">
        <w:t>O</w:t>
      </w:r>
      <w:r w:rsidR="00D46FFF">
        <w:t>verall, the PBAC considered that the utility decrement applied in the resubmission of 0.307 was large and that a reasonable estimate would be 0.1535 (i.e. half that assumed in the resubmission).</w:t>
      </w:r>
    </w:p>
    <w:p w:rsidR="00F66DD2" w:rsidRPr="0067437A" w:rsidRDefault="00F66DD2" w:rsidP="00A106A9">
      <w:pPr>
        <w:pStyle w:val="3-BodyText"/>
        <w:ind w:left="709"/>
        <w:rPr>
          <w:lang w:eastAsia="en-US"/>
        </w:rPr>
      </w:pPr>
      <w:r w:rsidRPr="0067437A">
        <w:rPr>
          <w:lang w:eastAsia="en-US"/>
        </w:rPr>
        <w:t xml:space="preserve">The model applied a hospitalisation rate of 61.2% </w:t>
      </w:r>
      <w:r w:rsidR="00DB5C28" w:rsidRPr="0067437A">
        <w:rPr>
          <w:lang w:eastAsia="en-US"/>
        </w:rPr>
        <w:t xml:space="preserve">to all </w:t>
      </w:r>
      <w:r w:rsidR="00927715" w:rsidRPr="0067437A">
        <w:rPr>
          <w:lang w:eastAsia="en-US"/>
        </w:rPr>
        <w:t>patient</w:t>
      </w:r>
      <w:r w:rsidR="00DB5C28" w:rsidRPr="0067437A">
        <w:rPr>
          <w:lang w:eastAsia="en-US"/>
        </w:rPr>
        <w:t>s</w:t>
      </w:r>
      <w:r w:rsidR="00927715" w:rsidRPr="0067437A">
        <w:rPr>
          <w:lang w:eastAsia="en-US"/>
        </w:rPr>
        <w:t xml:space="preserve"> </w:t>
      </w:r>
      <w:r w:rsidR="00090C10" w:rsidRPr="0067437A">
        <w:rPr>
          <w:lang w:eastAsia="en-US"/>
        </w:rPr>
        <w:t xml:space="preserve">transitioning </w:t>
      </w:r>
      <w:r w:rsidR="00927715" w:rsidRPr="0067437A">
        <w:rPr>
          <w:lang w:eastAsia="en-US"/>
        </w:rPr>
        <w:t xml:space="preserve">to the </w:t>
      </w:r>
      <w:r w:rsidRPr="0067437A">
        <w:rPr>
          <w:lang w:eastAsia="en-US"/>
        </w:rPr>
        <w:t>Progressed PAH health state</w:t>
      </w:r>
      <w:r w:rsidR="00DB5C28" w:rsidRPr="0067437A">
        <w:rPr>
          <w:lang w:eastAsia="en-US"/>
        </w:rPr>
        <w:t>, calculated as</w:t>
      </w:r>
      <w:r w:rsidR="00CC0559" w:rsidRPr="0067437A">
        <w:rPr>
          <w:lang w:eastAsia="en-US"/>
        </w:rPr>
        <w:t xml:space="preserve"> the proportion of total hospitalisation events over total </w:t>
      </w:r>
      <w:r w:rsidRPr="0067437A">
        <w:rPr>
          <w:lang w:eastAsia="en-US"/>
        </w:rPr>
        <w:t xml:space="preserve">morbidity events in each arm of the </w:t>
      </w:r>
      <w:r w:rsidR="00DB5C28" w:rsidRPr="0067437A">
        <w:rPr>
          <w:lang w:eastAsia="en-US"/>
        </w:rPr>
        <w:t xml:space="preserve">GRIPHON </w:t>
      </w:r>
      <w:r w:rsidRPr="0067437A">
        <w:rPr>
          <w:lang w:eastAsia="en-US"/>
        </w:rPr>
        <w:t>trial</w:t>
      </w:r>
      <w:r w:rsidR="0067437A">
        <w:rPr>
          <w:lang w:eastAsia="en-US"/>
        </w:rPr>
        <w:t xml:space="preserve">. </w:t>
      </w:r>
      <w:r w:rsidR="00A018F9" w:rsidRPr="0067437A">
        <w:rPr>
          <w:lang w:eastAsia="en-US"/>
        </w:rPr>
        <w:t>The resubmission did not present real life data to validate this value</w:t>
      </w:r>
      <w:r w:rsidR="00DB5C28" w:rsidRPr="0067437A">
        <w:rPr>
          <w:lang w:eastAsia="en-US"/>
        </w:rPr>
        <w:t xml:space="preserve">. A </w:t>
      </w:r>
      <w:r w:rsidR="00A018F9" w:rsidRPr="0067437A">
        <w:rPr>
          <w:lang w:eastAsia="en-US"/>
        </w:rPr>
        <w:t>US</w:t>
      </w:r>
      <w:r w:rsidR="004E3E98">
        <w:rPr>
          <w:lang w:eastAsia="en-US"/>
        </w:rPr>
        <w:t>A</w:t>
      </w:r>
      <w:r w:rsidR="00A018F9" w:rsidRPr="0067437A">
        <w:rPr>
          <w:lang w:eastAsia="en-US"/>
        </w:rPr>
        <w:t xml:space="preserve"> study </w:t>
      </w:r>
      <w:r w:rsidR="00DB5C28" w:rsidRPr="0067437A">
        <w:rPr>
          <w:lang w:eastAsia="en-US"/>
        </w:rPr>
        <w:t xml:space="preserve">(Burger et al. 2015) </w:t>
      </w:r>
      <w:r w:rsidR="00A018F9" w:rsidRPr="0067437A">
        <w:rPr>
          <w:lang w:eastAsia="en-US"/>
        </w:rPr>
        <w:t>so</w:t>
      </w:r>
      <w:r w:rsidR="00C50190" w:rsidRPr="0067437A">
        <w:rPr>
          <w:lang w:eastAsia="en-US"/>
        </w:rPr>
        <w:t xml:space="preserve">urced during the evaluation </w:t>
      </w:r>
      <w:r w:rsidR="00A018F9" w:rsidRPr="0067437A">
        <w:rPr>
          <w:lang w:eastAsia="en-US"/>
        </w:rPr>
        <w:t xml:space="preserve">reported </w:t>
      </w:r>
      <w:r w:rsidR="00DB5C28" w:rsidRPr="0067437A">
        <w:rPr>
          <w:lang w:eastAsia="en-US"/>
        </w:rPr>
        <w:t>a</w:t>
      </w:r>
      <w:r w:rsidR="004700FD" w:rsidRPr="0067437A">
        <w:rPr>
          <w:lang w:eastAsia="en-US"/>
        </w:rPr>
        <w:t xml:space="preserve"> rate of hospitalisation </w:t>
      </w:r>
      <w:r w:rsidR="00DB5C28" w:rsidRPr="0067437A">
        <w:rPr>
          <w:lang w:eastAsia="en-US"/>
        </w:rPr>
        <w:t xml:space="preserve">of 48% </w:t>
      </w:r>
      <w:r w:rsidR="004700FD" w:rsidRPr="0067437A">
        <w:rPr>
          <w:lang w:eastAsia="en-US"/>
        </w:rPr>
        <w:t xml:space="preserve">for </w:t>
      </w:r>
      <w:r w:rsidR="001C6617" w:rsidRPr="0067437A">
        <w:rPr>
          <w:lang w:eastAsia="en-US"/>
        </w:rPr>
        <w:t xml:space="preserve">WHO FC IV </w:t>
      </w:r>
      <w:r w:rsidR="004700FD" w:rsidRPr="0067437A">
        <w:rPr>
          <w:lang w:eastAsia="en-US"/>
        </w:rPr>
        <w:t>patient</w:t>
      </w:r>
      <w:r w:rsidR="00C50190" w:rsidRPr="0067437A">
        <w:rPr>
          <w:lang w:eastAsia="en-US"/>
        </w:rPr>
        <w:t>s</w:t>
      </w:r>
      <w:r w:rsidR="004700FD" w:rsidRPr="0067437A">
        <w:rPr>
          <w:lang w:eastAsia="en-US"/>
        </w:rPr>
        <w:t xml:space="preserve"> newly diagnosed with PAH</w:t>
      </w:r>
      <w:r w:rsidR="000D4F56" w:rsidRPr="0067437A">
        <w:rPr>
          <w:lang w:eastAsia="en-US"/>
        </w:rPr>
        <w:t>.</w:t>
      </w:r>
    </w:p>
    <w:p w:rsidR="00F66DD2" w:rsidRPr="0067437A" w:rsidRDefault="00F66DD2" w:rsidP="00A106A9">
      <w:pPr>
        <w:pStyle w:val="3-BodyText"/>
        <w:ind w:left="709"/>
        <w:rPr>
          <w:lang w:eastAsia="en-US"/>
        </w:rPr>
      </w:pPr>
      <w:r w:rsidRPr="0067437A">
        <w:rPr>
          <w:lang w:eastAsia="en-US"/>
        </w:rPr>
        <w:t xml:space="preserve">The model assumed the mean number of PAH-related hospitalisations per </w:t>
      </w:r>
      <w:r w:rsidR="002B43A9" w:rsidRPr="0067437A">
        <w:rPr>
          <w:lang w:eastAsia="en-US"/>
        </w:rPr>
        <w:t xml:space="preserve">patient per </w:t>
      </w:r>
      <w:r w:rsidRPr="0067437A">
        <w:rPr>
          <w:lang w:eastAsia="en-US"/>
        </w:rPr>
        <w:t xml:space="preserve">year </w:t>
      </w:r>
      <w:r w:rsidR="002B43A9" w:rsidRPr="0067437A">
        <w:rPr>
          <w:lang w:eastAsia="en-US"/>
        </w:rPr>
        <w:t xml:space="preserve">to be </w:t>
      </w:r>
      <w:r w:rsidRPr="0067437A">
        <w:rPr>
          <w:lang w:eastAsia="en-US"/>
        </w:rPr>
        <w:t>2.0, based on Hospital Episode Statistics (HEC) data in England (Beaudet et al</w:t>
      </w:r>
      <w:r w:rsidR="004E3E98">
        <w:rPr>
          <w:lang w:eastAsia="en-US"/>
        </w:rPr>
        <w:t>,</w:t>
      </w:r>
      <w:r w:rsidRPr="0067437A">
        <w:rPr>
          <w:lang w:eastAsia="en-US"/>
        </w:rPr>
        <w:t xml:space="preserve"> 2019)</w:t>
      </w:r>
      <w:r w:rsidR="0067437A">
        <w:rPr>
          <w:lang w:eastAsia="en-US"/>
        </w:rPr>
        <w:t xml:space="preserve">. </w:t>
      </w:r>
      <w:r w:rsidR="00144924" w:rsidRPr="0067437A">
        <w:rPr>
          <w:lang w:eastAsia="en-US"/>
        </w:rPr>
        <w:t>The PBAC noted that Beaudet et al 2019 reported a mean of 1.4 inpatient admissions per patient over 44.8 months or 0.375 admissions p</w:t>
      </w:r>
      <w:r w:rsidR="00144924" w:rsidRPr="00285B5F">
        <w:rPr>
          <w:lang w:eastAsia="en-US"/>
        </w:rPr>
        <w:t>er year</w:t>
      </w:r>
      <w:r w:rsidR="0067437A" w:rsidRPr="00285B5F">
        <w:rPr>
          <w:lang w:eastAsia="en-US"/>
        </w:rPr>
        <w:t>.</w:t>
      </w:r>
      <w:r w:rsidR="00285B5F" w:rsidRPr="00285B5F">
        <w:rPr>
          <w:lang w:eastAsia="en-US"/>
        </w:rPr>
        <w:t xml:space="preserve"> </w:t>
      </w:r>
      <w:r w:rsidR="00285B5F" w:rsidRPr="00285B5F">
        <w:rPr>
          <w:rFonts w:cs="Times New Roman"/>
          <w:iCs/>
          <w:lang w:eastAsia="zh-CN"/>
        </w:rPr>
        <w:t xml:space="preserve">Following the PBAC meeting it was identified that the 1.4 hospitalisation was the average per year not the average over the 44.8 month follow-up period. </w:t>
      </w:r>
      <w:r w:rsidRPr="0067437A">
        <w:rPr>
          <w:lang w:eastAsia="en-US"/>
        </w:rPr>
        <w:t xml:space="preserve">The resubmission cited a </w:t>
      </w:r>
      <w:r w:rsidRPr="0067437A">
        <w:rPr>
          <w:lang w:eastAsia="en-US"/>
        </w:rPr>
        <w:lastRenderedPageBreak/>
        <w:t>retrospective hospital database study in France (Bergot et al</w:t>
      </w:r>
      <w:r w:rsidR="004E3E98">
        <w:rPr>
          <w:lang w:eastAsia="en-US"/>
        </w:rPr>
        <w:t>,</w:t>
      </w:r>
      <w:r w:rsidRPr="0067437A">
        <w:rPr>
          <w:lang w:eastAsia="en-US"/>
        </w:rPr>
        <w:t xml:space="preserve"> 2019) to support multiple hospitalisations per year for PAH</w:t>
      </w:r>
      <w:r w:rsidR="0067437A">
        <w:rPr>
          <w:lang w:eastAsia="en-US"/>
        </w:rPr>
        <w:t xml:space="preserve">. </w:t>
      </w:r>
      <w:r w:rsidR="00144924" w:rsidRPr="0067437A">
        <w:rPr>
          <w:lang w:eastAsia="en-US"/>
        </w:rPr>
        <w:t>Bergot et al 2019 reported 3.3 hospitalisations per year; h</w:t>
      </w:r>
      <w:r w:rsidR="00E6340D" w:rsidRPr="0067437A">
        <w:rPr>
          <w:lang w:eastAsia="en-US"/>
        </w:rPr>
        <w:t>owever, approximately</w:t>
      </w:r>
      <w:r w:rsidRPr="0067437A">
        <w:rPr>
          <w:lang w:eastAsia="en-US"/>
        </w:rPr>
        <w:t xml:space="preserve"> half of the hospital stays in th</w:t>
      </w:r>
      <w:r w:rsidR="00E6340D" w:rsidRPr="0067437A">
        <w:rPr>
          <w:lang w:eastAsia="en-US"/>
        </w:rPr>
        <w:t>e</w:t>
      </w:r>
      <w:r w:rsidRPr="0067437A">
        <w:rPr>
          <w:lang w:eastAsia="en-US"/>
        </w:rPr>
        <w:t xml:space="preserve"> patient cohort were classified as monitoring stays, </w:t>
      </w:r>
      <w:r w:rsidR="004C31B0" w:rsidRPr="0067437A">
        <w:rPr>
          <w:lang w:eastAsia="en-US"/>
        </w:rPr>
        <w:t xml:space="preserve">with day admissions accounting </w:t>
      </w:r>
      <w:r w:rsidRPr="0067437A">
        <w:rPr>
          <w:lang w:eastAsia="en-US"/>
        </w:rPr>
        <w:t>for around a third of all hospitalisations</w:t>
      </w:r>
      <w:r w:rsidR="0067437A">
        <w:rPr>
          <w:lang w:eastAsia="en-US"/>
        </w:rPr>
        <w:t xml:space="preserve">. </w:t>
      </w:r>
      <w:r w:rsidR="00E6340D" w:rsidRPr="0067437A">
        <w:rPr>
          <w:lang w:eastAsia="en-US"/>
        </w:rPr>
        <w:t>T</w:t>
      </w:r>
      <w:r w:rsidRPr="0067437A">
        <w:rPr>
          <w:lang w:eastAsia="en-US"/>
        </w:rPr>
        <w:t>he model applied a single cost of $8,551 per hospitalisation</w:t>
      </w:r>
      <w:r w:rsidR="00B85C9D" w:rsidRPr="0067437A">
        <w:rPr>
          <w:lang w:eastAsia="en-US"/>
        </w:rPr>
        <w:t xml:space="preserve"> for both initial and subsequent hospitalisations</w:t>
      </w:r>
      <w:r w:rsidR="0067437A">
        <w:rPr>
          <w:lang w:eastAsia="en-US"/>
        </w:rPr>
        <w:t xml:space="preserve">. </w:t>
      </w:r>
      <w:r w:rsidRPr="0067437A">
        <w:rPr>
          <w:lang w:eastAsia="en-US"/>
        </w:rPr>
        <w:t>Th</w:t>
      </w:r>
      <w:r w:rsidR="00E6340D" w:rsidRPr="0067437A">
        <w:rPr>
          <w:lang w:eastAsia="en-US"/>
        </w:rPr>
        <w:t>e</w:t>
      </w:r>
      <w:r w:rsidRPr="0067437A">
        <w:rPr>
          <w:lang w:eastAsia="en-US"/>
        </w:rPr>
        <w:t xml:space="preserve"> hospitalisation cost was derived using </w:t>
      </w:r>
      <w:r w:rsidR="00E6340D" w:rsidRPr="0067437A">
        <w:rPr>
          <w:lang w:eastAsia="en-US"/>
        </w:rPr>
        <w:t xml:space="preserve">the </w:t>
      </w:r>
      <w:r w:rsidRPr="0067437A">
        <w:rPr>
          <w:lang w:eastAsia="en-US"/>
        </w:rPr>
        <w:t xml:space="preserve">average cost per day </w:t>
      </w:r>
      <w:r w:rsidR="004C31B0" w:rsidRPr="0067437A">
        <w:rPr>
          <w:lang w:eastAsia="en-US"/>
        </w:rPr>
        <w:t xml:space="preserve">from the National Hospital Cost Data Collection based on </w:t>
      </w:r>
      <w:r w:rsidR="004E3E98">
        <w:rPr>
          <w:lang w:eastAsia="en-US"/>
        </w:rPr>
        <w:t xml:space="preserve">Australian Refined Diagnosis Related Group </w:t>
      </w:r>
      <w:r w:rsidRPr="0067437A">
        <w:rPr>
          <w:lang w:eastAsia="en-US"/>
        </w:rPr>
        <w:t xml:space="preserve">codes mapped from pulmonary hospitalisation </w:t>
      </w:r>
      <w:r w:rsidR="004E3E98">
        <w:rPr>
          <w:lang w:eastAsia="en-US"/>
        </w:rPr>
        <w:t>International Classification of Diseases</w:t>
      </w:r>
      <w:r w:rsidRPr="0067437A">
        <w:rPr>
          <w:lang w:eastAsia="en-US"/>
        </w:rPr>
        <w:t xml:space="preserve"> codes, assuming </w:t>
      </w:r>
      <w:r w:rsidR="004C31B0" w:rsidRPr="0067437A">
        <w:rPr>
          <w:lang w:eastAsia="en-US"/>
        </w:rPr>
        <w:t xml:space="preserve">an </w:t>
      </w:r>
      <w:r w:rsidRPr="0067437A">
        <w:rPr>
          <w:lang w:eastAsia="en-US"/>
        </w:rPr>
        <w:t xml:space="preserve">average length of stay of 4.6 </w:t>
      </w:r>
      <w:r w:rsidR="00BA79B0" w:rsidRPr="0067437A">
        <w:rPr>
          <w:lang w:eastAsia="en-US"/>
        </w:rPr>
        <w:t xml:space="preserve">days for </w:t>
      </w:r>
      <w:r w:rsidRPr="0067437A">
        <w:rPr>
          <w:lang w:eastAsia="en-US"/>
        </w:rPr>
        <w:t>primary pulmonary hypertension</w:t>
      </w:r>
      <w:r w:rsidR="0067437A">
        <w:rPr>
          <w:lang w:eastAsia="en-US"/>
        </w:rPr>
        <w:t xml:space="preserve">. </w:t>
      </w:r>
      <w:r w:rsidRPr="0067437A">
        <w:rPr>
          <w:lang w:eastAsia="en-US"/>
        </w:rPr>
        <w:t xml:space="preserve"> </w:t>
      </w:r>
      <w:r w:rsidR="00BA79B0" w:rsidRPr="0067437A">
        <w:rPr>
          <w:lang w:eastAsia="en-US"/>
        </w:rPr>
        <w:t>The</w:t>
      </w:r>
      <w:r w:rsidR="00A04B7D" w:rsidRPr="0067437A">
        <w:rPr>
          <w:lang w:eastAsia="en-US"/>
        </w:rPr>
        <w:t xml:space="preserve"> </w:t>
      </w:r>
      <w:r w:rsidR="00605FBC" w:rsidRPr="0067437A">
        <w:rPr>
          <w:lang w:eastAsia="en-US"/>
        </w:rPr>
        <w:t xml:space="preserve">PBAC </w:t>
      </w:r>
      <w:r w:rsidR="00A04B7D" w:rsidRPr="0067437A">
        <w:rPr>
          <w:lang w:eastAsia="en-US"/>
        </w:rPr>
        <w:t>considered that the</w:t>
      </w:r>
      <w:r w:rsidR="00BA79B0" w:rsidRPr="0067437A">
        <w:rPr>
          <w:lang w:eastAsia="en-US"/>
        </w:rPr>
        <w:t xml:space="preserve"> </w:t>
      </w:r>
      <w:r w:rsidR="00605FBC" w:rsidRPr="0067437A">
        <w:rPr>
          <w:lang w:eastAsia="en-US"/>
        </w:rPr>
        <w:t xml:space="preserve">rate of </w:t>
      </w:r>
      <w:r w:rsidRPr="0067437A">
        <w:rPr>
          <w:lang w:eastAsia="en-US"/>
        </w:rPr>
        <w:t xml:space="preserve">hospitalisation </w:t>
      </w:r>
      <w:r w:rsidR="00605FBC" w:rsidRPr="0067437A">
        <w:rPr>
          <w:lang w:eastAsia="en-US"/>
        </w:rPr>
        <w:t>was</w:t>
      </w:r>
      <w:r w:rsidRPr="0067437A">
        <w:rPr>
          <w:lang w:eastAsia="en-US"/>
        </w:rPr>
        <w:t xml:space="preserve"> overestimate</w:t>
      </w:r>
      <w:r w:rsidR="00E6340D" w:rsidRPr="0067437A">
        <w:rPr>
          <w:lang w:eastAsia="en-US"/>
        </w:rPr>
        <w:t>d</w:t>
      </w:r>
      <w:r w:rsidR="00B85C9D" w:rsidRPr="0067437A">
        <w:rPr>
          <w:lang w:eastAsia="en-US"/>
        </w:rPr>
        <w:t xml:space="preserve"> </w:t>
      </w:r>
      <w:r w:rsidR="00605FBC" w:rsidRPr="0067437A">
        <w:rPr>
          <w:lang w:eastAsia="en-US"/>
        </w:rPr>
        <w:t>and should not</w:t>
      </w:r>
      <w:r w:rsidR="00B85C9D" w:rsidRPr="0067437A">
        <w:rPr>
          <w:lang w:eastAsia="en-US"/>
        </w:rPr>
        <w:t xml:space="preserve"> include day admissions</w:t>
      </w:r>
      <w:r w:rsidR="00103E0D" w:rsidRPr="0067437A">
        <w:rPr>
          <w:lang w:eastAsia="en-US"/>
        </w:rPr>
        <w:t>/outpatient visits</w:t>
      </w:r>
      <w:r w:rsidR="00B85C9D" w:rsidRPr="0067437A">
        <w:rPr>
          <w:lang w:eastAsia="en-US"/>
        </w:rPr>
        <w:t xml:space="preserve"> for monitoring</w:t>
      </w:r>
      <w:r w:rsidR="00E83615" w:rsidRPr="0067437A">
        <w:rPr>
          <w:lang w:eastAsia="en-US"/>
        </w:rPr>
        <w:t xml:space="preserve"> or supervised medication changes</w:t>
      </w:r>
      <w:r w:rsidR="00E6340D" w:rsidRPr="0067437A">
        <w:rPr>
          <w:lang w:eastAsia="en-US"/>
        </w:rPr>
        <w:t>.</w:t>
      </w:r>
      <w:r w:rsidR="00605FBC" w:rsidRPr="0067437A">
        <w:rPr>
          <w:lang w:eastAsia="en-US"/>
        </w:rPr>
        <w:t xml:space="preserve"> </w:t>
      </w:r>
      <w:r w:rsidR="006F4153">
        <w:rPr>
          <w:lang w:eastAsia="en-US"/>
        </w:rPr>
        <w:t xml:space="preserve">The PBAC considered a more reasonable estimate to be 0.375 admissions per year. </w:t>
      </w:r>
      <w:r w:rsidR="00605FBC" w:rsidRPr="0067437A">
        <w:rPr>
          <w:lang w:eastAsia="en-US"/>
        </w:rPr>
        <w:t xml:space="preserve">The PBAC </w:t>
      </w:r>
      <w:r w:rsidR="00037A67">
        <w:rPr>
          <w:lang w:eastAsia="en-US"/>
        </w:rPr>
        <w:t xml:space="preserve">also </w:t>
      </w:r>
      <w:r w:rsidR="00605FBC" w:rsidRPr="0067437A">
        <w:rPr>
          <w:lang w:eastAsia="en-US"/>
        </w:rPr>
        <w:t xml:space="preserve">considered that the cost of hospitalisation </w:t>
      </w:r>
      <w:r w:rsidR="003036A4">
        <w:rPr>
          <w:lang w:eastAsia="en-US"/>
        </w:rPr>
        <w:t xml:space="preserve">may </w:t>
      </w:r>
      <w:r w:rsidR="006F4153">
        <w:rPr>
          <w:lang w:eastAsia="en-US"/>
        </w:rPr>
        <w:t xml:space="preserve">have been </w:t>
      </w:r>
      <w:r w:rsidR="00605FBC" w:rsidRPr="0067437A">
        <w:rPr>
          <w:lang w:eastAsia="en-US"/>
        </w:rPr>
        <w:t>underestimated</w:t>
      </w:r>
      <w:r w:rsidR="00037A67">
        <w:rPr>
          <w:lang w:eastAsia="en-US"/>
        </w:rPr>
        <w:t xml:space="preserve"> for those hospitalisation events where IV epoprostenol was initiated</w:t>
      </w:r>
      <w:r w:rsidR="00605FBC" w:rsidRPr="0067437A">
        <w:rPr>
          <w:lang w:eastAsia="en-US"/>
        </w:rPr>
        <w:t>, as patients c</w:t>
      </w:r>
      <w:r w:rsidR="00037A67">
        <w:rPr>
          <w:lang w:eastAsia="en-US"/>
        </w:rPr>
        <w:t>ould</w:t>
      </w:r>
      <w:r w:rsidR="00605FBC" w:rsidRPr="0067437A">
        <w:rPr>
          <w:lang w:eastAsia="en-US"/>
        </w:rPr>
        <w:t xml:space="preserve"> be admitted for </w:t>
      </w:r>
      <w:r w:rsidR="00037A67">
        <w:rPr>
          <w:lang w:eastAsia="en-US"/>
        </w:rPr>
        <w:t>longer periods of time</w:t>
      </w:r>
      <w:r w:rsidR="00A63DE1">
        <w:rPr>
          <w:lang w:eastAsia="en-US"/>
        </w:rPr>
        <w:t xml:space="preserve"> at the commencement of IV </w:t>
      </w:r>
      <w:r w:rsidR="00037A67">
        <w:rPr>
          <w:lang w:eastAsia="en-US"/>
        </w:rPr>
        <w:t>therapy</w:t>
      </w:r>
      <w:r w:rsidR="00605FBC" w:rsidRPr="0067437A">
        <w:rPr>
          <w:lang w:eastAsia="en-US"/>
        </w:rPr>
        <w:t>.</w:t>
      </w:r>
    </w:p>
    <w:p w:rsidR="000D4F56" w:rsidRPr="0067437A" w:rsidRDefault="000D4F56" w:rsidP="000D4F56">
      <w:pPr>
        <w:pStyle w:val="3-BodyText"/>
        <w:ind w:left="709"/>
        <w:rPr>
          <w:lang w:eastAsia="en-US"/>
        </w:rPr>
      </w:pPr>
      <w:r w:rsidRPr="0067437A">
        <w:rPr>
          <w:lang w:eastAsia="en-US"/>
        </w:rPr>
        <w:t>Other healthcare costs in the model include (i) drug cost for selexipag, (ii) costs of background PAH therapies (ERA and PDE-5</w:t>
      </w:r>
      <w:r w:rsidR="009155BE">
        <w:rPr>
          <w:lang w:eastAsia="en-US"/>
        </w:rPr>
        <w:t>i</w:t>
      </w:r>
      <w:r w:rsidRPr="0067437A">
        <w:rPr>
          <w:lang w:eastAsia="en-US"/>
        </w:rPr>
        <w:t xml:space="preserve">), (iii) costs of subsequent PAH therapies i.e. </w:t>
      </w:r>
      <w:r w:rsidR="00AE4F71" w:rsidRPr="0067437A">
        <w:rPr>
          <w:lang w:eastAsia="en-US"/>
        </w:rPr>
        <w:t xml:space="preserve">IV </w:t>
      </w:r>
      <w:r w:rsidRPr="0067437A">
        <w:rPr>
          <w:lang w:eastAsia="en-US"/>
        </w:rPr>
        <w:t xml:space="preserve">epoprostenol, (iv) PAH disease management costs by health states, (v) costs of morbidity events (with and without hospitalisation), (vi) mortality event/death cost and (vii) costs of severe </w:t>
      </w:r>
      <w:r w:rsidR="004E3E98">
        <w:rPr>
          <w:lang w:eastAsia="en-US"/>
        </w:rPr>
        <w:t>adverse event</w:t>
      </w:r>
      <w:r w:rsidRPr="0067437A">
        <w:rPr>
          <w:lang w:eastAsia="en-US"/>
        </w:rPr>
        <w:t>s.</w:t>
      </w:r>
      <w:r w:rsidR="00C71DC1" w:rsidRPr="0067437A">
        <w:rPr>
          <w:lang w:eastAsia="en-US"/>
        </w:rPr>
        <w:t xml:space="preserve"> </w:t>
      </w:r>
    </w:p>
    <w:p w:rsidR="0011107F" w:rsidRPr="0067437A" w:rsidRDefault="0011107F" w:rsidP="00C17461">
      <w:pPr>
        <w:pStyle w:val="3-BodyText"/>
        <w:ind w:left="709"/>
        <w:rPr>
          <w:lang w:eastAsia="en-US"/>
        </w:rPr>
      </w:pPr>
      <w:r w:rsidRPr="0067437A">
        <w:rPr>
          <w:lang w:eastAsia="en-US"/>
        </w:rPr>
        <w:t>Selexipag drug cost</w:t>
      </w:r>
      <w:r w:rsidR="00E6340D" w:rsidRPr="0067437A">
        <w:rPr>
          <w:lang w:eastAsia="en-US"/>
        </w:rPr>
        <w:t>s</w:t>
      </w:r>
      <w:r w:rsidR="0078561B" w:rsidRPr="0067437A">
        <w:rPr>
          <w:lang w:eastAsia="en-US"/>
        </w:rPr>
        <w:t xml:space="preserve"> were estimated based on dosages in the GRIPHON trial</w:t>
      </w:r>
      <w:r w:rsidR="00A04B7D" w:rsidRPr="0067437A">
        <w:rPr>
          <w:lang w:eastAsia="en-US"/>
        </w:rPr>
        <w:t>.</w:t>
      </w:r>
      <w:r w:rsidR="0078561B" w:rsidRPr="0067437A">
        <w:rPr>
          <w:lang w:eastAsia="en-US"/>
        </w:rPr>
        <w:t xml:space="preserve"> </w:t>
      </w:r>
      <w:r w:rsidR="001E01FF" w:rsidRPr="0067437A">
        <w:rPr>
          <w:lang w:eastAsia="en-US"/>
        </w:rPr>
        <w:t>For titration, t</w:t>
      </w:r>
      <w:r w:rsidRPr="0067437A">
        <w:rPr>
          <w:lang w:eastAsia="en-US"/>
        </w:rPr>
        <w:t>he resubmission estimated an average utilisation of 1.65 packs (maximum 2 packs) of the 200</w:t>
      </w:r>
      <w:r w:rsidR="001E01FF" w:rsidRPr="0067437A">
        <w:rPr>
          <w:lang w:eastAsia="en-US"/>
        </w:rPr>
        <w:t xml:space="preserve"> </w:t>
      </w:r>
      <w:r w:rsidRPr="0067437A">
        <w:rPr>
          <w:lang w:eastAsia="en-US"/>
        </w:rPr>
        <w:t>mcg</w:t>
      </w:r>
      <w:r w:rsidR="001E01FF" w:rsidRPr="0067437A">
        <w:rPr>
          <w:lang w:eastAsia="en-US"/>
        </w:rPr>
        <w:t xml:space="preserve"> </w:t>
      </w:r>
      <w:r w:rsidRPr="0067437A">
        <w:rPr>
          <w:lang w:eastAsia="en-US"/>
        </w:rPr>
        <w:t>x</w:t>
      </w:r>
      <w:r w:rsidR="001E01FF" w:rsidRPr="0067437A">
        <w:rPr>
          <w:lang w:eastAsia="en-US"/>
        </w:rPr>
        <w:t xml:space="preserve"> </w:t>
      </w:r>
      <w:r w:rsidRPr="0067437A">
        <w:rPr>
          <w:lang w:eastAsia="en-US"/>
        </w:rPr>
        <w:t>140 tablets initia</w:t>
      </w:r>
      <w:r w:rsidR="000C50E1" w:rsidRPr="0067437A">
        <w:rPr>
          <w:lang w:eastAsia="en-US"/>
        </w:rPr>
        <w:t>tion</w:t>
      </w:r>
      <w:r w:rsidRPr="0067437A">
        <w:rPr>
          <w:lang w:eastAsia="en-US"/>
        </w:rPr>
        <w:t xml:space="preserve"> pack and 0.65 packs of the 800</w:t>
      </w:r>
      <w:r w:rsidR="001E01FF" w:rsidRPr="0067437A">
        <w:rPr>
          <w:lang w:eastAsia="en-US"/>
        </w:rPr>
        <w:t xml:space="preserve"> </w:t>
      </w:r>
      <w:r w:rsidRPr="0067437A">
        <w:rPr>
          <w:lang w:eastAsia="en-US"/>
        </w:rPr>
        <w:t xml:space="preserve">mcg </w:t>
      </w:r>
      <w:r w:rsidR="001E01FF" w:rsidRPr="0067437A">
        <w:rPr>
          <w:lang w:eastAsia="en-US"/>
        </w:rPr>
        <w:t xml:space="preserve">initiation </w:t>
      </w:r>
      <w:r w:rsidRPr="0067437A">
        <w:rPr>
          <w:lang w:eastAsia="en-US"/>
        </w:rPr>
        <w:t>pack</w:t>
      </w:r>
      <w:r w:rsidR="0067437A">
        <w:rPr>
          <w:lang w:eastAsia="en-US"/>
        </w:rPr>
        <w:t xml:space="preserve">. </w:t>
      </w:r>
      <w:r w:rsidRPr="0067437A">
        <w:rPr>
          <w:lang w:eastAsia="en-US"/>
        </w:rPr>
        <w:t xml:space="preserve"> </w:t>
      </w:r>
    </w:p>
    <w:p w:rsidR="00A3361B" w:rsidRPr="0067437A" w:rsidRDefault="00B22269" w:rsidP="00953C46">
      <w:pPr>
        <w:pStyle w:val="3-BodyText"/>
        <w:ind w:left="709"/>
        <w:rPr>
          <w:iCs/>
          <w:lang w:eastAsia="en-US"/>
        </w:rPr>
      </w:pPr>
      <w:r w:rsidRPr="0067437A">
        <w:t>Although the time horizon was 20 years, t</w:t>
      </w:r>
      <w:r w:rsidR="00F66DD2" w:rsidRPr="0067437A">
        <w:t xml:space="preserve">he model </w:t>
      </w:r>
      <w:r w:rsidR="00034DC2" w:rsidRPr="0067437A">
        <w:t xml:space="preserve">only demonstrated </w:t>
      </w:r>
      <w:r w:rsidR="00F66DD2" w:rsidRPr="0067437A">
        <w:t xml:space="preserve">minimal sensitivity to </w:t>
      </w:r>
      <w:r w:rsidR="00034DC2" w:rsidRPr="0067437A">
        <w:t>extension</w:t>
      </w:r>
      <w:r w:rsidR="001E6994" w:rsidRPr="0067437A">
        <w:t>s of</w:t>
      </w:r>
      <w:r w:rsidR="00034DC2" w:rsidRPr="0067437A">
        <w:t xml:space="preserve"> </w:t>
      </w:r>
      <w:r w:rsidR="00323385" w:rsidRPr="0067437A">
        <w:t xml:space="preserve">the </w:t>
      </w:r>
      <w:r w:rsidR="00F66DD2" w:rsidRPr="0067437A">
        <w:t xml:space="preserve">time horizon beyond 10 years </w:t>
      </w:r>
      <w:r w:rsidR="001E6994" w:rsidRPr="0067437A">
        <w:t xml:space="preserve">(ICERs </w:t>
      </w:r>
      <w:r w:rsidR="00A04B7D" w:rsidRPr="0067437A">
        <w:t xml:space="preserve">of </w:t>
      </w:r>
      <w:r w:rsidR="001E6994" w:rsidRPr="0067437A">
        <w:t>$</w:t>
      </w:r>
      <w:r w:rsidR="00141C18">
        <w:t>45,000 t</w:t>
      </w:r>
      <w:r w:rsidR="00BF4A71">
        <w:t xml:space="preserve">o </w:t>
      </w:r>
      <w:r w:rsidR="00141C18">
        <w:t>$</w:t>
      </w:r>
      <w:r w:rsidR="00BF4A71">
        <w:t>7</w:t>
      </w:r>
      <w:r w:rsidR="00141C18">
        <w:t>5,000</w:t>
      </w:r>
      <w:r w:rsidR="001E6994" w:rsidRPr="0067437A">
        <w:t>, $</w:t>
      </w:r>
      <w:r w:rsidR="00141C18">
        <w:t>45,000 to $</w:t>
      </w:r>
      <w:r w:rsidR="00BF4A71">
        <w:t>7</w:t>
      </w:r>
      <w:r w:rsidR="00141C18">
        <w:t>5,000</w:t>
      </w:r>
      <w:r w:rsidR="001E6994" w:rsidRPr="0067437A">
        <w:t>, and $</w:t>
      </w:r>
      <w:r w:rsidR="00141C18">
        <w:t>45,000 to $</w:t>
      </w:r>
      <w:r w:rsidR="00BF4A71">
        <w:t>7</w:t>
      </w:r>
      <w:r w:rsidR="00141C18">
        <w:t>5,000</w:t>
      </w:r>
      <w:r w:rsidR="001E6994" w:rsidRPr="0067437A">
        <w:t xml:space="preserve"> </w:t>
      </w:r>
      <w:r w:rsidR="00A04B7D" w:rsidRPr="0067437A">
        <w:t>per QALY at</w:t>
      </w:r>
      <w:r w:rsidR="001E6994" w:rsidRPr="0067437A">
        <w:t xml:space="preserve"> 10, 15</w:t>
      </w:r>
      <w:r w:rsidRPr="0067437A">
        <w:t xml:space="preserve"> </w:t>
      </w:r>
      <w:r w:rsidR="001E6994" w:rsidRPr="0067437A">
        <w:t xml:space="preserve">and 25 years respectively) </w:t>
      </w:r>
      <w:r w:rsidR="00F66DD2" w:rsidRPr="0067437A">
        <w:t xml:space="preserve">but was more sensitive when </w:t>
      </w:r>
      <w:r w:rsidR="00323385" w:rsidRPr="0067437A">
        <w:t xml:space="preserve">the </w:t>
      </w:r>
      <w:r w:rsidR="00F66DD2" w:rsidRPr="0067437A">
        <w:t>time horizon was reduced to less than 10 years</w:t>
      </w:r>
      <w:r w:rsidR="001E6994" w:rsidRPr="0067437A">
        <w:t xml:space="preserve"> (ICERs </w:t>
      </w:r>
      <w:r w:rsidR="00A04B7D" w:rsidRPr="0067437A">
        <w:t xml:space="preserve">of </w:t>
      </w:r>
      <w:r w:rsidR="001E6994" w:rsidRPr="0067437A">
        <w:t>$</w:t>
      </w:r>
      <w:r w:rsidR="00BF4A71">
        <w:t>4</w:t>
      </w:r>
      <w:r w:rsidR="00141C18">
        <w:t>5,000 to $75,000</w:t>
      </w:r>
      <w:r w:rsidR="001E6994" w:rsidRPr="0067437A">
        <w:t xml:space="preserve"> and $</w:t>
      </w:r>
      <w:r w:rsidR="00141C18">
        <w:t>75,000 to $</w:t>
      </w:r>
      <w:r w:rsidR="00BF4A71">
        <w:t>10</w:t>
      </w:r>
      <w:r w:rsidR="00141C18">
        <w:t>5,000</w:t>
      </w:r>
      <w:r w:rsidR="001E6994" w:rsidRPr="0067437A">
        <w:t xml:space="preserve"> </w:t>
      </w:r>
      <w:r w:rsidR="00A04B7D" w:rsidRPr="0067437A">
        <w:t xml:space="preserve">per QALY </w:t>
      </w:r>
      <w:r w:rsidR="001E6994" w:rsidRPr="0067437A">
        <w:t>at 7 and 5 years)</w:t>
      </w:r>
      <w:r w:rsidR="0067437A">
        <w:t xml:space="preserve">. </w:t>
      </w:r>
      <w:r w:rsidR="00C86A3B" w:rsidRPr="0067437A">
        <w:t>As evide</w:t>
      </w:r>
      <w:r w:rsidR="00CA2F22" w:rsidRPr="0067437A">
        <w:t>nt in the Markov trace (Figure 3</w:t>
      </w:r>
      <w:r w:rsidR="00C86A3B" w:rsidRPr="0067437A">
        <w:t xml:space="preserve">), </w:t>
      </w:r>
      <w:r w:rsidR="00B0340D" w:rsidRPr="0067437A">
        <w:t xml:space="preserve">this is because </w:t>
      </w:r>
      <w:r w:rsidR="00C86A3B" w:rsidRPr="0067437A">
        <w:t xml:space="preserve">by 10 years, </w:t>
      </w:r>
      <w:r w:rsidR="00F66DD2" w:rsidRPr="0067437A">
        <w:t xml:space="preserve">most patients in the model had transitioned into the Progressed </w:t>
      </w:r>
      <w:r w:rsidR="00B0340D" w:rsidRPr="0067437A">
        <w:t xml:space="preserve">PAH </w:t>
      </w:r>
      <w:r w:rsidR="00F66DD2" w:rsidRPr="0067437A">
        <w:t xml:space="preserve">health state, which </w:t>
      </w:r>
      <w:r w:rsidR="007D7BC9" w:rsidRPr="0067437A">
        <w:t xml:space="preserve">is </w:t>
      </w:r>
      <w:r w:rsidR="000D4174" w:rsidRPr="0067437A">
        <w:t xml:space="preserve">a </w:t>
      </w:r>
      <w:r w:rsidR="007D7BC9" w:rsidRPr="0067437A">
        <w:t xml:space="preserve">key </w:t>
      </w:r>
      <w:r w:rsidR="00F66DD2" w:rsidRPr="0067437A">
        <w:t>driver of the model.</w:t>
      </w:r>
      <w:r w:rsidR="001E6994" w:rsidRPr="0067437A">
        <w:t xml:space="preserve"> </w:t>
      </w:r>
    </w:p>
    <w:p w:rsidR="00953C46" w:rsidRPr="0067437A" w:rsidRDefault="00953C46" w:rsidP="00953C46">
      <w:pPr>
        <w:pStyle w:val="3-BodyText"/>
        <w:ind w:left="709"/>
        <w:rPr>
          <w:iCs/>
          <w:lang w:eastAsia="en-US"/>
        </w:rPr>
      </w:pPr>
      <w:r w:rsidRPr="0067437A">
        <w:rPr>
          <w:lang w:eastAsia="en-US"/>
        </w:rPr>
        <w:t>Table</w:t>
      </w:r>
      <w:r w:rsidR="00A3361B" w:rsidRPr="0067437A">
        <w:rPr>
          <w:lang w:eastAsia="en-US"/>
        </w:rPr>
        <w:t>s</w:t>
      </w:r>
      <w:r w:rsidR="0007076D">
        <w:rPr>
          <w:lang w:eastAsia="en-US"/>
        </w:rPr>
        <w:t xml:space="preserve"> 10 and 11</w:t>
      </w:r>
      <w:r w:rsidRPr="0067437A">
        <w:rPr>
          <w:lang w:eastAsia="en-US"/>
        </w:rPr>
        <w:t xml:space="preserve"> summarise the disaggregated healthcare resource item</w:t>
      </w:r>
      <w:r w:rsidR="00A3361B" w:rsidRPr="0067437A">
        <w:rPr>
          <w:lang w:eastAsia="en-US"/>
        </w:rPr>
        <w:t xml:space="preserve"> cost</w:t>
      </w:r>
      <w:r w:rsidRPr="0067437A">
        <w:rPr>
          <w:lang w:eastAsia="en-US"/>
        </w:rPr>
        <w:t xml:space="preserve">s and health outcomes from the </w:t>
      </w:r>
      <w:r w:rsidR="00E727C5" w:rsidRPr="0067437A">
        <w:rPr>
          <w:lang w:eastAsia="en-US"/>
        </w:rPr>
        <w:t xml:space="preserve">modelled economic evaluation. Incremental </w:t>
      </w:r>
      <w:r w:rsidR="00E727C5" w:rsidRPr="0067437A">
        <w:rPr>
          <w:iCs/>
          <w:lang w:eastAsia="en-US"/>
        </w:rPr>
        <w:t>cost</w:t>
      </w:r>
      <w:r w:rsidR="00866B04" w:rsidRPr="0067437A">
        <w:rPr>
          <w:iCs/>
          <w:lang w:eastAsia="en-US"/>
        </w:rPr>
        <w:t>s</w:t>
      </w:r>
      <w:r w:rsidR="00E727C5" w:rsidRPr="0067437A">
        <w:rPr>
          <w:iCs/>
          <w:lang w:eastAsia="en-US"/>
        </w:rPr>
        <w:t xml:space="preserve"> </w:t>
      </w:r>
      <w:r w:rsidR="0087579E" w:rsidRPr="0067437A">
        <w:rPr>
          <w:iCs/>
          <w:lang w:eastAsia="en-US"/>
        </w:rPr>
        <w:t xml:space="preserve">associated with selexipag versus placebo </w:t>
      </w:r>
      <w:r w:rsidR="00E727C5" w:rsidRPr="0067437A">
        <w:rPr>
          <w:iCs/>
          <w:lang w:eastAsia="en-US"/>
        </w:rPr>
        <w:t xml:space="preserve">were driven by </w:t>
      </w:r>
      <w:r w:rsidR="00A3361B" w:rsidRPr="0067437A">
        <w:rPr>
          <w:iCs/>
          <w:lang w:eastAsia="en-US"/>
        </w:rPr>
        <w:t>the cost of</w:t>
      </w:r>
      <w:r w:rsidR="0087579E" w:rsidRPr="0067437A">
        <w:rPr>
          <w:iCs/>
          <w:lang w:eastAsia="en-US"/>
        </w:rPr>
        <w:t xml:space="preserve"> </w:t>
      </w:r>
      <w:r w:rsidRPr="0067437A">
        <w:rPr>
          <w:iCs/>
          <w:lang w:eastAsia="en-US"/>
        </w:rPr>
        <w:t>selexipag</w:t>
      </w:r>
      <w:r w:rsidR="0067437A">
        <w:rPr>
          <w:iCs/>
          <w:lang w:eastAsia="en-US"/>
        </w:rPr>
        <w:t xml:space="preserve">. </w:t>
      </w:r>
      <w:r w:rsidRPr="0067437A">
        <w:rPr>
          <w:iCs/>
          <w:lang w:eastAsia="en-US"/>
        </w:rPr>
        <w:t xml:space="preserve">The largest cost offsets were associated with disease progression, especially </w:t>
      </w:r>
      <w:r w:rsidR="00A3361B" w:rsidRPr="0067437A">
        <w:rPr>
          <w:iCs/>
          <w:lang w:eastAsia="en-US"/>
        </w:rPr>
        <w:t xml:space="preserve">the </w:t>
      </w:r>
      <w:r w:rsidRPr="0067437A">
        <w:rPr>
          <w:iCs/>
          <w:lang w:eastAsia="en-US"/>
        </w:rPr>
        <w:t xml:space="preserve">cost of </w:t>
      </w:r>
      <w:r w:rsidR="0087579E" w:rsidRPr="0067437A">
        <w:rPr>
          <w:iCs/>
          <w:lang w:eastAsia="en-US"/>
        </w:rPr>
        <w:t xml:space="preserve">IV </w:t>
      </w:r>
      <w:r w:rsidRPr="0067437A">
        <w:rPr>
          <w:iCs/>
          <w:lang w:eastAsia="en-US"/>
        </w:rPr>
        <w:t>epoprostenol</w:t>
      </w:r>
      <w:r w:rsidR="0087579E" w:rsidRPr="0067437A">
        <w:rPr>
          <w:iCs/>
          <w:lang w:eastAsia="en-US"/>
        </w:rPr>
        <w:t xml:space="preserve"> (including administration</w:t>
      </w:r>
      <w:r w:rsidR="00A3361B" w:rsidRPr="0067437A">
        <w:rPr>
          <w:iCs/>
          <w:lang w:eastAsia="en-US"/>
        </w:rPr>
        <w:t xml:space="preserve"> costs</w:t>
      </w:r>
      <w:r w:rsidR="0087579E" w:rsidRPr="0067437A">
        <w:rPr>
          <w:iCs/>
          <w:lang w:eastAsia="en-US"/>
        </w:rPr>
        <w:t>)</w:t>
      </w:r>
      <w:r w:rsidRPr="0067437A">
        <w:rPr>
          <w:iCs/>
          <w:lang w:eastAsia="en-US"/>
        </w:rPr>
        <w:t xml:space="preserve">, </w:t>
      </w:r>
      <w:r w:rsidR="00A3361B" w:rsidRPr="0067437A">
        <w:rPr>
          <w:iCs/>
          <w:lang w:eastAsia="en-US"/>
        </w:rPr>
        <w:t xml:space="preserve">and </w:t>
      </w:r>
      <w:r w:rsidRPr="0067437A">
        <w:rPr>
          <w:iCs/>
          <w:lang w:eastAsia="en-US"/>
        </w:rPr>
        <w:t xml:space="preserve">hospitalisation </w:t>
      </w:r>
      <w:r w:rsidR="000977A8" w:rsidRPr="0067437A">
        <w:rPr>
          <w:iCs/>
          <w:lang w:eastAsia="en-US"/>
        </w:rPr>
        <w:t xml:space="preserve">for </w:t>
      </w:r>
      <w:r w:rsidRPr="0067437A">
        <w:rPr>
          <w:iCs/>
          <w:lang w:eastAsia="en-US"/>
        </w:rPr>
        <w:t>morbidity events</w:t>
      </w:r>
      <w:r w:rsidR="0067437A">
        <w:rPr>
          <w:iCs/>
          <w:lang w:eastAsia="en-US"/>
        </w:rPr>
        <w:t xml:space="preserve">. </w:t>
      </w:r>
      <w:r w:rsidR="00A3361B" w:rsidRPr="0067437A">
        <w:rPr>
          <w:iCs/>
        </w:rPr>
        <w:t>P</w:t>
      </w:r>
      <w:r w:rsidRPr="0067437A">
        <w:rPr>
          <w:iCs/>
        </w:rPr>
        <w:t xml:space="preserve">atients in the selexipag arm spent more time in the Stable PAH and Improved PAH health states and less time in the Progressed PAH health state compared to the </w:t>
      </w:r>
      <w:r w:rsidRPr="0067437A">
        <w:rPr>
          <w:iCs/>
        </w:rPr>
        <w:lastRenderedPageBreak/>
        <w:t>placebo arm</w:t>
      </w:r>
      <w:r w:rsidR="0067437A">
        <w:rPr>
          <w:iCs/>
        </w:rPr>
        <w:t xml:space="preserve">. </w:t>
      </w:r>
      <w:r w:rsidRPr="0067437A">
        <w:rPr>
          <w:iCs/>
        </w:rPr>
        <w:t xml:space="preserve">The ICER was sensitive to progression rates and </w:t>
      </w:r>
      <w:r w:rsidR="00A3361B" w:rsidRPr="0067437A">
        <w:rPr>
          <w:iCs/>
        </w:rPr>
        <w:t xml:space="preserve">the </w:t>
      </w:r>
      <w:r w:rsidRPr="0067437A">
        <w:rPr>
          <w:iCs/>
        </w:rPr>
        <w:t>proportion of progressed patients receiving IV epopr</w:t>
      </w:r>
      <w:r w:rsidR="008E758D" w:rsidRPr="0067437A">
        <w:rPr>
          <w:iCs/>
        </w:rPr>
        <w:t>o</w:t>
      </w:r>
      <w:r w:rsidRPr="0067437A">
        <w:rPr>
          <w:iCs/>
        </w:rPr>
        <w:t>stenol.</w:t>
      </w:r>
    </w:p>
    <w:p w:rsidR="00953C46" w:rsidRPr="0067437A" w:rsidRDefault="0007076D" w:rsidP="00A3361B">
      <w:pPr>
        <w:pStyle w:val="3-BodyText"/>
        <w:keepNext/>
        <w:keepLines/>
        <w:numPr>
          <w:ilvl w:val="0"/>
          <w:numId w:val="0"/>
        </w:numPr>
        <w:spacing w:after="60"/>
        <w:rPr>
          <w:rStyle w:val="CommentReference"/>
          <w:szCs w:val="24"/>
        </w:rPr>
      </w:pPr>
      <w:r>
        <w:rPr>
          <w:rStyle w:val="CommentReference"/>
          <w:szCs w:val="24"/>
        </w:rPr>
        <w:t>Table 10</w:t>
      </w:r>
      <w:r w:rsidR="00640EF2" w:rsidRPr="0067437A">
        <w:rPr>
          <w:rStyle w:val="CommentReference"/>
          <w:szCs w:val="24"/>
        </w:rPr>
        <w:t>: Health care resource items: disaggregated summary of cost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14"/>
        <w:gridCol w:w="1559"/>
        <w:gridCol w:w="1418"/>
        <w:gridCol w:w="1417"/>
        <w:gridCol w:w="1509"/>
      </w:tblGrid>
      <w:tr w:rsidR="00953C46" w:rsidRPr="0067437A" w:rsidTr="00A3361B">
        <w:trPr>
          <w:tblHeader/>
        </w:trPr>
        <w:tc>
          <w:tcPr>
            <w:tcW w:w="3114" w:type="dxa"/>
            <w:vAlign w:val="center"/>
          </w:tcPr>
          <w:p w:rsidR="00953C46" w:rsidRPr="0067437A" w:rsidRDefault="00953C46" w:rsidP="00A3361B">
            <w:pPr>
              <w:pStyle w:val="In-tableHeading"/>
              <w:rPr>
                <w:lang w:val="en-AU"/>
              </w:rPr>
            </w:pPr>
            <w:r w:rsidRPr="0067437A">
              <w:rPr>
                <w:lang w:val="en-AU"/>
              </w:rPr>
              <w:t>Resource item</w:t>
            </w:r>
          </w:p>
        </w:tc>
        <w:tc>
          <w:tcPr>
            <w:tcW w:w="1559" w:type="dxa"/>
            <w:vAlign w:val="center"/>
          </w:tcPr>
          <w:p w:rsidR="00953C46" w:rsidRPr="0067437A" w:rsidRDefault="00A3361B" w:rsidP="00A3361B">
            <w:pPr>
              <w:pStyle w:val="In-tableHeading"/>
              <w:jc w:val="center"/>
              <w:rPr>
                <w:lang w:val="en-AU"/>
              </w:rPr>
            </w:pPr>
            <w:r w:rsidRPr="0067437A">
              <w:rPr>
                <w:lang w:val="en-AU"/>
              </w:rPr>
              <w:t>Selexipag arm</w:t>
            </w:r>
          </w:p>
        </w:tc>
        <w:tc>
          <w:tcPr>
            <w:tcW w:w="1418" w:type="dxa"/>
            <w:vAlign w:val="center"/>
          </w:tcPr>
          <w:p w:rsidR="00953C46" w:rsidRPr="0067437A" w:rsidRDefault="00953C46" w:rsidP="00A3361B">
            <w:pPr>
              <w:pStyle w:val="In-tableHeading"/>
              <w:jc w:val="center"/>
              <w:rPr>
                <w:lang w:val="en-AU"/>
              </w:rPr>
            </w:pPr>
            <w:r w:rsidRPr="0067437A">
              <w:rPr>
                <w:lang w:val="en-AU"/>
              </w:rPr>
              <w:t xml:space="preserve">Placebo </w:t>
            </w:r>
            <w:r w:rsidR="00A3361B" w:rsidRPr="0067437A">
              <w:rPr>
                <w:lang w:val="en-AU"/>
              </w:rPr>
              <w:t>arm</w:t>
            </w:r>
          </w:p>
        </w:tc>
        <w:tc>
          <w:tcPr>
            <w:tcW w:w="1417" w:type="dxa"/>
            <w:vAlign w:val="center"/>
          </w:tcPr>
          <w:p w:rsidR="00953C46" w:rsidRPr="0067437A" w:rsidRDefault="00953C46" w:rsidP="00A3361B">
            <w:pPr>
              <w:pStyle w:val="In-tableHeading"/>
              <w:jc w:val="center"/>
              <w:rPr>
                <w:lang w:val="en-AU"/>
              </w:rPr>
            </w:pPr>
            <w:r w:rsidRPr="0067437A">
              <w:rPr>
                <w:lang w:val="en-AU"/>
              </w:rPr>
              <w:t>Incremental cost</w:t>
            </w:r>
          </w:p>
        </w:tc>
        <w:tc>
          <w:tcPr>
            <w:tcW w:w="1509" w:type="dxa"/>
            <w:vAlign w:val="center"/>
          </w:tcPr>
          <w:p w:rsidR="00953C46" w:rsidRPr="0067437A" w:rsidRDefault="00953C46" w:rsidP="00A3361B">
            <w:pPr>
              <w:pStyle w:val="In-tableHeading"/>
              <w:jc w:val="center"/>
              <w:rPr>
                <w:lang w:val="en-AU"/>
              </w:rPr>
            </w:pPr>
            <w:r w:rsidRPr="0067437A">
              <w:rPr>
                <w:lang w:val="en-AU"/>
              </w:rPr>
              <w:t>% of total incremental cost</w:t>
            </w:r>
          </w:p>
        </w:tc>
      </w:tr>
      <w:tr w:rsidR="00953C46" w:rsidRPr="0067437A" w:rsidTr="00A3361B">
        <w:tc>
          <w:tcPr>
            <w:tcW w:w="3114" w:type="dxa"/>
            <w:vAlign w:val="center"/>
          </w:tcPr>
          <w:p w:rsidR="00953C46" w:rsidRPr="0067437A" w:rsidRDefault="00953C46" w:rsidP="005E0C82">
            <w:pPr>
              <w:pStyle w:val="TableText0"/>
              <w:rPr>
                <w:b/>
                <w:u w:val="single"/>
              </w:rPr>
            </w:pPr>
            <w:r w:rsidRPr="0067437A">
              <w:rPr>
                <w:b/>
              </w:rPr>
              <w:t>Drug costs including selexipag</w:t>
            </w:r>
            <w:r w:rsidRPr="0067437A">
              <w:rPr>
                <w:b/>
                <w:u w:val="single"/>
              </w:rPr>
              <w:t xml:space="preserve"> titration costs</w:t>
            </w:r>
          </w:p>
        </w:tc>
        <w:tc>
          <w:tcPr>
            <w:tcW w:w="1559" w:type="dxa"/>
            <w:vAlign w:val="center"/>
          </w:tcPr>
          <w:p w:rsidR="00953C46" w:rsidRPr="0067437A" w:rsidRDefault="00953C46" w:rsidP="00103E0D">
            <w:pPr>
              <w:pStyle w:val="TableText0"/>
              <w:jc w:val="center"/>
              <w:rPr>
                <w:b/>
              </w:rPr>
            </w:pPr>
            <w:r w:rsidRPr="0067437A">
              <w:rPr>
                <w:b/>
              </w:rPr>
              <w:t>$</w:t>
            </w:r>
            <w:r w:rsidR="00B24936">
              <w:rPr>
                <w:b/>
                <w:noProof/>
                <w:color w:val="000000"/>
                <w:highlight w:val="black"/>
              </w:rPr>
              <w:t>''''''''''''''''</w:t>
            </w:r>
          </w:p>
        </w:tc>
        <w:tc>
          <w:tcPr>
            <w:tcW w:w="1418" w:type="dxa"/>
            <w:vAlign w:val="center"/>
          </w:tcPr>
          <w:p w:rsidR="00953C46" w:rsidRPr="0067437A" w:rsidRDefault="00953C46" w:rsidP="00103E0D">
            <w:pPr>
              <w:pStyle w:val="TableText0"/>
              <w:jc w:val="center"/>
              <w:rPr>
                <w:b/>
              </w:rPr>
            </w:pPr>
            <w:r w:rsidRPr="0067437A">
              <w:rPr>
                <w:b/>
              </w:rPr>
              <w:t>$</w:t>
            </w:r>
            <w:r w:rsidR="00B24936">
              <w:rPr>
                <w:b/>
                <w:noProof/>
                <w:color w:val="000000"/>
                <w:highlight w:val="black"/>
              </w:rPr>
              <w:t>'''''''''''''''</w:t>
            </w:r>
          </w:p>
        </w:tc>
        <w:tc>
          <w:tcPr>
            <w:tcW w:w="1417" w:type="dxa"/>
            <w:vAlign w:val="center"/>
          </w:tcPr>
          <w:p w:rsidR="00953C46" w:rsidRPr="0067437A" w:rsidRDefault="00953C46" w:rsidP="00103E0D">
            <w:pPr>
              <w:pStyle w:val="TableText0"/>
              <w:jc w:val="center"/>
              <w:rPr>
                <w:b/>
              </w:rPr>
            </w:pPr>
            <w:r w:rsidRPr="0067437A">
              <w:rPr>
                <w:b/>
              </w:rPr>
              <w:t>$</w:t>
            </w:r>
            <w:r w:rsidR="00B24936">
              <w:rPr>
                <w:b/>
                <w:noProof/>
                <w:color w:val="000000"/>
                <w:highlight w:val="black"/>
              </w:rPr>
              <w:t>''''''''''''''</w:t>
            </w:r>
          </w:p>
        </w:tc>
        <w:tc>
          <w:tcPr>
            <w:tcW w:w="1509" w:type="dxa"/>
            <w:vAlign w:val="center"/>
          </w:tcPr>
          <w:p w:rsidR="00953C46" w:rsidRPr="0067437A" w:rsidRDefault="00B24936" w:rsidP="005E0C82">
            <w:pPr>
              <w:pStyle w:val="TableText0"/>
              <w:jc w:val="center"/>
              <w:rPr>
                <w:b/>
              </w:rPr>
            </w:pPr>
            <w:r>
              <w:rPr>
                <w:b/>
                <w:noProof/>
                <w:color w:val="000000"/>
                <w:highlight w:val="black"/>
              </w:rPr>
              <w:t>''''''''''</w:t>
            </w:r>
            <w:r w:rsidR="00953C46" w:rsidRPr="0067437A">
              <w:rPr>
                <w:b/>
              </w:rPr>
              <w:t>%</w:t>
            </w:r>
          </w:p>
        </w:tc>
      </w:tr>
      <w:tr w:rsidR="00953C46" w:rsidRPr="0067437A" w:rsidTr="00A3361B">
        <w:tc>
          <w:tcPr>
            <w:tcW w:w="3114" w:type="dxa"/>
            <w:tcBorders>
              <w:bottom w:val="nil"/>
            </w:tcBorders>
            <w:vAlign w:val="center"/>
          </w:tcPr>
          <w:p w:rsidR="00953C46" w:rsidRPr="0067437A" w:rsidRDefault="00953C46" w:rsidP="005E0C82">
            <w:pPr>
              <w:pStyle w:val="TableText0"/>
            </w:pPr>
            <w:r w:rsidRPr="0067437A">
              <w:t>Selexipag costs</w:t>
            </w:r>
          </w:p>
        </w:tc>
        <w:tc>
          <w:tcPr>
            <w:tcW w:w="1559" w:type="dxa"/>
            <w:tcBorders>
              <w:bottom w:val="nil"/>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tcBorders>
              <w:bottom w:val="nil"/>
            </w:tcBorders>
            <w:vAlign w:val="center"/>
          </w:tcPr>
          <w:p w:rsidR="00953C46" w:rsidRPr="0067437A" w:rsidRDefault="00953C46" w:rsidP="005E0C82">
            <w:pPr>
              <w:pStyle w:val="TableText0"/>
              <w:jc w:val="center"/>
            </w:pPr>
            <w:r w:rsidRPr="0067437A">
              <w:t>$</w:t>
            </w:r>
            <w:r w:rsidR="00B24936">
              <w:rPr>
                <w:noProof/>
                <w:color w:val="000000"/>
                <w:highlight w:val="black"/>
              </w:rPr>
              <w:t>'''</w:t>
            </w:r>
          </w:p>
        </w:tc>
        <w:tc>
          <w:tcPr>
            <w:tcW w:w="1417" w:type="dxa"/>
            <w:tcBorders>
              <w:bottom w:val="nil"/>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509" w:type="dxa"/>
            <w:tcBorders>
              <w:bottom w:val="nil"/>
            </w:tcBorders>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tcBorders>
              <w:top w:val="nil"/>
              <w:left w:val="single" w:sz="4" w:space="0" w:color="auto"/>
              <w:bottom w:val="nil"/>
              <w:right w:val="single" w:sz="4" w:space="0" w:color="auto"/>
            </w:tcBorders>
            <w:vAlign w:val="center"/>
          </w:tcPr>
          <w:p w:rsidR="00953C46" w:rsidRPr="0067437A" w:rsidRDefault="00953C46" w:rsidP="005E0C82">
            <w:pPr>
              <w:pStyle w:val="TableText0"/>
            </w:pPr>
            <w:r w:rsidRPr="0067437A">
              <w:t>Selexipag titration healthcare costs</w:t>
            </w:r>
          </w:p>
        </w:tc>
        <w:tc>
          <w:tcPr>
            <w:tcW w:w="1559" w:type="dxa"/>
            <w:tcBorders>
              <w:top w:val="nil"/>
              <w:left w:val="single" w:sz="4" w:space="0" w:color="auto"/>
              <w:bottom w:val="nil"/>
              <w:right w:val="single" w:sz="4" w:space="0" w:color="auto"/>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tcBorders>
              <w:top w:val="nil"/>
              <w:left w:val="single" w:sz="4" w:space="0" w:color="auto"/>
              <w:bottom w:val="nil"/>
              <w:right w:val="single" w:sz="4" w:space="0" w:color="auto"/>
            </w:tcBorders>
            <w:vAlign w:val="center"/>
          </w:tcPr>
          <w:p w:rsidR="00953C46" w:rsidRPr="0067437A" w:rsidRDefault="00953C46" w:rsidP="005E0C82">
            <w:pPr>
              <w:pStyle w:val="TableText0"/>
              <w:jc w:val="center"/>
            </w:pPr>
            <w:r w:rsidRPr="0067437A">
              <w:t>$</w:t>
            </w:r>
            <w:r w:rsidR="00B24936">
              <w:rPr>
                <w:noProof/>
                <w:color w:val="000000"/>
                <w:highlight w:val="black"/>
              </w:rPr>
              <w:t>''''</w:t>
            </w:r>
          </w:p>
        </w:tc>
        <w:tc>
          <w:tcPr>
            <w:tcW w:w="1417" w:type="dxa"/>
            <w:tcBorders>
              <w:top w:val="nil"/>
              <w:left w:val="single" w:sz="4" w:space="0" w:color="auto"/>
              <w:bottom w:val="nil"/>
              <w:right w:val="single" w:sz="4" w:space="0" w:color="auto"/>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509" w:type="dxa"/>
            <w:tcBorders>
              <w:top w:val="nil"/>
              <w:left w:val="single" w:sz="4" w:space="0" w:color="auto"/>
              <w:bottom w:val="nil"/>
              <w:right w:val="single" w:sz="4" w:space="0" w:color="auto"/>
            </w:tcBorders>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tcBorders>
              <w:top w:val="nil"/>
              <w:left w:val="single" w:sz="4" w:space="0" w:color="auto"/>
              <w:bottom w:val="nil"/>
              <w:right w:val="single" w:sz="4" w:space="0" w:color="auto"/>
            </w:tcBorders>
            <w:vAlign w:val="center"/>
          </w:tcPr>
          <w:p w:rsidR="00953C46" w:rsidRPr="0067437A" w:rsidRDefault="00953C46" w:rsidP="005E0C82">
            <w:pPr>
              <w:pStyle w:val="TableText0"/>
            </w:pPr>
            <w:r w:rsidRPr="0067437A">
              <w:t>Background therapy drug costs</w:t>
            </w:r>
          </w:p>
        </w:tc>
        <w:tc>
          <w:tcPr>
            <w:tcW w:w="1559" w:type="dxa"/>
            <w:tcBorders>
              <w:top w:val="nil"/>
              <w:left w:val="single" w:sz="4" w:space="0" w:color="auto"/>
              <w:bottom w:val="nil"/>
              <w:right w:val="single" w:sz="4" w:space="0" w:color="auto"/>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tcBorders>
              <w:top w:val="nil"/>
              <w:left w:val="single" w:sz="4" w:space="0" w:color="auto"/>
              <w:bottom w:val="nil"/>
              <w:right w:val="single" w:sz="4" w:space="0" w:color="auto"/>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7" w:type="dxa"/>
            <w:tcBorders>
              <w:top w:val="nil"/>
              <w:left w:val="single" w:sz="4" w:space="0" w:color="auto"/>
              <w:bottom w:val="nil"/>
              <w:right w:val="single" w:sz="4" w:space="0" w:color="auto"/>
            </w:tcBorders>
            <w:vAlign w:val="center"/>
          </w:tcPr>
          <w:p w:rsidR="00953C46" w:rsidRPr="0067437A" w:rsidRDefault="00953C46" w:rsidP="005E0C82">
            <w:pPr>
              <w:pStyle w:val="TableText0"/>
              <w:jc w:val="center"/>
            </w:pPr>
            <w:r w:rsidRPr="0067437A">
              <w:t>$</w:t>
            </w:r>
            <w:r w:rsidR="00B24936">
              <w:rPr>
                <w:noProof/>
                <w:color w:val="000000"/>
                <w:highlight w:val="black"/>
              </w:rPr>
              <w:t>'''</w:t>
            </w:r>
          </w:p>
        </w:tc>
        <w:tc>
          <w:tcPr>
            <w:tcW w:w="1509" w:type="dxa"/>
            <w:tcBorders>
              <w:top w:val="nil"/>
              <w:left w:val="single" w:sz="4" w:space="0" w:color="auto"/>
              <w:bottom w:val="nil"/>
              <w:right w:val="single" w:sz="4" w:space="0" w:color="auto"/>
            </w:tcBorders>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tcBorders>
              <w:top w:val="nil"/>
            </w:tcBorders>
            <w:vAlign w:val="center"/>
          </w:tcPr>
          <w:p w:rsidR="00953C46" w:rsidRPr="0067437A" w:rsidRDefault="00953C46" w:rsidP="005E0C82">
            <w:pPr>
              <w:pStyle w:val="TableText0"/>
            </w:pPr>
            <w:r w:rsidRPr="0067437A">
              <w:t>Epoprostenol drug costs</w:t>
            </w:r>
          </w:p>
        </w:tc>
        <w:tc>
          <w:tcPr>
            <w:tcW w:w="1559" w:type="dxa"/>
            <w:tcBorders>
              <w:top w:val="nil"/>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tcBorders>
              <w:top w:val="nil"/>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7" w:type="dxa"/>
            <w:tcBorders>
              <w:top w:val="nil"/>
            </w:tcBorders>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509" w:type="dxa"/>
            <w:tcBorders>
              <w:top w:val="nil"/>
            </w:tcBorders>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103E0D" w:rsidRPr="0067437A" w:rsidTr="00744685">
        <w:tc>
          <w:tcPr>
            <w:tcW w:w="9017" w:type="dxa"/>
            <w:gridSpan w:val="5"/>
            <w:vAlign w:val="center"/>
          </w:tcPr>
          <w:p w:rsidR="00103E0D" w:rsidRPr="0067437A" w:rsidRDefault="00103E0D" w:rsidP="00103E0D">
            <w:pPr>
              <w:pStyle w:val="TableText0"/>
              <w:rPr>
                <w:i/>
              </w:rPr>
            </w:pPr>
            <w:r w:rsidRPr="0067437A">
              <w:rPr>
                <w:b/>
              </w:rPr>
              <w:t>Other costs</w:t>
            </w:r>
          </w:p>
        </w:tc>
      </w:tr>
      <w:tr w:rsidR="00953C46" w:rsidRPr="0067437A" w:rsidTr="00A3361B">
        <w:tc>
          <w:tcPr>
            <w:tcW w:w="3114" w:type="dxa"/>
            <w:vAlign w:val="center"/>
          </w:tcPr>
          <w:p w:rsidR="00953C46" w:rsidRPr="0067437A" w:rsidRDefault="00953C46" w:rsidP="005E0C82">
            <w:pPr>
              <w:pStyle w:val="TableText0"/>
              <w:rPr>
                <w:highlight w:val="yellow"/>
              </w:rPr>
            </w:pPr>
            <w:r w:rsidRPr="0067437A">
              <w:t xml:space="preserve">Hospitalisation cost of initiating </w:t>
            </w:r>
            <w:r w:rsidR="00A3361B" w:rsidRPr="0067437A">
              <w:t xml:space="preserve">IV </w:t>
            </w:r>
            <w:r w:rsidRPr="0067437A">
              <w:t>epoprostenol</w:t>
            </w:r>
          </w:p>
        </w:tc>
        <w:tc>
          <w:tcPr>
            <w:tcW w:w="1559" w:type="dxa"/>
            <w:vAlign w:val="center"/>
          </w:tcPr>
          <w:p w:rsidR="00953C46" w:rsidRPr="0067437A" w:rsidRDefault="00953C46" w:rsidP="00103E0D">
            <w:pPr>
              <w:pStyle w:val="TableText0"/>
              <w:jc w:val="center"/>
              <w:rPr>
                <w:highlight w:val="yellow"/>
              </w:rPr>
            </w:pPr>
            <w:r w:rsidRPr="0067437A">
              <w:t>$</w:t>
            </w:r>
            <w:r w:rsidR="00B24936">
              <w:rPr>
                <w:noProof/>
                <w:color w:val="000000"/>
                <w:highlight w:val="black"/>
              </w:rPr>
              <w:t>'''''''''''''''</w:t>
            </w:r>
          </w:p>
        </w:tc>
        <w:tc>
          <w:tcPr>
            <w:tcW w:w="1418" w:type="dxa"/>
            <w:vAlign w:val="center"/>
          </w:tcPr>
          <w:p w:rsidR="00953C46" w:rsidRPr="0067437A" w:rsidRDefault="00953C46" w:rsidP="00103E0D">
            <w:pPr>
              <w:pStyle w:val="TableText0"/>
              <w:jc w:val="center"/>
              <w:rPr>
                <w:highlight w:val="yellow"/>
              </w:rPr>
            </w:pPr>
            <w:r w:rsidRPr="0067437A">
              <w:t>$</w:t>
            </w:r>
            <w:r w:rsidR="00B24936">
              <w:rPr>
                <w:noProof/>
                <w:color w:val="000000"/>
                <w:highlight w:val="black"/>
              </w:rPr>
              <w:t>'''''''''''''</w:t>
            </w:r>
          </w:p>
        </w:tc>
        <w:tc>
          <w:tcPr>
            <w:tcW w:w="1417" w:type="dxa"/>
            <w:vAlign w:val="center"/>
          </w:tcPr>
          <w:p w:rsidR="00953C46" w:rsidRPr="0067437A" w:rsidRDefault="00953C46" w:rsidP="00103E0D">
            <w:pPr>
              <w:pStyle w:val="TableText0"/>
              <w:jc w:val="center"/>
              <w:rPr>
                <w:highlight w:val="yellow"/>
              </w:rPr>
            </w:pPr>
            <w:r w:rsidRPr="0067437A">
              <w:t>-$</w:t>
            </w:r>
            <w:r w:rsidR="00B24936">
              <w:rPr>
                <w:noProof/>
                <w:color w:val="000000"/>
                <w:highlight w:val="black"/>
              </w:rPr>
              <w:t>''''''''''</w:t>
            </w:r>
          </w:p>
        </w:tc>
        <w:tc>
          <w:tcPr>
            <w:tcW w:w="1509" w:type="dxa"/>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vAlign w:val="center"/>
          </w:tcPr>
          <w:p w:rsidR="00953C46" w:rsidRPr="0067437A" w:rsidRDefault="00953C46" w:rsidP="005E0C82">
            <w:pPr>
              <w:pStyle w:val="TableText0"/>
            </w:pPr>
            <w:r w:rsidRPr="0067437A">
              <w:t>PAH disease management costs</w:t>
            </w:r>
          </w:p>
        </w:tc>
        <w:tc>
          <w:tcPr>
            <w:tcW w:w="1559"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7"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509" w:type="dxa"/>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vAlign w:val="center"/>
          </w:tcPr>
          <w:p w:rsidR="00953C46" w:rsidRPr="0067437A" w:rsidRDefault="00953C46" w:rsidP="005E0C82">
            <w:pPr>
              <w:pStyle w:val="TableText0"/>
            </w:pPr>
            <w:r w:rsidRPr="0067437A">
              <w:t>Morbidity event hospitalisation costs</w:t>
            </w:r>
          </w:p>
        </w:tc>
        <w:tc>
          <w:tcPr>
            <w:tcW w:w="1559"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7"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509" w:type="dxa"/>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vAlign w:val="center"/>
          </w:tcPr>
          <w:p w:rsidR="00953C46" w:rsidRPr="0067437A" w:rsidRDefault="00953C46" w:rsidP="005E0C82">
            <w:pPr>
              <w:pStyle w:val="TableText0"/>
            </w:pPr>
            <w:r w:rsidRPr="0067437A">
              <w:t>Morbidity event costs without hospitalisation</w:t>
            </w:r>
          </w:p>
        </w:tc>
        <w:tc>
          <w:tcPr>
            <w:tcW w:w="1559"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7"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509" w:type="dxa"/>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vAlign w:val="center"/>
          </w:tcPr>
          <w:p w:rsidR="00953C46" w:rsidRPr="0067437A" w:rsidRDefault="00953C46" w:rsidP="005E0C82">
            <w:pPr>
              <w:pStyle w:val="TableText0"/>
            </w:pPr>
            <w:r w:rsidRPr="0067437A">
              <w:t>Hospitalisation cost for mortality event</w:t>
            </w:r>
          </w:p>
        </w:tc>
        <w:tc>
          <w:tcPr>
            <w:tcW w:w="1559"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7" w:type="dxa"/>
            <w:vAlign w:val="center"/>
          </w:tcPr>
          <w:p w:rsidR="00953C46" w:rsidRPr="0067437A" w:rsidRDefault="00953C46" w:rsidP="005E0C82">
            <w:pPr>
              <w:pStyle w:val="TableText0"/>
              <w:jc w:val="center"/>
              <w:rPr>
                <w:b/>
                <w:bCs w:val="0"/>
              </w:rPr>
            </w:pPr>
            <w:r w:rsidRPr="0067437A">
              <w:rPr>
                <w:b/>
                <w:bCs w:val="0"/>
              </w:rPr>
              <w:t>$</w:t>
            </w:r>
            <w:r w:rsidR="00B24936">
              <w:rPr>
                <w:b/>
                <w:bCs w:val="0"/>
                <w:noProof/>
                <w:color w:val="000000"/>
                <w:highlight w:val="black"/>
              </w:rPr>
              <w:t>'''</w:t>
            </w:r>
          </w:p>
        </w:tc>
        <w:tc>
          <w:tcPr>
            <w:tcW w:w="1509" w:type="dxa"/>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vAlign w:val="center"/>
          </w:tcPr>
          <w:p w:rsidR="00953C46" w:rsidRPr="0067437A" w:rsidRDefault="00953C46" w:rsidP="005E0C82">
            <w:pPr>
              <w:pStyle w:val="TableText0"/>
            </w:pPr>
            <w:r w:rsidRPr="0067437A">
              <w:t>Costs of adverse events</w:t>
            </w:r>
          </w:p>
        </w:tc>
        <w:tc>
          <w:tcPr>
            <w:tcW w:w="1559"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8"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417" w:type="dxa"/>
            <w:vAlign w:val="center"/>
          </w:tcPr>
          <w:p w:rsidR="00953C46" w:rsidRPr="0067437A" w:rsidRDefault="00953C46" w:rsidP="00103E0D">
            <w:pPr>
              <w:pStyle w:val="TableText0"/>
              <w:jc w:val="center"/>
            </w:pPr>
            <w:r w:rsidRPr="0067437A">
              <w:t>-$</w:t>
            </w:r>
            <w:r w:rsidR="00B24936">
              <w:rPr>
                <w:noProof/>
                <w:color w:val="000000"/>
                <w:highlight w:val="black"/>
              </w:rPr>
              <w:t>'''''''''''''</w:t>
            </w:r>
          </w:p>
        </w:tc>
        <w:tc>
          <w:tcPr>
            <w:tcW w:w="1509" w:type="dxa"/>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c>
          <w:tcPr>
            <w:tcW w:w="3114" w:type="dxa"/>
            <w:vAlign w:val="center"/>
          </w:tcPr>
          <w:p w:rsidR="00953C46" w:rsidRPr="0067437A" w:rsidRDefault="00953C46" w:rsidP="005E0C82">
            <w:pPr>
              <w:pStyle w:val="TableText0"/>
              <w:rPr>
                <w:b/>
              </w:rPr>
            </w:pPr>
            <w:r w:rsidRPr="0067437A">
              <w:rPr>
                <w:b/>
              </w:rPr>
              <w:t>TOTAL COSTS (undiscounted)</w:t>
            </w:r>
          </w:p>
        </w:tc>
        <w:tc>
          <w:tcPr>
            <w:tcW w:w="1559" w:type="dxa"/>
            <w:vAlign w:val="center"/>
          </w:tcPr>
          <w:p w:rsidR="00953C46" w:rsidRPr="0067437A" w:rsidRDefault="00953C46" w:rsidP="00103E0D">
            <w:pPr>
              <w:pStyle w:val="TableText0"/>
              <w:jc w:val="center"/>
              <w:rPr>
                <w:b/>
              </w:rPr>
            </w:pPr>
            <w:r w:rsidRPr="0067437A">
              <w:rPr>
                <w:b/>
              </w:rPr>
              <w:t>$</w:t>
            </w:r>
            <w:r w:rsidR="00B24936">
              <w:rPr>
                <w:b/>
                <w:noProof/>
                <w:color w:val="000000"/>
                <w:highlight w:val="black"/>
              </w:rPr>
              <w:t>''''''''''''''''</w:t>
            </w:r>
          </w:p>
        </w:tc>
        <w:tc>
          <w:tcPr>
            <w:tcW w:w="1418" w:type="dxa"/>
            <w:vAlign w:val="center"/>
          </w:tcPr>
          <w:p w:rsidR="00953C46" w:rsidRPr="0067437A" w:rsidRDefault="00953C46" w:rsidP="00103E0D">
            <w:pPr>
              <w:pStyle w:val="TableText0"/>
              <w:jc w:val="center"/>
              <w:rPr>
                <w:b/>
              </w:rPr>
            </w:pPr>
            <w:r w:rsidRPr="0067437A">
              <w:rPr>
                <w:b/>
              </w:rPr>
              <w:t>$</w:t>
            </w:r>
            <w:r w:rsidR="00B24936">
              <w:rPr>
                <w:b/>
                <w:noProof/>
                <w:color w:val="000000"/>
                <w:highlight w:val="black"/>
              </w:rPr>
              <w:t>'''''''''''''''</w:t>
            </w:r>
          </w:p>
        </w:tc>
        <w:tc>
          <w:tcPr>
            <w:tcW w:w="1417" w:type="dxa"/>
            <w:vAlign w:val="center"/>
          </w:tcPr>
          <w:p w:rsidR="00953C46" w:rsidRPr="0067437A" w:rsidRDefault="00953C46" w:rsidP="00103E0D">
            <w:pPr>
              <w:pStyle w:val="TableText0"/>
              <w:jc w:val="center"/>
              <w:rPr>
                <w:b/>
              </w:rPr>
            </w:pPr>
            <w:r w:rsidRPr="0067437A">
              <w:rPr>
                <w:b/>
              </w:rPr>
              <w:t>$</w:t>
            </w:r>
            <w:r w:rsidR="00B24936">
              <w:rPr>
                <w:b/>
                <w:noProof/>
                <w:color w:val="000000"/>
                <w:highlight w:val="black"/>
              </w:rPr>
              <w:t>''''''''''''''</w:t>
            </w:r>
          </w:p>
        </w:tc>
        <w:tc>
          <w:tcPr>
            <w:tcW w:w="1509" w:type="dxa"/>
            <w:vAlign w:val="center"/>
          </w:tcPr>
          <w:p w:rsidR="00953C46" w:rsidRPr="0067437A" w:rsidRDefault="00B24936" w:rsidP="005E0C82">
            <w:pPr>
              <w:pStyle w:val="TableText0"/>
              <w:jc w:val="center"/>
              <w:rPr>
                <w:b/>
              </w:rPr>
            </w:pPr>
            <w:r>
              <w:rPr>
                <w:b/>
                <w:noProof/>
                <w:color w:val="000000"/>
                <w:highlight w:val="black"/>
              </w:rPr>
              <w:t>'''''''</w:t>
            </w:r>
            <w:r w:rsidR="00953C46" w:rsidRPr="0067437A">
              <w:rPr>
                <w:b/>
              </w:rPr>
              <w:t>%</w:t>
            </w:r>
          </w:p>
        </w:tc>
      </w:tr>
      <w:tr w:rsidR="00953C46" w:rsidRPr="0067437A" w:rsidTr="00A3361B">
        <w:tc>
          <w:tcPr>
            <w:tcW w:w="3114" w:type="dxa"/>
            <w:vAlign w:val="center"/>
          </w:tcPr>
          <w:p w:rsidR="00953C46" w:rsidRPr="0067437A" w:rsidRDefault="00953C46" w:rsidP="005E0C82">
            <w:pPr>
              <w:pStyle w:val="TableText0"/>
              <w:rPr>
                <w:b/>
              </w:rPr>
            </w:pPr>
            <w:r w:rsidRPr="0067437A">
              <w:rPr>
                <w:b/>
              </w:rPr>
              <w:t>TOTAL COSTS (discounted)</w:t>
            </w:r>
          </w:p>
        </w:tc>
        <w:tc>
          <w:tcPr>
            <w:tcW w:w="1559" w:type="dxa"/>
            <w:vAlign w:val="center"/>
          </w:tcPr>
          <w:p w:rsidR="00953C46" w:rsidRPr="0067437A" w:rsidRDefault="00953C46" w:rsidP="005E0C82">
            <w:pPr>
              <w:pStyle w:val="TableText0"/>
              <w:jc w:val="center"/>
              <w:rPr>
                <w:b/>
              </w:rPr>
            </w:pPr>
            <w:r w:rsidRPr="0067437A">
              <w:rPr>
                <w:b/>
              </w:rPr>
              <w:t>$</w:t>
            </w:r>
            <w:r w:rsidR="00B24936">
              <w:rPr>
                <w:b/>
                <w:noProof/>
                <w:color w:val="000000"/>
                <w:highlight w:val="black"/>
              </w:rPr>
              <w:t>'''''''''''''''''</w:t>
            </w:r>
          </w:p>
        </w:tc>
        <w:tc>
          <w:tcPr>
            <w:tcW w:w="1418" w:type="dxa"/>
            <w:vAlign w:val="center"/>
          </w:tcPr>
          <w:p w:rsidR="00953C46" w:rsidRPr="0067437A" w:rsidRDefault="00953C46" w:rsidP="005E0C82">
            <w:pPr>
              <w:pStyle w:val="TableText0"/>
              <w:jc w:val="center"/>
              <w:rPr>
                <w:b/>
              </w:rPr>
            </w:pPr>
            <w:r w:rsidRPr="0067437A">
              <w:rPr>
                <w:b/>
              </w:rPr>
              <w:t>$</w:t>
            </w:r>
            <w:r w:rsidR="00B24936">
              <w:rPr>
                <w:b/>
                <w:noProof/>
                <w:color w:val="000000"/>
                <w:highlight w:val="black"/>
              </w:rPr>
              <w:t>''''''''''''''''</w:t>
            </w:r>
          </w:p>
        </w:tc>
        <w:tc>
          <w:tcPr>
            <w:tcW w:w="1417" w:type="dxa"/>
            <w:vAlign w:val="center"/>
          </w:tcPr>
          <w:p w:rsidR="00953C46" w:rsidRPr="0067437A" w:rsidRDefault="00953C46" w:rsidP="005E0C82">
            <w:pPr>
              <w:pStyle w:val="TableText0"/>
              <w:jc w:val="center"/>
              <w:rPr>
                <w:b/>
              </w:rPr>
            </w:pPr>
            <w:r w:rsidRPr="0067437A">
              <w:rPr>
                <w:b/>
              </w:rPr>
              <w:t>$</w:t>
            </w:r>
            <w:r w:rsidR="00B24936">
              <w:rPr>
                <w:b/>
                <w:noProof/>
                <w:color w:val="000000"/>
                <w:highlight w:val="black"/>
              </w:rPr>
              <w:t>''''''''''''''</w:t>
            </w:r>
          </w:p>
        </w:tc>
        <w:tc>
          <w:tcPr>
            <w:tcW w:w="1509" w:type="dxa"/>
            <w:vAlign w:val="center"/>
          </w:tcPr>
          <w:p w:rsidR="00953C46" w:rsidRPr="0067437A" w:rsidRDefault="00B24936" w:rsidP="005E0C82">
            <w:pPr>
              <w:pStyle w:val="TableText0"/>
              <w:jc w:val="center"/>
              <w:rPr>
                <w:b/>
              </w:rPr>
            </w:pPr>
            <w:r>
              <w:rPr>
                <w:b/>
                <w:noProof/>
                <w:color w:val="000000"/>
                <w:highlight w:val="black"/>
              </w:rPr>
              <w:t>'''''''</w:t>
            </w:r>
            <w:r w:rsidR="00953C46" w:rsidRPr="0067437A">
              <w:rPr>
                <w:b/>
              </w:rPr>
              <w:t>%</w:t>
            </w:r>
          </w:p>
        </w:tc>
      </w:tr>
    </w:tbl>
    <w:p w:rsidR="00103E0D" w:rsidRPr="0067437A" w:rsidRDefault="00103E0D" w:rsidP="00671956">
      <w:pPr>
        <w:pStyle w:val="TableFigureFooter"/>
        <w:keepNext/>
        <w:keepLines/>
        <w:rPr>
          <w:szCs w:val="18"/>
        </w:rPr>
      </w:pPr>
      <w:r w:rsidRPr="0067437A">
        <w:rPr>
          <w:szCs w:val="18"/>
        </w:rPr>
        <w:t>IV = intravenous; PAH = pulmonary arterial hypertension</w:t>
      </w:r>
    </w:p>
    <w:p w:rsidR="00671956" w:rsidRPr="0067437A" w:rsidRDefault="00671956" w:rsidP="00671956">
      <w:pPr>
        <w:pStyle w:val="TableFigureFooter"/>
        <w:keepNext/>
        <w:keepLines/>
        <w:rPr>
          <w:szCs w:val="18"/>
        </w:rPr>
      </w:pPr>
      <w:r w:rsidRPr="0067437A">
        <w:rPr>
          <w:szCs w:val="18"/>
        </w:rPr>
        <w:t>Source: Table 3.35, p193 of the resubmission</w:t>
      </w:r>
      <w:r w:rsidRPr="0067437A">
        <w:rPr>
          <w:i/>
          <w:szCs w:val="18"/>
        </w:rPr>
        <w:t xml:space="preserve">; </w:t>
      </w:r>
      <w:r w:rsidRPr="0067437A">
        <w:rPr>
          <w:szCs w:val="18"/>
        </w:rPr>
        <w:t>Attachment 10 of resubmission.</w:t>
      </w:r>
    </w:p>
    <w:p w:rsidR="00640EF2" w:rsidRPr="0067437A" w:rsidRDefault="00640EF2" w:rsidP="00671956">
      <w:pPr>
        <w:pStyle w:val="TableFigureFooter"/>
        <w:keepNext/>
        <w:keepLines/>
        <w:rPr>
          <w:i/>
          <w:sz w:val="20"/>
          <w:szCs w:val="20"/>
        </w:rPr>
      </w:pPr>
    </w:p>
    <w:p w:rsidR="00953C46" w:rsidRPr="0067437A" w:rsidRDefault="0007076D" w:rsidP="00A3361B">
      <w:pPr>
        <w:pStyle w:val="TableFigureFooter"/>
        <w:keepNext/>
        <w:keepLines/>
        <w:spacing w:after="60"/>
        <w:rPr>
          <w:rStyle w:val="CommentReference"/>
          <w:b w:val="0"/>
          <w:szCs w:val="24"/>
        </w:rPr>
      </w:pPr>
      <w:r>
        <w:rPr>
          <w:rStyle w:val="CommentReference"/>
          <w:szCs w:val="24"/>
        </w:rPr>
        <w:t>Table 11</w:t>
      </w:r>
      <w:r w:rsidR="00640EF2" w:rsidRPr="0067437A">
        <w:rPr>
          <w:rStyle w:val="CommentReference"/>
          <w:szCs w:val="24"/>
        </w:rPr>
        <w:t>: Disaggregated summary of health outcomes included in the economic evaluation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99"/>
        <w:gridCol w:w="1409"/>
        <w:gridCol w:w="1410"/>
        <w:gridCol w:w="1268"/>
        <w:gridCol w:w="1831"/>
      </w:tblGrid>
      <w:tr w:rsidR="00953C46" w:rsidRPr="0067437A" w:rsidTr="00A3361B">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In-tableHeading"/>
              <w:rPr>
                <w:lang w:val="en-AU"/>
              </w:rPr>
            </w:pPr>
            <w:r w:rsidRPr="0067437A">
              <w:rPr>
                <w:lang w:val="en-AU"/>
              </w:rPr>
              <w:t>Outcome</w:t>
            </w:r>
          </w:p>
          <w:p w:rsidR="00953C46" w:rsidRPr="0067437A" w:rsidRDefault="00953C46" w:rsidP="005E0C82">
            <w:pPr>
              <w:pStyle w:val="In-tableHeading"/>
              <w:rPr>
                <w:lang w:val="en-AU"/>
              </w:rPr>
            </w:pPr>
            <w:r w:rsidRPr="0067437A">
              <w:rPr>
                <w:lang w:val="en-AU"/>
              </w:rPr>
              <w:t>(undiscounted)</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A3361B" w:rsidP="005E0C82">
            <w:pPr>
              <w:pStyle w:val="In-tableHeading"/>
              <w:jc w:val="center"/>
              <w:rPr>
                <w:lang w:val="en-AU"/>
              </w:rPr>
            </w:pPr>
            <w:r w:rsidRPr="0067437A">
              <w:rPr>
                <w:lang w:val="en-AU"/>
              </w:rPr>
              <w:t>S</w:t>
            </w:r>
            <w:r w:rsidR="00953C46" w:rsidRPr="0067437A">
              <w:rPr>
                <w:lang w:val="en-AU"/>
              </w:rPr>
              <w:t>elexipag</w:t>
            </w:r>
            <w:r w:rsidRPr="0067437A">
              <w:rPr>
                <w:lang w:val="en-AU"/>
              </w:rPr>
              <w:t xml:space="preserve"> arm</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A3361B" w:rsidP="005E0C82">
            <w:pPr>
              <w:pStyle w:val="In-tableHeading"/>
              <w:jc w:val="center"/>
              <w:rPr>
                <w:lang w:val="en-AU"/>
              </w:rPr>
            </w:pPr>
            <w:r w:rsidRPr="0067437A">
              <w:rPr>
                <w:lang w:val="en-AU"/>
              </w:rPr>
              <w:t>P</w:t>
            </w:r>
            <w:r w:rsidR="00953C46" w:rsidRPr="0067437A">
              <w:rPr>
                <w:lang w:val="en-AU"/>
              </w:rPr>
              <w:t>lacebo</w:t>
            </w:r>
            <w:r w:rsidRPr="0067437A">
              <w:rPr>
                <w:lang w:val="en-AU"/>
              </w:rPr>
              <w:t xml:space="preserve"> arm</w:t>
            </w:r>
          </w:p>
        </w:tc>
        <w:tc>
          <w:tcPr>
            <w:tcW w:w="1276" w:type="dxa"/>
            <w:tcBorders>
              <w:top w:val="single" w:sz="4" w:space="0" w:color="auto"/>
              <w:left w:val="single" w:sz="4" w:space="0" w:color="auto"/>
              <w:bottom w:val="single" w:sz="4" w:space="0" w:color="auto"/>
              <w:right w:val="single" w:sz="4" w:space="0" w:color="auto"/>
            </w:tcBorders>
            <w:vAlign w:val="center"/>
          </w:tcPr>
          <w:p w:rsidR="00953C46" w:rsidRPr="0067437A" w:rsidRDefault="00953C46" w:rsidP="005E0C82">
            <w:pPr>
              <w:pStyle w:val="In-tableHeading"/>
              <w:jc w:val="center"/>
              <w:rPr>
                <w:lang w:val="en-AU"/>
              </w:rPr>
            </w:pPr>
            <w:r w:rsidRPr="0067437A">
              <w:rPr>
                <w:lang w:val="en-AU"/>
              </w:rPr>
              <w:t>Incremental outcome</w:t>
            </w:r>
          </w:p>
        </w:tc>
        <w:tc>
          <w:tcPr>
            <w:tcW w:w="1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In-tableHeading"/>
              <w:jc w:val="center"/>
              <w:rPr>
                <w:lang w:val="en-AU"/>
              </w:rPr>
            </w:pPr>
            <w:r w:rsidRPr="0067437A">
              <w:rPr>
                <w:lang w:val="en-AU"/>
              </w:rPr>
              <w:t xml:space="preserve">% of total </w:t>
            </w:r>
            <w:r w:rsidR="00A3361B" w:rsidRPr="0067437A">
              <w:rPr>
                <w:lang w:val="en-AU"/>
              </w:rPr>
              <w:br/>
            </w:r>
            <w:r w:rsidRPr="0067437A">
              <w:rPr>
                <w:lang w:val="en-AU"/>
              </w:rPr>
              <w:t>incremental outcome</w:t>
            </w:r>
          </w:p>
        </w:tc>
      </w:tr>
      <w:tr w:rsidR="00953C46" w:rsidRPr="0067437A" w:rsidTr="00A3361B">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TableText0"/>
            </w:pPr>
            <w:r w:rsidRPr="0067437A">
              <w:t>Improved PAH (utility 0.727)</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276" w:type="dxa"/>
            <w:tcBorders>
              <w:top w:val="single" w:sz="4" w:space="0" w:color="auto"/>
              <w:left w:val="single" w:sz="4" w:space="0" w:color="auto"/>
              <w:bottom w:val="single" w:sz="4" w:space="0" w:color="auto"/>
              <w:right w:val="single" w:sz="4" w:space="0" w:color="auto"/>
            </w:tcBorders>
            <w:vAlign w:val="center"/>
          </w:tcPr>
          <w:p w:rsidR="00953C46" w:rsidRPr="00B24936" w:rsidRDefault="00B24936" w:rsidP="005E0C82">
            <w:pPr>
              <w:pStyle w:val="TableText0"/>
              <w:jc w:val="center"/>
              <w:rPr>
                <w:highlight w:val="black"/>
              </w:rPr>
            </w:pPr>
            <w:r>
              <w:rPr>
                <w:noProof/>
                <w:color w:val="000000"/>
                <w:highlight w:val="black"/>
              </w:rPr>
              <w:t>''''''''''</w:t>
            </w:r>
          </w:p>
        </w:tc>
        <w:tc>
          <w:tcPr>
            <w:tcW w:w="1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TableText0"/>
            </w:pPr>
            <w:r w:rsidRPr="0067437A">
              <w:t>Stable PAH (utility 0.61)</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276" w:type="dxa"/>
            <w:tcBorders>
              <w:top w:val="single" w:sz="4" w:space="0" w:color="auto"/>
              <w:left w:val="single" w:sz="4" w:space="0" w:color="auto"/>
              <w:bottom w:val="single" w:sz="4" w:space="0" w:color="auto"/>
              <w:right w:val="single" w:sz="4" w:space="0" w:color="auto"/>
            </w:tcBorders>
            <w:vAlign w:val="center"/>
          </w:tcPr>
          <w:p w:rsidR="00953C46" w:rsidRPr="00B24936" w:rsidRDefault="00B24936" w:rsidP="005E0C82">
            <w:pPr>
              <w:pStyle w:val="TableText0"/>
              <w:jc w:val="center"/>
              <w:rPr>
                <w:highlight w:val="black"/>
              </w:rPr>
            </w:pPr>
            <w:r>
              <w:rPr>
                <w:noProof/>
                <w:color w:val="000000"/>
                <w:highlight w:val="black"/>
              </w:rPr>
              <w:t>''''''''''</w:t>
            </w:r>
          </w:p>
        </w:tc>
        <w:tc>
          <w:tcPr>
            <w:tcW w:w="1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TableText0"/>
            </w:pPr>
            <w:r w:rsidRPr="0067437A">
              <w:t>Progressed PAH (utility 0.432)</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276" w:type="dxa"/>
            <w:tcBorders>
              <w:top w:val="single" w:sz="4" w:space="0" w:color="auto"/>
              <w:left w:val="single" w:sz="4" w:space="0" w:color="auto"/>
              <w:bottom w:val="single" w:sz="4" w:space="0" w:color="auto"/>
              <w:right w:val="single" w:sz="4" w:space="0" w:color="auto"/>
            </w:tcBorders>
            <w:vAlign w:val="center"/>
          </w:tcPr>
          <w:p w:rsidR="00953C46" w:rsidRPr="00B24936" w:rsidRDefault="00B24936" w:rsidP="005E0C82">
            <w:pPr>
              <w:pStyle w:val="TableText0"/>
              <w:jc w:val="center"/>
              <w:rPr>
                <w:highlight w:val="black"/>
              </w:rPr>
            </w:pPr>
            <w:r>
              <w:rPr>
                <w:noProof/>
                <w:color w:val="000000"/>
                <w:highlight w:val="black"/>
              </w:rPr>
              <w:t>''''''''''''</w:t>
            </w:r>
          </w:p>
        </w:tc>
        <w:tc>
          <w:tcPr>
            <w:tcW w:w="1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TableText0"/>
            </w:pPr>
            <w:r w:rsidRPr="0067437A">
              <w:t>AE-specific utility (disutility)</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276" w:type="dxa"/>
            <w:tcBorders>
              <w:top w:val="single" w:sz="4" w:space="0" w:color="auto"/>
              <w:left w:val="single" w:sz="4" w:space="0" w:color="auto"/>
              <w:bottom w:val="single" w:sz="4" w:space="0" w:color="auto"/>
              <w:right w:val="single" w:sz="4" w:space="0" w:color="auto"/>
            </w:tcBorders>
            <w:vAlign w:val="center"/>
          </w:tcPr>
          <w:p w:rsidR="00953C46" w:rsidRPr="00B24936" w:rsidRDefault="00B24936" w:rsidP="005E0C82">
            <w:pPr>
              <w:pStyle w:val="TableText0"/>
              <w:jc w:val="center"/>
              <w:rPr>
                <w:highlight w:val="black"/>
              </w:rPr>
            </w:pPr>
            <w:r>
              <w:rPr>
                <w:noProof/>
                <w:color w:val="000000"/>
                <w:highlight w:val="black"/>
              </w:rPr>
              <w:t>'''''''''''</w:t>
            </w:r>
          </w:p>
        </w:tc>
        <w:tc>
          <w:tcPr>
            <w:tcW w:w="1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TableText0"/>
            </w:pPr>
            <w:r w:rsidRPr="0067437A">
              <w:t>Drug admin utility (disutility)</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highlight w:val="black"/>
              </w:rPr>
            </w:pPr>
            <w:r>
              <w:rPr>
                <w:noProof/>
                <w:color w:val="000000"/>
                <w:highlight w:val="black"/>
              </w:rPr>
              <w:t>'''''''''''</w:t>
            </w:r>
          </w:p>
        </w:tc>
        <w:tc>
          <w:tcPr>
            <w:tcW w:w="1276" w:type="dxa"/>
            <w:tcBorders>
              <w:top w:val="single" w:sz="4" w:space="0" w:color="auto"/>
              <w:left w:val="single" w:sz="4" w:space="0" w:color="auto"/>
              <w:bottom w:val="single" w:sz="4" w:space="0" w:color="auto"/>
              <w:right w:val="single" w:sz="4" w:space="0" w:color="auto"/>
            </w:tcBorders>
            <w:vAlign w:val="center"/>
          </w:tcPr>
          <w:p w:rsidR="00953C46" w:rsidRPr="00B24936" w:rsidRDefault="00B24936" w:rsidP="005E0C82">
            <w:pPr>
              <w:pStyle w:val="TableText0"/>
              <w:jc w:val="center"/>
              <w:rPr>
                <w:highlight w:val="black"/>
              </w:rPr>
            </w:pPr>
            <w:r>
              <w:rPr>
                <w:noProof/>
                <w:color w:val="000000"/>
                <w:highlight w:val="black"/>
              </w:rPr>
              <w:t>''''''''''</w:t>
            </w:r>
          </w:p>
        </w:tc>
        <w:tc>
          <w:tcPr>
            <w:tcW w:w="1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B24936" w:rsidP="005E0C82">
            <w:pPr>
              <w:pStyle w:val="TableText0"/>
              <w:jc w:val="center"/>
            </w:pPr>
            <w:r>
              <w:rPr>
                <w:noProof/>
                <w:color w:val="000000"/>
                <w:highlight w:val="black"/>
              </w:rPr>
              <w:t>'''''''''''</w:t>
            </w:r>
            <w:r w:rsidR="00953C46" w:rsidRPr="0067437A">
              <w:t>%</w:t>
            </w:r>
          </w:p>
        </w:tc>
      </w:tr>
      <w:tr w:rsidR="00953C46" w:rsidRPr="0067437A" w:rsidTr="00A3361B">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TableText0"/>
              <w:rPr>
                <w:b/>
              </w:rPr>
            </w:pPr>
            <w:r w:rsidRPr="0067437A">
              <w:rPr>
                <w:b/>
              </w:rPr>
              <w:t>Total QALYs (undiscounted)</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b/>
                <w:highlight w:val="black"/>
              </w:rPr>
            </w:pPr>
            <w:r>
              <w:rPr>
                <w:b/>
                <w:noProof/>
                <w:color w:val="000000"/>
                <w:highlight w:val="black"/>
              </w:rPr>
              <w:t>'''''''''</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B24936" w:rsidRDefault="00B24936" w:rsidP="005E0C82">
            <w:pPr>
              <w:pStyle w:val="TableText0"/>
              <w:jc w:val="center"/>
              <w:rPr>
                <w:b/>
                <w:highlight w:val="black"/>
              </w:rPr>
            </w:pPr>
            <w:r>
              <w:rPr>
                <w:b/>
                <w:noProof/>
                <w:color w:val="000000"/>
                <w:highlight w:val="black"/>
              </w:rPr>
              <w:t>''''''''</w:t>
            </w:r>
          </w:p>
        </w:tc>
        <w:tc>
          <w:tcPr>
            <w:tcW w:w="1276" w:type="dxa"/>
            <w:tcBorders>
              <w:top w:val="single" w:sz="4" w:space="0" w:color="auto"/>
              <w:left w:val="single" w:sz="4" w:space="0" w:color="auto"/>
              <w:bottom w:val="single" w:sz="4" w:space="0" w:color="auto"/>
              <w:right w:val="single" w:sz="4" w:space="0" w:color="auto"/>
            </w:tcBorders>
            <w:vAlign w:val="center"/>
          </w:tcPr>
          <w:p w:rsidR="00953C46" w:rsidRPr="00B24936" w:rsidRDefault="00B24936" w:rsidP="005E0C82">
            <w:pPr>
              <w:pStyle w:val="TableText0"/>
              <w:jc w:val="center"/>
              <w:rPr>
                <w:b/>
                <w:highlight w:val="black"/>
              </w:rPr>
            </w:pPr>
            <w:r>
              <w:rPr>
                <w:b/>
                <w:noProof/>
                <w:color w:val="000000"/>
                <w:highlight w:val="black"/>
              </w:rPr>
              <w:t>''''''''</w:t>
            </w:r>
          </w:p>
        </w:tc>
        <w:tc>
          <w:tcPr>
            <w:tcW w:w="1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B24936" w:rsidP="005E0C82">
            <w:pPr>
              <w:pStyle w:val="TableText0"/>
              <w:jc w:val="center"/>
              <w:rPr>
                <w:b/>
              </w:rPr>
            </w:pPr>
            <w:r>
              <w:rPr>
                <w:b/>
                <w:noProof/>
                <w:color w:val="000000"/>
                <w:highlight w:val="black"/>
              </w:rPr>
              <w:t>'''''''</w:t>
            </w:r>
            <w:r w:rsidR="00953C46" w:rsidRPr="0067437A">
              <w:rPr>
                <w:b/>
              </w:rPr>
              <w:t>%</w:t>
            </w:r>
          </w:p>
        </w:tc>
      </w:tr>
      <w:tr w:rsidR="00953C46" w:rsidRPr="0067437A" w:rsidTr="00A3361B">
        <w:trPr>
          <w:cantSplit/>
        </w:trPr>
        <w:tc>
          <w:tcPr>
            <w:tcW w:w="31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953C46" w:rsidP="005E0C82">
            <w:pPr>
              <w:pStyle w:val="TableText0"/>
              <w:rPr>
                <w:b/>
              </w:rPr>
            </w:pPr>
            <w:r w:rsidRPr="0067437A">
              <w:rPr>
                <w:b/>
              </w:rPr>
              <w:t>Total QALYs (discounted)</w:t>
            </w:r>
          </w:p>
        </w:tc>
        <w:tc>
          <w:tcPr>
            <w:tcW w:w="1417" w:type="dxa"/>
            <w:tcMar>
              <w:left w:w="57" w:type="dxa"/>
              <w:right w:w="57" w:type="dxa"/>
            </w:tcMar>
            <w:vAlign w:val="center"/>
          </w:tcPr>
          <w:p w:rsidR="00953C46" w:rsidRPr="00B24936" w:rsidRDefault="00B24936" w:rsidP="005E0C82">
            <w:pPr>
              <w:pStyle w:val="TableText0"/>
              <w:jc w:val="center"/>
              <w:rPr>
                <w:b/>
                <w:highlight w:val="black"/>
              </w:rPr>
            </w:pPr>
            <w:r>
              <w:rPr>
                <w:b/>
                <w:noProof/>
                <w:color w:val="000000"/>
                <w:highlight w:val="black"/>
              </w:rPr>
              <w:t>''''''''''''</w:t>
            </w:r>
          </w:p>
        </w:tc>
        <w:tc>
          <w:tcPr>
            <w:tcW w:w="1418" w:type="dxa"/>
            <w:tcMar>
              <w:left w:w="57" w:type="dxa"/>
              <w:right w:w="57" w:type="dxa"/>
            </w:tcMar>
            <w:vAlign w:val="center"/>
          </w:tcPr>
          <w:p w:rsidR="00953C46" w:rsidRPr="00B24936" w:rsidRDefault="00B24936" w:rsidP="005E0C82">
            <w:pPr>
              <w:pStyle w:val="TableText0"/>
              <w:jc w:val="center"/>
              <w:rPr>
                <w:b/>
                <w:highlight w:val="black"/>
              </w:rPr>
            </w:pPr>
            <w:r>
              <w:rPr>
                <w:b/>
                <w:noProof/>
                <w:color w:val="000000"/>
                <w:highlight w:val="black"/>
              </w:rPr>
              <w:t>'''''''''''</w:t>
            </w:r>
          </w:p>
        </w:tc>
        <w:tc>
          <w:tcPr>
            <w:tcW w:w="1276" w:type="dxa"/>
            <w:vAlign w:val="center"/>
          </w:tcPr>
          <w:p w:rsidR="00953C46" w:rsidRPr="00B24936" w:rsidRDefault="00B24936" w:rsidP="005E0C82">
            <w:pPr>
              <w:pStyle w:val="TableText0"/>
              <w:jc w:val="center"/>
              <w:rPr>
                <w:b/>
                <w:highlight w:val="black"/>
              </w:rPr>
            </w:pPr>
            <w:r>
              <w:rPr>
                <w:b/>
                <w:noProof/>
                <w:color w:val="000000"/>
                <w:highlight w:val="black"/>
              </w:rPr>
              <w:t>''''''''''''</w:t>
            </w:r>
          </w:p>
        </w:tc>
        <w:tc>
          <w:tcPr>
            <w:tcW w:w="1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53C46" w:rsidRPr="0067437A" w:rsidRDefault="00B24936" w:rsidP="005E0C82">
            <w:pPr>
              <w:pStyle w:val="TableText0"/>
              <w:jc w:val="center"/>
              <w:rPr>
                <w:b/>
              </w:rPr>
            </w:pPr>
            <w:r>
              <w:rPr>
                <w:b/>
                <w:noProof/>
                <w:color w:val="000000"/>
                <w:highlight w:val="black"/>
              </w:rPr>
              <w:t>'''''''</w:t>
            </w:r>
            <w:r w:rsidR="00953C46" w:rsidRPr="0067437A">
              <w:rPr>
                <w:b/>
              </w:rPr>
              <w:t>%</w:t>
            </w:r>
          </w:p>
        </w:tc>
      </w:tr>
    </w:tbl>
    <w:p w:rsidR="00103E0D" w:rsidRPr="0067437A" w:rsidRDefault="00103E0D" w:rsidP="00671956">
      <w:pPr>
        <w:pStyle w:val="TableFigureFooter"/>
        <w:keepNext/>
        <w:keepLines/>
        <w:rPr>
          <w:szCs w:val="18"/>
        </w:rPr>
      </w:pPr>
      <w:r w:rsidRPr="0067437A">
        <w:rPr>
          <w:szCs w:val="18"/>
        </w:rPr>
        <w:t>AE = adverse event; PAH = pulmonary arterial hypertension; QALY = quality adjusted life year</w:t>
      </w:r>
    </w:p>
    <w:p w:rsidR="00671956" w:rsidRPr="0067437A" w:rsidRDefault="00671956" w:rsidP="00671956">
      <w:pPr>
        <w:pStyle w:val="TableFigureFooter"/>
        <w:keepNext/>
        <w:keepLines/>
        <w:rPr>
          <w:i/>
          <w:szCs w:val="18"/>
        </w:rPr>
      </w:pPr>
      <w:r w:rsidRPr="0067437A">
        <w:rPr>
          <w:szCs w:val="18"/>
        </w:rPr>
        <w:t>Source: Table 3.36, p193 of the resubmission</w:t>
      </w:r>
      <w:r w:rsidRPr="0067437A">
        <w:rPr>
          <w:i/>
          <w:szCs w:val="18"/>
        </w:rPr>
        <w:t>.</w:t>
      </w:r>
    </w:p>
    <w:p w:rsidR="00F66DD2" w:rsidRPr="0067437A" w:rsidRDefault="00F66DD2" w:rsidP="00A106A9">
      <w:pPr>
        <w:numPr>
          <w:ilvl w:val="1"/>
          <w:numId w:val="1"/>
        </w:numPr>
        <w:spacing w:after="160"/>
        <w:ind w:left="709"/>
        <w:rPr>
          <w:rFonts w:asciiTheme="minorHAnsi" w:hAnsiTheme="minorHAnsi"/>
          <w:snapToGrid w:val="0"/>
        </w:rPr>
      </w:pPr>
      <w:r w:rsidRPr="0067437A">
        <w:rPr>
          <w:rFonts w:asciiTheme="minorHAnsi" w:hAnsiTheme="minorHAnsi"/>
          <w:snapToGrid w:val="0"/>
        </w:rPr>
        <w:t>Table 1</w:t>
      </w:r>
      <w:r w:rsidR="0007076D">
        <w:rPr>
          <w:rFonts w:asciiTheme="minorHAnsi" w:hAnsiTheme="minorHAnsi"/>
          <w:snapToGrid w:val="0"/>
        </w:rPr>
        <w:t>2</w:t>
      </w:r>
      <w:r w:rsidRPr="0067437A">
        <w:rPr>
          <w:rFonts w:asciiTheme="minorHAnsi" w:hAnsiTheme="minorHAnsi"/>
          <w:snapToGrid w:val="0"/>
        </w:rPr>
        <w:t xml:space="preserve"> presents the results of the stepped economic evaluation</w:t>
      </w:r>
      <w:r w:rsidR="000201EF" w:rsidRPr="0067437A">
        <w:rPr>
          <w:rFonts w:asciiTheme="minorHAnsi" w:hAnsiTheme="minorHAnsi"/>
          <w:snapToGrid w:val="0"/>
        </w:rPr>
        <w:t xml:space="preserve"> which was estimated based </w:t>
      </w:r>
      <w:r w:rsidR="00A63DE1">
        <w:rPr>
          <w:rFonts w:asciiTheme="minorHAnsi" w:hAnsiTheme="minorHAnsi"/>
          <w:snapToGrid w:val="0"/>
        </w:rPr>
        <w:t xml:space="preserve">on </w:t>
      </w:r>
      <w:r w:rsidR="006F4153">
        <w:rPr>
          <w:rFonts w:asciiTheme="minorHAnsi" w:hAnsiTheme="minorHAnsi"/>
          <w:snapToGrid w:val="0"/>
        </w:rPr>
        <w:t xml:space="preserve">the </w:t>
      </w:r>
      <w:r w:rsidR="000201EF" w:rsidRPr="0067437A">
        <w:rPr>
          <w:rFonts w:asciiTheme="minorHAnsi" w:hAnsiTheme="minorHAnsi"/>
          <w:snapToGrid w:val="0"/>
        </w:rPr>
        <w:t xml:space="preserve">subgroup results </w:t>
      </w:r>
      <w:r w:rsidR="006F4153" w:rsidRPr="0067437A">
        <w:rPr>
          <w:rFonts w:asciiTheme="minorHAnsi" w:hAnsiTheme="minorHAnsi"/>
          <w:snapToGrid w:val="0"/>
        </w:rPr>
        <w:t xml:space="preserve">from the GRIPHON trial </w:t>
      </w:r>
      <w:r w:rsidR="000201EF" w:rsidRPr="0067437A">
        <w:rPr>
          <w:rFonts w:asciiTheme="minorHAnsi" w:hAnsiTheme="minorHAnsi"/>
          <w:snapToGrid w:val="0"/>
        </w:rPr>
        <w:t xml:space="preserve">for WHO FC III patient </w:t>
      </w:r>
      <w:r w:rsidR="00985661" w:rsidRPr="0067437A">
        <w:rPr>
          <w:rFonts w:asciiTheme="minorHAnsi" w:hAnsiTheme="minorHAnsi"/>
          <w:snapToGrid w:val="0"/>
        </w:rPr>
        <w:t xml:space="preserve">receiving </w:t>
      </w:r>
      <w:r w:rsidR="000201EF" w:rsidRPr="0067437A">
        <w:rPr>
          <w:rFonts w:asciiTheme="minorHAnsi" w:hAnsiTheme="minorHAnsi"/>
          <w:snapToGrid w:val="0"/>
        </w:rPr>
        <w:t>dual therapy at baseline</w:t>
      </w:r>
      <w:r w:rsidR="0067437A">
        <w:rPr>
          <w:rFonts w:asciiTheme="minorHAnsi" w:hAnsiTheme="minorHAnsi"/>
          <w:snapToGrid w:val="0"/>
        </w:rPr>
        <w:t xml:space="preserve">. </w:t>
      </w:r>
      <w:r w:rsidRPr="0067437A">
        <w:rPr>
          <w:rFonts w:asciiTheme="minorHAnsi" w:hAnsiTheme="minorHAnsi"/>
          <w:snapToGrid w:val="0"/>
        </w:rPr>
        <w:t>The base case ICER was $</w:t>
      </w:r>
      <w:r w:rsidR="00141C18">
        <w:rPr>
          <w:rFonts w:asciiTheme="minorHAnsi" w:hAnsiTheme="minorHAnsi"/>
          <w:snapToGrid w:val="0"/>
        </w:rPr>
        <w:t>45,000 to</w:t>
      </w:r>
      <w:r w:rsidR="004B5CCF">
        <w:rPr>
          <w:rFonts w:asciiTheme="minorHAnsi" w:hAnsiTheme="minorHAnsi"/>
          <w:snapToGrid w:val="0"/>
        </w:rPr>
        <w:t xml:space="preserve"> </w:t>
      </w:r>
      <w:r w:rsidR="00141C18">
        <w:rPr>
          <w:rFonts w:asciiTheme="minorHAnsi" w:hAnsiTheme="minorHAnsi"/>
          <w:snapToGrid w:val="0"/>
        </w:rPr>
        <w:t>$</w:t>
      </w:r>
      <w:r w:rsidR="004B5CCF">
        <w:rPr>
          <w:rFonts w:asciiTheme="minorHAnsi" w:hAnsiTheme="minorHAnsi"/>
          <w:snapToGrid w:val="0"/>
        </w:rPr>
        <w:t>7</w:t>
      </w:r>
      <w:r w:rsidR="00141C18">
        <w:rPr>
          <w:rFonts w:asciiTheme="minorHAnsi" w:hAnsiTheme="minorHAnsi"/>
          <w:snapToGrid w:val="0"/>
        </w:rPr>
        <w:t>5,000</w:t>
      </w:r>
      <w:r w:rsidR="00B22269" w:rsidRPr="0067437A">
        <w:rPr>
          <w:rFonts w:asciiTheme="minorHAnsi" w:hAnsiTheme="minorHAnsi"/>
          <w:snapToGrid w:val="0"/>
        </w:rPr>
        <w:t xml:space="preserve"> per </w:t>
      </w:r>
      <w:r w:rsidRPr="0067437A">
        <w:rPr>
          <w:rFonts w:asciiTheme="minorHAnsi" w:hAnsiTheme="minorHAnsi"/>
          <w:snapToGrid w:val="0"/>
        </w:rPr>
        <w:t>QALY.</w:t>
      </w:r>
      <w:r w:rsidR="003036A4">
        <w:rPr>
          <w:rFonts w:asciiTheme="minorHAnsi" w:hAnsiTheme="minorHAnsi"/>
          <w:snapToGrid w:val="0"/>
        </w:rPr>
        <w:t xml:space="preserve"> </w:t>
      </w:r>
      <w:r w:rsidR="003036A4" w:rsidRPr="0067437A">
        <w:t>Reducing the price of selexipag as per the pre-P</w:t>
      </w:r>
      <w:r w:rsidR="004E3E98">
        <w:t>BA</w:t>
      </w:r>
      <w:r w:rsidR="003036A4" w:rsidRPr="0067437A">
        <w:t>C response (i.e. to $</w:t>
      </w:r>
      <w:r w:rsidR="00B24936">
        <w:rPr>
          <w:noProof/>
          <w:color w:val="000000"/>
          <w:highlight w:val="black"/>
        </w:rPr>
        <w:t>'''''''''''</w:t>
      </w:r>
      <w:r w:rsidR="003036A4" w:rsidRPr="0067437A">
        <w:t xml:space="preserve"> per pack) </w:t>
      </w:r>
      <w:r w:rsidR="003036A4">
        <w:t>reduced the</w:t>
      </w:r>
      <w:r w:rsidR="003036A4" w:rsidRPr="0067437A">
        <w:t xml:space="preserve"> ICER </w:t>
      </w:r>
      <w:r w:rsidR="003036A4">
        <w:t>to</w:t>
      </w:r>
      <w:r w:rsidR="003036A4" w:rsidRPr="0067437A">
        <w:t xml:space="preserve"> $</w:t>
      </w:r>
      <w:r w:rsidR="00141C18">
        <w:t>15,000 to $</w:t>
      </w:r>
      <w:r w:rsidR="004B5CCF">
        <w:t>4</w:t>
      </w:r>
      <w:r w:rsidR="00141C18">
        <w:t>5,000</w:t>
      </w:r>
      <w:r w:rsidR="003036A4" w:rsidRPr="0067437A">
        <w:t xml:space="preserve"> per QALY.</w:t>
      </w:r>
    </w:p>
    <w:p w:rsidR="00F66DD2" w:rsidRPr="0067437A" w:rsidRDefault="00F66DD2" w:rsidP="00F66DD2">
      <w:pPr>
        <w:pStyle w:val="TableFigureHeading"/>
        <w:rPr>
          <w:rStyle w:val="CommentReference"/>
          <w:b/>
          <w:szCs w:val="24"/>
        </w:rPr>
      </w:pPr>
      <w:r w:rsidRPr="0067437A">
        <w:rPr>
          <w:rStyle w:val="CommentReference"/>
          <w:b/>
          <w:szCs w:val="24"/>
        </w:rPr>
        <w:lastRenderedPageBreak/>
        <w:t>Table 1</w:t>
      </w:r>
      <w:r w:rsidR="0007076D">
        <w:rPr>
          <w:rStyle w:val="CommentReference"/>
          <w:b/>
          <w:szCs w:val="24"/>
        </w:rPr>
        <w:t>2</w:t>
      </w:r>
      <w:r w:rsidRPr="0067437A">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06"/>
        <w:gridCol w:w="1701"/>
        <w:gridCol w:w="1699"/>
        <w:gridCol w:w="1511"/>
      </w:tblGrid>
      <w:tr w:rsidR="00F66DD2" w:rsidRPr="0067437A" w:rsidTr="000759C4">
        <w:trPr>
          <w:tblHeader/>
        </w:trPr>
        <w:tc>
          <w:tcPr>
            <w:tcW w:w="2277" w:type="pct"/>
            <w:vAlign w:val="center"/>
          </w:tcPr>
          <w:p w:rsidR="00F66DD2" w:rsidRPr="0067437A" w:rsidRDefault="00F66DD2" w:rsidP="00F66DD2">
            <w:pPr>
              <w:pStyle w:val="In-tableHeading"/>
              <w:rPr>
                <w:lang w:val="en-AU"/>
              </w:rPr>
            </w:pPr>
            <w:r w:rsidRPr="0067437A">
              <w:rPr>
                <w:lang w:val="en-AU"/>
              </w:rPr>
              <w:t>Step and component</w:t>
            </w:r>
          </w:p>
        </w:tc>
        <w:tc>
          <w:tcPr>
            <w:tcW w:w="943" w:type="pct"/>
            <w:vAlign w:val="center"/>
          </w:tcPr>
          <w:p w:rsidR="00F66DD2" w:rsidRPr="0067437A" w:rsidRDefault="00F66DD2" w:rsidP="00F66DD2">
            <w:pPr>
              <w:pStyle w:val="In-tableHeading"/>
              <w:jc w:val="center"/>
              <w:rPr>
                <w:lang w:val="en-AU"/>
              </w:rPr>
            </w:pPr>
            <w:r w:rsidRPr="0067437A">
              <w:rPr>
                <w:lang w:val="en-AU"/>
              </w:rPr>
              <w:t>Selexipag</w:t>
            </w:r>
          </w:p>
        </w:tc>
        <w:tc>
          <w:tcPr>
            <w:tcW w:w="942" w:type="pct"/>
            <w:vAlign w:val="center"/>
          </w:tcPr>
          <w:p w:rsidR="00F66DD2" w:rsidRPr="0067437A" w:rsidRDefault="00F66DD2" w:rsidP="00F66DD2">
            <w:pPr>
              <w:pStyle w:val="In-tableHeading"/>
              <w:jc w:val="center"/>
              <w:rPr>
                <w:lang w:val="en-AU"/>
              </w:rPr>
            </w:pPr>
            <w:r w:rsidRPr="0067437A">
              <w:rPr>
                <w:lang w:val="en-AU"/>
              </w:rPr>
              <w:t>Placebo</w:t>
            </w:r>
          </w:p>
        </w:tc>
        <w:tc>
          <w:tcPr>
            <w:tcW w:w="838" w:type="pct"/>
            <w:vAlign w:val="center"/>
          </w:tcPr>
          <w:p w:rsidR="00F66DD2" w:rsidRPr="0067437A" w:rsidRDefault="00F66DD2" w:rsidP="00F66DD2">
            <w:pPr>
              <w:pStyle w:val="In-tableHeading"/>
              <w:jc w:val="center"/>
              <w:rPr>
                <w:lang w:val="en-AU"/>
              </w:rPr>
            </w:pPr>
            <w:r w:rsidRPr="0067437A">
              <w:rPr>
                <w:lang w:val="en-AU"/>
              </w:rPr>
              <w:t>Increment</w:t>
            </w:r>
          </w:p>
        </w:tc>
      </w:tr>
      <w:tr w:rsidR="00F66DD2" w:rsidRPr="0067437A" w:rsidTr="00F66DD2">
        <w:tc>
          <w:tcPr>
            <w:tcW w:w="5000" w:type="pct"/>
            <w:gridSpan w:val="4"/>
            <w:vAlign w:val="center"/>
          </w:tcPr>
          <w:p w:rsidR="00752F7D" w:rsidRPr="0067437A" w:rsidRDefault="00F66DD2" w:rsidP="00F66DD2">
            <w:pPr>
              <w:pStyle w:val="TableText0"/>
              <w:rPr>
                <w:b/>
              </w:rPr>
            </w:pPr>
            <w:r w:rsidRPr="0067437A">
              <w:rPr>
                <w:b/>
              </w:rPr>
              <w:t xml:space="preserve">Step 1: </w:t>
            </w:r>
            <w:r w:rsidR="00752F7D" w:rsidRPr="0067437A">
              <w:rPr>
                <w:b/>
              </w:rPr>
              <w:t>T</w:t>
            </w:r>
            <w:r w:rsidRPr="0067437A">
              <w:rPr>
                <w:b/>
              </w:rPr>
              <w:t>rial-based</w:t>
            </w:r>
            <w:r w:rsidR="00FE1A16" w:rsidRPr="0067437A">
              <w:rPr>
                <w:b/>
              </w:rPr>
              <w:t xml:space="preserve"> </w:t>
            </w:r>
            <w:r w:rsidR="00752F7D" w:rsidRPr="0067437A">
              <w:rPr>
                <w:b/>
              </w:rPr>
              <w:t>analysis</w:t>
            </w:r>
            <w:r w:rsidR="00100DD1" w:rsidRPr="0067437A">
              <w:rPr>
                <w:b/>
              </w:rPr>
              <w:t xml:space="preserve"> </w:t>
            </w:r>
            <w:r w:rsidR="00787939" w:rsidRPr="0067437A">
              <w:rPr>
                <w:b/>
              </w:rPr>
              <w:t>(</w:t>
            </w:r>
            <w:r w:rsidR="00100DD1" w:rsidRPr="0067437A">
              <w:rPr>
                <w:b/>
              </w:rPr>
              <w:t>69 weeks</w:t>
            </w:r>
            <w:r w:rsidR="00787939" w:rsidRPr="0067437A">
              <w:rPr>
                <w:b/>
              </w:rPr>
              <w:t>)</w:t>
            </w:r>
            <w:r w:rsidR="000201EF" w:rsidRPr="0067437A">
              <w:rPr>
                <w:b/>
              </w:rPr>
              <w:t>: WHO FC III</w:t>
            </w:r>
            <w:r w:rsidR="00985661" w:rsidRPr="0067437A">
              <w:rPr>
                <w:b/>
              </w:rPr>
              <w:t xml:space="preserve"> </w:t>
            </w:r>
            <w:r w:rsidR="000201EF" w:rsidRPr="0067437A">
              <w:rPr>
                <w:b/>
              </w:rPr>
              <w:t xml:space="preserve">+ background </w:t>
            </w:r>
            <w:r w:rsidR="00985661" w:rsidRPr="0067437A">
              <w:rPr>
                <w:b/>
              </w:rPr>
              <w:t>dual therapy subgroup from</w:t>
            </w:r>
            <w:r w:rsidR="000201EF" w:rsidRPr="0067437A">
              <w:rPr>
                <w:b/>
              </w:rPr>
              <w:t xml:space="preserve"> GRIPHON</w:t>
            </w:r>
          </w:p>
          <w:p w:rsidR="00752F7D" w:rsidRPr="0067437A" w:rsidRDefault="00752F7D" w:rsidP="00452466">
            <w:pPr>
              <w:pStyle w:val="TableText0"/>
            </w:pPr>
            <w:r w:rsidRPr="0067437A">
              <w:rPr>
                <w:u w:val="single"/>
              </w:rPr>
              <w:t>C</w:t>
            </w:r>
            <w:r w:rsidR="00FE1A16" w:rsidRPr="0067437A">
              <w:rPr>
                <w:u w:val="single"/>
              </w:rPr>
              <w:t>osts</w:t>
            </w:r>
            <w:r w:rsidRPr="0067437A">
              <w:rPr>
                <w:u w:val="single"/>
              </w:rPr>
              <w:t>:</w:t>
            </w:r>
            <w:r w:rsidR="00452466" w:rsidRPr="0067437A">
              <w:t xml:space="preserve"> </w:t>
            </w:r>
            <w:r w:rsidR="0062675B" w:rsidRPr="0067437A">
              <w:t>drug cost</w:t>
            </w:r>
            <w:r w:rsidR="00985661" w:rsidRPr="0067437A">
              <w:t>s</w:t>
            </w:r>
            <w:r w:rsidR="00FE1A16" w:rsidRPr="0067437A">
              <w:t xml:space="preserve"> for selexipag and background </w:t>
            </w:r>
            <w:r w:rsidRPr="0067437A">
              <w:t>therapies</w:t>
            </w:r>
            <w:r w:rsidR="0062675B" w:rsidRPr="0067437A">
              <w:t xml:space="preserve">, </w:t>
            </w:r>
            <w:r w:rsidRPr="0067437A">
              <w:t>costs for nurse and doctor visits during selexipag dose titration</w:t>
            </w:r>
          </w:p>
          <w:p w:rsidR="00AE3618" w:rsidRPr="0067437A" w:rsidRDefault="00452466" w:rsidP="00AE3618">
            <w:pPr>
              <w:pStyle w:val="TableText0"/>
            </w:pPr>
            <w:r w:rsidRPr="0067437A">
              <w:rPr>
                <w:u w:val="single"/>
              </w:rPr>
              <w:t>O</w:t>
            </w:r>
            <w:r w:rsidR="00FE1A16" w:rsidRPr="0067437A">
              <w:rPr>
                <w:u w:val="single"/>
              </w:rPr>
              <w:t>utcomes</w:t>
            </w:r>
            <w:r w:rsidRPr="0067437A">
              <w:t>:</w:t>
            </w:r>
            <w:r w:rsidR="00FE1A16" w:rsidRPr="0067437A">
              <w:t xml:space="preserve"> </w:t>
            </w:r>
            <w:r w:rsidR="00752F7D" w:rsidRPr="0067437A">
              <w:t>Progression free life years for those who survi</w:t>
            </w:r>
            <w:r w:rsidR="0062675B" w:rsidRPr="0067437A">
              <w:t>ve</w:t>
            </w:r>
            <w:r w:rsidRPr="0067437A">
              <w:t xml:space="preserve"> </w:t>
            </w:r>
            <w:r w:rsidR="009C2E29" w:rsidRPr="0067437A">
              <w:t>and did not have a morbidity outcome adjusted for mean time on treatment</w:t>
            </w:r>
          </w:p>
        </w:tc>
      </w:tr>
      <w:tr w:rsidR="00F66DD2" w:rsidRPr="0067437A" w:rsidTr="000759C4">
        <w:tc>
          <w:tcPr>
            <w:tcW w:w="2277" w:type="pct"/>
            <w:vAlign w:val="center"/>
          </w:tcPr>
          <w:p w:rsidR="00F66DD2" w:rsidRPr="0067437A" w:rsidRDefault="00F66DD2" w:rsidP="00F66DD2">
            <w:pPr>
              <w:pStyle w:val="TableText0"/>
              <w:rPr>
                <w:rFonts w:ascii="Times" w:hAnsi="Times"/>
              </w:rPr>
            </w:pPr>
            <w:r w:rsidRPr="0067437A">
              <w:t>Costs</w:t>
            </w:r>
          </w:p>
        </w:tc>
        <w:tc>
          <w:tcPr>
            <w:tcW w:w="943" w:type="pct"/>
            <w:vAlign w:val="center"/>
          </w:tcPr>
          <w:p w:rsidR="00F66DD2" w:rsidRPr="0067437A" w:rsidRDefault="00F66DD2" w:rsidP="00704110">
            <w:pPr>
              <w:pStyle w:val="TableText0"/>
              <w:jc w:val="center"/>
              <w:rPr>
                <w:rFonts w:ascii="Times" w:hAnsi="Times"/>
                <w:iCs/>
              </w:rPr>
            </w:pPr>
            <w:r w:rsidRPr="0067437A">
              <w:rPr>
                <w:iCs/>
              </w:rPr>
              <w:t>$</w:t>
            </w:r>
            <w:r w:rsidR="00B24936">
              <w:rPr>
                <w:iCs/>
                <w:noProof/>
                <w:color w:val="000000"/>
                <w:highlight w:val="black"/>
              </w:rPr>
              <w:t>''''''''''''''''''</w:t>
            </w:r>
          </w:p>
        </w:tc>
        <w:tc>
          <w:tcPr>
            <w:tcW w:w="942" w:type="pct"/>
            <w:vAlign w:val="center"/>
          </w:tcPr>
          <w:p w:rsidR="00F66DD2" w:rsidRPr="0067437A" w:rsidRDefault="00F66DD2" w:rsidP="00F66DD2">
            <w:pPr>
              <w:pStyle w:val="TableText0"/>
              <w:jc w:val="center"/>
              <w:rPr>
                <w:rFonts w:ascii="Times" w:hAnsi="Times"/>
                <w:iCs/>
              </w:rPr>
            </w:pPr>
            <w:r w:rsidRPr="0067437A">
              <w:rPr>
                <w:iCs/>
              </w:rPr>
              <w:t>$</w:t>
            </w:r>
            <w:r w:rsidR="00B24936">
              <w:rPr>
                <w:iCs/>
                <w:noProof/>
                <w:color w:val="000000"/>
                <w:highlight w:val="black"/>
              </w:rPr>
              <w:t>''''''''''''''''''</w:t>
            </w:r>
            <w:r w:rsidR="00214998" w:rsidRPr="0067437A">
              <w:rPr>
                <w:iCs/>
              </w:rPr>
              <w:t>*</w:t>
            </w:r>
          </w:p>
        </w:tc>
        <w:tc>
          <w:tcPr>
            <w:tcW w:w="838" w:type="pct"/>
            <w:vAlign w:val="center"/>
          </w:tcPr>
          <w:p w:rsidR="00F66DD2" w:rsidRPr="0067437A" w:rsidRDefault="00F66DD2" w:rsidP="00F66DD2">
            <w:pPr>
              <w:pStyle w:val="TableText0"/>
              <w:jc w:val="center"/>
              <w:rPr>
                <w:rFonts w:ascii="Times" w:hAnsi="Times"/>
                <w:iCs/>
              </w:rPr>
            </w:pPr>
            <w:r w:rsidRPr="0067437A">
              <w:rPr>
                <w:iCs/>
              </w:rPr>
              <w:t>$</w:t>
            </w:r>
            <w:r w:rsidR="00B24936">
              <w:rPr>
                <w:iCs/>
                <w:noProof/>
                <w:color w:val="000000"/>
                <w:highlight w:val="black"/>
              </w:rPr>
              <w:t>''''''''''''''''</w:t>
            </w:r>
          </w:p>
        </w:tc>
      </w:tr>
      <w:tr w:rsidR="00F66DD2" w:rsidRPr="0067437A" w:rsidTr="000759C4">
        <w:tc>
          <w:tcPr>
            <w:tcW w:w="2277" w:type="pct"/>
            <w:vAlign w:val="center"/>
          </w:tcPr>
          <w:p w:rsidR="00F66DD2" w:rsidRPr="0067437A" w:rsidRDefault="00F66DD2" w:rsidP="00F66DD2">
            <w:pPr>
              <w:pStyle w:val="TableText0"/>
              <w:rPr>
                <w:rFonts w:ascii="Times" w:hAnsi="Times"/>
              </w:rPr>
            </w:pPr>
            <w:r w:rsidRPr="0067437A">
              <w:t>Progression-free life years</w:t>
            </w:r>
          </w:p>
        </w:tc>
        <w:tc>
          <w:tcPr>
            <w:tcW w:w="943" w:type="pct"/>
            <w:vAlign w:val="center"/>
          </w:tcPr>
          <w:p w:rsidR="00F66DD2" w:rsidRPr="00B24936" w:rsidRDefault="00B24936" w:rsidP="00F66DD2">
            <w:pPr>
              <w:pStyle w:val="TableText0"/>
              <w:jc w:val="center"/>
              <w:rPr>
                <w:rFonts w:ascii="Times" w:hAnsi="Times"/>
                <w:bCs w:val="0"/>
                <w:highlight w:val="black"/>
              </w:rPr>
            </w:pPr>
            <w:r>
              <w:rPr>
                <w:bCs w:val="0"/>
                <w:noProof/>
                <w:color w:val="000000"/>
                <w:highlight w:val="black"/>
              </w:rPr>
              <w:t>''''''''''</w:t>
            </w:r>
          </w:p>
        </w:tc>
        <w:tc>
          <w:tcPr>
            <w:tcW w:w="942" w:type="pct"/>
            <w:vAlign w:val="center"/>
          </w:tcPr>
          <w:p w:rsidR="00F66DD2" w:rsidRPr="00B24936" w:rsidRDefault="00B24936" w:rsidP="00F66DD2">
            <w:pPr>
              <w:pStyle w:val="TableText0"/>
              <w:jc w:val="center"/>
              <w:rPr>
                <w:rFonts w:ascii="Times" w:hAnsi="Times"/>
                <w:bCs w:val="0"/>
                <w:highlight w:val="black"/>
              </w:rPr>
            </w:pPr>
            <w:r>
              <w:rPr>
                <w:bCs w:val="0"/>
                <w:noProof/>
                <w:color w:val="000000"/>
                <w:highlight w:val="black"/>
              </w:rPr>
              <w:t>'''''''''''</w:t>
            </w:r>
          </w:p>
        </w:tc>
        <w:tc>
          <w:tcPr>
            <w:tcW w:w="838" w:type="pct"/>
            <w:vAlign w:val="center"/>
          </w:tcPr>
          <w:p w:rsidR="00F66DD2" w:rsidRPr="00B24936" w:rsidRDefault="00B24936" w:rsidP="00F66DD2">
            <w:pPr>
              <w:pStyle w:val="TableText0"/>
              <w:jc w:val="center"/>
              <w:rPr>
                <w:bCs w:val="0"/>
                <w:highlight w:val="black"/>
              </w:rPr>
            </w:pPr>
            <w:r>
              <w:rPr>
                <w:bCs w:val="0"/>
                <w:noProof/>
                <w:color w:val="000000"/>
                <w:highlight w:val="black"/>
              </w:rPr>
              <w:t>''''''''''''</w:t>
            </w:r>
          </w:p>
        </w:tc>
      </w:tr>
      <w:tr w:rsidR="00F66DD2" w:rsidRPr="0067437A" w:rsidTr="00F66DD2">
        <w:tc>
          <w:tcPr>
            <w:tcW w:w="4162" w:type="pct"/>
            <w:gridSpan w:val="3"/>
            <w:vAlign w:val="center"/>
          </w:tcPr>
          <w:p w:rsidR="00F66DD2" w:rsidRPr="0067437A" w:rsidRDefault="00F66DD2" w:rsidP="00F66DD2">
            <w:pPr>
              <w:pStyle w:val="TableText0"/>
              <w:rPr>
                <w:rFonts w:ascii="Times" w:hAnsi="Times"/>
                <w:b/>
              </w:rPr>
            </w:pPr>
            <w:r w:rsidRPr="0067437A">
              <w:rPr>
                <w:b/>
              </w:rPr>
              <w:t>Incremental cost/additional progression-free life year</w:t>
            </w:r>
          </w:p>
        </w:tc>
        <w:tc>
          <w:tcPr>
            <w:tcW w:w="838" w:type="pct"/>
            <w:vAlign w:val="center"/>
          </w:tcPr>
          <w:p w:rsidR="00F66DD2" w:rsidRPr="0067437A" w:rsidRDefault="00F66DD2" w:rsidP="00F66DD2">
            <w:pPr>
              <w:pStyle w:val="TableText0"/>
              <w:jc w:val="center"/>
              <w:rPr>
                <w:rFonts w:ascii="Times" w:hAnsi="Times"/>
                <w:iCs/>
              </w:rPr>
            </w:pPr>
            <w:r w:rsidRPr="0067437A">
              <w:rPr>
                <w:iCs/>
              </w:rPr>
              <w:t>$</w:t>
            </w:r>
            <w:r w:rsidR="00B24936">
              <w:rPr>
                <w:iCs/>
                <w:noProof/>
                <w:color w:val="000000"/>
                <w:highlight w:val="black"/>
              </w:rPr>
              <w:t>''''''''''''''''''</w:t>
            </w:r>
            <w:r w:rsidR="00214998" w:rsidRPr="0067437A">
              <w:rPr>
                <w:iCs/>
              </w:rPr>
              <w:t>*</w:t>
            </w:r>
          </w:p>
        </w:tc>
      </w:tr>
      <w:tr w:rsidR="00F66DD2" w:rsidRPr="0067437A" w:rsidTr="00F66DD2">
        <w:tc>
          <w:tcPr>
            <w:tcW w:w="5000" w:type="pct"/>
            <w:gridSpan w:val="4"/>
            <w:vAlign w:val="center"/>
          </w:tcPr>
          <w:p w:rsidR="00100DD1" w:rsidRPr="0067437A" w:rsidRDefault="00F66DD2" w:rsidP="00F66DD2">
            <w:pPr>
              <w:pStyle w:val="In-tableHeading"/>
              <w:rPr>
                <w:lang w:val="en-AU"/>
              </w:rPr>
            </w:pPr>
            <w:r w:rsidRPr="0067437A">
              <w:rPr>
                <w:lang w:val="en-AU"/>
              </w:rPr>
              <w:t xml:space="preserve">Step 2: </w:t>
            </w:r>
            <w:r w:rsidR="00100DD1" w:rsidRPr="0067437A">
              <w:rPr>
                <w:lang w:val="en-AU"/>
              </w:rPr>
              <w:t xml:space="preserve">Trial based analysis over </w:t>
            </w:r>
            <w:r w:rsidR="007E5C9E" w:rsidRPr="0067437A">
              <w:rPr>
                <w:lang w:val="en-AU"/>
              </w:rPr>
              <w:t>69 weeks</w:t>
            </w:r>
          </w:p>
          <w:p w:rsidR="00100DD1" w:rsidRPr="0067437A" w:rsidRDefault="00100DD1" w:rsidP="00F66DD2">
            <w:pPr>
              <w:pStyle w:val="In-tableHeading"/>
              <w:rPr>
                <w:b w:val="0"/>
                <w:u w:val="single"/>
                <w:lang w:val="en-AU"/>
              </w:rPr>
            </w:pPr>
            <w:r w:rsidRPr="0067437A">
              <w:rPr>
                <w:b w:val="0"/>
                <w:lang w:val="en-AU"/>
              </w:rPr>
              <w:t xml:space="preserve">As for Step 1 </w:t>
            </w:r>
            <w:r w:rsidRPr="0067437A">
              <w:rPr>
                <w:b w:val="0"/>
                <w:u w:val="single"/>
                <w:lang w:val="en-AU"/>
              </w:rPr>
              <w:t>plus:</w:t>
            </w:r>
          </w:p>
          <w:p w:rsidR="003D552A" w:rsidRPr="0067437A" w:rsidRDefault="007E5C9E" w:rsidP="00F33FA7">
            <w:pPr>
              <w:pStyle w:val="In-tableHeading"/>
              <w:numPr>
                <w:ilvl w:val="0"/>
                <w:numId w:val="15"/>
              </w:numPr>
              <w:ind w:left="104" w:hanging="142"/>
              <w:rPr>
                <w:b w:val="0"/>
                <w:lang w:val="en-AU"/>
              </w:rPr>
            </w:pPr>
            <w:r w:rsidRPr="0067437A">
              <w:rPr>
                <w:b w:val="0"/>
                <w:lang w:val="en-AU"/>
              </w:rPr>
              <w:t xml:space="preserve">Added </w:t>
            </w:r>
            <w:r w:rsidR="008A37F1" w:rsidRPr="0067437A">
              <w:rPr>
                <w:b w:val="0"/>
                <w:lang w:val="en-AU"/>
              </w:rPr>
              <w:t>% o</w:t>
            </w:r>
            <w:r w:rsidR="00985661" w:rsidRPr="0067437A">
              <w:rPr>
                <w:b w:val="0"/>
                <w:lang w:val="en-AU"/>
              </w:rPr>
              <w:t>f</w:t>
            </w:r>
            <w:r w:rsidR="008A37F1" w:rsidRPr="0067437A">
              <w:rPr>
                <w:b w:val="0"/>
                <w:lang w:val="en-AU"/>
              </w:rPr>
              <w:t xml:space="preserve"> patients with improvement in WHO FC at </w:t>
            </w:r>
            <w:r w:rsidRPr="0067437A">
              <w:rPr>
                <w:b w:val="0"/>
                <w:lang w:val="en-AU"/>
              </w:rPr>
              <w:t>Week</w:t>
            </w:r>
            <w:r w:rsidR="003D552A" w:rsidRPr="0067437A">
              <w:rPr>
                <w:b w:val="0"/>
                <w:lang w:val="en-AU"/>
              </w:rPr>
              <w:t xml:space="preserve"> 16</w:t>
            </w:r>
          </w:p>
          <w:p w:rsidR="003D552A" w:rsidRPr="0067437A" w:rsidRDefault="003D552A" w:rsidP="00F33FA7">
            <w:pPr>
              <w:pStyle w:val="In-tableHeading"/>
              <w:numPr>
                <w:ilvl w:val="0"/>
                <w:numId w:val="15"/>
              </w:numPr>
              <w:ind w:left="104" w:hanging="142"/>
              <w:rPr>
                <w:b w:val="0"/>
                <w:lang w:val="en-AU"/>
              </w:rPr>
            </w:pPr>
            <w:r w:rsidRPr="0067437A">
              <w:rPr>
                <w:b w:val="0"/>
                <w:lang w:val="en-AU"/>
              </w:rPr>
              <w:t>Calculation of mean time spent in each health state (Improved, Stable, Progressed and Dead)</w:t>
            </w:r>
          </w:p>
          <w:p w:rsidR="003D552A" w:rsidRPr="0067437A" w:rsidRDefault="00114FB4" w:rsidP="00F33FA7">
            <w:pPr>
              <w:pStyle w:val="In-tableHeading"/>
              <w:numPr>
                <w:ilvl w:val="0"/>
                <w:numId w:val="15"/>
              </w:numPr>
              <w:ind w:left="104" w:hanging="142"/>
              <w:rPr>
                <w:b w:val="0"/>
                <w:lang w:val="en-AU"/>
              </w:rPr>
            </w:pPr>
            <w:r w:rsidRPr="0067437A">
              <w:rPr>
                <w:b w:val="0"/>
                <w:lang w:val="en-AU"/>
              </w:rPr>
              <w:t xml:space="preserve">Applied health state utility weights to estimate </w:t>
            </w:r>
            <w:r w:rsidR="003D552A" w:rsidRPr="0067437A">
              <w:rPr>
                <w:b w:val="0"/>
                <w:lang w:val="en-AU"/>
              </w:rPr>
              <w:t>QALYs</w:t>
            </w:r>
            <w:r w:rsidRPr="0067437A">
              <w:rPr>
                <w:b w:val="0"/>
                <w:lang w:val="en-AU"/>
              </w:rPr>
              <w:t xml:space="preserve"> </w:t>
            </w:r>
            <w:r w:rsidR="003D552A" w:rsidRPr="0067437A">
              <w:rPr>
                <w:b w:val="0"/>
                <w:lang w:val="en-AU"/>
              </w:rPr>
              <w:t xml:space="preserve"> </w:t>
            </w:r>
          </w:p>
          <w:p w:rsidR="00F66DD2" w:rsidRPr="0067437A" w:rsidRDefault="000F1952" w:rsidP="00F33FA7">
            <w:pPr>
              <w:pStyle w:val="In-tableHeading"/>
              <w:numPr>
                <w:ilvl w:val="0"/>
                <w:numId w:val="15"/>
              </w:numPr>
              <w:ind w:left="104" w:hanging="142"/>
              <w:rPr>
                <w:b w:val="0"/>
                <w:lang w:val="en-AU"/>
              </w:rPr>
            </w:pPr>
            <w:r w:rsidRPr="0067437A">
              <w:rPr>
                <w:b w:val="0"/>
                <w:lang w:val="en-AU"/>
              </w:rPr>
              <w:t xml:space="preserve">Added drug and administration costs for IV epoprostenol based on the assumption that 80% of patients </w:t>
            </w:r>
            <w:r w:rsidR="00E176F9" w:rsidRPr="0067437A">
              <w:rPr>
                <w:b w:val="0"/>
                <w:lang w:val="en-AU"/>
              </w:rPr>
              <w:t xml:space="preserve">will initiate </w:t>
            </w:r>
            <w:r w:rsidR="00114FB4" w:rsidRPr="0067437A">
              <w:rPr>
                <w:b w:val="0"/>
                <w:lang w:val="en-AU"/>
              </w:rPr>
              <w:t xml:space="preserve">treatment </w:t>
            </w:r>
            <w:r w:rsidR="00E176F9" w:rsidRPr="0067437A">
              <w:rPr>
                <w:b w:val="0"/>
                <w:lang w:val="en-AU"/>
              </w:rPr>
              <w:t xml:space="preserve">upon </w:t>
            </w:r>
            <w:r w:rsidR="00114FB4" w:rsidRPr="0067437A">
              <w:rPr>
                <w:b w:val="0"/>
                <w:lang w:val="en-AU"/>
              </w:rPr>
              <w:t>entering the</w:t>
            </w:r>
            <w:r w:rsidR="00E176F9" w:rsidRPr="0067437A">
              <w:rPr>
                <w:b w:val="0"/>
                <w:lang w:val="en-AU"/>
              </w:rPr>
              <w:t xml:space="preserve"> Progressed health state</w:t>
            </w:r>
          </w:p>
        </w:tc>
      </w:tr>
      <w:tr w:rsidR="00F66DD2" w:rsidRPr="0067437A" w:rsidTr="000759C4">
        <w:tc>
          <w:tcPr>
            <w:tcW w:w="2277" w:type="pct"/>
            <w:vAlign w:val="center"/>
          </w:tcPr>
          <w:p w:rsidR="00F66DD2" w:rsidRPr="0067437A" w:rsidRDefault="00F66DD2" w:rsidP="00F66DD2">
            <w:pPr>
              <w:pStyle w:val="TableText0"/>
              <w:rPr>
                <w:rFonts w:ascii="Times" w:hAnsi="Times"/>
              </w:rPr>
            </w:pPr>
            <w:r w:rsidRPr="0067437A">
              <w:t>Costs</w:t>
            </w:r>
          </w:p>
        </w:tc>
        <w:tc>
          <w:tcPr>
            <w:tcW w:w="943" w:type="pct"/>
            <w:vAlign w:val="center"/>
          </w:tcPr>
          <w:p w:rsidR="00F66DD2" w:rsidRPr="0067437A" w:rsidRDefault="00F66DD2" w:rsidP="00F66DD2">
            <w:pPr>
              <w:pStyle w:val="TableText0"/>
              <w:jc w:val="center"/>
              <w:rPr>
                <w:rFonts w:ascii="Times" w:hAnsi="Times"/>
                <w:iCs/>
              </w:rPr>
            </w:pPr>
            <w:r w:rsidRPr="0067437A">
              <w:rPr>
                <w:iCs/>
              </w:rPr>
              <w:t>$</w:t>
            </w:r>
            <w:r w:rsidR="00B24936">
              <w:rPr>
                <w:iCs/>
                <w:noProof/>
                <w:color w:val="000000"/>
                <w:highlight w:val="black"/>
              </w:rPr>
              <w:t>''''''''''''''''''</w:t>
            </w:r>
          </w:p>
        </w:tc>
        <w:tc>
          <w:tcPr>
            <w:tcW w:w="942" w:type="pct"/>
            <w:vAlign w:val="center"/>
          </w:tcPr>
          <w:p w:rsidR="00F66DD2" w:rsidRPr="0067437A" w:rsidRDefault="00F66DD2" w:rsidP="00F66DD2">
            <w:pPr>
              <w:pStyle w:val="TableText0"/>
              <w:jc w:val="center"/>
              <w:rPr>
                <w:rFonts w:ascii="Times" w:hAnsi="Times"/>
                <w:iCs/>
              </w:rPr>
            </w:pPr>
            <w:r w:rsidRPr="0067437A">
              <w:rPr>
                <w:iCs/>
              </w:rPr>
              <w:t>$</w:t>
            </w:r>
            <w:r w:rsidR="00B24936">
              <w:rPr>
                <w:iCs/>
                <w:noProof/>
                <w:color w:val="000000"/>
                <w:highlight w:val="black"/>
              </w:rPr>
              <w:t>''''''''''''''''</w:t>
            </w:r>
          </w:p>
        </w:tc>
        <w:tc>
          <w:tcPr>
            <w:tcW w:w="838" w:type="pct"/>
            <w:vAlign w:val="center"/>
          </w:tcPr>
          <w:p w:rsidR="00F66DD2" w:rsidRPr="0067437A" w:rsidRDefault="00F66DD2" w:rsidP="00F66DD2">
            <w:pPr>
              <w:pStyle w:val="TableText0"/>
              <w:jc w:val="center"/>
              <w:rPr>
                <w:rFonts w:ascii="Times" w:hAnsi="Times"/>
                <w:iCs/>
              </w:rPr>
            </w:pPr>
            <w:r w:rsidRPr="0067437A">
              <w:rPr>
                <w:iCs/>
              </w:rPr>
              <w:t>$</w:t>
            </w:r>
            <w:r w:rsidR="00B24936">
              <w:rPr>
                <w:iCs/>
                <w:noProof/>
                <w:color w:val="000000"/>
                <w:highlight w:val="black"/>
              </w:rPr>
              <w:t>''''''''''''''''</w:t>
            </w:r>
          </w:p>
        </w:tc>
      </w:tr>
      <w:tr w:rsidR="00F66DD2" w:rsidRPr="0067437A" w:rsidTr="000759C4">
        <w:tc>
          <w:tcPr>
            <w:tcW w:w="2277" w:type="pct"/>
            <w:vAlign w:val="center"/>
          </w:tcPr>
          <w:p w:rsidR="00F66DD2" w:rsidRPr="0067437A" w:rsidRDefault="00114FB4" w:rsidP="00F66DD2">
            <w:pPr>
              <w:pStyle w:val="TableText0"/>
              <w:rPr>
                <w:rFonts w:ascii="Times" w:hAnsi="Times"/>
              </w:rPr>
            </w:pPr>
            <w:r w:rsidRPr="0067437A">
              <w:t>QALYs</w:t>
            </w:r>
          </w:p>
        </w:tc>
        <w:tc>
          <w:tcPr>
            <w:tcW w:w="943" w:type="pct"/>
            <w:vAlign w:val="center"/>
          </w:tcPr>
          <w:p w:rsidR="00F66DD2" w:rsidRPr="00B24936" w:rsidRDefault="00B24936" w:rsidP="00F66DD2">
            <w:pPr>
              <w:pStyle w:val="TableText0"/>
              <w:jc w:val="center"/>
              <w:rPr>
                <w:rFonts w:ascii="Times" w:hAnsi="Times"/>
                <w:bCs w:val="0"/>
                <w:highlight w:val="black"/>
              </w:rPr>
            </w:pPr>
            <w:r>
              <w:rPr>
                <w:bCs w:val="0"/>
                <w:noProof/>
                <w:color w:val="000000"/>
                <w:highlight w:val="black"/>
              </w:rPr>
              <w:t>''''''''''</w:t>
            </w:r>
          </w:p>
        </w:tc>
        <w:tc>
          <w:tcPr>
            <w:tcW w:w="942" w:type="pct"/>
            <w:vAlign w:val="center"/>
          </w:tcPr>
          <w:p w:rsidR="00F66DD2" w:rsidRPr="00B24936" w:rsidRDefault="00B24936" w:rsidP="00F66DD2">
            <w:pPr>
              <w:pStyle w:val="TableText0"/>
              <w:jc w:val="center"/>
              <w:rPr>
                <w:rFonts w:ascii="Times" w:hAnsi="Times"/>
                <w:bCs w:val="0"/>
                <w:highlight w:val="black"/>
              </w:rPr>
            </w:pPr>
            <w:r>
              <w:rPr>
                <w:bCs w:val="0"/>
                <w:noProof/>
                <w:color w:val="000000"/>
                <w:highlight w:val="black"/>
              </w:rPr>
              <w:t>''''''''''</w:t>
            </w:r>
          </w:p>
        </w:tc>
        <w:tc>
          <w:tcPr>
            <w:tcW w:w="838" w:type="pct"/>
            <w:vAlign w:val="center"/>
          </w:tcPr>
          <w:p w:rsidR="00F66DD2" w:rsidRPr="00B24936" w:rsidRDefault="00B24936" w:rsidP="00F66DD2">
            <w:pPr>
              <w:pStyle w:val="TableText0"/>
              <w:jc w:val="center"/>
              <w:rPr>
                <w:bCs w:val="0"/>
                <w:highlight w:val="black"/>
              </w:rPr>
            </w:pPr>
            <w:r>
              <w:rPr>
                <w:bCs w:val="0"/>
                <w:noProof/>
                <w:color w:val="000000"/>
                <w:highlight w:val="black"/>
              </w:rPr>
              <w:t>'''''''''''''''''</w:t>
            </w:r>
          </w:p>
        </w:tc>
      </w:tr>
      <w:tr w:rsidR="00F66DD2" w:rsidRPr="0067437A" w:rsidTr="00F66DD2">
        <w:tc>
          <w:tcPr>
            <w:tcW w:w="4162" w:type="pct"/>
            <w:gridSpan w:val="3"/>
            <w:vAlign w:val="center"/>
          </w:tcPr>
          <w:p w:rsidR="00F66DD2" w:rsidRPr="0067437A" w:rsidRDefault="00F66DD2" w:rsidP="00F66DD2">
            <w:pPr>
              <w:pStyle w:val="TableText0"/>
              <w:rPr>
                <w:rFonts w:ascii="Times" w:hAnsi="Times"/>
              </w:rPr>
            </w:pPr>
            <w:r w:rsidRPr="0067437A">
              <w:t>Incremental cost/extra QALY gained</w:t>
            </w:r>
          </w:p>
        </w:tc>
        <w:tc>
          <w:tcPr>
            <w:tcW w:w="838" w:type="pct"/>
            <w:vAlign w:val="center"/>
          </w:tcPr>
          <w:p w:rsidR="00F66DD2" w:rsidRPr="0067437A" w:rsidRDefault="00F66DD2" w:rsidP="00F66DD2">
            <w:pPr>
              <w:pStyle w:val="TableText0"/>
              <w:jc w:val="center"/>
              <w:rPr>
                <w:rFonts w:ascii="Times" w:hAnsi="Times"/>
              </w:rPr>
            </w:pPr>
            <w:r w:rsidRPr="0067437A">
              <w:t>$</w:t>
            </w:r>
            <w:r w:rsidR="00B24936">
              <w:rPr>
                <w:noProof/>
                <w:color w:val="000000"/>
                <w:highlight w:val="black"/>
              </w:rPr>
              <w:t>''''''''''''''''''</w:t>
            </w:r>
          </w:p>
        </w:tc>
      </w:tr>
      <w:tr w:rsidR="00F66DD2" w:rsidRPr="0067437A" w:rsidTr="00F66DD2">
        <w:tc>
          <w:tcPr>
            <w:tcW w:w="5000" w:type="pct"/>
            <w:gridSpan w:val="4"/>
            <w:vAlign w:val="center"/>
          </w:tcPr>
          <w:p w:rsidR="00E176F9" w:rsidRPr="0067437A" w:rsidRDefault="00F66DD2" w:rsidP="00F66DD2">
            <w:pPr>
              <w:pStyle w:val="TableText0"/>
              <w:rPr>
                <w:b/>
                <w:vertAlign w:val="superscript"/>
              </w:rPr>
            </w:pPr>
            <w:r w:rsidRPr="0067437A">
              <w:rPr>
                <w:b/>
              </w:rPr>
              <w:t xml:space="preserve">Step 3: </w:t>
            </w:r>
            <w:r w:rsidR="00E176F9" w:rsidRPr="0067437A">
              <w:rPr>
                <w:b/>
              </w:rPr>
              <w:t>Modelled economic evaluation</w:t>
            </w:r>
            <w:r w:rsidR="008A37F1" w:rsidRPr="0067437A">
              <w:rPr>
                <w:b/>
              </w:rPr>
              <w:t xml:space="preserve"> (time horizon 20</w:t>
            </w:r>
            <w:r w:rsidR="00E176F9" w:rsidRPr="0067437A">
              <w:rPr>
                <w:b/>
              </w:rPr>
              <w:t xml:space="preserve"> years)</w:t>
            </w:r>
            <w:r w:rsidR="00214998" w:rsidRPr="0067437A">
              <w:rPr>
                <w:b/>
              </w:rPr>
              <w:t>^</w:t>
            </w:r>
          </w:p>
          <w:p w:rsidR="00FB2909" w:rsidRPr="0067437A" w:rsidRDefault="00FB2909" w:rsidP="00F66DD2">
            <w:pPr>
              <w:pStyle w:val="TableText0"/>
            </w:pPr>
            <w:r w:rsidRPr="0067437A">
              <w:t xml:space="preserve">As for Step 2 </w:t>
            </w:r>
            <w:r w:rsidRPr="0067437A">
              <w:rPr>
                <w:u w:val="single"/>
              </w:rPr>
              <w:t>plus</w:t>
            </w:r>
            <w:r w:rsidRPr="0067437A">
              <w:t>:</w:t>
            </w:r>
          </w:p>
          <w:p w:rsidR="00704110" w:rsidRPr="0067437A" w:rsidRDefault="00FB2909" w:rsidP="00F33FA7">
            <w:pPr>
              <w:pStyle w:val="In-tableHeading"/>
              <w:numPr>
                <w:ilvl w:val="0"/>
                <w:numId w:val="15"/>
              </w:numPr>
              <w:ind w:left="104" w:hanging="142"/>
              <w:rPr>
                <w:b w:val="0"/>
                <w:lang w:val="en-AU"/>
              </w:rPr>
            </w:pPr>
            <w:r w:rsidRPr="0067437A">
              <w:rPr>
                <w:b w:val="0"/>
                <w:lang w:val="en-AU"/>
              </w:rPr>
              <w:t xml:space="preserve">Extrapolation of trial based survival to </w:t>
            </w:r>
            <w:r w:rsidR="00F66DD2" w:rsidRPr="0067437A">
              <w:rPr>
                <w:b w:val="0"/>
                <w:lang w:val="en-AU"/>
              </w:rPr>
              <w:t>20-year</w:t>
            </w:r>
            <w:r w:rsidRPr="0067437A">
              <w:rPr>
                <w:b w:val="0"/>
                <w:lang w:val="en-AU"/>
              </w:rPr>
              <w:t xml:space="preserve"> using</w:t>
            </w:r>
            <w:r w:rsidR="00704110" w:rsidRPr="0067437A">
              <w:rPr>
                <w:b w:val="0"/>
                <w:lang w:val="en-AU"/>
              </w:rPr>
              <w:t xml:space="preserve"> the exponential survival function</w:t>
            </w:r>
            <w:r w:rsidR="00F66DD2" w:rsidRPr="0067437A">
              <w:rPr>
                <w:b w:val="0"/>
                <w:lang w:val="en-AU"/>
              </w:rPr>
              <w:t>;</w:t>
            </w:r>
          </w:p>
          <w:p w:rsidR="00704110" w:rsidRPr="0067437A" w:rsidRDefault="00F66DD2" w:rsidP="00F33FA7">
            <w:pPr>
              <w:pStyle w:val="In-tableHeading"/>
              <w:numPr>
                <w:ilvl w:val="0"/>
                <w:numId w:val="15"/>
              </w:numPr>
              <w:ind w:left="104" w:hanging="142"/>
              <w:rPr>
                <w:b w:val="0"/>
                <w:lang w:val="en-AU"/>
              </w:rPr>
            </w:pPr>
            <w:r w:rsidRPr="0067437A">
              <w:rPr>
                <w:b w:val="0"/>
                <w:lang w:val="en-AU"/>
              </w:rPr>
              <w:t xml:space="preserve">addition of health state costs associated with management of PAH; </w:t>
            </w:r>
          </w:p>
          <w:p w:rsidR="00704110" w:rsidRPr="0067437A" w:rsidRDefault="00F66DD2" w:rsidP="00F33FA7">
            <w:pPr>
              <w:pStyle w:val="In-tableHeading"/>
              <w:numPr>
                <w:ilvl w:val="0"/>
                <w:numId w:val="15"/>
              </w:numPr>
              <w:ind w:left="104" w:hanging="142"/>
              <w:rPr>
                <w:lang w:val="en-AU"/>
              </w:rPr>
            </w:pPr>
            <w:r w:rsidRPr="0067437A">
              <w:rPr>
                <w:b w:val="0"/>
                <w:lang w:val="en-AU"/>
              </w:rPr>
              <w:t>inclusion of costs and disutility associated with treatment-related serious AEs;</w:t>
            </w:r>
          </w:p>
          <w:p w:rsidR="00F66DD2" w:rsidRPr="0067437A" w:rsidRDefault="00F66DD2" w:rsidP="00F33FA7">
            <w:pPr>
              <w:pStyle w:val="In-tableHeading"/>
              <w:numPr>
                <w:ilvl w:val="0"/>
                <w:numId w:val="15"/>
              </w:numPr>
              <w:ind w:left="104" w:hanging="142"/>
              <w:rPr>
                <w:lang w:val="en-AU"/>
              </w:rPr>
            </w:pPr>
            <w:r w:rsidRPr="0067437A">
              <w:rPr>
                <w:b w:val="0"/>
                <w:lang w:val="en-AU"/>
              </w:rPr>
              <w:t>inclusion of disutility associated with treatment administration method</w:t>
            </w:r>
          </w:p>
        </w:tc>
      </w:tr>
      <w:tr w:rsidR="00F66DD2" w:rsidRPr="0067437A" w:rsidTr="000759C4">
        <w:tc>
          <w:tcPr>
            <w:tcW w:w="2277" w:type="pct"/>
            <w:vAlign w:val="center"/>
          </w:tcPr>
          <w:p w:rsidR="00F66DD2" w:rsidRPr="0067437A" w:rsidRDefault="00F66DD2" w:rsidP="00F66DD2">
            <w:pPr>
              <w:pStyle w:val="TableText0"/>
              <w:rPr>
                <w:rFonts w:ascii="Times" w:hAnsi="Times"/>
              </w:rPr>
            </w:pPr>
            <w:r w:rsidRPr="0067437A">
              <w:t>Costs</w:t>
            </w:r>
          </w:p>
        </w:tc>
        <w:tc>
          <w:tcPr>
            <w:tcW w:w="943" w:type="pct"/>
            <w:vAlign w:val="center"/>
          </w:tcPr>
          <w:p w:rsidR="00F66DD2" w:rsidRPr="0067437A" w:rsidRDefault="00F66DD2" w:rsidP="00F66DD2">
            <w:pPr>
              <w:pStyle w:val="TableText0"/>
              <w:jc w:val="center"/>
              <w:rPr>
                <w:rFonts w:ascii="Times" w:hAnsi="Times"/>
              </w:rPr>
            </w:pPr>
            <w:r w:rsidRPr="0067437A">
              <w:t>$</w:t>
            </w:r>
            <w:r w:rsidR="00B24936">
              <w:rPr>
                <w:noProof/>
                <w:color w:val="000000"/>
                <w:highlight w:val="black"/>
              </w:rPr>
              <w:t>'''''''''''''''''''''</w:t>
            </w:r>
          </w:p>
        </w:tc>
        <w:tc>
          <w:tcPr>
            <w:tcW w:w="942" w:type="pct"/>
            <w:vAlign w:val="center"/>
          </w:tcPr>
          <w:p w:rsidR="00F66DD2" w:rsidRPr="0067437A" w:rsidRDefault="00F66DD2" w:rsidP="00F66DD2">
            <w:pPr>
              <w:pStyle w:val="TableText0"/>
              <w:jc w:val="center"/>
              <w:rPr>
                <w:rFonts w:ascii="Times" w:hAnsi="Times"/>
              </w:rPr>
            </w:pPr>
            <w:r w:rsidRPr="0067437A">
              <w:t>$</w:t>
            </w:r>
            <w:r w:rsidR="00B24936">
              <w:rPr>
                <w:noProof/>
                <w:color w:val="000000"/>
                <w:highlight w:val="black"/>
              </w:rPr>
              <w:t>'''''''''''''''''''''</w:t>
            </w:r>
          </w:p>
        </w:tc>
        <w:tc>
          <w:tcPr>
            <w:tcW w:w="838" w:type="pct"/>
            <w:vAlign w:val="center"/>
          </w:tcPr>
          <w:p w:rsidR="00F66DD2" w:rsidRPr="0067437A" w:rsidRDefault="00F66DD2" w:rsidP="00F66DD2">
            <w:pPr>
              <w:pStyle w:val="TableText0"/>
              <w:jc w:val="center"/>
              <w:rPr>
                <w:rFonts w:ascii="Times" w:hAnsi="Times"/>
              </w:rPr>
            </w:pPr>
            <w:r w:rsidRPr="0067437A">
              <w:t>$</w:t>
            </w:r>
            <w:r w:rsidR="00B24936">
              <w:rPr>
                <w:noProof/>
                <w:color w:val="000000"/>
                <w:highlight w:val="black"/>
              </w:rPr>
              <w:t>'''''''''''''''</w:t>
            </w:r>
          </w:p>
        </w:tc>
      </w:tr>
      <w:tr w:rsidR="00F66DD2" w:rsidRPr="0067437A" w:rsidTr="000759C4">
        <w:tc>
          <w:tcPr>
            <w:tcW w:w="2277" w:type="pct"/>
            <w:vAlign w:val="center"/>
          </w:tcPr>
          <w:p w:rsidR="00F66DD2" w:rsidRPr="0067437A" w:rsidRDefault="00F66DD2" w:rsidP="00F66DD2">
            <w:pPr>
              <w:pStyle w:val="TableText0"/>
              <w:rPr>
                <w:rFonts w:ascii="Times" w:hAnsi="Times"/>
              </w:rPr>
            </w:pPr>
            <w:r w:rsidRPr="0067437A">
              <w:t>QALYs</w:t>
            </w:r>
          </w:p>
        </w:tc>
        <w:tc>
          <w:tcPr>
            <w:tcW w:w="943" w:type="pct"/>
            <w:vAlign w:val="center"/>
          </w:tcPr>
          <w:p w:rsidR="00F66DD2" w:rsidRPr="00B24936" w:rsidRDefault="00B24936" w:rsidP="00F66DD2">
            <w:pPr>
              <w:pStyle w:val="TableText0"/>
              <w:jc w:val="center"/>
              <w:rPr>
                <w:rFonts w:ascii="Times" w:hAnsi="Times"/>
                <w:highlight w:val="black"/>
              </w:rPr>
            </w:pPr>
            <w:r>
              <w:rPr>
                <w:noProof/>
                <w:color w:val="000000"/>
                <w:highlight w:val="black"/>
              </w:rPr>
              <w:t>'''''''''''''''</w:t>
            </w:r>
          </w:p>
        </w:tc>
        <w:tc>
          <w:tcPr>
            <w:tcW w:w="942" w:type="pct"/>
            <w:vAlign w:val="center"/>
          </w:tcPr>
          <w:p w:rsidR="00F66DD2" w:rsidRPr="00B24936" w:rsidRDefault="00B24936" w:rsidP="00F66DD2">
            <w:pPr>
              <w:pStyle w:val="TableText0"/>
              <w:jc w:val="center"/>
              <w:rPr>
                <w:rFonts w:ascii="Times" w:hAnsi="Times"/>
                <w:highlight w:val="black"/>
              </w:rPr>
            </w:pPr>
            <w:r>
              <w:rPr>
                <w:noProof/>
                <w:color w:val="000000"/>
                <w:highlight w:val="black"/>
              </w:rPr>
              <w:t>'''''''''''''''</w:t>
            </w:r>
          </w:p>
        </w:tc>
        <w:tc>
          <w:tcPr>
            <w:tcW w:w="838" w:type="pct"/>
            <w:vAlign w:val="center"/>
          </w:tcPr>
          <w:p w:rsidR="00F66DD2" w:rsidRPr="00B24936" w:rsidRDefault="00B24936" w:rsidP="00F66DD2">
            <w:pPr>
              <w:pStyle w:val="TableText0"/>
              <w:jc w:val="center"/>
              <w:rPr>
                <w:highlight w:val="black"/>
              </w:rPr>
            </w:pPr>
            <w:r>
              <w:rPr>
                <w:noProof/>
                <w:color w:val="000000"/>
                <w:highlight w:val="black"/>
              </w:rPr>
              <w:t>'''''''''''''''</w:t>
            </w:r>
          </w:p>
        </w:tc>
      </w:tr>
      <w:tr w:rsidR="00F66DD2" w:rsidRPr="0067437A" w:rsidTr="00F66DD2">
        <w:tc>
          <w:tcPr>
            <w:tcW w:w="4162" w:type="pct"/>
            <w:gridSpan w:val="3"/>
            <w:vAlign w:val="center"/>
          </w:tcPr>
          <w:p w:rsidR="00F66DD2" w:rsidRPr="0067437A" w:rsidRDefault="00F66DD2" w:rsidP="00F66DD2">
            <w:pPr>
              <w:pStyle w:val="TableText0"/>
              <w:rPr>
                <w:rFonts w:ascii="Times" w:hAnsi="Times"/>
                <w:b/>
              </w:rPr>
            </w:pPr>
            <w:r w:rsidRPr="0067437A">
              <w:rPr>
                <w:b/>
              </w:rPr>
              <w:t>Incremental cost/extra QALY gained (base case)</w:t>
            </w:r>
          </w:p>
        </w:tc>
        <w:tc>
          <w:tcPr>
            <w:tcW w:w="838" w:type="pct"/>
            <w:vAlign w:val="center"/>
          </w:tcPr>
          <w:p w:rsidR="00F66DD2" w:rsidRPr="0067437A" w:rsidRDefault="00F66DD2" w:rsidP="00F66DD2">
            <w:pPr>
              <w:pStyle w:val="TableText0"/>
              <w:jc w:val="center"/>
              <w:rPr>
                <w:rFonts w:ascii="Times" w:hAnsi="Times"/>
                <w:b/>
              </w:rPr>
            </w:pPr>
            <w:r w:rsidRPr="0067437A">
              <w:rPr>
                <w:b/>
              </w:rPr>
              <w:t>$</w:t>
            </w:r>
            <w:r w:rsidR="00B24936">
              <w:rPr>
                <w:b/>
                <w:noProof/>
                <w:color w:val="000000"/>
                <w:highlight w:val="black"/>
              </w:rPr>
              <w:t>''''''''''''''</w:t>
            </w:r>
          </w:p>
        </w:tc>
      </w:tr>
      <w:tr w:rsidR="00E5078E" w:rsidRPr="0067437A" w:rsidTr="00F66DD2">
        <w:tc>
          <w:tcPr>
            <w:tcW w:w="4162" w:type="pct"/>
            <w:gridSpan w:val="3"/>
            <w:vAlign w:val="center"/>
          </w:tcPr>
          <w:p w:rsidR="00E5078E" w:rsidRPr="0067437A" w:rsidRDefault="00E5078E" w:rsidP="00F66DD2">
            <w:pPr>
              <w:pStyle w:val="TableText0"/>
              <w:rPr>
                <w:b/>
              </w:rPr>
            </w:pPr>
            <w:r w:rsidRPr="0067437A">
              <w:rPr>
                <w:b/>
              </w:rPr>
              <w:t>Incremental cost/extra QALY gained (pre-PBAC base case)</w:t>
            </w:r>
          </w:p>
        </w:tc>
        <w:tc>
          <w:tcPr>
            <w:tcW w:w="838" w:type="pct"/>
            <w:vAlign w:val="center"/>
          </w:tcPr>
          <w:p w:rsidR="00E5078E" w:rsidRPr="0067437A" w:rsidRDefault="00E5078E" w:rsidP="00F66DD2">
            <w:pPr>
              <w:pStyle w:val="TableText0"/>
              <w:jc w:val="center"/>
              <w:rPr>
                <w:b/>
              </w:rPr>
            </w:pPr>
            <w:r w:rsidRPr="0067437A">
              <w:rPr>
                <w:b/>
              </w:rPr>
              <w:t>$</w:t>
            </w:r>
            <w:r w:rsidR="00B24936">
              <w:rPr>
                <w:b/>
                <w:noProof/>
                <w:color w:val="000000"/>
                <w:highlight w:val="black"/>
              </w:rPr>
              <w:t>''''''''''''</w:t>
            </w:r>
          </w:p>
        </w:tc>
      </w:tr>
    </w:tbl>
    <w:p w:rsidR="00103E0D" w:rsidRPr="0067437A" w:rsidRDefault="00103E0D" w:rsidP="00103E0D">
      <w:pPr>
        <w:pStyle w:val="TableFigureFooter"/>
        <w:rPr>
          <w:szCs w:val="18"/>
        </w:rPr>
      </w:pPr>
      <w:r w:rsidRPr="0067437A">
        <w:rPr>
          <w:szCs w:val="18"/>
        </w:rPr>
        <w:t>AE = adverse event; FC = functional class; IV = intravenous; PAH = pulmonary arterial hypertension; PBAC = Pharmaceutical Benefits Advisory Committee; QALY = quality adjusted life year; WHO = World Health Organisation</w:t>
      </w:r>
    </w:p>
    <w:p w:rsidR="003D7D6C" w:rsidRPr="0067437A" w:rsidRDefault="00214998" w:rsidP="00A54605">
      <w:pPr>
        <w:pStyle w:val="TableFigureFooter"/>
        <w:ind w:left="165" w:hanging="165"/>
        <w:rPr>
          <w:szCs w:val="18"/>
        </w:rPr>
      </w:pPr>
      <w:r w:rsidRPr="0067437A">
        <w:rPr>
          <w:i/>
          <w:szCs w:val="18"/>
        </w:rPr>
        <w:t>*</w:t>
      </w:r>
      <w:r w:rsidR="00F66DD2" w:rsidRPr="0067437A">
        <w:rPr>
          <w:i/>
          <w:szCs w:val="18"/>
        </w:rPr>
        <w:tab/>
      </w:r>
      <w:r w:rsidR="004D3D04" w:rsidRPr="0067437A">
        <w:rPr>
          <w:szCs w:val="18"/>
        </w:rPr>
        <w:t>C</w:t>
      </w:r>
      <w:r w:rsidR="00667B63" w:rsidRPr="0067437A">
        <w:rPr>
          <w:szCs w:val="18"/>
        </w:rPr>
        <w:t xml:space="preserve">orrected for transcription error for background therapy </w:t>
      </w:r>
      <w:r w:rsidR="009C1720" w:rsidRPr="0067437A">
        <w:rPr>
          <w:szCs w:val="18"/>
        </w:rPr>
        <w:t>costs (</w:t>
      </w:r>
      <w:r w:rsidR="004D3D04" w:rsidRPr="0067437A">
        <w:rPr>
          <w:szCs w:val="18"/>
        </w:rPr>
        <w:t>values in cells N</w:t>
      </w:r>
      <w:r w:rsidR="00857999" w:rsidRPr="0067437A">
        <w:rPr>
          <w:szCs w:val="18"/>
        </w:rPr>
        <w:t>14</w:t>
      </w:r>
      <w:r w:rsidR="004D3D04" w:rsidRPr="0067437A">
        <w:rPr>
          <w:szCs w:val="18"/>
        </w:rPr>
        <w:t xml:space="preserve"> and O</w:t>
      </w:r>
      <w:r w:rsidR="00857999" w:rsidRPr="0067437A">
        <w:rPr>
          <w:szCs w:val="18"/>
        </w:rPr>
        <w:t>1</w:t>
      </w:r>
      <w:r w:rsidR="004D3D04" w:rsidRPr="0067437A">
        <w:rPr>
          <w:szCs w:val="18"/>
        </w:rPr>
        <w:t>4</w:t>
      </w:r>
      <w:r w:rsidR="00857999" w:rsidRPr="0067437A">
        <w:rPr>
          <w:szCs w:val="18"/>
        </w:rPr>
        <w:t xml:space="preserve"> in Attachment 15 – Selexipag Stepped Econ Evaluation</w:t>
      </w:r>
      <w:r w:rsidR="004D3D04" w:rsidRPr="0067437A">
        <w:rPr>
          <w:szCs w:val="18"/>
        </w:rPr>
        <w:t xml:space="preserve"> </w:t>
      </w:r>
      <w:r w:rsidR="009C1720" w:rsidRPr="0067437A">
        <w:rPr>
          <w:szCs w:val="18"/>
        </w:rPr>
        <w:t>w</w:t>
      </w:r>
      <w:r w:rsidR="004D3D04" w:rsidRPr="0067437A">
        <w:rPr>
          <w:szCs w:val="18"/>
        </w:rPr>
        <w:t>ere</w:t>
      </w:r>
      <w:r w:rsidR="009C1720" w:rsidRPr="0067437A">
        <w:rPr>
          <w:szCs w:val="18"/>
        </w:rPr>
        <w:t xml:space="preserve"> corrected to $8,760 as per the economic model instead of </w:t>
      </w:r>
      <w:r w:rsidR="00F66DD2" w:rsidRPr="0067437A">
        <w:rPr>
          <w:szCs w:val="18"/>
        </w:rPr>
        <w:t>$8,921</w:t>
      </w:r>
      <w:r w:rsidR="004D3D04" w:rsidRPr="0067437A">
        <w:rPr>
          <w:szCs w:val="18"/>
        </w:rPr>
        <w:t>)</w:t>
      </w:r>
      <w:r w:rsidR="00704110" w:rsidRPr="0067437A">
        <w:rPr>
          <w:szCs w:val="18"/>
        </w:rPr>
        <w:t>, this resulted in slight change to estimated costs for the placebo arm</w:t>
      </w:r>
      <w:r w:rsidR="006F4DD4" w:rsidRPr="0067437A">
        <w:rPr>
          <w:szCs w:val="18"/>
        </w:rPr>
        <w:t xml:space="preserve"> in the Step 1 results</w:t>
      </w:r>
      <w:r w:rsidR="00704110" w:rsidRPr="0067437A">
        <w:rPr>
          <w:szCs w:val="18"/>
        </w:rPr>
        <w:t>.</w:t>
      </w:r>
    </w:p>
    <w:p w:rsidR="00886D66" w:rsidRPr="0067437A" w:rsidRDefault="00214998" w:rsidP="00886D66">
      <w:pPr>
        <w:pStyle w:val="TableFigureFooter"/>
        <w:rPr>
          <w:szCs w:val="18"/>
        </w:rPr>
      </w:pPr>
      <w:r w:rsidRPr="0067437A">
        <w:rPr>
          <w:szCs w:val="18"/>
        </w:rPr>
        <w:t>^</w:t>
      </w:r>
      <w:r w:rsidR="00886D66" w:rsidRPr="0067437A">
        <w:rPr>
          <w:szCs w:val="18"/>
        </w:rPr>
        <w:tab/>
        <w:t>Derived from Attachment 10 of the resubmission – Selexipag Economic Model Final.</w:t>
      </w:r>
    </w:p>
    <w:p w:rsidR="0086335E" w:rsidRPr="0067437A" w:rsidRDefault="0086335E" w:rsidP="0086335E">
      <w:pPr>
        <w:pStyle w:val="TableFigureFooter"/>
        <w:rPr>
          <w:szCs w:val="18"/>
        </w:rPr>
      </w:pPr>
      <w:r w:rsidRPr="0067437A">
        <w:rPr>
          <w:szCs w:val="18"/>
        </w:rPr>
        <w:t xml:space="preserve">Source: Table 3.34, p192 of the resubmission; </w:t>
      </w:r>
      <w:r w:rsidRPr="0067437A">
        <w:rPr>
          <w:iCs/>
          <w:szCs w:val="18"/>
        </w:rPr>
        <w:t>Attachment 15 – Selexipag Stepped Econ Evaluation</w:t>
      </w:r>
      <w:r w:rsidRPr="0067437A">
        <w:rPr>
          <w:szCs w:val="18"/>
        </w:rPr>
        <w:t>.</w:t>
      </w:r>
    </w:p>
    <w:p w:rsidR="00886D66" w:rsidRPr="0067437A" w:rsidRDefault="00886D66" w:rsidP="00F66DD2">
      <w:pPr>
        <w:pStyle w:val="TableFigureFooter"/>
        <w:rPr>
          <w:i/>
          <w:sz w:val="20"/>
        </w:rPr>
      </w:pPr>
    </w:p>
    <w:p w:rsidR="00F66DD2" w:rsidRPr="00D75605" w:rsidRDefault="00F66DD2" w:rsidP="00E535A8">
      <w:pPr>
        <w:pStyle w:val="3-BodyText"/>
        <w:ind w:left="567"/>
        <w:rPr>
          <w:rFonts w:ascii="Arial Narrow" w:hAnsi="Arial Narrow"/>
          <w:b/>
          <w:i/>
          <w:sz w:val="20"/>
        </w:rPr>
      </w:pPr>
      <w:r w:rsidRPr="0067437A">
        <w:t>Table 1</w:t>
      </w:r>
      <w:r w:rsidR="0007076D">
        <w:t>3</w:t>
      </w:r>
      <w:r w:rsidRPr="0067437A">
        <w:t xml:space="preserve"> present</w:t>
      </w:r>
      <w:r w:rsidR="004E3E98">
        <w:t xml:space="preserve">s the results of key univariate and </w:t>
      </w:r>
      <w:r w:rsidRPr="0067437A">
        <w:t>multivariate sensitivity analyses</w:t>
      </w:r>
      <w:r w:rsidR="0067437A">
        <w:t xml:space="preserve">. </w:t>
      </w:r>
      <w:r w:rsidRPr="0067437A">
        <w:t xml:space="preserve">The ICER was most sensitive to the proportion of patients </w:t>
      </w:r>
      <w:r w:rsidR="00985661" w:rsidRPr="0067437A">
        <w:t xml:space="preserve">receiving IV </w:t>
      </w:r>
      <w:r w:rsidRPr="0067437A">
        <w:t>epoprostenol upon disease progression</w:t>
      </w:r>
      <w:r w:rsidR="008F5626" w:rsidRPr="0067437A">
        <w:t xml:space="preserve"> and the application of </w:t>
      </w:r>
      <w:r w:rsidR="00985661" w:rsidRPr="0067437A">
        <w:t xml:space="preserve">the </w:t>
      </w:r>
      <w:r w:rsidR="008F5626" w:rsidRPr="0067437A">
        <w:t>disutility for IV epoprostenol</w:t>
      </w:r>
      <w:r w:rsidR="00E65645" w:rsidRPr="0067437A">
        <w:t>.</w:t>
      </w:r>
      <w:r w:rsidRPr="0067437A">
        <w:t xml:space="preserve"> </w:t>
      </w:r>
    </w:p>
    <w:p w:rsidR="00D75605" w:rsidRPr="0067437A" w:rsidRDefault="00D75605" w:rsidP="00E535A8">
      <w:pPr>
        <w:pStyle w:val="3-BodyText"/>
        <w:ind w:left="567"/>
        <w:rPr>
          <w:rFonts w:ascii="Arial Narrow" w:hAnsi="Arial Narrow"/>
          <w:b/>
          <w:i/>
          <w:sz w:val="20"/>
        </w:rPr>
      </w:pPr>
      <w:r>
        <w:t xml:space="preserve">The ESC, noting the limitations of the </w:t>
      </w:r>
      <w:r w:rsidRPr="0067437A">
        <w:t>clinical data (i.e. no data for patients with WHO FC IV PAH) and the uncertainty surrounding the magnitude of benefit in patients with WHO FC III PAH, along with structural issues around application of progression rates in the model, considered that the model inputs should be conservative. The ESC suggested a number of univariate and multivariate sensitivity analyses which may be informative and which, although not addressing the structural</w:t>
      </w:r>
      <w:r>
        <w:t xml:space="preserve"> </w:t>
      </w:r>
      <w:r w:rsidRPr="0067437A">
        <w:t>issues, demonstrated the uncertainty of the model. The PBAC agreed with the ESC that there were structural issues with the model as well as uncertainty with the economic model reliability, which was illustrated by the high degree of sensitivity of the model to various inputs.</w:t>
      </w:r>
    </w:p>
    <w:p w:rsidR="00F66DD2" w:rsidRPr="0067437A" w:rsidRDefault="00F66DD2" w:rsidP="00985661">
      <w:pPr>
        <w:pStyle w:val="3-BodyText"/>
        <w:keepNext/>
        <w:numPr>
          <w:ilvl w:val="0"/>
          <w:numId w:val="0"/>
        </w:numPr>
        <w:spacing w:after="0"/>
        <w:rPr>
          <w:rStyle w:val="CommentReference"/>
          <w:szCs w:val="24"/>
        </w:rPr>
      </w:pPr>
      <w:r w:rsidRPr="0067437A">
        <w:rPr>
          <w:rStyle w:val="CommentReference"/>
          <w:szCs w:val="24"/>
        </w:rPr>
        <w:lastRenderedPageBreak/>
        <w:t>Table 1</w:t>
      </w:r>
      <w:r w:rsidR="0007076D">
        <w:rPr>
          <w:rStyle w:val="CommentReference"/>
          <w:szCs w:val="24"/>
        </w:rPr>
        <w:t>3</w:t>
      </w:r>
      <w:r w:rsidRPr="0067437A">
        <w:rPr>
          <w:rStyle w:val="CommentReference"/>
          <w:szCs w:val="24"/>
        </w:rPr>
        <w:t>: Results of key sensitivity analyses</w:t>
      </w:r>
      <w:r w:rsidR="00E75F5B" w:rsidRPr="0067437A">
        <w:rPr>
          <w:rStyle w:val="CommentReference"/>
          <w:szCs w:val="24"/>
        </w:rPr>
        <w:t>, updated to incorporate the pre-PBAC response effective AEMP of selexipag ($</w:t>
      </w:r>
      <w:r w:rsidR="00B24936">
        <w:rPr>
          <w:rStyle w:val="CommentReference"/>
          <w:noProof/>
          <w:color w:val="000000"/>
          <w:szCs w:val="24"/>
          <w:highlight w:val="black"/>
        </w:rPr>
        <w:t>'''''''''''</w:t>
      </w:r>
      <w:r w:rsidR="00E75F5B" w:rsidRPr="0067437A">
        <w:rPr>
          <w:rStyle w:val="CommentReference"/>
          <w:szCs w:val="24"/>
        </w:rPr>
        <w:t xml:space="preserve"> per initiation and maintenance pack)</w:t>
      </w:r>
    </w:p>
    <w:tbl>
      <w:tblPr>
        <w:tblW w:w="9017" w:type="dxa"/>
        <w:tblCellMar>
          <w:left w:w="28" w:type="dxa"/>
          <w:right w:w="28" w:type="dxa"/>
        </w:tblCellMar>
        <w:tblLook w:val="04A0" w:firstRow="1" w:lastRow="0" w:firstColumn="1" w:lastColumn="0" w:noHBand="0" w:noVBand="1"/>
      </w:tblPr>
      <w:tblGrid>
        <w:gridCol w:w="6207"/>
        <w:gridCol w:w="9"/>
        <w:gridCol w:w="968"/>
        <w:gridCol w:w="977"/>
        <w:gridCol w:w="856"/>
      </w:tblGrid>
      <w:tr w:rsidR="00B270B8" w:rsidRPr="0067437A" w:rsidTr="00D46FFF">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66DD2" w:rsidRPr="0067437A" w:rsidRDefault="00470550" w:rsidP="00985661">
            <w:pPr>
              <w:keepNext/>
              <w:jc w:val="left"/>
              <w:rPr>
                <w:rFonts w:ascii="Arial Narrow" w:hAnsi="Arial Narrow" w:cs="Times New Roman"/>
                <w:b/>
                <w:bCs/>
                <w:color w:val="000000"/>
                <w:sz w:val="20"/>
                <w:szCs w:val="20"/>
                <w:lang w:eastAsia="zh-CN"/>
              </w:rPr>
            </w:pPr>
            <w:r w:rsidRPr="0067437A">
              <w:rPr>
                <w:rFonts w:ascii="Arial Narrow" w:hAnsi="Arial Narrow" w:cs="Times New Roman"/>
                <w:b/>
                <w:bCs/>
                <w:color w:val="000000"/>
                <w:sz w:val="20"/>
                <w:szCs w:val="20"/>
                <w:lang w:eastAsia="zh-CN"/>
              </w:rPr>
              <w:t xml:space="preserve">Sensitivity </w:t>
            </w:r>
            <w:r w:rsidR="00F66DD2" w:rsidRPr="0067437A">
              <w:rPr>
                <w:rFonts w:ascii="Arial Narrow" w:hAnsi="Arial Narrow" w:cs="Times New Roman"/>
                <w:b/>
                <w:bCs/>
                <w:color w:val="000000"/>
                <w:sz w:val="20"/>
                <w:szCs w:val="20"/>
                <w:lang w:eastAsia="zh-CN"/>
              </w:rPr>
              <w:t>analyses</w:t>
            </w:r>
          </w:p>
        </w:tc>
        <w:tc>
          <w:tcPr>
            <w:tcW w:w="977" w:type="dxa"/>
            <w:gridSpan w:val="2"/>
            <w:tcBorders>
              <w:top w:val="single" w:sz="4" w:space="0" w:color="auto"/>
              <w:left w:val="nil"/>
              <w:bottom w:val="single" w:sz="4" w:space="0" w:color="auto"/>
              <w:right w:val="single" w:sz="4" w:space="0" w:color="auto"/>
            </w:tcBorders>
            <w:shd w:val="clear" w:color="auto" w:fill="auto"/>
            <w:vAlign w:val="center"/>
            <w:hideMark/>
          </w:tcPr>
          <w:p w:rsidR="00F66DD2" w:rsidRPr="0067437A" w:rsidRDefault="00F66DD2" w:rsidP="00985661">
            <w:pPr>
              <w:keepNext/>
              <w:jc w:val="center"/>
              <w:rPr>
                <w:rFonts w:ascii="Arial Narrow" w:hAnsi="Arial Narrow" w:cs="Times New Roman"/>
                <w:b/>
                <w:bCs/>
                <w:color w:val="000000"/>
                <w:sz w:val="20"/>
                <w:szCs w:val="20"/>
                <w:lang w:eastAsia="zh-CN"/>
              </w:rPr>
            </w:pPr>
            <w:r w:rsidRPr="0067437A">
              <w:rPr>
                <w:rFonts w:ascii="Arial Narrow" w:hAnsi="Arial Narrow" w:cs="Times New Roman"/>
                <w:b/>
                <w:bCs/>
                <w:color w:val="000000"/>
                <w:sz w:val="20"/>
                <w:szCs w:val="20"/>
                <w:lang w:eastAsia="zh-CN"/>
              </w:rPr>
              <w:t>Incremental costs</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F66DD2" w:rsidRPr="0067437A" w:rsidRDefault="00F66DD2" w:rsidP="00985661">
            <w:pPr>
              <w:keepNext/>
              <w:jc w:val="center"/>
              <w:rPr>
                <w:rFonts w:ascii="Arial Narrow" w:hAnsi="Arial Narrow" w:cs="Times New Roman"/>
                <w:b/>
                <w:bCs/>
                <w:color w:val="000000"/>
                <w:sz w:val="20"/>
                <w:szCs w:val="20"/>
                <w:lang w:eastAsia="zh-CN"/>
              </w:rPr>
            </w:pPr>
            <w:r w:rsidRPr="0067437A">
              <w:rPr>
                <w:rFonts w:ascii="Arial Narrow" w:hAnsi="Arial Narrow" w:cs="Times New Roman"/>
                <w:b/>
                <w:bCs/>
                <w:color w:val="000000"/>
                <w:sz w:val="20"/>
                <w:szCs w:val="20"/>
                <w:lang w:eastAsia="zh-CN"/>
              </w:rPr>
              <w:t>Incremental QALY</w:t>
            </w:r>
          </w:p>
        </w:tc>
        <w:tc>
          <w:tcPr>
            <w:tcW w:w="909" w:type="dxa"/>
            <w:tcBorders>
              <w:top w:val="single" w:sz="4" w:space="0" w:color="auto"/>
              <w:left w:val="nil"/>
              <w:bottom w:val="single" w:sz="4" w:space="0" w:color="auto"/>
              <w:right w:val="single" w:sz="4" w:space="0" w:color="auto"/>
            </w:tcBorders>
            <w:shd w:val="clear" w:color="auto" w:fill="auto"/>
            <w:vAlign w:val="center"/>
            <w:hideMark/>
          </w:tcPr>
          <w:p w:rsidR="00F66DD2" w:rsidRPr="0067437A" w:rsidRDefault="00536366" w:rsidP="00985661">
            <w:pPr>
              <w:keepNext/>
              <w:jc w:val="center"/>
              <w:rPr>
                <w:rFonts w:ascii="Arial Narrow" w:hAnsi="Arial Narrow" w:cs="Times New Roman"/>
                <w:b/>
                <w:bCs/>
                <w:color w:val="000000"/>
                <w:sz w:val="20"/>
                <w:szCs w:val="20"/>
                <w:lang w:eastAsia="zh-CN"/>
              </w:rPr>
            </w:pPr>
            <w:r w:rsidRPr="0067437A">
              <w:rPr>
                <w:rFonts w:ascii="Arial Narrow" w:hAnsi="Arial Narrow" w:cs="Times New Roman"/>
                <w:b/>
                <w:bCs/>
                <w:color w:val="000000"/>
                <w:sz w:val="20"/>
                <w:szCs w:val="20"/>
                <w:lang w:eastAsia="zh-CN"/>
              </w:rPr>
              <w:t>ICER</w:t>
            </w:r>
            <w:r w:rsidR="00F66DD2" w:rsidRPr="0067437A">
              <w:rPr>
                <w:rFonts w:ascii="Arial Narrow" w:hAnsi="Arial Narrow" w:cs="Times New Roman"/>
                <w:b/>
                <w:bCs/>
                <w:color w:val="000000"/>
                <w:sz w:val="20"/>
                <w:szCs w:val="20"/>
                <w:lang w:eastAsia="zh-CN"/>
              </w:rPr>
              <w:t xml:space="preserve"> per </w:t>
            </w:r>
            <w:r w:rsidR="00985661" w:rsidRPr="0067437A">
              <w:rPr>
                <w:rFonts w:ascii="Arial Narrow" w:hAnsi="Arial Narrow" w:cs="Times New Roman"/>
                <w:b/>
                <w:bCs/>
                <w:color w:val="000000"/>
                <w:sz w:val="20"/>
                <w:szCs w:val="20"/>
                <w:lang w:eastAsia="zh-CN"/>
              </w:rPr>
              <w:br/>
            </w:r>
            <w:r w:rsidR="00F66DD2" w:rsidRPr="0067437A">
              <w:rPr>
                <w:rFonts w:ascii="Arial Narrow" w:hAnsi="Arial Narrow" w:cs="Times New Roman"/>
                <w:b/>
                <w:bCs/>
                <w:color w:val="000000"/>
                <w:sz w:val="20"/>
                <w:szCs w:val="20"/>
                <w:lang w:eastAsia="zh-CN"/>
              </w:rPr>
              <w:t xml:space="preserve">QALY </w:t>
            </w:r>
          </w:p>
        </w:tc>
      </w:tr>
      <w:tr w:rsidR="00B270B8" w:rsidRPr="0067437A" w:rsidTr="00D46FFF">
        <w:trPr>
          <w:cantSplit/>
          <w:trHeight w:val="70"/>
        </w:trPr>
        <w:tc>
          <w:tcPr>
            <w:tcW w:w="6154" w:type="dxa"/>
            <w:tcBorders>
              <w:top w:val="single" w:sz="4" w:space="0" w:color="auto"/>
              <w:left w:val="single" w:sz="4" w:space="0" w:color="auto"/>
              <w:right w:val="single" w:sz="4" w:space="0" w:color="auto"/>
            </w:tcBorders>
            <w:shd w:val="clear" w:color="auto" w:fill="auto"/>
            <w:vAlign w:val="center"/>
          </w:tcPr>
          <w:p w:rsidR="00985661" w:rsidRPr="0067437A" w:rsidRDefault="00985661" w:rsidP="00D75605">
            <w:pPr>
              <w:keepNext/>
              <w:widowControl w:val="0"/>
              <w:jc w:val="left"/>
              <w:rPr>
                <w:rFonts w:ascii="Arial Narrow" w:hAnsi="Arial Narrow" w:cs="Times New Roman"/>
                <w:iCs/>
                <w:color w:val="000000"/>
                <w:sz w:val="20"/>
                <w:szCs w:val="20"/>
                <w:lang w:eastAsia="zh-CN"/>
              </w:rPr>
            </w:pPr>
            <w:r w:rsidRPr="0067437A">
              <w:rPr>
                <w:rFonts w:ascii="Arial Narrow" w:hAnsi="Arial Narrow" w:cs="Times New Roman"/>
                <w:b/>
                <w:bCs/>
                <w:color w:val="000000"/>
                <w:sz w:val="20"/>
                <w:szCs w:val="20"/>
                <w:lang w:eastAsia="zh-CN"/>
              </w:rPr>
              <w:t>Base case</w:t>
            </w:r>
            <w:r w:rsidR="00936FCF">
              <w:rPr>
                <w:rFonts w:ascii="Arial Narrow" w:hAnsi="Arial Narrow" w:cs="Times New Roman"/>
                <w:b/>
                <w:bCs/>
                <w:color w:val="000000"/>
                <w:sz w:val="20"/>
                <w:szCs w:val="20"/>
                <w:lang w:eastAsia="zh-CN"/>
              </w:rPr>
              <w:t xml:space="preserve"> as presented in submission (AEMP $</w:t>
            </w:r>
            <w:r w:rsidR="00B24936">
              <w:rPr>
                <w:rFonts w:ascii="Arial Narrow" w:hAnsi="Arial Narrow" w:cs="Times New Roman"/>
                <w:b/>
                <w:bCs/>
                <w:noProof/>
                <w:color w:val="000000"/>
                <w:sz w:val="20"/>
                <w:szCs w:val="20"/>
                <w:highlight w:val="black"/>
                <w:lang w:eastAsia="zh-CN"/>
              </w:rPr>
              <w:t>'''''''''''</w:t>
            </w:r>
            <w:r w:rsidR="00936FCF">
              <w:rPr>
                <w:rFonts w:ascii="Arial Narrow" w:hAnsi="Arial Narrow" w:cs="Times New Roman"/>
                <w:b/>
                <w:bCs/>
                <w:color w:val="000000"/>
                <w:sz w:val="20"/>
                <w:szCs w:val="20"/>
                <w:lang w:eastAsia="zh-CN"/>
              </w:rPr>
              <w:t>)</w:t>
            </w:r>
          </w:p>
        </w:tc>
        <w:tc>
          <w:tcPr>
            <w:tcW w:w="977" w:type="dxa"/>
            <w:gridSpan w:val="2"/>
            <w:tcBorders>
              <w:top w:val="single" w:sz="4" w:space="0" w:color="auto"/>
              <w:left w:val="nil"/>
              <w:right w:val="single" w:sz="4" w:space="0" w:color="auto"/>
            </w:tcBorders>
            <w:shd w:val="clear" w:color="auto" w:fill="auto"/>
            <w:vAlign w:val="center"/>
          </w:tcPr>
          <w:p w:rsidR="00985661" w:rsidRPr="0067437A" w:rsidRDefault="00985661" w:rsidP="001D780C">
            <w:pPr>
              <w:keepNext/>
              <w:jc w:val="center"/>
              <w:rPr>
                <w:rFonts w:ascii="Arial Narrow" w:hAnsi="Arial Narrow" w:cs="Times New Roman"/>
                <w:iCs/>
                <w:color w:val="000000"/>
                <w:sz w:val="20"/>
                <w:szCs w:val="20"/>
                <w:lang w:eastAsia="zh-CN"/>
              </w:rPr>
            </w:pPr>
            <w:r w:rsidRPr="0067437A">
              <w:rPr>
                <w:rFonts w:ascii="Arial Narrow" w:hAnsi="Arial Narrow" w:cs="Times New Roman"/>
                <w:b/>
                <w:bCs/>
                <w:color w:val="000000"/>
                <w:sz w:val="20"/>
                <w:szCs w:val="20"/>
                <w:lang w:eastAsia="zh-CN"/>
              </w:rPr>
              <w:t>$</w:t>
            </w:r>
            <w:r w:rsidR="00B24936">
              <w:rPr>
                <w:rFonts w:ascii="Arial Narrow" w:hAnsi="Arial Narrow" w:cs="Times New Roman"/>
                <w:b/>
                <w:bCs/>
                <w:noProof/>
                <w:color w:val="000000"/>
                <w:sz w:val="20"/>
                <w:szCs w:val="20"/>
                <w:highlight w:val="black"/>
                <w:lang w:eastAsia="zh-CN"/>
              </w:rPr>
              <w:t>'''''''''''''</w:t>
            </w:r>
          </w:p>
        </w:tc>
        <w:tc>
          <w:tcPr>
            <w:tcW w:w="977" w:type="dxa"/>
            <w:tcBorders>
              <w:top w:val="single" w:sz="4" w:space="0" w:color="auto"/>
              <w:left w:val="nil"/>
              <w:right w:val="single" w:sz="4" w:space="0" w:color="auto"/>
            </w:tcBorders>
            <w:shd w:val="clear" w:color="auto" w:fill="auto"/>
            <w:vAlign w:val="center"/>
          </w:tcPr>
          <w:p w:rsidR="00985661" w:rsidRPr="00B24936" w:rsidRDefault="00B24936" w:rsidP="001D780C">
            <w:pPr>
              <w:keepNext/>
              <w:jc w:val="center"/>
              <w:rPr>
                <w:rFonts w:ascii="Arial Narrow" w:hAnsi="Arial Narrow" w:cs="Times New Roman"/>
                <w:iCs/>
                <w:color w:val="000000"/>
                <w:sz w:val="20"/>
                <w:szCs w:val="20"/>
                <w:highlight w:val="black"/>
                <w:lang w:eastAsia="zh-CN"/>
              </w:rPr>
            </w:pPr>
            <w:r>
              <w:rPr>
                <w:rFonts w:ascii="Arial Narrow" w:hAnsi="Arial Narrow" w:cs="Times New Roman"/>
                <w:b/>
                <w:bCs/>
                <w:noProof/>
                <w:color w:val="000000"/>
                <w:sz w:val="20"/>
                <w:szCs w:val="20"/>
                <w:highlight w:val="black"/>
                <w:lang w:eastAsia="zh-CN"/>
              </w:rPr>
              <w:t>'''''''''''</w:t>
            </w:r>
          </w:p>
        </w:tc>
        <w:tc>
          <w:tcPr>
            <w:tcW w:w="909" w:type="dxa"/>
            <w:tcBorders>
              <w:top w:val="single" w:sz="4" w:space="0" w:color="auto"/>
              <w:left w:val="nil"/>
              <w:right w:val="single" w:sz="4" w:space="0" w:color="auto"/>
            </w:tcBorders>
            <w:shd w:val="clear" w:color="auto" w:fill="auto"/>
            <w:vAlign w:val="center"/>
          </w:tcPr>
          <w:p w:rsidR="00985661" w:rsidRPr="0067437A" w:rsidRDefault="00985661" w:rsidP="001D780C">
            <w:pPr>
              <w:keepNext/>
              <w:jc w:val="center"/>
              <w:rPr>
                <w:rFonts w:ascii="Arial Narrow" w:hAnsi="Arial Narrow" w:cs="Times New Roman"/>
                <w:iCs/>
                <w:color w:val="000000"/>
                <w:sz w:val="20"/>
                <w:szCs w:val="20"/>
                <w:lang w:eastAsia="zh-CN"/>
              </w:rPr>
            </w:pPr>
            <w:r w:rsidRPr="0067437A">
              <w:rPr>
                <w:rFonts w:ascii="Arial Narrow" w:hAnsi="Arial Narrow" w:cs="Times New Roman"/>
                <w:b/>
                <w:bCs/>
                <w:color w:val="000000"/>
                <w:sz w:val="20"/>
                <w:szCs w:val="20"/>
                <w:lang w:eastAsia="zh-CN"/>
              </w:rPr>
              <w:t>$</w:t>
            </w:r>
            <w:r w:rsidR="00B24936">
              <w:rPr>
                <w:rFonts w:ascii="Arial Narrow" w:hAnsi="Arial Narrow" w:cs="Times New Roman"/>
                <w:b/>
                <w:bCs/>
                <w:noProof/>
                <w:color w:val="000000"/>
                <w:sz w:val="20"/>
                <w:szCs w:val="20"/>
                <w:highlight w:val="black"/>
                <w:lang w:eastAsia="zh-CN"/>
              </w:rPr>
              <w:t>''''''''''''''</w:t>
            </w:r>
          </w:p>
        </w:tc>
      </w:tr>
      <w:tr w:rsidR="00CD5BDB" w:rsidRPr="0067437A" w:rsidTr="00D46FFF">
        <w:trPr>
          <w:cantSplit/>
          <w:trHeight w:val="70"/>
        </w:trPr>
        <w:tc>
          <w:tcPr>
            <w:tcW w:w="6154" w:type="dxa"/>
            <w:tcBorders>
              <w:top w:val="single" w:sz="4" w:space="0" w:color="auto"/>
              <w:left w:val="single" w:sz="4" w:space="0" w:color="auto"/>
              <w:right w:val="single" w:sz="4" w:space="0" w:color="auto"/>
            </w:tcBorders>
            <w:shd w:val="clear" w:color="auto" w:fill="auto"/>
            <w:vAlign w:val="center"/>
          </w:tcPr>
          <w:p w:rsidR="00CD5BDB" w:rsidRPr="0067437A" w:rsidRDefault="00CD5BDB" w:rsidP="00E75F5B">
            <w:pPr>
              <w:keepNext/>
              <w:widowControl w:val="0"/>
              <w:jc w:val="left"/>
              <w:rPr>
                <w:rFonts w:ascii="Arial Narrow" w:hAnsi="Arial Narrow" w:cs="Times New Roman"/>
                <w:b/>
                <w:bCs/>
                <w:color w:val="000000"/>
                <w:sz w:val="20"/>
                <w:szCs w:val="20"/>
                <w:lang w:eastAsia="zh-CN"/>
              </w:rPr>
            </w:pPr>
            <w:r w:rsidRPr="0067437A">
              <w:rPr>
                <w:rFonts w:ascii="Arial Narrow" w:hAnsi="Arial Narrow" w:cs="Times New Roman"/>
                <w:b/>
                <w:bCs/>
                <w:color w:val="000000"/>
                <w:sz w:val="20"/>
                <w:szCs w:val="20"/>
                <w:lang w:eastAsia="zh-CN"/>
              </w:rPr>
              <w:t xml:space="preserve">Base case with </w:t>
            </w:r>
            <w:r w:rsidR="00E75F5B" w:rsidRPr="0067437A">
              <w:rPr>
                <w:rFonts w:ascii="Arial Narrow" w:hAnsi="Arial Narrow" w:cs="Times New Roman"/>
                <w:b/>
                <w:bCs/>
                <w:color w:val="000000"/>
                <w:sz w:val="20"/>
                <w:szCs w:val="20"/>
                <w:lang w:eastAsia="zh-CN"/>
              </w:rPr>
              <w:t>p</w:t>
            </w:r>
            <w:r w:rsidRPr="0067437A">
              <w:rPr>
                <w:rFonts w:ascii="Arial Narrow" w:hAnsi="Arial Narrow" w:cs="Times New Roman"/>
                <w:b/>
                <w:bCs/>
                <w:color w:val="000000"/>
                <w:sz w:val="20"/>
                <w:szCs w:val="20"/>
                <w:lang w:eastAsia="zh-CN"/>
              </w:rPr>
              <w:t xml:space="preserve">re-PBAC </w:t>
            </w:r>
            <w:r w:rsidR="00E75F5B" w:rsidRPr="0067437A">
              <w:rPr>
                <w:rFonts w:ascii="Arial Narrow" w:hAnsi="Arial Narrow" w:cs="Times New Roman"/>
                <w:b/>
                <w:bCs/>
                <w:color w:val="000000"/>
                <w:sz w:val="20"/>
                <w:szCs w:val="20"/>
                <w:lang w:eastAsia="zh-CN"/>
              </w:rPr>
              <w:t>r</w:t>
            </w:r>
            <w:r w:rsidRPr="0067437A">
              <w:rPr>
                <w:rFonts w:ascii="Arial Narrow" w:hAnsi="Arial Narrow" w:cs="Times New Roman"/>
                <w:b/>
                <w:bCs/>
                <w:color w:val="000000"/>
                <w:sz w:val="20"/>
                <w:szCs w:val="20"/>
                <w:lang w:eastAsia="zh-CN"/>
              </w:rPr>
              <w:t>esponse price (AEMP $</w:t>
            </w:r>
            <w:r w:rsidR="00B24936">
              <w:rPr>
                <w:rFonts w:ascii="Arial Narrow" w:hAnsi="Arial Narrow" w:cs="Times New Roman"/>
                <w:b/>
                <w:bCs/>
                <w:noProof/>
                <w:color w:val="000000"/>
                <w:sz w:val="20"/>
                <w:szCs w:val="20"/>
                <w:highlight w:val="black"/>
                <w:lang w:eastAsia="zh-CN"/>
              </w:rPr>
              <w:t>''''''''''</w:t>
            </w:r>
            <w:r w:rsidRPr="0067437A">
              <w:rPr>
                <w:rFonts w:ascii="Arial Narrow" w:hAnsi="Arial Narrow" w:cs="Times New Roman"/>
                <w:b/>
                <w:bCs/>
                <w:color w:val="000000"/>
                <w:sz w:val="20"/>
                <w:szCs w:val="20"/>
                <w:lang w:eastAsia="zh-CN"/>
              </w:rPr>
              <w:t>)</w:t>
            </w:r>
          </w:p>
        </w:tc>
        <w:tc>
          <w:tcPr>
            <w:tcW w:w="977" w:type="dxa"/>
            <w:gridSpan w:val="2"/>
            <w:tcBorders>
              <w:top w:val="single" w:sz="4" w:space="0" w:color="auto"/>
              <w:left w:val="nil"/>
              <w:right w:val="single" w:sz="4" w:space="0" w:color="auto"/>
            </w:tcBorders>
            <w:shd w:val="clear" w:color="auto" w:fill="auto"/>
            <w:vAlign w:val="center"/>
          </w:tcPr>
          <w:p w:rsidR="00CD5BDB" w:rsidRPr="0067437A" w:rsidRDefault="00CD5BDB" w:rsidP="001D780C">
            <w:pPr>
              <w:keepNext/>
              <w:jc w:val="center"/>
              <w:rPr>
                <w:rFonts w:ascii="Arial Narrow" w:hAnsi="Arial Narrow" w:cs="Times New Roman"/>
                <w:b/>
                <w:bCs/>
                <w:color w:val="000000"/>
                <w:sz w:val="20"/>
                <w:szCs w:val="20"/>
                <w:lang w:eastAsia="zh-CN"/>
              </w:rPr>
            </w:pPr>
            <w:r w:rsidRPr="0067437A">
              <w:rPr>
                <w:rFonts w:ascii="Arial Narrow" w:hAnsi="Arial Narrow" w:cs="Times New Roman"/>
                <w:b/>
                <w:bCs/>
                <w:color w:val="000000"/>
                <w:sz w:val="20"/>
                <w:szCs w:val="20"/>
                <w:lang w:eastAsia="zh-CN"/>
              </w:rPr>
              <w:t>$</w:t>
            </w:r>
            <w:r w:rsidR="00B24936">
              <w:rPr>
                <w:rFonts w:ascii="Arial Narrow" w:hAnsi="Arial Narrow" w:cs="Times New Roman"/>
                <w:b/>
                <w:bCs/>
                <w:noProof/>
                <w:color w:val="000000"/>
                <w:sz w:val="20"/>
                <w:szCs w:val="20"/>
                <w:highlight w:val="black"/>
                <w:lang w:eastAsia="zh-CN"/>
              </w:rPr>
              <w:t>'''''''''''</w:t>
            </w:r>
          </w:p>
        </w:tc>
        <w:tc>
          <w:tcPr>
            <w:tcW w:w="977" w:type="dxa"/>
            <w:tcBorders>
              <w:top w:val="single" w:sz="4" w:space="0" w:color="auto"/>
              <w:left w:val="nil"/>
              <w:right w:val="single" w:sz="4" w:space="0" w:color="auto"/>
            </w:tcBorders>
            <w:shd w:val="clear" w:color="auto" w:fill="auto"/>
            <w:vAlign w:val="center"/>
          </w:tcPr>
          <w:p w:rsidR="00CD5BDB" w:rsidRPr="00B24936" w:rsidRDefault="00B24936" w:rsidP="001D780C">
            <w:pPr>
              <w:keepNext/>
              <w:jc w:val="center"/>
              <w:rPr>
                <w:rFonts w:ascii="Arial Narrow" w:hAnsi="Arial Narrow" w:cs="Times New Roman"/>
                <w:b/>
                <w:bCs/>
                <w:color w:val="000000"/>
                <w:sz w:val="20"/>
                <w:szCs w:val="20"/>
                <w:highlight w:val="black"/>
                <w:lang w:eastAsia="zh-CN"/>
              </w:rPr>
            </w:pPr>
            <w:r>
              <w:rPr>
                <w:rFonts w:ascii="Arial Narrow" w:hAnsi="Arial Narrow" w:cs="Times New Roman"/>
                <w:b/>
                <w:bCs/>
                <w:noProof/>
                <w:color w:val="000000"/>
                <w:sz w:val="20"/>
                <w:szCs w:val="20"/>
                <w:highlight w:val="black"/>
                <w:lang w:eastAsia="zh-CN"/>
              </w:rPr>
              <w:t>'''''''''''</w:t>
            </w:r>
          </w:p>
        </w:tc>
        <w:tc>
          <w:tcPr>
            <w:tcW w:w="909" w:type="dxa"/>
            <w:tcBorders>
              <w:top w:val="single" w:sz="4" w:space="0" w:color="auto"/>
              <w:left w:val="nil"/>
              <w:right w:val="single" w:sz="4" w:space="0" w:color="auto"/>
            </w:tcBorders>
            <w:shd w:val="clear" w:color="auto" w:fill="auto"/>
            <w:vAlign w:val="center"/>
          </w:tcPr>
          <w:p w:rsidR="00CD5BDB" w:rsidRPr="0067437A" w:rsidRDefault="00CD5BDB" w:rsidP="001D780C">
            <w:pPr>
              <w:keepNext/>
              <w:jc w:val="center"/>
              <w:rPr>
                <w:rFonts w:ascii="Arial Narrow" w:hAnsi="Arial Narrow" w:cs="Times New Roman"/>
                <w:b/>
                <w:bCs/>
                <w:color w:val="000000"/>
                <w:sz w:val="20"/>
                <w:szCs w:val="20"/>
                <w:lang w:eastAsia="zh-CN"/>
              </w:rPr>
            </w:pPr>
            <w:r w:rsidRPr="0067437A">
              <w:rPr>
                <w:rFonts w:ascii="Arial Narrow" w:hAnsi="Arial Narrow" w:cs="Times New Roman"/>
                <w:b/>
                <w:bCs/>
                <w:color w:val="000000"/>
                <w:sz w:val="20"/>
                <w:szCs w:val="20"/>
                <w:lang w:eastAsia="zh-CN"/>
              </w:rPr>
              <w:t>$</w:t>
            </w:r>
            <w:r w:rsidR="00B24936">
              <w:rPr>
                <w:rFonts w:ascii="Arial Narrow" w:hAnsi="Arial Narrow" w:cs="Times New Roman"/>
                <w:b/>
                <w:bCs/>
                <w:noProof/>
                <w:color w:val="000000"/>
                <w:sz w:val="20"/>
                <w:szCs w:val="20"/>
                <w:highlight w:val="black"/>
                <w:lang w:eastAsia="zh-CN"/>
              </w:rPr>
              <w:t>'''''''''''''</w:t>
            </w:r>
          </w:p>
        </w:tc>
      </w:tr>
      <w:tr w:rsidR="00470550" w:rsidRPr="0067437A" w:rsidTr="00306194">
        <w:trPr>
          <w:cantSplit/>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470550" w:rsidRPr="0067437A" w:rsidRDefault="00470550" w:rsidP="00E75F5B">
            <w:pPr>
              <w:keepNext/>
              <w:jc w:val="left"/>
              <w:rPr>
                <w:rFonts w:ascii="Arial Narrow" w:hAnsi="Arial Narrow" w:cs="Times New Roman"/>
                <w:b/>
                <w:bCs/>
                <w:color w:val="000000"/>
                <w:sz w:val="20"/>
                <w:szCs w:val="20"/>
                <w:lang w:eastAsia="zh-CN"/>
              </w:rPr>
            </w:pPr>
            <w:r w:rsidRPr="0067437A">
              <w:rPr>
                <w:rFonts w:ascii="Arial Narrow" w:hAnsi="Arial Narrow" w:cs="Times New Roman"/>
                <w:b/>
                <w:bCs/>
                <w:color w:val="000000"/>
                <w:sz w:val="20"/>
                <w:szCs w:val="20"/>
                <w:lang w:eastAsia="zh-CN"/>
              </w:rPr>
              <w:t>Univariate analyses</w:t>
            </w:r>
            <w:r w:rsidR="002D10B1" w:rsidRPr="0067437A">
              <w:rPr>
                <w:rFonts w:ascii="Arial Narrow" w:hAnsi="Arial Narrow" w:cs="Times New Roman"/>
                <w:b/>
                <w:bCs/>
                <w:color w:val="000000"/>
                <w:sz w:val="20"/>
                <w:szCs w:val="20"/>
                <w:lang w:eastAsia="zh-CN"/>
              </w:rPr>
              <w:t xml:space="preserve"> </w:t>
            </w:r>
            <w:r w:rsidR="00E75F5B" w:rsidRPr="0067437A">
              <w:rPr>
                <w:rFonts w:ascii="Arial Narrow" w:hAnsi="Arial Narrow" w:cs="Times New Roman"/>
                <w:b/>
                <w:bCs/>
                <w:color w:val="000000"/>
                <w:sz w:val="20"/>
                <w:szCs w:val="20"/>
                <w:lang w:eastAsia="zh-CN"/>
              </w:rPr>
              <w:t>(incorporating p</w:t>
            </w:r>
            <w:r w:rsidR="002D10B1" w:rsidRPr="0067437A">
              <w:rPr>
                <w:rFonts w:ascii="Arial Narrow" w:hAnsi="Arial Narrow" w:cs="Times New Roman"/>
                <w:b/>
                <w:bCs/>
                <w:color w:val="000000"/>
                <w:sz w:val="20"/>
                <w:szCs w:val="20"/>
                <w:lang w:eastAsia="zh-CN"/>
              </w:rPr>
              <w:t xml:space="preserve">re-PBAC </w:t>
            </w:r>
            <w:r w:rsidR="00E75F5B" w:rsidRPr="0067437A">
              <w:rPr>
                <w:rFonts w:ascii="Arial Narrow" w:hAnsi="Arial Narrow" w:cs="Times New Roman"/>
                <w:b/>
                <w:bCs/>
                <w:color w:val="000000"/>
                <w:sz w:val="20"/>
                <w:szCs w:val="20"/>
                <w:lang w:eastAsia="zh-CN"/>
              </w:rPr>
              <w:t>r</w:t>
            </w:r>
            <w:r w:rsidR="002D10B1" w:rsidRPr="0067437A">
              <w:rPr>
                <w:rFonts w:ascii="Arial Narrow" w:hAnsi="Arial Narrow" w:cs="Times New Roman"/>
                <w:b/>
                <w:bCs/>
                <w:color w:val="000000"/>
                <w:sz w:val="20"/>
                <w:szCs w:val="20"/>
                <w:lang w:eastAsia="zh-CN"/>
              </w:rPr>
              <w:t>esponse price</w:t>
            </w:r>
            <w:r w:rsidR="00E75F5B" w:rsidRPr="0067437A">
              <w:rPr>
                <w:rFonts w:ascii="Arial Narrow" w:hAnsi="Arial Narrow" w:cs="Times New Roman"/>
                <w:b/>
                <w:bCs/>
                <w:color w:val="000000"/>
                <w:sz w:val="20"/>
                <w:szCs w:val="20"/>
                <w:lang w:eastAsia="zh-CN"/>
              </w:rPr>
              <w:t>)</w:t>
            </w:r>
          </w:p>
        </w:tc>
      </w:tr>
      <w:tr w:rsidR="00F66DD2" w:rsidRPr="0067437A" w:rsidTr="00306194">
        <w:trPr>
          <w:cantSplit/>
          <w:trHeight w:val="70"/>
        </w:trPr>
        <w:tc>
          <w:tcPr>
            <w:tcW w:w="0" w:type="auto"/>
            <w:gridSpan w:val="5"/>
            <w:tcBorders>
              <w:left w:val="single" w:sz="4" w:space="0" w:color="auto"/>
              <w:bottom w:val="single" w:sz="4" w:space="0" w:color="auto"/>
              <w:right w:val="single" w:sz="4" w:space="0" w:color="auto"/>
            </w:tcBorders>
            <w:shd w:val="clear" w:color="auto" w:fill="auto"/>
            <w:vAlign w:val="center"/>
          </w:tcPr>
          <w:p w:rsidR="00F66DD2" w:rsidRPr="0067437A" w:rsidRDefault="00F66DD2" w:rsidP="00AE4D8C">
            <w:pPr>
              <w:keepNext/>
              <w:jc w:val="left"/>
              <w:rPr>
                <w:rFonts w:ascii="Arial Narrow" w:hAnsi="Arial Narrow" w:cs="Times New Roman"/>
                <w:iCs/>
                <w:color w:val="000000"/>
                <w:sz w:val="20"/>
                <w:szCs w:val="20"/>
                <w:lang w:eastAsia="zh-CN"/>
              </w:rPr>
            </w:pPr>
            <w:r w:rsidRPr="0067437A">
              <w:rPr>
                <w:rFonts w:ascii="Arial Narrow" w:hAnsi="Arial Narrow" w:cs="Times New Roman"/>
                <w:b/>
                <w:iCs/>
                <w:color w:val="000000"/>
                <w:sz w:val="20"/>
                <w:szCs w:val="20"/>
                <w:lang w:eastAsia="zh-CN"/>
              </w:rPr>
              <w:t>Probabilit</w:t>
            </w:r>
            <w:r w:rsidR="00AE4D8C" w:rsidRPr="0067437A">
              <w:rPr>
                <w:rFonts w:ascii="Arial Narrow" w:hAnsi="Arial Narrow" w:cs="Times New Roman"/>
                <w:b/>
                <w:iCs/>
                <w:color w:val="000000"/>
                <w:sz w:val="20"/>
                <w:szCs w:val="20"/>
                <w:lang w:eastAsia="zh-CN"/>
              </w:rPr>
              <w:t>y</w:t>
            </w:r>
            <w:r w:rsidRPr="0067437A">
              <w:rPr>
                <w:rFonts w:ascii="Arial Narrow" w:hAnsi="Arial Narrow" w:cs="Times New Roman"/>
                <w:b/>
                <w:iCs/>
                <w:color w:val="000000"/>
                <w:sz w:val="20"/>
                <w:szCs w:val="20"/>
                <w:lang w:eastAsia="zh-CN"/>
              </w:rPr>
              <w:t xml:space="preserve"> of transitioning </w:t>
            </w:r>
            <w:r w:rsidR="00802017" w:rsidRPr="0067437A">
              <w:rPr>
                <w:rFonts w:ascii="Arial Narrow" w:hAnsi="Arial Narrow" w:cs="Times New Roman"/>
                <w:b/>
                <w:iCs/>
                <w:color w:val="000000"/>
                <w:sz w:val="20"/>
                <w:szCs w:val="20"/>
                <w:lang w:eastAsia="zh-CN"/>
              </w:rPr>
              <w:t xml:space="preserve">from Stable PAH and Improved PAH </w:t>
            </w:r>
            <w:r w:rsidRPr="0067437A">
              <w:rPr>
                <w:rFonts w:ascii="Arial Narrow" w:hAnsi="Arial Narrow" w:cs="Times New Roman"/>
                <w:b/>
                <w:iCs/>
                <w:color w:val="000000"/>
                <w:sz w:val="20"/>
                <w:szCs w:val="20"/>
                <w:lang w:eastAsia="zh-CN"/>
              </w:rPr>
              <w:t>to Progressed PAH health state</w:t>
            </w:r>
            <w:r w:rsidR="00985661" w:rsidRPr="0067437A">
              <w:rPr>
                <w:rFonts w:ascii="Arial Narrow" w:hAnsi="Arial Narrow" w:cs="Times New Roman"/>
                <w:b/>
                <w:iCs/>
                <w:color w:val="000000"/>
                <w:sz w:val="20"/>
                <w:szCs w:val="20"/>
                <w:lang w:eastAsia="zh-CN"/>
              </w:rPr>
              <w:t xml:space="preserve"> </w:t>
            </w:r>
            <w:r w:rsidR="00AE4D8C" w:rsidRPr="0067437A">
              <w:rPr>
                <w:rFonts w:ascii="Arial Narrow" w:hAnsi="Arial Narrow" w:cs="Times New Roman"/>
                <w:b/>
                <w:iCs/>
                <w:color w:val="000000"/>
                <w:sz w:val="20"/>
                <w:szCs w:val="20"/>
                <w:lang w:eastAsia="zh-CN"/>
              </w:rPr>
              <w:t xml:space="preserve">over the 20 year time horizon </w:t>
            </w:r>
            <w:r w:rsidR="00985661" w:rsidRPr="0067437A">
              <w:rPr>
                <w:rFonts w:ascii="Arial Narrow" w:hAnsi="Arial Narrow" w:cs="Times New Roman"/>
                <w:b/>
                <w:iCs/>
                <w:color w:val="000000"/>
                <w:sz w:val="20"/>
                <w:szCs w:val="20"/>
                <w:lang w:eastAsia="zh-CN"/>
              </w:rPr>
              <w:t>(base case: selexipag</w:t>
            </w:r>
            <w:r w:rsidR="00AE4D8C" w:rsidRPr="0067437A">
              <w:rPr>
                <w:rFonts w:ascii="Arial Narrow" w:hAnsi="Arial Narrow" w:cs="Times New Roman"/>
                <w:b/>
                <w:iCs/>
                <w:color w:val="000000"/>
                <w:sz w:val="20"/>
                <w:szCs w:val="20"/>
                <w:lang w:eastAsia="zh-CN"/>
              </w:rPr>
              <w:t xml:space="preserve"> =</w:t>
            </w:r>
            <w:r w:rsidR="00985661" w:rsidRPr="0067437A">
              <w:rPr>
                <w:rFonts w:ascii="Arial Narrow" w:hAnsi="Arial Narrow" w:cs="Times New Roman"/>
                <w:b/>
                <w:iCs/>
                <w:color w:val="000000"/>
                <w:sz w:val="20"/>
                <w:szCs w:val="20"/>
                <w:lang w:eastAsia="zh-CN"/>
              </w:rPr>
              <w:t xml:space="preserve"> 0.067; placebo</w:t>
            </w:r>
            <w:r w:rsidR="00AE4D8C" w:rsidRPr="0067437A">
              <w:rPr>
                <w:rFonts w:ascii="Arial Narrow" w:hAnsi="Arial Narrow" w:cs="Times New Roman"/>
                <w:b/>
                <w:iCs/>
                <w:color w:val="000000"/>
                <w:sz w:val="20"/>
                <w:szCs w:val="20"/>
                <w:lang w:eastAsia="zh-CN"/>
              </w:rPr>
              <w:t xml:space="preserve"> =</w:t>
            </w:r>
            <w:r w:rsidR="00985661" w:rsidRPr="0067437A">
              <w:rPr>
                <w:rFonts w:ascii="Arial Narrow" w:hAnsi="Arial Narrow" w:cs="Times New Roman"/>
                <w:b/>
                <w:iCs/>
                <w:color w:val="000000"/>
                <w:sz w:val="20"/>
                <w:szCs w:val="20"/>
                <w:lang w:eastAsia="zh-CN"/>
              </w:rPr>
              <w:t xml:space="preserve"> 0.1)</w:t>
            </w:r>
          </w:p>
        </w:tc>
      </w:tr>
      <w:tr w:rsidR="00045AF6" w:rsidRPr="0067437A" w:rsidTr="00D46FFF">
        <w:trPr>
          <w:cantSplit/>
          <w:trHeight w:val="70"/>
        </w:trPr>
        <w:tc>
          <w:tcPr>
            <w:tcW w:w="6154" w:type="dxa"/>
            <w:tcBorders>
              <w:left w:val="single" w:sz="4" w:space="0" w:color="auto"/>
              <w:right w:val="single" w:sz="4" w:space="0" w:color="auto"/>
            </w:tcBorders>
            <w:shd w:val="clear" w:color="auto" w:fill="auto"/>
            <w:vAlign w:val="center"/>
          </w:tcPr>
          <w:p w:rsidR="00045AF6" w:rsidRPr="0067437A" w:rsidRDefault="00045AF6" w:rsidP="00045AF6">
            <w:pPr>
              <w:keepNext/>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Selexipag = 0.033; placebo = 0.05 (probabilities = 1/2 of base case)</w:t>
            </w:r>
          </w:p>
        </w:tc>
        <w:tc>
          <w:tcPr>
            <w:tcW w:w="977" w:type="dxa"/>
            <w:gridSpan w:val="2"/>
            <w:tcBorders>
              <w:left w:val="single" w:sz="4" w:space="0" w:color="auto"/>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left w:val="single" w:sz="4" w:space="0" w:color="auto"/>
              <w:right w:val="single" w:sz="4" w:space="0" w:color="auto"/>
            </w:tcBorders>
            <w:shd w:val="clear" w:color="auto" w:fill="auto"/>
            <w:vAlign w:val="center"/>
          </w:tcPr>
          <w:p w:rsidR="00045AF6" w:rsidRPr="00B24936" w:rsidRDefault="00B24936" w:rsidP="00045AF6">
            <w:pPr>
              <w:keepNext/>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left w:val="single" w:sz="4" w:space="0" w:color="auto"/>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6154" w:type="dxa"/>
            <w:tcBorders>
              <w:left w:val="single" w:sz="4" w:space="0" w:color="auto"/>
              <w:bottom w:val="single" w:sz="4" w:space="0" w:color="auto"/>
              <w:right w:val="single" w:sz="4" w:space="0" w:color="auto"/>
            </w:tcBorders>
            <w:shd w:val="clear" w:color="auto" w:fill="auto"/>
            <w:vAlign w:val="center"/>
          </w:tcPr>
          <w:p w:rsidR="00045AF6" w:rsidRPr="0067437A" w:rsidRDefault="00045AF6" w:rsidP="00045AF6">
            <w:pPr>
              <w:keepNext/>
              <w:widowControl w:val="0"/>
              <w:numPr>
                <w:ilvl w:val="0"/>
                <w:numId w:val="10"/>
              </w:numPr>
              <w:ind w:left="254"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Selexipag = 0.044; placebo = 0.067 (probabilities = 2/3 of base case)</w:t>
            </w:r>
          </w:p>
        </w:tc>
        <w:tc>
          <w:tcPr>
            <w:tcW w:w="977" w:type="dxa"/>
            <w:gridSpan w:val="2"/>
            <w:tcBorders>
              <w:left w:val="single" w:sz="4" w:space="0" w:color="auto"/>
              <w:bottom w:val="single" w:sz="4" w:space="0" w:color="auto"/>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left w:val="single" w:sz="4" w:space="0" w:color="auto"/>
              <w:bottom w:val="single" w:sz="4" w:space="0" w:color="auto"/>
              <w:right w:val="single" w:sz="4" w:space="0" w:color="auto"/>
            </w:tcBorders>
            <w:shd w:val="clear" w:color="auto" w:fill="auto"/>
            <w:vAlign w:val="center"/>
          </w:tcPr>
          <w:p w:rsidR="00045AF6" w:rsidRPr="00B24936" w:rsidRDefault="00B24936" w:rsidP="00045AF6">
            <w:pPr>
              <w:keepNext/>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left w:val="single" w:sz="4" w:space="0" w:color="auto"/>
              <w:bottom w:val="single" w:sz="4" w:space="0" w:color="auto"/>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F66DD2" w:rsidRPr="0067437A" w:rsidTr="00306194">
        <w:trPr>
          <w:cantSplit/>
          <w:trHeight w:val="7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F66DD2" w:rsidRPr="0067437A" w:rsidRDefault="00F66DD2" w:rsidP="00985661">
            <w:pPr>
              <w:keepNext/>
              <w:rPr>
                <w:rFonts w:ascii="Arial Narrow" w:hAnsi="Arial Narrow" w:cs="Times New Roman"/>
                <w:iCs/>
                <w:color w:val="000000"/>
                <w:sz w:val="20"/>
                <w:szCs w:val="20"/>
                <w:lang w:eastAsia="zh-CN"/>
              </w:rPr>
            </w:pPr>
            <w:r w:rsidRPr="0067437A">
              <w:rPr>
                <w:rFonts w:ascii="Arial Narrow" w:hAnsi="Arial Narrow" w:cs="Times New Roman"/>
                <w:b/>
                <w:bCs/>
                <w:iCs/>
                <w:color w:val="000000"/>
                <w:sz w:val="20"/>
                <w:szCs w:val="20"/>
                <w:lang w:eastAsia="zh-CN"/>
              </w:rPr>
              <w:t>Mean number of hospitalisations per patient per year</w:t>
            </w:r>
            <w:r w:rsidR="00985661" w:rsidRPr="0067437A">
              <w:rPr>
                <w:rFonts w:ascii="Arial Narrow" w:hAnsi="Arial Narrow" w:cs="Times New Roman"/>
                <w:b/>
                <w:bCs/>
                <w:iCs/>
                <w:color w:val="000000"/>
                <w:sz w:val="20"/>
                <w:szCs w:val="20"/>
                <w:lang w:eastAsia="zh-CN"/>
              </w:rPr>
              <w:t xml:space="preserve"> (base case: 2 per year)</w:t>
            </w:r>
          </w:p>
        </w:tc>
      </w:tr>
      <w:tr w:rsidR="00045AF6" w:rsidRPr="0067437A" w:rsidTr="00D46FFF">
        <w:trPr>
          <w:cantSplit/>
          <w:trHeight w:val="70"/>
        </w:trPr>
        <w:tc>
          <w:tcPr>
            <w:tcW w:w="0" w:type="auto"/>
            <w:tcBorders>
              <w:left w:val="single" w:sz="4" w:space="0" w:color="auto"/>
              <w:right w:val="single" w:sz="4" w:space="0" w:color="auto"/>
            </w:tcBorders>
            <w:shd w:val="clear" w:color="auto" w:fill="auto"/>
            <w:vAlign w:val="center"/>
          </w:tcPr>
          <w:p w:rsidR="00045AF6" w:rsidRPr="0067437A" w:rsidRDefault="00045AF6" w:rsidP="00045AF6">
            <w:pPr>
              <w:keepNext/>
              <w:widowControl w:val="0"/>
              <w:numPr>
                <w:ilvl w:val="0"/>
                <w:numId w:val="10"/>
              </w:numPr>
              <w:ind w:left="254"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3.3 hospitalisations per patient per year, based on French retrospective hospital database study</w:t>
            </w:r>
            <w:r w:rsidR="007B146B" w:rsidRPr="0067437A">
              <w:rPr>
                <w:rFonts w:ascii="Arial Narrow" w:hAnsi="Arial Narrow" w:cs="Times New Roman"/>
                <w:iCs/>
                <w:color w:val="000000"/>
                <w:sz w:val="20"/>
                <w:szCs w:val="20"/>
                <w:lang w:eastAsia="zh-CN"/>
              </w:rPr>
              <w:t xml:space="preserve"> (Bergot et al 2019)</w:t>
            </w:r>
          </w:p>
        </w:tc>
        <w:tc>
          <w:tcPr>
            <w:tcW w:w="977" w:type="dxa"/>
            <w:gridSpan w:val="2"/>
            <w:tcBorders>
              <w:left w:val="nil"/>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left w:val="nil"/>
              <w:right w:val="single" w:sz="4" w:space="0" w:color="auto"/>
            </w:tcBorders>
            <w:shd w:val="clear" w:color="auto" w:fill="auto"/>
            <w:vAlign w:val="center"/>
          </w:tcPr>
          <w:p w:rsidR="00045AF6" w:rsidRPr="00B24936" w:rsidRDefault="00B24936" w:rsidP="00045AF6">
            <w:pPr>
              <w:keepNext/>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left w:val="nil"/>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0" w:type="auto"/>
            <w:tcBorders>
              <w:left w:val="single" w:sz="4" w:space="0" w:color="auto"/>
              <w:right w:val="single" w:sz="4" w:space="0" w:color="auto"/>
            </w:tcBorders>
            <w:shd w:val="clear" w:color="auto" w:fill="auto"/>
            <w:vAlign w:val="center"/>
          </w:tcPr>
          <w:p w:rsidR="00045AF6" w:rsidRPr="0067437A" w:rsidRDefault="00045AF6" w:rsidP="00045AF6">
            <w:pPr>
              <w:keepNext/>
              <w:widowControl w:val="0"/>
              <w:numPr>
                <w:ilvl w:val="0"/>
                <w:numId w:val="10"/>
              </w:numPr>
              <w:ind w:left="254"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1.4 hospitalisations per patient per year, based on reported number in Beaudet et al. 2019</w:t>
            </w:r>
          </w:p>
        </w:tc>
        <w:tc>
          <w:tcPr>
            <w:tcW w:w="977" w:type="dxa"/>
            <w:gridSpan w:val="2"/>
            <w:tcBorders>
              <w:left w:val="nil"/>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left w:val="nil"/>
              <w:right w:val="single" w:sz="4" w:space="0" w:color="auto"/>
            </w:tcBorders>
            <w:shd w:val="clear" w:color="auto" w:fill="auto"/>
            <w:vAlign w:val="center"/>
          </w:tcPr>
          <w:p w:rsidR="00045AF6" w:rsidRPr="00B24936" w:rsidRDefault="00B24936" w:rsidP="00045AF6">
            <w:pPr>
              <w:keepNext/>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left w:val="nil"/>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0" w:type="auto"/>
            <w:tcBorders>
              <w:left w:val="single" w:sz="4" w:space="0" w:color="auto"/>
              <w:bottom w:val="single" w:sz="4" w:space="0" w:color="auto"/>
              <w:right w:val="single" w:sz="4" w:space="0" w:color="auto"/>
            </w:tcBorders>
            <w:shd w:val="clear" w:color="auto" w:fill="auto"/>
            <w:vAlign w:val="center"/>
          </w:tcPr>
          <w:p w:rsidR="00045AF6" w:rsidRPr="0067437A" w:rsidRDefault="00045AF6" w:rsidP="00045AF6">
            <w:pPr>
              <w:keepNext/>
              <w:widowControl w:val="0"/>
              <w:numPr>
                <w:ilvl w:val="0"/>
                <w:numId w:val="10"/>
              </w:numPr>
              <w:ind w:left="254"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1.4 hospitalisations per patient over a mean follow-up period of 44.8 months, or 0.375 hospitalisations per patient per year, based on Beaudet et al. 2019</w:t>
            </w:r>
          </w:p>
        </w:tc>
        <w:tc>
          <w:tcPr>
            <w:tcW w:w="977" w:type="dxa"/>
            <w:gridSpan w:val="2"/>
            <w:tcBorders>
              <w:left w:val="nil"/>
              <w:bottom w:val="single" w:sz="4" w:space="0" w:color="auto"/>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left w:val="nil"/>
              <w:bottom w:val="single" w:sz="4" w:space="0" w:color="auto"/>
              <w:right w:val="single" w:sz="4" w:space="0" w:color="auto"/>
            </w:tcBorders>
            <w:shd w:val="clear" w:color="auto" w:fill="auto"/>
            <w:vAlign w:val="center"/>
          </w:tcPr>
          <w:p w:rsidR="00045AF6" w:rsidRPr="00B24936" w:rsidRDefault="00B24936" w:rsidP="00045AF6">
            <w:pPr>
              <w:keepNext/>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left w:val="nil"/>
              <w:bottom w:val="single" w:sz="4" w:space="0" w:color="auto"/>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9C1F95" w:rsidRPr="0067437A" w:rsidTr="009C1F95">
        <w:trPr>
          <w:cantSplit/>
          <w:trHeight w:val="7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9C1F95" w:rsidRPr="0067437A" w:rsidRDefault="009C1F95" w:rsidP="001D780C">
            <w:pPr>
              <w:jc w:val="left"/>
              <w:rPr>
                <w:rFonts w:ascii="Arial Narrow" w:hAnsi="Arial Narrow" w:cs="Times New Roman"/>
                <w:b/>
                <w:color w:val="000000"/>
                <w:sz w:val="20"/>
                <w:szCs w:val="20"/>
                <w:lang w:eastAsia="zh-CN"/>
              </w:rPr>
            </w:pPr>
            <w:r w:rsidRPr="0067437A">
              <w:rPr>
                <w:rFonts w:ascii="Arial Narrow" w:hAnsi="Arial Narrow" w:cs="Times New Roman"/>
                <w:b/>
                <w:color w:val="000000"/>
                <w:sz w:val="20"/>
                <w:szCs w:val="20"/>
                <w:lang w:eastAsia="zh-CN"/>
              </w:rPr>
              <w:t>Cost of hospitalisation (base case: $8,551)</w:t>
            </w:r>
          </w:p>
        </w:tc>
      </w:tr>
      <w:tr w:rsidR="00045AF6" w:rsidRPr="0067437A" w:rsidTr="00D46FFF">
        <w:trPr>
          <w:cantSplit/>
          <w:trHeight w:val="70"/>
        </w:trPr>
        <w:tc>
          <w:tcPr>
            <w:tcW w:w="0" w:type="auto"/>
            <w:tcBorders>
              <w:left w:val="single" w:sz="4" w:space="0" w:color="auto"/>
              <w:right w:val="single" w:sz="4" w:space="0" w:color="auto"/>
            </w:tcBorders>
            <w:shd w:val="clear" w:color="auto" w:fill="auto"/>
            <w:vAlign w:val="center"/>
          </w:tcPr>
          <w:p w:rsidR="00045AF6" w:rsidRPr="0067437A" w:rsidRDefault="00045AF6" w:rsidP="00045AF6">
            <w:pPr>
              <w:widowControl w:val="0"/>
              <w:numPr>
                <w:ilvl w:val="0"/>
                <w:numId w:val="19"/>
              </w:numPr>
              <w:ind w:left="255" w:hanging="142"/>
              <w:jc w:val="left"/>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$12,048 (DRG cost with major complications)</w:t>
            </w:r>
          </w:p>
        </w:tc>
        <w:tc>
          <w:tcPr>
            <w:tcW w:w="977" w:type="dxa"/>
            <w:gridSpan w:val="2"/>
            <w:tcBorders>
              <w:left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w:t>
            </w:r>
            <w:r w:rsidR="00B24936">
              <w:rPr>
                <w:rFonts w:ascii="Arial Narrow" w:hAnsi="Arial Narrow" w:cs="Times New Roman"/>
                <w:noProof/>
                <w:color w:val="000000"/>
                <w:sz w:val="20"/>
                <w:szCs w:val="20"/>
                <w:highlight w:val="black"/>
                <w:lang w:eastAsia="zh-CN"/>
              </w:rPr>
              <w:t>''''''''''''</w:t>
            </w:r>
          </w:p>
        </w:tc>
        <w:tc>
          <w:tcPr>
            <w:tcW w:w="977" w:type="dxa"/>
            <w:tcBorders>
              <w:left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color w:val="000000"/>
                <w:sz w:val="20"/>
                <w:szCs w:val="20"/>
                <w:highlight w:val="black"/>
                <w:lang w:eastAsia="zh-CN"/>
              </w:rPr>
            </w:pPr>
            <w:r>
              <w:rPr>
                <w:rFonts w:ascii="Arial Narrow" w:hAnsi="Arial Narrow" w:cs="Times New Roman"/>
                <w:noProof/>
                <w:color w:val="000000"/>
                <w:sz w:val="20"/>
                <w:szCs w:val="20"/>
                <w:highlight w:val="black"/>
                <w:lang w:eastAsia="zh-CN"/>
              </w:rPr>
              <w:t>''''''''''''</w:t>
            </w:r>
          </w:p>
        </w:tc>
        <w:tc>
          <w:tcPr>
            <w:tcW w:w="909" w:type="dxa"/>
            <w:tcBorders>
              <w:left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w:t>
            </w:r>
            <w:r w:rsidR="00B24936">
              <w:rPr>
                <w:rFonts w:ascii="Arial Narrow" w:hAnsi="Arial Narrow" w:cs="Times New Roman"/>
                <w:noProof/>
                <w:color w:val="000000"/>
                <w:sz w:val="20"/>
                <w:szCs w:val="20"/>
                <w:highlight w:val="black"/>
                <w:lang w:eastAsia="zh-CN"/>
              </w:rPr>
              <w:t>''''''''''''''</w:t>
            </w:r>
          </w:p>
        </w:tc>
      </w:tr>
      <w:tr w:rsidR="00045AF6" w:rsidRPr="0067437A" w:rsidTr="00D46FFF">
        <w:trPr>
          <w:cantSplit/>
          <w:trHeight w:val="70"/>
        </w:trPr>
        <w:tc>
          <w:tcPr>
            <w:tcW w:w="0" w:type="auto"/>
            <w:tcBorders>
              <w:left w:val="single" w:sz="4" w:space="0" w:color="auto"/>
              <w:right w:val="single" w:sz="4" w:space="0" w:color="auto"/>
            </w:tcBorders>
            <w:shd w:val="clear" w:color="auto" w:fill="auto"/>
            <w:vAlign w:val="center"/>
          </w:tcPr>
          <w:p w:rsidR="00045AF6" w:rsidRPr="0067437A" w:rsidRDefault="00045AF6" w:rsidP="00045AF6">
            <w:pPr>
              <w:widowControl w:val="0"/>
              <w:numPr>
                <w:ilvl w:val="0"/>
                <w:numId w:val="19"/>
              </w:numPr>
              <w:ind w:left="255" w:hanging="142"/>
              <w:jc w:val="left"/>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$3,205 (DRG cost with minor complications)</w:t>
            </w:r>
          </w:p>
        </w:tc>
        <w:tc>
          <w:tcPr>
            <w:tcW w:w="977" w:type="dxa"/>
            <w:gridSpan w:val="2"/>
            <w:tcBorders>
              <w:left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w:t>
            </w:r>
            <w:r w:rsidR="00B24936">
              <w:rPr>
                <w:rFonts w:ascii="Arial Narrow" w:hAnsi="Arial Narrow" w:cs="Times New Roman"/>
                <w:noProof/>
                <w:color w:val="000000"/>
                <w:sz w:val="20"/>
                <w:szCs w:val="20"/>
                <w:highlight w:val="black"/>
                <w:lang w:eastAsia="zh-CN"/>
              </w:rPr>
              <w:t>''''''''''''''</w:t>
            </w:r>
          </w:p>
        </w:tc>
        <w:tc>
          <w:tcPr>
            <w:tcW w:w="977" w:type="dxa"/>
            <w:tcBorders>
              <w:left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color w:val="000000"/>
                <w:sz w:val="20"/>
                <w:szCs w:val="20"/>
                <w:highlight w:val="black"/>
                <w:lang w:eastAsia="zh-CN"/>
              </w:rPr>
            </w:pPr>
            <w:r>
              <w:rPr>
                <w:rFonts w:ascii="Arial Narrow" w:hAnsi="Arial Narrow" w:cs="Times New Roman"/>
                <w:noProof/>
                <w:color w:val="000000"/>
                <w:sz w:val="20"/>
                <w:szCs w:val="20"/>
                <w:highlight w:val="black"/>
                <w:lang w:eastAsia="zh-CN"/>
              </w:rPr>
              <w:t>''''''''''''''</w:t>
            </w:r>
          </w:p>
        </w:tc>
        <w:tc>
          <w:tcPr>
            <w:tcW w:w="909" w:type="dxa"/>
            <w:tcBorders>
              <w:left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w:t>
            </w:r>
            <w:r w:rsidR="00B24936">
              <w:rPr>
                <w:rFonts w:ascii="Arial Narrow" w:hAnsi="Arial Narrow" w:cs="Times New Roman"/>
                <w:noProof/>
                <w:color w:val="000000"/>
                <w:sz w:val="20"/>
                <w:szCs w:val="20"/>
                <w:highlight w:val="black"/>
                <w:lang w:eastAsia="zh-CN"/>
              </w:rPr>
              <w:t>''''''''''''''''</w:t>
            </w:r>
          </w:p>
        </w:tc>
      </w:tr>
      <w:tr w:rsidR="00045AF6" w:rsidRPr="0067437A" w:rsidTr="00D46FFF">
        <w:trPr>
          <w:cantSplit/>
          <w:trHeight w:val="70"/>
        </w:trPr>
        <w:tc>
          <w:tcPr>
            <w:tcW w:w="0" w:type="auto"/>
            <w:tcBorders>
              <w:left w:val="single" w:sz="4" w:space="0" w:color="auto"/>
              <w:bottom w:val="single" w:sz="4" w:space="0" w:color="auto"/>
              <w:right w:val="single" w:sz="4" w:space="0" w:color="auto"/>
            </w:tcBorders>
            <w:shd w:val="clear" w:color="auto" w:fill="auto"/>
            <w:vAlign w:val="center"/>
          </w:tcPr>
          <w:p w:rsidR="00045AF6" w:rsidRPr="0067437A" w:rsidRDefault="00045AF6" w:rsidP="00045AF6">
            <w:pPr>
              <w:widowControl w:val="0"/>
              <w:numPr>
                <w:ilvl w:val="0"/>
                <w:numId w:val="19"/>
              </w:numPr>
              <w:ind w:left="255" w:hanging="142"/>
              <w:jc w:val="left"/>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No hospitalisation cost</w:t>
            </w:r>
          </w:p>
        </w:tc>
        <w:tc>
          <w:tcPr>
            <w:tcW w:w="977" w:type="dxa"/>
            <w:gridSpan w:val="2"/>
            <w:tcBorders>
              <w:left w:val="single" w:sz="4" w:space="0" w:color="auto"/>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w:t>
            </w:r>
            <w:r w:rsidR="00B24936">
              <w:rPr>
                <w:rFonts w:ascii="Arial Narrow" w:hAnsi="Arial Narrow" w:cs="Times New Roman"/>
                <w:noProof/>
                <w:color w:val="000000"/>
                <w:sz w:val="20"/>
                <w:szCs w:val="20"/>
                <w:highlight w:val="black"/>
                <w:lang w:eastAsia="zh-CN"/>
              </w:rPr>
              <w:t>'''''''''''''''</w:t>
            </w:r>
          </w:p>
        </w:tc>
        <w:tc>
          <w:tcPr>
            <w:tcW w:w="977" w:type="dxa"/>
            <w:tcBorders>
              <w:left w:val="single" w:sz="4" w:space="0" w:color="auto"/>
              <w:bottom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color w:val="000000"/>
                <w:sz w:val="20"/>
                <w:szCs w:val="20"/>
                <w:highlight w:val="black"/>
                <w:lang w:eastAsia="zh-CN"/>
              </w:rPr>
            </w:pPr>
            <w:r>
              <w:rPr>
                <w:rFonts w:ascii="Arial Narrow" w:hAnsi="Arial Narrow" w:cs="Times New Roman"/>
                <w:noProof/>
                <w:color w:val="000000"/>
                <w:sz w:val="20"/>
                <w:szCs w:val="20"/>
                <w:highlight w:val="black"/>
                <w:lang w:eastAsia="zh-CN"/>
              </w:rPr>
              <w:t>''''''''''''''</w:t>
            </w:r>
          </w:p>
        </w:tc>
        <w:tc>
          <w:tcPr>
            <w:tcW w:w="909" w:type="dxa"/>
            <w:tcBorders>
              <w:left w:val="single" w:sz="4" w:space="0" w:color="auto"/>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color w:val="000000"/>
                <w:sz w:val="20"/>
                <w:szCs w:val="20"/>
                <w:lang w:eastAsia="zh-CN"/>
              </w:rPr>
            </w:pPr>
            <w:r w:rsidRPr="0067437A">
              <w:rPr>
                <w:rFonts w:ascii="Arial Narrow" w:hAnsi="Arial Narrow" w:cs="Times New Roman"/>
                <w:color w:val="000000"/>
                <w:sz w:val="20"/>
                <w:szCs w:val="20"/>
                <w:lang w:eastAsia="zh-CN"/>
              </w:rPr>
              <w:t>$</w:t>
            </w:r>
            <w:r w:rsidR="00B24936">
              <w:rPr>
                <w:rFonts w:ascii="Arial Narrow" w:hAnsi="Arial Narrow" w:cs="Times New Roman"/>
                <w:noProof/>
                <w:color w:val="000000"/>
                <w:sz w:val="20"/>
                <w:szCs w:val="20"/>
                <w:highlight w:val="black"/>
                <w:lang w:eastAsia="zh-CN"/>
              </w:rPr>
              <w:t>''''''''''''''''</w:t>
            </w:r>
          </w:p>
        </w:tc>
      </w:tr>
      <w:tr w:rsidR="00F66DD2" w:rsidRPr="0067437A" w:rsidTr="00306194">
        <w:trPr>
          <w:cantSplit/>
          <w:trHeight w:val="92"/>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F66DD2" w:rsidRPr="0067437A" w:rsidRDefault="00F66DD2" w:rsidP="00985661">
            <w:pPr>
              <w:keepNext/>
              <w:jc w:val="left"/>
              <w:rPr>
                <w:rFonts w:ascii="Arial Narrow" w:hAnsi="Arial Narrow" w:cs="Times New Roman"/>
                <w:b/>
                <w:bCs/>
                <w:iCs/>
                <w:color w:val="000000"/>
                <w:sz w:val="20"/>
                <w:szCs w:val="20"/>
                <w:lang w:eastAsia="zh-CN"/>
              </w:rPr>
            </w:pPr>
            <w:r w:rsidRPr="0067437A">
              <w:rPr>
                <w:rFonts w:ascii="Arial Narrow" w:hAnsi="Arial Narrow" w:cs="Times New Roman"/>
                <w:b/>
                <w:bCs/>
                <w:iCs/>
                <w:color w:val="000000"/>
                <w:sz w:val="20"/>
                <w:szCs w:val="20"/>
                <w:lang w:eastAsia="zh-CN"/>
              </w:rPr>
              <w:t>Proportion receive IV epoprostenol upon disease progression</w:t>
            </w:r>
            <w:r w:rsidR="009C1F95" w:rsidRPr="0067437A">
              <w:rPr>
                <w:rFonts w:ascii="Arial Narrow" w:hAnsi="Arial Narrow" w:cs="Times New Roman"/>
                <w:b/>
                <w:bCs/>
                <w:iCs/>
                <w:color w:val="000000"/>
                <w:sz w:val="20"/>
                <w:szCs w:val="20"/>
                <w:lang w:eastAsia="zh-CN"/>
              </w:rPr>
              <w:t xml:space="preserve"> (base case: 80%)</w:t>
            </w:r>
          </w:p>
        </w:tc>
      </w:tr>
      <w:tr w:rsidR="00045AF6" w:rsidRPr="0067437A" w:rsidTr="00D46FFF">
        <w:trPr>
          <w:cantSplit/>
          <w:trHeight w:val="70"/>
        </w:trPr>
        <w:tc>
          <w:tcPr>
            <w:tcW w:w="0" w:type="auto"/>
            <w:tcBorders>
              <w:left w:val="single" w:sz="4" w:space="0" w:color="auto"/>
              <w:right w:val="single" w:sz="4" w:space="0" w:color="auto"/>
            </w:tcBorders>
            <w:shd w:val="clear" w:color="auto" w:fill="auto"/>
            <w:vAlign w:val="center"/>
          </w:tcPr>
          <w:p w:rsidR="00045AF6" w:rsidRPr="0067437A" w:rsidRDefault="00045AF6" w:rsidP="00045AF6">
            <w:pPr>
              <w:keepNext/>
              <w:widowControl w:val="0"/>
              <w:numPr>
                <w:ilvl w:val="0"/>
                <w:numId w:val="10"/>
              </w:numPr>
              <w:ind w:left="254"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100%</w:t>
            </w:r>
          </w:p>
        </w:tc>
        <w:tc>
          <w:tcPr>
            <w:tcW w:w="977" w:type="dxa"/>
            <w:gridSpan w:val="2"/>
            <w:tcBorders>
              <w:left w:val="nil"/>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left w:val="nil"/>
              <w:right w:val="single" w:sz="4" w:space="0" w:color="auto"/>
            </w:tcBorders>
            <w:shd w:val="clear" w:color="auto" w:fill="auto"/>
            <w:vAlign w:val="center"/>
          </w:tcPr>
          <w:p w:rsidR="00045AF6" w:rsidRPr="00B24936" w:rsidRDefault="00B24936" w:rsidP="00045AF6">
            <w:pPr>
              <w:keepNext/>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left w:val="nil"/>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Dominant</w:t>
            </w:r>
          </w:p>
        </w:tc>
      </w:tr>
      <w:tr w:rsidR="00045AF6" w:rsidRPr="0067437A" w:rsidTr="00D46FFF">
        <w:trPr>
          <w:cantSplit/>
          <w:trHeight w:val="70"/>
        </w:trPr>
        <w:tc>
          <w:tcPr>
            <w:tcW w:w="0" w:type="auto"/>
            <w:tcBorders>
              <w:left w:val="single" w:sz="4" w:space="0" w:color="auto"/>
              <w:right w:val="single" w:sz="4" w:space="0" w:color="auto"/>
            </w:tcBorders>
            <w:shd w:val="clear" w:color="auto" w:fill="auto"/>
            <w:vAlign w:val="center"/>
          </w:tcPr>
          <w:p w:rsidR="00045AF6" w:rsidRPr="0067437A" w:rsidRDefault="00045AF6" w:rsidP="00045AF6">
            <w:pPr>
              <w:keepNext/>
              <w:widowControl w:val="0"/>
              <w:numPr>
                <w:ilvl w:val="0"/>
                <w:numId w:val="10"/>
              </w:numPr>
              <w:ind w:left="254"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50%</w:t>
            </w:r>
          </w:p>
        </w:tc>
        <w:tc>
          <w:tcPr>
            <w:tcW w:w="977" w:type="dxa"/>
            <w:gridSpan w:val="2"/>
            <w:tcBorders>
              <w:left w:val="nil"/>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left w:val="nil"/>
              <w:right w:val="single" w:sz="4" w:space="0" w:color="auto"/>
            </w:tcBorders>
            <w:shd w:val="clear" w:color="auto" w:fill="auto"/>
            <w:vAlign w:val="center"/>
          </w:tcPr>
          <w:p w:rsidR="00045AF6" w:rsidRPr="00B24936" w:rsidRDefault="00B24936" w:rsidP="00045AF6">
            <w:pPr>
              <w:keepNext/>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left w:val="nil"/>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0" w:type="auto"/>
            <w:tcBorders>
              <w:left w:val="single" w:sz="4" w:space="0" w:color="auto"/>
              <w:bottom w:val="single" w:sz="4" w:space="0" w:color="auto"/>
              <w:right w:val="single" w:sz="4" w:space="0" w:color="auto"/>
            </w:tcBorders>
            <w:shd w:val="clear" w:color="auto" w:fill="auto"/>
            <w:vAlign w:val="center"/>
          </w:tcPr>
          <w:p w:rsidR="00045AF6" w:rsidRPr="0067437A" w:rsidRDefault="00045AF6" w:rsidP="00045AF6">
            <w:pPr>
              <w:keepNext/>
              <w:widowControl w:val="0"/>
              <w:numPr>
                <w:ilvl w:val="0"/>
                <w:numId w:val="10"/>
              </w:numPr>
              <w:ind w:left="254"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22.6%, based on upper range of annual prevalence of prostacyclin use from Burger et al. 2018</w:t>
            </w:r>
          </w:p>
        </w:tc>
        <w:tc>
          <w:tcPr>
            <w:tcW w:w="977" w:type="dxa"/>
            <w:gridSpan w:val="2"/>
            <w:tcBorders>
              <w:left w:val="nil"/>
              <w:bottom w:val="single" w:sz="4" w:space="0" w:color="auto"/>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left w:val="nil"/>
              <w:bottom w:val="single" w:sz="4" w:space="0" w:color="auto"/>
              <w:right w:val="single" w:sz="4" w:space="0" w:color="auto"/>
            </w:tcBorders>
            <w:shd w:val="clear" w:color="auto" w:fill="auto"/>
            <w:vAlign w:val="center"/>
          </w:tcPr>
          <w:p w:rsidR="00045AF6" w:rsidRPr="00B24936" w:rsidRDefault="00B24936" w:rsidP="00045AF6">
            <w:pPr>
              <w:keepNext/>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left w:val="nil"/>
              <w:bottom w:val="single" w:sz="4" w:space="0" w:color="auto"/>
              <w:right w:val="single" w:sz="4" w:space="0" w:color="auto"/>
            </w:tcBorders>
            <w:shd w:val="clear" w:color="auto" w:fill="auto"/>
            <w:vAlign w:val="center"/>
          </w:tcPr>
          <w:p w:rsidR="00045AF6" w:rsidRPr="0067437A" w:rsidRDefault="00045AF6" w:rsidP="00045AF6">
            <w:pPr>
              <w:keepNext/>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F66DD2" w:rsidRPr="0067437A" w:rsidTr="00C05748">
        <w:trPr>
          <w:cantSplit/>
          <w:trHeight w:val="7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F66DD2" w:rsidRPr="0067437A" w:rsidRDefault="00F66DD2" w:rsidP="00F66DD2">
            <w:pPr>
              <w:jc w:val="left"/>
              <w:rPr>
                <w:rFonts w:ascii="Arial Narrow" w:hAnsi="Arial Narrow" w:cs="Times New Roman"/>
                <w:b/>
                <w:bCs/>
                <w:color w:val="000000"/>
                <w:sz w:val="20"/>
                <w:szCs w:val="20"/>
                <w:lang w:eastAsia="zh-CN"/>
              </w:rPr>
            </w:pPr>
            <w:r w:rsidRPr="0067437A">
              <w:rPr>
                <w:rFonts w:ascii="Arial Narrow" w:hAnsi="Arial Narrow" w:cs="Times New Roman"/>
                <w:b/>
                <w:bCs/>
                <w:iCs/>
                <w:color w:val="000000"/>
                <w:sz w:val="20"/>
                <w:szCs w:val="20"/>
                <w:lang w:eastAsia="zh-CN"/>
              </w:rPr>
              <w:t>Disutility of IV administration of epoprostenol</w:t>
            </w:r>
            <w:r w:rsidR="009C1F95" w:rsidRPr="0067437A">
              <w:rPr>
                <w:rFonts w:ascii="Arial Narrow" w:hAnsi="Arial Narrow" w:cs="Times New Roman"/>
                <w:b/>
                <w:bCs/>
                <w:iCs/>
                <w:color w:val="000000"/>
                <w:sz w:val="20"/>
                <w:szCs w:val="20"/>
                <w:lang w:eastAsia="zh-CN"/>
              </w:rPr>
              <w:t xml:space="preserve"> (base case: 0.307)</w:t>
            </w:r>
          </w:p>
        </w:tc>
      </w:tr>
      <w:tr w:rsidR="00045AF6" w:rsidRPr="0067437A" w:rsidTr="00D46FFF">
        <w:trPr>
          <w:cantSplit/>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45AF6" w:rsidRPr="0067437A" w:rsidRDefault="00045AF6" w:rsidP="00045AF6">
            <w:pPr>
              <w:widowControl w:val="0"/>
              <w:numPr>
                <w:ilvl w:val="0"/>
                <w:numId w:val="10"/>
              </w:numPr>
              <w:ind w:left="254" w:hanging="142"/>
              <w:jc w:val="left"/>
              <w:rPr>
                <w:rFonts w:ascii="Arial Narrow" w:hAnsi="Arial Narrow" w:cs="Times New Roman"/>
                <w:sz w:val="20"/>
                <w:szCs w:val="20"/>
                <w:lang w:eastAsia="zh-CN"/>
              </w:rPr>
            </w:pPr>
            <w:r w:rsidRPr="0067437A">
              <w:rPr>
                <w:rFonts w:ascii="Arial Narrow" w:hAnsi="Arial Narrow" w:cs="Times New Roman"/>
                <w:sz w:val="20"/>
                <w:szCs w:val="20"/>
                <w:lang w:eastAsia="zh-CN"/>
              </w:rPr>
              <w:t xml:space="preserve">Removal of disutility for IV administration of epoprostenol </w:t>
            </w:r>
          </w:p>
        </w:tc>
        <w:tc>
          <w:tcPr>
            <w:tcW w:w="977" w:type="dxa"/>
            <w:gridSpan w:val="2"/>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sz w:val="20"/>
                <w:szCs w:val="20"/>
                <w:lang w:eastAsia="zh-CN"/>
              </w:rPr>
            </w:pPr>
            <w:r w:rsidRPr="0067437A">
              <w:rPr>
                <w:rFonts w:ascii="Arial Narrow" w:hAnsi="Arial Narrow" w:cs="Times New Roman"/>
                <w:sz w:val="20"/>
                <w:szCs w:val="20"/>
                <w:lang w:eastAsia="zh-CN"/>
              </w:rPr>
              <w:t>$</w:t>
            </w:r>
            <w:r w:rsidR="00B24936">
              <w:rPr>
                <w:rFonts w:ascii="Arial Narrow" w:hAnsi="Arial Narrow" w:cs="Times New Roman"/>
                <w:noProof/>
                <w:color w:val="000000"/>
                <w:sz w:val="20"/>
                <w:szCs w:val="20"/>
                <w:highlight w:val="black"/>
                <w:lang w:eastAsia="zh-CN"/>
              </w:rPr>
              <w:t>'''''''''''''</w:t>
            </w:r>
          </w:p>
        </w:tc>
        <w:tc>
          <w:tcPr>
            <w:tcW w:w="977" w:type="dxa"/>
            <w:tcBorders>
              <w:top w:val="single" w:sz="4" w:space="0" w:color="auto"/>
              <w:left w:val="nil"/>
              <w:bottom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sz w:val="20"/>
                <w:szCs w:val="20"/>
                <w:highlight w:val="black"/>
                <w:lang w:eastAsia="zh-CN"/>
              </w:rPr>
            </w:pPr>
            <w:r>
              <w:rPr>
                <w:rFonts w:ascii="Arial Narrow" w:hAnsi="Arial Narrow" w:cs="Times New Roman"/>
                <w:noProof/>
                <w:color w:val="000000"/>
                <w:sz w:val="20"/>
                <w:szCs w:val="20"/>
                <w:highlight w:val="black"/>
                <w:lang w:eastAsia="zh-CN"/>
              </w:rPr>
              <w:t>''''''''''''''</w:t>
            </w:r>
          </w:p>
        </w:tc>
        <w:tc>
          <w:tcPr>
            <w:tcW w:w="909"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sz w:val="20"/>
                <w:szCs w:val="20"/>
                <w:lang w:eastAsia="zh-CN"/>
              </w:rPr>
            </w:pPr>
            <w:r w:rsidRPr="0067437A">
              <w:rPr>
                <w:rFonts w:ascii="Arial Narrow" w:hAnsi="Arial Narrow" w:cs="Times New Roman"/>
                <w:sz w:val="20"/>
                <w:szCs w:val="20"/>
                <w:lang w:eastAsia="zh-CN"/>
              </w:rPr>
              <w:t>$</w:t>
            </w:r>
            <w:r w:rsidR="00B24936">
              <w:rPr>
                <w:rFonts w:ascii="Arial Narrow" w:hAnsi="Arial Narrow" w:cs="Times New Roman"/>
                <w:noProof/>
                <w:color w:val="000000"/>
                <w:sz w:val="20"/>
                <w:szCs w:val="20"/>
                <w:highlight w:val="black"/>
                <w:lang w:eastAsia="zh-CN"/>
              </w:rPr>
              <w:t>'''''''''''''''</w:t>
            </w:r>
          </w:p>
        </w:tc>
      </w:tr>
      <w:tr w:rsidR="00F66DD2" w:rsidRPr="0067437A" w:rsidTr="00306194">
        <w:trPr>
          <w:cantSplit/>
          <w:trHeight w:val="7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F66DD2" w:rsidRPr="0067437A" w:rsidRDefault="00F66DD2" w:rsidP="00F66DD2">
            <w:pPr>
              <w:jc w:val="left"/>
              <w:rPr>
                <w:rFonts w:ascii="Arial Narrow" w:hAnsi="Arial Narrow" w:cs="Times New Roman"/>
                <w:b/>
                <w:iCs/>
                <w:color w:val="000000"/>
                <w:sz w:val="20"/>
                <w:szCs w:val="20"/>
                <w:lang w:eastAsia="zh-CN"/>
              </w:rPr>
            </w:pPr>
            <w:r w:rsidRPr="0067437A">
              <w:rPr>
                <w:rFonts w:ascii="Arial Narrow" w:hAnsi="Arial Narrow" w:cs="Times New Roman"/>
                <w:b/>
                <w:iCs/>
                <w:color w:val="000000"/>
                <w:sz w:val="20"/>
                <w:szCs w:val="20"/>
                <w:lang w:eastAsia="zh-CN"/>
              </w:rPr>
              <w:t>Multivariate analyses</w:t>
            </w:r>
            <w:r w:rsidR="00E75F5B" w:rsidRPr="0067437A">
              <w:rPr>
                <w:rFonts w:ascii="Arial Narrow" w:hAnsi="Arial Narrow" w:cs="Times New Roman"/>
                <w:b/>
                <w:iCs/>
                <w:color w:val="000000"/>
                <w:sz w:val="20"/>
                <w:szCs w:val="20"/>
                <w:lang w:eastAsia="zh-CN"/>
              </w:rPr>
              <w:t xml:space="preserve"> (incorporating pre-PBAC response price)</w:t>
            </w:r>
          </w:p>
        </w:tc>
      </w:tr>
      <w:tr w:rsidR="00045AF6" w:rsidRPr="0067437A" w:rsidTr="00D46FFF">
        <w:trPr>
          <w:cantSplit/>
          <w:trHeight w:val="70"/>
        </w:trPr>
        <w:tc>
          <w:tcPr>
            <w:tcW w:w="6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50% receive IV epoprostenol upon disease progression,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1.4 hospitalisations per patient per year</w:t>
            </w:r>
          </w:p>
        </w:tc>
        <w:tc>
          <w:tcPr>
            <w:tcW w:w="968"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top w:val="single" w:sz="4" w:space="0" w:color="auto"/>
              <w:left w:val="nil"/>
              <w:bottom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6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50% receive IV epoprostenol upon disease progression,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1.4 hospitalisations per patient per year,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Removal of disutility for IV administration of epoprostenol</w:t>
            </w:r>
          </w:p>
        </w:tc>
        <w:tc>
          <w:tcPr>
            <w:tcW w:w="968"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top w:val="single" w:sz="4" w:space="0" w:color="auto"/>
              <w:left w:val="nil"/>
              <w:bottom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6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50% receive IV epoprostenol upon disease progression,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1.4 hospitalisations per patient per year,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Removal of disutility for IV administration of epoprostenol,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Transition probabilities = 2/3 of base case (selexipag = 0.044; placebo = 0.067)</w:t>
            </w:r>
          </w:p>
        </w:tc>
        <w:tc>
          <w:tcPr>
            <w:tcW w:w="968"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top w:val="single" w:sz="4" w:space="0" w:color="auto"/>
              <w:left w:val="nil"/>
              <w:bottom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6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22.6% receive IV epoprostenol upon disease progression,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0.375 hospitalisations per patient per year</w:t>
            </w:r>
          </w:p>
        </w:tc>
        <w:tc>
          <w:tcPr>
            <w:tcW w:w="968"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top w:val="single" w:sz="4" w:space="0" w:color="auto"/>
              <w:left w:val="nil"/>
              <w:bottom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6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22.6% receive IV epoprostenol upon disease progression, PLUS</w:t>
            </w:r>
          </w:p>
          <w:p w:rsidR="00045AF6" w:rsidRPr="0067437A" w:rsidRDefault="00045AF6" w:rsidP="00E75F5B">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0.375 hospitalisations per patient per year,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Removal of disutility for IV administration of epoprostenol</w:t>
            </w:r>
          </w:p>
        </w:tc>
        <w:tc>
          <w:tcPr>
            <w:tcW w:w="968"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top w:val="single" w:sz="4" w:space="0" w:color="auto"/>
              <w:left w:val="nil"/>
              <w:bottom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045AF6" w:rsidRPr="0067437A" w:rsidTr="00D46FFF">
        <w:trPr>
          <w:cantSplit/>
          <w:trHeight w:val="70"/>
        </w:trPr>
        <w:tc>
          <w:tcPr>
            <w:tcW w:w="6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22.6% receive IV epoprostenol upon disease progression,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0.375 hospitalisations per patient per year, PLUS</w:t>
            </w:r>
          </w:p>
          <w:p w:rsidR="00045AF6" w:rsidRPr="0067437A" w:rsidRDefault="00045AF6" w:rsidP="00045AF6">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Removal of disutility for IV administration of epoprostenol, PLUS</w:t>
            </w:r>
          </w:p>
          <w:p w:rsidR="00045AF6" w:rsidRPr="0067437A" w:rsidRDefault="00045AF6" w:rsidP="00E75F5B">
            <w:pPr>
              <w:widowControl w:val="0"/>
              <w:numPr>
                <w:ilvl w:val="0"/>
                <w:numId w:val="10"/>
              </w:numPr>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Transition probabilities = 2/3 of base case (selexipag = 0.044; placebo = 0.067)</w:t>
            </w:r>
          </w:p>
        </w:tc>
        <w:tc>
          <w:tcPr>
            <w:tcW w:w="968"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top w:val="single" w:sz="4" w:space="0" w:color="auto"/>
              <w:left w:val="nil"/>
              <w:bottom w:val="single" w:sz="4" w:space="0" w:color="auto"/>
              <w:right w:val="single" w:sz="4" w:space="0" w:color="auto"/>
            </w:tcBorders>
            <w:shd w:val="clear" w:color="auto" w:fill="auto"/>
            <w:vAlign w:val="center"/>
          </w:tcPr>
          <w:p w:rsidR="00045AF6" w:rsidRPr="00B24936" w:rsidRDefault="00B24936" w:rsidP="00045AF6">
            <w:pPr>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top w:val="single" w:sz="4" w:space="0" w:color="auto"/>
              <w:left w:val="nil"/>
              <w:bottom w:val="single" w:sz="4" w:space="0" w:color="auto"/>
              <w:right w:val="single" w:sz="4" w:space="0" w:color="auto"/>
            </w:tcBorders>
            <w:shd w:val="clear" w:color="auto" w:fill="auto"/>
            <w:vAlign w:val="center"/>
          </w:tcPr>
          <w:p w:rsidR="00045AF6" w:rsidRPr="0067437A" w:rsidRDefault="00045AF6" w:rsidP="00045AF6">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r w:rsidR="00573691" w:rsidRPr="0067437A" w:rsidTr="00BB7F87">
        <w:trPr>
          <w:cantSplit/>
          <w:trHeight w:val="70"/>
        </w:trPr>
        <w:tc>
          <w:tcPr>
            <w:tcW w:w="90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3691" w:rsidRPr="0067437A" w:rsidRDefault="00573691" w:rsidP="00D75605">
            <w:pPr>
              <w:jc w:val="left"/>
              <w:rPr>
                <w:rFonts w:ascii="Arial Narrow" w:hAnsi="Arial Narrow" w:cs="Times New Roman"/>
                <w:b/>
                <w:iCs/>
                <w:color w:val="000000"/>
                <w:sz w:val="20"/>
                <w:szCs w:val="20"/>
                <w:lang w:eastAsia="zh-CN"/>
              </w:rPr>
            </w:pPr>
            <w:r w:rsidRPr="0067437A">
              <w:rPr>
                <w:rFonts w:ascii="Arial Narrow" w:hAnsi="Arial Narrow" w:cs="Times New Roman"/>
                <w:b/>
                <w:iCs/>
                <w:color w:val="000000"/>
                <w:sz w:val="20"/>
                <w:szCs w:val="20"/>
                <w:lang w:eastAsia="zh-CN"/>
              </w:rPr>
              <w:t>Multivariate analys</w:t>
            </w:r>
            <w:r w:rsidR="00D75605">
              <w:rPr>
                <w:rFonts w:ascii="Arial Narrow" w:hAnsi="Arial Narrow" w:cs="Times New Roman"/>
                <w:b/>
                <w:iCs/>
                <w:color w:val="000000"/>
                <w:sz w:val="20"/>
                <w:szCs w:val="20"/>
                <w:lang w:eastAsia="zh-CN"/>
              </w:rPr>
              <w:t>e</w:t>
            </w:r>
            <w:r w:rsidRPr="0067437A">
              <w:rPr>
                <w:rFonts w:ascii="Arial Narrow" w:hAnsi="Arial Narrow" w:cs="Times New Roman"/>
                <w:b/>
                <w:iCs/>
                <w:color w:val="000000"/>
                <w:sz w:val="20"/>
                <w:szCs w:val="20"/>
                <w:lang w:eastAsia="zh-CN"/>
              </w:rPr>
              <w:t xml:space="preserve">s based on inputs </w:t>
            </w:r>
            <w:r w:rsidR="00C246B0" w:rsidRPr="0067437A">
              <w:rPr>
                <w:rFonts w:ascii="Arial Narrow" w:hAnsi="Arial Narrow" w:cs="Times New Roman"/>
                <w:b/>
                <w:iCs/>
                <w:color w:val="000000"/>
                <w:sz w:val="20"/>
                <w:szCs w:val="20"/>
                <w:lang w:eastAsia="zh-CN"/>
              </w:rPr>
              <w:t>recommended</w:t>
            </w:r>
            <w:r w:rsidRPr="0067437A">
              <w:rPr>
                <w:rFonts w:ascii="Arial Narrow" w:hAnsi="Arial Narrow" w:cs="Times New Roman"/>
                <w:b/>
                <w:iCs/>
                <w:color w:val="000000"/>
                <w:sz w:val="20"/>
                <w:szCs w:val="20"/>
                <w:lang w:eastAsia="zh-CN"/>
              </w:rPr>
              <w:t xml:space="preserve"> by the PBAC</w:t>
            </w:r>
            <w:r w:rsidR="00E75F5B" w:rsidRPr="0067437A">
              <w:rPr>
                <w:rFonts w:ascii="Arial Narrow" w:hAnsi="Arial Narrow" w:cs="Times New Roman"/>
                <w:b/>
                <w:iCs/>
                <w:color w:val="000000"/>
                <w:sz w:val="20"/>
                <w:szCs w:val="20"/>
                <w:lang w:eastAsia="zh-CN"/>
              </w:rPr>
              <w:t xml:space="preserve"> (incorporating pre-PBAC response price)</w:t>
            </w:r>
          </w:p>
        </w:tc>
      </w:tr>
      <w:tr w:rsidR="00573691" w:rsidRPr="0067437A" w:rsidTr="00D46FFF">
        <w:trPr>
          <w:cantSplit/>
          <w:trHeight w:val="70"/>
        </w:trPr>
        <w:tc>
          <w:tcPr>
            <w:tcW w:w="6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3691" w:rsidRPr="0067437A" w:rsidRDefault="00E75F5B" w:rsidP="00E75F5B">
            <w:pPr>
              <w:widowControl w:val="0"/>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 xml:space="preserve">-  </w:t>
            </w:r>
            <w:r w:rsidR="00573691" w:rsidRPr="0067437A">
              <w:rPr>
                <w:rFonts w:ascii="Arial Narrow" w:hAnsi="Arial Narrow" w:cs="Times New Roman"/>
                <w:iCs/>
                <w:color w:val="000000"/>
                <w:sz w:val="20"/>
                <w:szCs w:val="20"/>
                <w:lang w:eastAsia="zh-CN"/>
              </w:rPr>
              <w:t>50% receive IV epoprostenol upon disease progression, PLUS</w:t>
            </w:r>
          </w:p>
          <w:p w:rsidR="00573691" w:rsidRPr="0067437A" w:rsidRDefault="00E75F5B" w:rsidP="00E75F5B">
            <w:pPr>
              <w:widowControl w:val="0"/>
              <w:ind w:left="255" w:hanging="142"/>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 xml:space="preserve">-  </w:t>
            </w:r>
            <w:r w:rsidR="00573691" w:rsidRPr="0067437A">
              <w:rPr>
                <w:rFonts w:ascii="Arial Narrow" w:hAnsi="Arial Narrow" w:cs="Times New Roman"/>
                <w:iCs/>
                <w:color w:val="000000"/>
                <w:sz w:val="20"/>
                <w:szCs w:val="20"/>
                <w:lang w:eastAsia="zh-CN"/>
              </w:rPr>
              <w:t>0.375 hospitalisations per patient per year, PLUS</w:t>
            </w:r>
          </w:p>
          <w:p w:rsidR="00573691" w:rsidRPr="0067437A" w:rsidRDefault="00E75F5B" w:rsidP="00D46FFF">
            <w:pPr>
              <w:widowControl w:val="0"/>
              <w:ind w:left="113"/>
              <w:jc w:val="left"/>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 xml:space="preserve">-  </w:t>
            </w:r>
            <w:r w:rsidR="00573691" w:rsidRPr="0067437A">
              <w:rPr>
                <w:rFonts w:ascii="Arial Narrow" w:hAnsi="Arial Narrow" w:cs="Times New Roman"/>
                <w:iCs/>
                <w:color w:val="000000"/>
                <w:sz w:val="20"/>
                <w:szCs w:val="20"/>
                <w:lang w:eastAsia="zh-CN"/>
              </w:rPr>
              <w:t>IV epoprostenol disutility of 0.1</w:t>
            </w:r>
            <w:r w:rsidR="00D46FFF">
              <w:rPr>
                <w:rFonts w:ascii="Arial Narrow" w:hAnsi="Arial Narrow" w:cs="Times New Roman"/>
                <w:iCs/>
                <w:color w:val="000000"/>
                <w:sz w:val="20"/>
                <w:szCs w:val="20"/>
                <w:lang w:eastAsia="zh-CN"/>
              </w:rPr>
              <w:t>535</w:t>
            </w:r>
          </w:p>
        </w:tc>
        <w:tc>
          <w:tcPr>
            <w:tcW w:w="968" w:type="dxa"/>
            <w:tcBorders>
              <w:top w:val="single" w:sz="4" w:space="0" w:color="auto"/>
              <w:left w:val="nil"/>
              <w:bottom w:val="single" w:sz="4" w:space="0" w:color="auto"/>
              <w:right w:val="single" w:sz="4" w:space="0" w:color="auto"/>
            </w:tcBorders>
            <w:shd w:val="clear" w:color="auto" w:fill="auto"/>
            <w:vAlign w:val="center"/>
          </w:tcPr>
          <w:p w:rsidR="00573691" w:rsidRPr="0067437A" w:rsidRDefault="00C246B0" w:rsidP="00573691">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c>
          <w:tcPr>
            <w:tcW w:w="977" w:type="dxa"/>
            <w:tcBorders>
              <w:top w:val="single" w:sz="4" w:space="0" w:color="auto"/>
              <w:left w:val="nil"/>
              <w:bottom w:val="single" w:sz="4" w:space="0" w:color="auto"/>
              <w:right w:val="single" w:sz="4" w:space="0" w:color="auto"/>
            </w:tcBorders>
            <w:shd w:val="clear" w:color="auto" w:fill="auto"/>
            <w:vAlign w:val="center"/>
          </w:tcPr>
          <w:p w:rsidR="00573691" w:rsidRPr="00B24936" w:rsidRDefault="00B24936" w:rsidP="00573691">
            <w:pPr>
              <w:jc w:val="center"/>
              <w:rPr>
                <w:rFonts w:ascii="Arial Narrow" w:hAnsi="Arial Narrow" w:cs="Times New Roman"/>
                <w:iCs/>
                <w:color w:val="000000"/>
                <w:sz w:val="20"/>
                <w:szCs w:val="20"/>
                <w:highlight w:val="black"/>
                <w:lang w:eastAsia="zh-CN"/>
              </w:rPr>
            </w:pPr>
            <w:r>
              <w:rPr>
                <w:rFonts w:ascii="Arial Narrow" w:hAnsi="Arial Narrow" w:cs="Times New Roman"/>
                <w:iCs/>
                <w:noProof/>
                <w:color w:val="000000"/>
                <w:sz w:val="20"/>
                <w:szCs w:val="20"/>
                <w:highlight w:val="black"/>
                <w:lang w:eastAsia="zh-CN"/>
              </w:rPr>
              <w:t>'''''''''''''</w:t>
            </w:r>
          </w:p>
        </w:tc>
        <w:tc>
          <w:tcPr>
            <w:tcW w:w="909" w:type="dxa"/>
            <w:tcBorders>
              <w:top w:val="single" w:sz="4" w:space="0" w:color="auto"/>
              <w:left w:val="nil"/>
              <w:bottom w:val="single" w:sz="4" w:space="0" w:color="auto"/>
              <w:right w:val="single" w:sz="4" w:space="0" w:color="auto"/>
            </w:tcBorders>
            <w:shd w:val="clear" w:color="auto" w:fill="auto"/>
            <w:vAlign w:val="center"/>
          </w:tcPr>
          <w:p w:rsidR="00573691" w:rsidRPr="0067437A" w:rsidRDefault="00C246B0" w:rsidP="00D46FFF">
            <w:pPr>
              <w:jc w:val="center"/>
              <w:rPr>
                <w:rFonts w:ascii="Arial Narrow" w:hAnsi="Arial Narrow" w:cs="Times New Roman"/>
                <w:iCs/>
                <w:color w:val="000000"/>
                <w:sz w:val="20"/>
                <w:szCs w:val="20"/>
                <w:lang w:eastAsia="zh-CN"/>
              </w:rPr>
            </w:pPr>
            <w:r w:rsidRPr="0067437A">
              <w:rPr>
                <w:rFonts w:ascii="Arial Narrow" w:hAnsi="Arial Narrow" w:cs="Times New Roman"/>
                <w:iCs/>
                <w:color w:val="000000"/>
                <w:sz w:val="20"/>
                <w:szCs w:val="20"/>
                <w:lang w:eastAsia="zh-CN"/>
              </w:rPr>
              <w:t>$</w:t>
            </w:r>
            <w:r w:rsidR="00B24936">
              <w:rPr>
                <w:rFonts w:ascii="Arial Narrow" w:hAnsi="Arial Narrow" w:cs="Times New Roman"/>
                <w:iCs/>
                <w:noProof/>
                <w:color w:val="000000"/>
                <w:sz w:val="20"/>
                <w:szCs w:val="20"/>
                <w:highlight w:val="black"/>
                <w:lang w:eastAsia="zh-CN"/>
              </w:rPr>
              <w:t>'''''''''''''''''</w:t>
            </w:r>
          </w:p>
        </w:tc>
      </w:tr>
    </w:tbl>
    <w:p w:rsidR="00536366" w:rsidRPr="0067437A" w:rsidRDefault="005F0EA1" w:rsidP="00F66DD2">
      <w:pPr>
        <w:pStyle w:val="TableFigureFooter"/>
      </w:pPr>
      <w:r w:rsidRPr="0067437A">
        <w:t xml:space="preserve">AEMP = approved ex-manufacturer price; </w:t>
      </w:r>
      <w:r w:rsidR="00536366" w:rsidRPr="0067437A">
        <w:t xml:space="preserve">DRG = diagnostic-related group; ICER = incremental cost effectiveness ratio; IV = intravenous; PAH = pulmonary arterial hypertension; </w:t>
      </w:r>
      <w:r w:rsidRPr="0067437A">
        <w:t xml:space="preserve">PBAC = Pharmaceutical Benefits Advisory Committee; </w:t>
      </w:r>
      <w:r w:rsidR="00536366" w:rsidRPr="0067437A">
        <w:t>QALY = quality adjusted life year</w:t>
      </w:r>
    </w:p>
    <w:p w:rsidR="00F66DD2" w:rsidRDefault="00F66DD2" w:rsidP="00F66DD2">
      <w:pPr>
        <w:pStyle w:val="TableFigureFooter"/>
      </w:pPr>
      <w:r w:rsidRPr="0067437A">
        <w:lastRenderedPageBreak/>
        <w:t>Source: Table 3.38, p196 of the resubmission; Attachment 10 of resubmission (EXCEL file of Section 3 model).</w:t>
      </w:r>
    </w:p>
    <w:p w:rsidR="00877C98" w:rsidRDefault="00877C98" w:rsidP="00F66DD2">
      <w:pPr>
        <w:pStyle w:val="TableFigureFooter"/>
      </w:pPr>
    </w:p>
    <w:p w:rsidR="00877C98" w:rsidRPr="00877C98" w:rsidRDefault="00877C98" w:rsidP="00F66DD2">
      <w:pPr>
        <w:pStyle w:val="TableFigureFooter"/>
        <w:rPr>
          <w:rFonts w:asciiTheme="minorHAnsi" w:hAnsiTheme="minorHAnsi" w:cstheme="minorHAnsi"/>
          <w:i/>
          <w:sz w:val="24"/>
          <w:szCs w:val="24"/>
        </w:rPr>
      </w:pPr>
      <w:r>
        <w:rPr>
          <w:rFonts w:asciiTheme="minorHAnsi" w:hAnsiTheme="minorHAnsi" w:cstheme="minorHAnsi"/>
          <w:i/>
          <w:sz w:val="24"/>
          <w:szCs w:val="24"/>
        </w:rPr>
        <w:t xml:space="preserve">The redacted table shows ICERs in the range of </w:t>
      </w:r>
      <w:r w:rsidR="00C84B24">
        <w:rPr>
          <w:rFonts w:asciiTheme="minorHAnsi" w:hAnsiTheme="minorHAnsi" w:cstheme="minorHAnsi"/>
          <w:i/>
          <w:sz w:val="24"/>
          <w:szCs w:val="24"/>
        </w:rPr>
        <w:t xml:space="preserve">less than </w:t>
      </w:r>
      <w:r>
        <w:rPr>
          <w:rFonts w:asciiTheme="minorHAnsi" w:hAnsiTheme="minorHAnsi" w:cstheme="minorHAnsi"/>
          <w:i/>
          <w:sz w:val="24"/>
          <w:szCs w:val="24"/>
        </w:rPr>
        <w:t>$</w:t>
      </w:r>
      <w:r w:rsidR="00C84B24">
        <w:rPr>
          <w:rFonts w:asciiTheme="minorHAnsi" w:hAnsiTheme="minorHAnsi" w:cstheme="minorHAnsi"/>
          <w:i/>
          <w:sz w:val="24"/>
          <w:szCs w:val="24"/>
        </w:rPr>
        <w:t>1</w:t>
      </w:r>
      <w:r>
        <w:rPr>
          <w:rFonts w:asciiTheme="minorHAnsi" w:hAnsiTheme="minorHAnsi" w:cstheme="minorHAnsi"/>
          <w:i/>
          <w:sz w:val="24"/>
          <w:szCs w:val="24"/>
        </w:rPr>
        <w:t>5,000 per QALY, to</w:t>
      </w:r>
      <w:r w:rsidR="00C84B24">
        <w:rPr>
          <w:rFonts w:asciiTheme="minorHAnsi" w:hAnsiTheme="minorHAnsi" w:cstheme="minorHAnsi"/>
          <w:i/>
          <w:sz w:val="24"/>
          <w:szCs w:val="24"/>
        </w:rPr>
        <w:t xml:space="preserve"> more than</w:t>
      </w:r>
      <w:r>
        <w:rPr>
          <w:rFonts w:asciiTheme="minorHAnsi" w:hAnsiTheme="minorHAnsi" w:cstheme="minorHAnsi"/>
          <w:i/>
          <w:sz w:val="24"/>
          <w:szCs w:val="24"/>
        </w:rPr>
        <w:t xml:space="preserve"> $</w:t>
      </w:r>
      <w:r w:rsidR="00C84B24">
        <w:rPr>
          <w:rFonts w:asciiTheme="minorHAnsi" w:hAnsiTheme="minorHAnsi" w:cstheme="minorHAnsi"/>
          <w:i/>
          <w:sz w:val="24"/>
          <w:szCs w:val="24"/>
        </w:rPr>
        <w:t>200,000</w:t>
      </w:r>
      <w:r>
        <w:rPr>
          <w:rFonts w:asciiTheme="minorHAnsi" w:hAnsiTheme="minorHAnsi" w:cstheme="minorHAnsi"/>
          <w:i/>
          <w:sz w:val="24"/>
          <w:szCs w:val="24"/>
        </w:rPr>
        <w:t xml:space="preserve"> per QALY. </w:t>
      </w:r>
    </w:p>
    <w:p w:rsidR="00F66DD2" w:rsidRPr="0067437A" w:rsidRDefault="00F66DD2" w:rsidP="00F66DD2">
      <w:pPr>
        <w:pStyle w:val="TableFigureFooter"/>
        <w:rPr>
          <w:rFonts w:eastAsia="Calibri"/>
          <w:i/>
          <w:szCs w:val="20"/>
          <w:vertAlign w:val="superscript"/>
        </w:rPr>
      </w:pPr>
    </w:p>
    <w:p w:rsidR="00F66DD2" w:rsidRPr="0067437A" w:rsidRDefault="00F66DD2" w:rsidP="00F66DD2">
      <w:pPr>
        <w:pStyle w:val="4-SubsectionHeading"/>
      </w:pPr>
      <w:bookmarkStart w:id="27" w:name="_Toc40866423"/>
      <w:r w:rsidRPr="0067437A">
        <w:t>Drug cost/patient/year</w:t>
      </w:r>
      <w:bookmarkEnd w:id="27"/>
    </w:p>
    <w:p w:rsidR="00F66DD2" w:rsidRPr="0067437A" w:rsidRDefault="00F66DD2" w:rsidP="007209E5">
      <w:pPr>
        <w:pStyle w:val="ListParagraph"/>
        <w:numPr>
          <w:ilvl w:val="1"/>
          <w:numId w:val="1"/>
        </w:numPr>
        <w:ind w:left="709"/>
        <w:rPr>
          <w:rFonts w:ascii="Calibri" w:hAnsi="Calibri"/>
          <w:szCs w:val="22"/>
          <w:lang w:eastAsia="en-US"/>
        </w:rPr>
      </w:pPr>
      <w:r w:rsidRPr="0067437A">
        <w:rPr>
          <w:snapToGrid/>
        </w:rPr>
        <w:t>The cost of selexipag</w:t>
      </w:r>
      <w:r w:rsidR="00045AF6" w:rsidRPr="0067437A">
        <w:rPr>
          <w:snapToGrid/>
        </w:rPr>
        <w:t xml:space="preserve"> in the </w:t>
      </w:r>
      <w:r w:rsidR="00E610FE" w:rsidRPr="0067437A">
        <w:rPr>
          <w:snapToGrid/>
        </w:rPr>
        <w:t>p</w:t>
      </w:r>
      <w:r w:rsidR="00045AF6" w:rsidRPr="0067437A">
        <w:rPr>
          <w:snapToGrid/>
        </w:rPr>
        <w:t xml:space="preserve">re-PBAC </w:t>
      </w:r>
      <w:r w:rsidR="00E610FE" w:rsidRPr="0067437A">
        <w:rPr>
          <w:snapToGrid/>
        </w:rPr>
        <w:t>r</w:t>
      </w:r>
      <w:r w:rsidR="00045AF6" w:rsidRPr="0067437A">
        <w:rPr>
          <w:snapToGrid/>
        </w:rPr>
        <w:t>esponse</w:t>
      </w:r>
      <w:r w:rsidRPr="0067437A">
        <w:rPr>
          <w:snapToGrid/>
        </w:rPr>
        <w:t xml:space="preserve"> was $</w:t>
      </w:r>
      <w:r w:rsidR="00B24936">
        <w:rPr>
          <w:noProof/>
          <w:snapToGrid/>
          <w:color w:val="000000"/>
          <w:highlight w:val="black"/>
        </w:rPr>
        <w:t>''''''''''</w:t>
      </w:r>
      <w:r w:rsidRPr="0067437A">
        <w:rPr>
          <w:snapToGrid/>
        </w:rPr>
        <w:t xml:space="preserve"> (</w:t>
      </w:r>
      <w:r w:rsidR="00625942" w:rsidRPr="0067437A">
        <w:rPr>
          <w:snapToGrid/>
        </w:rPr>
        <w:t xml:space="preserve">dispensed </w:t>
      </w:r>
      <w:r w:rsidRPr="0067437A">
        <w:rPr>
          <w:snapToGrid/>
        </w:rPr>
        <w:t>effective price, public hospital) and $</w:t>
      </w:r>
      <w:r w:rsidR="00B24936">
        <w:rPr>
          <w:noProof/>
          <w:snapToGrid/>
          <w:color w:val="000000"/>
          <w:highlight w:val="black"/>
        </w:rPr>
        <w:t>'''''''''''''''</w:t>
      </w:r>
      <w:r w:rsidRPr="0067437A">
        <w:rPr>
          <w:snapToGrid/>
        </w:rPr>
        <w:t xml:space="preserve"> (</w:t>
      </w:r>
      <w:r w:rsidR="00625942" w:rsidRPr="0067437A">
        <w:rPr>
          <w:snapToGrid/>
        </w:rPr>
        <w:t xml:space="preserve">dispensed </w:t>
      </w:r>
      <w:r w:rsidRPr="0067437A">
        <w:rPr>
          <w:snapToGrid/>
        </w:rPr>
        <w:t>effective price, private hospital) per maintenance pack of 60 tablets (all strengths)</w:t>
      </w:r>
      <w:r w:rsidR="0067437A">
        <w:rPr>
          <w:snapToGrid/>
        </w:rPr>
        <w:t xml:space="preserve">. </w:t>
      </w:r>
      <w:r w:rsidRPr="0067437A">
        <w:rPr>
          <w:lang w:eastAsia="en-US"/>
        </w:rPr>
        <w:t>The drug cost of selexipag per patient on a twice daily dosing regimen, was $</w:t>
      </w:r>
      <w:r w:rsidR="00B24936">
        <w:rPr>
          <w:noProof/>
          <w:color w:val="000000"/>
          <w:highlight w:val="black"/>
          <w:lang w:eastAsia="en-US"/>
        </w:rPr>
        <w:t>''''''''''''''</w:t>
      </w:r>
      <w:r w:rsidRPr="0067437A">
        <w:rPr>
          <w:lang w:eastAsia="en-US"/>
        </w:rPr>
        <w:t xml:space="preserve"> per year, for a patient on maintenance treatment, </w:t>
      </w:r>
      <w:r w:rsidR="0067437A">
        <w:rPr>
          <w:lang w:eastAsia="en-US"/>
        </w:rPr>
        <w:t xml:space="preserve">at the </w:t>
      </w:r>
      <w:r w:rsidRPr="0067437A">
        <w:rPr>
          <w:lang w:eastAsia="en-US"/>
        </w:rPr>
        <w:t xml:space="preserve">effective </w:t>
      </w:r>
      <w:r w:rsidR="0067437A">
        <w:rPr>
          <w:lang w:eastAsia="en-US"/>
        </w:rPr>
        <w:t>DPMQ</w:t>
      </w:r>
      <w:r w:rsidRPr="0067437A">
        <w:rPr>
          <w:lang w:eastAsia="en-US"/>
        </w:rPr>
        <w:t>, and assuming 100% compliance and a 66%</w:t>
      </w:r>
      <w:r w:rsidR="00A63DE1">
        <w:rPr>
          <w:lang w:eastAsia="en-US"/>
        </w:rPr>
        <w:t xml:space="preserve"> versus</w:t>
      </w:r>
      <w:r w:rsidRPr="0067437A">
        <w:rPr>
          <w:lang w:eastAsia="en-US"/>
        </w:rPr>
        <w:t xml:space="preserve"> 34% public </w:t>
      </w:r>
      <w:r w:rsidR="00A63DE1">
        <w:rPr>
          <w:lang w:eastAsia="en-US"/>
        </w:rPr>
        <w:t xml:space="preserve">- </w:t>
      </w:r>
      <w:r w:rsidRPr="0067437A">
        <w:rPr>
          <w:lang w:eastAsia="en-US"/>
        </w:rPr>
        <w:t>private hospital split (as per the economic model)</w:t>
      </w:r>
      <w:r w:rsidR="0067437A">
        <w:rPr>
          <w:lang w:eastAsia="en-US"/>
        </w:rPr>
        <w:t xml:space="preserve">. </w:t>
      </w:r>
      <w:r w:rsidRPr="0067437A">
        <w:t>The financial estimates assumed that the proportion of patients treated in public and private hospitals was 68% and 32%, respectively, based on 2019 Medicare data for all ERAs and PDE-5is.</w:t>
      </w:r>
    </w:p>
    <w:p w:rsidR="00F66DD2" w:rsidRPr="0067437A" w:rsidRDefault="00F66DD2" w:rsidP="00AE5EF8">
      <w:pPr>
        <w:pStyle w:val="ListParagraph"/>
        <w:numPr>
          <w:ilvl w:val="1"/>
          <w:numId w:val="1"/>
        </w:numPr>
        <w:ind w:left="709"/>
        <w:rPr>
          <w:rStyle w:val="CommentReference"/>
          <w:rFonts w:ascii="Calibri" w:hAnsi="Calibri"/>
          <w:b w:val="0"/>
          <w:sz w:val="24"/>
          <w:szCs w:val="22"/>
          <w:lang w:eastAsia="en-US"/>
        </w:rPr>
      </w:pPr>
      <w:r w:rsidRPr="0067437A">
        <w:rPr>
          <w:rFonts w:cstheme="minorHAnsi"/>
          <w:lang w:eastAsia="en-US"/>
        </w:rPr>
        <w:t>Table 1</w:t>
      </w:r>
      <w:r w:rsidR="0007076D">
        <w:rPr>
          <w:rFonts w:cstheme="minorHAnsi"/>
          <w:lang w:eastAsia="en-US"/>
        </w:rPr>
        <w:t>4</w:t>
      </w:r>
      <w:r w:rsidRPr="0067437A">
        <w:rPr>
          <w:rFonts w:cstheme="minorHAnsi"/>
          <w:lang w:eastAsia="en-US"/>
        </w:rPr>
        <w:t xml:space="preserve"> compares drug costs between the trial, model and financial estimates.</w:t>
      </w:r>
    </w:p>
    <w:p w:rsidR="00F66DD2" w:rsidRPr="0067437A" w:rsidRDefault="00F66DD2" w:rsidP="00F66DD2">
      <w:pPr>
        <w:pStyle w:val="TableFigureHeading"/>
        <w:rPr>
          <w:rStyle w:val="CommentReference"/>
          <w:b/>
          <w:szCs w:val="24"/>
        </w:rPr>
      </w:pPr>
      <w:r w:rsidRPr="0067437A">
        <w:rPr>
          <w:rStyle w:val="CommentReference"/>
          <w:b/>
          <w:szCs w:val="24"/>
        </w:rPr>
        <w:t>Table 1</w:t>
      </w:r>
      <w:r w:rsidR="0007076D">
        <w:rPr>
          <w:rStyle w:val="CommentReference"/>
          <w:b/>
          <w:szCs w:val="24"/>
        </w:rPr>
        <w:t>4</w:t>
      </w:r>
      <w:r w:rsidRPr="0067437A">
        <w:rPr>
          <w:rStyle w:val="CommentReference"/>
          <w:b/>
          <w:szCs w:val="24"/>
        </w:rPr>
        <w:t>: Drug cost per patient for selexipag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1"/>
        <w:gridCol w:w="2409"/>
        <w:gridCol w:w="2409"/>
        <w:gridCol w:w="2218"/>
      </w:tblGrid>
      <w:tr w:rsidR="00F66DD2" w:rsidRPr="0067437A" w:rsidTr="00F66DD2">
        <w:trPr>
          <w:cantSplit/>
          <w:tblHeader/>
          <w:jc w:val="center"/>
        </w:trPr>
        <w:tc>
          <w:tcPr>
            <w:tcW w:w="1098" w:type="pct"/>
            <w:shd w:val="clear" w:color="auto" w:fill="auto"/>
            <w:vAlign w:val="center"/>
          </w:tcPr>
          <w:p w:rsidR="00F66DD2" w:rsidRPr="0067437A" w:rsidRDefault="00F66DD2" w:rsidP="00F66DD2">
            <w:pPr>
              <w:pStyle w:val="In-tableHeading"/>
              <w:jc w:val="center"/>
              <w:rPr>
                <w:lang w:val="en-AU"/>
              </w:rPr>
            </w:pPr>
          </w:p>
        </w:tc>
        <w:tc>
          <w:tcPr>
            <w:tcW w:w="1336" w:type="pct"/>
            <w:shd w:val="clear" w:color="auto" w:fill="auto"/>
            <w:vAlign w:val="center"/>
          </w:tcPr>
          <w:p w:rsidR="00F66DD2" w:rsidRPr="0067437A" w:rsidRDefault="00F66DD2" w:rsidP="00F66DD2">
            <w:pPr>
              <w:pStyle w:val="In-tableHeading"/>
              <w:jc w:val="center"/>
              <w:rPr>
                <w:lang w:val="en-AU"/>
              </w:rPr>
            </w:pPr>
            <w:r w:rsidRPr="0067437A">
              <w:rPr>
                <w:lang w:val="en-AU"/>
              </w:rPr>
              <w:t>Selexipag</w:t>
            </w:r>
          </w:p>
          <w:p w:rsidR="00F66DD2" w:rsidRPr="0067437A" w:rsidRDefault="00F66DD2" w:rsidP="00F66DD2">
            <w:pPr>
              <w:pStyle w:val="In-tableHeading"/>
              <w:jc w:val="center"/>
              <w:rPr>
                <w:lang w:val="en-AU"/>
              </w:rPr>
            </w:pPr>
            <w:r w:rsidRPr="0067437A">
              <w:rPr>
                <w:lang w:val="en-AU"/>
              </w:rPr>
              <w:t>Trial dose and duration</w:t>
            </w:r>
          </w:p>
        </w:tc>
        <w:tc>
          <w:tcPr>
            <w:tcW w:w="1336" w:type="pct"/>
            <w:shd w:val="clear" w:color="auto" w:fill="auto"/>
            <w:vAlign w:val="center"/>
          </w:tcPr>
          <w:p w:rsidR="00F66DD2" w:rsidRPr="0067437A" w:rsidRDefault="00F66DD2" w:rsidP="00F66DD2">
            <w:pPr>
              <w:pStyle w:val="In-tableHeading"/>
              <w:jc w:val="center"/>
              <w:rPr>
                <w:lang w:val="en-AU"/>
              </w:rPr>
            </w:pPr>
            <w:r w:rsidRPr="0067437A">
              <w:rPr>
                <w:lang w:val="en-AU"/>
              </w:rPr>
              <w:t>Selexipag</w:t>
            </w:r>
          </w:p>
          <w:p w:rsidR="00F66DD2" w:rsidRPr="0067437A" w:rsidRDefault="00F66DD2" w:rsidP="00F66DD2">
            <w:pPr>
              <w:pStyle w:val="In-tableHeading"/>
              <w:jc w:val="center"/>
              <w:rPr>
                <w:lang w:val="en-AU"/>
              </w:rPr>
            </w:pPr>
            <w:r w:rsidRPr="0067437A">
              <w:rPr>
                <w:lang w:val="en-AU"/>
              </w:rPr>
              <w:t>Model</w:t>
            </w:r>
          </w:p>
        </w:tc>
        <w:tc>
          <w:tcPr>
            <w:tcW w:w="1230" w:type="pct"/>
            <w:shd w:val="clear" w:color="auto" w:fill="auto"/>
            <w:vAlign w:val="center"/>
          </w:tcPr>
          <w:p w:rsidR="00F66DD2" w:rsidRPr="0067437A" w:rsidRDefault="00F66DD2" w:rsidP="00F66DD2">
            <w:pPr>
              <w:pStyle w:val="In-tableHeading"/>
              <w:jc w:val="center"/>
              <w:rPr>
                <w:lang w:val="en-AU"/>
              </w:rPr>
            </w:pPr>
            <w:r w:rsidRPr="0067437A">
              <w:rPr>
                <w:lang w:val="en-AU"/>
              </w:rPr>
              <w:t>Selexipag</w:t>
            </w:r>
          </w:p>
          <w:p w:rsidR="00F66DD2" w:rsidRPr="0067437A" w:rsidRDefault="00F66DD2" w:rsidP="00F66DD2">
            <w:pPr>
              <w:pStyle w:val="In-tableHeading"/>
              <w:jc w:val="center"/>
              <w:rPr>
                <w:lang w:val="en-AU"/>
              </w:rPr>
            </w:pPr>
            <w:r w:rsidRPr="0067437A">
              <w:rPr>
                <w:lang w:val="en-AU"/>
              </w:rPr>
              <w:t>Financial estimates</w:t>
            </w:r>
          </w:p>
        </w:tc>
      </w:tr>
      <w:tr w:rsidR="00F66DD2" w:rsidRPr="0067437A" w:rsidTr="00F66DD2">
        <w:trPr>
          <w:cantSplit/>
          <w:jc w:val="center"/>
        </w:trPr>
        <w:tc>
          <w:tcPr>
            <w:tcW w:w="1098" w:type="pct"/>
            <w:shd w:val="clear" w:color="auto" w:fill="auto"/>
            <w:vAlign w:val="center"/>
          </w:tcPr>
          <w:p w:rsidR="00F66DD2" w:rsidRPr="0067437A" w:rsidRDefault="00F66DD2" w:rsidP="00F66DD2">
            <w:pPr>
              <w:pStyle w:val="TableText0"/>
            </w:pPr>
            <w:r w:rsidRPr="0067437A">
              <w:t>Dose/day</w:t>
            </w:r>
          </w:p>
        </w:tc>
        <w:tc>
          <w:tcPr>
            <w:tcW w:w="1336" w:type="pct"/>
            <w:shd w:val="clear" w:color="auto" w:fill="auto"/>
            <w:vAlign w:val="center"/>
          </w:tcPr>
          <w:p w:rsidR="00F66DD2" w:rsidRPr="0067437A" w:rsidRDefault="00F66DD2" w:rsidP="00F66DD2">
            <w:pPr>
              <w:pStyle w:val="TableText0"/>
              <w:jc w:val="center"/>
            </w:pPr>
            <w:r w:rsidRPr="0067437A">
              <w:t>200 mcg bd to 1600 mcg bd depending on IMD</w:t>
            </w:r>
          </w:p>
        </w:tc>
        <w:tc>
          <w:tcPr>
            <w:tcW w:w="1336" w:type="pct"/>
            <w:shd w:val="clear" w:color="auto" w:fill="auto"/>
            <w:vAlign w:val="center"/>
          </w:tcPr>
          <w:p w:rsidR="00F66DD2" w:rsidRPr="0067437A" w:rsidRDefault="00F66DD2" w:rsidP="00F66DD2">
            <w:pPr>
              <w:pStyle w:val="TableText0"/>
              <w:jc w:val="center"/>
              <w:rPr>
                <w:b/>
              </w:rPr>
            </w:pPr>
            <w:r w:rsidRPr="0067437A">
              <w:t>200 mcg bd to 1600 mcg bd depending on IMD</w:t>
            </w:r>
          </w:p>
        </w:tc>
        <w:tc>
          <w:tcPr>
            <w:tcW w:w="1230" w:type="pct"/>
            <w:shd w:val="clear" w:color="auto" w:fill="auto"/>
            <w:vAlign w:val="center"/>
          </w:tcPr>
          <w:p w:rsidR="00F66DD2" w:rsidRPr="0067437A" w:rsidRDefault="00F66DD2" w:rsidP="00F66DD2">
            <w:pPr>
              <w:pStyle w:val="TableText0"/>
              <w:jc w:val="center"/>
              <w:rPr>
                <w:b/>
              </w:rPr>
            </w:pPr>
            <w:r w:rsidRPr="0067437A">
              <w:t>200 mcg bd to 1600 mcg bd depending on IMD</w:t>
            </w:r>
          </w:p>
        </w:tc>
      </w:tr>
      <w:tr w:rsidR="00F66DD2" w:rsidRPr="0067437A" w:rsidTr="00F66DD2">
        <w:trPr>
          <w:cantSplit/>
          <w:jc w:val="center"/>
        </w:trPr>
        <w:tc>
          <w:tcPr>
            <w:tcW w:w="1098" w:type="pct"/>
            <w:shd w:val="clear" w:color="auto" w:fill="auto"/>
            <w:vAlign w:val="center"/>
          </w:tcPr>
          <w:p w:rsidR="00F66DD2" w:rsidRPr="0067437A" w:rsidRDefault="00F66DD2" w:rsidP="00F66DD2">
            <w:pPr>
              <w:pStyle w:val="TableText0"/>
            </w:pPr>
            <w:r w:rsidRPr="0067437A">
              <w:t>Cost/patient/month (maintenance)</w:t>
            </w:r>
            <w:r w:rsidRPr="0067437A">
              <w:rPr>
                <w:vertAlign w:val="superscript"/>
              </w:rPr>
              <w:t>a</w:t>
            </w:r>
          </w:p>
        </w:tc>
        <w:tc>
          <w:tcPr>
            <w:tcW w:w="1336" w:type="pct"/>
            <w:shd w:val="clear" w:color="auto" w:fill="auto"/>
            <w:vAlign w:val="center"/>
          </w:tcPr>
          <w:p w:rsidR="00F66DD2" w:rsidRPr="0067437A" w:rsidRDefault="00F66DD2" w:rsidP="00F66DD2">
            <w:pPr>
              <w:pStyle w:val="TableText0"/>
              <w:jc w:val="center"/>
            </w:pPr>
            <w:r w:rsidRPr="0067437A">
              <w:t>-</w:t>
            </w:r>
          </w:p>
        </w:tc>
        <w:tc>
          <w:tcPr>
            <w:tcW w:w="1336" w:type="pct"/>
            <w:shd w:val="clear" w:color="auto" w:fill="auto"/>
            <w:vAlign w:val="center"/>
          </w:tcPr>
          <w:p w:rsidR="00F66DD2" w:rsidRPr="0067437A" w:rsidRDefault="00F66DD2" w:rsidP="00F66DD2">
            <w:pPr>
              <w:pStyle w:val="TableText0"/>
              <w:jc w:val="center"/>
            </w:pPr>
            <w:r w:rsidRPr="0067437A">
              <w:t>$</w:t>
            </w:r>
            <w:r w:rsidR="00B24936">
              <w:rPr>
                <w:noProof/>
                <w:color w:val="000000"/>
                <w:highlight w:val="black"/>
              </w:rPr>
              <w:t>'''''''''''''''''''''</w:t>
            </w:r>
            <w:r w:rsidRPr="0067437A">
              <w:rPr>
                <w:vertAlign w:val="superscript"/>
              </w:rPr>
              <w:t>b</w:t>
            </w:r>
          </w:p>
        </w:tc>
        <w:tc>
          <w:tcPr>
            <w:tcW w:w="1230" w:type="pct"/>
            <w:shd w:val="clear" w:color="auto" w:fill="auto"/>
            <w:vAlign w:val="center"/>
          </w:tcPr>
          <w:p w:rsidR="00F66DD2" w:rsidRPr="0067437A" w:rsidRDefault="00F66DD2" w:rsidP="00E5078E">
            <w:pPr>
              <w:pStyle w:val="TableText0"/>
              <w:jc w:val="center"/>
            </w:pPr>
            <w:r w:rsidRPr="0067437A">
              <w:t>$</w:t>
            </w:r>
            <w:r w:rsidR="00B24936">
              <w:rPr>
                <w:noProof/>
                <w:color w:val="000000"/>
                <w:highlight w:val="black"/>
              </w:rPr>
              <w:t>''''''''''''''''''''''</w:t>
            </w:r>
            <w:r w:rsidRPr="0067437A">
              <w:rPr>
                <w:vertAlign w:val="superscript"/>
              </w:rPr>
              <w:t>c</w:t>
            </w:r>
          </w:p>
        </w:tc>
      </w:tr>
      <w:tr w:rsidR="00F66DD2" w:rsidRPr="0067437A" w:rsidTr="00F66DD2">
        <w:trPr>
          <w:cantSplit/>
          <w:jc w:val="center"/>
        </w:trPr>
        <w:tc>
          <w:tcPr>
            <w:tcW w:w="1098" w:type="pct"/>
            <w:shd w:val="clear" w:color="auto" w:fill="auto"/>
            <w:vAlign w:val="center"/>
          </w:tcPr>
          <w:p w:rsidR="00F66DD2" w:rsidRPr="0067437A" w:rsidRDefault="00F66DD2" w:rsidP="00F66DD2">
            <w:pPr>
              <w:pStyle w:val="TableText0"/>
            </w:pPr>
            <w:r w:rsidRPr="0067437A">
              <w:t>Cost/patient/year</w:t>
            </w:r>
          </w:p>
          <w:p w:rsidR="00F66DD2" w:rsidRPr="0067437A" w:rsidRDefault="00F66DD2" w:rsidP="00F66DD2">
            <w:pPr>
              <w:pStyle w:val="TableText0"/>
            </w:pPr>
            <w:r w:rsidRPr="0067437A">
              <w:t>(maintenance)</w:t>
            </w:r>
            <w:r w:rsidRPr="0067437A">
              <w:rPr>
                <w:vertAlign w:val="superscript"/>
              </w:rPr>
              <w:t>a</w:t>
            </w:r>
          </w:p>
        </w:tc>
        <w:tc>
          <w:tcPr>
            <w:tcW w:w="1336" w:type="pct"/>
            <w:shd w:val="clear" w:color="auto" w:fill="auto"/>
            <w:vAlign w:val="center"/>
          </w:tcPr>
          <w:p w:rsidR="00F66DD2" w:rsidRPr="0067437A" w:rsidRDefault="00F66DD2" w:rsidP="00F66DD2">
            <w:pPr>
              <w:pStyle w:val="TableText0"/>
              <w:jc w:val="center"/>
            </w:pPr>
            <w:r w:rsidRPr="0067437A">
              <w:t>-</w:t>
            </w:r>
          </w:p>
        </w:tc>
        <w:tc>
          <w:tcPr>
            <w:tcW w:w="1336" w:type="pct"/>
            <w:shd w:val="clear" w:color="auto" w:fill="auto"/>
            <w:vAlign w:val="center"/>
          </w:tcPr>
          <w:p w:rsidR="00F66DD2" w:rsidRPr="0067437A" w:rsidRDefault="00F66DD2" w:rsidP="000305FD">
            <w:pPr>
              <w:pStyle w:val="TableText0"/>
              <w:jc w:val="center"/>
            </w:pPr>
            <w:r w:rsidRPr="0067437A">
              <w:t>$</w:t>
            </w:r>
            <w:r w:rsidR="00B24936">
              <w:rPr>
                <w:noProof/>
                <w:color w:val="000000"/>
                <w:highlight w:val="black"/>
              </w:rPr>
              <w:t>''''''''''''''''</w:t>
            </w:r>
            <w:r w:rsidRPr="0067437A">
              <w:rPr>
                <w:vertAlign w:val="superscript"/>
              </w:rPr>
              <w:t>b</w:t>
            </w:r>
          </w:p>
        </w:tc>
        <w:tc>
          <w:tcPr>
            <w:tcW w:w="1230" w:type="pct"/>
            <w:shd w:val="clear" w:color="auto" w:fill="auto"/>
            <w:vAlign w:val="center"/>
          </w:tcPr>
          <w:p w:rsidR="00F66DD2" w:rsidRPr="0067437A" w:rsidRDefault="00F66DD2" w:rsidP="00E5078E">
            <w:pPr>
              <w:pStyle w:val="TableText0"/>
              <w:jc w:val="center"/>
            </w:pPr>
            <w:r w:rsidRPr="0067437A">
              <w:t>$</w:t>
            </w:r>
            <w:r w:rsidR="00B24936">
              <w:rPr>
                <w:noProof/>
                <w:color w:val="000000"/>
                <w:highlight w:val="black"/>
              </w:rPr>
              <w:t>''''''''''''''''</w:t>
            </w:r>
            <w:r w:rsidRPr="0067437A">
              <w:rPr>
                <w:vertAlign w:val="superscript"/>
              </w:rPr>
              <w:t>c</w:t>
            </w:r>
          </w:p>
        </w:tc>
      </w:tr>
    </w:tbl>
    <w:p w:rsidR="00F66DD2" w:rsidRPr="0067437A" w:rsidRDefault="005F0EA1" w:rsidP="00F66DD2">
      <w:pPr>
        <w:pStyle w:val="TableFigureFooter"/>
      </w:pPr>
      <w:r w:rsidRPr="0067437A">
        <w:t xml:space="preserve">bd = twice daily; ERA = endothelin receptor antagonist; </w:t>
      </w:r>
      <w:r w:rsidR="00F66DD2" w:rsidRPr="0067437A">
        <w:t>IMD = individualised maintenance dose</w:t>
      </w:r>
      <w:r w:rsidRPr="0067437A">
        <w:t>; PDE-5i = phosphodiesterase type 5 inhibitor</w:t>
      </w:r>
      <w:r w:rsidR="00F66DD2" w:rsidRPr="0067437A">
        <w:t>.</w:t>
      </w:r>
    </w:p>
    <w:p w:rsidR="00F66DD2" w:rsidRPr="0067437A" w:rsidRDefault="00F66DD2" w:rsidP="00F66DD2">
      <w:pPr>
        <w:pStyle w:val="TableFigureFooter"/>
        <w:ind w:left="170" w:hanging="170"/>
      </w:pPr>
      <w:r w:rsidRPr="0067437A">
        <w:rPr>
          <w:vertAlign w:val="superscript"/>
        </w:rPr>
        <w:t>a</w:t>
      </w:r>
      <w:r w:rsidRPr="0067437A">
        <w:rPr>
          <w:vertAlign w:val="superscript"/>
        </w:rPr>
        <w:tab/>
      </w:r>
      <w:r w:rsidRPr="0067437A">
        <w:t>Calculated as: 14 tablets per week (twice daily dosing) x 52 weeks in a year x cost per tablet (weighted average cost weighted for public and private use).</w:t>
      </w:r>
    </w:p>
    <w:p w:rsidR="00F66DD2" w:rsidRPr="0067437A" w:rsidRDefault="00F66DD2" w:rsidP="00F66DD2">
      <w:pPr>
        <w:pStyle w:val="TableFigureFooter"/>
        <w:rPr>
          <w:lang w:eastAsia="en-US"/>
        </w:rPr>
      </w:pPr>
      <w:r w:rsidRPr="0067437A">
        <w:rPr>
          <w:vertAlign w:val="superscript"/>
          <w:lang w:eastAsia="en-US"/>
        </w:rPr>
        <w:t>b</w:t>
      </w:r>
      <w:r w:rsidRPr="0067437A">
        <w:rPr>
          <w:vertAlign w:val="superscript"/>
          <w:lang w:eastAsia="en-US"/>
        </w:rPr>
        <w:tab/>
      </w:r>
      <w:r w:rsidRPr="0067437A">
        <w:rPr>
          <w:lang w:eastAsia="en-US"/>
        </w:rPr>
        <w:t>Assumed 66% public use and 34% private use (source could not be verified).</w:t>
      </w:r>
    </w:p>
    <w:p w:rsidR="00F66DD2" w:rsidRPr="0067437A" w:rsidRDefault="00F66DD2" w:rsidP="00F66DD2">
      <w:pPr>
        <w:pStyle w:val="TableFigureFooter"/>
      </w:pPr>
      <w:r w:rsidRPr="0067437A">
        <w:rPr>
          <w:i/>
          <w:vertAlign w:val="superscript"/>
        </w:rPr>
        <w:t>c</w:t>
      </w:r>
      <w:r w:rsidRPr="0067437A">
        <w:rPr>
          <w:i/>
        </w:rPr>
        <w:tab/>
      </w:r>
      <w:r w:rsidRPr="0067437A">
        <w:t>Assumed 68.2% public use and 32.8% private use (sourced from 2019 Medicare data for all ERAs and PDE-5is).</w:t>
      </w:r>
    </w:p>
    <w:p w:rsidR="007209E5" w:rsidRPr="0067437A" w:rsidRDefault="007209E5" w:rsidP="007209E5">
      <w:pPr>
        <w:pStyle w:val="TableFigureFooter"/>
      </w:pPr>
      <w:r w:rsidRPr="0067437A">
        <w:t>Source: constructed during the evaluation.</w:t>
      </w:r>
    </w:p>
    <w:p w:rsidR="00F66DD2" w:rsidRPr="0067437A" w:rsidRDefault="00F66DD2" w:rsidP="00F66DD2">
      <w:pPr>
        <w:pStyle w:val="4-SubsectionHeading"/>
      </w:pPr>
      <w:bookmarkStart w:id="28" w:name="_Toc40866424"/>
      <w:r w:rsidRPr="0067437A">
        <w:t>Estimated PBS usage &amp; financial implications</w:t>
      </w:r>
      <w:bookmarkEnd w:id="28"/>
    </w:p>
    <w:p w:rsidR="00F66DD2" w:rsidRPr="0067437A" w:rsidRDefault="00F66DD2" w:rsidP="00AE5EF8">
      <w:pPr>
        <w:pStyle w:val="3-BodyText"/>
        <w:ind w:left="709"/>
      </w:pPr>
      <w:r w:rsidRPr="0067437A">
        <w:t xml:space="preserve">This resubmission </w:t>
      </w:r>
      <w:r w:rsidR="00901FDA" w:rsidRPr="0067437A">
        <w:t>was not</w:t>
      </w:r>
      <w:r w:rsidRPr="0067437A">
        <w:t xml:space="preserve"> considered by DUSC</w:t>
      </w:r>
      <w:r w:rsidRPr="0067437A">
        <w:rPr>
          <w:color w:val="0070C0"/>
        </w:rPr>
        <w:t xml:space="preserve">. </w:t>
      </w:r>
      <w:r w:rsidRPr="0067437A">
        <w:t>The resubmission presented revised financial implications based on a market share approach to estimate the eligible population using updated Medicare data, and accounting for selexipag use as add-on to dual therapy and accounting for selexipag titration use</w:t>
      </w:r>
      <w:r w:rsidR="0067437A">
        <w:t xml:space="preserve">. </w:t>
      </w:r>
      <w:r w:rsidRPr="0067437A">
        <w:t xml:space="preserve">Table </w:t>
      </w:r>
      <w:r w:rsidR="0007076D">
        <w:t xml:space="preserve">15 </w:t>
      </w:r>
      <w:r w:rsidRPr="0067437A">
        <w:t>presents the key inputs for financial estimates.</w:t>
      </w:r>
    </w:p>
    <w:p w:rsidR="00F66DD2" w:rsidRPr="0067437A" w:rsidRDefault="00F66DD2" w:rsidP="00F66DD2">
      <w:pPr>
        <w:pStyle w:val="TableFigureHeading"/>
        <w:rPr>
          <w:rStyle w:val="CommentReference"/>
          <w:b/>
          <w:szCs w:val="24"/>
        </w:rPr>
      </w:pPr>
      <w:r w:rsidRPr="0067437A">
        <w:rPr>
          <w:rStyle w:val="CommentReference"/>
          <w:b/>
          <w:szCs w:val="24"/>
        </w:rPr>
        <w:lastRenderedPageBreak/>
        <w:t>Table 1</w:t>
      </w:r>
      <w:r w:rsidR="0007076D">
        <w:rPr>
          <w:rStyle w:val="CommentReference"/>
          <w:b/>
          <w:szCs w:val="24"/>
        </w:rPr>
        <w:t>5</w:t>
      </w:r>
      <w:r w:rsidRPr="0067437A">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385"/>
        <w:gridCol w:w="3919"/>
      </w:tblGrid>
      <w:tr w:rsidR="00F66DD2" w:rsidRPr="0067437A" w:rsidTr="00F66DD2">
        <w:trPr>
          <w:tblHeader/>
        </w:trPr>
        <w:tc>
          <w:tcPr>
            <w:tcW w:w="950" w:type="pct"/>
            <w:shd w:val="clear" w:color="auto" w:fill="auto"/>
            <w:vAlign w:val="center"/>
          </w:tcPr>
          <w:p w:rsidR="00F66DD2" w:rsidRPr="0067437A" w:rsidRDefault="00F66DD2" w:rsidP="00F66DD2">
            <w:pPr>
              <w:pStyle w:val="In-tableHeading"/>
              <w:rPr>
                <w:lang w:val="en-AU"/>
              </w:rPr>
            </w:pPr>
            <w:r w:rsidRPr="0067437A">
              <w:rPr>
                <w:lang w:val="en-AU"/>
              </w:rPr>
              <w:t>Parameter</w:t>
            </w:r>
          </w:p>
        </w:tc>
        <w:tc>
          <w:tcPr>
            <w:tcW w:w="1877" w:type="pct"/>
            <w:shd w:val="clear" w:color="auto" w:fill="auto"/>
            <w:vAlign w:val="center"/>
          </w:tcPr>
          <w:p w:rsidR="00F66DD2" w:rsidRPr="0067437A" w:rsidRDefault="00F66DD2" w:rsidP="00F66DD2">
            <w:pPr>
              <w:pStyle w:val="In-tableHeading"/>
              <w:rPr>
                <w:lang w:val="en-AU"/>
              </w:rPr>
            </w:pPr>
            <w:r w:rsidRPr="0067437A">
              <w:rPr>
                <w:lang w:val="en-AU"/>
              </w:rPr>
              <w:t>Value applied and source</w:t>
            </w:r>
          </w:p>
        </w:tc>
        <w:tc>
          <w:tcPr>
            <w:tcW w:w="2173" w:type="pct"/>
            <w:shd w:val="clear" w:color="auto" w:fill="auto"/>
            <w:vAlign w:val="center"/>
          </w:tcPr>
          <w:p w:rsidR="00F66DD2" w:rsidRPr="0067437A" w:rsidRDefault="00F66DD2" w:rsidP="00F66DD2">
            <w:pPr>
              <w:pStyle w:val="In-tableHeading"/>
              <w:rPr>
                <w:lang w:val="en-AU"/>
              </w:rPr>
            </w:pPr>
            <w:r w:rsidRPr="0067437A">
              <w:rPr>
                <w:lang w:val="en-AU"/>
              </w:rPr>
              <w:t>Comment</w:t>
            </w:r>
          </w:p>
        </w:tc>
      </w:tr>
      <w:tr w:rsidR="00F66DD2" w:rsidRPr="0067437A" w:rsidTr="00F66DD2">
        <w:tc>
          <w:tcPr>
            <w:tcW w:w="950" w:type="pct"/>
            <w:shd w:val="clear" w:color="auto" w:fill="auto"/>
            <w:vAlign w:val="center"/>
          </w:tcPr>
          <w:p w:rsidR="00F66DD2" w:rsidRPr="0067437A" w:rsidRDefault="00F66DD2" w:rsidP="00F66DD2">
            <w:pPr>
              <w:pStyle w:val="TableText0"/>
            </w:pPr>
            <w:r w:rsidRPr="0067437A">
              <w:t>% on dual therapy</w:t>
            </w:r>
          </w:p>
        </w:tc>
        <w:tc>
          <w:tcPr>
            <w:tcW w:w="1877" w:type="pct"/>
            <w:vAlign w:val="center"/>
          </w:tcPr>
          <w:p w:rsidR="00F66DD2" w:rsidRPr="0067437A" w:rsidRDefault="00F66DD2" w:rsidP="00F66DD2">
            <w:pPr>
              <w:pStyle w:val="TableText0"/>
            </w:pPr>
            <w:r w:rsidRPr="0067437A">
              <w:t xml:space="preserve">40% - 65% based on </w:t>
            </w:r>
            <w:r w:rsidRPr="0067437A">
              <w:rPr>
                <w:rFonts w:cs="Arial"/>
                <w:szCs w:val="20"/>
              </w:rPr>
              <w:t>Scenario 3a, PBAC’s review of PMR for PAH Medicines, November 2019</w:t>
            </w:r>
          </w:p>
        </w:tc>
        <w:tc>
          <w:tcPr>
            <w:tcW w:w="2173" w:type="pct"/>
            <w:shd w:val="clear" w:color="auto" w:fill="auto"/>
            <w:vAlign w:val="center"/>
          </w:tcPr>
          <w:p w:rsidR="00F66DD2" w:rsidRPr="0067437A" w:rsidRDefault="00F66DD2" w:rsidP="00F66DD2">
            <w:pPr>
              <w:pStyle w:val="TableText0"/>
            </w:pPr>
            <w:r w:rsidRPr="0067437A">
              <w:t>Reasonable.</w:t>
            </w:r>
          </w:p>
        </w:tc>
      </w:tr>
      <w:tr w:rsidR="00F66DD2" w:rsidRPr="0067437A" w:rsidTr="00F66DD2">
        <w:tc>
          <w:tcPr>
            <w:tcW w:w="950" w:type="pct"/>
            <w:shd w:val="clear" w:color="auto" w:fill="auto"/>
            <w:vAlign w:val="center"/>
          </w:tcPr>
          <w:p w:rsidR="00F66DD2" w:rsidRPr="0067437A" w:rsidRDefault="00F66DD2" w:rsidP="00F66DD2">
            <w:pPr>
              <w:pStyle w:val="TableText0"/>
            </w:pPr>
            <w:r w:rsidRPr="0067437A">
              <w:t>Uptake rate</w:t>
            </w:r>
          </w:p>
        </w:tc>
        <w:tc>
          <w:tcPr>
            <w:tcW w:w="1877" w:type="pct"/>
            <w:shd w:val="clear" w:color="auto" w:fill="auto"/>
            <w:vAlign w:val="center"/>
          </w:tcPr>
          <w:p w:rsidR="00F66DD2" w:rsidRPr="0067437A" w:rsidRDefault="00B24936" w:rsidP="00F66DD2">
            <w:pPr>
              <w:pStyle w:val="TableText0"/>
            </w:pPr>
            <w:r>
              <w:rPr>
                <w:noProof/>
                <w:color w:val="000000"/>
                <w:highlight w:val="black"/>
              </w:rPr>
              <w:t>''''''</w:t>
            </w:r>
            <w:r w:rsidR="00F66DD2" w:rsidRPr="0067437A">
              <w:t xml:space="preserve">% in Year 1 increasing to </w:t>
            </w:r>
            <w:r>
              <w:rPr>
                <w:noProof/>
                <w:color w:val="000000"/>
                <w:highlight w:val="black"/>
              </w:rPr>
              <w:t>''''''</w:t>
            </w:r>
            <w:r w:rsidR="00F66DD2" w:rsidRPr="0067437A">
              <w:t>% in Year 6. Based on assumptions.</w:t>
            </w:r>
          </w:p>
        </w:tc>
        <w:tc>
          <w:tcPr>
            <w:tcW w:w="2173" w:type="pct"/>
            <w:shd w:val="clear" w:color="auto" w:fill="auto"/>
            <w:vAlign w:val="center"/>
          </w:tcPr>
          <w:p w:rsidR="00F66DD2" w:rsidRPr="0067437A" w:rsidRDefault="00F66DD2" w:rsidP="00F66DD2">
            <w:pPr>
              <w:pStyle w:val="TableText0"/>
            </w:pPr>
            <w:r w:rsidRPr="0067437A">
              <w:t>Likely underestimated; similar to estimates used in previous submissions.</w:t>
            </w:r>
          </w:p>
          <w:p w:rsidR="00E1476D" w:rsidRPr="0067437A" w:rsidRDefault="00E1476D" w:rsidP="009661DB">
            <w:pPr>
              <w:pStyle w:val="TableText0"/>
            </w:pPr>
            <w:r w:rsidRPr="0067437A">
              <w:t xml:space="preserve">Pre-PBAC Response: increased </w:t>
            </w:r>
            <w:r w:rsidR="009661DB" w:rsidRPr="0067437A">
              <w:t xml:space="preserve">uptake rate </w:t>
            </w:r>
            <w:r w:rsidRPr="0067437A">
              <w:t xml:space="preserve">to </w:t>
            </w:r>
            <w:r w:rsidR="00B24936">
              <w:rPr>
                <w:noProof/>
                <w:color w:val="000000"/>
                <w:highlight w:val="black"/>
              </w:rPr>
              <w:t>'''''''</w:t>
            </w:r>
            <w:r w:rsidRPr="0067437A">
              <w:t xml:space="preserve">% in </w:t>
            </w:r>
            <w:r w:rsidR="009661DB" w:rsidRPr="0067437A">
              <w:t>Y</w:t>
            </w:r>
            <w:r w:rsidRPr="0067437A">
              <w:t xml:space="preserve">ear 1, </w:t>
            </w:r>
            <w:r w:rsidR="009661DB" w:rsidRPr="0067437A">
              <w:t xml:space="preserve">increasing to </w:t>
            </w:r>
            <w:r w:rsidR="00B24936">
              <w:rPr>
                <w:noProof/>
                <w:color w:val="000000"/>
                <w:highlight w:val="black"/>
              </w:rPr>
              <w:t>'''''''</w:t>
            </w:r>
            <w:r w:rsidRPr="0067437A">
              <w:t xml:space="preserve">% </w:t>
            </w:r>
            <w:r w:rsidR="009661DB" w:rsidRPr="0067437A">
              <w:t>in Y</w:t>
            </w:r>
            <w:r w:rsidRPr="0067437A">
              <w:t xml:space="preserve">ear 6. </w:t>
            </w:r>
          </w:p>
        </w:tc>
      </w:tr>
      <w:tr w:rsidR="00F66DD2" w:rsidRPr="0067437A" w:rsidTr="00F66DD2">
        <w:tc>
          <w:tcPr>
            <w:tcW w:w="950" w:type="pct"/>
            <w:shd w:val="clear" w:color="auto" w:fill="auto"/>
            <w:vAlign w:val="center"/>
          </w:tcPr>
          <w:p w:rsidR="00F66DD2" w:rsidRPr="0067437A" w:rsidRDefault="00F66DD2" w:rsidP="00F66DD2">
            <w:pPr>
              <w:pStyle w:val="TableText0"/>
            </w:pPr>
          </w:p>
          <w:p w:rsidR="00F66DD2" w:rsidRPr="0067437A" w:rsidRDefault="00F66DD2" w:rsidP="009155BE">
            <w:pPr>
              <w:pStyle w:val="TableText0"/>
            </w:pPr>
            <w:r w:rsidRPr="0067437A">
              <w:t>Growth rate of ERA and PDE-5</w:t>
            </w:r>
            <w:r w:rsidR="009155BE">
              <w:t>i</w:t>
            </w:r>
            <w:r w:rsidRPr="0067437A">
              <w:t xml:space="preserve"> market</w:t>
            </w:r>
          </w:p>
        </w:tc>
        <w:tc>
          <w:tcPr>
            <w:tcW w:w="1877" w:type="pct"/>
            <w:shd w:val="clear" w:color="auto" w:fill="auto"/>
            <w:vAlign w:val="center"/>
          </w:tcPr>
          <w:p w:rsidR="00F66DD2" w:rsidRPr="0067437A" w:rsidRDefault="00F66DD2" w:rsidP="00F66DD2">
            <w:pPr>
              <w:pStyle w:val="TableText0"/>
            </w:pPr>
            <w:r w:rsidRPr="0067437A">
              <w:t>Y</w:t>
            </w:r>
            <w:r w:rsidR="005F0EA1" w:rsidRPr="0067437A">
              <w:t>ea</w:t>
            </w:r>
            <w:r w:rsidRPr="0067437A">
              <w:t>r 1: 100%</w:t>
            </w:r>
          </w:p>
          <w:p w:rsidR="00F66DD2" w:rsidRPr="0067437A" w:rsidRDefault="00F66DD2" w:rsidP="00F66DD2">
            <w:pPr>
              <w:pStyle w:val="TableText0"/>
            </w:pPr>
            <w:r w:rsidRPr="0067437A">
              <w:t>Y</w:t>
            </w:r>
            <w:r w:rsidR="005F0EA1" w:rsidRPr="0067437A">
              <w:t>ea</w:t>
            </w:r>
            <w:r w:rsidRPr="0067437A">
              <w:t>r 2: 75%</w:t>
            </w:r>
          </w:p>
          <w:p w:rsidR="00F66DD2" w:rsidRPr="0067437A" w:rsidRDefault="00F66DD2" w:rsidP="00F66DD2">
            <w:pPr>
              <w:pStyle w:val="TableText0"/>
            </w:pPr>
            <w:r w:rsidRPr="0067437A">
              <w:t>Y</w:t>
            </w:r>
            <w:r w:rsidR="005F0EA1" w:rsidRPr="0067437A">
              <w:t>ea</w:t>
            </w:r>
            <w:r w:rsidRPr="0067437A">
              <w:t>r 3: 70%</w:t>
            </w:r>
          </w:p>
          <w:p w:rsidR="00F66DD2" w:rsidRPr="0067437A" w:rsidRDefault="00F66DD2" w:rsidP="00F66DD2">
            <w:pPr>
              <w:pStyle w:val="TableText0"/>
            </w:pPr>
            <w:r w:rsidRPr="0067437A">
              <w:t>Y</w:t>
            </w:r>
            <w:r w:rsidR="005F0EA1" w:rsidRPr="0067437A">
              <w:t>ea</w:t>
            </w:r>
            <w:r w:rsidRPr="0067437A">
              <w:t>r 4: 65%</w:t>
            </w:r>
          </w:p>
          <w:p w:rsidR="00F66DD2" w:rsidRPr="0067437A" w:rsidRDefault="00F66DD2" w:rsidP="00F66DD2">
            <w:pPr>
              <w:pStyle w:val="TableText0"/>
            </w:pPr>
            <w:r w:rsidRPr="0067437A">
              <w:t>Y</w:t>
            </w:r>
            <w:r w:rsidR="005F0EA1" w:rsidRPr="0067437A">
              <w:t>ea</w:t>
            </w:r>
            <w:r w:rsidRPr="0067437A">
              <w:t>r 5: 60%</w:t>
            </w:r>
          </w:p>
          <w:p w:rsidR="00F66DD2" w:rsidRPr="0067437A" w:rsidRDefault="00F66DD2" w:rsidP="00F66DD2">
            <w:pPr>
              <w:pStyle w:val="TableText0"/>
            </w:pPr>
            <w:r w:rsidRPr="0067437A">
              <w:t>Y</w:t>
            </w:r>
            <w:r w:rsidR="005F0EA1" w:rsidRPr="0067437A">
              <w:t>ea</w:t>
            </w:r>
            <w:r w:rsidRPr="0067437A">
              <w:t>r 6: 55%</w:t>
            </w:r>
          </w:p>
        </w:tc>
        <w:tc>
          <w:tcPr>
            <w:tcW w:w="2173" w:type="pct"/>
            <w:shd w:val="clear" w:color="auto" w:fill="auto"/>
            <w:vAlign w:val="center"/>
          </w:tcPr>
          <w:p w:rsidR="00F66DD2" w:rsidRPr="0067437A" w:rsidRDefault="00F66DD2" w:rsidP="008E0888">
            <w:pPr>
              <w:pStyle w:val="TableText0"/>
            </w:pPr>
            <w:r w:rsidRPr="0067437A">
              <w:t>The resubmission claimed that the market growth rate appears to have slowed during 2016-2019, thus the 2018-2019 growth rate was applied and then the growth rate was increasingly slowed down</w:t>
            </w:r>
            <w:r w:rsidR="0067437A">
              <w:t xml:space="preserve">. </w:t>
            </w:r>
            <w:r w:rsidRPr="0067437A">
              <w:t>The resubmission stated that this was to best match the DoH estimates</w:t>
            </w:r>
            <w:r w:rsidR="0067437A">
              <w:t xml:space="preserve">. </w:t>
            </w:r>
            <w:r w:rsidRPr="0067437A">
              <w:t>Closer inspection of the Medicare data showed that although the market slowed in 2016, the market appeared to steadily increase thereafter to 2019</w:t>
            </w:r>
            <w:r w:rsidR="0067437A">
              <w:t xml:space="preserve">. </w:t>
            </w:r>
            <w:r w:rsidRPr="0067437A">
              <w:t>The March 2016 submission assumed linear growth from 2017 to 2021.</w:t>
            </w:r>
            <w:r w:rsidR="008E0888" w:rsidRPr="0067437A">
              <w:t xml:space="preserve"> The ESC considered that the market growth rates were likely underestimated.</w:t>
            </w:r>
            <w:r w:rsidR="009661DB" w:rsidRPr="0067437A">
              <w:t xml:space="preserve"> The pre-PBAC response maintained that the projected market growth was appropriate.</w:t>
            </w:r>
            <w:r w:rsidR="00402A5F">
              <w:t xml:space="preserve"> The PBAC noted recent PBS utilisation data which suggested that utilisation was likely to increase.</w:t>
            </w:r>
          </w:p>
        </w:tc>
      </w:tr>
      <w:tr w:rsidR="00F66DD2" w:rsidRPr="0067437A" w:rsidTr="00F66DD2">
        <w:tc>
          <w:tcPr>
            <w:tcW w:w="950" w:type="pct"/>
            <w:shd w:val="clear" w:color="auto" w:fill="auto"/>
            <w:vAlign w:val="center"/>
          </w:tcPr>
          <w:p w:rsidR="00F66DD2" w:rsidRPr="0067437A" w:rsidRDefault="00F66DD2" w:rsidP="00F66DD2">
            <w:pPr>
              <w:pStyle w:val="TableText0"/>
            </w:pPr>
            <w:r w:rsidRPr="0067437A">
              <w:t>Selexipag titration duration</w:t>
            </w:r>
          </w:p>
        </w:tc>
        <w:tc>
          <w:tcPr>
            <w:tcW w:w="1877" w:type="pct"/>
            <w:shd w:val="clear" w:color="auto" w:fill="auto"/>
            <w:vAlign w:val="center"/>
          </w:tcPr>
          <w:p w:rsidR="00F66DD2" w:rsidRPr="0067437A" w:rsidRDefault="00E12BBF" w:rsidP="009C1F95">
            <w:pPr>
              <w:jc w:val="left"/>
              <w:rPr>
                <w:rFonts w:ascii="Arial Narrow" w:hAnsi="Arial Narrow"/>
                <w:sz w:val="20"/>
                <w:szCs w:val="20"/>
              </w:rPr>
            </w:pPr>
            <w:r w:rsidRPr="0067437A">
              <w:rPr>
                <w:rFonts w:ascii="Arial Narrow" w:hAnsi="Arial Narrow"/>
                <w:sz w:val="20"/>
                <w:szCs w:val="20"/>
              </w:rPr>
              <w:t xml:space="preserve">6.8 </w:t>
            </w:r>
            <w:r w:rsidR="00F66DD2" w:rsidRPr="0067437A">
              <w:rPr>
                <w:rFonts w:ascii="Arial Narrow" w:hAnsi="Arial Narrow"/>
                <w:sz w:val="20"/>
                <w:szCs w:val="20"/>
              </w:rPr>
              <w:t>weeks based on</w:t>
            </w:r>
            <w:r w:rsidRPr="0067437A">
              <w:rPr>
                <w:rFonts w:ascii="Arial Narrow" w:hAnsi="Arial Narrow"/>
                <w:sz w:val="20"/>
                <w:szCs w:val="20"/>
              </w:rPr>
              <w:t xml:space="preserve"> GRIPHON doses and estimates in the modelled economic evaluation.</w:t>
            </w:r>
          </w:p>
        </w:tc>
        <w:tc>
          <w:tcPr>
            <w:tcW w:w="2173" w:type="pct"/>
            <w:shd w:val="clear" w:color="auto" w:fill="auto"/>
            <w:vAlign w:val="center"/>
          </w:tcPr>
          <w:p w:rsidR="00F66DD2" w:rsidRPr="0067437A" w:rsidRDefault="00F66DD2" w:rsidP="00F66DD2">
            <w:pPr>
              <w:pStyle w:val="TableText0"/>
            </w:pPr>
            <w:r w:rsidRPr="0067437A">
              <w:t>Consistent with the duration</w:t>
            </w:r>
            <w:r w:rsidR="00E12BBF" w:rsidRPr="0067437A">
              <w:t>s</w:t>
            </w:r>
            <w:r w:rsidRPr="0067437A">
              <w:t xml:space="preserve"> in the economic evaluation.</w:t>
            </w:r>
          </w:p>
          <w:p w:rsidR="00F66DD2" w:rsidRPr="0067437A" w:rsidRDefault="00F66DD2" w:rsidP="00C40BFD">
            <w:pPr>
              <w:pStyle w:val="TableText0"/>
            </w:pPr>
            <w:r w:rsidRPr="0067437A">
              <w:t>An issue identified by the March 2016 submission was</w:t>
            </w:r>
            <w:r w:rsidR="006E0EE1" w:rsidRPr="0067437A">
              <w:t xml:space="preserve"> estimates</w:t>
            </w:r>
            <w:r w:rsidRPr="0067437A">
              <w:t xml:space="preserve"> not accounting for use and cost of selexipag during the dose titration (para 6.54, selexipag,</w:t>
            </w:r>
            <w:r w:rsidRPr="0067437A">
              <w:rPr>
                <w:rFonts w:cs="Calibri"/>
              </w:rPr>
              <w:t xml:space="preserve"> </w:t>
            </w:r>
            <w:r w:rsidR="0061735E" w:rsidRPr="0067437A">
              <w:rPr>
                <w:rFonts w:cs="Calibri"/>
              </w:rPr>
              <w:t>PSD</w:t>
            </w:r>
            <w:r w:rsidRPr="0067437A">
              <w:rPr>
                <w:rFonts w:cs="Calibri"/>
              </w:rPr>
              <w:t>, March 2016</w:t>
            </w:r>
            <w:r w:rsidRPr="0067437A">
              <w:t xml:space="preserve">). </w:t>
            </w:r>
            <w:r w:rsidR="006E0EE1" w:rsidRPr="0067437A">
              <w:t>This has now been incorporated.</w:t>
            </w:r>
          </w:p>
        </w:tc>
      </w:tr>
      <w:tr w:rsidR="00F66DD2" w:rsidRPr="0067437A" w:rsidTr="00F66DD2">
        <w:tc>
          <w:tcPr>
            <w:tcW w:w="950" w:type="pct"/>
            <w:shd w:val="clear" w:color="auto" w:fill="auto"/>
            <w:vAlign w:val="center"/>
          </w:tcPr>
          <w:p w:rsidR="00F66DD2" w:rsidRPr="0067437A" w:rsidRDefault="00F66DD2" w:rsidP="00F66DD2">
            <w:pPr>
              <w:pStyle w:val="TableText0"/>
            </w:pPr>
            <w:r w:rsidRPr="0067437A">
              <w:t>Selexipag titration packs per patient</w:t>
            </w:r>
          </w:p>
        </w:tc>
        <w:tc>
          <w:tcPr>
            <w:tcW w:w="1877" w:type="pct"/>
            <w:shd w:val="clear" w:color="auto" w:fill="auto"/>
            <w:vAlign w:val="center"/>
          </w:tcPr>
          <w:p w:rsidR="00F66DD2" w:rsidRPr="0067437A" w:rsidRDefault="00F66DD2" w:rsidP="00F66DD2">
            <w:pPr>
              <w:pStyle w:val="TableText0"/>
            </w:pPr>
            <w:r w:rsidRPr="0067437A">
              <w:t>1.65 based on economic model.</w:t>
            </w:r>
          </w:p>
        </w:tc>
        <w:tc>
          <w:tcPr>
            <w:tcW w:w="2173" w:type="pct"/>
            <w:shd w:val="clear" w:color="auto" w:fill="auto"/>
            <w:vAlign w:val="center"/>
          </w:tcPr>
          <w:p w:rsidR="00F66DD2" w:rsidRPr="0067437A" w:rsidRDefault="00F66DD2" w:rsidP="00F66DD2">
            <w:pPr>
              <w:pStyle w:val="TableText0"/>
            </w:pPr>
            <w:r w:rsidRPr="0067437A">
              <w:t>Consistent with the economic evaluation.</w:t>
            </w:r>
          </w:p>
        </w:tc>
      </w:tr>
      <w:tr w:rsidR="00F66DD2" w:rsidRPr="0067437A" w:rsidTr="00F66DD2">
        <w:tc>
          <w:tcPr>
            <w:tcW w:w="950" w:type="pct"/>
            <w:shd w:val="clear" w:color="auto" w:fill="auto"/>
            <w:vAlign w:val="center"/>
          </w:tcPr>
          <w:p w:rsidR="00F66DD2" w:rsidRPr="0067437A" w:rsidRDefault="00F66DD2" w:rsidP="00F66DD2">
            <w:pPr>
              <w:pStyle w:val="TableText0"/>
            </w:pPr>
            <w:r w:rsidRPr="0067437A">
              <w:t>Phone call appointment with specialist nurse</w:t>
            </w:r>
          </w:p>
        </w:tc>
        <w:tc>
          <w:tcPr>
            <w:tcW w:w="1877" w:type="pct"/>
            <w:shd w:val="clear" w:color="auto" w:fill="auto"/>
            <w:vAlign w:val="center"/>
          </w:tcPr>
          <w:p w:rsidR="00F66DD2" w:rsidRPr="0067437A" w:rsidRDefault="00F66DD2" w:rsidP="00F66DD2">
            <w:pPr>
              <w:pStyle w:val="TableText0"/>
            </w:pPr>
            <w:r w:rsidRPr="0067437A">
              <w:t>MBS item 10983</w:t>
            </w:r>
          </w:p>
        </w:tc>
        <w:tc>
          <w:tcPr>
            <w:tcW w:w="2173" w:type="pct"/>
            <w:shd w:val="clear" w:color="auto" w:fill="auto"/>
            <w:vAlign w:val="center"/>
          </w:tcPr>
          <w:p w:rsidR="00F66DD2" w:rsidRPr="0067437A" w:rsidRDefault="00F66DD2" w:rsidP="00F66DD2">
            <w:pPr>
              <w:pStyle w:val="TableText0"/>
            </w:pPr>
            <w:r w:rsidRPr="0067437A">
              <w:t>Appropriate.</w:t>
            </w:r>
          </w:p>
        </w:tc>
      </w:tr>
      <w:tr w:rsidR="00F66DD2" w:rsidRPr="0067437A" w:rsidTr="00F66DD2">
        <w:tc>
          <w:tcPr>
            <w:tcW w:w="950" w:type="pct"/>
            <w:shd w:val="clear" w:color="auto" w:fill="auto"/>
            <w:vAlign w:val="center"/>
          </w:tcPr>
          <w:p w:rsidR="00F66DD2" w:rsidRPr="0067437A" w:rsidRDefault="00F66DD2" w:rsidP="00F66DD2">
            <w:pPr>
              <w:pStyle w:val="TableText0"/>
            </w:pPr>
            <w:r w:rsidRPr="0067437A">
              <w:t>GP visits</w:t>
            </w:r>
          </w:p>
        </w:tc>
        <w:tc>
          <w:tcPr>
            <w:tcW w:w="1877" w:type="pct"/>
            <w:shd w:val="clear" w:color="auto" w:fill="auto"/>
            <w:vAlign w:val="center"/>
          </w:tcPr>
          <w:p w:rsidR="00F66DD2" w:rsidRPr="0067437A" w:rsidRDefault="00F66DD2" w:rsidP="00F66DD2">
            <w:pPr>
              <w:pStyle w:val="TableText0"/>
              <w:rPr>
                <w:highlight w:val="yellow"/>
              </w:rPr>
            </w:pPr>
            <w:r w:rsidRPr="0067437A">
              <w:t>MBS item 36</w:t>
            </w:r>
          </w:p>
        </w:tc>
        <w:tc>
          <w:tcPr>
            <w:tcW w:w="2173" w:type="pct"/>
            <w:shd w:val="clear" w:color="auto" w:fill="auto"/>
            <w:vAlign w:val="center"/>
          </w:tcPr>
          <w:p w:rsidR="00F66DD2" w:rsidRPr="0067437A" w:rsidRDefault="00F66DD2" w:rsidP="00F66DD2">
            <w:pPr>
              <w:pStyle w:val="TableText0"/>
            </w:pPr>
            <w:r w:rsidRPr="0067437A">
              <w:t>Appropriate.</w:t>
            </w:r>
          </w:p>
        </w:tc>
      </w:tr>
      <w:tr w:rsidR="00A219A5" w:rsidRPr="0067437A" w:rsidTr="00F66DD2">
        <w:tc>
          <w:tcPr>
            <w:tcW w:w="950" w:type="pct"/>
            <w:shd w:val="clear" w:color="auto" w:fill="auto"/>
            <w:vAlign w:val="center"/>
          </w:tcPr>
          <w:p w:rsidR="00A219A5" w:rsidRPr="0067437A" w:rsidRDefault="009661DB" w:rsidP="00F66DD2">
            <w:pPr>
              <w:pStyle w:val="TableText0"/>
            </w:pPr>
            <w:r w:rsidRPr="0067437A">
              <w:t>Effective AEMP</w:t>
            </w:r>
          </w:p>
        </w:tc>
        <w:tc>
          <w:tcPr>
            <w:tcW w:w="1877" w:type="pct"/>
            <w:shd w:val="clear" w:color="auto" w:fill="auto"/>
            <w:vAlign w:val="center"/>
          </w:tcPr>
          <w:p w:rsidR="009661DB" w:rsidRPr="0067437A" w:rsidRDefault="009661DB" w:rsidP="00F66DD2">
            <w:pPr>
              <w:pStyle w:val="TableText0"/>
            </w:pPr>
            <w:r w:rsidRPr="0067437A">
              <w:t>200 mcg initiation pack: $</w:t>
            </w:r>
            <w:r w:rsidR="00B24936">
              <w:rPr>
                <w:noProof/>
                <w:color w:val="000000"/>
                <w:highlight w:val="black"/>
              </w:rPr>
              <w:t>''''''''''''''''''''''</w:t>
            </w:r>
          </w:p>
          <w:p w:rsidR="009661DB" w:rsidRPr="0067437A" w:rsidRDefault="009661DB" w:rsidP="00F66DD2">
            <w:pPr>
              <w:pStyle w:val="TableText0"/>
            </w:pPr>
            <w:r w:rsidRPr="0067437A">
              <w:t>Maintenance packs: $</w:t>
            </w:r>
            <w:r w:rsidR="00B24936">
              <w:rPr>
                <w:noProof/>
                <w:color w:val="000000"/>
                <w:highlight w:val="black"/>
              </w:rPr>
              <w:t>'''''''''''''''''''''</w:t>
            </w:r>
          </w:p>
        </w:tc>
        <w:tc>
          <w:tcPr>
            <w:tcW w:w="2173" w:type="pct"/>
            <w:shd w:val="clear" w:color="auto" w:fill="auto"/>
            <w:vAlign w:val="center"/>
          </w:tcPr>
          <w:p w:rsidR="00A219A5" w:rsidRPr="0067437A" w:rsidRDefault="009661DB" w:rsidP="009661DB">
            <w:pPr>
              <w:pStyle w:val="TableText0"/>
            </w:pPr>
            <w:r w:rsidRPr="0067437A">
              <w:t>Pre-PBAC response: 200 mcg initiation pack and all maintenance packs reduced $</w:t>
            </w:r>
            <w:r w:rsidR="00B24936">
              <w:rPr>
                <w:noProof/>
                <w:color w:val="000000"/>
                <w:highlight w:val="black"/>
              </w:rPr>
              <w:t>''''''''''''''</w:t>
            </w:r>
            <w:r w:rsidRPr="0067437A">
              <w:t xml:space="preserve"> </w:t>
            </w:r>
          </w:p>
        </w:tc>
      </w:tr>
    </w:tbl>
    <w:p w:rsidR="00F66DD2" w:rsidRPr="0067437A" w:rsidRDefault="009661DB" w:rsidP="00F66DD2">
      <w:pPr>
        <w:pStyle w:val="TableFigureFooter"/>
      </w:pPr>
      <w:bookmarkStart w:id="29" w:name="_Hlk37336899"/>
      <w:r w:rsidRPr="0067437A">
        <w:t>AEMP = approved ex-manufacturer price</w:t>
      </w:r>
      <w:r w:rsidR="0061735E" w:rsidRPr="0067437A">
        <w:t xml:space="preserve">; DoH = Department of Health; </w:t>
      </w:r>
      <w:r w:rsidR="00F66DD2" w:rsidRPr="0067437A">
        <w:t xml:space="preserve">ERA = endothelin receptor antagonist; </w:t>
      </w:r>
      <w:r w:rsidR="0061735E" w:rsidRPr="0067437A">
        <w:t xml:space="preserve">ESC = Economic Sub-Committee; GP = general practitioner; MBS = Medicare Benefits Schedule; PAH = pulmonary arterial hypertension; PBAC = Pharmaceutical Benefits Advisory Committee; </w:t>
      </w:r>
      <w:r w:rsidR="00F66DD2" w:rsidRPr="0067437A">
        <w:t>PDE-5</w:t>
      </w:r>
      <w:r w:rsidR="009155BE">
        <w:t>i</w:t>
      </w:r>
      <w:r w:rsidR="00F66DD2" w:rsidRPr="0067437A">
        <w:t xml:space="preserve"> = phosphodiesterase type 5</w:t>
      </w:r>
      <w:r w:rsidR="009155BE">
        <w:t xml:space="preserve"> inhibitor</w:t>
      </w:r>
      <w:r w:rsidR="0061735E" w:rsidRPr="0067437A">
        <w:t>; PMR = post market review; PSD = Public Summary Document</w:t>
      </w:r>
      <w:r w:rsidR="00F66DD2" w:rsidRPr="0067437A">
        <w:t>.</w:t>
      </w:r>
    </w:p>
    <w:bookmarkEnd w:id="29"/>
    <w:p w:rsidR="00F66DD2" w:rsidRPr="0067437A" w:rsidRDefault="00F66DD2" w:rsidP="00F66DD2">
      <w:pPr>
        <w:pStyle w:val="TableFigureFooter"/>
      </w:pPr>
      <w:r w:rsidRPr="0067437A">
        <w:t>Source: constructed during the evaluation.</w:t>
      </w:r>
    </w:p>
    <w:p w:rsidR="00F66DD2" w:rsidRPr="0067437A" w:rsidRDefault="00F66DD2" w:rsidP="00F66DD2">
      <w:pPr>
        <w:pStyle w:val="TableFigureFooter"/>
      </w:pPr>
    </w:p>
    <w:p w:rsidR="005E5A3B" w:rsidRPr="0067437A" w:rsidRDefault="005E5A3B" w:rsidP="005E5A3B">
      <w:pPr>
        <w:pStyle w:val="3-BodyText"/>
        <w:ind w:left="709"/>
      </w:pPr>
      <w:r w:rsidRPr="0067437A">
        <w:rPr>
          <w:iCs/>
          <w:szCs w:val="22"/>
          <w:lang w:eastAsia="en-US"/>
        </w:rPr>
        <w:t xml:space="preserve">The ESC considered that the estimated net cost to PBS </w:t>
      </w:r>
      <w:r>
        <w:rPr>
          <w:iCs/>
          <w:szCs w:val="22"/>
          <w:lang w:eastAsia="en-US"/>
        </w:rPr>
        <w:t xml:space="preserve">as presented in the </w:t>
      </w:r>
      <w:r w:rsidR="009E065E">
        <w:rPr>
          <w:iCs/>
          <w:szCs w:val="22"/>
          <w:lang w:eastAsia="en-US"/>
        </w:rPr>
        <w:t>re</w:t>
      </w:r>
      <w:r>
        <w:rPr>
          <w:iCs/>
          <w:szCs w:val="22"/>
          <w:lang w:eastAsia="en-US"/>
        </w:rPr>
        <w:t xml:space="preserve">submission </w:t>
      </w:r>
      <w:r w:rsidRPr="0067437A">
        <w:rPr>
          <w:iCs/>
          <w:szCs w:val="22"/>
          <w:lang w:eastAsia="en-US"/>
        </w:rPr>
        <w:t>was likely underestimated due to:</w:t>
      </w:r>
    </w:p>
    <w:p w:rsidR="005E5A3B" w:rsidRPr="0067437A" w:rsidRDefault="005E5A3B" w:rsidP="005E5A3B">
      <w:pPr>
        <w:pStyle w:val="3-BodyText"/>
        <w:numPr>
          <w:ilvl w:val="0"/>
          <w:numId w:val="20"/>
        </w:numPr>
        <w:ind w:left="1077" w:hanging="357"/>
      </w:pPr>
      <w:r w:rsidRPr="0067437A">
        <w:rPr>
          <w:lang w:eastAsia="en-US"/>
        </w:rPr>
        <w:t>potential changes in the estimated market share of PAH drugs as a result of forthcoming PBS listing of PAH therapies in dual therapy and the expansion of listing in monotherapy to WHO FC II patients; and</w:t>
      </w:r>
    </w:p>
    <w:p w:rsidR="005E5A3B" w:rsidRDefault="005E5A3B" w:rsidP="005E5A3B">
      <w:pPr>
        <w:pStyle w:val="3-BodyText"/>
        <w:numPr>
          <w:ilvl w:val="0"/>
          <w:numId w:val="20"/>
        </w:numPr>
        <w:ind w:left="1077" w:hanging="357"/>
        <w:rPr>
          <w:lang w:eastAsia="en-US"/>
        </w:rPr>
      </w:pPr>
      <w:r w:rsidRPr="0067437A">
        <w:rPr>
          <w:lang w:eastAsia="en-US"/>
        </w:rPr>
        <w:t xml:space="preserve">the assumption of a decline in the growth </w:t>
      </w:r>
      <w:r w:rsidR="009155BE">
        <w:rPr>
          <w:lang w:eastAsia="en-US"/>
        </w:rPr>
        <w:t>rate of the total ERA and PDE-5</w:t>
      </w:r>
      <w:r w:rsidRPr="0067437A">
        <w:rPr>
          <w:lang w:eastAsia="en-US"/>
        </w:rPr>
        <w:t xml:space="preserve">i market over time. </w:t>
      </w:r>
      <w:r w:rsidR="00402A5F">
        <w:rPr>
          <w:lang w:eastAsia="en-US"/>
        </w:rPr>
        <w:t>The PBAC noted that r</w:t>
      </w:r>
      <w:r w:rsidRPr="0067437A">
        <w:rPr>
          <w:lang w:eastAsia="en-US"/>
        </w:rPr>
        <w:t>ecent PBS utilisation data suggest utilisation is likely to increase.</w:t>
      </w:r>
    </w:p>
    <w:p w:rsidR="00F66DD2" w:rsidRPr="0067437A" w:rsidRDefault="00F66DD2" w:rsidP="00BD57C6">
      <w:pPr>
        <w:numPr>
          <w:ilvl w:val="1"/>
          <w:numId w:val="1"/>
        </w:numPr>
        <w:spacing w:after="160"/>
        <w:ind w:left="709"/>
        <w:rPr>
          <w:rFonts w:asciiTheme="minorHAnsi" w:hAnsiTheme="minorHAnsi"/>
          <w:snapToGrid w:val="0"/>
        </w:rPr>
      </w:pPr>
      <w:r w:rsidRPr="0067437A">
        <w:rPr>
          <w:rFonts w:asciiTheme="minorHAnsi" w:hAnsiTheme="minorHAnsi"/>
          <w:snapToGrid w:val="0"/>
        </w:rPr>
        <w:lastRenderedPageBreak/>
        <w:t>Table 1</w:t>
      </w:r>
      <w:r w:rsidR="0007076D">
        <w:rPr>
          <w:rFonts w:asciiTheme="minorHAnsi" w:hAnsiTheme="minorHAnsi"/>
          <w:snapToGrid w:val="0"/>
        </w:rPr>
        <w:t>6</w:t>
      </w:r>
      <w:r w:rsidRPr="0067437A">
        <w:rPr>
          <w:rFonts w:asciiTheme="minorHAnsi" w:hAnsiTheme="minorHAnsi"/>
          <w:snapToGrid w:val="0"/>
        </w:rPr>
        <w:t xml:space="preserve"> presents the </w:t>
      </w:r>
      <w:r w:rsidR="005E5A3B">
        <w:rPr>
          <w:rFonts w:asciiTheme="minorHAnsi" w:hAnsiTheme="minorHAnsi"/>
          <w:snapToGrid w:val="0"/>
        </w:rPr>
        <w:t xml:space="preserve">revised </w:t>
      </w:r>
      <w:r w:rsidRPr="0067437A">
        <w:rPr>
          <w:rFonts w:asciiTheme="minorHAnsi" w:hAnsiTheme="minorHAnsi"/>
          <w:snapToGrid w:val="0"/>
        </w:rPr>
        <w:t>estimated use and financial implications of listing selexipag on the PBS</w:t>
      </w:r>
      <w:r w:rsidR="005E5A3B">
        <w:rPr>
          <w:rFonts w:asciiTheme="minorHAnsi" w:hAnsiTheme="minorHAnsi"/>
          <w:snapToGrid w:val="0"/>
        </w:rPr>
        <w:t xml:space="preserve"> as presented in the pre</w:t>
      </w:r>
      <w:r w:rsidR="008C07B9">
        <w:rPr>
          <w:rFonts w:asciiTheme="minorHAnsi" w:hAnsiTheme="minorHAnsi"/>
          <w:snapToGrid w:val="0"/>
        </w:rPr>
        <w:t>-</w:t>
      </w:r>
      <w:r w:rsidR="005E5A3B">
        <w:rPr>
          <w:rFonts w:asciiTheme="minorHAnsi" w:hAnsiTheme="minorHAnsi"/>
          <w:snapToGrid w:val="0"/>
        </w:rPr>
        <w:t>PBAC</w:t>
      </w:r>
      <w:r w:rsidRPr="0067437A">
        <w:rPr>
          <w:rFonts w:asciiTheme="minorHAnsi" w:hAnsiTheme="minorHAnsi"/>
          <w:snapToGrid w:val="0"/>
        </w:rPr>
        <w:t>.</w:t>
      </w:r>
      <w:r w:rsidR="008C07B9">
        <w:rPr>
          <w:rFonts w:asciiTheme="minorHAnsi" w:hAnsiTheme="minorHAnsi"/>
          <w:snapToGrid w:val="0"/>
        </w:rPr>
        <w:t xml:space="preserve"> As noted in Table 1</w:t>
      </w:r>
      <w:r w:rsidR="00C40A52">
        <w:rPr>
          <w:rFonts w:asciiTheme="minorHAnsi" w:hAnsiTheme="minorHAnsi"/>
          <w:snapToGrid w:val="0"/>
        </w:rPr>
        <w:t>5</w:t>
      </w:r>
      <w:r w:rsidR="008C07B9">
        <w:rPr>
          <w:rFonts w:asciiTheme="minorHAnsi" w:hAnsiTheme="minorHAnsi"/>
          <w:snapToGrid w:val="0"/>
        </w:rPr>
        <w:t xml:space="preserve">, these estimates include </w:t>
      </w:r>
      <w:r w:rsidR="008C07B9">
        <w:rPr>
          <w:szCs w:val="22"/>
        </w:rPr>
        <w:t xml:space="preserve">an increased uptake of selexipag (increasing from </w:t>
      </w:r>
      <w:r w:rsidR="0088011C">
        <w:rPr>
          <w:noProof/>
          <w:color w:val="000000"/>
          <w:szCs w:val="22"/>
          <w:highlight w:val="black"/>
        </w:rPr>
        <w:t>'''''</w:t>
      </w:r>
      <w:r w:rsidR="008C07B9">
        <w:rPr>
          <w:szCs w:val="22"/>
        </w:rPr>
        <w:t xml:space="preserve">% to </w:t>
      </w:r>
      <w:r w:rsidR="0088011C">
        <w:rPr>
          <w:noProof/>
          <w:color w:val="000000"/>
          <w:szCs w:val="22"/>
          <w:highlight w:val="black"/>
        </w:rPr>
        <w:t>'''''</w:t>
      </w:r>
      <w:r w:rsidR="008C07B9">
        <w:rPr>
          <w:szCs w:val="22"/>
        </w:rPr>
        <w:t xml:space="preserve">% over 5 years; changed from </w:t>
      </w:r>
      <w:r w:rsidR="0088011C">
        <w:rPr>
          <w:noProof/>
          <w:color w:val="000000"/>
          <w:szCs w:val="22"/>
          <w:highlight w:val="black"/>
        </w:rPr>
        <w:t>'''''</w:t>
      </w:r>
      <w:r w:rsidR="008C07B9">
        <w:rPr>
          <w:szCs w:val="22"/>
        </w:rPr>
        <w:t xml:space="preserve">% to </w:t>
      </w:r>
      <w:r w:rsidR="0088011C">
        <w:rPr>
          <w:noProof/>
          <w:color w:val="000000"/>
          <w:szCs w:val="22"/>
          <w:highlight w:val="black"/>
        </w:rPr>
        <w:t>''''''</w:t>
      </w:r>
      <w:r w:rsidR="008C07B9">
        <w:rPr>
          <w:szCs w:val="22"/>
        </w:rPr>
        <w:t>% in the resubmission</w:t>
      </w:r>
      <w:r w:rsidR="00CA7CF4">
        <w:rPr>
          <w:szCs w:val="22"/>
        </w:rPr>
        <w:t xml:space="preserve">; the uptake in year 6 was unchanged at </w:t>
      </w:r>
      <w:r w:rsidR="0088011C">
        <w:rPr>
          <w:noProof/>
          <w:color w:val="000000"/>
          <w:szCs w:val="22"/>
          <w:highlight w:val="black"/>
        </w:rPr>
        <w:t>'''''</w:t>
      </w:r>
      <w:r w:rsidR="00CA7CF4">
        <w:rPr>
          <w:szCs w:val="22"/>
        </w:rPr>
        <w:t>%</w:t>
      </w:r>
      <w:r w:rsidR="008C07B9">
        <w:rPr>
          <w:szCs w:val="22"/>
        </w:rPr>
        <w:t>) but the growth rate is the same as presented in the resubmission.</w:t>
      </w:r>
    </w:p>
    <w:p w:rsidR="00F66DD2" w:rsidRPr="0067437A" w:rsidRDefault="00F66DD2" w:rsidP="00F66DD2">
      <w:pPr>
        <w:pStyle w:val="TableFigureHeading"/>
      </w:pPr>
      <w:r w:rsidRPr="0067437A">
        <w:rPr>
          <w:rStyle w:val="CommentReference"/>
          <w:b/>
          <w:szCs w:val="24"/>
        </w:rPr>
        <w:t>Table 1</w:t>
      </w:r>
      <w:r w:rsidR="0007076D">
        <w:rPr>
          <w:rStyle w:val="CommentReference"/>
          <w:b/>
          <w:szCs w:val="24"/>
        </w:rPr>
        <w:t>6</w:t>
      </w:r>
      <w:r w:rsidRPr="0067437A">
        <w:rPr>
          <w:rStyle w:val="CommentReference"/>
          <w:b/>
          <w:szCs w:val="24"/>
        </w:rPr>
        <w:t>: Estimated use and financial implications</w:t>
      </w:r>
      <w:r w:rsidR="00A219A5" w:rsidRPr="0067437A">
        <w:rPr>
          <w:rStyle w:val="CommentReference"/>
          <w:b/>
          <w:szCs w:val="24"/>
        </w:rPr>
        <w:t xml:space="preserve"> (</w:t>
      </w:r>
      <w:r w:rsidR="0061735E" w:rsidRPr="0067437A">
        <w:rPr>
          <w:rStyle w:val="CommentReference"/>
          <w:b/>
          <w:szCs w:val="24"/>
        </w:rPr>
        <w:t>incorporating p</w:t>
      </w:r>
      <w:r w:rsidR="00A219A5" w:rsidRPr="0067437A">
        <w:rPr>
          <w:rStyle w:val="CommentReference"/>
          <w:b/>
          <w:szCs w:val="24"/>
        </w:rPr>
        <w:t xml:space="preserve">re-PBAC </w:t>
      </w:r>
      <w:r w:rsidR="0061735E" w:rsidRPr="0067437A">
        <w:rPr>
          <w:rStyle w:val="CommentReference"/>
          <w:b/>
          <w:szCs w:val="24"/>
        </w:rPr>
        <w:t>r</w:t>
      </w:r>
      <w:r w:rsidR="00A219A5" w:rsidRPr="0067437A">
        <w:rPr>
          <w:rStyle w:val="CommentReference"/>
          <w:b/>
          <w:szCs w:val="24"/>
        </w:rPr>
        <w:t>esponse</w:t>
      </w:r>
      <w:r w:rsidR="0061735E" w:rsidRPr="0067437A">
        <w:rPr>
          <w:rStyle w:val="CommentReference"/>
          <w:b/>
          <w:szCs w:val="24"/>
        </w:rPr>
        <w:t xml:space="preserve"> price of selexipag of $</w:t>
      </w:r>
      <w:r w:rsidR="00B24936">
        <w:rPr>
          <w:rStyle w:val="CommentReference"/>
          <w:b/>
          <w:noProof/>
          <w:color w:val="000000"/>
          <w:szCs w:val="24"/>
          <w:highlight w:val="black"/>
        </w:rPr>
        <w:t>''''''''''</w:t>
      </w:r>
      <w:r w:rsidR="0061735E" w:rsidRPr="0067437A">
        <w:rPr>
          <w:rStyle w:val="CommentReference"/>
          <w:b/>
          <w:szCs w:val="24"/>
        </w:rPr>
        <w:t xml:space="preserve"> per pack and updated uptake rates</w:t>
      </w:r>
      <w:r w:rsidR="00A219A5" w:rsidRPr="0067437A">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5"/>
        <w:gridCol w:w="1276"/>
        <w:gridCol w:w="1134"/>
        <w:gridCol w:w="1134"/>
        <w:gridCol w:w="1134"/>
        <w:gridCol w:w="1134"/>
        <w:gridCol w:w="1080"/>
      </w:tblGrid>
      <w:tr w:rsidR="00F66DD2" w:rsidRPr="0067437A" w:rsidTr="0061735E">
        <w:trPr>
          <w:tblHeader/>
        </w:trPr>
        <w:tc>
          <w:tcPr>
            <w:tcW w:w="1178" w:type="pct"/>
            <w:shd w:val="clear" w:color="auto" w:fill="auto"/>
            <w:vAlign w:val="center"/>
          </w:tcPr>
          <w:p w:rsidR="00F66DD2" w:rsidRPr="0067437A" w:rsidRDefault="00F66DD2" w:rsidP="00F66DD2">
            <w:pPr>
              <w:pStyle w:val="In-tableHeading"/>
              <w:jc w:val="center"/>
              <w:rPr>
                <w:szCs w:val="20"/>
                <w:lang w:val="en-AU"/>
              </w:rPr>
            </w:pPr>
          </w:p>
        </w:tc>
        <w:tc>
          <w:tcPr>
            <w:tcW w:w="707" w:type="pct"/>
            <w:shd w:val="clear" w:color="auto" w:fill="auto"/>
            <w:vAlign w:val="center"/>
          </w:tcPr>
          <w:p w:rsidR="00F66DD2" w:rsidRPr="0067437A" w:rsidRDefault="00F66DD2" w:rsidP="00F66DD2">
            <w:pPr>
              <w:pStyle w:val="In-tableHeading"/>
              <w:jc w:val="center"/>
              <w:rPr>
                <w:szCs w:val="20"/>
                <w:lang w:val="en-AU"/>
              </w:rPr>
            </w:pPr>
            <w:r w:rsidRPr="0067437A">
              <w:rPr>
                <w:szCs w:val="20"/>
                <w:lang w:val="en-AU"/>
              </w:rPr>
              <w:t>Year 1</w:t>
            </w:r>
          </w:p>
        </w:tc>
        <w:tc>
          <w:tcPr>
            <w:tcW w:w="629" w:type="pct"/>
            <w:shd w:val="clear" w:color="auto" w:fill="auto"/>
            <w:vAlign w:val="center"/>
          </w:tcPr>
          <w:p w:rsidR="00F66DD2" w:rsidRPr="0067437A" w:rsidRDefault="00F66DD2" w:rsidP="00F66DD2">
            <w:pPr>
              <w:pStyle w:val="In-tableHeading"/>
              <w:jc w:val="center"/>
              <w:rPr>
                <w:szCs w:val="20"/>
                <w:lang w:val="en-AU"/>
              </w:rPr>
            </w:pPr>
            <w:r w:rsidRPr="0067437A">
              <w:rPr>
                <w:szCs w:val="20"/>
                <w:lang w:val="en-AU"/>
              </w:rPr>
              <w:t>Year 2</w:t>
            </w:r>
          </w:p>
        </w:tc>
        <w:tc>
          <w:tcPr>
            <w:tcW w:w="629" w:type="pct"/>
            <w:shd w:val="clear" w:color="auto" w:fill="auto"/>
            <w:vAlign w:val="center"/>
          </w:tcPr>
          <w:p w:rsidR="00F66DD2" w:rsidRPr="0067437A" w:rsidRDefault="00F66DD2" w:rsidP="00F66DD2">
            <w:pPr>
              <w:pStyle w:val="In-tableHeading"/>
              <w:jc w:val="center"/>
              <w:rPr>
                <w:szCs w:val="20"/>
                <w:lang w:val="en-AU"/>
              </w:rPr>
            </w:pPr>
            <w:r w:rsidRPr="0067437A">
              <w:rPr>
                <w:szCs w:val="20"/>
                <w:lang w:val="en-AU"/>
              </w:rPr>
              <w:t>Year 3</w:t>
            </w:r>
          </w:p>
        </w:tc>
        <w:tc>
          <w:tcPr>
            <w:tcW w:w="629" w:type="pct"/>
            <w:shd w:val="clear" w:color="auto" w:fill="auto"/>
            <w:vAlign w:val="center"/>
          </w:tcPr>
          <w:p w:rsidR="00F66DD2" w:rsidRPr="0067437A" w:rsidRDefault="00F66DD2" w:rsidP="00F66DD2">
            <w:pPr>
              <w:pStyle w:val="In-tableHeading"/>
              <w:jc w:val="center"/>
              <w:rPr>
                <w:szCs w:val="20"/>
                <w:lang w:val="en-AU"/>
              </w:rPr>
            </w:pPr>
            <w:r w:rsidRPr="0067437A">
              <w:rPr>
                <w:szCs w:val="20"/>
                <w:lang w:val="en-AU"/>
              </w:rPr>
              <w:t>Year 4</w:t>
            </w:r>
          </w:p>
        </w:tc>
        <w:tc>
          <w:tcPr>
            <w:tcW w:w="629" w:type="pct"/>
            <w:shd w:val="clear" w:color="auto" w:fill="auto"/>
            <w:vAlign w:val="center"/>
          </w:tcPr>
          <w:p w:rsidR="00F66DD2" w:rsidRPr="0067437A" w:rsidRDefault="00F66DD2" w:rsidP="00F66DD2">
            <w:pPr>
              <w:pStyle w:val="In-tableHeading"/>
              <w:jc w:val="center"/>
              <w:rPr>
                <w:szCs w:val="20"/>
                <w:lang w:val="en-AU"/>
              </w:rPr>
            </w:pPr>
            <w:r w:rsidRPr="0067437A">
              <w:rPr>
                <w:szCs w:val="20"/>
                <w:lang w:val="en-AU"/>
              </w:rPr>
              <w:t>Year 5</w:t>
            </w:r>
          </w:p>
        </w:tc>
        <w:tc>
          <w:tcPr>
            <w:tcW w:w="600" w:type="pct"/>
          </w:tcPr>
          <w:p w:rsidR="00F66DD2" w:rsidRPr="0067437A" w:rsidRDefault="00F66DD2" w:rsidP="00F66DD2">
            <w:pPr>
              <w:pStyle w:val="In-tableHeading"/>
              <w:jc w:val="center"/>
              <w:rPr>
                <w:szCs w:val="20"/>
                <w:lang w:val="en-AU"/>
              </w:rPr>
            </w:pPr>
            <w:r w:rsidRPr="0067437A">
              <w:rPr>
                <w:szCs w:val="20"/>
                <w:lang w:val="en-AU"/>
              </w:rPr>
              <w:t>Year 6</w:t>
            </w:r>
          </w:p>
        </w:tc>
      </w:tr>
      <w:tr w:rsidR="00F66DD2" w:rsidRPr="0067437A" w:rsidTr="00F66DD2">
        <w:tc>
          <w:tcPr>
            <w:tcW w:w="5000" w:type="pct"/>
            <w:gridSpan w:val="7"/>
            <w:shd w:val="clear" w:color="auto" w:fill="auto"/>
            <w:vAlign w:val="center"/>
          </w:tcPr>
          <w:p w:rsidR="00F66DD2" w:rsidRPr="0067437A" w:rsidRDefault="00F66DD2" w:rsidP="00F66DD2">
            <w:pPr>
              <w:pStyle w:val="In-tableHeading"/>
              <w:rPr>
                <w:bCs/>
                <w:color w:val="000000"/>
                <w:szCs w:val="20"/>
                <w:lang w:val="en-AU"/>
              </w:rPr>
            </w:pPr>
            <w:r w:rsidRPr="0067437A">
              <w:rPr>
                <w:bCs/>
                <w:color w:val="000000"/>
                <w:szCs w:val="20"/>
                <w:lang w:val="en-AU"/>
              </w:rPr>
              <w:t>Estimated extent of use</w:t>
            </w:r>
          </w:p>
        </w:tc>
      </w:tr>
      <w:tr w:rsidR="00A219A5" w:rsidRPr="0067437A" w:rsidTr="0061735E">
        <w:tc>
          <w:tcPr>
            <w:tcW w:w="1178" w:type="pct"/>
            <w:shd w:val="clear" w:color="auto" w:fill="auto"/>
            <w:vAlign w:val="center"/>
          </w:tcPr>
          <w:p w:rsidR="00A219A5" w:rsidRPr="0067437A" w:rsidRDefault="00A219A5" w:rsidP="00A219A5">
            <w:pPr>
              <w:pStyle w:val="TableText0"/>
              <w:rPr>
                <w:rFonts w:ascii="Times" w:hAnsi="Times"/>
                <w:szCs w:val="20"/>
              </w:rPr>
            </w:pPr>
            <w:r w:rsidRPr="0067437A">
              <w:rPr>
                <w:szCs w:val="20"/>
              </w:rPr>
              <w:t>Number of scripts dispensed</w:t>
            </w:r>
            <w:r w:rsidRPr="0067437A">
              <w:rPr>
                <w:szCs w:val="20"/>
                <w:vertAlign w:val="superscript"/>
              </w:rPr>
              <w:t>a</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B24936" w:rsidRDefault="00B24936" w:rsidP="00A219A5">
            <w:pPr>
              <w:pStyle w:val="TableText0"/>
              <w:jc w:val="center"/>
              <w:rPr>
                <w:color w:val="000000"/>
                <w:szCs w:val="20"/>
                <w:highlight w:val="black"/>
              </w:rPr>
            </w:pPr>
            <w:r>
              <w:rPr>
                <w:rFonts w:cs="Arial"/>
                <w:noProof/>
                <w:color w:val="000000"/>
                <w:szCs w:val="2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A219A5" w:rsidRPr="00B24936" w:rsidRDefault="00B24936" w:rsidP="00A219A5">
            <w:pPr>
              <w:pStyle w:val="TableText0"/>
              <w:jc w:val="center"/>
              <w:rPr>
                <w:color w:val="000000"/>
                <w:szCs w:val="20"/>
                <w:highlight w:val="black"/>
              </w:rPr>
            </w:pPr>
            <w:r>
              <w:rPr>
                <w:rFonts w:cs="Arial"/>
                <w:noProof/>
                <w:color w:val="000000"/>
                <w:szCs w:val="2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A219A5" w:rsidRPr="00B24936" w:rsidRDefault="00B24936" w:rsidP="00A219A5">
            <w:pPr>
              <w:pStyle w:val="TableText0"/>
              <w:jc w:val="center"/>
              <w:rPr>
                <w:color w:val="000000"/>
                <w:szCs w:val="20"/>
                <w:highlight w:val="black"/>
              </w:rPr>
            </w:pPr>
            <w:r>
              <w:rPr>
                <w:rFonts w:cs="Arial"/>
                <w:noProof/>
                <w:color w:val="000000"/>
                <w:szCs w:val="2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A219A5" w:rsidRPr="00B24936" w:rsidRDefault="00B24936" w:rsidP="00A219A5">
            <w:pPr>
              <w:pStyle w:val="TableText0"/>
              <w:jc w:val="center"/>
              <w:rPr>
                <w:color w:val="000000"/>
                <w:szCs w:val="20"/>
                <w:highlight w:val="black"/>
              </w:rPr>
            </w:pPr>
            <w:r>
              <w:rPr>
                <w:rFonts w:cs="Arial"/>
                <w:noProof/>
                <w:color w:val="000000"/>
                <w:szCs w:val="2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A219A5" w:rsidRPr="00B24936" w:rsidRDefault="00B24936" w:rsidP="00A219A5">
            <w:pPr>
              <w:pStyle w:val="TableText0"/>
              <w:jc w:val="center"/>
              <w:rPr>
                <w:color w:val="000000"/>
                <w:szCs w:val="20"/>
                <w:highlight w:val="black"/>
              </w:rPr>
            </w:pPr>
            <w:r>
              <w:rPr>
                <w:rFonts w:cs="Arial"/>
                <w:noProof/>
                <w:color w:val="000000"/>
                <w:szCs w:val="20"/>
                <w:highlight w:val="black"/>
              </w:rPr>
              <w:t>''''''''''''''''</w:t>
            </w:r>
          </w:p>
        </w:tc>
        <w:tc>
          <w:tcPr>
            <w:tcW w:w="600" w:type="pct"/>
            <w:tcBorders>
              <w:top w:val="single" w:sz="4" w:space="0" w:color="auto"/>
              <w:left w:val="nil"/>
              <w:bottom w:val="single" w:sz="4" w:space="0" w:color="auto"/>
              <w:right w:val="single" w:sz="4" w:space="0" w:color="auto"/>
            </w:tcBorders>
            <w:shd w:val="clear" w:color="auto" w:fill="auto"/>
            <w:vAlign w:val="center"/>
          </w:tcPr>
          <w:p w:rsidR="00A219A5" w:rsidRPr="00B24936" w:rsidRDefault="00B24936" w:rsidP="00A219A5">
            <w:pPr>
              <w:pStyle w:val="TableText0"/>
              <w:jc w:val="center"/>
              <w:rPr>
                <w:color w:val="000000"/>
                <w:szCs w:val="20"/>
                <w:highlight w:val="black"/>
              </w:rPr>
            </w:pPr>
            <w:r>
              <w:rPr>
                <w:rFonts w:cs="Arial"/>
                <w:noProof/>
                <w:color w:val="000000"/>
                <w:szCs w:val="20"/>
                <w:highlight w:val="black"/>
              </w:rPr>
              <w:t>'''''''''''''''</w:t>
            </w:r>
          </w:p>
        </w:tc>
      </w:tr>
      <w:tr w:rsidR="00F66DD2" w:rsidRPr="0067437A" w:rsidTr="00F66DD2">
        <w:tc>
          <w:tcPr>
            <w:tcW w:w="5000" w:type="pct"/>
            <w:gridSpan w:val="7"/>
            <w:shd w:val="clear" w:color="auto" w:fill="auto"/>
            <w:vAlign w:val="center"/>
          </w:tcPr>
          <w:p w:rsidR="00F66DD2" w:rsidRPr="0067437A" w:rsidRDefault="00F66DD2" w:rsidP="00F66DD2">
            <w:pPr>
              <w:pStyle w:val="In-tableHeading"/>
              <w:rPr>
                <w:szCs w:val="20"/>
                <w:lang w:val="en-AU"/>
              </w:rPr>
            </w:pPr>
            <w:r w:rsidRPr="0067437A">
              <w:rPr>
                <w:szCs w:val="20"/>
                <w:lang w:val="en-AU"/>
              </w:rPr>
              <w:t>Estimated financial implications of selexipag</w:t>
            </w:r>
          </w:p>
        </w:tc>
      </w:tr>
      <w:tr w:rsidR="00A219A5" w:rsidRPr="0067437A" w:rsidTr="0061735E">
        <w:tc>
          <w:tcPr>
            <w:tcW w:w="1178" w:type="pct"/>
            <w:shd w:val="clear" w:color="auto" w:fill="auto"/>
            <w:vAlign w:val="center"/>
          </w:tcPr>
          <w:p w:rsidR="00A219A5" w:rsidRPr="0067437A" w:rsidRDefault="00A219A5" w:rsidP="00A219A5">
            <w:pPr>
              <w:pStyle w:val="TableText0"/>
              <w:rPr>
                <w:szCs w:val="20"/>
              </w:rPr>
            </w:pPr>
            <w:r w:rsidRPr="0067437A">
              <w:rPr>
                <w:szCs w:val="20"/>
              </w:rPr>
              <w:t>Cost to PBS/RPBS less copayments</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29" w:type="pct"/>
            <w:tcBorders>
              <w:top w:val="single" w:sz="4" w:space="0" w:color="auto"/>
              <w:left w:val="nil"/>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00" w:type="pct"/>
            <w:tcBorders>
              <w:top w:val="single" w:sz="4" w:space="0" w:color="auto"/>
              <w:left w:val="nil"/>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r>
      <w:tr w:rsidR="00F66DD2" w:rsidRPr="0067437A" w:rsidTr="00F66DD2">
        <w:tc>
          <w:tcPr>
            <w:tcW w:w="5000" w:type="pct"/>
            <w:gridSpan w:val="7"/>
            <w:shd w:val="clear" w:color="auto" w:fill="auto"/>
            <w:vAlign w:val="center"/>
          </w:tcPr>
          <w:p w:rsidR="00F66DD2" w:rsidRPr="0067437A" w:rsidRDefault="00F66DD2" w:rsidP="00F66DD2">
            <w:pPr>
              <w:pStyle w:val="TableText0"/>
              <w:rPr>
                <w:b/>
                <w:szCs w:val="20"/>
              </w:rPr>
            </w:pPr>
            <w:r w:rsidRPr="0067437A">
              <w:rPr>
                <w:b/>
                <w:szCs w:val="20"/>
              </w:rPr>
              <w:t>Estimated financial implications for other medicines</w:t>
            </w:r>
          </w:p>
        </w:tc>
      </w:tr>
      <w:tr w:rsidR="00F66DD2" w:rsidRPr="0067437A" w:rsidTr="0061735E">
        <w:tc>
          <w:tcPr>
            <w:tcW w:w="1178" w:type="pct"/>
            <w:shd w:val="clear" w:color="auto" w:fill="auto"/>
            <w:vAlign w:val="center"/>
          </w:tcPr>
          <w:p w:rsidR="00F66DD2" w:rsidRPr="0067437A" w:rsidRDefault="00F66DD2" w:rsidP="00F66DD2">
            <w:pPr>
              <w:pStyle w:val="TableText0"/>
              <w:rPr>
                <w:szCs w:val="20"/>
              </w:rPr>
            </w:pPr>
            <w:r w:rsidRPr="0067437A">
              <w:rPr>
                <w:szCs w:val="20"/>
              </w:rPr>
              <w:t>Cost to PBS/RPBS less copayments</w:t>
            </w:r>
          </w:p>
        </w:tc>
        <w:tc>
          <w:tcPr>
            <w:tcW w:w="707" w:type="pct"/>
            <w:shd w:val="clear" w:color="auto" w:fill="auto"/>
            <w:vAlign w:val="center"/>
          </w:tcPr>
          <w:p w:rsidR="00F66DD2" w:rsidRPr="0067437A" w:rsidRDefault="00F66DD2" w:rsidP="00F66DD2">
            <w:pPr>
              <w:pStyle w:val="TableText0"/>
              <w:jc w:val="center"/>
              <w:rPr>
                <w:szCs w:val="20"/>
              </w:rPr>
            </w:pPr>
            <w:r w:rsidRPr="0067437A">
              <w:rPr>
                <w:szCs w:val="20"/>
              </w:rPr>
              <w:t>-</w:t>
            </w:r>
          </w:p>
        </w:tc>
        <w:tc>
          <w:tcPr>
            <w:tcW w:w="629" w:type="pct"/>
            <w:shd w:val="clear" w:color="auto" w:fill="auto"/>
            <w:vAlign w:val="center"/>
          </w:tcPr>
          <w:p w:rsidR="00F66DD2" w:rsidRPr="0067437A" w:rsidRDefault="00F66DD2" w:rsidP="00F66DD2">
            <w:pPr>
              <w:pStyle w:val="TableText0"/>
              <w:jc w:val="center"/>
              <w:rPr>
                <w:szCs w:val="20"/>
              </w:rPr>
            </w:pPr>
            <w:r w:rsidRPr="0067437A">
              <w:rPr>
                <w:szCs w:val="20"/>
              </w:rPr>
              <w:t>-</w:t>
            </w:r>
          </w:p>
        </w:tc>
        <w:tc>
          <w:tcPr>
            <w:tcW w:w="629" w:type="pct"/>
            <w:shd w:val="clear" w:color="auto" w:fill="auto"/>
            <w:vAlign w:val="center"/>
          </w:tcPr>
          <w:p w:rsidR="00F66DD2" w:rsidRPr="0067437A" w:rsidRDefault="00F66DD2" w:rsidP="00F66DD2">
            <w:pPr>
              <w:pStyle w:val="TableText0"/>
              <w:jc w:val="center"/>
              <w:rPr>
                <w:szCs w:val="20"/>
              </w:rPr>
            </w:pPr>
            <w:r w:rsidRPr="0067437A">
              <w:rPr>
                <w:szCs w:val="20"/>
              </w:rPr>
              <w:t>-</w:t>
            </w:r>
          </w:p>
        </w:tc>
        <w:tc>
          <w:tcPr>
            <w:tcW w:w="629" w:type="pct"/>
            <w:shd w:val="clear" w:color="auto" w:fill="auto"/>
            <w:vAlign w:val="center"/>
          </w:tcPr>
          <w:p w:rsidR="00F66DD2" w:rsidRPr="0067437A" w:rsidRDefault="00F66DD2" w:rsidP="00F66DD2">
            <w:pPr>
              <w:pStyle w:val="TableText0"/>
              <w:jc w:val="center"/>
              <w:rPr>
                <w:szCs w:val="20"/>
              </w:rPr>
            </w:pPr>
            <w:r w:rsidRPr="0067437A">
              <w:rPr>
                <w:szCs w:val="20"/>
              </w:rPr>
              <w:t>-</w:t>
            </w:r>
          </w:p>
        </w:tc>
        <w:tc>
          <w:tcPr>
            <w:tcW w:w="629" w:type="pct"/>
            <w:shd w:val="clear" w:color="auto" w:fill="auto"/>
            <w:vAlign w:val="center"/>
          </w:tcPr>
          <w:p w:rsidR="00F66DD2" w:rsidRPr="0067437A" w:rsidRDefault="00F66DD2" w:rsidP="00F66DD2">
            <w:pPr>
              <w:pStyle w:val="TableText0"/>
              <w:jc w:val="center"/>
              <w:rPr>
                <w:szCs w:val="20"/>
              </w:rPr>
            </w:pPr>
            <w:r w:rsidRPr="0067437A">
              <w:rPr>
                <w:szCs w:val="20"/>
              </w:rPr>
              <w:t>-</w:t>
            </w:r>
          </w:p>
        </w:tc>
        <w:tc>
          <w:tcPr>
            <w:tcW w:w="600" w:type="pct"/>
          </w:tcPr>
          <w:p w:rsidR="00F66DD2" w:rsidRPr="0067437A" w:rsidRDefault="00F66DD2" w:rsidP="00F66DD2">
            <w:pPr>
              <w:pStyle w:val="TableText0"/>
              <w:jc w:val="center"/>
              <w:rPr>
                <w:szCs w:val="20"/>
              </w:rPr>
            </w:pPr>
            <w:r w:rsidRPr="0067437A">
              <w:rPr>
                <w:szCs w:val="20"/>
              </w:rPr>
              <w:t>-</w:t>
            </w:r>
          </w:p>
        </w:tc>
      </w:tr>
      <w:tr w:rsidR="00F66DD2" w:rsidRPr="0067437A" w:rsidTr="00F66DD2">
        <w:tc>
          <w:tcPr>
            <w:tcW w:w="5000" w:type="pct"/>
            <w:gridSpan w:val="7"/>
            <w:shd w:val="clear" w:color="auto" w:fill="auto"/>
            <w:vAlign w:val="center"/>
          </w:tcPr>
          <w:p w:rsidR="00F66DD2" w:rsidRPr="0067437A" w:rsidRDefault="00F66DD2" w:rsidP="00F66DD2">
            <w:pPr>
              <w:pStyle w:val="In-tableHeading"/>
              <w:rPr>
                <w:szCs w:val="20"/>
                <w:lang w:val="en-AU"/>
              </w:rPr>
            </w:pPr>
            <w:r w:rsidRPr="0067437A">
              <w:rPr>
                <w:szCs w:val="20"/>
                <w:lang w:val="en-AU"/>
              </w:rPr>
              <w:t>Net financial implications</w:t>
            </w:r>
          </w:p>
        </w:tc>
      </w:tr>
      <w:tr w:rsidR="00A219A5" w:rsidRPr="0067437A" w:rsidTr="0061735E">
        <w:tc>
          <w:tcPr>
            <w:tcW w:w="1178" w:type="pct"/>
            <w:shd w:val="clear" w:color="auto" w:fill="auto"/>
            <w:vAlign w:val="center"/>
          </w:tcPr>
          <w:p w:rsidR="00A219A5" w:rsidRPr="0067437A" w:rsidRDefault="00A219A5" w:rsidP="00A219A5">
            <w:pPr>
              <w:pStyle w:val="TableText0"/>
              <w:rPr>
                <w:szCs w:val="20"/>
              </w:rPr>
            </w:pPr>
            <w:r w:rsidRPr="0067437A">
              <w:rPr>
                <w:szCs w:val="20"/>
              </w:rPr>
              <w:t>Net cost to PBS/RPBS</w:t>
            </w:r>
          </w:p>
        </w:tc>
        <w:tc>
          <w:tcPr>
            <w:tcW w:w="707" w:type="pct"/>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29" w:type="pct"/>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29" w:type="pct"/>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29" w:type="pct"/>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29" w:type="pct"/>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c>
          <w:tcPr>
            <w:tcW w:w="600" w:type="pct"/>
            <w:shd w:val="clear" w:color="auto" w:fill="auto"/>
            <w:vAlign w:val="center"/>
          </w:tcPr>
          <w:p w:rsidR="00A219A5" w:rsidRPr="0067437A" w:rsidRDefault="00A219A5" w:rsidP="00A219A5">
            <w:pPr>
              <w:pStyle w:val="TableText0"/>
              <w:jc w:val="center"/>
              <w:rPr>
                <w:szCs w:val="20"/>
              </w:rPr>
            </w:pPr>
            <w:r w:rsidRPr="0067437A">
              <w:t>$</w:t>
            </w:r>
            <w:r w:rsidR="00B24936">
              <w:rPr>
                <w:noProof/>
                <w:color w:val="000000"/>
                <w:highlight w:val="black"/>
              </w:rPr>
              <w:t>''''''''''''''''''''''''</w:t>
            </w:r>
          </w:p>
        </w:tc>
      </w:tr>
      <w:tr w:rsidR="00A219A5" w:rsidRPr="0067437A" w:rsidTr="0061735E">
        <w:tc>
          <w:tcPr>
            <w:tcW w:w="1178" w:type="pct"/>
            <w:shd w:val="clear" w:color="auto" w:fill="auto"/>
            <w:vAlign w:val="center"/>
          </w:tcPr>
          <w:p w:rsidR="00A219A5" w:rsidRPr="0067437A" w:rsidRDefault="00A219A5" w:rsidP="00A219A5">
            <w:pPr>
              <w:pStyle w:val="TableText0"/>
              <w:rPr>
                <w:rFonts w:ascii="Times" w:hAnsi="Times"/>
                <w:szCs w:val="20"/>
              </w:rPr>
            </w:pPr>
            <w:r w:rsidRPr="0067437A">
              <w:rPr>
                <w:szCs w:val="20"/>
              </w:rPr>
              <w:t>Net cost to MBS</w:t>
            </w:r>
          </w:p>
        </w:tc>
        <w:tc>
          <w:tcPr>
            <w:tcW w:w="707" w:type="pct"/>
            <w:shd w:val="clear" w:color="auto" w:fill="auto"/>
          </w:tcPr>
          <w:p w:rsidR="00A219A5" w:rsidRPr="0067437A" w:rsidRDefault="00A219A5" w:rsidP="00A219A5">
            <w:pPr>
              <w:pStyle w:val="TableText0"/>
              <w:jc w:val="center"/>
              <w:rPr>
                <w:szCs w:val="20"/>
              </w:rPr>
            </w:pPr>
            <w:r w:rsidRPr="0067437A">
              <w:t>$</w:t>
            </w:r>
            <w:r w:rsidR="00B24936">
              <w:rPr>
                <w:noProof/>
                <w:color w:val="000000"/>
                <w:highlight w:val="black"/>
              </w:rPr>
              <w:t xml:space="preserve">'''''''''''''''' </w:t>
            </w:r>
          </w:p>
        </w:tc>
        <w:tc>
          <w:tcPr>
            <w:tcW w:w="629" w:type="pct"/>
            <w:shd w:val="clear" w:color="auto" w:fill="auto"/>
          </w:tcPr>
          <w:p w:rsidR="00A219A5" w:rsidRPr="0067437A" w:rsidRDefault="00A219A5" w:rsidP="00A219A5">
            <w:pPr>
              <w:pStyle w:val="TableText0"/>
              <w:jc w:val="center"/>
              <w:rPr>
                <w:szCs w:val="20"/>
              </w:rPr>
            </w:pPr>
            <w:r w:rsidRPr="0067437A">
              <w:t>$</w:t>
            </w:r>
            <w:r w:rsidR="00B24936">
              <w:rPr>
                <w:noProof/>
                <w:color w:val="000000"/>
                <w:highlight w:val="black"/>
              </w:rPr>
              <w:t>'''''''''''''''</w:t>
            </w:r>
            <w:r w:rsidRPr="0067437A">
              <w:t xml:space="preserve"> </w:t>
            </w:r>
          </w:p>
        </w:tc>
        <w:tc>
          <w:tcPr>
            <w:tcW w:w="629" w:type="pct"/>
            <w:shd w:val="clear" w:color="auto" w:fill="auto"/>
          </w:tcPr>
          <w:p w:rsidR="00A219A5" w:rsidRPr="0067437A" w:rsidRDefault="00A219A5" w:rsidP="00A219A5">
            <w:pPr>
              <w:pStyle w:val="TableText0"/>
              <w:jc w:val="center"/>
              <w:rPr>
                <w:szCs w:val="20"/>
              </w:rPr>
            </w:pPr>
            <w:r w:rsidRPr="0067437A">
              <w:t>$</w:t>
            </w:r>
            <w:r w:rsidR="00B24936">
              <w:rPr>
                <w:noProof/>
                <w:color w:val="000000"/>
                <w:highlight w:val="black"/>
              </w:rPr>
              <w:t>'''''''''''''''''''</w:t>
            </w:r>
            <w:r w:rsidRPr="0067437A">
              <w:t xml:space="preserve"> </w:t>
            </w:r>
          </w:p>
        </w:tc>
        <w:tc>
          <w:tcPr>
            <w:tcW w:w="629" w:type="pct"/>
            <w:shd w:val="clear" w:color="auto" w:fill="auto"/>
          </w:tcPr>
          <w:p w:rsidR="00A219A5" w:rsidRPr="0067437A" w:rsidRDefault="00A219A5" w:rsidP="00A219A5">
            <w:pPr>
              <w:pStyle w:val="TableText0"/>
              <w:jc w:val="center"/>
              <w:rPr>
                <w:szCs w:val="20"/>
              </w:rPr>
            </w:pPr>
            <w:r w:rsidRPr="0067437A">
              <w:t>$</w:t>
            </w:r>
            <w:r w:rsidR="00B24936">
              <w:rPr>
                <w:noProof/>
                <w:color w:val="000000"/>
                <w:highlight w:val="black"/>
              </w:rPr>
              <w:t>''''''''''''''''''''</w:t>
            </w:r>
            <w:r w:rsidRPr="0067437A">
              <w:t xml:space="preserve"> </w:t>
            </w:r>
          </w:p>
        </w:tc>
        <w:tc>
          <w:tcPr>
            <w:tcW w:w="629" w:type="pct"/>
            <w:shd w:val="clear" w:color="auto" w:fill="auto"/>
          </w:tcPr>
          <w:p w:rsidR="00A219A5" w:rsidRPr="0067437A" w:rsidRDefault="00A219A5" w:rsidP="00A219A5">
            <w:pPr>
              <w:pStyle w:val="TableText0"/>
              <w:jc w:val="center"/>
              <w:rPr>
                <w:szCs w:val="20"/>
              </w:rPr>
            </w:pPr>
            <w:r w:rsidRPr="0067437A">
              <w:t>$</w:t>
            </w:r>
            <w:r w:rsidR="00B24936">
              <w:rPr>
                <w:noProof/>
                <w:color w:val="000000"/>
                <w:highlight w:val="black"/>
              </w:rPr>
              <w:t>''''''''''''''''''''</w:t>
            </w:r>
            <w:r w:rsidRPr="0067437A">
              <w:t xml:space="preserve"> </w:t>
            </w:r>
          </w:p>
        </w:tc>
        <w:tc>
          <w:tcPr>
            <w:tcW w:w="600" w:type="pct"/>
            <w:shd w:val="clear" w:color="auto" w:fill="auto"/>
          </w:tcPr>
          <w:p w:rsidR="00A219A5" w:rsidRPr="0067437A" w:rsidRDefault="00A219A5" w:rsidP="00A219A5">
            <w:pPr>
              <w:pStyle w:val="TableText0"/>
              <w:jc w:val="center"/>
              <w:rPr>
                <w:szCs w:val="20"/>
              </w:rPr>
            </w:pPr>
            <w:r w:rsidRPr="0067437A">
              <w:t>$</w:t>
            </w:r>
            <w:r w:rsidR="00B24936">
              <w:rPr>
                <w:noProof/>
                <w:color w:val="000000"/>
                <w:highlight w:val="black"/>
              </w:rPr>
              <w:t>''''''''''''''''''''''</w:t>
            </w:r>
            <w:r w:rsidRPr="0067437A">
              <w:t xml:space="preserve"> </w:t>
            </w:r>
          </w:p>
        </w:tc>
      </w:tr>
      <w:tr w:rsidR="00166C1D" w:rsidRPr="0067437A" w:rsidTr="0061735E">
        <w:tc>
          <w:tcPr>
            <w:tcW w:w="1178" w:type="pct"/>
            <w:shd w:val="clear" w:color="auto" w:fill="auto"/>
            <w:vAlign w:val="center"/>
          </w:tcPr>
          <w:p w:rsidR="00166C1D" w:rsidRPr="0067437A" w:rsidRDefault="00166C1D" w:rsidP="00166C1D">
            <w:pPr>
              <w:pStyle w:val="TableText0"/>
              <w:rPr>
                <w:szCs w:val="20"/>
              </w:rPr>
            </w:pPr>
            <w:r w:rsidRPr="0067437A">
              <w:rPr>
                <w:szCs w:val="20"/>
              </w:rPr>
              <w:t>Net cost to PBS/RPBS/MBS</w:t>
            </w:r>
          </w:p>
        </w:tc>
        <w:tc>
          <w:tcPr>
            <w:tcW w:w="707" w:type="pct"/>
            <w:shd w:val="clear" w:color="auto" w:fill="auto"/>
            <w:vAlign w:val="center"/>
          </w:tcPr>
          <w:p w:rsidR="00166C1D" w:rsidRPr="0067437A" w:rsidRDefault="00166C1D" w:rsidP="00CA7CF4">
            <w:pPr>
              <w:pStyle w:val="TableText0"/>
              <w:jc w:val="center"/>
              <w:rPr>
                <w:szCs w:val="20"/>
              </w:rPr>
            </w:pPr>
            <w:r w:rsidRPr="0067437A">
              <w:t>$</w:t>
            </w:r>
            <w:r w:rsidR="00B24936">
              <w:rPr>
                <w:noProof/>
                <w:color w:val="000000"/>
                <w:highlight w:val="black"/>
              </w:rPr>
              <w:t>'''''''''''''''''''</w:t>
            </w:r>
          </w:p>
        </w:tc>
        <w:tc>
          <w:tcPr>
            <w:tcW w:w="629" w:type="pct"/>
            <w:shd w:val="clear" w:color="auto" w:fill="auto"/>
            <w:vAlign w:val="center"/>
          </w:tcPr>
          <w:p w:rsidR="00166C1D" w:rsidRPr="0067437A" w:rsidRDefault="00166C1D" w:rsidP="00166C1D">
            <w:pPr>
              <w:pStyle w:val="TableText0"/>
              <w:jc w:val="center"/>
              <w:rPr>
                <w:szCs w:val="20"/>
              </w:rPr>
            </w:pPr>
            <w:r w:rsidRPr="0067437A">
              <w:t>$</w:t>
            </w:r>
            <w:r w:rsidR="00B24936">
              <w:rPr>
                <w:noProof/>
                <w:color w:val="000000"/>
                <w:highlight w:val="black"/>
              </w:rPr>
              <w:t>''''''''''''''''''''''''''''</w:t>
            </w:r>
          </w:p>
        </w:tc>
        <w:tc>
          <w:tcPr>
            <w:tcW w:w="629" w:type="pct"/>
            <w:shd w:val="clear" w:color="auto" w:fill="auto"/>
            <w:vAlign w:val="center"/>
          </w:tcPr>
          <w:p w:rsidR="00166C1D" w:rsidRPr="0067437A" w:rsidRDefault="00166C1D" w:rsidP="00166C1D">
            <w:pPr>
              <w:pStyle w:val="TableText0"/>
              <w:jc w:val="center"/>
              <w:rPr>
                <w:szCs w:val="20"/>
              </w:rPr>
            </w:pPr>
            <w:r w:rsidRPr="0067437A">
              <w:t>$</w:t>
            </w:r>
            <w:r w:rsidR="00B24936">
              <w:rPr>
                <w:noProof/>
                <w:color w:val="000000"/>
                <w:highlight w:val="black"/>
              </w:rPr>
              <w:t>''''''''''''''''''''''''''''</w:t>
            </w:r>
          </w:p>
        </w:tc>
        <w:tc>
          <w:tcPr>
            <w:tcW w:w="629" w:type="pct"/>
            <w:shd w:val="clear" w:color="auto" w:fill="auto"/>
            <w:vAlign w:val="center"/>
          </w:tcPr>
          <w:p w:rsidR="00166C1D" w:rsidRPr="0067437A" w:rsidRDefault="00166C1D" w:rsidP="00166C1D">
            <w:pPr>
              <w:pStyle w:val="TableText0"/>
              <w:jc w:val="center"/>
              <w:rPr>
                <w:szCs w:val="20"/>
              </w:rPr>
            </w:pPr>
            <w:r w:rsidRPr="0067437A">
              <w:t>$</w:t>
            </w:r>
            <w:r w:rsidR="00B24936">
              <w:rPr>
                <w:noProof/>
                <w:color w:val="000000"/>
                <w:highlight w:val="black"/>
              </w:rPr>
              <w:t>''''''''''''''''''''''''''</w:t>
            </w:r>
          </w:p>
        </w:tc>
        <w:tc>
          <w:tcPr>
            <w:tcW w:w="629" w:type="pct"/>
            <w:shd w:val="clear" w:color="auto" w:fill="auto"/>
            <w:vAlign w:val="center"/>
          </w:tcPr>
          <w:p w:rsidR="00166C1D" w:rsidRPr="0067437A" w:rsidRDefault="00166C1D" w:rsidP="00166C1D">
            <w:pPr>
              <w:pStyle w:val="TableText0"/>
              <w:jc w:val="center"/>
              <w:rPr>
                <w:szCs w:val="20"/>
              </w:rPr>
            </w:pPr>
            <w:r w:rsidRPr="0067437A">
              <w:t>$</w:t>
            </w:r>
            <w:r w:rsidR="00B24936">
              <w:rPr>
                <w:noProof/>
                <w:color w:val="000000"/>
                <w:highlight w:val="black"/>
              </w:rPr>
              <w:t>''''''''''''''''''''''''''''</w:t>
            </w:r>
          </w:p>
        </w:tc>
        <w:tc>
          <w:tcPr>
            <w:tcW w:w="600" w:type="pct"/>
            <w:shd w:val="clear" w:color="auto" w:fill="auto"/>
            <w:vAlign w:val="center"/>
          </w:tcPr>
          <w:p w:rsidR="00166C1D" w:rsidRPr="0067437A" w:rsidRDefault="00166C1D" w:rsidP="00166C1D">
            <w:pPr>
              <w:pStyle w:val="TableText0"/>
              <w:jc w:val="center"/>
              <w:rPr>
                <w:szCs w:val="20"/>
              </w:rPr>
            </w:pPr>
            <w:r w:rsidRPr="0067437A">
              <w:t>$</w:t>
            </w:r>
            <w:r w:rsidR="00B24936">
              <w:rPr>
                <w:noProof/>
                <w:color w:val="000000"/>
                <w:highlight w:val="black"/>
              </w:rPr>
              <w:t>'''''''''''''''''''''''''</w:t>
            </w:r>
          </w:p>
        </w:tc>
      </w:tr>
      <w:tr w:rsidR="0061735E" w:rsidRPr="0067437A" w:rsidTr="0061735E">
        <w:tc>
          <w:tcPr>
            <w:tcW w:w="5000" w:type="pct"/>
            <w:gridSpan w:val="7"/>
            <w:shd w:val="clear" w:color="auto" w:fill="auto"/>
            <w:vAlign w:val="center"/>
          </w:tcPr>
          <w:p w:rsidR="0061735E" w:rsidRPr="0067437A" w:rsidRDefault="0061735E" w:rsidP="0061735E">
            <w:pPr>
              <w:pStyle w:val="TableText0"/>
              <w:rPr>
                <w:rFonts w:cs="Times New Roman"/>
                <w:b/>
                <w:szCs w:val="20"/>
                <w:lang w:eastAsia="en-US"/>
              </w:rPr>
            </w:pPr>
            <w:r w:rsidRPr="0067437A">
              <w:rPr>
                <w:b/>
                <w:szCs w:val="20"/>
              </w:rPr>
              <w:t>Submission base case</w:t>
            </w:r>
          </w:p>
        </w:tc>
      </w:tr>
      <w:tr w:rsidR="00A219A5" w:rsidRPr="0067437A" w:rsidTr="0061735E">
        <w:tc>
          <w:tcPr>
            <w:tcW w:w="1178" w:type="pct"/>
            <w:shd w:val="clear" w:color="auto" w:fill="auto"/>
            <w:vAlign w:val="center"/>
          </w:tcPr>
          <w:p w:rsidR="00A219A5" w:rsidRPr="0067437A" w:rsidRDefault="00A219A5" w:rsidP="00A219A5">
            <w:pPr>
              <w:pStyle w:val="TableText0"/>
              <w:rPr>
                <w:szCs w:val="20"/>
              </w:rPr>
            </w:pPr>
            <w:r w:rsidRPr="0067437A">
              <w:rPr>
                <w:szCs w:val="20"/>
              </w:rPr>
              <w:t>Net cost to PBS/RPBS</w:t>
            </w:r>
          </w:p>
        </w:tc>
        <w:tc>
          <w:tcPr>
            <w:tcW w:w="707"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b/>
                <w:szCs w:val="20"/>
                <w:lang w:eastAsia="en-US"/>
              </w:rPr>
              <w:t>$</w:t>
            </w:r>
            <w:r w:rsidR="00B24936">
              <w:rPr>
                <w:rFonts w:cs="Times New Roman"/>
                <w:b/>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b/>
                <w:szCs w:val="20"/>
                <w:lang w:eastAsia="en-US"/>
              </w:rPr>
              <w:t>$</w:t>
            </w:r>
            <w:r w:rsidR="00B24936">
              <w:rPr>
                <w:b/>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b/>
                <w:szCs w:val="20"/>
                <w:lang w:eastAsia="en-US"/>
              </w:rPr>
              <w:t>$</w:t>
            </w:r>
            <w:r w:rsidR="00B24936">
              <w:rPr>
                <w:b/>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b/>
                <w:szCs w:val="20"/>
                <w:lang w:eastAsia="en-US"/>
              </w:rPr>
              <w:t>$</w:t>
            </w:r>
            <w:r w:rsidR="00B24936">
              <w:rPr>
                <w:b/>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b/>
                <w:szCs w:val="20"/>
                <w:lang w:eastAsia="en-US"/>
              </w:rPr>
              <w:t>$</w:t>
            </w:r>
            <w:r w:rsidR="00B24936">
              <w:rPr>
                <w:b/>
                <w:noProof/>
                <w:color w:val="000000"/>
                <w:szCs w:val="20"/>
                <w:highlight w:val="black"/>
                <w:lang w:eastAsia="en-US"/>
              </w:rPr>
              <w:t>''''''''''''''''''''</w:t>
            </w:r>
          </w:p>
        </w:tc>
        <w:tc>
          <w:tcPr>
            <w:tcW w:w="600"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b/>
                <w:szCs w:val="20"/>
                <w:lang w:eastAsia="en-US"/>
              </w:rPr>
              <w:t>$</w:t>
            </w:r>
            <w:r w:rsidR="00B24936">
              <w:rPr>
                <w:b/>
                <w:noProof/>
                <w:color w:val="000000"/>
                <w:szCs w:val="20"/>
                <w:highlight w:val="black"/>
                <w:lang w:eastAsia="en-US"/>
              </w:rPr>
              <w:t>'''''''''''''''''''''''</w:t>
            </w:r>
          </w:p>
        </w:tc>
      </w:tr>
      <w:tr w:rsidR="00A219A5" w:rsidRPr="0067437A" w:rsidTr="0061735E">
        <w:tc>
          <w:tcPr>
            <w:tcW w:w="1178" w:type="pct"/>
            <w:shd w:val="clear" w:color="auto" w:fill="auto"/>
            <w:vAlign w:val="center"/>
          </w:tcPr>
          <w:p w:rsidR="00A219A5" w:rsidRPr="0067437A" w:rsidRDefault="00A219A5" w:rsidP="00A219A5">
            <w:pPr>
              <w:pStyle w:val="TableText0"/>
              <w:rPr>
                <w:szCs w:val="20"/>
              </w:rPr>
            </w:pPr>
            <w:r w:rsidRPr="0067437A">
              <w:rPr>
                <w:szCs w:val="20"/>
              </w:rPr>
              <w:t>Net cost to MBS</w:t>
            </w:r>
          </w:p>
        </w:tc>
        <w:tc>
          <w:tcPr>
            <w:tcW w:w="707"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szCs w:val="20"/>
                <w:lang w:eastAsia="en-US"/>
              </w:rPr>
              <w:t>$</w:t>
            </w:r>
            <w:r w:rsidR="00B24936">
              <w:rPr>
                <w:rFonts w:cs="Times New Roman"/>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szCs w:val="20"/>
                <w:lang w:eastAsia="en-US"/>
              </w:rPr>
              <w:t>$</w:t>
            </w:r>
            <w:r w:rsidR="00B24936">
              <w:rPr>
                <w:rFonts w:cs="Times New Roman"/>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szCs w:val="20"/>
                <w:lang w:eastAsia="en-US"/>
              </w:rPr>
              <w:t>$</w:t>
            </w:r>
            <w:r w:rsidR="00B24936">
              <w:rPr>
                <w:rFonts w:cs="Times New Roman"/>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szCs w:val="20"/>
                <w:lang w:eastAsia="en-US"/>
              </w:rPr>
              <w:t>$</w:t>
            </w:r>
            <w:r w:rsidR="00B24936">
              <w:rPr>
                <w:rFonts w:cs="Times New Roman"/>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szCs w:val="20"/>
                <w:lang w:eastAsia="en-US"/>
              </w:rPr>
              <w:t>$</w:t>
            </w:r>
            <w:r w:rsidR="00B24936">
              <w:rPr>
                <w:rFonts w:cs="Times New Roman"/>
                <w:noProof/>
                <w:color w:val="000000"/>
                <w:szCs w:val="20"/>
                <w:highlight w:val="black"/>
                <w:lang w:eastAsia="en-US"/>
              </w:rPr>
              <w:t>'''''''''''''''''</w:t>
            </w:r>
          </w:p>
        </w:tc>
        <w:tc>
          <w:tcPr>
            <w:tcW w:w="600"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szCs w:val="20"/>
                <w:lang w:eastAsia="en-US"/>
              </w:rPr>
              <w:t>$</w:t>
            </w:r>
            <w:r w:rsidR="00B24936">
              <w:rPr>
                <w:rFonts w:cs="Times New Roman"/>
                <w:noProof/>
                <w:color w:val="000000"/>
                <w:szCs w:val="20"/>
                <w:highlight w:val="black"/>
                <w:lang w:eastAsia="en-US"/>
              </w:rPr>
              <w:t>''''''''''''''''''</w:t>
            </w:r>
          </w:p>
        </w:tc>
      </w:tr>
      <w:tr w:rsidR="00A219A5" w:rsidRPr="0067437A" w:rsidTr="0061735E">
        <w:tc>
          <w:tcPr>
            <w:tcW w:w="1178" w:type="pct"/>
            <w:shd w:val="clear" w:color="auto" w:fill="auto"/>
            <w:vAlign w:val="center"/>
          </w:tcPr>
          <w:p w:rsidR="00A219A5" w:rsidRPr="0067437A" w:rsidRDefault="00A219A5" w:rsidP="00A219A5">
            <w:pPr>
              <w:pStyle w:val="TableText0"/>
              <w:rPr>
                <w:szCs w:val="20"/>
              </w:rPr>
            </w:pPr>
            <w:r w:rsidRPr="0067437A">
              <w:rPr>
                <w:szCs w:val="20"/>
              </w:rPr>
              <w:t>Net cost to PBS/RPBS/MBS</w:t>
            </w:r>
          </w:p>
        </w:tc>
        <w:tc>
          <w:tcPr>
            <w:tcW w:w="707"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b/>
                <w:szCs w:val="20"/>
                <w:lang w:eastAsia="en-US"/>
              </w:rPr>
              <w:t>$</w:t>
            </w:r>
            <w:r w:rsidR="00B24936">
              <w:rPr>
                <w:rFonts w:cs="Times New Roman"/>
                <w:b/>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b/>
                <w:szCs w:val="20"/>
                <w:lang w:eastAsia="en-US"/>
              </w:rPr>
              <w:t>$</w:t>
            </w:r>
            <w:r w:rsidR="00B24936">
              <w:rPr>
                <w:rFonts w:cs="Times New Roman"/>
                <w:b/>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b/>
                <w:szCs w:val="20"/>
                <w:lang w:eastAsia="en-US"/>
              </w:rPr>
              <w:t>$</w:t>
            </w:r>
            <w:r w:rsidR="00B24936">
              <w:rPr>
                <w:rFonts w:cs="Times New Roman"/>
                <w:b/>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b/>
                <w:szCs w:val="20"/>
                <w:lang w:eastAsia="en-US"/>
              </w:rPr>
              <w:t>$</w:t>
            </w:r>
            <w:r w:rsidR="00B24936">
              <w:rPr>
                <w:rFonts w:cs="Times New Roman"/>
                <w:b/>
                <w:noProof/>
                <w:color w:val="000000"/>
                <w:szCs w:val="20"/>
                <w:highlight w:val="black"/>
                <w:lang w:eastAsia="en-US"/>
              </w:rPr>
              <w:t>''''''''''''''''''''''''</w:t>
            </w:r>
          </w:p>
        </w:tc>
        <w:tc>
          <w:tcPr>
            <w:tcW w:w="629"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b/>
                <w:szCs w:val="20"/>
                <w:lang w:eastAsia="en-US"/>
              </w:rPr>
              <w:t>$</w:t>
            </w:r>
            <w:r w:rsidR="00B24936">
              <w:rPr>
                <w:rFonts w:cs="Times New Roman"/>
                <w:b/>
                <w:noProof/>
                <w:color w:val="000000"/>
                <w:szCs w:val="20"/>
                <w:highlight w:val="black"/>
                <w:lang w:eastAsia="en-US"/>
              </w:rPr>
              <w:t>'''''''''''''''''''''</w:t>
            </w:r>
          </w:p>
        </w:tc>
        <w:tc>
          <w:tcPr>
            <w:tcW w:w="600" w:type="pct"/>
            <w:shd w:val="clear" w:color="auto" w:fill="auto"/>
            <w:vAlign w:val="center"/>
          </w:tcPr>
          <w:p w:rsidR="00A219A5" w:rsidRPr="0067437A" w:rsidRDefault="00A219A5" w:rsidP="00A219A5">
            <w:pPr>
              <w:pStyle w:val="TableText0"/>
              <w:jc w:val="center"/>
              <w:rPr>
                <w:rFonts w:cs="Times New Roman"/>
                <w:b/>
                <w:szCs w:val="20"/>
                <w:lang w:eastAsia="en-US"/>
              </w:rPr>
            </w:pPr>
            <w:r w:rsidRPr="0067437A">
              <w:rPr>
                <w:rFonts w:cs="Times New Roman"/>
                <w:b/>
                <w:szCs w:val="20"/>
                <w:lang w:eastAsia="en-US"/>
              </w:rPr>
              <w:t>$</w:t>
            </w:r>
            <w:r w:rsidR="00B24936">
              <w:rPr>
                <w:rFonts w:cs="Times New Roman"/>
                <w:b/>
                <w:noProof/>
                <w:color w:val="000000"/>
                <w:szCs w:val="20"/>
                <w:highlight w:val="black"/>
                <w:lang w:eastAsia="en-US"/>
              </w:rPr>
              <w:t>'''''''''''''''''''''</w:t>
            </w:r>
          </w:p>
        </w:tc>
      </w:tr>
      <w:tr w:rsidR="00A219A5" w:rsidRPr="0067437A" w:rsidTr="002A5DCB">
        <w:tc>
          <w:tcPr>
            <w:tcW w:w="5000" w:type="pct"/>
            <w:gridSpan w:val="7"/>
            <w:shd w:val="clear" w:color="auto" w:fill="auto"/>
            <w:vAlign w:val="center"/>
          </w:tcPr>
          <w:p w:rsidR="00A219A5" w:rsidRPr="0067437A" w:rsidRDefault="00A219A5" w:rsidP="00A219A5">
            <w:pPr>
              <w:pStyle w:val="In-tableHeading"/>
              <w:rPr>
                <w:szCs w:val="20"/>
                <w:lang w:val="en-AU"/>
              </w:rPr>
            </w:pPr>
            <w:r w:rsidRPr="0067437A">
              <w:rPr>
                <w:szCs w:val="20"/>
                <w:lang w:val="en-AU"/>
              </w:rPr>
              <w:t>Previous submission (March 2017)</w:t>
            </w:r>
          </w:p>
        </w:tc>
      </w:tr>
      <w:tr w:rsidR="00A219A5" w:rsidRPr="0067437A" w:rsidTr="002A5DCB">
        <w:tc>
          <w:tcPr>
            <w:tcW w:w="1178" w:type="pct"/>
            <w:shd w:val="clear" w:color="auto" w:fill="auto"/>
            <w:vAlign w:val="center"/>
          </w:tcPr>
          <w:p w:rsidR="00A219A5" w:rsidRPr="0067437A" w:rsidRDefault="00A219A5" w:rsidP="00A219A5">
            <w:pPr>
              <w:pStyle w:val="TableText0"/>
              <w:rPr>
                <w:szCs w:val="20"/>
              </w:rPr>
            </w:pPr>
            <w:r w:rsidRPr="0067437A">
              <w:rPr>
                <w:rFonts w:cs="Times New Roman"/>
                <w:szCs w:val="20"/>
                <w:lang w:eastAsia="en-US"/>
              </w:rPr>
              <w:t>ERA and PDE-5i patients</w:t>
            </w:r>
          </w:p>
        </w:tc>
        <w:tc>
          <w:tcPr>
            <w:tcW w:w="707"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29"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29"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29"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29"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A219A5" w:rsidP="00A219A5">
            <w:pPr>
              <w:pStyle w:val="TableText0"/>
              <w:jc w:val="center"/>
              <w:rPr>
                <w:iCs/>
                <w:color w:val="595959" w:themeColor="text1" w:themeTint="A6"/>
                <w:szCs w:val="20"/>
              </w:rPr>
            </w:pPr>
            <w:r w:rsidRPr="0067437A">
              <w:rPr>
                <w:iCs/>
                <w:color w:val="595959" w:themeColor="text1" w:themeTint="A6"/>
                <w:szCs w:val="20"/>
              </w:rPr>
              <w:t>-</w:t>
            </w:r>
          </w:p>
        </w:tc>
      </w:tr>
      <w:tr w:rsidR="00A219A5" w:rsidRPr="0067437A" w:rsidTr="002A5DCB">
        <w:tc>
          <w:tcPr>
            <w:tcW w:w="1178" w:type="pct"/>
            <w:shd w:val="clear" w:color="auto" w:fill="auto"/>
            <w:vAlign w:val="center"/>
          </w:tcPr>
          <w:p w:rsidR="00A219A5" w:rsidRPr="0067437A" w:rsidRDefault="00A219A5" w:rsidP="00A219A5">
            <w:pPr>
              <w:pStyle w:val="TableText0"/>
              <w:rPr>
                <w:rFonts w:cs="Times New Roman"/>
                <w:szCs w:val="20"/>
                <w:lang w:eastAsia="en-US"/>
              </w:rPr>
            </w:pPr>
            <w:r w:rsidRPr="0067437A">
              <w:rPr>
                <w:rFonts w:cs="Times New Roman"/>
                <w:szCs w:val="20"/>
                <w:lang w:eastAsia="en-US"/>
              </w:rPr>
              <w:t>Selexipag patients</w:t>
            </w:r>
          </w:p>
        </w:tc>
        <w:tc>
          <w:tcPr>
            <w:tcW w:w="707"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29"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29"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29"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29" w:type="pct"/>
            <w:tcBorders>
              <w:bottom w:val="single" w:sz="4" w:space="0" w:color="auto"/>
            </w:tcBorders>
            <w:shd w:val="clear" w:color="auto" w:fill="auto"/>
            <w:vAlign w:val="center"/>
          </w:tcPr>
          <w:p w:rsidR="00A219A5" w:rsidRPr="00B24936" w:rsidRDefault="00B24936" w:rsidP="00A219A5">
            <w:pPr>
              <w:pStyle w:val="TableText0"/>
              <w:jc w:val="center"/>
              <w:rPr>
                <w:szCs w:val="20"/>
                <w:highlight w:val="black"/>
              </w:rPr>
            </w:pPr>
            <w:r>
              <w:rPr>
                <w:noProof/>
                <w:color w:val="000000"/>
                <w:szCs w:val="2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2A5DCB" w:rsidP="00A219A5">
            <w:pPr>
              <w:pStyle w:val="TableText0"/>
              <w:jc w:val="center"/>
              <w:rPr>
                <w:iCs/>
                <w:color w:val="595959" w:themeColor="text1" w:themeTint="A6"/>
                <w:szCs w:val="20"/>
              </w:rPr>
            </w:pPr>
            <w:r>
              <w:rPr>
                <w:iCs/>
                <w:color w:val="595959" w:themeColor="text1" w:themeTint="A6"/>
                <w:szCs w:val="20"/>
              </w:rPr>
              <w:t>-</w:t>
            </w:r>
          </w:p>
        </w:tc>
      </w:tr>
      <w:tr w:rsidR="00A219A5" w:rsidRPr="0067437A" w:rsidTr="002A5DCB">
        <w:tc>
          <w:tcPr>
            <w:tcW w:w="1178" w:type="pct"/>
            <w:shd w:val="clear" w:color="auto" w:fill="auto"/>
            <w:vAlign w:val="center"/>
          </w:tcPr>
          <w:p w:rsidR="00A219A5" w:rsidRPr="0067437A" w:rsidRDefault="00A219A5" w:rsidP="00A219A5">
            <w:pPr>
              <w:pStyle w:val="TableText0"/>
              <w:rPr>
                <w:szCs w:val="20"/>
              </w:rPr>
            </w:pPr>
            <w:r w:rsidRPr="0067437A">
              <w:rPr>
                <w:szCs w:val="20"/>
              </w:rPr>
              <w:t>Net cost to PBS/RPBS</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rPr>
                <w:szCs w:val="20"/>
              </w:rPr>
              <w:t>$</w:t>
            </w:r>
            <w:r w:rsidR="00B24936">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rPr>
                <w:szCs w:val="20"/>
              </w:rPr>
              <w:t>$</w:t>
            </w:r>
            <w:r w:rsidR="00B24936">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rPr>
                <w:szCs w:val="20"/>
              </w:rPr>
              <w:t>$</w:t>
            </w:r>
            <w:r w:rsidR="00B24936">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rPr>
                <w:szCs w:val="20"/>
              </w:rPr>
              <w:t>$</w:t>
            </w:r>
            <w:r w:rsidR="00B24936">
              <w:rPr>
                <w:noProof/>
                <w:color w:val="00000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rPr>
                <w:szCs w:val="20"/>
              </w:rPr>
              <w:t>$</w:t>
            </w:r>
            <w:r w:rsidR="00B24936">
              <w:rPr>
                <w:noProof/>
                <w:color w:val="000000"/>
                <w:szCs w:val="20"/>
                <w:highlight w:val="black"/>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A219A5" w:rsidRPr="0067437A" w:rsidRDefault="00A219A5" w:rsidP="00A219A5">
            <w:pPr>
              <w:pStyle w:val="TableText0"/>
              <w:jc w:val="center"/>
              <w:rPr>
                <w:szCs w:val="20"/>
              </w:rPr>
            </w:pPr>
            <w:r w:rsidRPr="0067437A">
              <w:rPr>
                <w:iCs/>
                <w:color w:val="595959" w:themeColor="text1" w:themeTint="A6"/>
                <w:szCs w:val="20"/>
              </w:rPr>
              <w:t xml:space="preserve">- </w:t>
            </w:r>
          </w:p>
        </w:tc>
      </w:tr>
    </w:tbl>
    <w:p w:rsidR="00F66DD2" w:rsidRPr="0067437A" w:rsidRDefault="00F66DD2" w:rsidP="00F66DD2">
      <w:pPr>
        <w:pStyle w:val="TableFigureFooter"/>
      </w:pPr>
      <w:r w:rsidRPr="0067437A">
        <w:t xml:space="preserve">ERA = endothelin receptor antagonist; </w:t>
      </w:r>
      <w:r w:rsidR="0061735E" w:rsidRPr="0067437A">
        <w:t xml:space="preserve">MBS = Medicare Benefits Schedule; PBAC = Pharmaceutical Benefits Advisory Committee; PBS = Pharmaceutical Benefits Scheme; </w:t>
      </w:r>
      <w:r w:rsidRPr="0067437A">
        <w:t>PDE-5i = phosphodiesterase type 5 inhibitor</w:t>
      </w:r>
      <w:r w:rsidR="0061735E" w:rsidRPr="0067437A">
        <w:t>; RPBS = Repatriation Pharmaceutical Benefits Scheme</w:t>
      </w:r>
      <w:r w:rsidRPr="0067437A">
        <w:t>.</w:t>
      </w:r>
    </w:p>
    <w:p w:rsidR="00F66DD2" w:rsidRPr="0067437A" w:rsidRDefault="00F66DD2" w:rsidP="00F66DD2">
      <w:pPr>
        <w:pStyle w:val="TableFigureFooter"/>
      </w:pPr>
      <w:r w:rsidRPr="0067437A">
        <w:rPr>
          <w:iCs/>
          <w:lang w:eastAsia="en-US"/>
        </w:rPr>
        <w:t>Source: Table 4.3, p203 of resubmission; Tables 4.7-4.12, pp. 207-209 of resubmission.</w:t>
      </w:r>
    </w:p>
    <w:p w:rsidR="00F66DD2" w:rsidRPr="0067437A" w:rsidRDefault="00F66DD2" w:rsidP="00F66DD2">
      <w:pPr>
        <w:pStyle w:val="TableFigureFooter"/>
        <w:rPr>
          <w:szCs w:val="18"/>
          <w:lang w:eastAsia="en-US"/>
        </w:rPr>
      </w:pPr>
      <w:r w:rsidRPr="0067437A">
        <w:rPr>
          <w:vertAlign w:val="superscript"/>
        </w:rPr>
        <w:t>a</w:t>
      </w:r>
      <w:r w:rsidRPr="0067437A">
        <w:t xml:space="preserve"> </w:t>
      </w:r>
      <w:r w:rsidRPr="0067437A">
        <w:rPr>
          <w:szCs w:val="18"/>
          <w:lang w:eastAsia="en-US"/>
        </w:rPr>
        <w:t>Ambrisentan PBS private item numbers 9648T and 9649W have been added into the analysis, and total ambrisentan growth rate from 2018-2019 adjusted to 6.4% with the inclusion of these items.</w:t>
      </w:r>
    </w:p>
    <w:p w:rsidR="00F66DD2" w:rsidRDefault="00F66DD2" w:rsidP="00F66DD2">
      <w:pPr>
        <w:pStyle w:val="TableFigureFooter"/>
      </w:pPr>
    </w:p>
    <w:p w:rsidR="00B5778E" w:rsidRPr="00B5778E" w:rsidRDefault="00B5778E" w:rsidP="00F66DD2">
      <w:pPr>
        <w:pStyle w:val="TableFigureFooter"/>
        <w:rPr>
          <w:rFonts w:asciiTheme="minorHAnsi" w:hAnsiTheme="minorHAnsi" w:cstheme="minorHAnsi"/>
          <w:i/>
          <w:sz w:val="24"/>
          <w:szCs w:val="24"/>
        </w:rPr>
      </w:pPr>
      <w:r>
        <w:rPr>
          <w:rFonts w:asciiTheme="minorHAnsi" w:hAnsiTheme="minorHAnsi" w:cstheme="minorHAnsi"/>
          <w:i/>
          <w:sz w:val="24"/>
          <w:szCs w:val="24"/>
        </w:rPr>
        <w:t>The redacted table shows that at Year 6, the estimated number of scripts dispensed wa</w:t>
      </w:r>
      <w:r w:rsidR="00184A15">
        <w:rPr>
          <w:rFonts w:asciiTheme="minorHAnsi" w:hAnsiTheme="minorHAnsi" w:cstheme="minorHAnsi"/>
          <w:i/>
          <w:sz w:val="24"/>
          <w:szCs w:val="24"/>
        </w:rPr>
        <w:t xml:space="preserve">s 10,000 to </w:t>
      </w:r>
      <w:r w:rsidR="00C84B24">
        <w:rPr>
          <w:rFonts w:asciiTheme="minorHAnsi" w:hAnsiTheme="minorHAnsi" w:cstheme="minorHAnsi"/>
          <w:i/>
          <w:sz w:val="24"/>
          <w:szCs w:val="24"/>
        </w:rPr>
        <w:t>5</w:t>
      </w:r>
      <w:r w:rsidR="00184A15">
        <w:rPr>
          <w:rFonts w:asciiTheme="minorHAnsi" w:hAnsiTheme="minorHAnsi" w:cstheme="minorHAnsi"/>
          <w:i/>
          <w:sz w:val="24"/>
          <w:szCs w:val="24"/>
        </w:rPr>
        <w:t>0,000.</w:t>
      </w:r>
    </w:p>
    <w:p w:rsidR="000759C4" w:rsidRPr="0067437A" w:rsidRDefault="000759C4" w:rsidP="000759C4">
      <w:pPr>
        <w:pStyle w:val="3-BodyText"/>
        <w:ind w:left="709"/>
      </w:pPr>
      <w:r w:rsidRPr="0067437A">
        <w:t>The total cost to the PBS/RPBS of listing selexipag was estimated to be $</w:t>
      </w:r>
      <w:r w:rsidR="00184A15">
        <w:t>20</w:t>
      </w:r>
      <w:r w:rsidRPr="0067437A">
        <w:t xml:space="preserve"> million</w:t>
      </w:r>
      <w:r w:rsidR="00184A15">
        <w:t xml:space="preserve"> to $30 million</w:t>
      </w:r>
      <w:r w:rsidRPr="0067437A">
        <w:t xml:space="preserve"> in Year 6, and a total of $</w:t>
      </w:r>
      <w:r w:rsidR="00A43FF8">
        <w:t>60</w:t>
      </w:r>
      <w:r w:rsidRPr="0067437A">
        <w:t xml:space="preserve"> million</w:t>
      </w:r>
      <w:r w:rsidR="00184A15">
        <w:t xml:space="preserve"> to $100 million</w:t>
      </w:r>
      <w:r w:rsidRPr="0067437A">
        <w:t xml:space="preserve"> </w:t>
      </w:r>
      <w:r w:rsidR="0061735E" w:rsidRPr="0067437A">
        <w:t xml:space="preserve">over </w:t>
      </w:r>
      <w:r w:rsidRPr="0067437A">
        <w:t>the first 6 years of listing</w:t>
      </w:r>
      <w:r w:rsidR="0067437A">
        <w:rPr>
          <w:color w:val="3366FF"/>
        </w:rPr>
        <w:t>.</w:t>
      </w:r>
      <w:r w:rsidR="0067437A">
        <w:t xml:space="preserve"> </w:t>
      </w:r>
    </w:p>
    <w:p w:rsidR="003E5E94" w:rsidRPr="0067437A" w:rsidRDefault="004E3E98" w:rsidP="00207EE2">
      <w:pPr>
        <w:pStyle w:val="3-BodyText"/>
        <w:ind w:left="709"/>
        <w:rPr>
          <w:rFonts w:cstheme="minorHAnsi"/>
        </w:rPr>
      </w:pPr>
      <w:r>
        <w:rPr>
          <w:rFonts w:cstheme="minorHAnsi"/>
        </w:rPr>
        <w:t>The ESC considered a Risk S</w:t>
      </w:r>
      <w:r w:rsidR="003E5E94" w:rsidRPr="0067437A">
        <w:rPr>
          <w:rFonts w:cstheme="minorHAnsi"/>
        </w:rPr>
        <w:t xml:space="preserve">haring </w:t>
      </w:r>
      <w:r>
        <w:rPr>
          <w:rFonts w:cstheme="minorHAnsi"/>
        </w:rPr>
        <w:t>A</w:t>
      </w:r>
      <w:r w:rsidR="003E5E94" w:rsidRPr="0067437A">
        <w:rPr>
          <w:rFonts w:cstheme="minorHAnsi"/>
        </w:rPr>
        <w:t xml:space="preserve">rrangement (RSA) may be appropriate to manage the </w:t>
      </w:r>
      <w:r w:rsidR="00AE4D8C" w:rsidRPr="0067437A">
        <w:rPr>
          <w:rFonts w:cstheme="minorHAnsi"/>
        </w:rPr>
        <w:t xml:space="preserve">uncertainty in the patient population </w:t>
      </w:r>
      <w:r w:rsidR="003E5E94" w:rsidRPr="0067437A">
        <w:rPr>
          <w:rFonts w:cstheme="minorHAnsi"/>
        </w:rPr>
        <w:t>and the proposed use in patients for which there is very limited data (e.g. in WHO FC IV PAH patients and patients unable to tolerate dual therapy).</w:t>
      </w:r>
      <w:r w:rsidR="006A6A7E" w:rsidRPr="0067437A">
        <w:rPr>
          <w:rFonts w:cstheme="minorHAnsi"/>
        </w:rPr>
        <w:t xml:space="preserve"> The </w:t>
      </w:r>
      <w:r w:rsidR="009661DB" w:rsidRPr="0067437A">
        <w:rPr>
          <w:rFonts w:cstheme="minorHAnsi"/>
        </w:rPr>
        <w:t>p</w:t>
      </w:r>
      <w:r w:rsidR="006A6A7E" w:rsidRPr="0067437A">
        <w:rPr>
          <w:rFonts w:cstheme="minorHAnsi"/>
        </w:rPr>
        <w:t xml:space="preserve">re-PBAC </w:t>
      </w:r>
      <w:r w:rsidR="009661DB" w:rsidRPr="0067437A">
        <w:rPr>
          <w:rFonts w:cstheme="minorHAnsi"/>
        </w:rPr>
        <w:t>r</w:t>
      </w:r>
      <w:r w:rsidR="006A6A7E" w:rsidRPr="0067437A">
        <w:rPr>
          <w:rFonts w:cstheme="minorHAnsi"/>
        </w:rPr>
        <w:t>esponse proposed a</w:t>
      </w:r>
      <w:r w:rsidR="00E1476D" w:rsidRPr="0067437A">
        <w:rPr>
          <w:rFonts w:cstheme="minorHAnsi"/>
        </w:rPr>
        <w:t xml:space="preserve">n RSA with a </w:t>
      </w:r>
      <w:r w:rsidR="00B24936">
        <w:rPr>
          <w:rFonts w:cstheme="minorHAnsi"/>
          <w:noProof/>
          <w:color w:val="000000"/>
          <w:highlight w:val="black"/>
        </w:rPr>
        <w:t>''''''''</w:t>
      </w:r>
      <w:r w:rsidR="00E1476D" w:rsidRPr="0067437A">
        <w:rPr>
          <w:rFonts w:cstheme="minorHAnsi"/>
        </w:rPr>
        <w:t xml:space="preserve"> rebate for expenditure above the revised </w:t>
      </w:r>
      <w:r w:rsidR="005F0EA1" w:rsidRPr="0067437A">
        <w:rPr>
          <w:rFonts w:cstheme="minorHAnsi"/>
        </w:rPr>
        <w:t xml:space="preserve">net cost to the PBS/RPBS </w:t>
      </w:r>
      <w:r w:rsidR="00E1476D" w:rsidRPr="0067437A">
        <w:rPr>
          <w:rFonts w:cstheme="minorHAnsi"/>
        </w:rPr>
        <w:t>estimates.</w:t>
      </w:r>
    </w:p>
    <w:p w:rsidR="003E5E94" w:rsidRPr="0067437A" w:rsidRDefault="003E5E94" w:rsidP="003E5E94">
      <w:pPr>
        <w:pStyle w:val="4-SubsectionHeading"/>
      </w:pPr>
      <w:bookmarkStart w:id="30" w:name="_Toc40866425"/>
      <w:r w:rsidRPr="0067437A">
        <w:lastRenderedPageBreak/>
        <w:t>Quality Use of Medicines</w:t>
      </w:r>
      <w:bookmarkEnd w:id="30"/>
    </w:p>
    <w:p w:rsidR="00D17D05" w:rsidRPr="0067437A" w:rsidRDefault="00D17D05" w:rsidP="00207EE2">
      <w:pPr>
        <w:pStyle w:val="3-BodyText"/>
        <w:ind w:left="709"/>
        <w:rPr>
          <w:rFonts w:cstheme="minorHAnsi"/>
        </w:rPr>
      </w:pPr>
      <w:r w:rsidRPr="0067437A">
        <w:rPr>
          <w:rFonts w:cstheme="minorHAnsi"/>
        </w:rPr>
        <w:t>The resubmission noted the need for instructions regarding the up-titration and dose tolerability effects</w:t>
      </w:r>
      <w:r w:rsidR="0067437A">
        <w:rPr>
          <w:rFonts w:cstheme="minorHAnsi"/>
        </w:rPr>
        <w:t xml:space="preserve">. </w:t>
      </w:r>
      <w:r w:rsidRPr="0067437A">
        <w:rPr>
          <w:rFonts w:cstheme="minorHAnsi"/>
        </w:rPr>
        <w:t>The additional risk minimisation activities involve providing every prescriber with a prescriber kit containing the approved product information, the Consumer Medicines Information, a letter to the physician, a laminated physician titration card, and a patient titration card</w:t>
      </w:r>
      <w:r w:rsidR="0067437A">
        <w:rPr>
          <w:rFonts w:cstheme="minorHAnsi"/>
        </w:rPr>
        <w:t xml:space="preserve">. </w:t>
      </w:r>
      <w:r w:rsidRPr="0067437A">
        <w:rPr>
          <w:rFonts w:cstheme="minorHAnsi"/>
        </w:rPr>
        <w:t>These activities were described in the Risk Management Plan</w:t>
      </w:r>
      <w:r w:rsidR="0067437A">
        <w:rPr>
          <w:rFonts w:cstheme="minorHAnsi"/>
        </w:rPr>
        <w:t xml:space="preserve">. </w:t>
      </w:r>
      <w:r w:rsidRPr="0067437A">
        <w:rPr>
          <w:rFonts w:cstheme="minorHAnsi"/>
          <w:lang w:eastAsia="en-US"/>
        </w:rPr>
        <w:t>In addition</w:t>
      </w:r>
      <w:r w:rsidRPr="0067437A">
        <w:rPr>
          <w:rFonts w:cstheme="minorHAnsi"/>
          <w:color w:val="000000"/>
        </w:rPr>
        <w:t>, the Sponsor is planning one-on-one interactions with the prescribers to educate them on patient selection criteria and PBS listing restrictions, and peer-to-peer education sessions between clinicians</w:t>
      </w:r>
      <w:r w:rsidRPr="0067437A">
        <w:rPr>
          <w:rFonts w:cstheme="minorHAnsi"/>
        </w:rPr>
        <w:t>.</w:t>
      </w:r>
    </w:p>
    <w:bookmarkEnd w:id="25"/>
    <w:p w:rsidR="0081252B" w:rsidRPr="0067437A" w:rsidRDefault="0081252B" w:rsidP="00C117B2">
      <w:pPr>
        <w:keepNext/>
        <w:widowControl w:val="0"/>
        <w:numPr>
          <w:ilvl w:val="0"/>
          <w:numId w:val="1"/>
        </w:numPr>
        <w:spacing w:before="240" w:after="120"/>
        <w:outlineLvl w:val="0"/>
        <w:rPr>
          <w:rFonts w:asciiTheme="minorHAnsi" w:hAnsiTheme="minorHAnsi"/>
          <w:b/>
          <w:bCs/>
          <w:snapToGrid w:val="0"/>
          <w:sz w:val="32"/>
        </w:rPr>
      </w:pPr>
      <w:r w:rsidRPr="0067437A">
        <w:rPr>
          <w:rFonts w:asciiTheme="minorHAnsi" w:hAnsiTheme="minorHAnsi"/>
          <w:b/>
          <w:bCs/>
          <w:snapToGrid w:val="0"/>
          <w:sz w:val="32"/>
        </w:rPr>
        <w:t>PBAC Outcome</w:t>
      </w:r>
    </w:p>
    <w:p w:rsidR="00F92360" w:rsidRPr="003E04A7" w:rsidRDefault="00320300" w:rsidP="00EA108E">
      <w:pPr>
        <w:widowControl w:val="0"/>
        <w:numPr>
          <w:ilvl w:val="1"/>
          <w:numId w:val="1"/>
        </w:numPr>
        <w:spacing w:after="120"/>
        <w:ind w:left="720"/>
        <w:rPr>
          <w:rFonts w:asciiTheme="minorHAnsi" w:hAnsiTheme="minorHAnsi"/>
          <w:bCs/>
          <w:snapToGrid w:val="0"/>
        </w:rPr>
      </w:pPr>
      <w:r w:rsidRPr="003E04A7">
        <w:rPr>
          <w:rFonts w:asciiTheme="minorHAnsi" w:hAnsiTheme="minorHAnsi"/>
          <w:bCs/>
          <w:snapToGrid w:val="0"/>
        </w:rPr>
        <w:t xml:space="preserve">The PBAC recommended the </w:t>
      </w:r>
      <w:r w:rsidR="00E50698">
        <w:rPr>
          <w:rFonts w:asciiTheme="minorHAnsi" w:hAnsiTheme="minorHAnsi"/>
          <w:bCs/>
          <w:snapToGrid w:val="0"/>
        </w:rPr>
        <w:t xml:space="preserve">Section 85 (General Schedule) - </w:t>
      </w:r>
      <w:r w:rsidRPr="003E04A7">
        <w:rPr>
          <w:rFonts w:asciiTheme="minorHAnsi" w:hAnsiTheme="minorHAnsi"/>
          <w:bCs/>
          <w:snapToGrid w:val="0"/>
        </w:rPr>
        <w:t xml:space="preserve">Authority Required </w:t>
      </w:r>
      <w:r w:rsidRPr="007564A1">
        <w:rPr>
          <w:rFonts w:asciiTheme="minorHAnsi" w:hAnsiTheme="minorHAnsi"/>
          <w:bCs/>
          <w:snapToGrid w:val="0"/>
        </w:rPr>
        <w:t>(</w:t>
      </w:r>
      <w:r w:rsidR="009D601B" w:rsidRPr="007564A1">
        <w:rPr>
          <w:rFonts w:asciiTheme="minorHAnsi" w:hAnsiTheme="minorHAnsi"/>
          <w:bCs/>
          <w:snapToGrid w:val="0"/>
        </w:rPr>
        <w:t>delayed assessment</w:t>
      </w:r>
      <w:r w:rsidRPr="007564A1">
        <w:rPr>
          <w:rFonts w:asciiTheme="minorHAnsi" w:hAnsiTheme="minorHAnsi"/>
          <w:bCs/>
          <w:snapToGrid w:val="0"/>
        </w:rPr>
        <w:t>)</w:t>
      </w:r>
      <w:r w:rsidRPr="003E04A7">
        <w:rPr>
          <w:rFonts w:asciiTheme="minorHAnsi" w:hAnsiTheme="minorHAnsi"/>
          <w:bCs/>
          <w:snapToGrid w:val="0"/>
        </w:rPr>
        <w:t xml:space="preserve"> listing of selexipag for the treatment patients </w:t>
      </w:r>
      <w:r w:rsidR="00B262C1" w:rsidRPr="003E04A7">
        <w:rPr>
          <w:rFonts w:asciiTheme="minorHAnsi" w:hAnsiTheme="minorHAnsi"/>
          <w:bCs/>
          <w:snapToGrid w:val="0"/>
        </w:rPr>
        <w:t>with</w:t>
      </w:r>
      <w:r w:rsidRPr="003E04A7">
        <w:rPr>
          <w:rFonts w:asciiTheme="minorHAnsi" w:hAnsiTheme="minorHAnsi"/>
          <w:bCs/>
          <w:snapToGrid w:val="0"/>
        </w:rPr>
        <w:t xml:space="preserve"> World Health Organisation (WHO) Functional Class</w:t>
      </w:r>
      <w:r w:rsidR="00477872">
        <w:rPr>
          <w:rFonts w:asciiTheme="minorHAnsi" w:hAnsiTheme="minorHAnsi"/>
          <w:bCs/>
          <w:snapToGrid w:val="0"/>
        </w:rPr>
        <w:t xml:space="preserve"> (FC)</w:t>
      </w:r>
      <w:r w:rsidRPr="003E04A7">
        <w:rPr>
          <w:rFonts w:asciiTheme="minorHAnsi" w:hAnsiTheme="minorHAnsi"/>
          <w:bCs/>
          <w:snapToGrid w:val="0"/>
        </w:rPr>
        <w:t xml:space="preserve"> III or IV pulmonary arterial hypertension (PAH). The recommendation for selexipag </w:t>
      </w:r>
      <w:r w:rsidR="00F92360">
        <w:rPr>
          <w:rFonts w:asciiTheme="minorHAnsi" w:hAnsiTheme="minorHAnsi"/>
          <w:bCs/>
          <w:snapToGrid w:val="0"/>
        </w:rPr>
        <w:t>wa</w:t>
      </w:r>
      <w:r w:rsidRPr="003E04A7">
        <w:rPr>
          <w:rFonts w:asciiTheme="minorHAnsi" w:hAnsiTheme="minorHAnsi"/>
          <w:bCs/>
          <w:snapToGrid w:val="0"/>
        </w:rPr>
        <w:t>s as triple therapy in combination with an endothelin receptor antagonist (ERA) and a phosphodiesterase-5 inhibitor (PDE-5i)</w:t>
      </w:r>
      <w:r w:rsidR="00B262C1" w:rsidRPr="003E04A7">
        <w:rPr>
          <w:rFonts w:asciiTheme="minorHAnsi" w:hAnsiTheme="minorHAnsi"/>
          <w:bCs/>
          <w:snapToGrid w:val="0"/>
        </w:rPr>
        <w:t>,</w:t>
      </w:r>
      <w:r w:rsidRPr="003E04A7">
        <w:rPr>
          <w:rFonts w:asciiTheme="minorHAnsi" w:hAnsiTheme="minorHAnsi"/>
          <w:bCs/>
          <w:snapToGrid w:val="0"/>
        </w:rPr>
        <w:t xml:space="preserve"> </w:t>
      </w:r>
      <w:r w:rsidR="00F03A1C">
        <w:rPr>
          <w:rFonts w:asciiTheme="minorHAnsi" w:hAnsiTheme="minorHAnsi"/>
          <w:bCs/>
          <w:snapToGrid w:val="0"/>
        </w:rPr>
        <w:t xml:space="preserve">with an exception permitting </w:t>
      </w:r>
      <w:r w:rsidRPr="003E04A7">
        <w:rPr>
          <w:rFonts w:asciiTheme="minorHAnsi" w:hAnsiTheme="minorHAnsi"/>
          <w:bCs/>
          <w:snapToGrid w:val="0"/>
        </w:rPr>
        <w:t xml:space="preserve">dual therapy in combination with an ERA or PDE-5i in </w:t>
      </w:r>
      <w:r w:rsidR="00F03A1C">
        <w:rPr>
          <w:rFonts w:asciiTheme="minorHAnsi" w:hAnsiTheme="minorHAnsi"/>
          <w:bCs/>
          <w:snapToGrid w:val="0"/>
        </w:rPr>
        <w:t xml:space="preserve">a small number of </w:t>
      </w:r>
      <w:r w:rsidRPr="003E04A7">
        <w:rPr>
          <w:rFonts w:asciiTheme="minorHAnsi" w:hAnsiTheme="minorHAnsi"/>
          <w:bCs/>
          <w:snapToGrid w:val="0"/>
        </w:rPr>
        <w:t xml:space="preserve">patients who are intolerant or contraindicated to one of these classes of therapies. </w:t>
      </w:r>
      <w:r w:rsidR="00EA108E" w:rsidRPr="0067437A">
        <w:rPr>
          <w:rFonts w:asciiTheme="minorHAnsi" w:hAnsiTheme="minorHAnsi"/>
          <w:bCs/>
          <w:snapToGrid w:val="0"/>
        </w:rPr>
        <w:t xml:space="preserve">The PBAC was satisfied that selexipag provides, for some patients, a significant improvement in efficacy over placebo. </w:t>
      </w:r>
      <w:r w:rsidR="007F1DC9" w:rsidRPr="003E04A7">
        <w:rPr>
          <w:rFonts w:asciiTheme="minorHAnsi" w:hAnsiTheme="minorHAnsi"/>
          <w:bCs/>
          <w:snapToGrid w:val="0"/>
        </w:rPr>
        <w:t xml:space="preserve">The </w:t>
      </w:r>
      <w:r w:rsidR="00050C97" w:rsidRPr="003E04A7">
        <w:rPr>
          <w:rFonts w:asciiTheme="minorHAnsi" w:hAnsiTheme="minorHAnsi"/>
          <w:bCs/>
          <w:snapToGrid w:val="0"/>
        </w:rPr>
        <w:t>PBAC’s recommendation for listing was based on</w:t>
      </w:r>
      <w:r w:rsidR="007F1DC9" w:rsidRPr="003E04A7">
        <w:rPr>
          <w:rFonts w:asciiTheme="minorHAnsi" w:hAnsiTheme="minorHAnsi"/>
          <w:bCs/>
          <w:snapToGrid w:val="0"/>
        </w:rPr>
        <w:t>,</w:t>
      </w:r>
      <w:r w:rsidR="00050C97" w:rsidRPr="003E04A7">
        <w:rPr>
          <w:rFonts w:asciiTheme="minorHAnsi" w:hAnsiTheme="minorHAnsi"/>
          <w:bCs/>
          <w:snapToGrid w:val="0"/>
        </w:rPr>
        <w:t xml:space="preserve"> among other matters, its assessment that the cost-effectiveness of selexipag would be acceptable if the </w:t>
      </w:r>
      <w:r w:rsidR="003E04A7" w:rsidRPr="003E04A7">
        <w:t xml:space="preserve">incremental cost effectiveness ratio </w:t>
      </w:r>
      <w:r w:rsidR="008947BE">
        <w:t xml:space="preserve">(ICER) </w:t>
      </w:r>
      <w:r w:rsidR="003E04A7" w:rsidRPr="003E04A7">
        <w:t xml:space="preserve">was </w:t>
      </w:r>
      <w:r w:rsidR="003E04A7" w:rsidRPr="003E04A7">
        <w:rPr>
          <w:rFonts w:cstheme="minorHAnsi"/>
        </w:rPr>
        <w:t xml:space="preserve">less than </w:t>
      </w:r>
      <w:r w:rsidR="008947BE">
        <w:t xml:space="preserve">$80,000 per </w:t>
      </w:r>
      <w:r w:rsidR="004E3E98">
        <w:t>quality adjusted life year (</w:t>
      </w:r>
      <w:r w:rsidR="003E04A7" w:rsidRPr="003E04A7">
        <w:t>QALY</w:t>
      </w:r>
      <w:r w:rsidR="004E3E98">
        <w:t>)</w:t>
      </w:r>
      <w:r w:rsidR="003E04A7" w:rsidRPr="003E04A7">
        <w:t xml:space="preserve"> gained for the revised </w:t>
      </w:r>
      <w:r w:rsidR="0097067C">
        <w:t xml:space="preserve">economic </w:t>
      </w:r>
      <w:r w:rsidR="003E04A7" w:rsidRPr="003E04A7">
        <w:t xml:space="preserve">model scenario as described in paragraph </w:t>
      </w:r>
      <w:r w:rsidR="001504BC" w:rsidRPr="00564A25">
        <w:t>7.12</w:t>
      </w:r>
      <w:r w:rsidR="003E04A7" w:rsidRPr="003E04A7">
        <w:t xml:space="preserve"> below</w:t>
      </w:r>
      <w:r w:rsidR="00050C97" w:rsidRPr="003E04A7">
        <w:rPr>
          <w:rFonts w:asciiTheme="minorHAnsi" w:hAnsiTheme="minorHAnsi"/>
          <w:bCs/>
          <w:snapToGrid w:val="0"/>
        </w:rPr>
        <w:t xml:space="preserve">. </w:t>
      </w:r>
    </w:p>
    <w:p w:rsidR="00D620EF" w:rsidRPr="00EA108E" w:rsidRDefault="00D620EF" w:rsidP="00EA108E">
      <w:pPr>
        <w:widowControl w:val="0"/>
        <w:numPr>
          <w:ilvl w:val="1"/>
          <w:numId w:val="1"/>
        </w:numPr>
        <w:spacing w:after="120"/>
        <w:ind w:left="720"/>
        <w:rPr>
          <w:rFonts w:asciiTheme="minorHAnsi" w:hAnsiTheme="minorHAnsi"/>
          <w:bCs/>
          <w:snapToGrid w:val="0"/>
        </w:rPr>
      </w:pPr>
      <w:r w:rsidRPr="00EA108E">
        <w:rPr>
          <w:rFonts w:asciiTheme="minorHAnsi" w:hAnsiTheme="minorHAnsi"/>
          <w:bCs/>
          <w:snapToGrid w:val="0"/>
        </w:rPr>
        <w:t xml:space="preserve">The PBAC </w:t>
      </w:r>
      <w:r w:rsidR="00222387" w:rsidRPr="00EA108E">
        <w:rPr>
          <w:rFonts w:asciiTheme="minorHAnsi" w:hAnsiTheme="minorHAnsi"/>
          <w:bCs/>
          <w:snapToGrid w:val="0"/>
        </w:rPr>
        <w:t>noted</w:t>
      </w:r>
      <w:r w:rsidRPr="00EA108E">
        <w:rPr>
          <w:rFonts w:asciiTheme="minorHAnsi" w:hAnsiTheme="minorHAnsi"/>
          <w:bCs/>
          <w:snapToGrid w:val="0"/>
        </w:rPr>
        <w:t xml:space="preserve"> the views expressed in </w:t>
      </w:r>
      <w:r w:rsidR="0097067C">
        <w:rPr>
          <w:rFonts w:asciiTheme="minorHAnsi" w:hAnsiTheme="minorHAnsi"/>
          <w:bCs/>
          <w:snapToGrid w:val="0"/>
        </w:rPr>
        <w:t xml:space="preserve">the </w:t>
      </w:r>
      <w:r w:rsidRPr="00EA108E">
        <w:rPr>
          <w:rFonts w:asciiTheme="minorHAnsi" w:hAnsiTheme="minorHAnsi"/>
          <w:bCs/>
          <w:snapToGrid w:val="0"/>
        </w:rPr>
        <w:t>sponsor hearing</w:t>
      </w:r>
      <w:r w:rsidR="0074447A" w:rsidRPr="00EA108E">
        <w:rPr>
          <w:rFonts w:asciiTheme="minorHAnsi" w:hAnsiTheme="minorHAnsi"/>
          <w:bCs/>
          <w:snapToGrid w:val="0"/>
        </w:rPr>
        <w:t>,</w:t>
      </w:r>
      <w:r w:rsidRPr="00EA108E">
        <w:rPr>
          <w:rFonts w:asciiTheme="minorHAnsi" w:hAnsiTheme="minorHAnsi"/>
          <w:bCs/>
          <w:snapToGrid w:val="0"/>
        </w:rPr>
        <w:t xml:space="preserve"> and </w:t>
      </w:r>
      <w:r w:rsidR="00050C97" w:rsidRPr="00EA108E">
        <w:rPr>
          <w:rFonts w:asciiTheme="minorHAnsi" w:hAnsiTheme="minorHAnsi"/>
          <w:bCs/>
          <w:snapToGrid w:val="0"/>
        </w:rPr>
        <w:t xml:space="preserve">the </w:t>
      </w:r>
      <w:r w:rsidRPr="00EA108E">
        <w:rPr>
          <w:rFonts w:asciiTheme="minorHAnsi" w:hAnsiTheme="minorHAnsi"/>
          <w:bCs/>
          <w:snapToGrid w:val="0"/>
        </w:rPr>
        <w:t>comments</w:t>
      </w:r>
      <w:r w:rsidR="00F92360" w:rsidRPr="00EA108E">
        <w:rPr>
          <w:rFonts w:asciiTheme="minorHAnsi" w:hAnsiTheme="minorHAnsi"/>
          <w:bCs/>
          <w:snapToGrid w:val="0"/>
        </w:rPr>
        <w:t xml:space="preserve"> from individuals, health care professionals and organisations</w:t>
      </w:r>
      <w:r w:rsidRPr="00EA108E">
        <w:rPr>
          <w:rFonts w:asciiTheme="minorHAnsi" w:hAnsiTheme="minorHAnsi"/>
          <w:bCs/>
          <w:snapToGrid w:val="0"/>
        </w:rPr>
        <w:t xml:space="preserve"> </w:t>
      </w:r>
      <w:r w:rsidR="00222387" w:rsidRPr="00EA108E">
        <w:rPr>
          <w:rFonts w:asciiTheme="minorHAnsi" w:hAnsiTheme="minorHAnsi"/>
          <w:bCs/>
          <w:snapToGrid w:val="0"/>
        </w:rPr>
        <w:t xml:space="preserve">that </w:t>
      </w:r>
      <w:r w:rsidRPr="00EA108E">
        <w:rPr>
          <w:rFonts w:asciiTheme="minorHAnsi" w:hAnsiTheme="minorHAnsi"/>
          <w:bCs/>
          <w:snapToGrid w:val="0"/>
        </w:rPr>
        <w:t xml:space="preserve">outlined the extent to which PAH </w:t>
      </w:r>
      <w:r w:rsidR="0010441A" w:rsidRPr="00EA108E">
        <w:rPr>
          <w:rFonts w:asciiTheme="minorHAnsi" w:hAnsiTheme="minorHAnsi"/>
          <w:bCs/>
          <w:snapToGrid w:val="0"/>
        </w:rPr>
        <w:t xml:space="preserve">limits daily activities and </w:t>
      </w:r>
      <w:r w:rsidRPr="00EA108E">
        <w:rPr>
          <w:rFonts w:asciiTheme="minorHAnsi" w:hAnsiTheme="minorHAnsi"/>
          <w:bCs/>
          <w:snapToGrid w:val="0"/>
        </w:rPr>
        <w:t xml:space="preserve">impairs quality of life. The comments also described the </w:t>
      </w:r>
      <w:r w:rsidR="00F92360" w:rsidRPr="00EA108E">
        <w:rPr>
          <w:rFonts w:asciiTheme="minorHAnsi" w:hAnsiTheme="minorHAnsi"/>
          <w:bCs/>
          <w:snapToGrid w:val="0"/>
        </w:rPr>
        <w:t>reduced quality of life</w:t>
      </w:r>
      <w:r w:rsidRPr="00EA108E">
        <w:rPr>
          <w:rFonts w:asciiTheme="minorHAnsi" w:hAnsiTheme="minorHAnsi"/>
          <w:bCs/>
          <w:snapToGrid w:val="0"/>
        </w:rPr>
        <w:t xml:space="preserve"> associated with </w:t>
      </w:r>
      <w:r w:rsidR="00F92360" w:rsidRPr="00EA108E">
        <w:rPr>
          <w:rFonts w:asciiTheme="minorHAnsi" w:hAnsiTheme="minorHAnsi"/>
          <w:bCs/>
          <w:snapToGrid w:val="0"/>
        </w:rPr>
        <w:t xml:space="preserve">continuous </w:t>
      </w:r>
      <w:r w:rsidR="004E3E98">
        <w:rPr>
          <w:rFonts w:asciiTheme="minorHAnsi" w:hAnsiTheme="minorHAnsi"/>
          <w:bCs/>
          <w:snapToGrid w:val="0"/>
        </w:rPr>
        <w:t>intravenous (</w:t>
      </w:r>
      <w:r w:rsidRPr="00EA108E">
        <w:rPr>
          <w:rFonts w:asciiTheme="minorHAnsi" w:hAnsiTheme="minorHAnsi"/>
          <w:bCs/>
          <w:snapToGrid w:val="0"/>
        </w:rPr>
        <w:t>IV</w:t>
      </w:r>
      <w:r w:rsidR="004E3E98">
        <w:rPr>
          <w:rFonts w:asciiTheme="minorHAnsi" w:hAnsiTheme="minorHAnsi"/>
          <w:bCs/>
          <w:snapToGrid w:val="0"/>
        </w:rPr>
        <w:t>)</w:t>
      </w:r>
      <w:r w:rsidRPr="00EA108E">
        <w:rPr>
          <w:rFonts w:asciiTheme="minorHAnsi" w:hAnsiTheme="minorHAnsi"/>
          <w:bCs/>
          <w:snapToGrid w:val="0"/>
        </w:rPr>
        <w:t xml:space="preserve"> </w:t>
      </w:r>
      <w:r w:rsidR="00F92360" w:rsidRPr="00EA108E">
        <w:rPr>
          <w:rFonts w:asciiTheme="minorHAnsi" w:hAnsiTheme="minorHAnsi"/>
          <w:bCs/>
          <w:snapToGrid w:val="0"/>
        </w:rPr>
        <w:t xml:space="preserve">infusion of </w:t>
      </w:r>
      <w:r w:rsidRPr="00EA108E">
        <w:rPr>
          <w:rFonts w:asciiTheme="minorHAnsi" w:hAnsiTheme="minorHAnsi"/>
          <w:bCs/>
          <w:snapToGrid w:val="0"/>
        </w:rPr>
        <w:t>epoprostenol and the risk of pump or administration line failures</w:t>
      </w:r>
      <w:r w:rsidR="00F92360" w:rsidRPr="00EA108E">
        <w:rPr>
          <w:rFonts w:asciiTheme="minorHAnsi" w:hAnsiTheme="minorHAnsi"/>
          <w:bCs/>
          <w:snapToGrid w:val="0"/>
        </w:rPr>
        <w:t>, and that treatment with selexipag may delay or avoid the need for treatment with IV epoprostenol</w:t>
      </w:r>
      <w:r w:rsidR="0067437A" w:rsidRPr="00EA108E">
        <w:rPr>
          <w:rFonts w:asciiTheme="minorHAnsi" w:hAnsiTheme="minorHAnsi"/>
          <w:bCs/>
          <w:snapToGrid w:val="0"/>
        </w:rPr>
        <w:t xml:space="preserve">. </w:t>
      </w:r>
      <w:r w:rsidR="00222387" w:rsidRPr="00EA108E">
        <w:rPr>
          <w:rFonts w:asciiTheme="minorHAnsi" w:hAnsiTheme="minorHAnsi"/>
          <w:bCs/>
          <w:snapToGrid w:val="0"/>
        </w:rPr>
        <w:t>The PBAC considered that an orally-acting prostacyclin agent would provide a substantial benefit to patients.</w:t>
      </w:r>
    </w:p>
    <w:p w:rsidR="00AD65A8" w:rsidRPr="0067437A" w:rsidRDefault="00AD65A8" w:rsidP="00AD65A8">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The Committee reaffirmed its view that placebo (as combination therapy with an ERA and a PDE-5i) was the appropriate comparator.</w:t>
      </w:r>
    </w:p>
    <w:p w:rsidR="00FB2B8F" w:rsidRPr="0067437A" w:rsidRDefault="00267A95" w:rsidP="001F4C24">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PBAC noted the submission relied on the GRIPHON trial, a </w:t>
      </w:r>
      <w:r w:rsidR="00CD4D86" w:rsidRPr="0067437A">
        <w:rPr>
          <w:rFonts w:asciiTheme="minorHAnsi" w:hAnsiTheme="minorHAnsi"/>
          <w:bCs/>
          <w:snapToGrid w:val="0"/>
        </w:rPr>
        <w:t>Phase III, randomised</w:t>
      </w:r>
      <w:r w:rsidR="00EA108E">
        <w:rPr>
          <w:rFonts w:asciiTheme="minorHAnsi" w:hAnsiTheme="minorHAnsi"/>
          <w:bCs/>
          <w:snapToGrid w:val="0"/>
        </w:rPr>
        <w:t>,</w:t>
      </w:r>
      <w:r w:rsidR="00CD4D86" w:rsidRPr="0067437A">
        <w:rPr>
          <w:rFonts w:asciiTheme="minorHAnsi" w:hAnsiTheme="minorHAnsi"/>
          <w:bCs/>
          <w:snapToGrid w:val="0"/>
        </w:rPr>
        <w:t xml:space="preserve"> placebo controlled trial of selexipag across all WHO functional classes, and </w:t>
      </w:r>
      <w:r w:rsidR="00506513" w:rsidRPr="0067437A">
        <w:rPr>
          <w:rFonts w:asciiTheme="minorHAnsi" w:hAnsiTheme="minorHAnsi"/>
          <w:bCs/>
          <w:snapToGrid w:val="0"/>
        </w:rPr>
        <w:t>post-hoc</w:t>
      </w:r>
      <w:r w:rsidR="00CD4D86" w:rsidRPr="0067437A">
        <w:rPr>
          <w:rFonts w:asciiTheme="minorHAnsi" w:hAnsiTheme="minorHAnsi"/>
          <w:bCs/>
          <w:snapToGrid w:val="0"/>
        </w:rPr>
        <w:t xml:space="preserve"> </w:t>
      </w:r>
      <w:r w:rsidR="00506513" w:rsidRPr="0067437A">
        <w:rPr>
          <w:rFonts w:asciiTheme="minorHAnsi" w:hAnsiTheme="minorHAnsi"/>
          <w:bCs/>
          <w:snapToGrid w:val="0"/>
        </w:rPr>
        <w:t xml:space="preserve">subgroup </w:t>
      </w:r>
      <w:r w:rsidR="00CD4D86" w:rsidRPr="0067437A">
        <w:rPr>
          <w:rFonts w:asciiTheme="minorHAnsi" w:hAnsiTheme="minorHAnsi"/>
          <w:bCs/>
          <w:snapToGrid w:val="0"/>
        </w:rPr>
        <w:t>analyses of the GRIPHON data</w:t>
      </w:r>
      <w:r w:rsidR="00DF00E0" w:rsidRPr="0067437A">
        <w:rPr>
          <w:rFonts w:asciiTheme="minorHAnsi" w:hAnsiTheme="minorHAnsi"/>
          <w:bCs/>
          <w:snapToGrid w:val="0"/>
        </w:rPr>
        <w:t xml:space="preserve"> for patients receiving dual ERA/PDE-5i background therapy. </w:t>
      </w:r>
      <w:r w:rsidR="00FB2B8F" w:rsidRPr="0067437A">
        <w:rPr>
          <w:rFonts w:asciiTheme="minorHAnsi" w:hAnsiTheme="minorHAnsi"/>
          <w:bCs/>
          <w:snapToGrid w:val="0"/>
        </w:rPr>
        <w:t xml:space="preserve">The primary outcome was a composite morbidity-mortality event comprising of death, hospitalisation for PAH worsening, parenteral prostanoid or chronic oxygen therapy, PAH worsening resulting in the need for lung transplantation or balloon atrial septostomy or disease progression events. </w:t>
      </w:r>
    </w:p>
    <w:p w:rsidR="001B5DDB" w:rsidRPr="0067437A" w:rsidRDefault="00FB2B8F" w:rsidP="001F4C24">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lastRenderedPageBreak/>
        <w:t>The PBAC noted that for the</w:t>
      </w:r>
      <w:r w:rsidR="00477872">
        <w:rPr>
          <w:rFonts w:asciiTheme="minorHAnsi" w:hAnsiTheme="minorHAnsi"/>
          <w:bCs/>
          <w:snapToGrid w:val="0"/>
        </w:rPr>
        <w:t xml:space="preserve"> intention to treat</w:t>
      </w:r>
      <w:r w:rsidRPr="0067437A">
        <w:rPr>
          <w:rFonts w:asciiTheme="minorHAnsi" w:hAnsiTheme="minorHAnsi"/>
          <w:bCs/>
          <w:snapToGrid w:val="0"/>
        </w:rPr>
        <w:t xml:space="preserve"> population of GRIPHON, which comprised of a broad population of patients with WHO FC I to IV disease </w:t>
      </w:r>
      <w:r w:rsidR="00EA108E">
        <w:rPr>
          <w:rFonts w:asciiTheme="minorHAnsi" w:hAnsiTheme="minorHAnsi"/>
          <w:bCs/>
          <w:snapToGrid w:val="0"/>
        </w:rPr>
        <w:t xml:space="preserve">who were </w:t>
      </w:r>
      <w:r w:rsidRPr="0067437A">
        <w:rPr>
          <w:rFonts w:asciiTheme="minorHAnsi" w:hAnsiTheme="minorHAnsi"/>
          <w:bCs/>
          <w:snapToGrid w:val="0"/>
        </w:rPr>
        <w:t xml:space="preserve">receiving a range of </w:t>
      </w:r>
      <w:r w:rsidR="009C7E17">
        <w:rPr>
          <w:rFonts w:asciiTheme="minorHAnsi" w:hAnsiTheme="minorHAnsi"/>
          <w:bCs/>
          <w:snapToGrid w:val="0"/>
        </w:rPr>
        <w:t>background</w:t>
      </w:r>
      <w:r w:rsidRPr="0067437A">
        <w:rPr>
          <w:rFonts w:asciiTheme="minorHAnsi" w:hAnsiTheme="minorHAnsi"/>
          <w:bCs/>
          <w:snapToGrid w:val="0"/>
        </w:rPr>
        <w:t xml:space="preserve"> therapies, selexipag was associated with a 39% reduction </w:t>
      </w:r>
      <w:r w:rsidR="001F4C24" w:rsidRPr="0067437A">
        <w:rPr>
          <w:rFonts w:asciiTheme="minorHAnsi" w:hAnsiTheme="minorHAnsi"/>
          <w:bCs/>
          <w:snapToGrid w:val="0"/>
        </w:rPr>
        <w:t>in</w:t>
      </w:r>
      <w:r w:rsidRPr="0067437A">
        <w:rPr>
          <w:rFonts w:asciiTheme="minorHAnsi" w:hAnsiTheme="minorHAnsi"/>
          <w:bCs/>
          <w:snapToGrid w:val="0"/>
        </w:rPr>
        <w:t xml:space="preserve"> the</w:t>
      </w:r>
      <w:r w:rsidR="00EA108E">
        <w:rPr>
          <w:rFonts w:asciiTheme="minorHAnsi" w:hAnsiTheme="minorHAnsi"/>
          <w:bCs/>
          <w:snapToGrid w:val="0"/>
        </w:rPr>
        <w:t xml:space="preserve"> risk of the</w:t>
      </w:r>
      <w:r w:rsidR="00477872">
        <w:rPr>
          <w:rFonts w:asciiTheme="minorHAnsi" w:hAnsiTheme="minorHAnsi"/>
          <w:bCs/>
          <w:snapToGrid w:val="0"/>
        </w:rPr>
        <w:t xml:space="preserve"> </w:t>
      </w:r>
      <w:r w:rsidRPr="0067437A">
        <w:rPr>
          <w:rFonts w:asciiTheme="minorHAnsi" w:hAnsiTheme="minorHAnsi"/>
          <w:bCs/>
          <w:snapToGrid w:val="0"/>
        </w:rPr>
        <w:t>primary endpoint (HR = 0.61; 99% CI: 0.46, 0.81). The PBAC noted that</w:t>
      </w:r>
      <w:r w:rsidR="00037A67">
        <w:rPr>
          <w:rFonts w:asciiTheme="minorHAnsi" w:hAnsiTheme="minorHAnsi"/>
          <w:bCs/>
          <w:snapToGrid w:val="0"/>
        </w:rPr>
        <w:t>,</w:t>
      </w:r>
      <w:r w:rsidRPr="0067437A">
        <w:rPr>
          <w:rFonts w:asciiTheme="minorHAnsi" w:hAnsiTheme="minorHAnsi"/>
          <w:bCs/>
          <w:snapToGrid w:val="0"/>
        </w:rPr>
        <w:t xml:space="preserve"> </w:t>
      </w:r>
      <w:r w:rsidR="00A23DBC" w:rsidRPr="0067437A">
        <w:rPr>
          <w:rFonts w:asciiTheme="minorHAnsi" w:hAnsiTheme="minorHAnsi"/>
          <w:bCs/>
          <w:snapToGrid w:val="0"/>
        </w:rPr>
        <w:t xml:space="preserve">although the result </w:t>
      </w:r>
      <w:r w:rsidRPr="0067437A">
        <w:rPr>
          <w:rFonts w:asciiTheme="minorHAnsi" w:hAnsiTheme="minorHAnsi"/>
          <w:bCs/>
          <w:snapToGrid w:val="0"/>
        </w:rPr>
        <w:t>for patients with WHO FC III PAH who were receiving dual background therapy w</w:t>
      </w:r>
      <w:r w:rsidR="00F36206" w:rsidRPr="0067437A">
        <w:rPr>
          <w:rFonts w:asciiTheme="minorHAnsi" w:hAnsiTheme="minorHAnsi"/>
          <w:bCs/>
          <w:snapToGrid w:val="0"/>
        </w:rPr>
        <w:t>as</w:t>
      </w:r>
      <w:r w:rsidRPr="0067437A">
        <w:rPr>
          <w:rFonts w:asciiTheme="minorHAnsi" w:hAnsiTheme="minorHAnsi"/>
          <w:bCs/>
          <w:snapToGrid w:val="0"/>
        </w:rPr>
        <w:t xml:space="preserve"> not statistically significant (HR = 0.74; 95% CI: 0.50, 1.10)</w:t>
      </w:r>
      <w:r w:rsidR="00A23DBC" w:rsidRPr="0067437A">
        <w:rPr>
          <w:rFonts w:asciiTheme="minorHAnsi" w:hAnsiTheme="minorHAnsi"/>
          <w:bCs/>
          <w:snapToGrid w:val="0"/>
        </w:rPr>
        <w:t>, the point estimate favoured selexipag</w:t>
      </w:r>
      <w:r w:rsidR="00037A67">
        <w:rPr>
          <w:rFonts w:asciiTheme="minorHAnsi" w:hAnsiTheme="minorHAnsi"/>
          <w:bCs/>
          <w:snapToGrid w:val="0"/>
        </w:rPr>
        <w:t xml:space="preserve"> and was consistent with the ITT population result</w:t>
      </w:r>
      <w:r w:rsidR="00F36206" w:rsidRPr="0067437A">
        <w:rPr>
          <w:rFonts w:asciiTheme="minorHAnsi" w:hAnsiTheme="minorHAnsi"/>
          <w:bCs/>
          <w:snapToGrid w:val="0"/>
        </w:rPr>
        <w:t xml:space="preserve">. The PBAC considered that </w:t>
      </w:r>
      <w:r w:rsidR="00477872">
        <w:rPr>
          <w:rFonts w:asciiTheme="minorHAnsi" w:hAnsiTheme="minorHAnsi"/>
          <w:bCs/>
          <w:snapToGrid w:val="0"/>
        </w:rPr>
        <w:t xml:space="preserve">the </w:t>
      </w:r>
      <w:r w:rsidR="00F36206" w:rsidRPr="0067437A">
        <w:rPr>
          <w:rFonts w:asciiTheme="minorHAnsi" w:hAnsiTheme="minorHAnsi"/>
          <w:bCs/>
          <w:snapToGrid w:val="0"/>
        </w:rPr>
        <w:t>subgroup analysis was underpowered</w:t>
      </w:r>
      <w:r w:rsidR="00A23DBC" w:rsidRPr="0067437A">
        <w:rPr>
          <w:rFonts w:asciiTheme="minorHAnsi" w:hAnsiTheme="minorHAnsi"/>
          <w:bCs/>
          <w:snapToGrid w:val="0"/>
        </w:rPr>
        <w:t xml:space="preserve"> and </w:t>
      </w:r>
      <w:r w:rsidR="00F36206" w:rsidRPr="0067437A">
        <w:rPr>
          <w:rFonts w:asciiTheme="minorHAnsi" w:hAnsiTheme="minorHAnsi"/>
          <w:bCs/>
          <w:snapToGrid w:val="0"/>
        </w:rPr>
        <w:t xml:space="preserve">that </w:t>
      </w:r>
      <w:r w:rsidR="00A23DBC" w:rsidRPr="0067437A">
        <w:rPr>
          <w:rFonts w:asciiTheme="minorHAnsi" w:hAnsiTheme="minorHAnsi"/>
          <w:bCs/>
          <w:snapToGrid w:val="0"/>
        </w:rPr>
        <w:t xml:space="preserve">the lack of statistical significance was likely due to a Type II error. </w:t>
      </w:r>
    </w:p>
    <w:p w:rsidR="00A23DBC" w:rsidRPr="0067437A" w:rsidRDefault="001F4C24" w:rsidP="001F4C24">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T</w:t>
      </w:r>
      <w:r w:rsidR="00A23DBC" w:rsidRPr="0067437A">
        <w:rPr>
          <w:rFonts w:asciiTheme="minorHAnsi" w:hAnsiTheme="minorHAnsi"/>
          <w:bCs/>
          <w:snapToGrid w:val="0"/>
        </w:rPr>
        <w:t>he PBAC noted that no data were presented for patients with WHO FC IV PAH</w:t>
      </w:r>
      <w:r w:rsidR="0096449E" w:rsidRPr="0067437A">
        <w:rPr>
          <w:rFonts w:asciiTheme="minorHAnsi" w:hAnsiTheme="minorHAnsi"/>
          <w:bCs/>
          <w:snapToGrid w:val="0"/>
        </w:rPr>
        <w:t xml:space="preserve"> due to insufficient sample size (n=6)</w:t>
      </w:r>
      <w:r w:rsidR="00E24146">
        <w:rPr>
          <w:rFonts w:asciiTheme="minorHAnsi" w:hAnsiTheme="minorHAnsi"/>
          <w:bCs/>
          <w:snapToGrid w:val="0"/>
        </w:rPr>
        <w:t xml:space="preserve">. Whilst the PBAC </w:t>
      </w:r>
      <w:r w:rsidR="00A23DBC" w:rsidRPr="0067437A">
        <w:rPr>
          <w:rFonts w:asciiTheme="minorHAnsi" w:hAnsiTheme="minorHAnsi"/>
          <w:bCs/>
          <w:snapToGrid w:val="0"/>
        </w:rPr>
        <w:t>considered that it was biologically plausible that selexipag would be beneficial in this patient population, particularly considering the effect of other prostacyclins in these patients</w:t>
      </w:r>
      <w:r w:rsidR="00E24146">
        <w:rPr>
          <w:rFonts w:asciiTheme="minorHAnsi" w:hAnsiTheme="minorHAnsi"/>
          <w:bCs/>
          <w:snapToGrid w:val="0"/>
        </w:rPr>
        <w:t>, the PBAC noted the greater effect of selexipag in less severe WHO FC II PAH patients compared to in those with WHO FC III disease</w:t>
      </w:r>
      <w:r w:rsidR="00A23DBC" w:rsidRPr="0067437A">
        <w:rPr>
          <w:rFonts w:asciiTheme="minorHAnsi" w:hAnsiTheme="minorHAnsi"/>
          <w:bCs/>
          <w:snapToGrid w:val="0"/>
        </w:rPr>
        <w:t xml:space="preserve">. </w:t>
      </w:r>
    </w:p>
    <w:p w:rsidR="00214AD8" w:rsidRPr="0067437A" w:rsidRDefault="00214AD8" w:rsidP="001F4C24">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PBAC noted </w:t>
      </w:r>
      <w:r w:rsidR="00EA108E">
        <w:rPr>
          <w:rFonts w:asciiTheme="minorHAnsi" w:hAnsiTheme="minorHAnsi"/>
          <w:bCs/>
          <w:snapToGrid w:val="0"/>
        </w:rPr>
        <w:t>the</w:t>
      </w:r>
      <w:r w:rsidRPr="0067437A">
        <w:rPr>
          <w:rFonts w:asciiTheme="minorHAnsi" w:hAnsiTheme="minorHAnsi"/>
          <w:bCs/>
          <w:snapToGrid w:val="0"/>
        </w:rPr>
        <w:t xml:space="preserve"> landmark analysis by McLaughlin 2018 that investigated the prognostic relevance of PAH morbidity for mortality. The PBAC noted that mortality events occurred at a substantially higher rate in patients who experienced morbidity events at 3</w:t>
      </w:r>
      <w:r w:rsidR="005F0EA1" w:rsidRPr="0067437A">
        <w:rPr>
          <w:rFonts w:asciiTheme="minorHAnsi" w:hAnsiTheme="minorHAnsi"/>
          <w:bCs/>
          <w:snapToGrid w:val="0"/>
        </w:rPr>
        <w:t>,</w:t>
      </w:r>
      <w:r w:rsidRPr="0067437A">
        <w:rPr>
          <w:rFonts w:asciiTheme="minorHAnsi" w:hAnsiTheme="minorHAnsi"/>
          <w:bCs/>
          <w:snapToGrid w:val="0"/>
        </w:rPr>
        <w:t xml:space="preserve"> 6 and 12-month time points. The PBAC considered there may be a mortality benefit associated with a reduction in morbidity or disease progression events.</w:t>
      </w:r>
    </w:p>
    <w:p w:rsidR="00214AD8" w:rsidRPr="0067437A" w:rsidRDefault="00A23DBC" w:rsidP="001F4C24">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Based on the evidence presented, the PBAC considered the claim that selexipag, when used in combination with an ERA and a PDE-5i</w:t>
      </w:r>
      <w:r w:rsidR="0097067C">
        <w:rPr>
          <w:rFonts w:asciiTheme="minorHAnsi" w:hAnsiTheme="minorHAnsi"/>
          <w:bCs/>
          <w:snapToGrid w:val="0"/>
        </w:rPr>
        <w:t xml:space="preserve"> </w:t>
      </w:r>
      <w:r w:rsidR="0097067C" w:rsidRPr="0067437A">
        <w:rPr>
          <w:rFonts w:asciiTheme="minorHAnsi" w:hAnsiTheme="minorHAnsi"/>
          <w:bCs/>
          <w:snapToGrid w:val="0"/>
        </w:rPr>
        <w:t>in patients with WHO FC III and IV PAH</w:t>
      </w:r>
      <w:r w:rsidRPr="0067437A">
        <w:rPr>
          <w:rFonts w:asciiTheme="minorHAnsi" w:hAnsiTheme="minorHAnsi"/>
          <w:bCs/>
          <w:snapToGrid w:val="0"/>
        </w:rPr>
        <w:t xml:space="preserve">, was superior to placebo </w:t>
      </w:r>
      <w:r w:rsidR="001F4C24" w:rsidRPr="0067437A">
        <w:rPr>
          <w:rFonts w:asciiTheme="minorHAnsi" w:hAnsiTheme="minorHAnsi"/>
          <w:bCs/>
          <w:snapToGrid w:val="0"/>
        </w:rPr>
        <w:t>was reasonable</w:t>
      </w:r>
      <w:r w:rsidR="00050C97" w:rsidRPr="0067437A">
        <w:rPr>
          <w:rFonts w:asciiTheme="minorHAnsi" w:hAnsiTheme="minorHAnsi"/>
          <w:bCs/>
          <w:snapToGrid w:val="0"/>
        </w:rPr>
        <w:t xml:space="preserve">, but that </w:t>
      </w:r>
      <w:r w:rsidRPr="0067437A">
        <w:rPr>
          <w:rFonts w:asciiTheme="minorHAnsi" w:hAnsiTheme="minorHAnsi"/>
          <w:bCs/>
          <w:snapToGrid w:val="0"/>
        </w:rPr>
        <w:t xml:space="preserve">the magnitude of the benefit </w:t>
      </w:r>
      <w:r w:rsidR="00E24146">
        <w:rPr>
          <w:rFonts w:asciiTheme="minorHAnsi" w:hAnsiTheme="minorHAnsi"/>
          <w:bCs/>
          <w:snapToGrid w:val="0"/>
        </w:rPr>
        <w:t>remained</w:t>
      </w:r>
      <w:r w:rsidRPr="0067437A">
        <w:rPr>
          <w:rFonts w:asciiTheme="minorHAnsi" w:hAnsiTheme="minorHAnsi"/>
          <w:bCs/>
          <w:snapToGrid w:val="0"/>
        </w:rPr>
        <w:t xml:space="preserve"> uncertain</w:t>
      </w:r>
      <w:r w:rsidR="00050C97" w:rsidRPr="0067437A">
        <w:rPr>
          <w:rFonts w:asciiTheme="minorHAnsi" w:hAnsiTheme="minorHAnsi"/>
          <w:bCs/>
          <w:snapToGrid w:val="0"/>
        </w:rPr>
        <w:t>.</w:t>
      </w:r>
      <w:r w:rsidRPr="0067437A">
        <w:rPr>
          <w:rFonts w:asciiTheme="minorHAnsi" w:hAnsiTheme="minorHAnsi"/>
          <w:bCs/>
          <w:snapToGrid w:val="0"/>
        </w:rPr>
        <w:t xml:space="preserve"> </w:t>
      </w:r>
    </w:p>
    <w:p w:rsidR="0081252B" w:rsidRPr="0067437A" w:rsidRDefault="002E7466" w:rsidP="0081252B">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PBAC noted no new clinical data on comparative harms was presented and </w:t>
      </w:r>
      <w:r w:rsidR="0010441A" w:rsidRPr="0067437A">
        <w:rPr>
          <w:rFonts w:asciiTheme="minorHAnsi" w:hAnsiTheme="minorHAnsi"/>
          <w:bCs/>
          <w:snapToGrid w:val="0"/>
        </w:rPr>
        <w:t>recalled</w:t>
      </w:r>
      <w:r w:rsidRPr="0067437A">
        <w:rPr>
          <w:rFonts w:asciiTheme="minorHAnsi" w:hAnsiTheme="minorHAnsi"/>
          <w:bCs/>
          <w:snapToGrid w:val="0"/>
        </w:rPr>
        <w:t xml:space="preserve"> that </w:t>
      </w:r>
      <w:r w:rsidR="0010441A" w:rsidRPr="0067437A">
        <w:rPr>
          <w:rFonts w:asciiTheme="minorHAnsi" w:hAnsiTheme="minorHAnsi"/>
          <w:bCs/>
          <w:snapToGrid w:val="0"/>
        </w:rPr>
        <w:t xml:space="preserve">it had previously considered that </w:t>
      </w:r>
      <w:r w:rsidRPr="0067437A">
        <w:rPr>
          <w:rFonts w:asciiTheme="minorHAnsi" w:hAnsiTheme="minorHAnsi"/>
          <w:bCs/>
          <w:snapToGrid w:val="0"/>
        </w:rPr>
        <w:t xml:space="preserve">selexipag was inferior to placebo with regards to comparative safety. The Committee noted </w:t>
      </w:r>
      <w:r w:rsidR="00477872">
        <w:rPr>
          <w:rFonts w:asciiTheme="minorHAnsi" w:hAnsiTheme="minorHAnsi"/>
          <w:bCs/>
          <w:snapToGrid w:val="0"/>
        </w:rPr>
        <w:t xml:space="preserve">that </w:t>
      </w:r>
      <w:r w:rsidRPr="0067437A">
        <w:rPr>
          <w:rFonts w:asciiTheme="minorHAnsi" w:hAnsiTheme="minorHAnsi"/>
          <w:bCs/>
          <w:snapToGrid w:val="0"/>
        </w:rPr>
        <w:t xml:space="preserve">many of the adverse events were consistent with </w:t>
      </w:r>
      <w:r w:rsidR="00477872">
        <w:rPr>
          <w:rFonts w:asciiTheme="minorHAnsi" w:hAnsiTheme="minorHAnsi"/>
          <w:bCs/>
          <w:snapToGrid w:val="0"/>
        </w:rPr>
        <w:t xml:space="preserve">those for </w:t>
      </w:r>
      <w:r w:rsidRPr="0067437A">
        <w:rPr>
          <w:rFonts w:asciiTheme="minorHAnsi" w:hAnsiTheme="minorHAnsi"/>
          <w:bCs/>
          <w:snapToGrid w:val="0"/>
        </w:rPr>
        <w:t xml:space="preserve">other </w:t>
      </w:r>
      <w:r w:rsidR="00D646AE">
        <w:rPr>
          <w:rFonts w:asciiTheme="minorHAnsi" w:hAnsiTheme="minorHAnsi"/>
          <w:bCs/>
          <w:snapToGrid w:val="0"/>
        </w:rPr>
        <w:t>medicines</w:t>
      </w:r>
      <w:r w:rsidR="00D646AE" w:rsidRPr="0067437A">
        <w:rPr>
          <w:rFonts w:asciiTheme="minorHAnsi" w:hAnsiTheme="minorHAnsi"/>
          <w:bCs/>
          <w:snapToGrid w:val="0"/>
        </w:rPr>
        <w:t xml:space="preserve"> </w:t>
      </w:r>
      <w:r w:rsidRPr="0067437A">
        <w:rPr>
          <w:rFonts w:asciiTheme="minorHAnsi" w:hAnsiTheme="minorHAnsi"/>
          <w:bCs/>
          <w:snapToGrid w:val="0"/>
        </w:rPr>
        <w:t xml:space="preserve">which act on the prostacyclin pathway and </w:t>
      </w:r>
      <w:r w:rsidR="0010441A" w:rsidRPr="0067437A">
        <w:rPr>
          <w:rFonts w:asciiTheme="minorHAnsi" w:hAnsiTheme="minorHAnsi"/>
          <w:bCs/>
          <w:snapToGrid w:val="0"/>
        </w:rPr>
        <w:t>that</w:t>
      </w:r>
      <w:r w:rsidRPr="0067437A">
        <w:rPr>
          <w:rFonts w:asciiTheme="minorHAnsi" w:hAnsiTheme="minorHAnsi"/>
          <w:bCs/>
          <w:snapToGrid w:val="0"/>
        </w:rPr>
        <w:t xml:space="preserve"> the long titration period with selexipag is design</w:t>
      </w:r>
      <w:r w:rsidR="0010441A" w:rsidRPr="0067437A">
        <w:rPr>
          <w:rFonts w:asciiTheme="minorHAnsi" w:hAnsiTheme="minorHAnsi"/>
          <w:bCs/>
          <w:snapToGrid w:val="0"/>
        </w:rPr>
        <w:t>ed</w:t>
      </w:r>
      <w:r w:rsidRPr="0067437A">
        <w:rPr>
          <w:rFonts w:asciiTheme="minorHAnsi" w:hAnsiTheme="minorHAnsi"/>
          <w:bCs/>
          <w:snapToGrid w:val="0"/>
        </w:rPr>
        <w:t xml:space="preserve"> to manage these events.</w:t>
      </w:r>
    </w:p>
    <w:p w:rsidR="001907E7" w:rsidRPr="00371A32" w:rsidRDefault="00F34572" w:rsidP="00EA108E">
      <w:pPr>
        <w:widowControl w:val="0"/>
        <w:numPr>
          <w:ilvl w:val="1"/>
          <w:numId w:val="1"/>
        </w:numPr>
        <w:spacing w:after="120"/>
        <w:ind w:left="720"/>
        <w:rPr>
          <w:bCs/>
          <w:snapToGrid w:val="0"/>
        </w:rPr>
      </w:pPr>
      <w:r w:rsidRPr="00371A32">
        <w:rPr>
          <w:rFonts w:asciiTheme="minorHAnsi" w:hAnsiTheme="minorHAnsi"/>
          <w:bCs/>
          <w:snapToGrid w:val="0"/>
        </w:rPr>
        <w:t xml:space="preserve">The </w:t>
      </w:r>
      <w:r w:rsidR="000B40E5" w:rsidRPr="00371A32">
        <w:rPr>
          <w:rFonts w:asciiTheme="minorHAnsi" w:hAnsiTheme="minorHAnsi"/>
          <w:bCs/>
          <w:snapToGrid w:val="0"/>
        </w:rPr>
        <w:t xml:space="preserve">PBAC noted that the </w:t>
      </w:r>
      <w:r w:rsidRPr="00371A32">
        <w:rPr>
          <w:rFonts w:asciiTheme="minorHAnsi" w:hAnsiTheme="minorHAnsi"/>
          <w:bCs/>
          <w:snapToGrid w:val="0"/>
        </w:rPr>
        <w:t xml:space="preserve">resubmission </w:t>
      </w:r>
      <w:r w:rsidR="001907E7" w:rsidRPr="00371A32">
        <w:rPr>
          <w:rFonts w:asciiTheme="minorHAnsi" w:hAnsiTheme="minorHAnsi"/>
          <w:bCs/>
          <w:snapToGrid w:val="0"/>
        </w:rPr>
        <w:t xml:space="preserve">appropriately </w:t>
      </w:r>
      <w:r w:rsidRPr="00371A32">
        <w:rPr>
          <w:rFonts w:asciiTheme="minorHAnsi" w:hAnsiTheme="minorHAnsi"/>
          <w:bCs/>
          <w:snapToGrid w:val="0"/>
        </w:rPr>
        <w:t xml:space="preserve">presented a </w:t>
      </w:r>
      <w:r w:rsidR="000B40E5" w:rsidRPr="00371A32">
        <w:rPr>
          <w:rFonts w:asciiTheme="minorHAnsi" w:hAnsiTheme="minorHAnsi"/>
          <w:bCs/>
          <w:snapToGrid w:val="0"/>
        </w:rPr>
        <w:t xml:space="preserve">trial-based, stepped economic evaluation which resulted in a modelled cost-utility analysis. </w:t>
      </w:r>
      <w:r w:rsidR="001907E7" w:rsidRPr="00371A32">
        <w:rPr>
          <w:rFonts w:asciiTheme="minorHAnsi" w:hAnsiTheme="minorHAnsi"/>
          <w:bCs/>
          <w:snapToGrid w:val="0"/>
        </w:rPr>
        <w:t xml:space="preserve">The </w:t>
      </w:r>
      <w:r w:rsidR="00371A32" w:rsidRPr="00371A32">
        <w:rPr>
          <w:rFonts w:asciiTheme="minorHAnsi" w:hAnsiTheme="minorHAnsi"/>
          <w:bCs/>
          <w:snapToGrid w:val="0"/>
        </w:rPr>
        <w:t xml:space="preserve">model </w:t>
      </w:r>
      <w:r w:rsidR="00D646AE">
        <w:rPr>
          <w:rFonts w:asciiTheme="minorHAnsi" w:hAnsiTheme="minorHAnsi"/>
          <w:bCs/>
          <w:snapToGrid w:val="0"/>
        </w:rPr>
        <w:t>utilised</w:t>
      </w:r>
      <w:r w:rsidR="00371A32" w:rsidRPr="00371A32">
        <w:rPr>
          <w:rFonts w:asciiTheme="minorHAnsi" w:hAnsiTheme="minorHAnsi"/>
          <w:bCs/>
          <w:snapToGrid w:val="0"/>
        </w:rPr>
        <w:t xml:space="preserve"> </w:t>
      </w:r>
      <w:r w:rsidR="001907E7" w:rsidRPr="00371A32">
        <w:rPr>
          <w:rFonts w:asciiTheme="minorHAnsi" w:hAnsiTheme="minorHAnsi"/>
          <w:bCs/>
          <w:snapToGrid w:val="0"/>
        </w:rPr>
        <w:t>four health state</w:t>
      </w:r>
      <w:r w:rsidR="00371A32" w:rsidRPr="00371A32">
        <w:rPr>
          <w:rFonts w:asciiTheme="minorHAnsi" w:hAnsiTheme="minorHAnsi"/>
          <w:bCs/>
          <w:snapToGrid w:val="0"/>
        </w:rPr>
        <w:t xml:space="preserve"> (</w:t>
      </w:r>
      <w:r w:rsidR="00371A32" w:rsidRPr="00371A32">
        <w:rPr>
          <w:bCs/>
        </w:rPr>
        <w:t>Improved PAH, Stable PAH, Progressed PAH and Death</w:t>
      </w:r>
      <w:r w:rsidR="00371A32">
        <w:rPr>
          <w:bCs/>
        </w:rPr>
        <w:t xml:space="preserve">) and </w:t>
      </w:r>
      <w:r w:rsidR="001907E7" w:rsidRPr="00371A32">
        <w:rPr>
          <w:bCs/>
          <w:snapToGrid w:val="0"/>
        </w:rPr>
        <w:t>a time horizon of 20 years</w:t>
      </w:r>
      <w:r w:rsidR="00371A32">
        <w:rPr>
          <w:bCs/>
          <w:snapToGrid w:val="0"/>
        </w:rPr>
        <w:t>.</w:t>
      </w:r>
      <w:r w:rsidR="001907E7" w:rsidRPr="00371A32">
        <w:rPr>
          <w:bCs/>
          <w:snapToGrid w:val="0"/>
        </w:rPr>
        <w:t xml:space="preserve"> </w:t>
      </w:r>
      <w:r w:rsidR="00371A32">
        <w:rPr>
          <w:bCs/>
          <w:snapToGrid w:val="0"/>
        </w:rPr>
        <w:t xml:space="preserve">The modelled population </w:t>
      </w:r>
      <w:r w:rsidR="001907E7" w:rsidRPr="00371A32">
        <w:rPr>
          <w:bCs/>
          <w:snapToGrid w:val="0"/>
        </w:rPr>
        <w:t xml:space="preserve">was based on the GRIPHON subgroup of patients with WHO FC III symptoms and receiving dual background therapy at baseline. </w:t>
      </w:r>
    </w:p>
    <w:p w:rsidR="000B40E5" w:rsidRPr="00D646AE" w:rsidRDefault="00D31995" w:rsidP="00AC2705">
      <w:pPr>
        <w:widowControl w:val="0"/>
        <w:numPr>
          <w:ilvl w:val="1"/>
          <w:numId w:val="1"/>
        </w:numPr>
        <w:spacing w:after="120"/>
        <w:ind w:left="720"/>
        <w:rPr>
          <w:rFonts w:asciiTheme="minorHAnsi" w:hAnsiTheme="minorHAnsi"/>
          <w:bCs/>
          <w:snapToGrid w:val="0"/>
        </w:rPr>
      </w:pPr>
      <w:r w:rsidRPr="00D646AE">
        <w:rPr>
          <w:rFonts w:asciiTheme="minorHAnsi" w:hAnsiTheme="minorHAnsi"/>
          <w:bCs/>
          <w:snapToGrid w:val="0"/>
        </w:rPr>
        <w:t>The base case ICER</w:t>
      </w:r>
      <w:r w:rsidR="00D646AE" w:rsidRPr="00D646AE">
        <w:rPr>
          <w:rFonts w:asciiTheme="minorHAnsi" w:hAnsiTheme="minorHAnsi"/>
          <w:bCs/>
          <w:snapToGrid w:val="0"/>
        </w:rPr>
        <w:t xml:space="preserve"> presented in the resubmission was</w:t>
      </w:r>
      <w:r w:rsidRPr="00D646AE">
        <w:rPr>
          <w:rFonts w:asciiTheme="minorHAnsi" w:hAnsiTheme="minorHAnsi"/>
          <w:bCs/>
          <w:snapToGrid w:val="0"/>
        </w:rPr>
        <w:t xml:space="preserve"> $</w:t>
      </w:r>
      <w:r w:rsidR="009A6604">
        <w:rPr>
          <w:rFonts w:asciiTheme="minorHAnsi" w:hAnsiTheme="minorHAnsi"/>
          <w:bCs/>
          <w:snapToGrid w:val="0"/>
        </w:rPr>
        <w:t>45,000 to $</w:t>
      </w:r>
      <w:r w:rsidR="00A43FF8">
        <w:rPr>
          <w:rFonts w:asciiTheme="minorHAnsi" w:hAnsiTheme="minorHAnsi"/>
          <w:bCs/>
          <w:snapToGrid w:val="0"/>
        </w:rPr>
        <w:t>7</w:t>
      </w:r>
      <w:r w:rsidR="009A6604">
        <w:rPr>
          <w:rFonts w:asciiTheme="minorHAnsi" w:hAnsiTheme="minorHAnsi"/>
          <w:bCs/>
          <w:snapToGrid w:val="0"/>
        </w:rPr>
        <w:t>5,000</w:t>
      </w:r>
      <w:r w:rsidR="008947BE">
        <w:rPr>
          <w:rFonts w:asciiTheme="minorHAnsi" w:hAnsiTheme="minorHAnsi"/>
          <w:bCs/>
          <w:snapToGrid w:val="0"/>
        </w:rPr>
        <w:t xml:space="preserve"> per </w:t>
      </w:r>
      <w:r w:rsidR="00D646AE" w:rsidRPr="00D646AE">
        <w:rPr>
          <w:rFonts w:asciiTheme="minorHAnsi" w:hAnsiTheme="minorHAnsi"/>
          <w:bCs/>
          <w:snapToGrid w:val="0"/>
        </w:rPr>
        <w:t>QALY gained</w:t>
      </w:r>
      <w:r w:rsidRPr="00D646AE">
        <w:rPr>
          <w:rFonts w:asciiTheme="minorHAnsi" w:hAnsiTheme="minorHAnsi"/>
          <w:bCs/>
          <w:snapToGrid w:val="0"/>
        </w:rPr>
        <w:t xml:space="preserve">. </w:t>
      </w:r>
      <w:r w:rsidR="00371A32" w:rsidRPr="0067437A">
        <w:t xml:space="preserve">The </w:t>
      </w:r>
      <w:r w:rsidR="00371A32">
        <w:t xml:space="preserve">PBAC noted </w:t>
      </w:r>
      <w:r w:rsidR="00371A32" w:rsidRPr="0067437A">
        <w:t>ESC</w:t>
      </w:r>
      <w:r w:rsidR="00371A32">
        <w:t>’s concerns regarding the modelled evaluation</w:t>
      </w:r>
      <w:r w:rsidR="00E24146">
        <w:t>,</w:t>
      </w:r>
      <w:r w:rsidR="00371A32">
        <w:t xml:space="preserve"> including</w:t>
      </w:r>
      <w:r w:rsidR="00371A32" w:rsidRPr="0067437A">
        <w:t xml:space="preserve"> </w:t>
      </w:r>
      <w:r w:rsidR="00E24146">
        <w:t xml:space="preserve">the </w:t>
      </w:r>
      <w:r w:rsidR="00371A32" w:rsidRPr="0067437A">
        <w:t>limitations of the clinical data (i.e. no data for patients with WHO FC IV PAH)</w:t>
      </w:r>
      <w:r w:rsidR="00E70CD3">
        <w:t>,</w:t>
      </w:r>
      <w:r w:rsidR="00371A32" w:rsidRPr="0067437A">
        <w:t xml:space="preserve"> uncertainty surrounding the magnitude of benefit in patients with WHO FC III PAH, </w:t>
      </w:r>
      <w:r w:rsidR="00E70CD3">
        <w:t>and</w:t>
      </w:r>
      <w:r w:rsidR="00371A32" w:rsidRPr="0067437A">
        <w:t xml:space="preserve"> structural issues around </w:t>
      </w:r>
      <w:r w:rsidR="00E24146">
        <w:t xml:space="preserve">the </w:t>
      </w:r>
      <w:r w:rsidR="00371A32" w:rsidRPr="0067437A">
        <w:t>application of</w:t>
      </w:r>
      <w:r w:rsidR="00C7328F">
        <w:t xml:space="preserve"> progression rates in the model. </w:t>
      </w:r>
      <w:r w:rsidR="00371A32" w:rsidRPr="0067437A">
        <w:t xml:space="preserve"> </w:t>
      </w:r>
      <w:r w:rsidR="00C7328F" w:rsidRPr="00D646AE">
        <w:rPr>
          <w:rFonts w:asciiTheme="minorHAnsi" w:hAnsiTheme="minorHAnsi"/>
          <w:bCs/>
          <w:snapToGrid w:val="0"/>
        </w:rPr>
        <w:t xml:space="preserve">The </w:t>
      </w:r>
      <w:r w:rsidR="00C7328F" w:rsidRPr="00D646AE">
        <w:rPr>
          <w:rFonts w:asciiTheme="minorHAnsi" w:hAnsiTheme="minorHAnsi"/>
          <w:bCs/>
          <w:snapToGrid w:val="0"/>
        </w:rPr>
        <w:lastRenderedPageBreak/>
        <w:t xml:space="preserve">PBAC further noted the high degree of uncertainty </w:t>
      </w:r>
      <w:r w:rsidR="00E70CD3">
        <w:rPr>
          <w:rFonts w:asciiTheme="minorHAnsi" w:hAnsiTheme="minorHAnsi"/>
          <w:bCs/>
          <w:snapToGrid w:val="0"/>
        </w:rPr>
        <w:t>for</w:t>
      </w:r>
      <w:r w:rsidR="00C7328F" w:rsidRPr="00D646AE">
        <w:rPr>
          <w:rFonts w:asciiTheme="minorHAnsi" w:hAnsiTheme="minorHAnsi"/>
          <w:bCs/>
          <w:snapToGrid w:val="0"/>
        </w:rPr>
        <w:t xml:space="preserve"> a number of the key model inputs, including the proportion of patients treated with IV epoprost</w:t>
      </w:r>
      <w:r w:rsidR="008947BE">
        <w:rPr>
          <w:rFonts w:asciiTheme="minorHAnsi" w:hAnsiTheme="minorHAnsi"/>
          <w:bCs/>
          <w:snapToGrid w:val="0"/>
        </w:rPr>
        <w:t>e</w:t>
      </w:r>
      <w:r w:rsidR="00C7328F" w:rsidRPr="00D646AE">
        <w:rPr>
          <w:rFonts w:asciiTheme="minorHAnsi" w:hAnsiTheme="minorHAnsi"/>
          <w:bCs/>
          <w:snapToGrid w:val="0"/>
        </w:rPr>
        <w:t>nol</w:t>
      </w:r>
      <w:r w:rsidR="00D646AE">
        <w:rPr>
          <w:rFonts w:asciiTheme="minorHAnsi" w:hAnsiTheme="minorHAnsi"/>
          <w:bCs/>
          <w:snapToGrid w:val="0"/>
        </w:rPr>
        <w:t xml:space="preserve"> upon disease progression</w:t>
      </w:r>
      <w:r w:rsidR="00205D67" w:rsidRPr="00D646AE">
        <w:rPr>
          <w:rFonts w:asciiTheme="minorHAnsi" w:hAnsiTheme="minorHAnsi"/>
          <w:bCs/>
          <w:snapToGrid w:val="0"/>
        </w:rPr>
        <w:t>, the reduced quality of life (disutility) associated with IV epoprost</w:t>
      </w:r>
      <w:r w:rsidR="008947BE">
        <w:rPr>
          <w:rFonts w:asciiTheme="minorHAnsi" w:hAnsiTheme="minorHAnsi"/>
          <w:bCs/>
          <w:snapToGrid w:val="0"/>
        </w:rPr>
        <w:t>e</w:t>
      </w:r>
      <w:r w:rsidR="00205D67" w:rsidRPr="00D646AE">
        <w:rPr>
          <w:rFonts w:asciiTheme="minorHAnsi" w:hAnsiTheme="minorHAnsi"/>
          <w:bCs/>
          <w:snapToGrid w:val="0"/>
        </w:rPr>
        <w:t>nol treatment and the assumed number of PAH related hospitalisations</w:t>
      </w:r>
      <w:r w:rsidR="00E24146">
        <w:rPr>
          <w:rFonts w:asciiTheme="minorHAnsi" w:hAnsiTheme="minorHAnsi"/>
          <w:bCs/>
          <w:snapToGrid w:val="0"/>
        </w:rPr>
        <w:t xml:space="preserve">. The PBAC considered </w:t>
      </w:r>
      <w:r w:rsidR="00C7328F" w:rsidRPr="00D646AE">
        <w:rPr>
          <w:rFonts w:asciiTheme="minorHAnsi" w:hAnsiTheme="minorHAnsi"/>
          <w:bCs/>
          <w:snapToGrid w:val="0"/>
        </w:rPr>
        <w:t>that the</w:t>
      </w:r>
      <w:r w:rsidR="00D646AE">
        <w:rPr>
          <w:rFonts w:asciiTheme="minorHAnsi" w:hAnsiTheme="minorHAnsi"/>
          <w:bCs/>
          <w:snapToGrid w:val="0"/>
        </w:rPr>
        <w:t xml:space="preserve"> results of the</w:t>
      </w:r>
      <w:r w:rsidR="00C7328F" w:rsidRPr="00D646AE">
        <w:rPr>
          <w:rFonts w:asciiTheme="minorHAnsi" w:hAnsiTheme="minorHAnsi"/>
          <w:bCs/>
          <w:snapToGrid w:val="0"/>
        </w:rPr>
        <w:t xml:space="preserve"> univariate and multivariate analyses demonstrated a high degree of sensitivity to these inputs. </w:t>
      </w:r>
      <w:r w:rsidR="00205D67" w:rsidRPr="00D646AE">
        <w:rPr>
          <w:rFonts w:asciiTheme="minorHAnsi" w:hAnsiTheme="minorHAnsi"/>
          <w:bCs/>
          <w:snapToGrid w:val="0"/>
        </w:rPr>
        <w:t>The PBAC agreed with ESC</w:t>
      </w:r>
      <w:r w:rsidR="00E24146">
        <w:rPr>
          <w:rFonts w:asciiTheme="minorHAnsi" w:hAnsiTheme="minorHAnsi"/>
          <w:bCs/>
          <w:snapToGrid w:val="0"/>
        </w:rPr>
        <w:t xml:space="preserve"> and considered </w:t>
      </w:r>
      <w:r w:rsidR="00371A32" w:rsidRPr="0067437A">
        <w:t>that</w:t>
      </w:r>
      <w:r w:rsidR="00E24146">
        <w:t>,</w:t>
      </w:r>
      <w:r w:rsidR="00371A32" w:rsidRPr="0067437A">
        <w:t xml:space="preserve"> </w:t>
      </w:r>
      <w:r w:rsidR="00205D67">
        <w:t xml:space="preserve">given </w:t>
      </w:r>
      <w:r w:rsidR="00371A32" w:rsidRPr="0067437A">
        <w:t xml:space="preserve">the model </w:t>
      </w:r>
      <w:r w:rsidR="00205D67">
        <w:t>uncertainties</w:t>
      </w:r>
      <w:r w:rsidR="00E70CD3">
        <w:t>, the</w:t>
      </w:r>
      <w:r w:rsidR="00205D67">
        <w:t xml:space="preserve"> </w:t>
      </w:r>
      <w:r w:rsidR="00371A32" w:rsidRPr="0067437A">
        <w:t xml:space="preserve">inputs </w:t>
      </w:r>
      <w:r w:rsidR="00205D67">
        <w:t xml:space="preserve">for the base case analysis </w:t>
      </w:r>
      <w:r w:rsidR="00371A32" w:rsidRPr="0067437A">
        <w:t xml:space="preserve">should be conservative. </w:t>
      </w:r>
      <w:r w:rsidR="00695AC7" w:rsidRPr="00D646AE">
        <w:rPr>
          <w:rFonts w:asciiTheme="minorHAnsi" w:hAnsiTheme="minorHAnsi"/>
          <w:bCs/>
          <w:snapToGrid w:val="0"/>
        </w:rPr>
        <w:t xml:space="preserve"> </w:t>
      </w:r>
    </w:p>
    <w:p w:rsidR="00161E36" w:rsidRPr="0067437A" w:rsidRDefault="00695AC7" w:rsidP="00CF757C">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PBAC noted the </w:t>
      </w:r>
      <w:r w:rsidR="00205D67">
        <w:rPr>
          <w:rFonts w:asciiTheme="minorHAnsi" w:hAnsiTheme="minorHAnsi"/>
          <w:bCs/>
          <w:snapToGrid w:val="0"/>
        </w:rPr>
        <w:t xml:space="preserve">reduced </w:t>
      </w:r>
      <w:r w:rsidRPr="0067437A">
        <w:rPr>
          <w:rFonts w:asciiTheme="minorHAnsi" w:hAnsiTheme="minorHAnsi"/>
          <w:bCs/>
          <w:snapToGrid w:val="0"/>
        </w:rPr>
        <w:t>price</w:t>
      </w:r>
      <w:r w:rsidR="00205D67">
        <w:rPr>
          <w:rFonts w:asciiTheme="minorHAnsi" w:hAnsiTheme="minorHAnsi"/>
          <w:bCs/>
          <w:snapToGrid w:val="0"/>
        </w:rPr>
        <w:t xml:space="preserve"> of selexipag</w:t>
      </w:r>
      <w:r w:rsidRPr="0067437A">
        <w:rPr>
          <w:rFonts w:asciiTheme="minorHAnsi" w:hAnsiTheme="minorHAnsi"/>
          <w:bCs/>
          <w:snapToGrid w:val="0"/>
        </w:rPr>
        <w:t xml:space="preserve"> </w:t>
      </w:r>
      <w:r w:rsidR="008947BE">
        <w:rPr>
          <w:rFonts w:asciiTheme="minorHAnsi" w:hAnsiTheme="minorHAnsi"/>
          <w:bCs/>
          <w:snapToGrid w:val="0"/>
        </w:rPr>
        <w:t xml:space="preserve">proposed </w:t>
      </w:r>
      <w:r w:rsidRPr="0067437A">
        <w:rPr>
          <w:rFonts w:asciiTheme="minorHAnsi" w:hAnsiTheme="minorHAnsi"/>
          <w:bCs/>
          <w:snapToGrid w:val="0"/>
        </w:rPr>
        <w:t>in the pre-PBAC response</w:t>
      </w:r>
      <w:r w:rsidR="00161E36" w:rsidRPr="0067437A">
        <w:rPr>
          <w:rFonts w:asciiTheme="minorHAnsi" w:hAnsiTheme="minorHAnsi"/>
          <w:bCs/>
          <w:snapToGrid w:val="0"/>
        </w:rPr>
        <w:t xml:space="preserve"> </w:t>
      </w:r>
      <w:r w:rsidR="00205D67">
        <w:rPr>
          <w:rFonts w:asciiTheme="minorHAnsi" w:hAnsiTheme="minorHAnsi"/>
          <w:bCs/>
          <w:snapToGrid w:val="0"/>
        </w:rPr>
        <w:t>reduced the</w:t>
      </w:r>
      <w:r w:rsidRPr="0067437A">
        <w:rPr>
          <w:rFonts w:asciiTheme="minorHAnsi" w:hAnsiTheme="minorHAnsi"/>
          <w:bCs/>
          <w:snapToGrid w:val="0"/>
        </w:rPr>
        <w:t xml:space="preserve"> ICER</w:t>
      </w:r>
      <w:r w:rsidR="00205D67">
        <w:rPr>
          <w:rFonts w:asciiTheme="minorHAnsi" w:hAnsiTheme="minorHAnsi"/>
          <w:bCs/>
          <w:snapToGrid w:val="0"/>
        </w:rPr>
        <w:t xml:space="preserve"> for the resubmission’s base case from $</w:t>
      </w:r>
      <w:r w:rsidR="009A6604">
        <w:rPr>
          <w:rFonts w:asciiTheme="minorHAnsi" w:hAnsiTheme="minorHAnsi"/>
          <w:bCs/>
          <w:snapToGrid w:val="0"/>
        </w:rPr>
        <w:t>45,000 to</w:t>
      </w:r>
      <w:r w:rsidR="00A43FF8">
        <w:rPr>
          <w:rFonts w:asciiTheme="minorHAnsi" w:hAnsiTheme="minorHAnsi"/>
          <w:bCs/>
          <w:snapToGrid w:val="0"/>
        </w:rPr>
        <w:t xml:space="preserve"> </w:t>
      </w:r>
      <w:r w:rsidR="009A6604">
        <w:rPr>
          <w:rFonts w:asciiTheme="minorHAnsi" w:hAnsiTheme="minorHAnsi"/>
          <w:bCs/>
          <w:snapToGrid w:val="0"/>
        </w:rPr>
        <w:t>$</w:t>
      </w:r>
      <w:r w:rsidR="00A43FF8">
        <w:rPr>
          <w:rFonts w:asciiTheme="minorHAnsi" w:hAnsiTheme="minorHAnsi"/>
          <w:bCs/>
          <w:snapToGrid w:val="0"/>
        </w:rPr>
        <w:t>7</w:t>
      </w:r>
      <w:r w:rsidR="009A6604">
        <w:rPr>
          <w:rFonts w:asciiTheme="minorHAnsi" w:hAnsiTheme="minorHAnsi"/>
          <w:bCs/>
          <w:snapToGrid w:val="0"/>
        </w:rPr>
        <w:t>5,000</w:t>
      </w:r>
      <w:r w:rsidRPr="0067437A">
        <w:rPr>
          <w:rFonts w:asciiTheme="minorHAnsi" w:hAnsiTheme="minorHAnsi"/>
          <w:bCs/>
          <w:snapToGrid w:val="0"/>
        </w:rPr>
        <w:t xml:space="preserve"> </w:t>
      </w:r>
      <w:r w:rsidR="00205D67">
        <w:rPr>
          <w:rFonts w:asciiTheme="minorHAnsi" w:hAnsiTheme="minorHAnsi"/>
          <w:bCs/>
          <w:snapToGrid w:val="0"/>
        </w:rPr>
        <w:t>to</w:t>
      </w:r>
      <w:r w:rsidRPr="0067437A">
        <w:rPr>
          <w:rFonts w:asciiTheme="minorHAnsi" w:hAnsiTheme="minorHAnsi"/>
          <w:bCs/>
          <w:snapToGrid w:val="0"/>
        </w:rPr>
        <w:t xml:space="preserve"> $</w:t>
      </w:r>
      <w:r w:rsidR="009A6604">
        <w:rPr>
          <w:rFonts w:asciiTheme="minorHAnsi" w:hAnsiTheme="minorHAnsi"/>
          <w:bCs/>
          <w:snapToGrid w:val="0"/>
        </w:rPr>
        <w:t>15,000</w:t>
      </w:r>
      <w:r w:rsidR="00A43FF8">
        <w:rPr>
          <w:rFonts w:asciiTheme="minorHAnsi" w:hAnsiTheme="minorHAnsi"/>
          <w:bCs/>
          <w:snapToGrid w:val="0"/>
        </w:rPr>
        <w:t xml:space="preserve"> to </w:t>
      </w:r>
      <w:r w:rsidR="009A6604">
        <w:rPr>
          <w:rFonts w:asciiTheme="minorHAnsi" w:hAnsiTheme="minorHAnsi"/>
          <w:bCs/>
          <w:snapToGrid w:val="0"/>
        </w:rPr>
        <w:t>$</w:t>
      </w:r>
      <w:r w:rsidR="00A43FF8">
        <w:rPr>
          <w:rFonts w:asciiTheme="minorHAnsi" w:hAnsiTheme="minorHAnsi"/>
          <w:bCs/>
          <w:snapToGrid w:val="0"/>
        </w:rPr>
        <w:t>4</w:t>
      </w:r>
      <w:r w:rsidR="009A6604">
        <w:rPr>
          <w:rFonts w:asciiTheme="minorHAnsi" w:hAnsiTheme="minorHAnsi"/>
          <w:bCs/>
          <w:snapToGrid w:val="0"/>
        </w:rPr>
        <w:t>5,000</w:t>
      </w:r>
      <w:r w:rsidR="008947BE">
        <w:rPr>
          <w:rFonts w:asciiTheme="minorHAnsi" w:hAnsiTheme="minorHAnsi"/>
          <w:bCs/>
          <w:snapToGrid w:val="0"/>
        </w:rPr>
        <w:t xml:space="preserve"> per </w:t>
      </w:r>
      <w:r w:rsidRPr="0067437A">
        <w:rPr>
          <w:rFonts w:asciiTheme="minorHAnsi" w:hAnsiTheme="minorHAnsi"/>
          <w:bCs/>
          <w:snapToGrid w:val="0"/>
        </w:rPr>
        <w:t>QALY</w:t>
      </w:r>
      <w:r w:rsidR="00D646AE">
        <w:rPr>
          <w:rFonts w:asciiTheme="minorHAnsi" w:hAnsiTheme="minorHAnsi"/>
          <w:bCs/>
          <w:snapToGrid w:val="0"/>
        </w:rPr>
        <w:t xml:space="preserve"> gained</w:t>
      </w:r>
      <w:r w:rsidR="00205D67">
        <w:rPr>
          <w:rFonts w:asciiTheme="minorHAnsi" w:hAnsiTheme="minorHAnsi"/>
          <w:bCs/>
          <w:snapToGrid w:val="0"/>
        </w:rPr>
        <w:t xml:space="preserve">, however </w:t>
      </w:r>
      <w:r w:rsidR="00ED606B">
        <w:rPr>
          <w:rFonts w:asciiTheme="minorHAnsi" w:hAnsiTheme="minorHAnsi"/>
          <w:bCs/>
          <w:snapToGrid w:val="0"/>
        </w:rPr>
        <w:t>considered this ICER to be unreliable given the issues noted above</w:t>
      </w:r>
      <w:r w:rsidR="00161E36" w:rsidRPr="0067437A">
        <w:rPr>
          <w:rFonts w:asciiTheme="minorHAnsi" w:hAnsiTheme="minorHAnsi"/>
          <w:bCs/>
          <w:snapToGrid w:val="0"/>
        </w:rPr>
        <w:t>. The PBAC co</w:t>
      </w:r>
      <w:r w:rsidRPr="0067437A">
        <w:rPr>
          <w:rFonts w:asciiTheme="minorHAnsi" w:hAnsiTheme="minorHAnsi"/>
          <w:bCs/>
          <w:snapToGrid w:val="0"/>
        </w:rPr>
        <w:t>nsidered</w:t>
      </w:r>
      <w:r w:rsidR="00ED606B">
        <w:rPr>
          <w:rFonts w:asciiTheme="minorHAnsi" w:hAnsiTheme="minorHAnsi"/>
          <w:bCs/>
          <w:snapToGrid w:val="0"/>
        </w:rPr>
        <w:t xml:space="preserve"> </w:t>
      </w:r>
      <w:r w:rsidR="00161E36" w:rsidRPr="0067437A">
        <w:rPr>
          <w:rFonts w:asciiTheme="minorHAnsi" w:hAnsiTheme="minorHAnsi"/>
          <w:bCs/>
          <w:snapToGrid w:val="0"/>
        </w:rPr>
        <w:t xml:space="preserve">the key model inputs </w:t>
      </w:r>
      <w:r w:rsidR="00ED606B">
        <w:rPr>
          <w:rFonts w:asciiTheme="minorHAnsi" w:hAnsiTheme="minorHAnsi"/>
          <w:bCs/>
          <w:snapToGrid w:val="0"/>
        </w:rPr>
        <w:t xml:space="preserve">would be appropriately conservative if they were </w:t>
      </w:r>
      <w:r w:rsidR="00161E36" w:rsidRPr="0067437A">
        <w:rPr>
          <w:rFonts w:asciiTheme="minorHAnsi" w:hAnsiTheme="minorHAnsi"/>
          <w:bCs/>
          <w:snapToGrid w:val="0"/>
        </w:rPr>
        <w:t>re</w:t>
      </w:r>
      <w:r w:rsidR="002372A0" w:rsidRPr="0067437A">
        <w:rPr>
          <w:rFonts w:asciiTheme="minorHAnsi" w:hAnsiTheme="minorHAnsi"/>
          <w:bCs/>
          <w:snapToGrid w:val="0"/>
        </w:rPr>
        <w:t>-</w:t>
      </w:r>
      <w:r w:rsidR="00161E36" w:rsidRPr="0067437A">
        <w:rPr>
          <w:rFonts w:asciiTheme="minorHAnsi" w:hAnsiTheme="minorHAnsi"/>
          <w:bCs/>
          <w:snapToGrid w:val="0"/>
        </w:rPr>
        <w:t>specified as follows:</w:t>
      </w:r>
    </w:p>
    <w:p w:rsidR="00161E36" w:rsidRPr="0067437A" w:rsidRDefault="00161E36" w:rsidP="00161E36">
      <w:pPr>
        <w:pStyle w:val="ListParagraph"/>
        <w:numPr>
          <w:ilvl w:val="0"/>
          <w:numId w:val="38"/>
        </w:numPr>
        <w:ind w:left="1077" w:hanging="357"/>
      </w:pPr>
      <w:r w:rsidRPr="0067437A">
        <w:t>the proportion of patients receiving IV epoprostenol upon disease progression</w:t>
      </w:r>
      <w:r w:rsidR="00ED606B">
        <w:t xml:space="preserve"> </w:t>
      </w:r>
      <w:r w:rsidR="00E70CD3">
        <w:t xml:space="preserve">is </w:t>
      </w:r>
      <w:r w:rsidRPr="0067437A">
        <w:t>reduced from 80% to 50%</w:t>
      </w:r>
      <w:r w:rsidR="00D05ED6">
        <w:t xml:space="preserve"> based on the lower bound as calculated in t</w:t>
      </w:r>
      <w:r w:rsidR="00D05ED6" w:rsidRPr="0067437A">
        <w:rPr>
          <w:szCs w:val="22"/>
          <w:lang w:eastAsia="en-US"/>
        </w:rPr>
        <w:t xml:space="preserve">he pre-PBAC response </w:t>
      </w:r>
      <w:r w:rsidR="00D05ED6">
        <w:rPr>
          <w:szCs w:val="22"/>
          <w:lang w:eastAsia="en-US"/>
        </w:rPr>
        <w:t>using</w:t>
      </w:r>
      <w:r w:rsidR="00D05ED6" w:rsidRPr="0067437A">
        <w:rPr>
          <w:szCs w:val="22"/>
          <w:lang w:eastAsia="en-US"/>
        </w:rPr>
        <w:t xml:space="preserve"> data from a retrospective chart review of an Australian PAH clinic (Feenstra </w:t>
      </w:r>
      <w:r w:rsidR="004E3E98">
        <w:rPr>
          <w:szCs w:val="22"/>
          <w:lang w:eastAsia="en-US"/>
        </w:rPr>
        <w:t xml:space="preserve">et al, </w:t>
      </w:r>
      <w:r w:rsidR="00D05ED6" w:rsidRPr="0067437A">
        <w:rPr>
          <w:szCs w:val="22"/>
          <w:lang w:eastAsia="en-US"/>
        </w:rPr>
        <w:t>2019)</w:t>
      </w:r>
      <w:r w:rsidR="00D05ED6">
        <w:rPr>
          <w:szCs w:val="22"/>
          <w:lang w:eastAsia="en-US"/>
        </w:rPr>
        <w:t>;</w:t>
      </w:r>
    </w:p>
    <w:p w:rsidR="00161E36" w:rsidRPr="0067437A" w:rsidRDefault="00161E36" w:rsidP="00161E36">
      <w:pPr>
        <w:pStyle w:val="ListParagraph"/>
        <w:numPr>
          <w:ilvl w:val="0"/>
          <w:numId w:val="38"/>
        </w:numPr>
        <w:ind w:left="1077" w:hanging="357"/>
      </w:pPr>
      <w:r w:rsidRPr="0067437A">
        <w:t xml:space="preserve">the </w:t>
      </w:r>
      <w:r w:rsidR="00402A5F">
        <w:t>PBAC acknowledged that IV epoprostenol can have a significant impact on patients’ quality of life</w:t>
      </w:r>
      <w:r w:rsidR="0086270B" w:rsidRPr="0067437A">
        <w:t>;</w:t>
      </w:r>
      <w:r w:rsidR="00ED606B">
        <w:t xml:space="preserve"> </w:t>
      </w:r>
      <w:r w:rsidR="00402A5F">
        <w:t>however, considered that the utility decrement applied in the resubmission of 0.307 appeared large. The PBAC considered that a reasonable conservative estimate would be 0.1535 (i.e. half that assumed in the resubmission);</w:t>
      </w:r>
      <w:r w:rsidR="006B4147" w:rsidRPr="0067437A">
        <w:t xml:space="preserve"> </w:t>
      </w:r>
    </w:p>
    <w:p w:rsidR="00285B5F" w:rsidRPr="0067437A" w:rsidRDefault="00285B5F" w:rsidP="00285B5F">
      <w:pPr>
        <w:pStyle w:val="ListParagraph"/>
        <w:numPr>
          <w:ilvl w:val="0"/>
          <w:numId w:val="38"/>
        </w:numPr>
        <w:ind w:left="1077" w:hanging="357"/>
      </w:pPr>
      <w:r w:rsidRPr="0067437A">
        <w:t xml:space="preserve">the number of </w:t>
      </w:r>
      <w:r>
        <w:t xml:space="preserve">PAH related </w:t>
      </w:r>
      <w:r w:rsidRPr="0067437A">
        <w:t xml:space="preserve">hospitalisations per patient per year </w:t>
      </w:r>
      <w:r>
        <w:t xml:space="preserve">is </w:t>
      </w:r>
      <w:r w:rsidRPr="0067437A">
        <w:t>reduced from 2 to 0.375</w:t>
      </w:r>
      <w:r>
        <w:t xml:space="preserve"> </w:t>
      </w:r>
      <w:r w:rsidRPr="00285B5F">
        <w:t xml:space="preserve">based on the </w:t>
      </w:r>
      <w:r w:rsidRPr="00285B5F">
        <w:rPr>
          <w:lang w:eastAsia="en-US"/>
        </w:rPr>
        <w:t>mean number of inpatient admissions as reported in Beaudet et al 2019</w:t>
      </w:r>
      <w:r w:rsidRPr="00285B5F">
        <w:t xml:space="preserve">. </w:t>
      </w:r>
      <w:r w:rsidRPr="00285B5F">
        <w:rPr>
          <w:rFonts w:cs="Times New Roman"/>
          <w:iCs/>
          <w:lang w:eastAsia="zh-CN"/>
        </w:rPr>
        <w:t xml:space="preserve">Following the PBAC meeting it was identified that the rate of 0.375 hospitalisation per year incorrectly assumed that hospitalisations were averaged over the 44.8 month follow-up period rather than 1 year. The PBAC considered that the rate of 2 hospitalisations per year assumed in the submission, and the rate of 1.4 per year reported in the </w:t>
      </w:r>
      <w:r w:rsidRPr="00285B5F">
        <w:rPr>
          <w:lang w:eastAsia="en-US"/>
        </w:rPr>
        <w:t>Beaudet et al 2019 conference abstract, to be higher than expected in Australian clinical practice.</w:t>
      </w:r>
    </w:p>
    <w:p w:rsidR="00161E36" w:rsidRPr="0067437A" w:rsidRDefault="006B4147" w:rsidP="00CF757C">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PBAC noted that the above changes </w:t>
      </w:r>
      <w:r w:rsidR="00F317BD">
        <w:rPr>
          <w:rFonts w:asciiTheme="minorHAnsi" w:hAnsiTheme="minorHAnsi"/>
          <w:bCs/>
          <w:snapToGrid w:val="0"/>
        </w:rPr>
        <w:t>increased</w:t>
      </w:r>
      <w:r w:rsidR="00D646AE">
        <w:rPr>
          <w:rFonts w:asciiTheme="minorHAnsi" w:hAnsiTheme="minorHAnsi"/>
          <w:bCs/>
          <w:snapToGrid w:val="0"/>
        </w:rPr>
        <w:t xml:space="preserve"> </w:t>
      </w:r>
      <w:r w:rsidR="00F317BD">
        <w:rPr>
          <w:rFonts w:asciiTheme="minorHAnsi" w:hAnsiTheme="minorHAnsi"/>
          <w:bCs/>
          <w:snapToGrid w:val="0"/>
        </w:rPr>
        <w:t>the</w:t>
      </w:r>
      <w:r w:rsidRPr="0067437A">
        <w:rPr>
          <w:rFonts w:asciiTheme="minorHAnsi" w:hAnsiTheme="minorHAnsi"/>
          <w:bCs/>
          <w:snapToGrid w:val="0"/>
        </w:rPr>
        <w:t xml:space="preserve"> ICER </w:t>
      </w:r>
      <w:r w:rsidR="00F317BD">
        <w:rPr>
          <w:rFonts w:asciiTheme="minorHAnsi" w:hAnsiTheme="minorHAnsi"/>
          <w:bCs/>
          <w:snapToGrid w:val="0"/>
        </w:rPr>
        <w:t>from $</w:t>
      </w:r>
      <w:r w:rsidR="009A6604">
        <w:rPr>
          <w:rFonts w:asciiTheme="minorHAnsi" w:hAnsiTheme="minorHAnsi"/>
          <w:bCs/>
          <w:snapToGrid w:val="0"/>
        </w:rPr>
        <w:t xml:space="preserve">15,000 </w:t>
      </w:r>
      <w:r w:rsidR="00A43FF8">
        <w:rPr>
          <w:rFonts w:asciiTheme="minorHAnsi" w:hAnsiTheme="minorHAnsi"/>
          <w:bCs/>
          <w:snapToGrid w:val="0"/>
        </w:rPr>
        <w:t xml:space="preserve">to </w:t>
      </w:r>
      <w:r w:rsidR="009A6604">
        <w:rPr>
          <w:rFonts w:asciiTheme="minorHAnsi" w:hAnsiTheme="minorHAnsi"/>
          <w:bCs/>
          <w:snapToGrid w:val="0"/>
        </w:rPr>
        <w:t>$</w:t>
      </w:r>
      <w:r w:rsidR="00A43FF8">
        <w:rPr>
          <w:rFonts w:asciiTheme="minorHAnsi" w:hAnsiTheme="minorHAnsi"/>
          <w:bCs/>
          <w:snapToGrid w:val="0"/>
        </w:rPr>
        <w:t>4</w:t>
      </w:r>
      <w:r w:rsidR="009A6604">
        <w:rPr>
          <w:rFonts w:asciiTheme="minorHAnsi" w:hAnsiTheme="minorHAnsi"/>
          <w:bCs/>
          <w:snapToGrid w:val="0"/>
        </w:rPr>
        <w:t>5,000</w:t>
      </w:r>
      <w:r w:rsidR="00F317BD">
        <w:rPr>
          <w:rFonts w:asciiTheme="minorHAnsi" w:hAnsiTheme="minorHAnsi"/>
          <w:bCs/>
          <w:snapToGrid w:val="0"/>
        </w:rPr>
        <w:t xml:space="preserve"> to</w:t>
      </w:r>
      <w:r w:rsidRPr="0067437A">
        <w:rPr>
          <w:rFonts w:asciiTheme="minorHAnsi" w:hAnsiTheme="minorHAnsi"/>
          <w:bCs/>
          <w:snapToGrid w:val="0"/>
        </w:rPr>
        <w:t xml:space="preserve"> $</w:t>
      </w:r>
      <w:r w:rsidR="00A43FF8">
        <w:rPr>
          <w:rFonts w:asciiTheme="minorHAnsi" w:hAnsiTheme="minorHAnsi"/>
          <w:bCs/>
          <w:snapToGrid w:val="0"/>
        </w:rPr>
        <w:t>7</w:t>
      </w:r>
      <w:r w:rsidR="009A6604">
        <w:rPr>
          <w:rFonts w:asciiTheme="minorHAnsi" w:hAnsiTheme="minorHAnsi"/>
          <w:bCs/>
          <w:snapToGrid w:val="0"/>
        </w:rPr>
        <w:t>5,000 to $1</w:t>
      </w:r>
      <w:r w:rsidR="00A43FF8">
        <w:rPr>
          <w:rFonts w:asciiTheme="minorHAnsi" w:hAnsiTheme="minorHAnsi"/>
          <w:bCs/>
          <w:snapToGrid w:val="0"/>
        </w:rPr>
        <w:t>0</w:t>
      </w:r>
      <w:r w:rsidR="009A6604">
        <w:rPr>
          <w:rFonts w:asciiTheme="minorHAnsi" w:hAnsiTheme="minorHAnsi"/>
          <w:bCs/>
          <w:snapToGrid w:val="0"/>
        </w:rPr>
        <w:t>5,000</w:t>
      </w:r>
      <w:r w:rsidR="00016A71">
        <w:rPr>
          <w:rFonts w:asciiTheme="minorHAnsi" w:hAnsiTheme="minorHAnsi"/>
          <w:bCs/>
          <w:snapToGrid w:val="0"/>
        </w:rPr>
        <w:t xml:space="preserve"> per </w:t>
      </w:r>
      <w:r w:rsidRPr="0067437A">
        <w:rPr>
          <w:rFonts w:asciiTheme="minorHAnsi" w:hAnsiTheme="minorHAnsi"/>
          <w:bCs/>
          <w:snapToGrid w:val="0"/>
        </w:rPr>
        <w:t>QALY</w:t>
      </w:r>
      <w:r w:rsidR="00A77785">
        <w:rPr>
          <w:rFonts w:asciiTheme="minorHAnsi" w:hAnsiTheme="minorHAnsi"/>
          <w:bCs/>
          <w:snapToGrid w:val="0"/>
        </w:rPr>
        <w:t xml:space="preserve"> gained</w:t>
      </w:r>
      <w:r w:rsidRPr="0067437A">
        <w:rPr>
          <w:rFonts w:asciiTheme="minorHAnsi" w:hAnsiTheme="minorHAnsi"/>
          <w:bCs/>
          <w:snapToGrid w:val="0"/>
        </w:rPr>
        <w:t xml:space="preserve">. </w:t>
      </w:r>
      <w:r w:rsidR="002372A0" w:rsidRPr="0067437A">
        <w:rPr>
          <w:rFonts w:asciiTheme="minorHAnsi" w:hAnsiTheme="minorHAnsi"/>
          <w:bCs/>
          <w:snapToGrid w:val="0"/>
        </w:rPr>
        <w:t>The PBAC considered that an acceptable ICER, using the re-specified model</w:t>
      </w:r>
      <w:r w:rsidR="00B00CAA" w:rsidRPr="0067437A">
        <w:rPr>
          <w:rFonts w:asciiTheme="minorHAnsi" w:hAnsiTheme="minorHAnsi"/>
          <w:bCs/>
          <w:snapToGrid w:val="0"/>
        </w:rPr>
        <w:t>,</w:t>
      </w:r>
      <w:r w:rsidR="002372A0" w:rsidRPr="0067437A">
        <w:rPr>
          <w:rFonts w:asciiTheme="minorHAnsi" w:hAnsiTheme="minorHAnsi"/>
          <w:bCs/>
          <w:snapToGrid w:val="0"/>
        </w:rPr>
        <w:t xml:space="preserve"> would be </w:t>
      </w:r>
      <w:r w:rsidR="00A77785">
        <w:t>an ICER of</w:t>
      </w:r>
      <w:r w:rsidR="00A77785" w:rsidRPr="003E04A7">
        <w:t xml:space="preserve"> </w:t>
      </w:r>
      <w:r w:rsidR="00A77785" w:rsidRPr="00402A5F">
        <w:rPr>
          <w:rFonts w:cstheme="minorHAnsi"/>
        </w:rPr>
        <w:t>less than</w:t>
      </w:r>
      <w:r w:rsidR="002372A0" w:rsidRPr="0067437A">
        <w:rPr>
          <w:rFonts w:asciiTheme="minorHAnsi" w:hAnsiTheme="minorHAnsi"/>
          <w:bCs/>
          <w:snapToGrid w:val="0"/>
        </w:rPr>
        <w:t xml:space="preserve"> $</w:t>
      </w:r>
      <w:r w:rsidR="00F317BD">
        <w:rPr>
          <w:rFonts w:asciiTheme="minorHAnsi" w:hAnsiTheme="minorHAnsi"/>
          <w:bCs/>
          <w:snapToGrid w:val="0"/>
        </w:rPr>
        <w:t>8</w:t>
      </w:r>
      <w:r w:rsidR="00016A71">
        <w:rPr>
          <w:rFonts w:asciiTheme="minorHAnsi" w:hAnsiTheme="minorHAnsi"/>
          <w:bCs/>
          <w:snapToGrid w:val="0"/>
        </w:rPr>
        <w:t>0,000 per QALY gained</w:t>
      </w:r>
      <w:r w:rsidR="002372A0" w:rsidRPr="0067437A">
        <w:rPr>
          <w:rFonts w:asciiTheme="minorHAnsi" w:hAnsiTheme="minorHAnsi"/>
          <w:bCs/>
          <w:snapToGrid w:val="0"/>
        </w:rPr>
        <w:t>.</w:t>
      </w:r>
      <w:r w:rsidRPr="0067437A">
        <w:rPr>
          <w:rFonts w:asciiTheme="minorHAnsi" w:hAnsiTheme="minorHAnsi"/>
          <w:bCs/>
          <w:snapToGrid w:val="0"/>
        </w:rPr>
        <w:t xml:space="preserve"> </w:t>
      </w:r>
    </w:p>
    <w:p w:rsidR="00B10F66" w:rsidRDefault="007444A6" w:rsidP="00E40CB4">
      <w:pPr>
        <w:widowControl w:val="0"/>
        <w:numPr>
          <w:ilvl w:val="1"/>
          <w:numId w:val="1"/>
        </w:numPr>
        <w:spacing w:after="120"/>
        <w:ind w:left="720"/>
        <w:rPr>
          <w:rFonts w:asciiTheme="minorHAnsi" w:hAnsiTheme="minorHAnsi"/>
          <w:bCs/>
          <w:snapToGrid w:val="0"/>
        </w:rPr>
      </w:pPr>
      <w:r>
        <w:rPr>
          <w:rFonts w:asciiTheme="minorHAnsi" w:hAnsiTheme="minorHAnsi"/>
          <w:bCs/>
          <w:snapToGrid w:val="0"/>
        </w:rPr>
        <w:t>Regarding the financial estimates, t</w:t>
      </w:r>
      <w:r w:rsidR="00B951F9" w:rsidRPr="0067437A">
        <w:rPr>
          <w:rFonts w:asciiTheme="minorHAnsi" w:hAnsiTheme="minorHAnsi"/>
          <w:bCs/>
          <w:snapToGrid w:val="0"/>
        </w:rPr>
        <w:t>he PBAC</w:t>
      </w:r>
      <w:r>
        <w:rPr>
          <w:rFonts w:asciiTheme="minorHAnsi" w:hAnsiTheme="minorHAnsi"/>
          <w:bCs/>
          <w:snapToGrid w:val="0"/>
        </w:rPr>
        <w:t xml:space="preserve"> noted ESC’s concerns with respect to the growth rate of the ERA and PDE-5</w:t>
      </w:r>
      <w:r w:rsidR="001E76BF">
        <w:rPr>
          <w:rFonts w:asciiTheme="minorHAnsi" w:hAnsiTheme="minorHAnsi"/>
          <w:bCs/>
          <w:snapToGrid w:val="0"/>
        </w:rPr>
        <w:t>i market, and the percent of dual treatment to which selexipag would be added</w:t>
      </w:r>
      <w:r w:rsidR="00473A7E">
        <w:rPr>
          <w:rFonts w:asciiTheme="minorHAnsi" w:hAnsiTheme="minorHAnsi"/>
          <w:bCs/>
          <w:snapToGrid w:val="0"/>
        </w:rPr>
        <w:t xml:space="preserve"> (uptake)</w:t>
      </w:r>
      <w:r w:rsidR="001E76BF">
        <w:rPr>
          <w:rFonts w:asciiTheme="minorHAnsi" w:hAnsiTheme="minorHAnsi"/>
          <w:bCs/>
          <w:snapToGrid w:val="0"/>
        </w:rPr>
        <w:t xml:space="preserve">. The pre-PBAC response </w:t>
      </w:r>
      <w:r w:rsidR="00E70CD3">
        <w:rPr>
          <w:rFonts w:asciiTheme="minorHAnsi" w:hAnsiTheme="minorHAnsi"/>
          <w:bCs/>
          <w:snapToGrid w:val="0"/>
        </w:rPr>
        <w:t xml:space="preserve">maintained </w:t>
      </w:r>
      <w:r w:rsidR="001E76BF">
        <w:rPr>
          <w:rFonts w:asciiTheme="minorHAnsi" w:hAnsiTheme="minorHAnsi"/>
          <w:bCs/>
          <w:snapToGrid w:val="0"/>
        </w:rPr>
        <w:t xml:space="preserve">that </w:t>
      </w:r>
      <w:r w:rsidR="00B5376E">
        <w:rPr>
          <w:rFonts w:asciiTheme="minorHAnsi" w:hAnsiTheme="minorHAnsi"/>
          <w:bCs/>
          <w:snapToGrid w:val="0"/>
        </w:rPr>
        <w:t>the</w:t>
      </w:r>
      <w:r w:rsidR="001E76BF">
        <w:rPr>
          <w:rFonts w:asciiTheme="minorHAnsi" w:hAnsiTheme="minorHAnsi"/>
          <w:bCs/>
          <w:snapToGrid w:val="0"/>
        </w:rPr>
        <w:t xml:space="preserve"> reduced growth rate over time as applied in the resubmission was reasonable. </w:t>
      </w:r>
      <w:r w:rsidR="00906752">
        <w:rPr>
          <w:rFonts w:asciiTheme="minorHAnsi" w:hAnsiTheme="minorHAnsi"/>
          <w:bCs/>
          <w:snapToGrid w:val="0"/>
        </w:rPr>
        <w:t>To address the concerns raised during the evaluation and by ESC, t</w:t>
      </w:r>
      <w:r w:rsidR="001E76BF">
        <w:rPr>
          <w:rFonts w:asciiTheme="minorHAnsi" w:hAnsiTheme="minorHAnsi"/>
          <w:bCs/>
          <w:snapToGrid w:val="0"/>
        </w:rPr>
        <w:t xml:space="preserve">he uptake was increased in the pre-PBAC response </w:t>
      </w:r>
      <w:r w:rsidR="00B10F66">
        <w:rPr>
          <w:szCs w:val="22"/>
        </w:rPr>
        <w:t xml:space="preserve">(increasing from </w:t>
      </w:r>
      <w:r w:rsidR="00B24936">
        <w:rPr>
          <w:noProof/>
          <w:color w:val="000000"/>
          <w:szCs w:val="22"/>
          <w:highlight w:val="black"/>
        </w:rPr>
        <w:t>'''''</w:t>
      </w:r>
      <w:r w:rsidR="00B10F66">
        <w:rPr>
          <w:szCs w:val="22"/>
        </w:rPr>
        <w:t xml:space="preserve">% to </w:t>
      </w:r>
      <w:r w:rsidR="00B24936">
        <w:rPr>
          <w:noProof/>
          <w:color w:val="000000"/>
          <w:szCs w:val="22"/>
          <w:highlight w:val="black"/>
        </w:rPr>
        <w:t>'''''</w:t>
      </w:r>
      <w:r w:rsidR="00B10F66">
        <w:rPr>
          <w:szCs w:val="22"/>
        </w:rPr>
        <w:t xml:space="preserve">% over 5 years; changed from </w:t>
      </w:r>
      <w:r w:rsidR="00B24936">
        <w:rPr>
          <w:noProof/>
          <w:color w:val="000000"/>
          <w:szCs w:val="22"/>
          <w:highlight w:val="black"/>
        </w:rPr>
        <w:t>'''''</w:t>
      </w:r>
      <w:r w:rsidR="00B10F66">
        <w:rPr>
          <w:szCs w:val="22"/>
        </w:rPr>
        <w:t xml:space="preserve">% to </w:t>
      </w:r>
      <w:r w:rsidR="00B24936">
        <w:rPr>
          <w:noProof/>
          <w:color w:val="000000"/>
          <w:szCs w:val="22"/>
          <w:highlight w:val="black"/>
        </w:rPr>
        <w:t>'''''</w:t>
      </w:r>
      <w:r w:rsidR="00B10F66">
        <w:rPr>
          <w:szCs w:val="22"/>
        </w:rPr>
        <w:t xml:space="preserve">% in the resubmission; uptake in year 6 was unchanged at </w:t>
      </w:r>
      <w:r w:rsidR="00B24936">
        <w:rPr>
          <w:noProof/>
          <w:color w:val="000000"/>
          <w:szCs w:val="22"/>
          <w:highlight w:val="black"/>
        </w:rPr>
        <w:lastRenderedPageBreak/>
        <w:t>'''''</w:t>
      </w:r>
      <w:r w:rsidR="00B10F66">
        <w:rPr>
          <w:szCs w:val="22"/>
        </w:rPr>
        <w:t xml:space="preserve">%). The PBAC considered the revised </w:t>
      </w:r>
      <w:r w:rsidR="00CC2215">
        <w:rPr>
          <w:szCs w:val="22"/>
        </w:rPr>
        <w:t>uptake as presented</w:t>
      </w:r>
      <w:r w:rsidR="00906752">
        <w:rPr>
          <w:szCs w:val="22"/>
        </w:rPr>
        <w:t xml:space="preserve"> in the pre-PBAC response to be reasonable</w:t>
      </w:r>
      <w:r w:rsidR="00CC2215">
        <w:rPr>
          <w:szCs w:val="22"/>
        </w:rPr>
        <w:t xml:space="preserve">, noting its recommendation for the listing </w:t>
      </w:r>
      <w:r w:rsidR="004A7BB2">
        <w:rPr>
          <w:szCs w:val="22"/>
        </w:rPr>
        <w:t xml:space="preserve">is </w:t>
      </w:r>
      <w:r w:rsidR="00CC2215">
        <w:rPr>
          <w:szCs w:val="22"/>
        </w:rPr>
        <w:t>to include patients with WHO FC IV PAH and dual therapy</w:t>
      </w:r>
      <w:r w:rsidR="007C0E5D">
        <w:rPr>
          <w:szCs w:val="22"/>
        </w:rPr>
        <w:t xml:space="preserve"> and that the uptake should not be further increased to account for these patients</w:t>
      </w:r>
      <w:r w:rsidR="00906752">
        <w:rPr>
          <w:szCs w:val="22"/>
        </w:rPr>
        <w:t>.</w:t>
      </w:r>
    </w:p>
    <w:p w:rsidR="00EB2E44" w:rsidRPr="00EB2E44" w:rsidRDefault="007703F5" w:rsidP="00AC2705">
      <w:pPr>
        <w:widowControl w:val="0"/>
        <w:numPr>
          <w:ilvl w:val="1"/>
          <w:numId w:val="1"/>
        </w:numPr>
        <w:spacing w:after="120"/>
        <w:ind w:left="720"/>
        <w:rPr>
          <w:rFonts w:asciiTheme="minorHAnsi" w:hAnsiTheme="minorHAnsi"/>
          <w:bCs/>
          <w:snapToGrid w:val="0"/>
        </w:rPr>
      </w:pPr>
      <w:r>
        <w:rPr>
          <w:rFonts w:asciiTheme="minorHAnsi" w:hAnsiTheme="minorHAnsi"/>
          <w:bCs/>
          <w:snapToGrid w:val="0"/>
        </w:rPr>
        <w:t xml:space="preserve">To address the </w:t>
      </w:r>
      <w:r w:rsidRPr="007703F5">
        <w:rPr>
          <w:rFonts w:asciiTheme="minorHAnsi" w:hAnsiTheme="minorHAnsi"/>
          <w:bCs/>
          <w:snapToGrid w:val="0"/>
        </w:rPr>
        <w:t>overall clinical and financial uncertainty associated with the proposed population</w:t>
      </w:r>
      <w:r w:rsidR="00B5376E" w:rsidRPr="00EB2E44">
        <w:rPr>
          <w:rFonts w:asciiTheme="minorHAnsi" w:hAnsiTheme="minorHAnsi"/>
          <w:bCs/>
          <w:snapToGrid w:val="0"/>
        </w:rPr>
        <w:t xml:space="preserve">, </w:t>
      </w:r>
      <w:r w:rsidR="00EB2E44" w:rsidRPr="00EB2E44">
        <w:rPr>
          <w:rFonts w:asciiTheme="minorHAnsi" w:hAnsiTheme="minorHAnsi"/>
          <w:bCs/>
          <w:snapToGrid w:val="0"/>
        </w:rPr>
        <w:t xml:space="preserve">an RSA was proposed in </w:t>
      </w:r>
      <w:r w:rsidR="00B5376E" w:rsidRPr="00EB2E44">
        <w:rPr>
          <w:rFonts w:asciiTheme="minorHAnsi" w:hAnsiTheme="minorHAnsi"/>
          <w:bCs/>
          <w:snapToGrid w:val="0"/>
        </w:rPr>
        <w:t>the pre</w:t>
      </w:r>
      <w:r w:rsidR="00016A71">
        <w:rPr>
          <w:rFonts w:asciiTheme="minorHAnsi" w:hAnsiTheme="minorHAnsi"/>
          <w:bCs/>
          <w:snapToGrid w:val="0"/>
        </w:rPr>
        <w:t>-</w:t>
      </w:r>
      <w:r w:rsidR="00B5376E" w:rsidRPr="00EB2E44">
        <w:rPr>
          <w:rFonts w:asciiTheme="minorHAnsi" w:hAnsiTheme="minorHAnsi"/>
          <w:bCs/>
          <w:snapToGrid w:val="0"/>
        </w:rPr>
        <w:t xml:space="preserve">PBAC response </w:t>
      </w:r>
      <w:r w:rsidR="00EB2E44" w:rsidRPr="00EB2E44">
        <w:rPr>
          <w:rFonts w:asciiTheme="minorHAnsi" w:hAnsiTheme="minorHAnsi"/>
          <w:bCs/>
          <w:snapToGrid w:val="0"/>
        </w:rPr>
        <w:t>with</w:t>
      </w:r>
      <w:r w:rsidR="00B5376E" w:rsidRPr="00EB2E44">
        <w:rPr>
          <w:rFonts w:asciiTheme="minorHAnsi" w:hAnsiTheme="minorHAnsi"/>
          <w:bCs/>
          <w:snapToGrid w:val="0"/>
        </w:rPr>
        <w:t xml:space="preserve"> subsidisation caps based on the revised financial estimates and a rebate of </w:t>
      </w:r>
      <w:r w:rsidR="00B24936">
        <w:rPr>
          <w:rFonts w:asciiTheme="minorHAnsi" w:hAnsiTheme="minorHAnsi"/>
          <w:bCs/>
          <w:noProof/>
          <w:snapToGrid w:val="0"/>
          <w:color w:val="000000"/>
          <w:highlight w:val="black"/>
        </w:rPr>
        <w:t>''''''''</w:t>
      </w:r>
      <w:r w:rsidR="00B5376E" w:rsidRPr="00EB2E44">
        <w:rPr>
          <w:rFonts w:asciiTheme="minorHAnsi" w:hAnsiTheme="minorHAnsi"/>
          <w:bCs/>
          <w:snapToGrid w:val="0"/>
        </w:rPr>
        <w:t xml:space="preserve"> of the cost of selexipag for use above the subsidisation caps. Th</w:t>
      </w:r>
      <w:r w:rsidR="00EB2E44">
        <w:rPr>
          <w:rFonts w:asciiTheme="minorHAnsi" w:hAnsiTheme="minorHAnsi"/>
          <w:bCs/>
          <w:snapToGrid w:val="0"/>
        </w:rPr>
        <w:t>e rebate level was</w:t>
      </w:r>
      <w:r w:rsidR="00B5376E" w:rsidRPr="00EB2E44">
        <w:rPr>
          <w:rFonts w:asciiTheme="minorHAnsi" w:hAnsiTheme="minorHAnsi"/>
          <w:bCs/>
          <w:snapToGrid w:val="0"/>
        </w:rPr>
        <w:t xml:space="preserve"> justified</w:t>
      </w:r>
      <w:r w:rsidR="00EB2E44">
        <w:rPr>
          <w:rFonts w:asciiTheme="minorHAnsi" w:hAnsiTheme="minorHAnsi"/>
          <w:bCs/>
          <w:snapToGrid w:val="0"/>
        </w:rPr>
        <w:t xml:space="preserve"> in the pre</w:t>
      </w:r>
      <w:r w:rsidR="00016A71">
        <w:rPr>
          <w:rFonts w:asciiTheme="minorHAnsi" w:hAnsiTheme="minorHAnsi"/>
          <w:bCs/>
          <w:snapToGrid w:val="0"/>
        </w:rPr>
        <w:t>-</w:t>
      </w:r>
      <w:r w:rsidR="00EB2E44">
        <w:rPr>
          <w:rFonts w:asciiTheme="minorHAnsi" w:hAnsiTheme="minorHAnsi"/>
          <w:bCs/>
          <w:snapToGrid w:val="0"/>
        </w:rPr>
        <w:t>PBAC response</w:t>
      </w:r>
      <w:r w:rsidR="00B5376E" w:rsidRPr="00EB2E44">
        <w:rPr>
          <w:rFonts w:asciiTheme="minorHAnsi" w:hAnsiTheme="minorHAnsi"/>
          <w:bCs/>
          <w:snapToGrid w:val="0"/>
        </w:rPr>
        <w:t xml:space="preserve"> on the basis that selexipag has been shown to be effective in a broader patient population than the proposed PBS restriction in </w:t>
      </w:r>
      <w:r w:rsidR="00EB2E44">
        <w:rPr>
          <w:rFonts w:asciiTheme="minorHAnsi" w:hAnsiTheme="minorHAnsi"/>
          <w:bCs/>
          <w:snapToGrid w:val="0"/>
        </w:rPr>
        <w:t xml:space="preserve">the </w:t>
      </w:r>
      <w:r w:rsidR="00B5376E" w:rsidRPr="00EB2E44">
        <w:rPr>
          <w:rFonts w:asciiTheme="minorHAnsi" w:hAnsiTheme="minorHAnsi"/>
          <w:bCs/>
          <w:snapToGrid w:val="0"/>
        </w:rPr>
        <w:t>GRIPHON</w:t>
      </w:r>
      <w:r w:rsidR="00EB2E44">
        <w:rPr>
          <w:rFonts w:asciiTheme="minorHAnsi" w:hAnsiTheme="minorHAnsi"/>
          <w:bCs/>
          <w:snapToGrid w:val="0"/>
        </w:rPr>
        <w:t xml:space="preserve"> trial</w:t>
      </w:r>
      <w:r w:rsidR="00B5376E" w:rsidRPr="00EB2E44">
        <w:rPr>
          <w:rFonts w:asciiTheme="minorHAnsi" w:hAnsiTheme="minorHAnsi"/>
          <w:bCs/>
          <w:snapToGrid w:val="0"/>
        </w:rPr>
        <w:t>.</w:t>
      </w:r>
      <w:r w:rsidR="00EB2E44" w:rsidRPr="00EB2E44">
        <w:rPr>
          <w:rFonts w:asciiTheme="minorHAnsi" w:hAnsiTheme="minorHAnsi"/>
          <w:bCs/>
          <w:snapToGrid w:val="0"/>
        </w:rPr>
        <w:t xml:space="preserve"> </w:t>
      </w:r>
      <w:r w:rsidR="0018587F">
        <w:rPr>
          <w:rFonts w:asciiTheme="minorHAnsi" w:hAnsiTheme="minorHAnsi"/>
          <w:bCs/>
          <w:snapToGrid w:val="0"/>
        </w:rPr>
        <w:t xml:space="preserve">Noting the </w:t>
      </w:r>
      <w:r w:rsidR="0018587F" w:rsidRPr="00B5376E">
        <w:rPr>
          <w:rFonts w:asciiTheme="minorHAnsi" w:hAnsiTheme="minorHAnsi"/>
          <w:bCs/>
          <w:snapToGrid w:val="0"/>
        </w:rPr>
        <w:t>uncertainty in clinical effectiveness in the populations for which there was little or no data</w:t>
      </w:r>
      <w:r w:rsidR="0018587F">
        <w:rPr>
          <w:rFonts w:asciiTheme="minorHAnsi" w:hAnsiTheme="minorHAnsi"/>
          <w:bCs/>
          <w:snapToGrid w:val="0"/>
        </w:rPr>
        <w:t>, t</w:t>
      </w:r>
      <w:r w:rsidR="00EB2E44" w:rsidRPr="00EB2E44">
        <w:rPr>
          <w:rFonts w:asciiTheme="minorHAnsi" w:hAnsiTheme="minorHAnsi"/>
          <w:bCs/>
          <w:snapToGrid w:val="0"/>
        </w:rPr>
        <w:t>he PBAC considered</w:t>
      </w:r>
      <w:r w:rsidR="007C0E5D">
        <w:rPr>
          <w:rFonts w:asciiTheme="minorHAnsi" w:hAnsiTheme="minorHAnsi"/>
          <w:bCs/>
          <w:snapToGrid w:val="0"/>
        </w:rPr>
        <w:t xml:space="preserve"> the rebate for use above the caps should be at least </w:t>
      </w:r>
      <w:r w:rsidR="00B24936">
        <w:rPr>
          <w:rFonts w:asciiTheme="minorHAnsi" w:hAnsiTheme="minorHAnsi"/>
          <w:bCs/>
          <w:noProof/>
          <w:snapToGrid w:val="0"/>
          <w:color w:val="000000"/>
          <w:highlight w:val="black"/>
        </w:rPr>
        <w:t>''''''''</w:t>
      </w:r>
      <w:r w:rsidR="00EB2E44" w:rsidRPr="00EB2E44">
        <w:rPr>
          <w:rFonts w:asciiTheme="minorHAnsi" w:hAnsiTheme="minorHAnsi"/>
          <w:bCs/>
          <w:snapToGrid w:val="0"/>
        </w:rPr>
        <w:t xml:space="preserve">. </w:t>
      </w:r>
      <w:r w:rsidR="00B5376E" w:rsidRPr="00EB2E44">
        <w:rPr>
          <w:rFonts w:asciiTheme="minorHAnsi" w:hAnsiTheme="minorHAnsi"/>
          <w:bCs/>
          <w:snapToGrid w:val="0"/>
        </w:rPr>
        <w:t xml:space="preserve"> </w:t>
      </w:r>
      <w:r w:rsidR="005A75D0">
        <w:rPr>
          <w:rFonts w:asciiTheme="minorHAnsi" w:hAnsiTheme="minorHAnsi"/>
          <w:bCs/>
          <w:snapToGrid w:val="0"/>
        </w:rPr>
        <w:t xml:space="preserve">The PBAC also noted the price reduction required to achieve an acceptable ICER (paragraph </w:t>
      </w:r>
      <w:r w:rsidR="005A75D0" w:rsidRPr="00564A25">
        <w:rPr>
          <w:rFonts w:asciiTheme="minorHAnsi" w:hAnsiTheme="minorHAnsi"/>
          <w:bCs/>
          <w:snapToGrid w:val="0"/>
        </w:rPr>
        <w:t>7.13)</w:t>
      </w:r>
      <w:r w:rsidR="005A75D0">
        <w:rPr>
          <w:rFonts w:asciiTheme="minorHAnsi" w:hAnsiTheme="minorHAnsi"/>
          <w:bCs/>
          <w:snapToGrid w:val="0"/>
        </w:rPr>
        <w:t xml:space="preserve"> would flow through to the subsidisation caps.</w:t>
      </w:r>
    </w:p>
    <w:p w:rsidR="00AD79F9" w:rsidRPr="0067437A" w:rsidRDefault="00AD79F9" w:rsidP="0081252B">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In terms of the proposed restrictions for selexipag as triple therapy, the</w:t>
      </w:r>
      <w:r w:rsidR="00222387" w:rsidRPr="0067437A">
        <w:rPr>
          <w:rFonts w:asciiTheme="minorHAnsi" w:hAnsiTheme="minorHAnsi"/>
          <w:bCs/>
          <w:snapToGrid w:val="0"/>
        </w:rPr>
        <w:t xml:space="preserve"> PBAC </w:t>
      </w:r>
      <w:r w:rsidR="004641EC" w:rsidRPr="0067437A">
        <w:rPr>
          <w:rFonts w:asciiTheme="minorHAnsi" w:hAnsiTheme="minorHAnsi"/>
          <w:bCs/>
          <w:snapToGrid w:val="0"/>
        </w:rPr>
        <w:t xml:space="preserve">noted that the proposed listing includes combination use with the ERAs </w:t>
      </w:r>
      <w:r w:rsidR="009362CF" w:rsidRPr="0067437A">
        <w:rPr>
          <w:rFonts w:asciiTheme="minorHAnsi" w:hAnsiTheme="minorHAnsi"/>
          <w:bCs/>
          <w:snapToGrid w:val="0"/>
        </w:rPr>
        <w:t>ambrisentan</w:t>
      </w:r>
      <w:r w:rsidR="004641EC" w:rsidRPr="0067437A">
        <w:rPr>
          <w:rFonts w:asciiTheme="minorHAnsi" w:hAnsiTheme="minorHAnsi"/>
          <w:bCs/>
          <w:snapToGrid w:val="0"/>
        </w:rPr>
        <w:t xml:space="preserve"> and macitentan, but not bosentan</w:t>
      </w:r>
      <w:r w:rsidR="0096449E" w:rsidRPr="0067437A">
        <w:rPr>
          <w:rFonts w:asciiTheme="minorHAnsi" w:hAnsiTheme="minorHAnsi"/>
          <w:bCs/>
          <w:snapToGrid w:val="0"/>
        </w:rPr>
        <w:t xml:space="preserve">. The PBAC </w:t>
      </w:r>
      <w:r w:rsidR="00222387" w:rsidRPr="0067437A">
        <w:rPr>
          <w:rFonts w:asciiTheme="minorHAnsi" w:hAnsiTheme="minorHAnsi"/>
          <w:bCs/>
          <w:snapToGrid w:val="0"/>
        </w:rPr>
        <w:t>di</w:t>
      </w:r>
      <w:r w:rsidR="00F03A1C">
        <w:rPr>
          <w:rFonts w:asciiTheme="minorHAnsi" w:hAnsiTheme="minorHAnsi"/>
          <w:bCs/>
          <w:snapToGrid w:val="0"/>
        </w:rPr>
        <w:t>s</w:t>
      </w:r>
      <w:r w:rsidR="00222387" w:rsidRPr="0067437A">
        <w:rPr>
          <w:rFonts w:asciiTheme="minorHAnsi" w:hAnsiTheme="minorHAnsi"/>
          <w:bCs/>
          <w:snapToGrid w:val="0"/>
        </w:rPr>
        <w:t>agree</w:t>
      </w:r>
      <w:r w:rsidR="00F03A1C">
        <w:rPr>
          <w:rFonts w:asciiTheme="minorHAnsi" w:hAnsiTheme="minorHAnsi"/>
          <w:bCs/>
          <w:snapToGrid w:val="0"/>
        </w:rPr>
        <w:t>d</w:t>
      </w:r>
      <w:r w:rsidR="00222387" w:rsidRPr="0067437A">
        <w:rPr>
          <w:rFonts w:asciiTheme="minorHAnsi" w:hAnsiTheme="minorHAnsi"/>
          <w:bCs/>
          <w:snapToGrid w:val="0"/>
        </w:rPr>
        <w:t xml:space="preserve"> that bo</w:t>
      </w:r>
      <w:r w:rsidR="0096449E" w:rsidRPr="0067437A">
        <w:rPr>
          <w:rFonts w:asciiTheme="minorHAnsi" w:hAnsiTheme="minorHAnsi"/>
          <w:bCs/>
          <w:snapToGrid w:val="0"/>
        </w:rPr>
        <w:t>s</w:t>
      </w:r>
      <w:r w:rsidR="00222387" w:rsidRPr="0067437A">
        <w:rPr>
          <w:rFonts w:asciiTheme="minorHAnsi" w:hAnsiTheme="minorHAnsi"/>
          <w:bCs/>
          <w:snapToGrid w:val="0"/>
        </w:rPr>
        <w:t xml:space="preserve">entan should be excluded as one of the eligible ERAs which could be used in combination with </w:t>
      </w:r>
      <w:r w:rsidR="002D2CED" w:rsidRPr="0067437A">
        <w:rPr>
          <w:rFonts w:asciiTheme="minorHAnsi" w:hAnsiTheme="minorHAnsi"/>
          <w:bCs/>
          <w:snapToGrid w:val="0"/>
        </w:rPr>
        <w:t>a</w:t>
      </w:r>
      <w:r w:rsidRPr="0067437A">
        <w:rPr>
          <w:rFonts w:asciiTheme="minorHAnsi" w:hAnsiTheme="minorHAnsi"/>
          <w:bCs/>
          <w:snapToGrid w:val="0"/>
        </w:rPr>
        <w:t xml:space="preserve"> PDE-5i, noting that it had previously considered that the </w:t>
      </w:r>
      <w:r w:rsidR="00016A71">
        <w:rPr>
          <w:rFonts w:asciiTheme="minorHAnsi" w:hAnsiTheme="minorHAnsi"/>
          <w:bCs/>
          <w:snapToGrid w:val="0"/>
        </w:rPr>
        <w:t xml:space="preserve">potential </w:t>
      </w:r>
      <w:r w:rsidRPr="0067437A">
        <w:rPr>
          <w:rFonts w:asciiTheme="minorHAnsi" w:hAnsiTheme="minorHAnsi"/>
          <w:bCs/>
          <w:snapToGrid w:val="0"/>
        </w:rPr>
        <w:t>drug</w:t>
      </w:r>
      <w:r w:rsidR="00016A71">
        <w:rPr>
          <w:rFonts w:asciiTheme="minorHAnsi" w:hAnsiTheme="minorHAnsi"/>
          <w:bCs/>
          <w:snapToGrid w:val="0"/>
        </w:rPr>
        <w:t>-drug</w:t>
      </w:r>
      <w:r w:rsidRPr="0067437A">
        <w:rPr>
          <w:rFonts w:asciiTheme="minorHAnsi" w:hAnsiTheme="minorHAnsi"/>
          <w:bCs/>
          <w:snapToGrid w:val="0"/>
        </w:rPr>
        <w:t xml:space="preserve"> interaction</w:t>
      </w:r>
      <w:r w:rsidR="001504BC">
        <w:rPr>
          <w:rFonts w:asciiTheme="minorHAnsi" w:hAnsiTheme="minorHAnsi"/>
          <w:bCs/>
          <w:snapToGrid w:val="0"/>
        </w:rPr>
        <w:t>s</w:t>
      </w:r>
      <w:r w:rsidRPr="0067437A">
        <w:rPr>
          <w:rFonts w:asciiTheme="minorHAnsi" w:hAnsiTheme="minorHAnsi"/>
          <w:bCs/>
          <w:snapToGrid w:val="0"/>
        </w:rPr>
        <w:t xml:space="preserve"> and </w:t>
      </w:r>
      <w:r w:rsidR="004E3E98">
        <w:rPr>
          <w:rFonts w:asciiTheme="minorHAnsi" w:hAnsiTheme="minorHAnsi"/>
          <w:bCs/>
          <w:snapToGrid w:val="0"/>
        </w:rPr>
        <w:t xml:space="preserve">safety concerns of the bosentan plus </w:t>
      </w:r>
      <w:r w:rsidRPr="0067437A">
        <w:rPr>
          <w:rFonts w:asciiTheme="minorHAnsi" w:hAnsiTheme="minorHAnsi"/>
          <w:bCs/>
          <w:snapToGrid w:val="0"/>
        </w:rPr>
        <w:t xml:space="preserve">PDE-5i combination were well managed by clinicians. </w:t>
      </w:r>
    </w:p>
    <w:p w:rsidR="00AD79F9" w:rsidRPr="0067437A" w:rsidRDefault="00222387" w:rsidP="0081252B">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w:t>
      </w:r>
      <w:r w:rsidR="00AD79F9" w:rsidRPr="0067437A">
        <w:rPr>
          <w:rFonts w:asciiTheme="minorHAnsi" w:hAnsiTheme="minorHAnsi"/>
          <w:bCs/>
          <w:snapToGrid w:val="0"/>
        </w:rPr>
        <w:t xml:space="preserve">PBAC </w:t>
      </w:r>
      <w:r w:rsidR="00B10F66">
        <w:rPr>
          <w:rFonts w:asciiTheme="minorHAnsi" w:hAnsiTheme="minorHAnsi"/>
          <w:bCs/>
          <w:snapToGrid w:val="0"/>
        </w:rPr>
        <w:t>noted</w:t>
      </w:r>
      <w:r w:rsidR="00B10F66" w:rsidRPr="0067437A">
        <w:rPr>
          <w:rFonts w:asciiTheme="minorHAnsi" w:hAnsiTheme="minorHAnsi"/>
          <w:bCs/>
          <w:snapToGrid w:val="0"/>
        </w:rPr>
        <w:t xml:space="preserve"> </w:t>
      </w:r>
      <w:r w:rsidRPr="0067437A">
        <w:rPr>
          <w:rFonts w:asciiTheme="minorHAnsi" w:hAnsiTheme="minorHAnsi"/>
          <w:bCs/>
          <w:snapToGrid w:val="0"/>
        </w:rPr>
        <w:t xml:space="preserve">that the listing of selexipag as </w:t>
      </w:r>
      <w:r w:rsidR="00B10F66">
        <w:rPr>
          <w:rFonts w:asciiTheme="minorHAnsi" w:hAnsiTheme="minorHAnsi"/>
          <w:bCs/>
          <w:snapToGrid w:val="0"/>
        </w:rPr>
        <w:t>triple therapy could not</w:t>
      </w:r>
      <w:r w:rsidR="00B10F66" w:rsidRPr="0067437A">
        <w:rPr>
          <w:rFonts w:asciiTheme="minorHAnsi" w:hAnsiTheme="minorHAnsi"/>
          <w:bCs/>
          <w:snapToGrid w:val="0"/>
        </w:rPr>
        <w:t xml:space="preserve"> </w:t>
      </w:r>
      <w:r w:rsidRPr="0067437A">
        <w:rPr>
          <w:rFonts w:asciiTheme="minorHAnsi" w:hAnsiTheme="minorHAnsi"/>
          <w:bCs/>
          <w:snapToGrid w:val="0"/>
        </w:rPr>
        <w:t xml:space="preserve">be finalised </w:t>
      </w:r>
      <w:r w:rsidR="00B10F66">
        <w:rPr>
          <w:rFonts w:asciiTheme="minorHAnsi" w:hAnsiTheme="minorHAnsi"/>
          <w:bCs/>
          <w:snapToGrid w:val="0"/>
        </w:rPr>
        <w:t xml:space="preserve">prior to </w:t>
      </w:r>
      <w:r w:rsidR="004E3E98">
        <w:rPr>
          <w:rFonts w:asciiTheme="minorHAnsi" w:hAnsiTheme="minorHAnsi"/>
          <w:bCs/>
          <w:snapToGrid w:val="0"/>
        </w:rPr>
        <w:t xml:space="preserve">the listing of ERA plus </w:t>
      </w:r>
      <w:r w:rsidRPr="0067437A">
        <w:rPr>
          <w:rFonts w:asciiTheme="minorHAnsi" w:hAnsiTheme="minorHAnsi"/>
          <w:bCs/>
          <w:snapToGrid w:val="0"/>
        </w:rPr>
        <w:t>PDE-5i dual therapy.</w:t>
      </w:r>
    </w:p>
    <w:p w:rsidR="002D2CED" w:rsidRPr="0067437A" w:rsidRDefault="002D2CED" w:rsidP="0081252B">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PBAC noted there </w:t>
      </w:r>
      <w:r w:rsidR="00C857BB">
        <w:rPr>
          <w:rFonts w:asciiTheme="minorHAnsi" w:hAnsiTheme="minorHAnsi"/>
          <w:bCs/>
          <w:snapToGrid w:val="0"/>
        </w:rPr>
        <w:t xml:space="preserve">would </w:t>
      </w:r>
      <w:r w:rsidRPr="0067437A">
        <w:rPr>
          <w:rFonts w:asciiTheme="minorHAnsi" w:hAnsiTheme="minorHAnsi"/>
          <w:bCs/>
          <w:snapToGrid w:val="0"/>
        </w:rPr>
        <w:t>be flow-on restriction changes to the listings of the ERAs and PDE</w:t>
      </w:r>
      <w:r w:rsidR="009155BE">
        <w:rPr>
          <w:rFonts w:asciiTheme="minorHAnsi" w:hAnsiTheme="minorHAnsi"/>
          <w:bCs/>
          <w:snapToGrid w:val="0"/>
        </w:rPr>
        <w:t>-</w:t>
      </w:r>
      <w:r w:rsidRPr="0067437A">
        <w:rPr>
          <w:rFonts w:asciiTheme="minorHAnsi" w:hAnsiTheme="minorHAnsi"/>
          <w:bCs/>
          <w:snapToGrid w:val="0"/>
        </w:rPr>
        <w:t>5i medicines to facilitate triple therapy.</w:t>
      </w:r>
      <w:r w:rsidR="00C857BB">
        <w:rPr>
          <w:rFonts w:asciiTheme="minorHAnsi" w:hAnsiTheme="minorHAnsi"/>
          <w:bCs/>
          <w:snapToGrid w:val="0"/>
        </w:rPr>
        <w:t xml:space="preserve"> </w:t>
      </w:r>
    </w:p>
    <w:p w:rsidR="0081252B" w:rsidRPr="0067437A" w:rsidRDefault="0081252B" w:rsidP="0081252B">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The PBAC</w:t>
      </w:r>
      <w:r w:rsidR="00EF1CF6" w:rsidRPr="0067437A">
        <w:rPr>
          <w:rFonts w:asciiTheme="minorHAnsi" w:hAnsiTheme="minorHAnsi"/>
          <w:bCs/>
          <w:snapToGrid w:val="0"/>
        </w:rPr>
        <w:t xml:space="preserve"> advised that selex</w:t>
      </w:r>
      <w:r w:rsidR="002D2CED" w:rsidRPr="0067437A">
        <w:rPr>
          <w:rFonts w:asciiTheme="minorHAnsi" w:hAnsiTheme="minorHAnsi"/>
          <w:bCs/>
          <w:snapToGrid w:val="0"/>
        </w:rPr>
        <w:t>i</w:t>
      </w:r>
      <w:r w:rsidR="00EF1CF6" w:rsidRPr="0067437A">
        <w:rPr>
          <w:rFonts w:asciiTheme="minorHAnsi" w:hAnsiTheme="minorHAnsi"/>
          <w:bCs/>
          <w:snapToGrid w:val="0"/>
        </w:rPr>
        <w:t xml:space="preserve">pag </w:t>
      </w:r>
      <w:r w:rsidRPr="0067437A">
        <w:rPr>
          <w:rFonts w:asciiTheme="minorHAnsi" w:hAnsiTheme="minorHAnsi"/>
          <w:bCs/>
          <w:snapToGrid w:val="0"/>
        </w:rPr>
        <w:t>should not be treated as interchangeable</w:t>
      </w:r>
      <w:r w:rsidR="00EF1CF6" w:rsidRPr="0067437A">
        <w:rPr>
          <w:rFonts w:asciiTheme="minorHAnsi" w:hAnsiTheme="minorHAnsi"/>
          <w:bCs/>
          <w:snapToGrid w:val="0"/>
        </w:rPr>
        <w:t xml:space="preserve"> with any other drugs. </w:t>
      </w:r>
    </w:p>
    <w:p w:rsidR="0081252B" w:rsidRPr="0067437A" w:rsidRDefault="0081252B" w:rsidP="0081252B">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PBAC advised </w:t>
      </w:r>
      <w:r w:rsidR="00AD65A8" w:rsidRPr="0067437A">
        <w:rPr>
          <w:rFonts w:asciiTheme="minorHAnsi" w:hAnsiTheme="minorHAnsi"/>
          <w:bCs/>
          <w:snapToGrid w:val="0"/>
        </w:rPr>
        <w:t xml:space="preserve">that selexipag is </w:t>
      </w:r>
      <w:r w:rsidRPr="0067437A">
        <w:rPr>
          <w:rFonts w:asciiTheme="minorHAnsi" w:hAnsiTheme="minorHAnsi"/>
          <w:bCs/>
          <w:snapToGrid w:val="0"/>
        </w:rPr>
        <w:t>not suitable for prescribing by nurse practitioners</w:t>
      </w:r>
      <w:r w:rsidR="0067437A">
        <w:rPr>
          <w:rFonts w:asciiTheme="minorHAnsi" w:hAnsiTheme="minorHAnsi"/>
          <w:bCs/>
          <w:snapToGrid w:val="0"/>
        </w:rPr>
        <w:t xml:space="preserve">. </w:t>
      </w:r>
    </w:p>
    <w:p w:rsidR="0081252B" w:rsidRDefault="0081252B" w:rsidP="0081252B">
      <w:pPr>
        <w:widowControl w:val="0"/>
        <w:numPr>
          <w:ilvl w:val="1"/>
          <w:numId w:val="1"/>
        </w:numPr>
        <w:spacing w:after="120"/>
        <w:ind w:left="720"/>
        <w:rPr>
          <w:rFonts w:asciiTheme="minorHAnsi" w:hAnsiTheme="minorHAnsi"/>
          <w:bCs/>
          <w:snapToGrid w:val="0"/>
        </w:rPr>
      </w:pPr>
      <w:r w:rsidRPr="0067437A">
        <w:rPr>
          <w:rFonts w:asciiTheme="minorHAnsi" w:hAnsiTheme="minorHAnsi"/>
          <w:bCs/>
          <w:snapToGrid w:val="0"/>
        </w:rPr>
        <w:t xml:space="preserve">The PBAC recommended that the Early Supply Rule </w:t>
      </w:r>
      <w:r w:rsidR="00C61D1F" w:rsidRPr="0067437A">
        <w:rPr>
          <w:rFonts w:asciiTheme="minorHAnsi" w:hAnsiTheme="minorHAnsi"/>
          <w:bCs/>
          <w:snapToGrid w:val="0"/>
        </w:rPr>
        <w:t>should</w:t>
      </w:r>
      <w:r w:rsidRPr="0067437A">
        <w:rPr>
          <w:rFonts w:asciiTheme="minorHAnsi" w:hAnsiTheme="minorHAnsi"/>
          <w:bCs/>
          <w:snapToGrid w:val="0"/>
        </w:rPr>
        <w:t xml:space="preserve"> apply. </w:t>
      </w:r>
    </w:p>
    <w:p w:rsidR="00CB5EF9" w:rsidRPr="00AE0E96" w:rsidRDefault="00CB5EF9" w:rsidP="00CB5EF9">
      <w:pPr>
        <w:widowControl w:val="0"/>
        <w:numPr>
          <w:ilvl w:val="1"/>
          <w:numId w:val="1"/>
        </w:numPr>
        <w:spacing w:after="120"/>
        <w:ind w:left="720"/>
        <w:rPr>
          <w:rFonts w:asciiTheme="minorHAnsi" w:hAnsiTheme="minorHAnsi"/>
          <w:bCs/>
          <w:i/>
          <w:snapToGrid w:val="0"/>
        </w:rPr>
      </w:pPr>
      <w:r w:rsidRPr="00184C0D">
        <w:rPr>
          <w:rFonts w:asciiTheme="minorHAnsi" w:hAnsiTheme="minorHAnsi"/>
          <w:bCs/>
          <w:snapToGrid w:val="0"/>
        </w:rPr>
        <w:t xml:space="preserve">The PBAC found that the criteria prescribed by the </w:t>
      </w:r>
      <w:r w:rsidRPr="00184C0D">
        <w:rPr>
          <w:rFonts w:asciiTheme="minorHAnsi" w:hAnsiTheme="minorHAnsi"/>
          <w:bCs/>
          <w:i/>
          <w:snapToGrid w:val="0"/>
        </w:rPr>
        <w:t>National Health (Pharmaceuticals and Vaccines – Cost Recovery) Regulations 2009</w:t>
      </w:r>
      <w:r w:rsidRPr="00184C0D">
        <w:rPr>
          <w:rFonts w:asciiTheme="minorHAnsi" w:hAnsiTheme="minorHAnsi"/>
          <w:bCs/>
          <w:snapToGrid w:val="0"/>
        </w:rPr>
        <w:t xml:space="preserve"> for Pricing Pathway A were not met. Specifically the PBAC found that the circumstances of its recommendation for </w:t>
      </w:r>
      <w:r>
        <w:rPr>
          <w:rFonts w:asciiTheme="minorHAnsi" w:hAnsiTheme="minorHAnsi"/>
          <w:bCs/>
          <w:snapToGrid w:val="0"/>
        </w:rPr>
        <w:t>selexipag</w:t>
      </w:r>
      <w:r w:rsidRPr="00AE0E96">
        <w:rPr>
          <w:rFonts w:asciiTheme="minorHAnsi" w:hAnsiTheme="minorHAnsi"/>
          <w:bCs/>
          <w:snapToGrid w:val="0"/>
        </w:rPr>
        <w:t xml:space="preserve">: </w:t>
      </w:r>
    </w:p>
    <w:p w:rsidR="00CB5EF9" w:rsidRPr="00184C0D" w:rsidRDefault="00CB5EF9" w:rsidP="00CB5EF9">
      <w:pPr>
        <w:pStyle w:val="ListParagraph"/>
        <w:widowControl w:val="0"/>
        <w:numPr>
          <w:ilvl w:val="0"/>
          <w:numId w:val="40"/>
        </w:numPr>
        <w:contextualSpacing/>
        <w:rPr>
          <w:bCs/>
        </w:rPr>
      </w:pPr>
      <w:r w:rsidRPr="00184C0D">
        <w:rPr>
          <w:bCs/>
        </w:rPr>
        <w:t xml:space="preserve">Treatment with </w:t>
      </w:r>
      <w:r>
        <w:rPr>
          <w:bCs/>
        </w:rPr>
        <w:t>selexipag</w:t>
      </w:r>
      <w:r w:rsidRPr="00184C0D">
        <w:rPr>
          <w:bCs/>
        </w:rPr>
        <w:t xml:space="preserve"> is expected to provide a clinically relevant improvement in efficacy over alternative therapies with respect to </w:t>
      </w:r>
      <w:r>
        <w:rPr>
          <w:bCs/>
        </w:rPr>
        <w:t>treating PAH</w:t>
      </w:r>
      <w:r w:rsidRPr="00184C0D">
        <w:rPr>
          <w:bCs/>
        </w:rPr>
        <w:t>.</w:t>
      </w:r>
    </w:p>
    <w:p w:rsidR="00CB5EF9" w:rsidRPr="00184C0D" w:rsidRDefault="00CB5EF9" w:rsidP="00CB5EF9">
      <w:pPr>
        <w:pStyle w:val="ListParagraph"/>
        <w:widowControl w:val="0"/>
        <w:numPr>
          <w:ilvl w:val="0"/>
          <w:numId w:val="40"/>
        </w:numPr>
        <w:contextualSpacing/>
        <w:rPr>
          <w:bCs/>
        </w:rPr>
      </w:pPr>
      <w:r w:rsidRPr="00184C0D">
        <w:rPr>
          <w:bCs/>
        </w:rPr>
        <w:t xml:space="preserve">Treatment with </w:t>
      </w:r>
      <w:r>
        <w:rPr>
          <w:bCs/>
        </w:rPr>
        <w:t>selexipag</w:t>
      </w:r>
      <w:r w:rsidRPr="00184C0D">
        <w:rPr>
          <w:bCs/>
        </w:rPr>
        <w:t xml:space="preserve"> is not expected to address a high and urgent unmet clinical need because other subsidised therapies are available;</w:t>
      </w:r>
    </w:p>
    <w:p w:rsidR="00CB5EF9" w:rsidRPr="00184C0D" w:rsidRDefault="00CB5EF9" w:rsidP="00CB5EF9">
      <w:pPr>
        <w:pStyle w:val="ListParagraph"/>
        <w:widowControl w:val="0"/>
        <w:numPr>
          <w:ilvl w:val="0"/>
          <w:numId w:val="40"/>
        </w:numPr>
        <w:contextualSpacing/>
        <w:rPr>
          <w:bCs/>
        </w:rPr>
      </w:pPr>
      <w:r w:rsidRPr="00184C0D">
        <w:rPr>
          <w:bCs/>
        </w:rPr>
        <w:t>It was not necessary to make a finding in relation to whether it would be in the public interest for the subsequent pricing application to be progressed under Pricing Pathway A because one or more of the preceding tests had failed.</w:t>
      </w:r>
    </w:p>
    <w:p w:rsidR="00D73467" w:rsidRPr="00A6055A" w:rsidRDefault="0081252B" w:rsidP="00D73467">
      <w:pPr>
        <w:widowControl w:val="0"/>
        <w:numPr>
          <w:ilvl w:val="1"/>
          <w:numId w:val="1"/>
        </w:numPr>
        <w:spacing w:after="120"/>
        <w:ind w:left="720"/>
        <w:rPr>
          <w:rFonts w:asciiTheme="minorHAnsi" w:hAnsiTheme="minorHAnsi"/>
          <w:b/>
          <w:bCs/>
          <w:snapToGrid w:val="0"/>
        </w:rPr>
      </w:pPr>
      <w:r w:rsidRPr="0067437A">
        <w:rPr>
          <w:rFonts w:asciiTheme="minorHAnsi" w:hAnsiTheme="minorHAnsi"/>
          <w:bCs/>
          <w:snapToGrid w:val="0"/>
        </w:rPr>
        <w:lastRenderedPageBreak/>
        <w:t>The PB</w:t>
      </w:r>
      <w:r w:rsidR="00D73467" w:rsidRPr="0067437A">
        <w:rPr>
          <w:rFonts w:asciiTheme="minorHAnsi" w:hAnsiTheme="minorHAnsi"/>
          <w:bCs/>
          <w:snapToGrid w:val="0"/>
        </w:rPr>
        <w:t xml:space="preserve">AC noted that this submission </w:t>
      </w:r>
      <w:r w:rsidRPr="0067437A">
        <w:rPr>
          <w:rFonts w:asciiTheme="minorHAnsi" w:hAnsiTheme="minorHAnsi"/>
          <w:bCs/>
          <w:snapToGrid w:val="0"/>
        </w:rPr>
        <w:t>is not eligible for an Independent Review</w:t>
      </w:r>
      <w:r w:rsidR="00D73467" w:rsidRPr="0067437A">
        <w:rPr>
          <w:rFonts w:asciiTheme="minorHAnsi" w:hAnsiTheme="minorHAnsi"/>
          <w:bCs/>
          <w:snapToGrid w:val="0"/>
        </w:rPr>
        <w:t xml:space="preserve"> as it received a positive recommendation</w:t>
      </w:r>
      <w:r w:rsidRPr="0067437A">
        <w:rPr>
          <w:rFonts w:asciiTheme="minorHAnsi" w:hAnsiTheme="minorHAnsi"/>
          <w:bCs/>
          <w:snapToGrid w:val="0"/>
        </w:rPr>
        <w:t xml:space="preserve">. </w:t>
      </w:r>
    </w:p>
    <w:p w:rsidR="0081252B" w:rsidRPr="0067437A" w:rsidRDefault="0081252B" w:rsidP="00D73467">
      <w:pPr>
        <w:widowControl w:val="0"/>
        <w:spacing w:after="120"/>
        <w:outlineLvl w:val="1"/>
        <w:rPr>
          <w:rFonts w:asciiTheme="minorHAnsi" w:hAnsiTheme="minorHAnsi"/>
          <w:b/>
          <w:bCs/>
          <w:snapToGrid w:val="0"/>
        </w:rPr>
      </w:pPr>
      <w:r w:rsidRPr="0067437A">
        <w:rPr>
          <w:rFonts w:asciiTheme="minorHAnsi" w:hAnsiTheme="minorHAnsi"/>
          <w:b/>
          <w:bCs/>
          <w:snapToGrid w:val="0"/>
        </w:rPr>
        <w:t>Outcome:</w:t>
      </w:r>
      <w:r w:rsidR="00D73467" w:rsidRPr="0067437A">
        <w:rPr>
          <w:rFonts w:asciiTheme="minorHAnsi" w:hAnsiTheme="minorHAnsi"/>
          <w:b/>
          <w:bCs/>
          <w:snapToGrid w:val="0"/>
        </w:rPr>
        <w:t xml:space="preserve"> </w:t>
      </w:r>
      <w:r w:rsidR="00D73467" w:rsidRPr="0067437A">
        <w:rPr>
          <w:rFonts w:asciiTheme="minorHAnsi" w:hAnsiTheme="minorHAnsi"/>
          <w:b/>
          <w:bCs/>
          <w:snapToGrid w:val="0"/>
        </w:rPr>
        <w:br/>
      </w:r>
      <w:r w:rsidRPr="0067437A">
        <w:rPr>
          <w:rFonts w:asciiTheme="minorHAnsi" w:hAnsiTheme="minorHAnsi"/>
          <w:bCs/>
          <w:snapToGrid w:val="0"/>
        </w:rPr>
        <w:t>Recommended</w:t>
      </w:r>
    </w:p>
    <w:p w:rsidR="0081252B" w:rsidRPr="00856390" w:rsidRDefault="0081252B" w:rsidP="00856390">
      <w:pPr>
        <w:keepNext/>
        <w:widowControl w:val="0"/>
        <w:numPr>
          <w:ilvl w:val="0"/>
          <w:numId w:val="1"/>
        </w:numPr>
        <w:spacing w:before="240" w:after="120"/>
        <w:outlineLvl w:val="0"/>
        <w:rPr>
          <w:rFonts w:asciiTheme="minorHAnsi" w:hAnsiTheme="minorHAnsi"/>
          <w:b/>
          <w:bCs/>
          <w:snapToGrid w:val="0"/>
          <w:sz w:val="32"/>
        </w:rPr>
      </w:pPr>
      <w:r w:rsidRPr="0067437A">
        <w:rPr>
          <w:rFonts w:asciiTheme="minorHAnsi" w:hAnsiTheme="minorHAnsi"/>
          <w:b/>
          <w:bCs/>
          <w:snapToGrid w:val="0"/>
          <w:sz w:val="32"/>
        </w:rPr>
        <w:t>Recommended listing</w:t>
      </w:r>
    </w:p>
    <w:p w:rsidR="0081252B" w:rsidRPr="0067437A" w:rsidRDefault="00F95D55" w:rsidP="00D063F8">
      <w:pPr>
        <w:widowControl w:val="0"/>
        <w:numPr>
          <w:ilvl w:val="1"/>
          <w:numId w:val="1"/>
        </w:numPr>
        <w:spacing w:after="120"/>
        <w:ind w:left="720"/>
        <w:jc w:val="left"/>
        <w:rPr>
          <w:rFonts w:asciiTheme="minorHAnsi" w:hAnsiTheme="minorHAnsi"/>
          <w:b/>
          <w:bCs/>
          <w:snapToGrid w:val="0"/>
        </w:rPr>
      </w:pPr>
      <w:r>
        <w:rPr>
          <w:rFonts w:asciiTheme="minorHAnsi" w:hAnsiTheme="minorHAnsi"/>
          <w:bCs/>
          <w:snapToGrid w:val="0"/>
        </w:rPr>
        <w:t>A</w:t>
      </w:r>
      <w:r w:rsidR="0081252B" w:rsidRPr="0067437A">
        <w:rPr>
          <w:rFonts w:asciiTheme="minorHAnsi" w:hAnsiTheme="minorHAnsi"/>
          <w:bCs/>
          <w:snapToGrid w:val="0"/>
        </w:rPr>
        <w:t xml:space="preserve">dd new </w:t>
      </w:r>
      <w:r>
        <w:rPr>
          <w:rFonts w:asciiTheme="minorHAnsi" w:hAnsiTheme="minorHAnsi"/>
          <w:bCs/>
          <w:snapToGrid w:val="0"/>
        </w:rPr>
        <w:t xml:space="preserve"> medicinal product as follows</w:t>
      </w:r>
      <w:r w:rsidR="00E0677C">
        <w:rPr>
          <w:rFonts w:asciiTheme="minorHAnsi" w:hAnsiTheme="minorHAnsi"/>
          <w:bCs/>
          <w:snapToGrid w:val="0"/>
        </w:rPr>
        <w:t xml:space="preserve"> (indicative listing shown below</w:t>
      </w:r>
      <w:r w:rsidR="006B76FA">
        <w:rPr>
          <w:rFonts w:asciiTheme="minorHAnsi" w:hAnsiTheme="minorHAnsi"/>
          <w:bCs/>
          <w:snapToGrid w:val="0"/>
        </w:rPr>
        <w:t>; details still to be finalised</w:t>
      </w:r>
      <w:r w:rsidR="00E0677C">
        <w:rPr>
          <w:rFonts w:asciiTheme="minorHAnsi" w:hAnsiTheme="minorHAnsi"/>
          <w:bCs/>
          <w:snapToGrid w:val="0"/>
        </w:rPr>
        <w:t>)</w:t>
      </w:r>
      <w:r w:rsidR="0081252B" w:rsidRPr="0067437A">
        <w:rPr>
          <w:rFonts w:asciiTheme="minorHAnsi" w:hAnsiTheme="minorHAnsi"/>
          <w:bCs/>
          <w:snapToGrid w:val="0"/>
        </w:rPr>
        <w:t>:</w:t>
      </w:r>
    </w:p>
    <w:p w:rsidR="0081252B" w:rsidRPr="0067437A" w:rsidRDefault="0081252B" w:rsidP="0081252B">
      <w:pPr>
        <w:pStyle w:val="NoSpacing"/>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276"/>
        <w:gridCol w:w="1276"/>
        <w:gridCol w:w="850"/>
        <w:gridCol w:w="1559"/>
      </w:tblGrid>
      <w:tr w:rsidR="001745A9" w:rsidRPr="00E164BE" w:rsidTr="001745A9">
        <w:trPr>
          <w:cantSplit/>
          <w:trHeight w:val="471"/>
        </w:trPr>
        <w:tc>
          <w:tcPr>
            <w:tcW w:w="2547" w:type="dxa"/>
          </w:tcPr>
          <w:p w:rsidR="001745A9" w:rsidRPr="00E164BE" w:rsidRDefault="001745A9" w:rsidP="001745A9">
            <w:pPr>
              <w:keepNext/>
              <w:ind w:left="-108"/>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Name, Restriction,</w:t>
            </w:r>
          </w:p>
          <w:p w:rsidR="001745A9" w:rsidRPr="00E164BE" w:rsidRDefault="001745A9" w:rsidP="001745A9">
            <w:pPr>
              <w:keepNext/>
              <w:ind w:left="-108"/>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Manner of administration and form</w:t>
            </w:r>
          </w:p>
        </w:tc>
        <w:tc>
          <w:tcPr>
            <w:tcW w:w="1417" w:type="dxa"/>
          </w:tcPr>
          <w:p w:rsidR="001745A9" w:rsidRPr="00E164BE" w:rsidRDefault="001745A9" w:rsidP="001745A9">
            <w:pPr>
              <w:keepNext/>
              <w:ind w:left="-108"/>
              <w:jc w:val="center"/>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PBS item code</w:t>
            </w:r>
          </w:p>
        </w:tc>
        <w:tc>
          <w:tcPr>
            <w:tcW w:w="1276" w:type="dxa"/>
          </w:tcPr>
          <w:p w:rsidR="001745A9" w:rsidRPr="00E164BE" w:rsidRDefault="001745A9" w:rsidP="001745A9">
            <w:pPr>
              <w:keepNext/>
              <w:ind w:left="-108"/>
              <w:jc w:val="center"/>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Max. qty packs</w:t>
            </w:r>
          </w:p>
        </w:tc>
        <w:tc>
          <w:tcPr>
            <w:tcW w:w="1276" w:type="dxa"/>
          </w:tcPr>
          <w:p w:rsidR="001745A9" w:rsidRPr="00E164BE" w:rsidRDefault="001745A9" w:rsidP="001745A9">
            <w:pPr>
              <w:keepNext/>
              <w:ind w:left="-108"/>
              <w:jc w:val="center"/>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Max. qty units</w:t>
            </w:r>
          </w:p>
        </w:tc>
        <w:tc>
          <w:tcPr>
            <w:tcW w:w="850" w:type="dxa"/>
          </w:tcPr>
          <w:p w:rsidR="001745A9" w:rsidRPr="00E164BE" w:rsidRDefault="001745A9" w:rsidP="001745A9">
            <w:pPr>
              <w:keepNext/>
              <w:ind w:left="-108"/>
              <w:jc w:val="center"/>
              <w:rPr>
                <w:rFonts w:ascii="Arial Narrow" w:eastAsiaTheme="minorHAnsi" w:hAnsi="Arial Narrow"/>
                <w:b/>
                <w:sz w:val="18"/>
                <w:szCs w:val="18"/>
                <w:lang w:eastAsia="en-US"/>
              </w:rPr>
            </w:pPr>
            <w:r>
              <w:rPr>
                <w:rFonts w:ascii="Arial Narrow" w:eastAsiaTheme="minorHAnsi" w:hAnsi="Arial Narrow"/>
                <w:b/>
                <w:sz w:val="18"/>
                <w:szCs w:val="18"/>
                <w:lang w:eastAsia="en-US"/>
              </w:rPr>
              <w:t xml:space="preserve">№.of </w:t>
            </w:r>
            <w:r w:rsidRPr="00E164BE">
              <w:rPr>
                <w:rFonts w:ascii="Arial Narrow" w:eastAsiaTheme="minorHAnsi" w:hAnsi="Arial Narrow"/>
                <w:b/>
                <w:sz w:val="18"/>
                <w:szCs w:val="18"/>
                <w:lang w:eastAsia="en-US"/>
              </w:rPr>
              <w:t>Rpts</w:t>
            </w:r>
          </w:p>
        </w:tc>
        <w:tc>
          <w:tcPr>
            <w:tcW w:w="1559" w:type="dxa"/>
          </w:tcPr>
          <w:p w:rsidR="001745A9" w:rsidRPr="00E164BE" w:rsidRDefault="001745A9" w:rsidP="001745A9">
            <w:pPr>
              <w:keepNext/>
              <w:jc w:val="left"/>
              <w:rPr>
                <w:rFonts w:ascii="Arial Narrow" w:eastAsiaTheme="minorHAnsi" w:hAnsi="Arial Narrow"/>
                <w:b/>
                <w:sz w:val="18"/>
                <w:szCs w:val="18"/>
                <w:lang w:val="fr-FR" w:eastAsia="en-US"/>
              </w:rPr>
            </w:pPr>
            <w:r w:rsidRPr="00E164BE">
              <w:rPr>
                <w:rFonts w:ascii="Arial Narrow" w:eastAsiaTheme="minorHAnsi" w:hAnsi="Arial Narrow"/>
                <w:b/>
                <w:sz w:val="18"/>
                <w:szCs w:val="18"/>
                <w:lang w:eastAsia="en-US"/>
              </w:rPr>
              <w:t>Available brands</w:t>
            </w:r>
          </w:p>
        </w:tc>
      </w:tr>
      <w:tr w:rsidR="001745A9" w:rsidRPr="00E164BE" w:rsidTr="001745A9">
        <w:trPr>
          <w:cantSplit/>
          <w:trHeight w:val="167"/>
        </w:trPr>
        <w:tc>
          <w:tcPr>
            <w:tcW w:w="8925" w:type="dxa"/>
            <w:gridSpan w:val="6"/>
          </w:tcPr>
          <w:p w:rsidR="001745A9" w:rsidRPr="00E164BE" w:rsidRDefault="001745A9" w:rsidP="001745A9">
            <w:pPr>
              <w:keepNext/>
              <w:ind w:left="-108"/>
              <w:jc w:val="left"/>
              <w:rPr>
                <w:rFonts w:ascii="Arial Narrow" w:eastAsiaTheme="minorHAnsi" w:hAnsi="Arial Narrow"/>
                <w:sz w:val="18"/>
                <w:szCs w:val="18"/>
                <w:lang w:eastAsia="en-US"/>
              </w:rPr>
            </w:pPr>
            <w:r>
              <w:rPr>
                <w:rFonts w:ascii="Arial Narrow" w:eastAsiaTheme="minorHAnsi" w:hAnsi="Arial Narrow"/>
                <w:sz w:val="18"/>
                <w:szCs w:val="18"/>
                <w:lang w:eastAsia="en-US"/>
              </w:rPr>
              <w:t>SELEXIPAG</w:t>
            </w:r>
          </w:p>
          <w:p w:rsidR="001745A9" w:rsidRPr="00E164BE" w:rsidRDefault="001745A9" w:rsidP="001745A9">
            <w:pPr>
              <w:keepNext/>
              <w:jc w:val="left"/>
              <w:rPr>
                <w:rFonts w:ascii="Arial Narrow" w:eastAsiaTheme="minorHAnsi" w:hAnsi="Arial Narrow"/>
                <w:sz w:val="18"/>
                <w:szCs w:val="18"/>
                <w:lang w:eastAsia="en-US"/>
              </w:rPr>
            </w:pPr>
          </w:p>
        </w:tc>
      </w:tr>
      <w:tr w:rsidR="001745A9" w:rsidRPr="00E164BE" w:rsidTr="001745A9">
        <w:trPr>
          <w:cantSplit/>
          <w:trHeight w:val="247"/>
        </w:trPr>
        <w:tc>
          <w:tcPr>
            <w:tcW w:w="2547" w:type="dxa"/>
          </w:tcPr>
          <w:p w:rsidR="001745A9" w:rsidRPr="00E164BE" w:rsidRDefault="001745A9" w:rsidP="001745A9">
            <w:pPr>
              <w:keepNext/>
              <w:ind w:left="-108"/>
              <w:jc w:val="left"/>
              <w:rPr>
                <w:rFonts w:ascii="Arial Narrow" w:eastAsiaTheme="minorHAnsi" w:hAnsi="Arial Narrow"/>
                <w:sz w:val="18"/>
                <w:szCs w:val="18"/>
                <w:lang w:eastAsia="en-US"/>
              </w:rPr>
            </w:pPr>
            <w:r>
              <w:rPr>
                <w:rFonts w:ascii="Arial Narrow" w:eastAsiaTheme="minorHAnsi" w:hAnsi="Arial Narrow"/>
                <w:sz w:val="18"/>
                <w:szCs w:val="18"/>
                <w:lang w:eastAsia="en-US"/>
              </w:rPr>
              <w:t>selexipag</w:t>
            </w:r>
            <w:r w:rsidRPr="00E164BE">
              <w:rPr>
                <w:rFonts w:ascii="Arial Narrow" w:eastAsiaTheme="minorHAnsi" w:hAnsi="Arial Narrow"/>
                <w:sz w:val="18"/>
                <w:szCs w:val="18"/>
                <w:lang w:eastAsia="en-US"/>
              </w:rPr>
              <w:t xml:space="preserve"> </w:t>
            </w:r>
            <w:r>
              <w:rPr>
                <w:rFonts w:ascii="Arial Narrow" w:eastAsiaTheme="minorHAnsi" w:hAnsi="Arial Narrow"/>
                <w:sz w:val="18"/>
                <w:szCs w:val="18"/>
                <w:lang w:eastAsia="en-US"/>
              </w:rPr>
              <w:t>20</w:t>
            </w:r>
            <w:r w:rsidRPr="00E164BE">
              <w:rPr>
                <w:rFonts w:ascii="Arial Narrow" w:eastAsiaTheme="minorHAnsi" w:hAnsi="Arial Narrow"/>
                <w:sz w:val="18"/>
                <w:szCs w:val="18"/>
                <w:lang w:eastAsia="en-US"/>
              </w:rPr>
              <w:t xml:space="preserve">0 </w:t>
            </w:r>
            <w:r>
              <w:rPr>
                <w:rFonts w:ascii="Arial Narrow" w:eastAsiaTheme="minorHAnsi" w:hAnsi="Arial Narrow"/>
                <w:sz w:val="18"/>
                <w:szCs w:val="18"/>
                <w:lang w:eastAsia="en-US"/>
              </w:rPr>
              <w:t>microgram</w:t>
            </w:r>
            <w:r w:rsidRPr="00E164BE">
              <w:rPr>
                <w:rFonts w:ascii="Arial Narrow" w:eastAsiaTheme="minorHAnsi" w:hAnsi="Arial Narrow"/>
                <w:sz w:val="18"/>
                <w:szCs w:val="18"/>
                <w:lang w:eastAsia="en-US"/>
              </w:rPr>
              <w:t xml:space="preserve"> tablet</w:t>
            </w:r>
            <w:r>
              <w:rPr>
                <w:rFonts w:ascii="Arial Narrow" w:eastAsiaTheme="minorHAnsi" w:hAnsi="Arial Narrow"/>
                <w:sz w:val="18"/>
                <w:szCs w:val="18"/>
                <w:lang w:eastAsia="en-US"/>
              </w:rPr>
              <w:t>, 140</w:t>
            </w:r>
          </w:p>
        </w:tc>
        <w:tc>
          <w:tcPr>
            <w:tcW w:w="1417" w:type="dxa"/>
          </w:tcPr>
          <w:p w:rsidR="001745A9" w:rsidRPr="00E164BE"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1</w:t>
            </w:r>
          </w:p>
        </w:tc>
        <w:tc>
          <w:tcPr>
            <w:tcW w:w="1276"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1</w:t>
            </w:r>
          </w:p>
        </w:tc>
        <w:tc>
          <w:tcPr>
            <w:tcW w:w="850"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2</w:t>
            </w:r>
          </w:p>
        </w:tc>
        <w:tc>
          <w:tcPr>
            <w:tcW w:w="1559" w:type="dxa"/>
          </w:tcPr>
          <w:p w:rsidR="001745A9"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r w:rsidR="001745A9" w:rsidRPr="00E164BE" w:rsidTr="001745A9">
        <w:trPr>
          <w:cantSplit/>
          <w:trHeight w:val="247"/>
        </w:trPr>
        <w:tc>
          <w:tcPr>
            <w:tcW w:w="2547" w:type="dxa"/>
          </w:tcPr>
          <w:p w:rsidR="001745A9"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8</w:t>
            </w:r>
            <w:r w:rsidRPr="00E164BE">
              <w:rPr>
                <w:rFonts w:ascii="Arial Narrow" w:eastAsiaTheme="minorHAnsi" w:hAnsi="Arial Narrow"/>
                <w:sz w:val="18"/>
                <w:szCs w:val="18"/>
                <w:lang w:eastAsia="en-US"/>
              </w:rPr>
              <w:t>00 microgram tablet</w:t>
            </w:r>
            <w:r>
              <w:rPr>
                <w:rFonts w:ascii="Arial Narrow" w:eastAsiaTheme="minorHAnsi" w:hAnsi="Arial Narrow"/>
                <w:sz w:val="18"/>
                <w:szCs w:val="18"/>
                <w:lang w:eastAsia="en-US"/>
              </w:rPr>
              <w:t>, 60</w:t>
            </w:r>
          </w:p>
        </w:tc>
        <w:tc>
          <w:tcPr>
            <w:tcW w:w="1417"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Pr="00E164BE"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3</w:t>
            </w:r>
          </w:p>
        </w:tc>
        <w:tc>
          <w:tcPr>
            <w:tcW w:w="1559" w:type="dxa"/>
          </w:tcPr>
          <w:p w:rsidR="001745A9" w:rsidRPr="00E164BE"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bl>
    <w:p w:rsidR="001745A9" w:rsidRDefault="001745A9" w:rsidP="001745A9"/>
    <w:p w:rsidR="001745A9" w:rsidRPr="00E164BE" w:rsidRDefault="001745A9" w:rsidP="001745A9">
      <w:pPr>
        <w:spacing w:after="160" w:line="259" w:lineRule="auto"/>
        <w:jc w:val="left"/>
        <w:rPr>
          <w:rFonts w:ascii="Arial Narrow" w:eastAsiaTheme="minorHAnsi" w:hAnsi="Arial Narrow" w:cs="Times New Roman"/>
          <w:b/>
          <w:sz w:val="18"/>
          <w:szCs w:val="18"/>
          <w:lang w:eastAsia="en-US"/>
        </w:rPr>
      </w:pPr>
      <w:r w:rsidRPr="00E164BE">
        <w:rPr>
          <w:rFonts w:ascii="Arial Narrow" w:eastAsiaTheme="minorHAnsi" w:hAnsi="Arial Narrow" w:cs="Times New Roman"/>
          <w:b/>
          <w:sz w:val="18"/>
          <w:szCs w:val="18"/>
          <w:lang w:eastAsia="en-US"/>
        </w:rPr>
        <w:t>Restriction Summary [new] / Treatment of Concept: [new]</w:t>
      </w:r>
    </w:p>
    <w:tbl>
      <w:tblPr>
        <w:tblStyle w:val="TableGrid"/>
        <w:tblW w:w="7655" w:type="dxa"/>
        <w:tblLayout w:type="fixed"/>
        <w:tblCellMar>
          <w:left w:w="85" w:type="dxa"/>
          <w:right w:w="85" w:type="dxa"/>
        </w:tblCellMar>
        <w:tblLook w:val="04A0" w:firstRow="1" w:lastRow="0" w:firstColumn="1" w:lastColumn="0" w:noHBand="0" w:noVBand="1"/>
        <w:tblCaption w:val="Table restriction"/>
      </w:tblPr>
      <w:tblGrid>
        <w:gridCol w:w="7655"/>
      </w:tblGrid>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Category / Program: </w:t>
            </w:r>
            <w:r w:rsidRPr="00762BC4">
              <w:rPr>
                <w:rFonts w:ascii="Arial Narrow" w:hAnsi="Arial Narrow"/>
                <w:sz w:val="18"/>
                <w:szCs w:val="18"/>
              </w:rPr>
              <w:t>General Schedule (Code GE)</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Prescriber type: </w:t>
            </w:r>
            <w:r w:rsidRPr="00762BC4">
              <w:rPr>
                <w:rFonts w:ascii="Arial Narrow" w:hAnsi="Arial Narrow"/>
                <w:sz w:val="18"/>
                <w:szCs w:val="18"/>
              </w:rPr>
              <w:fldChar w:fldCharType="begin">
                <w:ffData>
                  <w:name w:val="Check1"/>
                  <w:enabled/>
                  <w:calcOnExit w:val="0"/>
                  <w:checkBox>
                    <w:sizeAuto/>
                    <w:default w:val="1"/>
                  </w:checkBox>
                </w:ffData>
              </w:fldChar>
            </w:r>
            <w:r w:rsidRPr="00762BC4">
              <w:rPr>
                <w:rFonts w:ascii="Arial Narrow" w:hAnsi="Arial Narrow"/>
                <w:sz w:val="18"/>
                <w:szCs w:val="18"/>
              </w:rPr>
              <w:instrText xml:space="preserve"> FORMCHECKBOX </w:instrText>
            </w:r>
            <w:r w:rsidR="00340FCF">
              <w:rPr>
                <w:rFonts w:ascii="Arial Narrow" w:hAnsi="Arial Narrow"/>
                <w:sz w:val="18"/>
                <w:szCs w:val="18"/>
              </w:rPr>
            </w:r>
            <w:r w:rsidR="00340FCF">
              <w:rPr>
                <w:rFonts w:ascii="Arial Narrow" w:hAnsi="Arial Narrow"/>
                <w:sz w:val="18"/>
                <w:szCs w:val="18"/>
              </w:rPr>
              <w:fldChar w:fldCharType="separate"/>
            </w:r>
            <w:r w:rsidRPr="00762BC4">
              <w:rPr>
                <w:rFonts w:ascii="Arial Narrow" w:hAnsi="Arial Narrow"/>
                <w:sz w:val="18"/>
                <w:szCs w:val="18"/>
              </w:rPr>
              <w:fldChar w:fldCharType="end"/>
            </w:r>
            <w:r w:rsidRPr="00762BC4">
              <w:rPr>
                <w:rFonts w:ascii="Arial Narrow" w:hAnsi="Arial Narrow"/>
                <w:sz w:val="18"/>
                <w:szCs w:val="18"/>
              </w:rPr>
              <w:t xml:space="preserve">Medical Practitioners  </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Episodicity</w:t>
            </w:r>
            <w:r w:rsidRPr="00762BC4">
              <w:rPr>
                <w:rFonts w:ascii="Arial Narrow" w:hAnsi="Arial Narrow"/>
                <w:sz w:val="18"/>
                <w:szCs w:val="18"/>
              </w:rPr>
              <w:t>:[blank]</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Severity: </w:t>
            </w:r>
            <w:r w:rsidRPr="00762BC4">
              <w:rPr>
                <w:rFonts w:ascii="Arial Narrow" w:hAnsi="Arial Narrow"/>
                <w:sz w:val="18"/>
                <w:szCs w:val="18"/>
              </w:rPr>
              <w:t>[blank]</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Condition: </w:t>
            </w:r>
            <w:r w:rsidRPr="00762BC4">
              <w:rPr>
                <w:rFonts w:ascii="Arial Narrow" w:hAnsi="Arial Narrow"/>
                <w:sz w:val="18"/>
                <w:szCs w:val="18"/>
              </w:rPr>
              <w:t>Pulmonary arterial hypertension (PAH)</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PBS Indication: </w:t>
            </w:r>
            <w:r w:rsidRPr="00762BC4">
              <w:rPr>
                <w:rFonts w:ascii="Arial Narrow" w:hAnsi="Arial Narrow"/>
                <w:sz w:val="18"/>
                <w:szCs w:val="18"/>
              </w:rPr>
              <w:t>Pulmonary arterial hypertension (PAH)</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Treatment phase:</w:t>
            </w:r>
            <w:r w:rsidRPr="00762BC4">
              <w:rPr>
                <w:rFonts w:ascii="Arial Narrow" w:hAnsi="Arial Narrow"/>
                <w:sz w:val="18"/>
                <w:szCs w:val="18"/>
              </w:rPr>
              <w:t xml:space="preserve"> Dose titration</w:t>
            </w:r>
          </w:p>
        </w:tc>
      </w:tr>
      <w:tr w:rsidR="009A20E7" w:rsidRPr="00762BC4" w:rsidTr="009A20E7">
        <w:trPr>
          <w:trHeight w:val="371"/>
        </w:trPr>
        <w:tc>
          <w:tcPr>
            <w:tcW w:w="7655" w:type="dxa"/>
          </w:tcPr>
          <w:p w:rsidR="009A20E7" w:rsidRPr="00762BC4" w:rsidRDefault="009A20E7" w:rsidP="007564A1">
            <w:pPr>
              <w:rPr>
                <w:rFonts w:ascii="Arial Narrow" w:hAnsi="Arial Narrow"/>
                <w:b/>
                <w:sz w:val="18"/>
                <w:szCs w:val="18"/>
              </w:rPr>
            </w:pPr>
            <w:r w:rsidRPr="00762BC4">
              <w:rPr>
                <w:rFonts w:ascii="Arial Narrow" w:hAnsi="Arial Narrow"/>
                <w:b/>
                <w:sz w:val="18"/>
                <w:szCs w:val="18"/>
              </w:rPr>
              <w:t xml:space="preserve">Restriction type / method: </w:t>
            </w:r>
            <w:r w:rsidRPr="00762BC4">
              <w:rPr>
                <w:rFonts w:ascii="Arial Narrow" w:eastAsia="Calibri" w:hAnsi="Arial Narrow"/>
                <w:sz w:val="18"/>
                <w:szCs w:val="18"/>
                <w:lang w:eastAsia="en-US"/>
              </w:rPr>
              <w:fldChar w:fldCharType="begin">
                <w:ffData>
                  <w:name w:val=""/>
                  <w:enabled/>
                  <w:calcOnExit w:val="0"/>
                  <w:checkBox>
                    <w:sizeAuto/>
                    <w:default w:val="1"/>
                  </w:checkBox>
                </w:ffData>
              </w:fldChar>
            </w:r>
            <w:r w:rsidRPr="00762BC4">
              <w:rPr>
                <w:rFonts w:ascii="Arial Narrow" w:eastAsia="Calibri" w:hAnsi="Arial Narrow"/>
                <w:sz w:val="18"/>
                <w:szCs w:val="18"/>
                <w:lang w:eastAsia="en-US"/>
              </w:rPr>
              <w:instrText xml:space="preserve"> FORMCHECKBOX </w:instrText>
            </w:r>
            <w:r w:rsidR="00340FCF">
              <w:rPr>
                <w:rFonts w:ascii="Arial Narrow" w:eastAsia="Calibri" w:hAnsi="Arial Narrow"/>
                <w:sz w:val="18"/>
                <w:szCs w:val="18"/>
                <w:lang w:eastAsia="en-US"/>
              </w:rPr>
            </w:r>
            <w:r w:rsidR="00340FCF">
              <w:rPr>
                <w:rFonts w:ascii="Arial Narrow" w:eastAsia="Calibri" w:hAnsi="Arial Narrow"/>
                <w:sz w:val="18"/>
                <w:szCs w:val="18"/>
                <w:lang w:eastAsia="en-US"/>
              </w:rPr>
              <w:fldChar w:fldCharType="separate"/>
            </w:r>
            <w:r w:rsidRPr="00762BC4">
              <w:rPr>
                <w:rFonts w:ascii="Arial Narrow" w:eastAsia="Calibri" w:hAnsi="Arial Narrow"/>
                <w:sz w:val="18"/>
                <w:szCs w:val="18"/>
                <w:lang w:eastAsia="en-US"/>
              </w:rPr>
              <w:fldChar w:fldCharType="end"/>
            </w:r>
            <w:r w:rsidRPr="00762BC4">
              <w:rPr>
                <w:rFonts w:ascii="Arial Narrow" w:eastAsia="Calibri" w:hAnsi="Arial Narrow"/>
                <w:sz w:val="18"/>
                <w:szCs w:val="18"/>
                <w:lang w:eastAsia="en-US"/>
              </w:rPr>
              <w:t xml:space="preserve"> Authority Required – </w:t>
            </w:r>
            <w:r w:rsidRPr="00716CA0">
              <w:rPr>
                <w:rFonts w:ascii="Arial Narrow" w:eastAsia="Calibri" w:hAnsi="Arial Narrow"/>
                <w:sz w:val="18"/>
                <w:szCs w:val="18"/>
                <w:lang w:eastAsia="en-US"/>
              </w:rPr>
              <w:t>non-immediate/delayed assessment by Services Australia (in-writing only via mail/postal service or electronic upload to Hobart</w:t>
            </w:r>
            <w:r>
              <w:rPr>
                <w:rFonts w:ascii="Arial Narrow" w:eastAsia="Calibri" w:hAnsi="Arial Narrow"/>
                <w:sz w:val="18"/>
                <w:szCs w:val="18"/>
                <w:lang w:eastAsia="en-US"/>
              </w:rPr>
              <w:t>)</w:t>
            </w:r>
          </w:p>
        </w:tc>
      </w:tr>
      <w:tr w:rsidR="009A20E7" w:rsidRPr="00762BC4" w:rsidTr="009A20E7">
        <w:tc>
          <w:tcPr>
            <w:tcW w:w="7655" w:type="dxa"/>
          </w:tcPr>
          <w:p w:rsidR="009A20E7" w:rsidRPr="00762BC4" w:rsidRDefault="009A20E7" w:rsidP="001745A9">
            <w:pPr>
              <w:rPr>
                <w:rFonts w:ascii="Arial Narrow" w:hAnsi="Arial Narrow"/>
                <w:b/>
                <w:sz w:val="18"/>
                <w:szCs w:val="18"/>
              </w:rPr>
            </w:pPr>
            <w:r w:rsidRPr="00762BC4">
              <w:rPr>
                <w:rFonts w:ascii="Arial Narrow" w:hAnsi="Arial Narrow"/>
                <w:b/>
                <w:sz w:val="18"/>
                <w:szCs w:val="18"/>
              </w:rPr>
              <w:t>Treatment criteria:</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sz w:val="18"/>
                <w:szCs w:val="18"/>
              </w:rPr>
              <w:t>Treatment must be for dose titration purposes with the intent of completing the titration within 12 weeks</w:t>
            </w:r>
          </w:p>
        </w:tc>
      </w:tr>
      <w:tr w:rsidR="009A20E7" w:rsidRPr="00762BC4" w:rsidTr="009A20E7">
        <w:tc>
          <w:tcPr>
            <w:tcW w:w="7655" w:type="dxa"/>
          </w:tcPr>
          <w:p w:rsidR="009A20E7" w:rsidRPr="00762BC4" w:rsidRDefault="009A20E7" w:rsidP="001745A9">
            <w:pPr>
              <w:rPr>
                <w:rFonts w:ascii="Arial Narrow" w:hAnsi="Arial Narrow"/>
                <w:b/>
                <w:sz w:val="18"/>
                <w:szCs w:val="18"/>
              </w:rPr>
            </w:pPr>
            <w:r w:rsidRPr="00762BC4">
              <w:rPr>
                <w:rFonts w:ascii="Arial Narrow" w:hAnsi="Arial Narrow"/>
                <w:b/>
                <w:sz w:val="18"/>
                <w:szCs w:val="18"/>
              </w:rPr>
              <w:t>AND</w:t>
            </w:r>
          </w:p>
        </w:tc>
      </w:tr>
      <w:tr w:rsidR="009A20E7" w:rsidRPr="00762BC4" w:rsidTr="009A20E7">
        <w:tc>
          <w:tcPr>
            <w:tcW w:w="7655" w:type="dxa"/>
          </w:tcPr>
          <w:p w:rsidR="009A20E7" w:rsidRPr="00762BC4" w:rsidRDefault="009A20E7" w:rsidP="001745A9">
            <w:pPr>
              <w:rPr>
                <w:rFonts w:ascii="Arial Narrow" w:hAnsi="Arial Narrow"/>
                <w:b/>
                <w:sz w:val="18"/>
                <w:szCs w:val="18"/>
              </w:rPr>
            </w:pPr>
            <w:r w:rsidRPr="00762BC4">
              <w:rPr>
                <w:rFonts w:ascii="Arial Narrow" w:hAnsi="Arial Narrow"/>
                <w:b/>
                <w:sz w:val="18"/>
                <w:szCs w:val="18"/>
              </w:rPr>
              <w:t>Clinical criteria:</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sz w:val="18"/>
                <w:szCs w:val="18"/>
              </w:rPr>
              <w:t>Patient must have been assessed by a physician with expertise in the management of PAH</w:t>
            </w:r>
          </w:p>
        </w:tc>
      </w:tr>
      <w:tr w:rsidR="009A20E7" w:rsidRPr="00762BC4" w:rsidTr="009A20E7">
        <w:tc>
          <w:tcPr>
            <w:tcW w:w="7655" w:type="dxa"/>
          </w:tcPr>
          <w:p w:rsidR="009A20E7" w:rsidRPr="00762BC4" w:rsidRDefault="009A20E7" w:rsidP="001745A9">
            <w:pPr>
              <w:rPr>
                <w:rFonts w:ascii="Arial Narrow" w:hAnsi="Arial Narrow"/>
                <w:b/>
                <w:sz w:val="18"/>
                <w:szCs w:val="18"/>
              </w:rPr>
            </w:pPr>
            <w:r w:rsidRPr="00762BC4">
              <w:rPr>
                <w:rFonts w:ascii="Arial Narrow" w:hAnsi="Arial Narrow"/>
                <w:b/>
                <w:sz w:val="18"/>
                <w:szCs w:val="18"/>
              </w:rPr>
              <w:t>AND</w:t>
            </w:r>
          </w:p>
        </w:tc>
      </w:tr>
      <w:tr w:rsidR="009A20E7" w:rsidRPr="00762BC4" w:rsidTr="009A20E7">
        <w:tc>
          <w:tcPr>
            <w:tcW w:w="7655" w:type="dxa"/>
          </w:tcPr>
          <w:p w:rsidR="009A20E7" w:rsidRPr="00762BC4" w:rsidRDefault="009A20E7" w:rsidP="001745A9">
            <w:pPr>
              <w:rPr>
                <w:rFonts w:ascii="Arial Narrow" w:hAnsi="Arial Narrow"/>
                <w:b/>
                <w:strike/>
                <w:sz w:val="18"/>
                <w:szCs w:val="18"/>
              </w:rPr>
            </w:pPr>
            <w:r w:rsidRPr="00762BC4">
              <w:rPr>
                <w:rFonts w:ascii="Arial Narrow" w:hAnsi="Arial Narrow"/>
                <w:b/>
                <w:sz w:val="18"/>
                <w:szCs w:val="18"/>
              </w:rPr>
              <w:t>Clinical criteria:</w:t>
            </w:r>
          </w:p>
        </w:tc>
      </w:tr>
      <w:tr w:rsidR="009A20E7" w:rsidRPr="00762BC4" w:rsidTr="009A20E7">
        <w:tc>
          <w:tcPr>
            <w:tcW w:w="7655" w:type="dxa"/>
          </w:tcPr>
          <w:p w:rsidR="009A20E7" w:rsidRPr="00762BC4" w:rsidRDefault="009A20E7" w:rsidP="001745A9">
            <w:pPr>
              <w:rPr>
                <w:rFonts w:ascii="Arial Narrow" w:hAnsi="Arial Narrow"/>
                <w:color w:val="FF00FF"/>
                <w:sz w:val="18"/>
                <w:szCs w:val="18"/>
              </w:rPr>
            </w:pPr>
            <w:r w:rsidRPr="00762BC4">
              <w:rPr>
                <w:rFonts w:ascii="Arial Narrow" w:hAnsi="Arial Narrow"/>
                <w:sz w:val="18"/>
                <w:szCs w:val="18"/>
              </w:rPr>
              <w:t xml:space="preserve">Patients must have documented WHO Functional Class III PAH or WHO Functional Class IV PAH  </w:t>
            </w:r>
          </w:p>
        </w:tc>
      </w:tr>
      <w:tr w:rsidR="009A20E7" w:rsidRPr="00762BC4" w:rsidTr="009A20E7">
        <w:tc>
          <w:tcPr>
            <w:tcW w:w="7655" w:type="dxa"/>
          </w:tcPr>
          <w:p w:rsidR="009A20E7" w:rsidRPr="00762BC4" w:rsidRDefault="009A20E7" w:rsidP="001745A9">
            <w:pPr>
              <w:rPr>
                <w:rFonts w:ascii="Arial Narrow" w:hAnsi="Arial Narrow"/>
                <w:b/>
                <w:sz w:val="18"/>
                <w:szCs w:val="18"/>
              </w:rPr>
            </w:pPr>
            <w:r w:rsidRPr="00762BC4">
              <w:rPr>
                <w:rFonts w:ascii="Arial Narrow" w:hAnsi="Arial Narrow"/>
                <w:b/>
                <w:sz w:val="18"/>
                <w:szCs w:val="18"/>
              </w:rPr>
              <w:t>AND</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Clinical criteria:</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sz w:val="18"/>
                <w:szCs w:val="18"/>
              </w:rPr>
              <w:t>The treatment must form part of triple combination therapy with a PBS-subsidised phosphodiesterase-5 inhibitor (PDE-5i) together with a PBS-subsidised endothelin receptor antagonist (ERA); or</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sz w:val="18"/>
                <w:szCs w:val="18"/>
              </w:rPr>
              <w:t xml:space="preserve">The treatment must form part of dual combination therapy with one of the above mentioned drug classes, but only  when triple combination therapy is not possible due to at least one of the following being present: (i) a contraindication according to the TGA approved Product Information, (ii) an intolerance requiring permanent treatment cessation  </w:t>
            </w:r>
          </w:p>
        </w:tc>
      </w:tr>
      <w:tr w:rsidR="009A20E7" w:rsidRPr="00762BC4" w:rsidTr="009A20E7">
        <w:tc>
          <w:tcPr>
            <w:tcW w:w="765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AND</w:t>
            </w:r>
          </w:p>
        </w:tc>
      </w:tr>
      <w:tr w:rsidR="009A20E7" w:rsidRPr="00762BC4" w:rsidTr="009A20E7">
        <w:tc>
          <w:tcPr>
            <w:tcW w:w="7655" w:type="dxa"/>
          </w:tcPr>
          <w:p w:rsidR="009A20E7" w:rsidRPr="00762BC4" w:rsidRDefault="009A20E7" w:rsidP="00CF2FF4">
            <w:pPr>
              <w:rPr>
                <w:rFonts w:ascii="Arial Narrow" w:hAnsi="Arial Narrow"/>
                <w:b/>
                <w:sz w:val="18"/>
                <w:szCs w:val="18"/>
              </w:rPr>
            </w:pPr>
            <w:r w:rsidRPr="00E56B67">
              <w:rPr>
                <w:rFonts w:ascii="Arial Narrow" w:hAnsi="Arial Narrow"/>
                <w:b/>
                <w:sz w:val="18"/>
                <w:szCs w:val="18"/>
              </w:rPr>
              <w:t>Clinical criteria:</w:t>
            </w:r>
          </w:p>
        </w:tc>
      </w:tr>
      <w:tr w:rsidR="009A20E7" w:rsidRPr="00762BC4" w:rsidTr="009A20E7">
        <w:tc>
          <w:tcPr>
            <w:tcW w:w="7655" w:type="dxa"/>
          </w:tcPr>
          <w:p w:rsidR="009A20E7" w:rsidRPr="00E56B67" w:rsidRDefault="009A20E7" w:rsidP="004A0FF2">
            <w:pPr>
              <w:rPr>
                <w:rFonts w:ascii="Arial Narrow" w:hAnsi="Arial Narrow"/>
                <w:sz w:val="18"/>
                <w:szCs w:val="18"/>
              </w:rPr>
            </w:pPr>
            <w:r>
              <w:rPr>
                <w:rFonts w:ascii="Arial Narrow" w:hAnsi="Arial Narrow"/>
                <w:sz w:val="18"/>
                <w:szCs w:val="18"/>
              </w:rPr>
              <w:t>The treatment</w:t>
            </w:r>
            <w:r w:rsidRPr="00E56B67">
              <w:rPr>
                <w:rFonts w:ascii="Arial Narrow" w:hAnsi="Arial Narrow"/>
                <w:sz w:val="18"/>
                <w:szCs w:val="18"/>
              </w:rPr>
              <w:t xml:space="preserve"> </w:t>
            </w:r>
            <w:r>
              <w:rPr>
                <w:rFonts w:ascii="Arial Narrow" w:hAnsi="Arial Narrow"/>
                <w:sz w:val="18"/>
                <w:szCs w:val="18"/>
              </w:rPr>
              <w:t>must be in addition to existing</w:t>
            </w:r>
            <w:r w:rsidRPr="00E56B67">
              <w:rPr>
                <w:rFonts w:ascii="Arial Narrow" w:hAnsi="Arial Narrow"/>
                <w:sz w:val="18"/>
                <w:szCs w:val="18"/>
              </w:rPr>
              <w:t xml:space="preserve"> dual therapy with a phosphodiesterase-5 inhibitor (PDE-5i) agent </w:t>
            </w:r>
            <w:r>
              <w:rPr>
                <w:rFonts w:ascii="Arial Narrow" w:hAnsi="Arial Narrow"/>
                <w:sz w:val="18"/>
                <w:szCs w:val="18"/>
              </w:rPr>
              <w:t>combined with</w:t>
            </w:r>
            <w:r w:rsidRPr="00E56B67">
              <w:rPr>
                <w:rFonts w:ascii="Arial Narrow" w:hAnsi="Arial Narrow"/>
                <w:sz w:val="18"/>
                <w:szCs w:val="18"/>
              </w:rPr>
              <w:t xml:space="preserve"> an endothelin receptor antagonist (ERA) for pulmona</w:t>
            </w:r>
            <w:r>
              <w:rPr>
                <w:rFonts w:ascii="Arial Narrow" w:hAnsi="Arial Narrow"/>
                <w:sz w:val="18"/>
                <w:szCs w:val="18"/>
              </w:rPr>
              <w:t>ry arterial hypertension (PAH); or</w:t>
            </w:r>
          </w:p>
        </w:tc>
      </w:tr>
      <w:tr w:rsidR="009A20E7" w:rsidRPr="00762BC4" w:rsidTr="009A20E7">
        <w:tc>
          <w:tcPr>
            <w:tcW w:w="7655" w:type="dxa"/>
          </w:tcPr>
          <w:p w:rsidR="009A20E7" w:rsidRDefault="009A20E7" w:rsidP="00CF2FF4">
            <w:pPr>
              <w:rPr>
                <w:rFonts w:ascii="Arial Narrow" w:hAnsi="Arial Narrow"/>
                <w:sz w:val="18"/>
                <w:szCs w:val="18"/>
              </w:rPr>
            </w:pPr>
            <w:r w:rsidRPr="00CF2FF4">
              <w:rPr>
                <w:rFonts w:ascii="Arial Narrow" w:hAnsi="Arial Narrow"/>
                <w:sz w:val="18"/>
                <w:szCs w:val="18"/>
              </w:rPr>
              <w:t>T</w:t>
            </w:r>
            <w:r>
              <w:rPr>
                <w:rFonts w:ascii="Arial Narrow" w:hAnsi="Arial Narrow"/>
                <w:sz w:val="18"/>
                <w:szCs w:val="18"/>
              </w:rPr>
              <w:t>he treatment must be in addition</w:t>
            </w:r>
            <w:r w:rsidRPr="00CF2FF4">
              <w:rPr>
                <w:rFonts w:ascii="Arial Narrow" w:hAnsi="Arial Narrow"/>
                <w:sz w:val="18"/>
                <w:szCs w:val="18"/>
              </w:rPr>
              <w:t xml:space="preserve"> to existing therapy with a phosphodiesterase-</w:t>
            </w:r>
            <w:r>
              <w:rPr>
                <w:rFonts w:ascii="Arial Narrow" w:hAnsi="Arial Narrow"/>
                <w:sz w:val="18"/>
                <w:szCs w:val="18"/>
              </w:rPr>
              <w:t>5 inhibitor (PDE-5i)/</w:t>
            </w:r>
            <w:r w:rsidRPr="00CF2FF4">
              <w:rPr>
                <w:rFonts w:ascii="Arial Narrow" w:hAnsi="Arial Narrow"/>
                <w:sz w:val="18"/>
                <w:szCs w:val="18"/>
              </w:rPr>
              <w:t>an endothelin receptor antagonist (ERA) for pulmonary arterial hypertension (PAH)</w:t>
            </w:r>
            <w:r>
              <w:rPr>
                <w:rFonts w:ascii="Arial Narrow" w:hAnsi="Arial Narrow"/>
                <w:sz w:val="18"/>
                <w:szCs w:val="18"/>
              </w:rPr>
              <w:t xml:space="preserve">, but only </w:t>
            </w:r>
            <w:r w:rsidRPr="00762BC4">
              <w:rPr>
                <w:rFonts w:ascii="Arial Narrow" w:hAnsi="Arial Narrow"/>
                <w:sz w:val="18"/>
                <w:szCs w:val="18"/>
              </w:rPr>
              <w:t xml:space="preserve">when </w:t>
            </w:r>
            <w:r>
              <w:rPr>
                <w:rFonts w:ascii="Arial Narrow" w:hAnsi="Arial Narrow"/>
                <w:sz w:val="18"/>
                <w:szCs w:val="18"/>
              </w:rPr>
              <w:t>dual</w:t>
            </w:r>
            <w:r w:rsidRPr="00762BC4">
              <w:rPr>
                <w:rFonts w:ascii="Arial Narrow" w:hAnsi="Arial Narrow"/>
                <w:sz w:val="18"/>
                <w:szCs w:val="18"/>
              </w:rPr>
              <w:t xml:space="preserve"> </w:t>
            </w:r>
            <w:r>
              <w:rPr>
                <w:rFonts w:ascii="Arial Narrow" w:hAnsi="Arial Narrow"/>
                <w:sz w:val="18"/>
                <w:szCs w:val="18"/>
              </w:rPr>
              <w:t xml:space="preserve">ERA-PDE-5i </w:t>
            </w:r>
            <w:r w:rsidRPr="00762BC4">
              <w:rPr>
                <w:rFonts w:ascii="Arial Narrow" w:hAnsi="Arial Narrow"/>
                <w:sz w:val="18"/>
                <w:szCs w:val="18"/>
              </w:rPr>
              <w:t xml:space="preserve">combination therapy </w:t>
            </w:r>
            <w:r>
              <w:rPr>
                <w:rFonts w:ascii="Arial Narrow" w:hAnsi="Arial Narrow"/>
                <w:sz w:val="18"/>
                <w:szCs w:val="18"/>
              </w:rPr>
              <w:t>wa</w:t>
            </w:r>
            <w:r w:rsidRPr="00762BC4">
              <w:rPr>
                <w:rFonts w:ascii="Arial Narrow" w:hAnsi="Arial Narrow"/>
                <w:sz w:val="18"/>
                <w:szCs w:val="18"/>
              </w:rPr>
              <w:t xml:space="preserve">s not possible due to at least one of the following being present: (i) a contraindication according to the TGA approved Product Information, (ii) an intolerance requiring permanent treatment cessation  </w:t>
            </w:r>
          </w:p>
        </w:tc>
      </w:tr>
      <w:tr w:rsidR="009A20E7" w:rsidRPr="00762BC4" w:rsidTr="009A20E7">
        <w:tc>
          <w:tcPr>
            <w:tcW w:w="7655" w:type="dxa"/>
          </w:tcPr>
          <w:p w:rsidR="009A20E7" w:rsidRPr="00762BC4" w:rsidRDefault="009A20E7" w:rsidP="00CF2FF4">
            <w:pPr>
              <w:rPr>
                <w:rFonts w:ascii="Arial Narrow" w:hAnsi="Arial Narrow"/>
                <w:b/>
                <w:sz w:val="18"/>
                <w:szCs w:val="18"/>
              </w:rPr>
            </w:pPr>
            <w:r>
              <w:rPr>
                <w:rFonts w:ascii="Arial Narrow" w:hAnsi="Arial Narrow"/>
                <w:b/>
                <w:sz w:val="18"/>
                <w:szCs w:val="18"/>
              </w:rPr>
              <w:t>AND</w:t>
            </w:r>
          </w:p>
        </w:tc>
      </w:tr>
      <w:tr w:rsidR="009A20E7" w:rsidRPr="00762BC4" w:rsidTr="009A20E7">
        <w:tc>
          <w:tcPr>
            <w:tcW w:w="7655" w:type="dxa"/>
          </w:tcPr>
          <w:p w:rsidR="009A20E7" w:rsidRPr="00762BC4" w:rsidRDefault="009A20E7" w:rsidP="00CF2FF4">
            <w:pPr>
              <w:rPr>
                <w:rFonts w:ascii="Arial Narrow" w:hAnsi="Arial Narrow"/>
                <w:sz w:val="18"/>
                <w:szCs w:val="18"/>
              </w:rPr>
            </w:pPr>
            <w:r w:rsidRPr="00762BC4">
              <w:rPr>
                <w:rFonts w:ascii="Arial Narrow" w:hAnsi="Arial Narrow"/>
                <w:b/>
                <w:sz w:val="18"/>
                <w:szCs w:val="18"/>
              </w:rPr>
              <w:t>Clinical criteria:</w:t>
            </w:r>
          </w:p>
        </w:tc>
      </w:tr>
      <w:tr w:rsidR="009A20E7" w:rsidRPr="00762BC4" w:rsidTr="009A20E7">
        <w:tc>
          <w:tcPr>
            <w:tcW w:w="7655" w:type="dxa"/>
          </w:tcPr>
          <w:p w:rsidR="009A20E7" w:rsidRPr="00762BC4" w:rsidRDefault="009A20E7" w:rsidP="00CF2FF4">
            <w:pPr>
              <w:rPr>
                <w:rFonts w:ascii="Arial Narrow" w:hAnsi="Arial Narrow"/>
                <w:sz w:val="18"/>
                <w:szCs w:val="18"/>
              </w:rPr>
            </w:pPr>
            <w:r w:rsidRPr="00762BC4">
              <w:rPr>
                <w:rFonts w:ascii="Arial Narrow" w:hAnsi="Arial Narrow"/>
                <w:sz w:val="18"/>
                <w:szCs w:val="18"/>
              </w:rPr>
              <w:t>The treatment must not be as monotherapy</w:t>
            </w:r>
          </w:p>
        </w:tc>
      </w:tr>
      <w:tr w:rsidR="009A20E7" w:rsidRPr="00762BC4" w:rsidTr="009A20E7">
        <w:tc>
          <w:tcPr>
            <w:tcW w:w="7655" w:type="dxa"/>
          </w:tcPr>
          <w:p w:rsidR="009A20E7" w:rsidRPr="00762BC4" w:rsidRDefault="009A20E7" w:rsidP="00CF2FF4">
            <w:pPr>
              <w:rPr>
                <w:rFonts w:ascii="Arial Narrow" w:hAnsi="Arial Narrow"/>
                <w:b/>
                <w:sz w:val="18"/>
                <w:szCs w:val="18"/>
              </w:rPr>
            </w:pPr>
            <w:r w:rsidRPr="00762BC4">
              <w:rPr>
                <w:rFonts w:ascii="Arial Narrow" w:hAnsi="Arial Narrow"/>
                <w:b/>
                <w:sz w:val="18"/>
                <w:szCs w:val="18"/>
              </w:rPr>
              <w:lastRenderedPageBreak/>
              <w:t>Prescriber Instructions:</w:t>
            </w:r>
          </w:p>
          <w:p w:rsidR="009A20E7" w:rsidRPr="00762BC4" w:rsidRDefault="009A20E7" w:rsidP="00CF2FF4">
            <w:pPr>
              <w:rPr>
                <w:rFonts w:ascii="Arial Narrow" w:hAnsi="Arial Narrow"/>
                <w:sz w:val="18"/>
                <w:szCs w:val="18"/>
              </w:rPr>
            </w:pPr>
            <w:r w:rsidRPr="00762BC4">
              <w:rPr>
                <w:rFonts w:ascii="Arial Narrow" w:hAnsi="Arial Narrow"/>
                <w:sz w:val="18"/>
                <w:szCs w:val="18"/>
              </w:rPr>
              <w:t>PAH (WHO Group I pulmonary hypertension) is defined as follows:</w:t>
            </w:r>
          </w:p>
          <w:p w:rsidR="009A20E7" w:rsidRPr="00762BC4" w:rsidRDefault="009A20E7" w:rsidP="00CF2FF4">
            <w:pPr>
              <w:rPr>
                <w:rFonts w:ascii="Arial Narrow" w:hAnsi="Arial Narrow"/>
                <w:sz w:val="18"/>
                <w:szCs w:val="18"/>
              </w:rPr>
            </w:pPr>
            <w:r w:rsidRPr="00762BC4">
              <w:rPr>
                <w:rFonts w:ascii="Arial Narrow" w:hAnsi="Arial Narrow"/>
                <w:sz w:val="18"/>
                <w:szCs w:val="18"/>
              </w:rPr>
              <w:t>(i) mean pulmonary artery pressure (mPAP) greater than or equal to 25 mmHg at rest and pulmonary artery wedge pressure (PAWP) less than or equal to 15 mmHg; or</w:t>
            </w:r>
          </w:p>
          <w:p w:rsidR="009A20E7" w:rsidRPr="00762BC4" w:rsidRDefault="009A20E7" w:rsidP="00CF2FF4">
            <w:pPr>
              <w:rPr>
                <w:rFonts w:ascii="Arial Narrow" w:hAnsi="Arial Narrow"/>
                <w:sz w:val="18"/>
                <w:szCs w:val="18"/>
              </w:rPr>
            </w:pPr>
            <w:r w:rsidRPr="00762BC4">
              <w:rPr>
                <w:rFonts w:ascii="Arial Narrow" w:hAnsi="Arial Narrow"/>
                <w:sz w:val="18"/>
                <w:szCs w:val="18"/>
              </w:rPr>
              <w:t>(ii) where a right heart catheter (RHC) cannot be performed on clinical grounds, right ventricular systolic pressure (RVSP), assessed by echocardiography (ECHO), greater than 40 mmHg, with normal left ventricular function.</w:t>
            </w:r>
          </w:p>
        </w:tc>
      </w:tr>
      <w:tr w:rsidR="009A20E7" w:rsidRPr="00762BC4" w:rsidTr="009A20E7">
        <w:tc>
          <w:tcPr>
            <w:tcW w:w="7655" w:type="dxa"/>
          </w:tcPr>
          <w:p w:rsidR="009A20E7" w:rsidRPr="00762BC4" w:rsidRDefault="009A20E7" w:rsidP="00CF2FF4">
            <w:pPr>
              <w:rPr>
                <w:rFonts w:ascii="Arial Narrow" w:hAnsi="Arial Narrow"/>
                <w:b/>
                <w:sz w:val="18"/>
                <w:szCs w:val="18"/>
              </w:rPr>
            </w:pPr>
            <w:r w:rsidRPr="00762BC4">
              <w:rPr>
                <w:rFonts w:ascii="Arial Narrow" w:hAnsi="Arial Narrow"/>
                <w:b/>
                <w:sz w:val="18"/>
                <w:szCs w:val="18"/>
              </w:rPr>
              <w:t>Prescriber Instructions:</w:t>
            </w:r>
          </w:p>
          <w:p w:rsidR="009A20E7" w:rsidRPr="00762BC4" w:rsidRDefault="009A20E7" w:rsidP="00CF2FF4">
            <w:pPr>
              <w:rPr>
                <w:rFonts w:ascii="Arial Narrow" w:hAnsi="Arial Narrow"/>
                <w:b/>
                <w:sz w:val="18"/>
                <w:szCs w:val="18"/>
              </w:rPr>
            </w:pPr>
            <w:r w:rsidRPr="00762BC4">
              <w:rPr>
                <w:rFonts w:ascii="Arial Narrow" w:hAnsi="Arial Narrow"/>
                <w:sz w:val="18"/>
                <w:szCs w:val="18"/>
              </w:rPr>
              <w:t>PAH agents are not PBS-subsidised for patients with pulmonary hypertension secondary to interstitial lung disease associated with connective tissue disease, where the total lung capacity is less than 70% of predicted.</w:t>
            </w:r>
          </w:p>
        </w:tc>
      </w:tr>
      <w:tr w:rsidR="009A20E7" w:rsidRPr="00762BC4" w:rsidTr="009A20E7">
        <w:tc>
          <w:tcPr>
            <w:tcW w:w="7655" w:type="dxa"/>
          </w:tcPr>
          <w:p w:rsidR="009A20E7" w:rsidRDefault="009A20E7" w:rsidP="00CF2FF4">
            <w:pPr>
              <w:rPr>
                <w:rFonts w:ascii="Arial Narrow" w:hAnsi="Arial Narrow"/>
                <w:b/>
                <w:sz w:val="18"/>
                <w:szCs w:val="18"/>
              </w:rPr>
            </w:pPr>
            <w:r>
              <w:rPr>
                <w:rFonts w:ascii="Arial Narrow" w:hAnsi="Arial Narrow"/>
                <w:b/>
                <w:sz w:val="18"/>
                <w:szCs w:val="18"/>
              </w:rPr>
              <w:t>Prescriber Instructions:</w:t>
            </w:r>
          </w:p>
          <w:p w:rsidR="009A20E7" w:rsidRPr="00C8102D" w:rsidRDefault="009A20E7" w:rsidP="00CF2FF4">
            <w:pPr>
              <w:rPr>
                <w:rFonts w:ascii="Arial Narrow" w:hAnsi="Arial Narrow"/>
                <w:sz w:val="18"/>
                <w:szCs w:val="18"/>
              </w:rPr>
            </w:pPr>
            <w:r w:rsidRPr="00C8102D">
              <w:rPr>
                <w:rFonts w:ascii="Arial Narrow" w:hAnsi="Arial Narrow"/>
                <w:sz w:val="18"/>
                <w:szCs w:val="18"/>
              </w:rPr>
              <w:t>Delayed assessment instructions (to be determined)</w:t>
            </w:r>
          </w:p>
        </w:tc>
      </w:tr>
      <w:tr w:rsidR="009A20E7" w:rsidRPr="00762BC4" w:rsidTr="009A20E7">
        <w:tc>
          <w:tcPr>
            <w:tcW w:w="7655" w:type="dxa"/>
          </w:tcPr>
          <w:p w:rsidR="009A20E7" w:rsidRPr="00762BC4" w:rsidRDefault="009A20E7" w:rsidP="00CF2FF4">
            <w:pPr>
              <w:rPr>
                <w:rFonts w:ascii="Arial Narrow" w:hAnsi="Arial Narrow"/>
                <w:b/>
                <w:sz w:val="18"/>
                <w:szCs w:val="18"/>
              </w:rPr>
            </w:pPr>
            <w:r w:rsidRPr="00762BC4">
              <w:rPr>
                <w:rFonts w:ascii="Arial Narrow" w:hAnsi="Arial Narrow"/>
                <w:b/>
                <w:sz w:val="18"/>
                <w:szCs w:val="18"/>
              </w:rPr>
              <w:t>Administrative advice:</w:t>
            </w:r>
          </w:p>
          <w:p w:rsidR="009A20E7" w:rsidRPr="00762BC4" w:rsidRDefault="009A20E7" w:rsidP="00CF2FF4">
            <w:pPr>
              <w:rPr>
                <w:rFonts w:ascii="Arial Narrow" w:hAnsi="Arial Narrow"/>
                <w:sz w:val="18"/>
                <w:szCs w:val="18"/>
              </w:rPr>
            </w:pPr>
            <w:r w:rsidRPr="00762BC4">
              <w:rPr>
                <w:rFonts w:ascii="Arial Narrow" w:hAnsi="Arial Narrow"/>
                <w:sz w:val="18"/>
                <w:szCs w:val="18"/>
              </w:rPr>
              <w:t>PAH (WHO Group 1 pulmonary hypertension) currently includes the following subtypes:</w:t>
            </w:r>
          </w:p>
          <w:p w:rsidR="009A20E7" w:rsidRPr="00762BC4" w:rsidRDefault="009A20E7" w:rsidP="00CF2FF4">
            <w:pPr>
              <w:ind w:left="170"/>
              <w:rPr>
                <w:rFonts w:ascii="Arial Narrow" w:hAnsi="Arial Narrow"/>
                <w:sz w:val="18"/>
                <w:szCs w:val="18"/>
              </w:rPr>
            </w:pPr>
            <w:r w:rsidRPr="00762BC4">
              <w:rPr>
                <w:rFonts w:ascii="Arial Narrow" w:hAnsi="Arial Narrow"/>
                <w:sz w:val="18"/>
                <w:szCs w:val="18"/>
              </w:rPr>
              <w:t>•</w:t>
            </w:r>
            <w:r w:rsidRPr="00762BC4">
              <w:rPr>
                <w:rFonts w:ascii="Arial Narrow" w:hAnsi="Arial Narrow"/>
                <w:sz w:val="18"/>
                <w:szCs w:val="18"/>
              </w:rPr>
              <w:tab/>
              <w:t>Idiopathic PAH</w:t>
            </w:r>
          </w:p>
          <w:p w:rsidR="009A20E7" w:rsidRPr="00762BC4" w:rsidRDefault="009A20E7" w:rsidP="00CF2FF4">
            <w:pPr>
              <w:ind w:left="170"/>
              <w:rPr>
                <w:rFonts w:ascii="Arial Narrow" w:hAnsi="Arial Narrow"/>
                <w:sz w:val="18"/>
                <w:szCs w:val="18"/>
              </w:rPr>
            </w:pPr>
            <w:r w:rsidRPr="00762BC4">
              <w:rPr>
                <w:rFonts w:ascii="Arial Narrow" w:hAnsi="Arial Narrow"/>
                <w:sz w:val="18"/>
                <w:szCs w:val="18"/>
              </w:rPr>
              <w:t>•</w:t>
            </w:r>
            <w:r w:rsidRPr="00762BC4">
              <w:rPr>
                <w:rFonts w:ascii="Arial Narrow" w:hAnsi="Arial Narrow"/>
                <w:sz w:val="18"/>
                <w:szCs w:val="18"/>
              </w:rPr>
              <w:tab/>
              <w:t>Heritable PAH</w:t>
            </w:r>
          </w:p>
          <w:p w:rsidR="009A20E7" w:rsidRPr="00762BC4" w:rsidRDefault="009A20E7" w:rsidP="00CF2FF4">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BMPR2 mutation</w:t>
            </w:r>
          </w:p>
          <w:p w:rsidR="009A20E7" w:rsidRPr="00762BC4" w:rsidRDefault="009A20E7" w:rsidP="00CF2FF4">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ALK-1, ENG, SMAD9, CAV1, KCNK3 mutations</w:t>
            </w:r>
          </w:p>
          <w:p w:rsidR="009A20E7" w:rsidRPr="00762BC4" w:rsidRDefault="009A20E7" w:rsidP="00CF2FF4">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Other mutations</w:t>
            </w:r>
          </w:p>
          <w:p w:rsidR="009A20E7" w:rsidRPr="00762BC4" w:rsidRDefault="009A20E7" w:rsidP="00CF2FF4">
            <w:pPr>
              <w:ind w:left="170"/>
              <w:rPr>
                <w:rFonts w:ascii="Arial Narrow" w:hAnsi="Arial Narrow"/>
                <w:sz w:val="18"/>
                <w:szCs w:val="18"/>
              </w:rPr>
            </w:pPr>
            <w:r w:rsidRPr="00762BC4">
              <w:rPr>
                <w:rFonts w:ascii="Arial Narrow" w:hAnsi="Arial Narrow"/>
                <w:sz w:val="18"/>
                <w:szCs w:val="18"/>
              </w:rPr>
              <w:t>•</w:t>
            </w:r>
            <w:r w:rsidRPr="00762BC4">
              <w:rPr>
                <w:rFonts w:ascii="Arial Narrow" w:hAnsi="Arial Narrow"/>
                <w:sz w:val="18"/>
                <w:szCs w:val="18"/>
              </w:rPr>
              <w:tab/>
              <w:t>Drugs and toxins induced PAH</w:t>
            </w:r>
          </w:p>
          <w:p w:rsidR="009A20E7" w:rsidRPr="00762BC4" w:rsidRDefault="009A20E7" w:rsidP="00CF2FF4">
            <w:pPr>
              <w:ind w:left="170"/>
              <w:rPr>
                <w:rFonts w:ascii="Arial Narrow" w:hAnsi="Arial Narrow"/>
                <w:sz w:val="18"/>
                <w:szCs w:val="18"/>
              </w:rPr>
            </w:pPr>
            <w:r w:rsidRPr="00762BC4">
              <w:rPr>
                <w:rFonts w:ascii="Arial Narrow" w:hAnsi="Arial Narrow"/>
                <w:sz w:val="18"/>
                <w:szCs w:val="18"/>
              </w:rPr>
              <w:t>•</w:t>
            </w:r>
            <w:r w:rsidRPr="00762BC4">
              <w:rPr>
                <w:rFonts w:ascii="Arial Narrow" w:hAnsi="Arial Narrow"/>
                <w:sz w:val="18"/>
                <w:szCs w:val="18"/>
              </w:rPr>
              <w:tab/>
              <w:t>PAH associated with:</w:t>
            </w:r>
          </w:p>
          <w:p w:rsidR="009A20E7" w:rsidRPr="00762BC4" w:rsidRDefault="009A20E7" w:rsidP="00CF2FF4">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Connective tissue disease</w:t>
            </w:r>
          </w:p>
          <w:p w:rsidR="009A20E7" w:rsidRPr="00762BC4" w:rsidRDefault="009A20E7" w:rsidP="00CF2FF4">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Human immunodeficiency virus (HIV) infection</w:t>
            </w:r>
          </w:p>
          <w:p w:rsidR="009A20E7" w:rsidRPr="00762BC4" w:rsidRDefault="009A20E7" w:rsidP="00CF2FF4">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Portal hypertension</w:t>
            </w:r>
          </w:p>
          <w:p w:rsidR="009A20E7" w:rsidRPr="00762BC4" w:rsidRDefault="009A20E7" w:rsidP="00CF2FF4">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Congenital heart disease</w:t>
            </w:r>
          </w:p>
          <w:p w:rsidR="009A20E7" w:rsidRPr="00762BC4" w:rsidRDefault="009A20E7" w:rsidP="00CF2FF4">
            <w:pPr>
              <w:rPr>
                <w:rFonts w:ascii="Arial Narrow" w:hAnsi="Arial Narrow"/>
                <w:b/>
                <w:sz w:val="18"/>
                <w:szCs w:val="18"/>
              </w:rPr>
            </w:pPr>
            <w:r w:rsidRPr="00762BC4">
              <w:rPr>
                <w:rFonts w:ascii="Arial Narrow" w:hAnsi="Arial Narrow"/>
                <w:sz w:val="18"/>
                <w:szCs w:val="18"/>
              </w:rPr>
              <w:t>o</w:t>
            </w:r>
            <w:r w:rsidRPr="00762BC4">
              <w:rPr>
                <w:rFonts w:ascii="Arial Narrow" w:hAnsi="Arial Narrow"/>
                <w:sz w:val="18"/>
                <w:szCs w:val="18"/>
              </w:rPr>
              <w:tab/>
              <w:t>Schistosomiasis</w:t>
            </w:r>
          </w:p>
        </w:tc>
      </w:tr>
      <w:tr w:rsidR="009A20E7" w:rsidRPr="00762BC4" w:rsidTr="009A20E7">
        <w:tc>
          <w:tcPr>
            <w:tcW w:w="7655" w:type="dxa"/>
          </w:tcPr>
          <w:p w:rsidR="009A20E7" w:rsidRPr="00762BC4" w:rsidRDefault="009A20E7" w:rsidP="00CF2FF4">
            <w:pPr>
              <w:rPr>
                <w:rStyle w:val="Hyperlink"/>
                <w:rFonts w:ascii="Arial Narrow" w:hAnsi="Arial Narrow"/>
                <w:sz w:val="18"/>
                <w:szCs w:val="18"/>
              </w:rPr>
            </w:pPr>
            <w:r w:rsidRPr="00762BC4">
              <w:rPr>
                <w:rFonts w:ascii="Arial Narrow" w:hAnsi="Arial Narrow"/>
                <w:b/>
                <w:sz w:val="18"/>
                <w:szCs w:val="18"/>
              </w:rPr>
              <w:t>Administrative advice:</w:t>
            </w:r>
          </w:p>
          <w:p w:rsidR="009A20E7" w:rsidRDefault="009A20E7" w:rsidP="00F76BE3">
            <w:pPr>
              <w:rPr>
                <w:rFonts w:ascii="Arial Narrow" w:hAnsi="Arial Narrow"/>
                <w:sz w:val="18"/>
                <w:szCs w:val="18"/>
              </w:rPr>
            </w:pPr>
            <w:r w:rsidRPr="00F76BE3">
              <w:rPr>
                <w:rFonts w:ascii="Arial Narrow" w:hAnsi="Arial Narrow"/>
                <w:sz w:val="18"/>
                <w:szCs w:val="18"/>
              </w:rPr>
              <w:t>Any queries concerning the arrangements to prescribe may be directed to Services Australia on 1800 700 270 (hours of operation 8 a.m. to 5 p.m. EST Monday to Friday).</w:t>
            </w:r>
          </w:p>
          <w:p w:rsidR="009A20E7" w:rsidRPr="00F76BE3" w:rsidRDefault="009A20E7" w:rsidP="00F76BE3">
            <w:pPr>
              <w:rPr>
                <w:rFonts w:ascii="Arial Narrow" w:hAnsi="Arial Narrow"/>
                <w:sz w:val="18"/>
                <w:szCs w:val="18"/>
              </w:rPr>
            </w:pPr>
          </w:p>
          <w:p w:rsidR="009A20E7" w:rsidRDefault="009A20E7" w:rsidP="00F76BE3">
            <w:pPr>
              <w:rPr>
                <w:rFonts w:ascii="Arial Narrow" w:hAnsi="Arial Narrow"/>
                <w:sz w:val="18"/>
                <w:szCs w:val="18"/>
              </w:rPr>
            </w:pPr>
            <w:r w:rsidRPr="00F76BE3">
              <w:rPr>
                <w:rFonts w:ascii="Arial Narrow" w:hAnsi="Arial Narrow"/>
                <w:sz w:val="18"/>
                <w:szCs w:val="18"/>
              </w:rPr>
              <w:t xml:space="preserve">Prescribing information (including Authority Application forms and other relevant documentation as applicable) is available on the Services Australia website at </w:t>
            </w:r>
            <w:r w:rsidRPr="00B24936">
              <w:rPr>
                <w:rFonts w:ascii="Arial Narrow" w:hAnsi="Arial Narrow"/>
                <w:sz w:val="18"/>
                <w:szCs w:val="18"/>
              </w:rPr>
              <w:t>www.servicesaustralia.gov.au</w:t>
            </w:r>
          </w:p>
          <w:p w:rsidR="009A20E7" w:rsidRPr="00F76BE3" w:rsidRDefault="009A20E7" w:rsidP="00F76BE3">
            <w:pPr>
              <w:rPr>
                <w:rFonts w:ascii="Arial Narrow" w:hAnsi="Arial Narrow"/>
                <w:sz w:val="18"/>
                <w:szCs w:val="18"/>
              </w:rPr>
            </w:pPr>
          </w:p>
          <w:p w:rsidR="009A20E7" w:rsidRDefault="009A20E7" w:rsidP="00F76BE3">
            <w:pPr>
              <w:rPr>
                <w:rFonts w:ascii="Arial Narrow" w:hAnsi="Arial Narrow"/>
                <w:sz w:val="18"/>
                <w:szCs w:val="18"/>
              </w:rPr>
            </w:pPr>
            <w:r w:rsidRPr="00F76BE3">
              <w:rPr>
                <w:rFonts w:ascii="Arial Narrow" w:hAnsi="Arial Narrow"/>
                <w:sz w:val="18"/>
                <w:szCs w:val="18"/>
              </w:rPr>
              <w:t xml:space="preserve">Applications for authority to prescribe should be submitted online using the form upload facility in Health Professional Online Services (HPOS) at </w:t>
            </w:r>
            <w:r w:rsidRPr="00B24936">
              <w:rPr>
                <w:rFonts w:ascii="Arial Narrow" w:hAnsi="Arial Narrow"/>
                <w:sz w:val="18"/>
                <w:szCs w:val="18"/>
              </w:rPr>
              <w:t>www.servicesaustralia.gov.au/hpos</w:t>
            </w:r>
          </w:p>
          <w:p w:rsidR="009A20E7" w:rsidRPr="00F76BE3" w:rsidRDefault="009A20E7" w:rsidP="00F76BE3">
            <w:pPr>
              <w:rPr>
                <w:rFonts w:ascii="Arial Narrow" w:hAnsi="Arial Narrow"/>
                <w:sz w:val="18"/>
                <w:szCs w:val="18"/>
              </w:rPr>
            </w:pPr>
          </w:p>
          <w:p w:rsidR="009A20E7" w:rsidRPr="00F76BE3" w:rsidRDefault="009A20E7" w:rsidP="00F76BE3">
            <w:pPr>
              <w:rPr>
                <w:rFonts w:ascii="Arial Narrow" w:hAnsi="Arial Narrow"/>
                <w:sz w:val="18"/>
                <w:szCs w:val="18"/>
              </w:rPr>
            </w:pPr>
            <w:r w:rsidRPr="00F76BE3">
              <w:rPr>
                <w:rFonts w:ascii="Arial Narrow" w:hAnsi="Arial Narrow"/>
                <w:sz w:val="18"/>
                <w:szCs w:val="18"/>
              </w:rPr>
              <w:t>Or mailed to:</w:t>
            </w:r>
          </w:p>
          <w:p w:rsidR="009A20E7" w:rsidRPr="00F76BE3" w:rsidRDefault="009A20E7" w:rsidP="00F76BE3">
            <w:pPr>
              <w:rPr>
                <w:rFonts w:ascii="Arial Narrow" w:hAnsi="Arial Narrow"/>
                <w:sz w:val="18"/>
                <w:szCs w:val="18"/>
              </w:rPr>
            </w:pPr>
            <w:r w:rsidRPr="00F76BE3">
              <w:rPr>
                <w:rFonts w:ascii="Arial Narrow" w:hAnsi="Arial Narrow"/>
                <w:sz w:val="18"/>
                <w:szCs w:val="18"/>
              </w:rPr>
              <w:t>Services Australia</w:t>
            </w:r>
          </w:p>
          <w:p w:rsidR="009A20E7" w:rsidRPr="00F76BE3" w:rsidRDefault="009A20E7" w:rsidP="00F76BE3">
            <w:pPr>
              <w:rPr>
                <w:rFonts w:ascii="Arial Narrow" w:hAnsi="Arial Narrow"/>
                <w:sz w:val="18"/>
                <w:szCs w:val="18"/>
              </w:rPr>
            </w:pPr>
            <w:r w:rsidRPr="00F76BE3">
              <w:rPr>
                <w:rFonts w:ascii="Arial Narrow" w:hAnsi="Arial Narrow"/>
                <w:sz w:val="18"/>
                <w:szCs w:val="18"/>
              </w:rPr>
              <w:t>Complex Drugs</w:t>
            </w:r>
          </w:p>
          <w:p w:rsidR="009A20E7" w:rsidRPr="00F76BE3" w:rsidRDefault="009A20E7" w:rsidP="00F76BE3">
            <w:pPr>
              <w:rPr>
                <w:rFonts w:ascii="Arial Narrow" w:hAnsi="Arial Narrow"/>
                <w:sz w:val="18"/>
                <w:szCs w:val="18"/>
              </w:rPr>
            </w:pPr>
            <w:r w:rsidRPr="00F76BE3">
              <w:rPr>
                <w:rFonts w:ascii="Arial Narrow" w:hAnsi="Arial Narrow"/>
                <w:sz w:val="18"/>
                <w:szCs w:val="18"/>
              </w:rPr>
              <w:t>Reply Paid 9826</w:t>
            </w:r>
          </w:p>
          <w:p w:rsidR="009A20E7" w:rsidRPr="00762BC4" w:rsidRDefault="009A20E7" w:rsidP="00F76BE3">
            <w:pPr>
              <w:rPr>
                <w:rFonts w:ascii="Arial Narrow" w:hAnsi="Arial Narrow"/>
                <w:sz w:val="18"/>
                <w:szCs w:val="18"/>
              </w:rPr>
            </w:pPr>
            <w:r w:rsidRPr="00F76BE3">
              <w:rPr>
                <w:rFonts w:ascii="Arial Narrow" w:hAnsi="Arial Narrow"/>
                <w:sz w:val="18"/>
                <w:szCs w:val="18"/>
              </w:rPr>
              <w:t>HOBART TAS 7001</w:t>
            </w:r>
          </w:p>
        </w:tc>
      </w:tr>
      <w:tr w:rsidR="009A20E7" w:rsidRPr="00762BC4" w:rsidTr="009A20E7">
        <w:tc>
          <w:tcPr>
            <w:tcW w:w="7655" w:type="dxa"/>
          </w:tcPr>
          <w:p w:rsidR="009A20E7" w:rsidRPr="00762BC4" w:rsidRDefault="009A20E7" w:rsidP="00CF2FF4">
            <w:pPr>
              <w:rPr>
                <w:rFonts w:ascii="Arial Narrow" w:hAnsi="Arial Narrow"/>
                <w:b/>
                <w:sz w:val="18"/>
                <w:szCs w:val="18"/>
              </w:rPr>
            </w:pPr>
            <w:r w:rsidRPr="00762BC4">
              <w:rPr>
                <w:rFonts w:ascii="Arial Narrow" w:hAnsi="Arial Narrow"/>
                <w:b/>
                <w:sz w:val="18"/>
                <w:szCs w:val="18"/>
              </w:rPr>
              <w:t>Administrative Advice:</w:t>
            </w:r>
          </w:p>
          <w:p w:rsidR="009A20E7" w:rsidRPr="00762BC4" w:rsidRDefault="009A20E7" w:rsidP="00CF2FF4">
            <w:pPr>
              <w:rPr>
                <w:rFonts w:ascii="Arial Narrow" w:hAnsi="Arial Narrow"/>
                <w:b/>
                <w:sz w:val="18"/>
                <w:szCs w:val="18"/>
              </w:rPr>
            </w:pPr>
            <w:r w:rsidRPr="00762BC4">
              <w:rPr>
                <w:rFonts w:ascii="Arial Narrow" w:hAnsi="Arial Narrow"/>
                <w:sz w:val="18"/>
                <w:szCs w:val="18"/>
              </w:rPr>
              <w:t xml:space="preserve">The relevant agency assessing a first-time authority application for this drug is to confirm that there is valid, active authority approval for both an endothelin receptor (ERA) antagonist and phosphodiesterase-5 inhibitor (PDE-5i).  A concurrently lodged/yet to be assessed application for PBS subsidy of either will not suffice for the purpose of this restriction. Where triple therapy combination is not possible, confirm that that there is a valid authority approval for at least one of an ERA or PDE-5i. </w:t>
            </w:r>
          </w:p>
        </w:tc>
      </w:tr>
      <w:tr w:rsidR="009A20E7" w:rsidRPr="00762BC4" w:rsidTr="009A20E7">
        <w:tc>
          <w:tcPr>
            <w:tcW w:w="7655" w:type="dxa"/>
          </w:tcPr>
          <w:p w:rsidR="009A20E7" w:rsidRPr="00762BC4" w:rsidRDefault="009A20E7" w:rsidP="00CF2FF4">
            <w:pPr>
              <w:rPr>
                <w:rFonts w:ascii="Arial Narrow" w:hAnsi="Arial Narrow"/>
                <w:b/>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Special Pricing Arrangements apply</w:t>
            </w:r>
          </w:p>
        </w:tc>
      </w:tr>
      <w:tr w:rsidR="009A20E7" w:rsidRPr="00762BC4" w:rsidTr="009A20E7">
        <w:tc>
          <w:tcPr>
            <w:tcW w:w="7655" w:type="dxa"/>
          </w:tcPr>
          <w:p w:rsidR="009A20E7" w:rsidRPr="00762BC4" w:rsidRDefault="009A20E7" w:rsidP="00CF2FF4">
            <w:pPr>
              <w:rPr>
                <w:rFonts w:ascii="Arial Narrow" w:hAnsi="Arial Narrow"/>
                <w:b/>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No increase in the maximum quantity or number of units may be authorised.</w:t>
            </w:r>
          </w:p>
        </w:tc>
      </w:tr>
      <w:tr w:rsidR="009A20E7" w:rsidRPr="00762BC4" w:rsidTr="009A20E7">
        <w:tc>
          <w:tcPr>
            <w:tcW w:w="7655" w:type="dxa"/>
          </w:tcPr>
          <w:p w:rsidR="009A20E7" w:rsidRPr="00762BC4" w:rsidRDefault="009A20E7" w:rsidP="00CF2FF4">
            <w:pPr>
              <w:rPr>
                <w:rFonts w:ascii="Arial Narrow" w:hAnsi="Arial Narrow"/>
                <w:b/>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No increase in the maximum number of repeats may be authorised.</w:t>
            </w:r>
          </w:p>
        </w:tc>
      </w:tr>
    </w:tbl>
    <w:p w:rsidR="001745A9" w:rsidRDefault="001745A9" w:rsidP="001745A9"/>
    <w:p w:rsidR="001745A9" w:rsidRDefault="001745A9" w:rsidP="001745A9"/>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276"/>
        <w:gridCol w:w="1276"/>
        <w:gridCol w:w="1134"/>
        <w:gridCol w:w="850"/>
        <w:gridCol w:w="1559"/>
      </w:tblGrid>
      <w:tr w:rsidR="001745A9" w:rsidRPr="00E164BE" w:rsidTr="001745A9">
        <w:trPr>
          <w:cantSplit/>
          <w:trHeight w:val="471"/>
        </w:trPr>
        <w:tc>
          <w:tcPr>
            <w:tcW w:w="2830" w:type="dxa"/>
          </w:tcPr>
          <w:p w:rsidR="001745A9" w:rsidRPr="00E164BE" w:rsidRDefault="001745A9" w:rsidP="001745A9">
            <w:pPr>
              <w:keepNext/>
              <w:ind w:left="-108"/>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lastRenderedPageBreak/>
              <w:t>Name, Restriction,</w:t>
            </w:r>
          </w:p>
          <w:p w:rsidR="001745A9" w:rsidRPr="00E164BE" w:rsidRDefault="001745A9" w:rsidP="001745A9">
            <w:pPr>
              <w:keepNext/>
              <w:ind w:left="-108"/>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Manner of administration and form</w:t>
            </w:r>
          </w:p>
        </w:tc>
        <w:tc>
          <w:tcPr>
            <w:tcW w:w="1276" w:type="dxa"/>
          </w:tcPr>
          <w:p w:rsidR="001745A9" w:rsidRPr="00E164BE" w:rsidRDefault="001745A9" w:rsidP="001745A9">
            <w:pPr>
              <w:keepNext/>
              <w:ind w:left="-108"/>
              <w:jc w:val="center"/>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PBS item code</w:t>
            </w:r>
          </w:p>
        </w:tc>
        <w:tc>
          <w:tcPr>
            <w:tcW w:w="1276" w:type="dxa"/>
          </w:tcPr>
          <w:p w:rsidR="001745A9" w:rsidRPr="00E164BE" w:rsidRDefault="001745A9" w:rsidP="001745A9">
            <w:pPr>
              <w:keepNext/>
              <w:ind w:left="-108"/>
              <w:jc w:val="center"/>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Max. qty packs</w:t>
            </w:r>
          </w:p>
        </w:tc>
        <w:tc>
          <w:tcPr>
            <w:tcW w:w="1134" w:type="dxa"/>
          </w:tcPr>
          <w:p w:rsidR="001745A9" w:rsidRPr="00E164BE" w:rsidRDefault="001745A9" w:rsidP="001745A9">
            <w:pPr>
              <w:keepNext/>
              <w:ind w:left="-108"/>
              <w:jc w:val="center"/>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Max. qty units</w:t>
            </w:r>
          </w:p>
        </w:tc>
        <w:tc>
          <w:tcPr>
            <w:tcW w:w="850" w:type="dxa"/>
          </w:tcPr>
          <w:p w:rsidR="001745A9" w:rsidRPr="00E164BE" w:rsidRDefault="001745A9" w:rsidP="001745A9">
            <w:pPr>
              <w:keepNext/>
              <w:ind w:left="-108"/>
              <w:jc w:val="center"/>
              <w:rPr>
                <w:rFonts w:ascii="Arial Narrow" w:eastAsiaTheme="minorHAnsi" w:hAnsi="Arial Narrow"/>
                <w:b/>
                <w:sz w:val="18"/>
                <w:szCs w:val="18"/>
                <w:lang w:eastAsia="en-US"/>
              </w:rPr>
            </w:pPr>
            <w:r w:rsidRPr="00E164BE">
              <w:rPr>
                <w:rFonts w:ascii="Arial Narrow" w:eastAsiaTheme="minorHAnsi" w:hAnsi="Arial Narrow"/>
                <w:b/>
                <w:sz w:val="18"/>
                <w:szCs w:val="18"/>
                <w:lang w:eastAsia="en-US"/>
              </w:rPr>
              <w:t>№.of</w:t>
            </w:r>
            <w:r>
              <w:rPr>
                <w:rFonts w:ascii="Arial Narrow" w:eastAsiaTheme="minorHAnsi" w:hAnsi="Arial Narrow"/>
                <w:b/>
                <w:sz w:val="18"/>
                <w:szCs w:val="18"/>
                <w:lang w:eastAsia="en-US"/>
              </w:rPr>
              <w:t xml:space="preserve"> </w:t>
            </w:r>
            <w:r w:rsidRPr="00E164BE">
              <w:rPr>
                <w:rFonts w:ascii="Arial Narrow" w:eastAsiaTheme="minorHAnsi" w:hAnsi="Arial Narrow"/>
                <w:b/>
                <w:sz w:val="18"/>
                <w:szCs w:val="18"/>
                <w:lang w:eastAsia="en-US"/>
              </w:rPr>
              <w:t>Rpts</w:t>
            </w:r>
          </w:p>
        </w:tc>
        <w:tc>
          <w:tcPr>
            <w:tcW w:w="1559" w:type="dxa"/>
          </w:tcPr>
          <w:p w:rsidR="001745A9" w:rsidRPr="00E164BE" w:rsidRDefault="001745A9" w:rsidP="001745A9">
            <w:pPr>
              <w:keepNext/>
              <w:jc w:val="left"/>
              <w:rPr>
                <w:rFonts w:ascii="Arial Narrow" w:eastAsiaTheme="minorHAnsi" w:hAnsi="Arial Narrow"/>
                <w:b/>
                <w:sz w:val="18"/>
                <w:szCs w:val="18"/>
                <w:lang w:val="fr-FR" w:eastAsia="en-US"/>
              </w:rPr>
            </w:pPr>
            <w:r w:rsidRPr="00E164BE">
              <w:rPr>
                <w:rFonts w:ascii="Arial Narrow" w:eastAsiaTheme="minorHAnsi" w:hAnsi="Arial Narrow"/>
                <w:b/>
                <w:sz w:val="18"/>
                <w:szCs w:val="18"/>
                <w:lang w:eastAsia="en-US"/>
              </w:rPr>
              <w:t>Available brands</w:t>
            </w:r>
          </w:p>
        </w:tc>
      </w:tr>
      <w:tr w:rsidR="001745A9" w:rsidRPr="00E164BE" w:rsidTr="001745A9">
        <w:trPr>
          <w:cantSplit/>
          <w:trHeight w:val="224"/>
        </w:trPr>
        <w:tc>
          <w:tcPr>
            <w:tcW w:w="8925" w:type="dxa"/>
            <w:gridSpan w:val="6"/>
          </w:tcPr>
          <w:p w:rsidR="001745A9" w:rsidRPr="00E164BE" w:rsidRDefault="001745A9" w:rsidP="001745A9">
            <w:pPr>
              <w:keepNext/>
              <w:ind w:left="-113"/>
              <w:rPr>
                <w:rFonts w:ascii="Arial Narrow" w:eastAsiaTheme="minorHAnsi" w:hAnsi="Arial Narrow"/>
                <w:sz w:val="18"/>
                <w:szCs w:val="18"/>
                <w:lang w:eastAsia="en-US"/>
              </w:rPr>
            </w:pPr>
            <w:r>
              <w:rPr>
                <w:rFonts w:ascii="Arial Narrow" w:eastAsiaTheme="minorHAnsi" w:hAnsi="Arial Narrow"/>
                <w:sz w:val="18"/>
                <w:szCs w:val="18"/>
                <w:lang w:eastAsia="en-US"/>
              </w:rPr>
              <w:t>SELEXIPAG</w:t>
            </w:r>
            <w:r w:rsidRPr="00E164BE">
              <w:rPr>
                <w:rFonts w:ascii="Arial Narrow" w:eastAsiaTheme="minorHAnsi" w:hAnsi="Arial Narrow"/>
                <w:sz w:val="18"/>
                <w:szCs w:val="18"/>
                <w:lang w:eastAsia="en-US"/>
              </w:rPr>
              <w:t xml:space="preserve">  </w:t>
            </w:r>
          </w:p>
        </w:tc>
      </w:tr>
      <w:tr w:rsidR="001745A9" w:rsidRPr="00E164BE" w:rsidTr="001745A9">
        <w:trPr>
          <w:cantSplit/>
          <w:trHeight w:val="247"/>
        </w:trPr>
        <w:tc>
          <w:tcPr>
            <w:tcW w:w="2830" w:type="dxa"/>
          </w:tcPr>
          <w:p w:rsidR="001745A9" w:rsidRPr="00E164BE"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2</w:t>
            </w:r>
            <w:r w:rsidRPr="00E164BE">
              <w:rPr>
                <w:rFonts w:ascii="Arial Narrow" w:eastAsiaTheme="minorHAnsi" w:hAnsi="Arial Narrow"/>
                <w:sz w:val="18"/>
                <w:szCs w:val="18"/>
                <w:lang w:eastAsia="en-US"/>
              </w:rPr>
              <w:t>00 microgram tablet</w:t>
            </w:r>
            <w:r>
              <w:rPr>
                <w:rFonts w:ascii="Arial Narrow" w:eastAsiaTheme="minorHAnsi" w:hAnsi="Arial Narrow"/>
                <w:sz w:val="18"/>
                <w:szCs w:val="18"/>
                <w:lang w:eastAsia="en-US"/>
              </w:rPr>
              <w:t>, 60</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134"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5</w:t>
            </w:r>
          </w:p>
        </w:tc>
        <w:tc>
          <w:tcPr>
            <w:tcW w:w="1559" w:type="dxa"/>
          </w:tcPr>
          <w:p w:rsidR="001745A9"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r w:rsidR="001745A9" w:rsidRPr="00E164BE" w:rsidTr="001745A9">
        <w:trPr>
          <w:cantSplit/>
          <w:trHeight w:val="247"/>
        </w:trPr>
        <w:tc>
          <w:tcPr>
            <w:tcW w:w="2830" w:type="dxa"/>
          </w:tcPr>
          <w:p w:rsidR="001745A9"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4</w:t>
            </w:r>
            <w:r w:rsidRPr="00E164BE">
              <w:rPr>
                <w:rFonts w:ascii="Arial Narrow" w:eastAsiaTheme="minorHAnsi" w:hAnsi="Arial Narrow"/>
                <w:sz w:val="18"/>
                <w:szCs w:val="18"/>
                <w:lang w:eastAsia="en-US"/>
              </w:rPr>
              <w:t>00 microgram tablet</w:t>
            </w:r>
            <w:r>
              <w:rPr>
                <w:rFonts w:ascii="Arial Narrow" w:eastAsiaTheme="minorHAnsi" w:hAnsi="Arial Narrow"/>
                <w:sz w:val="18"/>
                <w:szCs w:val="18"/>
                <w:lang w:eastAsia="en-US"/>
              </w:rPr>
              <w:t>, 60</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134" w:type="dxa"/>
          </w:tcPr>
          <w:p w:rsidR="001745A9" w:rsidRPr="00E164BE"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Pr="00E164BE"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5</w:t>
            </w:r>
          </w:p>
        </w:tc>
        <w:tc>
          <w:tcPr>
            <w:tcW w:w="1559" w:type="dxa"/>
          </w:tcPr>
          <w:p w:rsidR="001745A9" w:rsidRPr="00E164BE"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r w:rsidR="001745A9" w:rsidRPr="00E164BE" w:rsidTr="001745A9">
        <w:trPr>
          <w:cantSplit/>
          <w:trHeight w:val="247"/>
        </w:trPr>
        <w:tc>
          <w:tcPr>
            <w:tcW w:w="2830" w:type="dxa"/>
          </w:tcPr>
          <w:p w:rsidR="001745A9" w:rsidRPr="00E164BE"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6</w:t>
            </w:r>
            <w:r w:rsidRPr="00E164BE">
              <w:rPr>
                <w:rFonts w:ascii="Arial Narrow" w:eastAsiaTheme="minorHAnsi" w:hAnsi="Arial Narrow"/>
                <w:sz w:val="18"/>
                <w:szCs w:val="18"/>
                <w:lang w:eastAsia="en-US"/>
              </w:rPr>
              <w:t>00 microgram tablet</w:t>
            </w:r>
            <w:r>
              <w:rPr>
                <w:rFonts w:ascii="Arial Narrow" w:eastAsiaTheme="minorHAnsi" w:hAnsi="Arial Narrow"/>
                <w:sz w:val="18"/>
                <w:szCs w:val="18"/>
                <w:lang w:eastAsia="en-US"/>
              </w:rPr>
              <w:t>, 60</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134"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5</w:t>
            </w:r>
          </w:p>
        </w:tc>
        <w:tc>
          <w:tcPr>
            <w:tcW w:w="1559" w:type="dxa"/>
          </w:tcPr>
          <w:p w:rsidR="001745A9"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r w:rsidR="001745A9" w:rsidRPr="00E164BE" w:rsidTr="001745A9">
        <w:trPr>
          <w:cantSplit/>
          <w:trHeight w:val="247"/>
        </w:trPr>
        <w:tc>
          <w:tcPr>
            <w:tcW w:w="2830" w:type="dxa"/>
          </w:tcPr>
          <w:p w:rsidR="001745A9" w:rsidRPr="00E164BE"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8</w:t>
            </w:r>
            <w:r w:rsidRPr="00E164BE">
              <w:rPr>
                <w:rFonts w:ascii="Arial Narrow" w:eastAsiaTheme="minorHAnsi" w:hAnsi="Arial Narrow"/>
                <w:sz w:val="18"/>
                <w:szCs w:val="18"/>
                <w:lang w:eastAsia="en-US"/>
              </w:rPr>
              <w:t>00 microgram tablet</w:t>
            </w:r>
            <w:r>
              <w:rPr>
                <w:rFonts w:ascii="Arial Narrow" w:eastAsiaTheme="minorHAnsi" w:hAnsi="Arial Narrow"/>
                <w:sz w:val="18"/>
                <w:szCs w:val="18"/>
                <w:lang w:eastAsia="en-US"/>
              </w:rPr>
              <w:t>, 60</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134"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5</w:t>
            </w:r>
          </w:p>
        </w:tc>
        <w:tc>
          <w:tcPr>
            <w:tcW w:w="1559" w:type="dxa"/>
          </w:tcPr>
          <w:p w:rsidR="001745A9"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r w:rsidR="001745A9" w:rsidRPr="00E164BE" w:rsidTr="001745A9">
        <w:trPr>
          <w:cantSplit/>
          <w:trHeight w:val="247"/>
        </w:trPr>
        <w:tc>
          <w:tcPr>
            <w:tcW w:w="2830" w:type="dxa"/>
          </w:tcPr>
          <w:p w:rsidR="001745A9" w:rsidRPr="00E164BE"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1,0</w:t>
            </w:r>
            <w:r w:rsidRPr="00E164BE">
              <w:rPr>
                <w:rFonts w:ascii="Arial Narrow" w:eastAsiaTheme="minorHAnsi" w:hAnsi="Arial Narrow"/>
                <w:sz w:val="18"/>
                <w:szCs w:val="18"/>
                <w:lang w:eastAsia="en-US"/>
              </w:rPr>
              <w:t>00 microgram tablet</w:t>
            </w:r>
            <w:r>
              <w:rPr>
                <w:rFonts w:ascii="Arial Narrow" w:eastAsiaTheme="minorHAnsi" w:hAnsi="Arial Narrow"/>
                <w:sz w:val="18"/>
                <w:szCs w:val="18"/>
                <w:lang w:eastAsia="en-US"/>
              </w:rPr>
              <w:t>, 60</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134"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5</w:t>
            </w:r>
          </w:p>
        </w:tc>
        <w:tc>
          <w:tcPr>
            <w:tcW w:w="1559" w:type="dxa"/>
          </w:tcPr>
          <w:p w:rsidR="001745A9"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r w:rsidR="001745A9" w:rsidRPr="00E164BE" w:rsidTr="001745A9">
        <w:trPr>
          <w:cantSplit/>
          <w:trHeight w:val="247"/>
        </w:trPr>
        <w:tc>
          <w:tcPr>
            <w:tcW w:w="2830" w:type="dxa"/>
          </w:tcPr>
          <w:p w:rsidR="001745A9" w:rsidRPr="00E164BE"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1,200</w:t>
            </w:r>
            <w:r w:rsidRPr="00E164BE">
              <w:rPr>
                <w:rFonts w:ascii="Arial Narrow" w:eastAsiaTheme="minorHAnsi" w:hAnsi="Arial Narrow"/>
                <w:sz w:val="18"/>
                <w:szCs w:val="18"/>
                <w:lang w:eastAsia="en-US"/>
              </w:rPr>
              <w:t xml:space="preserve"> microgram tablet</w:t>
            </w:r>
            <w:r>
              <w:rPr>
                <w:rFonts w:ascii="Arial Narrow" w:eastAsiaTheme="minorHAnsi" w:hAnsi="Arial Narrow"/>
                <w:sz w:val="18"/>
                <w:szCs w:val="18"/>
                <w:lang w:eastAsia="en-US"/>
              </w:rPr>
              <w:t>, 60</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134"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5</w:t>
            </w:r>
          </w:p>
        </w:tc>
        <w:tc>
          <w:tcPr>
            <w:tcW w:w="1559" w:type="dxa"/>
          </w:tcPr>
          <w:p w:rsidR="001745A9"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r w:rsidR="001745A9" w:rsidRPr="00E164BE" w:rsidTr="001745A9">
        <w:trPr>
          <w:cantSplit/>
          <w:trHeight w:val="247"/>
        </w:trPr>
        <w:tc>
          <w:tcPr>
            <w:tcW w:w="2830" w:type="dxa"/>
          </w:tcPr>
          <w:p w:rsidR="001745A9" w:rsidRPr="00E164BE"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1,4</w:t>
            </w:r>
            <w:r w:rsidRPr="00E164BE">
              <w:rPr>
                <w:rFonts w:ascii="Arial Narrow" w:eastAsiaTheme="minorHAnsi" w:hAnsi="Arial Narrow"/>
                <w:sz w:val="18"/>
                <w:szCs w:val="18"/>
                <w:lang w:eastAsia="en-US"/>
              </w:rPr>
              <w:t>00 microgram tablet</w:t>
            </w:r>
            <w:r>
              <w:rPr>
                <w:rFonts w:ascii="Arial Narrow" w:eastAsiaTheme="minorHAnsi" w:hAnsi="Arial Narrow"/>
                <w:sz w:val="18"/>
                <w:szCs w:val="18"/>
                <w:lang w:eastAsia="en-US"/>
              </w:rPr>
              <w:t>, 60</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134"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5</w:t>
            </w:r>
          </w:p>
        </w:tc>
        <w:tc>
          <w:tcPr>
            <w:tcW w:w="1559" w:type="dxa"/>
          </w:tcPr>
          <w:p w:rsidR="001745A9"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r w:rsidR="001745A9" w:rsidRPr="00E164BE" w:rsidTr="001745A9">
        <w:trPr>
          <w:cantSplit/>
          <w:trHeight w:val="247"/>
        </w:trPr>
        <w:tc>
          <w:tcPr>
            <w:tcW w:w="2830" w:type="dxa"/>
          </w:tcPr>
          <w:p w:rsidR="001745A9" w:rsidRPr="00E164BE" w:rsidRDefault="001745A9" w:rsidP="001745A9">
            <w:pPr>
              <w:keepNext/>
              <w:ind w:left="-108"/>
              <w:jc w:val="left"/>
              <w:rPr>
                <w:rFonts w:ascii="Arial Narrow" w:eastAsiaTheme="minorHAnsi" w:hAnsi="Arial Narrow"/>
                <w:sz w:val="18"/>
                <w:szCs w:val="18"/>
                <w:lang w:eastAsia="en-US"/>
              </w:rPr>
            </w:pPr>
            <w:r w:rsidRPr="00E164BE">
              <w:rPr>
                <w:rFonts w:ascii="Arial Narrow" w:eastAsiaTheme="minorHAnsi" w:hAnsi="Arial Narrow"/>
                <w:sz w:val="18"/>
                <w:szCs w:val="18"/>
                <w:lang w:eastAsia="en-US"/>
              </w:rPr>
              <w:t xml:space="preserve">selexipag </w:t>
            </w:r>
            <w:r>
              <w:rPr>
                <w:rFonts w:ascii="Arial Narrow" w:eastAsiaTheme="minorHAnsi" w:hAnsi="Arial Narrow"/>
                <w:sz w:val="18"/>
                <w:szCs w:val="18"/>
                <w:lang w:eastAsia="en-US"/>
              </w:rPr>
              <w:t>1,6</w:t>
            </w:r>
            <w:r w:rsidRPr="00E164BE">
              <w:rPr>
                <w:rFonts w:ascii="Arial Narrow" w:eastAsiaTheme="minorHAnsi" w:hAnsi="Arial Narrow"/>
                <w:sz w:val="18"/>
                <w:szCs w:val="18"/>
                <w:lang w:eastAsia="en-US"/>
              </w:rPr>
              <w:t>00 microgram tablet</w:t>
            </w:r>
            <w:r>
              <w:rPr>
                <w:rFonts w:ascii="Arial Narrow" w:eastAsiaTheme="minorHAnsi" w:hAnsi="Arial Narrow"/>
                <w:sz w:val="18"/>
                <w:szCs w:val="18"/>
                <w:lang w:eastAsia="en-US"/>
              </w:rPr>
              <w:t>, 60</w:t>
            </w:r>
          </w:p>
        </w:tc>
        <w:tc>
          <w:tcPr>
            <w:tcW w:w="1276" w:type="dxa"/>
          </w:tcPr>
          <w:p w:rsidR="001745A9" w:rsidRPr="00E164BE" w:rsidRDefault="001745A9" w:rsidP="001745A9">
            <w:pPr>
              <w:keepNext/>
              <w:ind w:left="-108"/>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NEW</w:t>
            </w:r>
          </w:p>
        </w:tc>
        <w:tc>
          <w:tcPr>
            <w:tcW w:w="1276" w:type="dxa"/>
          </w:tcPr>
          <w:p w:rsidR="001745A9" w:rsidRPr="00E164BE" w:rsidRDefault="001745A9" w:rsidP="001745A9">
            <w:pPr>
              <w:keepNext/>
              <w:jc w:val="center"/>
              <w:rPr>
                <w:rFonts w:ascii="Arial Narrow" w:eastAsiaTheme="minorHAnsi" w:hAnsi="Arial Narrow"/>
                <w:sz w:val="18"/>
                <w:szCs w:val="18"/>
                <w:lang w:eastAsia="en-US"/>
              </w:rPr>
            </w:pPr>
            <w:r w:rsidRPr="00E164BE">
              <w:rPr>
                <w:rFonts w:ascii="Arial Narrow" w:eastAsiaTheme="minorHAnsi" w:hAnsi="Arial Narrow"/>
                <w:sz w:val="18"/>
                <w:szCs w:val="18"/>
                <w:lang w:eastAsia="en-US"/>
              </w:rPr>
              <w:t>1</w:t>
            </w:r>
          </w:p>
        </w:tc>
        <w:tc>
          <w:tcPr>
            <w:tcW w:w="1134"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1</w:t>
            </w:r>
          </w:p>
        </w:tc>
        <w:tc>
          <w:tcPr>
            <w:tcW w:w="850" w:type="dxa"/>
          </w:tcPr>
          <w:p w:rsidR="001745A9" w:rsidRDefault="001745A9" w:rsidP="001745A9">
            <w:pPr>
              <w:keepNext/>
              <w:ind w:left="-108"/>
              <w:jc w:val="center"/>
              <w:rPr>
                <w:rFonts w:ascii="Arial Narrow" w:eastAsiaTheme="minorHAnsi" w:hAnsi="Arial Narrow"/>
                <w:sz w:val="18"/>
                <w:szCs w:val="18"/>
                <w:lang w:eastAsia="en-US"/>
              </w:rPr>
            </w:pPr>
            <w:r>
              <w:rPr>
                <w:rFonts w:ascii="Arial Narrow" w:eastAsiaTheme="minorHAnsi" w:hAnsi="Arial Narrow"/>
                <w:sz w:val="18"/>
                <w:szCs w:val="18"/>
                <w:lang w:eastAsia="en-US"/>
              </w:rPr>
              <w:t xml:space="preserve"> 5</w:t>
            </w:r>
          </w:p>
        </w:tc>
        <w:tc>
          <w:tcPr>
            <w:tcW w:w="1559" w:type="dxa"/>
          </w:tcPr>
          <w:p w:rsidR="001745A9" w:rsidRDefault="001745A9" w:rsidP="001745A9">
            <w:pPr>
              <w:keepNext/>
              <w:jc w:val="center"/>
              <w:rPr>
                <w:rFonts w:ascii="Arial Narrow" w:eastAsiaTheme="minorHAnsi" w:hAnsi="Arial Narrow"/>
                <w:sz w:val="18"/>
                <w:szCs w:val="18"/>
                <w:lang w:eastAsia="en-US"/>
              </w:rPr>
            </w:pPr>
            <w:r>
              <w:rPr>
                <w:rFonts w:ascii="Arial Narrow" w:eastAsiaTheme="minorHAnsi" w:hAnsi="Arial Narrow"/>
                <w:sz w:val="18"/>
                <w:szCs w:val="18"/>
                <w:lang w:eastAsia="en-US"/>
              </w:rPr>
              <w:t>Uptravi</w:t>
            </w:r>
          </w:p>
        </w:tc>
      </w:tr>
    </w:tbl>
    <w:p w:rsidR="001745A9" w:rsidRDefault="001745A9" w:rsidP="001745A9"/>
    <w:p w:rsidR="00842DA3" w:rsidRDefault="00842DA3" w:rsidP="001745A9">
      <w:pPr>
        <w:spacing w:after="160" w:line="259" w:lineRule="auto"/>
        <w:jc w:val="left"/>
        <w:rPr>
          <w:rFonts w:ascii="Arial Narrow" w:eastAsiaTheme="minorHAnsi" w:hAnsi="Arial Narrow" w:cs="Times New Roman"/>
          <w:b/>
          <w:sz w:val="18"/>
          <w:szCs w:val="18"/>
          <w:lang w:eastAsia="en-US"/>
        </w:rPr>
      </w:pPr>
    </w:p>
    <w:p w:rsidR="001745A9" w:rsidRPr="00AF613B" w:rsidRDefault="001745A9" w:rsidP="001745A9">
      <w:pPr>
        <w:spacing w:after="160" w:line="259" w:lineRule="auto"/>
        <w:jc w:val="left"/>
        <w:rPr>
          <w:rFonts w:ascii="Arial Narrow" w:eastAsiaTheme="minorHAnsi" w:hAnsi="Arial Narrow" w:cs="Times New Roman"/>
          <w:b/>
          <w:sz w:val="18"/>
          <w:szCs w:val="18"/>
          <w:lang w:eastAsia="en-US"/>
        </w:rPr>
      </w:pPr>
      <w:r w:rsidRPr="00E164BE">
        <w:rPr>
          <w:rFonts w:ascii="Arial Narrow" w:eastAsiaTheme="minorHAnsi" w:hAnsi="Arial Narrow" w:cs="Times New Roman"/>
          <w:b/>
          <w:sz w:val="18"/>
          <w:szCs w:val="18"/>
          <w:lang w:eastAsia="en-US"/>
        </w:rPr>
        <w:t>Restriction Summary [new] / Treatment of Concept: [new]</w:t>
      </w:r>
    </w:p>
    <w:tbl>
      <w:tblPr>
        <w:tblStyle w:val="TableGrid"/>
        <w:tblW w:w="7745" w:type="dxa"/>
        <w:tblLayout w:type="fixed"/>
        <w:tblCellMar>
          <w:left w:w="85" w:type="dxa"/>
          <w:right w:w="85" w:type="dxa"/>
        </w:tblCellMar>
        <w:tblLook w:val="04A0" w:firstRow="1" w:lastRow="0" w:firstColumn="1" w:lastColumn="0" w:noHBand="0" w:noVBand="1"/>
        <w:tblCaption w:val="Table restriction "/>
      </w:tblPr>
      <w:tblGrid>
        <w:gridCol w:w="7745"/>
      </w:tblGrid>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Category / Program: </w:t>
            </w:r>
            <w:r w:rsidRPr="00762BC4">
              <w:rPr>
                <w:rFonts w:ascii="Arial Narrow" w:hAnsi="Arial Narrow"/>
                <w:sz w:val="18"/>
                <w:szCs w:val="18"/>
              </w:rPr>
              <w:t>General Schedule (Code GE)</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Prescriber type: </w:t>
            </w:r>
            <w:r w:rsidRPr="00762BC4">
              <w:rPr>
                <w:rFonts w:ascii="Arial Narrow" w:hAnsi="Arial Narrow"/>
                <w:sz w:val="18"/>
                <w:szCs w:val="18"/>
              </w:rPr>
              <w:fldChar w:fldCharType="begin">
                <w:ffData>
                  <w:name w:val="Check1"/>
                  <w:enabled/>
                  <w:calcOnExit w:val="0"/>
                  <w:checkBox>
                    <w:sizeAuto/>
                    <w:default w:val="1"/>
                  </w:checkBox>
                </w:ffData>
              </w:fldChar>
            </w:r>
            <w:r w:rsidRPr="00762BC4">
              <w:rPr>
                <w:rFonts w:ascii="Arial Narrow" w:hAnsi="Arial Narrow"/>
                <w:sz w:val="18"/>
                <w:szCs w:val="18"/>
              </w:rPr>
              <w:instrText xml:space="preserve"> FORMCHECKBOX </w:instrText>
            </w:r>
            <w:r w:rsidR="00340FCF">
              <w:rPr>
                <w:rFonts w:ascii="Arial Narrow" w:hAnsi="Arial Narrow"/>
                <w:sz w:val="18"/>
                <w:szCs w:val="18"/>
              </w:rPr>
            </w:r>
            <w:r w:rsidR="00340FCF">
              <w:rPr>
                <w:rFonts w:ascii="Arial Narrow" w:hAnsi="Arial Narrow"/>
                <w:sz w:val="18"/>
                <w:szCs w:val="18"/>
              </w:rPr>
              <w:fldChar w:fldCharType="separate"/>
            </w:r>
            <w:r w:rsidRPr="00762BC4">
              <w:rPr>
                <w:rFonts w:ascii="Arial Narrow" w:hAnsi="Arial Narrow"/>
                <w:sz w:val="18"/>
                <w:szCs w:val="18"/>
              </w:rPr>
              <w:fldChar w:fldCharType="end"/>
            </w:r>
            <w:r w:rsidRPr="00762BC4">
              <w:rPr>
                <w:rFonts w:ascii="Arial Narrow" w:hAnsi="Arial Narrow"/>
                <w:sz w:val="18"/>
                <w:szCs w:val="18"/>
              </w:rPr>
              <w:t xml:space="preserve">Medical Practitioners  </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Episodicity: </w:t>
            </w:r>
            <w:r w:rsidRPr="00762BC4">
              <w:rPr>
                <w:rFonts w:ascii="Arial Narrow" w:hAnsi="Arial Narrow"/>
                <w:sz w:val="18"/>
                <w:szCs w:val="18"/>
              </w:rPr>
              <w:t>N/A</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Severity: </w:t>
            </w:r>
            <w:r w:rsidRPr="00762BC4">
              <w:rPr>
                <w:rFonts w:ascii="Arial Narrow" w:hAnsi="Arial Narrow"/>
                <w:sz w:val="18"/>
                <w:szCs w:val="18"/>
              </w:rPr>
              <w:t>[blank]</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Condition: </w:t>
            </w:r>
            <w:r w:rsidRPr="00762BC4">
              <w:rPr>
                <w:rFonts w:ascii="Arial Narrow" w:hAnsi="Arial Narrow"/>
                <w:sz w:val="18"/>
                <w:szCs w:val="18"/>
              </w:rPr>
              <w:t>Pulmonary arterial hypertension (PAH)</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 xml:space="preserve">PBS Indication: </w:t>
            </w:r>
            <w:r w:rsidRPr="00762BC4">
              <w:rPr>
                <w:rFonts w:ascii="Arial Narrow" w:hAnsi="Arial Narrow"/>
                <w:sz w:val="18"/>
                <w:szCs w:val="18"/>
              </w:rPr>
              <w:t>Pulmonary arterial hypertension (PAH)</w:t>
            </w:r>
          </w:p>
        </w:tc>
      </w:tr>
      <w:tr w:rsidR="009A20E7" w:rsidRPr="00762BC4" w:rsidTr="009A20E7">
        <w:tc>
          <w:tcPr>
            <w:tcW w:w="7745" w:type="dxa"/>
          </w:tcPr>
          <w:p w:rsidR="009A20E7" w:rsidRPr="00762BC4" w:rsidRDefault="009A20E7" w:rsidP="007564A1">
            <w:pPr>
              <w:rPr>
                <w:rFonts w:ascii="Arial Narrow" w:hAnsi="Arial Narrow"/>
                <w:sz w:val="18"/>
                <w:szCs w:val="18"/>
              </w:rPr>
            </w:pPr>
            <w:r w:rsidRPr="00762BC4">
              <w:rPr>
                <w:rFonts w:ascii="Arial Narrow" w:hAnsi="Arial Narrow"/>
                <w:b/>
                <w:sz w:val="18"/>
                <w:szCs w:val="18"/>
              </w:rPr>
              <w:t xml:space="preserve">Treatment phase: </w:t>
            </w:r>
            <w:r>
              <w:rPr>
                <w:rFonts w:ascii="Arial Narrow" w:hAnsi="Arial Narrow"/>
                <w:sz w:val="18"/>
                <w:szCs w:val="18"/>
              </w:rPr>
              <w:t>Initial treatment (non-dose titration)</w:t>
            </w:r>
          </w:p>
        </w:tc>
      </w:tr>
      <w:tr w:rsidR="009A20E7" w:rsidRPr="00762BC4" w:rsidTr="009A20E7">
        <w:trPr>
          <w:trHeight w:val="205"/>
        </w:trPr>
        <w:tc>
          <w:tcPr>
            <w:tcW w:w="7745" w:type="dxa"/>
          </w:tcPr>
          <w:p w:rsidR="009A20E7" w:rsidRPr="00762BC4" w:rsidRDefault="009A20E7" w:rsidP="00F76BE3">
            <w:pPr>
              <w:rPr>
                <w:rFonts w:ascii="Arial Narrow" w:hAnsi="Arial Narrow"/>
                <w:b/>
                <w:sz w:val="18"/>
                <w:szCs w:val="18"/>
              </w:rPr>
            </w:pPr>
            <w:r w:rsidRPr="00762BC4">
              <w:rPr>
                <w:rFonts w:ascii="Arial Narrow" w:hAnsi="Arial Narrow"/>
                <w:b/>
                <w:sz w:val="18"/>
                <w:szCs w:val="18"/>
              </w:rPr>
              <w:t xml:space="preserve">Restriction type: </w:t>
            </w:r>
            <w:r w:rsidRPr="00762BC4">
              <w:rPr>
                <w:rFonts w:ascii="Arial Narrow" w:eastAsia="Calibri" w:hAnsi="Arial Narrow"/>
                <w:sz w:val="18"/>
                <w:szCs w:val="18"/>
                <w:lang w:eastAsia="en-US"/>
              </w:rPr>
              <w:fldChar w:fldCharType="begin">
                <w:ffData>
                  <w:name w:val=""/>
                  <w:enabled/>
                  <w:calcOnExit w:val="0"/>
                  <w:checkBox>
                    <w:sizeAuto/>
                    <w:default w:val="1"/>
                  </w:checkBox>
                </w:ffData>
              </w:fldChar>
            </w:r>
            <w:r w:rsidRPr="00762BC4">
              <w:rPr>
                <w:rFonts w:ascii="Arial Narrow" w:eastAsia="Calibri" w:hAnsi="Arial Narrow"/>
                <w:sz w:val="18"/>
                <w:szCs w:val="18"/>
                <w:lang w:eastAsia="en-US"/>
              </w:rPr>
              <w:instrText xml:space="preserve"> FORMCHECKBOX </w:instrText>
            </w:r>
            <w:r w:rsidR="00340FCF">
              <w:rPr>
                <w:rFonts w:ascii="Arial Narrow" w:eastAsia="Calibri" w:hAnsi="Arial Narrow"/>
                <w:sz w:val="18"/>
                <w:szCs w:val="18"/>
                <w:lang w:eastAsia="en-US"/>
              </w:rPr>
            </w:r>
            <w:r w:rsidR="00340FCF">
              <w:rPr>
                <w:rFonts w:ascii="Arial Narrow" w:eastAsia="Calibri" w:hAnsi="Arial Narrow"/>
                <w:sz w:val="18"/>
                <w:szCs w:val="18"/>
                <w:lang w:eastAsia="en-US"/>
              </w:rPr>
              <w:fldChar w:fldCharType="separate"/>
            </w:r>
            <w:r w:rsidRPr="00762BC4">
              <w:rPr>
                <w:rFonts w:ascii="Arial Narrow" w:eastAsia="Calibri" w:hAnsi="Arial Narrow"/>
                <w:sz w:val="18"/>
                <w:szCs w:val="18"/>
                <w:lang w:eastAsia="en-US"/>
              </w:rPr>
              <w:fldChar w:fldCharType="end"/>
            </w:r>
            <w:r w:rsidRPr="00762BC4">
              <w:rPr>
                <w:rFonts w:ascii="Arial Narrow" w:eastAsia="Calibri" w:hAnsi="Arial Narrow"/>
                <w:sz w:val="18"/>
                <w:szCs w:val="18"/>
                <w:lang w:eastAsia="en-US"/>
              </w:rPr>
              <w:t>Authority Required –</w:t>
            </w:r>
            <w:r>
              <w:rPr>
                <w:rFonts w:ascii="Arial Narrow" w:eastAsia="Calibri" w:hAnsi="Arial Narrow"/>
                <w:sz w:val="18"/>
                <w:szCs w:val="18"/>
                <w:lang w:eastAsia="en-US"/>
              </w:rPr>
              <w:t xml:space="preserve"> </w:t>
            </w:r>
            <w:r w:rsidRPr="00F76BE3">
              <w:rPr>
                <w:rFonts w:ascii="Arial Narrow" w:eastAsia="Calibri" w:hAnsi="Arial Narrow"/>
                <w:sz w:val="18"/>
                <w:szCs w:val="18"/>
                <w:lang w:eastAsia="en-US"/>
              </w:rPr>
              <w:t>non-immediate/delayed assessment by Services Australia (in-writing only via mail/postal service or electronic upload to Hobart)</w:t>
            </w:r>
          </w:p>
        </w:tc>
      </w:tr>
      <w:tr w:rsidR="009A20E7" w:rsidRPr="00762BC4" w:rsidTr="009A20E7">
        <w:tc>
          <w:tcPr>
            <w:tcW w:w="7745" w:type="dxa"/>
          </w:tcPr>
          <w:p w:rsidR="009A20E7" w:rsidRPr="00762BC4" w:rsidRDefault="009A20E7" w:rsidP="001745A9">
            <w:pPr>
              <w:rPr>
                <w:rFonts w:ascii="Arial Narrow" w:hAnsi="Arial Narrow"/>
                <w:b/>
                <w:sz w:val="18"/>
                <w:szCs w:val="18"/>
              </w:rPr>
            </w:pPr>
            <w:r w:rsidRPr="00762BC4">
              <w:rPr>
                <w:rFonts w:ascii="Arial Narrow" w:hAnsi="Arial Narrow"/>
                <w:b/>
                <w:sz w:val="18"/>
                <w:szCs w:val="18"/>
              </w:rPr>
              <w:t>Clinical criteria:</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sz w:val="18"/>
                <w:szCs w:val="18"/>
              </w:rPr>
              <w:t>Patient must have been assessed by a physician with expertise in the management of PAH</w:t>
            </w:r>
          </w:p>
        </w:tc>
      </w:tr>
      <w:tr w:rsidR="009A20E7" w:rsidRPr="00762BC4" w:rsidTr="009A20E7">
        <w:tc>
          <w:tcPr>
            <w:tcW w:w="7745" w:type="dxa"/>
          </w:tcPr>
          <w:p w:rsidR="009A20E7" w:rsidRPr="00762BC4" w:rsidRDefault="009A20E7" w:rsidP="001745A9">
            <w:pPr>
              <w:rPr>
                <w:rFonts w:ascii="Arial Narrow" w:hAnsi="Arial Narrow"/>
                <w:b/>
                <w:sz w:val="18"/>
                <w:szCs w:val="18"/>
              </w:rPr>
            </w:pPr>
            <w:r w:rsidRPr="00762BC4">
              <w:rPr>
                <w:rFonts w:ascii="Arial Narrow" w:hAnsi="Arial Narrow"/>
                <w:b/>
                <w:sz w:val="18"/>
                <w:szCs w:val="18"/>
              </w:rPr>
              <w:t>AND</w:t>
            </w:r>
          </w:p>
        </w:tc>
      </w:tr>
      <w:tr w:rsidR="009A20E7" w:rsidRPr="00762BC4" w:rsidTr="009A20E7">
        <w:tc>
          <w:tcPr>
            <w:tcW w:w="7745" w:type="dxa"/>
          </w:tcPr>
          <w:p w:rsidR="009A20E7" w:rsidRPr="00762BC4" w:rsidRDefault="009A20E7" w:rsidP="001745A9">
            <w:pPr>
              <w:rPr>
                <w:rFonts w:ascii="Arial Narrow" w:hAnsi="Arial Narrow"/>
                <w:b/>
                <w:strike/>
                <w:sz w:val="18"/>
                <w:szCs w:val="18"/>
              </w:rPr>
            </w:pPr>
            <w:r w:rsidRPr="00762BC4">
              <w:rPr>
                <w:rFonts w:ascii="Arial Narrow" w:hAnsi="Arial Narrow"/>
                <w:b/>
                <w:sz w:val="18"/>
                <w:szCs w:val="18"/>
              </w:rPr>
              <w:t>Clinical criteria:</w:t>
            </w:r>
          </w:p>
        </w:tc>
      </w:tr>
      <w:tr w:rsidR="009A20E7" w:rsidRPr="00762BC4" w:rsidTr="009A20E7">
        <w:tc>
          <w:tcPr>
            <w:tcW w:w="7745" w:type="dxa"/>
          </w:tcPr>
          <w:p w:rsidR="009A20E7" w:rsidRPr="00762BC4" w:rsidRDefault="009A20E7" w:rsidP="001745A9">
            <w:pPr>
              <w:rPr>
                <w:rFonts w:ascii="Arial Narrow" w:hAnsi="Arial Narrow"/>
                <w:color w:val="FF00FF"/>
                <w:sz w:val="18"/>
                <w:szCs w:val="18"/>
              </w:rPr>
            </w:pPr>
            <w:r w:rsidRPr="00762BC4">
              <w:rPr>
                <w:rFonts w:ascii="Arial Narrow" w:hAnsi="Arial Narrow"/>
                <w:sz w:val="18"/>
                <w:szCs w:val="18"/>
              </w:rPr>
              <w:t>Patient must have documented WHO Functional Class III PAH or WHO Functional Class IV PAH at treatment initiation with this drug</w:t>
            </w:r>
          </w:p>
        </w:tc>
      </w:tr>
      <w:tr w:rsidR="009A20E7" w:rsidRPr="00762BC4" w:rsidTr="009A20E7">
        <w:tc>
          <w:tcPr>
            <w:tcW w:w="7745" w:type="dxa"/>
          </w:tcPr>
          <w:p w:rsidR="009A20E7" w:rsidRPr="00762BC4" w:rsidRDefault="009A20E7" w:rsidP="001745A9">
            <w:pPr>
              <w:rPr>
                <w:rFonts w:ascii="Arial Narrow" w:hAnsi="Arial Narrow"/>
                <w:b/>
                <w:sz w:val="18"/>
                <w:szCs w:val="18"/>
              </w:rPr>
            </w:pPr>
            <w:r w:rsidRPr="00762BC4">
              <w:rPr>
                <w:rFonts w:ascii="Arial Narrow" w:hAnsi="Arial Narrow"/>
                <w:b/>
                <w:sz w:val="18"/>
                <w:szCs w:val="18"/>
              </w:rPr>
              <w:t>AND</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Clinical criteria:</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sz w:val="18"/>
                <w:szCs w:val="18"/>
              </w:rPr>
              <w:t>The treatment must form part of triple combination therapy with a PBS-subsidised phosphodiesterase-5 inhibitor (PDE-5i) together with a PBS-subsidised endothelin receptor antagonist (ERA); or</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sz w:val="18"/>
                <w:szCs w:val="18"/>
              </w:rPr>
              <w:t xml:space="preserve">The treatment must form part of dual combination therapy with one of the above mentioned drug classes, but only  when triple combination therapy is not possible due to at least one of the following being present: (i) a contraindication according to the TGA approved Product Information, (ii) an intolerance requiring permanent treatment cessation  </w:t>
            </w:r>
          </w:p>
        </w:tc>
      </w:tr>
      <w:tr w:rsidR="009A20E7" w:rsidRPr="00762BC4" w:rsidTr="009A20E7">
        <w:tc>
          <w:tcPr>
            <w:tcW w:w="7745" w:type="dxa"/>
          </w:tcPr>
          <w:p w:rsidR="009A20E7" w:rsidRPr="00762BC4" w:rsidRDefault="009A20E7" w:rsidP="001745A9">
            <w:pPr>
              <w:rPr>
                <w:rFonts w:ascii="Arial Narrow" w:hAnsi="Arial Narrow"/>
                <w:sz w:val="18"/>
                <w:szCs w:val="18"/>
              </w:rPr>
            </w:pPr>
            <w:r w:rsidRPr="00762BC4">
              <w:rPr>
                <w:rFonts w:ascii="Arial Narrow" w:hAnsi="Arial Narrow"/>
                <w:b/>
                <w:sz w:val="18"/>
                <w:szCs w:val="18"/>
              </w:rPr>
              <w:t>AND</w:t>
            </w:r>
          </w:p>
        </w:tc>
      </w:tr>
      <w:tr w:rsidR="009A20E7" w:rsidRPr="00762BC4" w:rsidTr="009A20E7">
        <w:tc>
          <w:tcPr>
            <w:tcW w:w="7745" w:type="dxa"/>
          </w:tcPr>
          <w:p w:rsidR="009A20E7" w:rsidRPr="00762BC4" w:rsidRDefault="009A20E7" w:rsidP="00F76BE3">
            <w:pPr>
              <w:rPr>
                <w:rFonts w:ascii="Arial Narrow" w:hAnsi="Arial Narrow"/>
                <w:b/>
                <w:sz w:val="18"/>
                <w:szCs w:val="18"/>
              </w:rPr>
            </w:pPr>
            <w:r w:rsidRPr="00E56B67">
              <w:rPr>
                <w:rFonts w:ascii="Arial Narrow" w:hAnsi="Arial Narrow"/>
                <w:b/>
                <w:sz w:val="18"/>
                <w:szCs w:val="18"/>
              </w:rPr>
              <w:t>Clinical criteria:</w:t>
            </w:r>
          </w:p>
        </w:tc>
      </w:tr>
      <w:tr w:rsidR="009A20E7" w:rsidRPr="00762BC4" w:rsidTr="009A20E7">
        <w:tc>
          <w:tcPr>
            <w:tcW w:w="7745" w:type="dxa"/>
          </w:tcPr>
          <w:p w:rsidR="009A20E7" w:rsidRPr="00762BC4" w:rsidRDefault="009A20E7" w:rsidP="004A0FF2">
            <w:pPr>
              <w:rPr>
                <w:rFonts w:ascii="Arial Narrow" w:hAnsi="Arial Narrow"/>
                <w:b/>
                <w:sz w:val="18"/>
                <w:szCs w:val="18"/>
              </w:rPr>
            </w:pPr>
            <w:r>
              <w:rPr>
                <w:rFonts w:ascii="Arial Narrow" w:hAnsi="Arial Narrow"/>
                <w:sz w:val="18"/>
                <w:szCs w:val="18"/>
              </w:rPr>
              <w:t>The treatment</w:t>
            </w:r>
            <w:r w:rsidRPr="00E56B67">
              <w:rPr>
                <w:rFonts w:ascii="Arial Narrow" w:hAnsi="Arial Narrow"/>
                <w:sz w:val="18"/>
                <w:szCs w:val="18"/>
              </w:rPr>
              <w:t xml:space="preserve"> </w:t>
            </w:r>
            <w:r>
              <w:rPr>
                <w:rFonts w:ascii="Arial Narrow" w:hAnsi="Arial Narrow"/>
                <w:sz w:val="18"/>
                <w:szCs w:val="18"/>
              </w:rPr>
              <w:t>must be in addition to existing</w:t>
            </w:r>
            <w:r w:rsidRPr="00E56B67">
              <w:rPr>
                <w:rFonts w:ascii="Arial Narrow" w:hAnsi="Arial Narrow"/>
                <w:sz w:val="18"/>
                <w:szCs w:val="18"/>
              </w:rPr>
              <w:t xml:space="preserve"> dual therapy with a phosphodiesterase-5 inhibitor (PDE-5i) agent </w:t>
            </w:r>
            <w:r>
              <w:rPr>
                <w:rFonts w:ascii="Arial Narrow" w:hAnsi="Arial Narrow"/>
                <w:sz w:val="18"/>
                <w:szCs w:val="18"/>
              </w:rPr>
              <w:t>combined with</w:t>
            </w:r>
            <w:r w:rsidRPr="00E56B67">
              <w:rPr>
                <w:rFonts w:ascii="Arial Narrow" w:hAnsi="Arial Narrow"/>
                <w:sz w:val="18"/>
                <w:szCs w:val="18"/>
              </w:rPr>
              <w:t xml:space="preserve"> an endothelin receptor antagonist (ERA) for pulmona</w:t>
            </w:r>
            <w:r>
              <w:rPr>
                <w:rFonts w:ascii="Arial Narrow" w:hAnsi="Arial Narrow"/>
                <w:sz w:val="18"/>
                <w:szCs w:val="18"/>
              </w:rPr>
              <w:t>ry arterial hypertension (PAH); or</w:t>
            </w:r>
          </w:p>
        </w:tc>
      </w:tr>
      <w:tr w:rsidR="009A20E7" w:rsidRPr="00762BC4" w:rsidTr="009A20E7">
        <w:tc>
          <w:tcPr>
            <w:tcW w:w="7745" w:type="dxa"/>
          </w:tcPr>
          <w:p w:rsidR="009A20E7" w:rsidRPr="00762BC4" w:rsidRDefault="009A20E7" w:rsidP="004A0FF2">
            <w:pPr>
              <w:rPr>
                <w:rFonts w:ascii="Arial Narrow" w:hAnsi="Arial Narrow"/>
                <w:b/>
                <w:sz w:val="18"/>
                <w:szCs w:val="18"/>
              </w:rPr>
            </w:pPr>
            <w:r w:rsidRPr="00CF2FF4">
              <w:rPr>
                <w:rFonts w:ascii="Arial Narrow" w:hAnsi="Arial Narrow"/>
                <w:sz w:val="18"/>
                <w:szCs w:val="18"/>
              </w:rPr>
              <w:t xml:space="preserve">The treatment must be </w:t>
            </w:r>
            <w:r>
              <w:rPr>
                <w:rFonts w:ascii="Arial Narrow" w:hAnsi="Arial Narrow"/>
                <w:sz w:val="18"/>
                <w:szCs w:val="18"/>
              </w:rPr>
              <w:t>in addition</w:t>
            </w:r>
            <w:r w:rsidRPr="00CF2FF4">
              <w:rPr>
                <w:rFonts w:ascii="Arial Narrow" w:hAnsi="Arial Narrow"/>
                <w:sz w:val="18"/>
                <w:szCs w:val="18"/>
              </w:rPr>
              <w:t xml:space="preserve"> to existing therapy with a phosphodiesterase-</w:t>
            </w:r>
            <w:r>
              <w:rPr>
                <w:rFonts w:ascii="Arial Narrow" w:hAnsi="Arial Narrow"/>
                <w:sz w:val="18"/>
                <w:szCs w:val="18"/>
              </w:rPr>
              <w:t>5 inhibitor (PDE-5i)/</w:t>
            </w:r>
            <w:r w:rsidRPr="00CF2FF4">
              <w:rPr>
                <w:rFonts w:ascii="Arial Narrow" w:hAnsi="Arial Narrow"/>
                <w:sz w:val="18"/>
                <w:szCs w:val="18"/>
              </w:rPr>
              <w:t>an endothelin receptor antagonist (ERA) for pulmonary arterial hypertension (PAH)</w:t>
            </w:r>
            <w:r>
              <w:rPr>
                <w:rFonts w:ascii="Arial Narrow" w:hAnsi="Arial Narrow"/>
                <w:sz w:val="18"/>
                <w:szCs w:val="18"/>
              </w:rPr>
              <w:t xml:space="preserve">, but only </w:t>
            </w:r>
            <w:r w:rsidRPr="00762BC4">
              <w:rPr>
                <w:rFonts w:ascii="Arial Narrow" w:hAnsi="Arial Narrow"/>
                <w:sz w:val="18"/>
                <w:szCs w:val="18"/>
              </w:rPr>
              <w:t xml:space="preserve">when </w:t>
            </w:r>
            <w:r>
              <w:rPr>
                <w:rFonts w:ascii="Arial Narrow" w:hAnsi="Arial Narrow"/>
                <w:sz w:val="18"/>
                <w:szCs w:val="18"/>
              </w:rPr>
              <w:t>dual</w:t>
            </w:r>
            <w:r w:rsidRPr="00762BC4">
              <w:rPr>
                <w:rFonts w:ascii="Arial Narrow" w:hAnsi="Arial Narrow"/>
                <w:sz w:val="18"/>
                <w:szCs w:val="18"/>
              </w:rPr>
              <w:t xml:space="preserve"> </w:t>
            </w:r>
            <w:r>
              <w:rPr>
                <w:rFonts w:ascii="Arial Narrow" w:hAnsi="Arial Narrow"/>
                <w:sz w:val="18"/>
                <w:szCs w:val="18"/>
              </w:rPr>
              <w:t xml:space="preserve">ERA-PDE-5i </w:t>
            </w:r>
            <w:r w:rsidRPr="00762BC4">
              <w:rPr>
                <w:rFonts w:ascii="Arial Narrow" w:hAnsi="Arial Narrow"/>
                <w:sz w:val="18"/>
                <w:szCs w:val="18"/>
              </w:rPr>
              <w:t xml:space="preserve">combination therapy </w:t>
            </w:r>
            <w:r>
              <w:rPr>
                <w:rFonts w:ascii="Arial Narrow" w:hAnsi="Arial Narrow"/>
                <w:sz w:val="18"/>
                <w:szCs w:val="18"/>
              </w:rPr>
              <w:t>wa</w:t>
            </w:r>
            <w:r w:rsidRPr="00762BC4">
              <w:rPr>
                <w:rFonts w:ascii="Arial Narrow" w:hAnsi="Arial Narrow"/>
                <w:sz w:val="18"/>
                <w:szCs w:val="18"/>
              </w:rPr>
              <w:t xml:space="preserve">s not possible due to at least one of the following being present: (i) a contraindication according to the TGA approved Product Information, (ii) an intolerance requiring permanent treatment cessation  </w:t>
            </w:r>
          </w:p>
        </w:tc>
      </w:tr>
      <w:tr w:rsidR="009A20E7" w:rsidRPr="00762BC4" w:rsidTr="009A20E7">
        <w:tc>
          <w:tcPr>
            <w:tcW w:w="7745" w:type="dxa"/>
          </w:tcPr>
          <w:p w:rsidR="009A20E7" w:rsidRPr="00F76BE3" w:rsidRDefault="009A20E7" w:rsidP="00F76BE3">
            <w:pPr>
              <w:rPr>
                <w:rFonts w:ascii="Arial Narrow" w:hAnsi="Arial Narrow"/>
                <w:b/>
                <w:sz w:val="18"/>
                <w:szCs w:val="18"/>
              </w:rPr>
            </w:pPr>
            <w:r w:rsidRPr="00F76BE3">
              <w:rPr>
                <w:rFonts w:ascii="Arial Narrow" w:hAnsi="Arial Narrow"/>
                <w:b/>
                <w:sz w:val="18"/>
                <w:szCs w:val="18"/>
              </w:rPr>
              <w:t>AND</w:t>
            </w:r>
          </w:p>
        </w:tc>
      </w:tr>
      <w:tr w:rsidR="009A20E7" w:rsidRPr="00762BC4" w:rsidTr="009A20E7">
        <w:tc>
          <w:tcPr>
            <w:tcW w:w="7745" w:type="dxa"/>
          </w:tcPr>
          <w:p w:rsidR="009A20E7" w:rsidRPr="00762BC4" w:rsidRDefault="009A20E7" w:rsidP="00F76BE3">
            <w:pPr>
              <w:rPr>
                <w:rFonts w:ascii="Arial Narrow" w:hAnsi="Arial Narrow"/>
                <w:sz w:val="18"/>
                <w:szCs w:val="18"/>
              </w:rPr>
            </w:pPr>
            <w:r w:rsidRPr="00762BC4">
              <w:rPr>
                <w:rFonts w:ascii="Arial Narrow" w:hAnsi="Arial Narrow"/>
                <w:b/>
                <w:sz w:val="18"/>
                <w:szCs w:val="18"/>
              </w:rPr>
              <w:t>Clinical criteria:</w:t>
            </w:r>
          </w:p>
        </w:tc>
      </w:tr>
      <w:tr w:rsidR="009A20E7" w:rsidRPr="00762BC4" w:rsidTr="009A20E7">
        <w:tc>
          <w:tcPr>
            <w:tcW w:w="7745" w:type="dxa"/>
          </w:tcPr>
          <w:p w:rsidR="009A20E7" w:rsidRPr="00762BC4" w:rsidRDefault="009A20E7" w:rsidP="00F76BE3">
            <w:pPr>
              <w:rPr>
                <w:rFonts w:ascii="Arial Narrow" w:hAnsi="Arial Narrow"/>
                <w:sz w:val="18"/>
                <w:szCs w:val="18"/>
              </w:rPr>
            </w:pPr>
            <w:r w:rsidRPr="00762BC4">
              <w:rPr>
                <w:rFonts w:ascii="Arial Narrow" w:hAnsi="Arial Narrow"/>
                <w:sz w:val="18"/>
                <w:szCs w:val="18"/>
              </w:rPr>
              <w:t>The treatment must not be as monotherapy</w:t>
            </w:r>
          </w:p>
        </w:tc>
      </w:tr>
      <w:tr w:rsidR="009A20E7" w:rsidRPr="00762BC4" w:rsidTr="009A20E7">
        <w:trPr>
          <w:trHeight w:val="1275"/>
        </w:trPr>
        <w:tc>
          <w:tcPr>
            <w:tcW w:w="7745" w:type="dxa"/>
          </w:tcPr>
          <w:p w:rsidR="009A20E7" w:rsidRPr="00762BC4" w:rsidRDefault="009A20E7" w:rsidP="00F76BE3">
            <w:pPr>
              <w:rPr>
                <w:rFonts w:ascii="Arial Narrow" w:hAnsi="Arial Narrow"/>
                <w:b/>
                <w:sz w:val="18"/>
                <w:szCs w:val="18"/>
              </w:rPr>
            </w:pPr>
            <w:r w:rsidRPr="00762BC4">
              <w:rPr>
                <w:rFonts w:ascii="Arial Narrow" w:hAnsi="Arial Narrow"/>
                <w:b/>
                <w:sz w:val="18"/>
                <w:szCs w:val="18"/>
              </w:rPr>
              <w:t>Prescriber Instructions:</w:t>
            </w:r>
          </w:p>
          <w:p w:rsidR="009A20E7" w:rsidRPr="00762BC4" w:rsidRDefault="009A20E7" w:rsidP="00F76BE3">
            <w:pPr>
              <w:rPr>
                <w:rFonts w:ascii="Arial Narrow" w:hAnsi="Arial Narrow"/>
                <w:sz w:val="18"/>
                <w:szCs w:val="18"/>
              </w:rPr>
            </w:pPr>
            <w:r w:rsidRPr="00762BC4">
              <w:rPr>
                <w:rFonts w:ascii="Arial Narrow" w:hAnsi="Arial Narrow"/>
                <w:sz w:val="18"/>
                <w:szCs w:val="18"/>
              </w:rPr>
              <w:t>PAH (WHO Group I pulmonary hypertension) is defined as follows:</w:t>
            </w:r>
          </w:p>
          <w:p w:rsidR="009A20E7" w:rsidRPr="00762BC4" w:rsidRDefault="009A20E7" w:rsidP="00F76BE3">
            <w:pPr>
              <w:rPr>
                <w:rFonts w:ascii="Arial Narrow" w:hAnsi="Arial Narrow"/>
                <w:sz w:val="18"/>
                <w:szCs w:val="18"/>
              </w:rPr>
            </w:pPr>
            <w:r w:rsidRPr="00762BC4">
              <w:rPr>
                <w:rFonts w:ascii="Arial Narrow" w:hAnsi="Arial Narrow"/>
                <w:sz w:val="18"/>
                <w:szCs w:val="18"/>
              </w:rPr>
              <w:t>(i) mean pulmonary artery pressure (mPAP) greater than or equal to 25 mmHg at rest and pulmonary artery wedge pressure (PAWP) less than or equal to 15 mmHg; or</w:t>
            </w:r>
          </w:p>
          <w:p w:rsidR="009A20E7" w:rsidRPr="00762BC4" w:rsidRDefault="009A20E7" w:rsidP="00F76BE3">
            <w:pPr>
              <w:rPr>
                <w:rFonts w:ascii="Arial Narrow" w:hAnsi="Arial Narrow"/>
                <w:sz w:val="18"/>
                <w:szCs w:val="18"/>
              </w:rPr>
            </w:pPr>
            <w:r w:rsidRPr="00762BC4">
              <w:rPr>
                <w:rFonts w:ascii="Arial Narrow" w:hAnsi="Arial Narrow"/>
                <w:sz w:val="18"/>
                <w:szCs w:val="18"/>
              </w:rPr>
              <w:t>(ii) where a right heart catheter (RHC) cannot be performed on clinical grounds, right ventricular systolic pressure (RVSP), assessed by echocardiography (ECHO), greater than 40 mmHg, with normal left ventricular function.</w:t>
            </w:r>
          </w:p>
        </w:tc>
      </w:tr>
      <w:tr w:rsidR="009A20E7" w:rsidRPr="00762BC4" w:rsidTr="009A20E7">
        <w:tc>
          <w:tcPr>
            <w:tcW w:w="7745" w:type="dxa"/>
          </w:tcPr>
          <w:p w:rsidR="009A20E7" w:rsidRPr="00762BC4" w:rsidRDefault="009A20E7" w:rsidP="00F76BE3">
            <w:pPr>
              <w:rPr>
                <w:rFonts w:ascii="Arial Narrow" w:hAnsi="Arial Narrow"/>
                <w:b/>
                <w:sz w:val="18"/>
                <w:szCs w:val="18"/>
              </w:rPr>
            </w:pPr>
            <w:r w:rsidRPr="00762BC4">
              <w:rPr>
                <w:rFonts w:ascii="Arial Narrow" w:hAnsi="Arial Narrow"/>
                <w:b/>
                <w:sz w:val="18"/>
                <w:szCs w:val="18"/>
              </w:rPr>
              <w:t>Prescriber Instructions:</w:t>
            </w:r>
          </w:p>
          <w:p w:rsidR="009A20E7" w:rsidRPr="00762BC4" w:rsidRDefault="009A20E7" w:rsidP="00F76BE3">
            <w:pPr>
              <w:rPr>
                <w:rFonts w:ascii="Arial Narrow" w:hAnsi="Arial Narrow"/>
                <w:b/>
                <w:sz w:val="18"/>
                <w:szCs w:val="18"/>
              </w:rPr>
            </w:pPr>
            <w:r w:rsidRPr="00762BC4">
              <w:rPr>
                <w:rFonts w:ascii="Arial Narrow" w:hAnsi="Arial Narrow"/>
                <w:sz w:val="18"/>
                <w:szCs w:val="18"/>
              </w:rPr>
              <w:t>PAH agents are not PBS-subsidised for patients with pulmonary hypertension secondary to interstitial lung disease associated with connective tissue disease, where the total lung capacity is less than 70% of predicted.</w:t>
            </w:r>
          </w:p>
        </w:tc>
      </w:tr>
      <w:tr w:rsidR="009A20E7" w:rsidRPr="00762BC4" w:rsidTr="009A20E7">
        <w:tc>
          <w:tcPr>
            <w:tcW w:w="7745" w:type="dxa"/>
          </w:tcPr>
          <w:p w:rsidR="009A20E7" w:rsidRPr="00C8102D" w:rsidRDefault="009A20E7" w:rsidP="00F76BE3">
            <w:pPr>
              <w:rPr>
                <w:rFonts w:ascii="Arial Narrow" w:hAnsi="Arial Narrow"/>
                <w:b/>
                <w:sz w:val="18"/>
                <w:szCs w:val="18"/>
              </w:rPr>
            </w:pPr>
            <w:r w:rsidRPr="00C8102D">
              <w:rPr>
                <w:rFonts w:ascii="Arial Narrow" w:hAnsi="Arial Narrow"/>
                <w:b/>
                <w:sz w:val="18"/>
                <w:szCs w:val="18"/>
              </w:rPr>
              <w:lastRenderedPageBreak/>
              <w:t>Prescriber Instructions:</w:t>
            </w:r>
          </w:p>
          <w:p w:rsidR="009A20E7" w:rsidRPr="00C8102D" w:rsidRDefault="009A20E7" w:rsidP="00F76BE3">
            <w:pPr>
              <w:rPr>
                <w:rFonts w:ascii="Arial Narrow" w:hAnsi="Arial Narrow"/>
                <w:sz w:val="18"/>
                <w:szCs w:val="18"/>
              </w:rPr>
            </w:pPr>
            <w:r w:rsidRPr="00C8102D">
              <w:rPr>
                <w:rFonts w:ascii="Arial Narrow" w:hAnsi="Arial Narrow"/>
                <w:sz w:val="18"/>
                <w:szCs w:val="18"/>
              </w:rPr>
              <w:t>Delayed assessment instructions (to be determined)</w:t>
            </w:r>
          </w:p>
        </w:tc>
      </w:tr>
      <w:tr w:rsidR="009A20E7" w:rsidRPr="00762BC4" w:rsidTr="009A20E7">
        <w:tc>
          <w:tcPr>
            <w:tcW w:w="7745" w:type="dxa"/>
          </w:tcPr>
          <w:p w:rsidR="009A20E7" w:rsidRPr="00762BC4" w:rsidRDefault="009A20E7" w:rsidP="00F76BE3">
            <w:pPr>
              <w:rPr>
                <w:rFonts w:ascii="Arial Narrow" w:hAnsi="Arial Narrow"/>
                <w:b/>
                <w:sz w:val="18"/>
                <w:szCs w:val="18"/>
              </w:rPr>
            </w:pPr>
            <w:r w:rsidRPr="00762BC4">
              <w:rPr>
                <w:rFonts w:ascii="Arial Narrow" w:hAnsi="Arial Narrow"/>
                <w:b/>
                <w:sz w:val="18"/>
                <w:szCs w:val="18"/>
              </w:rPr>
              <w:t xml:space="preserve"> Administrative Advice:</w:t>
            </w:r>
          </w:p>
          <w:p w:rsidR="009A20E7" w:rsidRPr="00762BC4" w:rsidRDefault="009A20E7" w:rsidP="00F76BE3">
            <w:pPr>
              <w:rPr>
                <w:rFonts w:ascii="Arial Narrow" w:hAnsi="Arial Narrow"/>
                <w:sz w:val="18"/>
                <w:szCs w:val="18"/>
              </w:rPr>
            </w:pPr>
            <w:r w:rsidRPr="00762BC4">
              <w:rPr>
                <w:rFonts w:ascii="Arial Narrow" w:hAnsi="Arial Narrow"/>
                <w:sz w:val="18"/>
                <w:szCs w:val="18"/>
              </w:rPr>
              <w:t>PAH (WHO Group 1 pulmonary hypertension) currently includes the following subtypes:</w:t>
            </w:r>
          </w:p>
          <w:p w:rsidR="009A20E7" w:rsidRPr="00762BC4" w:rsidRDefault="009A20E7" w:rsidP="00F76BE3">
            <w:pPr>
              <w:ind w:left="170"/>
              <w:rPr>
                <w:rFonts w:ascii="Arial Narrow" w:hAnsi="Arial Narrow"/>
                <w:sz w:val="18"/>
                <w:szCs w:val="18"/>
              </w:rPr>
            </w:pPr>
            <w:r w:rsidRPr="00762BC4">
              <w:rPr>
                <w:rFonts w:ascii="Arial Narrow" w:hAnsi="Arial Narrow"/>
                <w:sz w:val="18"/>
                <w:szCs w:val="18"/>
              </w:rPr>
              <w:t>•</w:t>
            </w:r>
            <w:r w:rsidRPr="00762BC4">
              <w:rPr>
                <w:rFonts w:ascii="Arial Narrow" w:hAnsi="Arial Narrow"/>
                <w:sz w:val="18"/>
                <w:szCs w:val="18"/>
              </w:rPr>
              <w:tab/>
              <w:t>Idiopathic PAH</w:t>
            </w:r>
          </w:p>
          <w:p w:rsidR="009A20E7" w:rsidRPr="00762BC4" w:rsidRDefault="009A20E7" w:rsidP="00F76BE3">
            <w:pPr>
              <w:ind w:left="170"/>
              <w:rPr>
                <w:rFonts w:ascii="Arial Narrow" w:hAnsi="Arial Narrow"/>
                <w:sz w:val="18"/>
                <w:szCs w:val="18"/>
              </w:rPr>
            </w:pPr>
            <w:r w:rsidRPr="00762BC4">
              <w:rPr>
                <w:rFonts w:ascii="Arial Narrow" w:hAnsi="Arial Narrow"/>
                <w:sz w:val="18"/>
                <w:szCs w:val="18"/>
              </w:rPr>
              <w:t>•</w:t>
            </w:r>
            <w:r w:rsidRPr="00762BC4">
              <w:rPr>
                <w:rFonts w:ascii="Arial Narrow" w:hAnsi="Arial Narrow"/>
                <w:sz w:val="18"/>
                <w:szCs w:val="18"/>
              </w:rPr>
              <w:tab/>
              <w:t>Heritable PAH</w:t>
            </w:r>
          </w:p>
          <w:p w:rsidR="009A20E7" w:rsidRPr="00762BC4" w:rsidRDefault="009A20E7" w:rsidP="00F76BE3">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BMPR2 mutation</w:t>
            </w:r>
          </w:p>
          <w:p w:rsidR="009A20E7" w:rsidRPr="00762BC4" w:rsidRDefault="009A20E7" w:rsidP="00F76BE3">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ALK-1, ENG, SMAD9, CAV1, KCNK3 mutations</w:t>
            </w:r>
          </w:p>
          <w:p w:rsidR="009A20E7" w:rsidRPr="00762BC4" w:rsidRDefault="009A20E7" w:rsidP="00F76BE3">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Other mutations</w:t>
            </w:r>
          </w:p>
          <w:p w:rsidR="009A20E7" w:rsidRPr="00762BC4" w:rsidRDefault="009A20E7" w:rsidP="00F76BE3">
            <w:pPr>
              <w:ind w:left="170"/>
              <w:rPr>
                <w:rFonts w:ascii="Arial Narrow" w:hAnsi="Arial Narrow"/>
                <w:sz w:val="18"/>
                <w:szCs w:val="18"/>
              </w:rPr>
            </w:pPr>
            <w:r w:rsidRPr="00762BC4">
              <w:rPr>
                <w:rFonts w:ascii="Arial Narrow" w:hAnsi="Arial Narrow"/>
                <w:sz w:val="18"/>
                <w:szCs w:val="18"/>
              </w:rPr>
              <w:t>•</w:t>
            </w:r>
            <w:r w:rsidRPr="00762BC4">
              <w:rPr>
                <w:rFonts w:ascii="Arial Narrow" w:hAnsi="Arial Narrow"/>
                <w:sz w:val="18"/>
                <w:szCs w:val="18"/>
              </w:rPr>
              <w:tab/>
              <w:t>Drugs and toxins induced PAH</w:t>
            </w:r>
          </w:p>
          <w:p w:rsidR="009A20E7" w:rsidRPr="00762BC4" w:rsidRDefault="009A20E7" w:rsidP="00F76BE3">
            <w:pPr>
              <w:ind w:left="170"/>
              <w:rPr>
                <w:rFonts w:ascii="Arial Narrow" w:hAnsi="Arial Narrow"/>
                <w:sz w:val="18"/>
                <w:szCs w:val="18"/>
              </w:rPr>
            </w:pPr>
            <w:r w:rsidRPr="00762BC4">
              <w:rPr>
                <w:rFonts w:ascii="Arial Narrow" w:hAnsi="Arial Narrow"/>
                <w:sz w:val="18"/>
                <w:szCs w:val="18"/>
              </w:rPr>
              <w:t>•</w:t>
            </w:r>
            <w:r w:rsidRPr="00762BC4">
              <w:rPr>
                <w:rFonts w:ascii="Arial Narrow" w:hAnsi="Arial Narrow"/>
                <w:sz w:val="18"/>
                <w:szCs w:val="18"/>
              </w:rPr>
              <w:tab/>
              <w:t>PAH associated with:</w:t>
            </w:r>
          </w:p>
          <w:p w:rsidR="009A20E7" w:rsidRPr="00762BC4" w:rsidRDefault="009A20E7" w:rsidP="00F76BE3">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Connective tissue disease</w:t>
            </w:r>
          </w:p>
          <w:p w:rsidR="009A20E7" w:rsidRPr="00762BC4" w:rsidRDefault="009A20E7" w:rsidP="00F76BE3">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Human immunodeficiency virus (HIV) infection</w:t>
            </w:r>
          </w:p>
          <w:p w:rsidR="009A20E7" w:rsidRPr="00762BC4" w:rsidRDefault="009A20E7" w:rsidP="00F76BE3">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Portal hypertension</w:t>
            </w:r>
          </w:p>
          <w:p w:rsidR="009A20E7" w:rsidRPr="00762BC4" w:rsidRDefault="009A20E7" w:rsidP="00F76BE3">
            <w:pPr>
              <w:ind w:left="850"/>
              <w:rPr>
                <w:rFonts w:ascii="Arial Narrow" w:hAnsi="Arial Narrow"/>
                <w:sz w:val="18"/>
                <w:szCs w:val="18"/>
              </w:rPr>
            </w:pPr>
            <w:r w:rsidRPr="00762BC4">
              <w:rPr>
                <w:rFonts w:ascii="Arial Narrow" w:hAnsi="Arial Narrow"/>
                <w:sz w:val="18"/>
                <w:szCs w:val="18"/>
              </w:rPr>
              <w:t>o</w:t>
            </w:r>
            <w:r w:rsidRPr="00762BC4">
              <w:rPr>
                <w:rFonts w:ascii="Arial Narrow" w:hAnsi="Arial Narrow"/>
                <w:sz w:val="18"/>
                <w:szCs w:val="18"/>
              </w:rPr>
              <w:tab/>
              <w:t>Congenital heart disease</w:t>
            </w:r>
          </w:p>
          <w:p w:rsidR="009A20E7" w:rsidRPr="00762BC4" w:rsidRDefault="009A20E7" w:rsidP="00F76BE3">
            <w:pPr>
              <w:rPr>
                <w:rFonts w:ascii="Arial Narrow" w:hAnsi="Arial Narrow"/>
                <w:b/>
                <w:sz w:val="18"/>
                <w:szCs w:val="18"/>
              </w:rPr>
            </w:pPr>
            <w:r w:rsidRPr="00762BC4">
              <w:rPr>
                <w:rFonts w:ascii="Arial Narrow" w:hAnsi="Arial Narrow"/>
                <w:sz w:val="18"/>
                <w:szCs w:val="18"/>
              </w:rPr>
              <w:t>o</w:t>
            </w:r>
            <w:r w:rsidRPr="00762BC4">
              <w:rPr>
                <w:rFonts w:ascii="Arial Narrow" w:hAnsi="Arial Narrow"/>
                <w:sz w:val="18"/>
                <w:szCs w:val="18"/>
              </w:rPr>
              <w:tab/>
              <w:t>Schistosomiasis</w:t>
            </w:r>
          </w:p>
        </w:tc>
      </w:tr>
      <w:tr w:rsidR="009A20E7" w:rsidRPr="00762BC4" w:rsidTr="009A20E7">
        <w:tc>
          <w:tcPr>
            <w:tcW w:w="7745" w:type="dxa"/>
          </w:tcPr>
          <w:p w:rsidR="009A20E7" w:rsidRPr="00762BC4" w:rsidRDefault="009A20E7" w:rsidP="00F76BE3">
            <w:pPr>
              <w:rPr>
                <w:rStyle w:val="Hyperlink"/>
                <w:rFonts w:ascii="Arial Narrow" w:hAnsi="Arial Narrow"/>
                <w:sz w:val="18"/>
                <w:szCs w:val="18"/>
              </w:rPr>
            </w:pPr>
            <w:r w:rsidRPr="00762BC4">
              <w:rPr>
                <w:rFonts w:ascii="Arial Narrow" w:hAnsi="Arial Narrow"/>
                <w:b/>
                <w:sz w:val="18"/>
                <w:szCs w:val="18"/>
              </w:rPr>
              <w:t>Administrative advice:</w:t>
            </w:r>
          </w:p>
          <w:p w:rsidR="009A20E7" w:rsidRDefault="009A20E7" w:rsidP="00F76BE3">
            <w:pPr>
              <w:rPr>
                <w:rFonts w:ascii="Arial Narrow" w:hAnsi="Arial Narrow"/>
                <w:sz w:val="18"/>
                <w:szCs w:val="18"/>
              </w:rPr>
            </w:pPr>
            <w:r w:rsidRPr="00F76BE3">
              <w:rPr>
                <w:rFonts w:ascii="Arial Narrow" w:hAnsi="Arial Narrow"/>
                <w:sz w:val="18"/>
                <w:szCs w:val="18"/>
              </w:rPr>
              <w:t>Any queries concerning the arrangements to prescribe may be directed to Services Australia on 1800 700 270 (hours of operation 8 a.m. to 5 p.m. EST Monday to Friday).</w:t>
            </w:r>
          </w:p>
          <w:p w:rsidR="009A20E7" w:rsidRPr="00F76BE3" w:rsidRDefault="009A20E7" w:rsidP="00F76BE3">
            <w:pPr>
              <w:rPr>
                <w:rFonts w:ascii="Arial Narrow" w:hAnsi="Arial Narrow"/>
                <w:sz w:val="18"/>
                <w:szCs w:val="18"/>
              </w:rPr>
            </w:pPr>
          </w:p>
          <w:p w:rsidR="009A20E7" w:rsidRDefault="009A20E7" w:rsidP="00F76BE3">
            <w:pPr>
              <w:rPr>
                <w:rFonts w:ascii="Arial Narrow" w:hAnsi="Arial Narrow"/>
                <w:sz w:val="18"/>
                <w:szCs w:val="18"/>
              </w:rPr>
            </w:pPr>
            <w:r w:rsidRPr="00F76BE3">
              <w:rPr>
                <w:rFonts w:ascii="Arial Narrow" w:hAnsi="Arial Narrow"/>
                <w:sz w:val="18"/>
                <w:szCs w:val="18"/>
              </w:rPr>
              <w:t xml:space="preserve">Prescribing information (including Authority Application forms and other relevant documentation as applicable) is available on the Services Australia website at </w:t>
            </w:r>
            <w:r w:rsidRPr="00B24936">
              <w:rPr>
                <w:rFonts w:ascii="Arial Narrow" w:hAnsi="Arial Narrow"/>
                <w:sz w:val="18"/>
                <w:szCs w:val="18"/>
              </w:rPr>
              <w:t>www.servicesaustralia.gov.au</w:t>
            </w:r>
          </w:p>
          <w:p w:rsidR="009A20E7" w:rsidRPr="00F76BE3" w:rsidRDefault="009A20E7" w:rsidP="00F76BE3">
            <w:pPr>
              <w:rPr>
                <w:rFonts w:ascii="Arial Narrow" w:hAnsi="Arial Narrow"/>
                <w:sz w:val="18"/>
                <w:szCs w:val="18"/>
              </w:rPr>
            </w:pPr>
          </w:p>
          <w:p w:rsidR="009A20E7" w:rsidRDefault="009A20E7" w:rsidP="00F76BE3">
            <w:pPr>
              <w:rPr>
                <w:rFonts w:ascii="Arial Narrow" w:hAnsi="Arial Narrow"/>
                <w:sz w:val="18"/>
                <w:szCs w:val="18"/>
              </w:rPr>
            </w:pPr>
            <w:r w:rsidRPr="00F76BE3">
              <w:rPr>
                <w:rFonts w:ascii="Arial Narrow" w:hAnsi="Arial Narrow"/>
                <w:sz w:val="18"/>
                <w:szCs w:val="18"/>
              </w:rPr>
              <w:t xml:space="preserve">Applications for authority to prescribe should be submitted online using the form upload facility in Health Professional Online Services (HPOS) at </w:t>
            </w:r>
            <w:r w:rsidRPr="00B24936">
              <w:rPr>
                <w:rFonts w:ascii="Arial Narrow" w:hAnsi="Arial Narrow"/>
                <w:sz w:val="18"/>
                <w:szCs w:val="18"/>
              </w:rPr>
              <w:t>www.servicesaustralia.gov.au/hpos</w:t>
            </w:r>
          </w:p>
          <w:p w:rsidR="009A20E7" w:rsidRPr="00F76BE3" w:rsidRDefault="009A20E7" w:rsidP="00F76BE3">
            <w:pPr>
              <w:rPr>
                <w:rFonts w:ascii="Arial Narrow" w:hAnsi="Arial Narrow"/>
                <w:sz w:val="18"/>
                <w:szCs w:val="18"/>
              </w:rPr>
            </w:pPr>
          </w:p>
          <w:p w:rsidR="009A20E7" w:rsidRPr="00F76BE3" w:rsidRDefault="009A20E7" w:rsidP="00F76BE3">
            <w:pPr>
              <w:rPr>
                <w:rFonts w:ascii="Arial Narrow" w:hAnsi="Arial Narrow"/>
                <w:sz w:val="18"/>
                <w:szCs w:val="18"/>
              </w:rPr>
            </w:pPr>
            <w:r w:rsidRPr="00F76BE3">
              <w:rPr>
                <w:rFonts w:ascii="Arial Narrow" w:hAnsi="Arial Narrow"/>
                <w:sz w:val="18"/>
                <w:szCs w:val="18"/>
              </w:rPr>
              <w:t>Or mailed to:</w:t>
            </w:r>
          </w:p>
          <w:p w:rsidR="009A20E7" w:rsidRPr="00F76BE3" w:rsidRDefault="009A20E7" w:rsidP="00F76BE3">
            <w:pPr>
              <w:rPr>
                <w:rFonts w:ascii="Arial Narrow" w:hAnsi="Arial Narrow"/>
                <w:sz w:val="18"/>
                <w:szCs w:val="18"/>
              </w:rPr>
            </w:pPr>
            <w:r w:rsidRPr="00F76BE3">
              <w:rPr>
                <w:rFonts w:ascii="Arial Narrow" w:hAnsi="Arial Narrow"/>
                <w:sz w:val="18"/>
                <w:szCs w:val="18"/>
              </w:rPr>
              <w:t>Services Australia</w:t>
            </w:r>
          </w:p>
          <w:p w:rsidR="009A20E7" w:rsidRPr="00F76BE3" w:rsidRDefault="009A20E7" w:rsidP="00F76BE3">
            <w:pPr>
              <w:rPr>
                <w:rFonts w:ascii="Arial Narrow" w:hAnsi="Arial Narrow"/>
                <w:sz w:val="18"/>
                <w:szCs w:val="18"/>
              </w:rPr>
            </w:pPr>
            <w:r w:rsidRPr="00F76BE3">
              <w:rPr>
                <w:rFonts w:ascii="Arial Narrow" w:hAnsi="Arial Narrow"/>
                <w:sz w:val="18"/>
                <w:szCs w:val="18"/>
              </w:rPr>
              <w:t>Complex Drugs</w:t>
            </w:r>
          </w:p>
          <w:p w:rsidR="009A20E7" w:rsidRPr="00F76BE3" w:rsidRDefault="009A20E7" w:rsidP="00F76BE3">
            <w:pPr>
              <w:rPr>
                <w:rFonts w:ascii="Arial Narrow" w:hAnsi="Arial Narrow"/>
                <w:sz w:val="18"/>
                <w:szCs w:val="18"/>
              </w:rPr>
            </w:pPr>
            <w:r w:rsidRPr="00F76BE3">
              <w:rPr>
                <w:rFonts w:ascii="Arial Narrow" w:hAnsi="Arial Narrow"/>
                <w:sz w:val="18"/>
                <w:szCs w:val="18"/>
              </w:rPr>
              <w:t>Reply Paid 9826</w:t>
            </w:r>
          </w:p>
          <w:p w:rsidR="009A20E7" w:rsidRPr="00762BC4" w:rsidRDefault="009A20E7" w:rsidP="00F76BE3">
            <w:pPr>
              <w:rPr>
                <w:rFonts w:ascii="Arial Narrow" w:hAnsi="Arial Narrow"/>
                <w:sz w:val="18"/>
                <w:szCs w:val="18"/>
              </w:rPr>
            </w:pPr>
            <w:r w:rsidRPr="00F76BE3">
              <w:rPr>
                <w:rFonts w:ascii="Arial Narrow" w:hAnsi="Arial Narrow"/>
                <w:sz w:val="18"/>
                <w:szCs w:val="18"/>
              </w:rPr>
              <w:t>HOBART TAS 7001</w:t>
            </w:r>
          </w:p>
        </w:tc>
      </w:tr>
      <w:tr w:rsidR="009A20E7" w:rsidRPr="00762BC4" w:rsidTr="009A20E7">
        <w:tc>
          <w:tcPr>
            <w:tcW w:w="7745" w:type="dxa"/>
          </w:tcPr>
          <w:p w:rsidR="009A20E7" w:rsidRPr="00762BC4" w:rsidRDefault="009A20E7" w:rsidP="00F76BE3">
            <w:pPr>
              <w:rPr>
                <w:rFonts w:ascii="Arial Narrow" w:hAnsi="Arial Narrow"/>
                <w:b/>
                <w:sz w:val="18"/>
                <w:szCs w:val="18"/>
              </w:rPr>
            </w:pPr>
            <w:r w:rsidRPr="00762BC4">
              <w:rPr>
                <w:rFonts w:ascii="Arial Narrow" w:hAnsi="Arial Narrow"/>
                <w:b/>
                <w:sz w:val="18"/>
                <w:szCs w:val="18"/>
              </w:rPr>
              <w:t>Administrative Advice:</w:t>
            </w:r>
          </w:p>
          <w:p w:rsidR="009A20E7" w:rsidRPr="00762BC4" w:rsidRDefault="009A20E7" w:rsidP="00F76BE3">
            <w:pPr>
              <w:rPr>
                <w:rFonts w:ascii="Arial Narrow" w:hAnsi="Arial Narrow"/>
                <w:b/>
                <w:sz w:val="18"/>
                <w:szCs w:val="18"/>
              </w:rPr>
            </w:pPr>
            <w:r w:rsidRPr="00762BC4">
              <w:rPr>
                <w:rFonts w:ascii="Arial Narrow" w:hAnsi="Arial Narrow"/>
                <w:sz w:val="18"/>
                <w:szCs w:val="18"/>
              </w:rPr>
              <w:t xml:space="preserve">The relevant agency assessing a first-time authority application for this drug is to confirm that there is valid, active authority approval for both an endothelin receptor (ERA) antagonist and phosphodiesterase-5 inhibitor (PDE-5i).  A concurrently lodged/yet to be assessed application for PBS subsidy of either will not suffice for the purpose of this restriction. Where triple therapy combination is not possible, confirm that that there is a valid authority approval for at least one of an ERA or PDE-5i. </w:t>
            </w:r>
          </w:p>
        </w:tc>
      </w:tr>
      <w:tr w:rsidR="009A20E7" w:rsidRPr="00762BC4" w:rsidTr="009A20E7">
        <w:tc>
          <w:tcPr>
            <w:tcW w:w="7745" w:type="dxa"/>
          </w:tcPr>
          <w:p w:rsidR="009A20E7" w:rsidRPr="00762BC4" w:rsidRDefault="009A20E7" w:rsidP="00F76BE3">
            <w:pPr>
              <w:rPr>
                <w:rFonts w:ascii="Arial Narrow" w:hAnsi="Arial Narrow"/>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Special Pricing Arrangements apply</w:t>
            </w:r>
          </w:p>
        </w:tc>
      </w:tr>
      <w:tr w:rsidR="009A20E7" w:rsidRPr="00762BC4" w:rsidTr="009A20E7">
        <w:tc>
          <w:tcPr>
            <w:tcW w:w="7745" w:type="dxa"/>
          </w:tcPr>
          <w:p w:rsidR="009A20E7" w:rsidRPr="00762BC4" w:rsidRDefault="009A20E7" w:rsidP="00F76BE3">
            <w:pPr>
              <w:rPr>
                <w:rFonts w:ascii="Arial Narrow" w:hAnsi="Arial Narrow"/>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No increase in the maximum quantity or number of units may be authorised.</w:t>
            </w:r>
          </w:p>
        </w:tc>
      </w:tr>
      <w:tr w:rsidR="009A20E7" w:rsidRPr="00762BC4" w:rsidTr="009A20E7">
        <w:tc>
          <w:tcPr>
            <w:tcW w:w="7745" w:type="dxa"/>
          </w:tcPr>
          <w:p w:rsidR="009A20E7" w:rsidRPr="00762BC4" w:rsidRDefault="009A20E7" w:rsidP="00F76BE3">
            <w:pPr>
              <w:rPr>
                <w:rFonts w:ascii="Arial Narrow" w:hAnsi="Arial Narrow"/>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No increase in the maximum number of repeats may be authorised.</w:t>
            </w:r>
          </w:p>
        </w:tc>
      </w:tr>
    </w:tbl>
    <w:p w:rsidR="001745A9" w:rsidRDefault="001745A9" w:rsidP="001745A9">
      <w:pPr>
        <w:rPr>
          <w:color w:val="FF00FF"/>
          <w:sz w:val="18"/>
          <w:szCs w:val="18"/>
        </w:rPr>
      </w:pPr>
    </w:p>
    <w:p w:rsidR="003E0345" w:rsidRPr="00AF613B" w:rsidRDefault="003E0345" w:rsidP="003E0345">
      <w:pPr>
        <w:spacing w:after="160" w:line="259" w:lineRule="auto"/>
        <w:jc w:val="left"/>
        <w:rPr>
          <w:rFonts w:ascii="Arial Narrow" w:eastAsiaTheme="minorHAnsi" w:hAnsi="Arial Narrow" w:cs="Times New Roman"/>
          <w:b/>
          <w:sz w:val="18"/>
          <w:szCs w:val="18"/>
          <w:lang w:eastAsia="en-US"/>
        </w:rPr>
      </w:pPr>
      <w:r w:rsidRPr="00E164BE">
        <w:rPr>
          <w:rFonts w:ascii="Arial Narrow" w:eastAsiaTheme="minorHAnsi" w:hAnsi="Arial Narrow" w:cs="Times New Roman"/>
          <w:b/>
          <w:sz w:val="18"/>
          <w:szCs w:val="18"/>
          <w:lang w:eastAsia="en-US"/>
        </w:rPr>
        <w:t>Restriction Summary [new] / Treatment of Concept: [new]</w:t>
      </w:r>
    </w:p>
    <w:tbl>
      <w:tblPr>
        <w:tblStyle w:val="TableGrid"/>
        <w:tblW w:w="7745" w:type="dxa"/>
        <w:tblLayout w:type="fixed"/>
        <w:tblCellMar>
          <w:left w:w="85" w:type="dxa"/>
          <w:right w:w="85" w:type="dxa"/>
        </w:tblCellMar>
        <w:tblLook w:val="04A0" w:firstRow="1" w:lastRow="0" w:firstColumn="1" w:lastColumn="0" w:noHBand="0" w:noVBand="1"/>
        <w:tblCaption w:val="Table restriction"/>
      </w:tblPr>
      <w:tblGrid>
        <w:gridCol w:w="7745"/>
      </w:tblGrid>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Category / Program: </w:t>
            </w:r>
            <w:r w:rsidRPr="00762BC4">
              <w:rPr>
                <w:rFonts w:ascii="Arial Narrow" w:hAnsi="Arial Narrow"/>
                <w:sz w:val="18"/>
                <w:szCs w:val="18"/>
              </w:rPr>
              <w:t>General Schedule (Code GE)</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Prescriber type: </w:t>
            </w:r>
            <w:r w:rsidRPr="00762BC4">
              <w:rPr>
                <w:rFonts w:ascii="Arial Narrow" w:hAnsi="Arial Narrow"/>
                <w:sz w:val="18"/>
                <w:szCs w:val="18"/>
              </w:rPr>
              <w:fldChar w:fldCharType="begin">
                <w:ffData>
                  <w:name w:val="Check1"/>
                  <w:enabled/>
                  <w:calcOnExit w:val="0"/>
                  <w:checkBox>
                    <w:sizeAuto/>
                    <w:default w:val="1"/>
                  </w:checkBox>
                </w:ffData>
              </w:fldChar>
            </w:r>
            <w:r w:rsidRPr="00762BC4">
              <w:rPr>
                <w:rFonts w:ascii="Arial Narrow" w:hAnsi="Arial Narrow"/>
                <w:sz w:val="18"/>
                <w:szCs w:val="18"/>
              </w:rPr>
              <w:instrText xml:space="preserve"> FORMCHECKBOX </w:instrText>
            </w:r>
            <w:r w:rsidR="00340FCF">
              <w:rPr>
                <w:rFonts w:ascii="Arial Narrow" w:hAnsi="Arial Narrow"/>
                <w:sz w:val="18"/>
                <w:szCs w:val="18"/>
              </w:rPr>
            </w:r>
            <w:r w:rsidR="00340FCF">
              <w:rPr>
                <w:rFonts w:ascii="Arial Narrow" w:hAnsi="Arial Narrow"/>
                <w:sz w:val="18"/>
                <w:szCs w:val="18"/>
              </w:rPr>
              <w:fldChar w:fldCharType="separate"/>
            </w:r>
            <w:r w:rsidRPr="00762BC4">
              <w:rPr>
                <w:rFonts w:ascii="Arial Narrow" w:hAnsi="Arial Narrow"/>
                <w:sz w:val="18"/>
                <w:szCs w:val="18"/>
              </w:rPr>
              <w:fldChar w:fldCharType="end"/>
            </w:r>
            <w:r w:rsidRPr="00762BC4">
              <w:rPr>
                <w:rFonts w:ascii="Arial Narrow" w:hAnsi="Arial Narrow"/>
                <w:sz w:val="18"/>
                <w:szCs w:val="18"/>
              </w:rPr>
              <w:t xml:space="preserve">Medical Practitioners  </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Episodicity: </w:t>
            </w:r>
            <w:r w:rsidRPr="00762BC4">
              <w:rPr>
                <w:rFonts w:ascii="Arial Narrow" w:hAnsi="Arial Narrow"/>
                <w:sz w:val="18"/>
                <w:szCs w:val="18"/>
              </w:rPr>
              <w:t>N/A</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Severity: </w:t>
            </w:r>
            <w:r w:rsidRPr="00762BC4">
              <w:rPr>
                <w:rFonts w:ascii="Arial Narrow" w:hAnsi="Arial Narrow"/>
                <w:sz w:val="18"/>
                <w:szCs w:val="18"/>
              </w:rPr>
              <w:t>[blank]</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Condition: </w:t>
            </w:r>
            <w:r w:rsidRPr="00762BC4">
              <w:rPr>
                <w:rFonts w:ascii="Arial Narrow" w:hAnsi="Arial Narrow"/>
                <w:sz w:val="18"/>
                <w:szCs w:val="18"/>
              </w:rPr>
              <w:t>Pulmonary arterial hypertension (PAH)</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PBS Indication: </w:t>
            </w:r>
            <w:r w:rsidRPr="00762BC4">
              <w:rPr>
                <w:rFonts w:ascii="Arial Narrow" w:hAnsi="Arial Narrow"/>
                <w:sz w:val="18"/>
                <w:szCs w:val="18"/>
              </w:rPr>
              <w:t>Pulmonary arterial hypertension (PAH)</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Treatment phase: </w:t>
            </w:r>
            <w:r>
              <w:rPr>
                <w:rFonts w:ascii="Arial Narrow" w:hAnsi="Arial Narrow"/>
                <w:sz w:val="18"/>
                <w:szCs w:val="18"/>
              </w:rPr>
              <w:t xml:space="preserve"> Continuing treatment </w:t>
            </w:r>
          </w:p>
        </w:tc>
      </w:tr>
      <w:tr w:rsidR="009A20E7" w:rsidRPr="00762BC4" w:rsidTr="009A20E7">
        <w:trPr>
          <w:trHeight w:val="205"/>
        </w:trPr>
        <w:tc>
          <w:tcPr>
            <w:tcW w:w="7745" w:type="dxa"/>
          </w:tcPr>
          <w:p w:rsidR="009A20E7" w:rsidRPr="00762BC4" w:rsidRDefault="009A20E7" w:rsidP="003A47B7">
            <w:pPr>
              <w:rPr>
                <w:rFonts w:ascii="Arial Narrow" w:hAnsi="Arial Narrow"/>
                <w:b/>
                <w:sz w:val="18"/>
                <w:szCs w:val="18"/>
              </w:rPr>
            </w:pPr>
            <w:r w:rsidRPr="00762BC4">
              <w:rPr>
                <w:rFonts w:ascii="Arial Narrow" w:hAnsi="Arial Narrow"/>
                <w:b/>
                <w:sz w:val="18"/>
                <w:szCs w:val="18"/>
              </w:rPr>
              <w:t xml:space="preserve">Restriction type: </w:t>
            </w:r>
            <w:r w:rsidRPr="00762BC4">
              <w:rPr>
                <w:rFonts w:ascii="Arial Narrow" w:eastAsia="Calibri" w:hAnsi="Arial Narrow"/>
                <w:sz w:val="18"/>
                <w:szCs w:val="18"/>
                <w:lang w:eastAsia="en-US"/>
              </w:rPr>
              <w:fldChar w:fldCharType="begin">
                <w:ffData>
                  <w:name w:val=""/>
                  <w:enabled/>
                  <w:calcOnExit w:val="0"/>
                  <w:checkBox>
                    <w:sizeAuto/>
                    <w:default w:val="1"/>
                  </w:checkBox>
                </w:ffData>
              </w:fldChar>
            </w:r>
            <w:r w:rsidRPr="00762BC4">
              <w:rPr>
                <w:rFonts w:ascii="Arial Narrow" w:eastAsia="Calibri" w:hAnsi="Arial Narrow"/>
                <w:sz w:val="18"/>
                <w:szCs w:val="18"/>
                <w:lang w:eastAsia="en-US"/>
              </w:rPr>
              <w:instrText xml:space="preserve"> FORMCHECKBOX </w:instrText>
            </w:r>
            <w:r w:rsidR="00340FCF">
              <w:rPr>
                <w:rFonts w:ascii="Arial Narrow" w:eastAsia="Calibri" w:hAnsi="Arial Narrow"/>
                <w:sz w:val="18"/>
                <w:szCs w:val="18"/>
                <w:lang w:eastAsia="en-US"/>
              </w:rPr>
            </w:r>
            <w:r w:rsidR="00340FCF">
              <w:rPr>
                <w:rFonts w:ascii="Arial Narrow" w:eastAsia="Calibri" w:hAnsi="Arial Narrow"/>
                <w:sz w:val="18"/>
                <w:szCs w:val="18"/>
                <w:lang w:eastAsia="en-US"/>
              </w:rPr>
              <w:fldChar w:fldCharType="separate"/>
            </w:r>
            <w:r w:rsidRPr="00762BC4">
              <w:rPr>
                <w:rFonts w:ascii="Arial Narrow" w:eastAsia="Calibri" w:hAnsi="Arial Narrow"/>
                <w:sz w:val="18"/>
                <w:szCs w:val="18"/>
                <w:lang w:eastAsia="en-US"/>
              </w:rPr>
              <w:fldChar w:fldCharType="end"/>
            </w:r>
            <w:r w:rsidRPr="00762BC4">
              <w:rPr>
                <w:rFonts w:ascii="Arial Narrow" w:eastAsia="Calibri" w:hAnsi="Arial Narrow"/>
                <w:sz w:val="18"/>
                <w:szCs w:val="18"/>
                <w:lang w:eastAsia="en-US"/>
              </w:rPr>
              <w:t>Authority Required –</w:t>
            </w:r>
            <w:r w:rsidRPr="00F76BE3">
              <w:rPr>
                <w:rFonts w:ascii="Arial Narrow" w:eastAsia="Calibri" w:hAnsi="Arial Narrow"/>
                <w:sz w:val="18"/>
                <w:szCs w:val="18"/>
                <w:lang w:eastAsia="en-US"/>
              </w:rPr>
              <w:t>immediate/</w:t>
            </w:r>
            <w:r>
              <w:rPr>
                <w:rFonts w:ascii="Arial Narrow" w:eastAsia="Calibri" w:hAnsi="Arial Narrow"/>
                <w:sz w:val="18"/>
                <w:szCs w:val="18"/>
                <w:lang w:eastAsia="en-US"/>
              </w:rPr>
              <w:t xml:space="preserve">real-time </w:t>
            </w:r>
            <w:r w:rsidRPr="00F76BE3">
              <w:rPr>
                <w:rFonts w:ascii="Arial Narrow" w:eastAsia="Calibri" w:hAnsi="Arial Narrow"/>
                <w:sz w:val="18"/>
                <w:szCs w:val="18"/>
                <w:lang w:eastAsia="en-US"/>
              </w:rPr>
              <w:t xml:space="preserve">assessment by Services Australia </w:t>
            </w:r>
            <w:r>
              <w:rPr>
                <w:rFonts w:ascii="Arial Narrow" w:eastAsia="Calibri" w:hAnsi="Arial Narrow"/>
                <w:sz w:val="18"/>
                <w:szCs w:val="18"/>
                <w:lang w:eastAsia="en-US"/>
              </w:rPr>
              <w:t>(telephone/online</w:t>
            </w:r>
            <w:r w:rsidRPr="00F76BE3">
              <w:rPr>
                <w:rFonts w:ascii="Arial Narrow" w:eastAsia="Calibri" w:hAnsi="Arial Narrow"/>
                <w:sz w:val="18"/>
                <w:szCs w:val="18"/>
                <w:lang w:eastAsia="en-US"/>
              </w:rPr>
              <w:t>)</w:t>
            </w:r>
          </w:p>
        </w:tc>
      </w:tr>
      <w:tr w:rsidR="009A20E7" w:rsidRPr="00762BC4" w:rsidTr="009A20E7">
        <w:tc>
          <w:tcPr>
            <w:tcW w:w="7745" w:type="dxa"/>
          </w:tcPr>
          <w:p w:rsidR="009A20E7" w:rsidRPr="00762BC4" w:rsidRDefault="009A20E7" w:rsidP="003A47B7">
            <w:pPr>
              <w:rPr>
                <w:rFonts w:ascii="Arial Narrow" w:hAnsi="Arial Narrow"/>
                <w:b/>
                <w:sz w:val="18"/>
                <w:szCs w:val="18"/>
              </w:rPr>
            </w:pPr>
            <w:r w:rsidRPr="00762BC4">
              <w:rPr>
                <w:rFonts w:ascii="Arial Narrow" w:hAnsi="Arial Narrow"/>
                <w:b/>
                <w:sz w:val="18"/>
                <w:szCs w:val="18"/>
              </w:rPr>
              <w:t>Clinical criteria:</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sz w:val="18"/>
                <w:szCs w:val="18"/>
              </w:rPr>
              <w:t>Patient must have been assessed by a physician with expertise in the management of PAH</w:t>
            </w:r>
          </w:p>
        </w:tc>
      </w:tr>
      <w:tr w:rsidR="009A20E7" w:rsidRPr="00762BC4" w:rsidTr="009A20E7">
        <w:tc>
          <w:tcPr>
            <w:tcW w:w="7745" w:type="dxa"/>
          </w:tcPr>
          <w:p w:rsidR="009A20E7" w:rsidRPr="00762BC4" w:rsidRDefault="009A20E7" w:rsidP="003A47B7">
            <w:pPr>
              <w:rPr>
                <w:rFonts w:ascii="Arial Narrow" w:hAnsi="Arial Narrow"/>
                <w:b/>
                <w:sz w:val="18"/>
                <w:szCs w:val="18"/>
              </w:rPr>
            </w:pPr>
            <w:r w:rsidRPr="00762BC4">
              <w:rPr>
                <w:rFonts w:ascii="Arial Narrow" w:hAnsi="Arial Narrow"/>
                <w:b/>
                <w:sz w:val="18"/>
                <w:szCs w:val="18"/>
              </w:rPr>
              <w:t>AND</w:t>
            </w:r>
          </w:p>
        </w:tc>
      </w:tr>
      <w:tr w:rsidR="009A20E7" w:rsidRPr="00762BC4" w:rsidTr="009A20E7">
        <w:tc>
          <w:tcPr>
            <w:tcW w:w="7745" w:type="dxa"/>
          </w:tcPr>
          <w:p w:rsidR="009A20E7" w:rsidRPr="00762BC4" w:rsidRDefault="009A20E7" w:rsidP="003A47B7">
            <w:pPr>
              <w:rPr>
                <w:rFonts w:ascii="Arial Narrow" w:hAnsi="Arial Narrow"/>
                <w:b/>
                <w:sz w:val="18"/>
                <w:szCs w:val="18"/>
              </w:rPr>
            </w:pPr>
            <w:r>
              <w:rPr>
                <w:rFonts w:ascii="Arial Narrow" w:hAnsi="Arial Narrow"/>
                <w:b/>
                <w:sz w:val="18"/>
                <w:szCs w:val="18"/>
              </w:rPr>
              <w:t>Clinical criteria:</w:t>
            </w:r>
          </w:p>
        </w:tc>
      </w:tr>
      <w:tr w:rsidR="009A20E7" w:rsidRPr="00762BC4" w:rsidTr="009A20E7">
        <w:tc>
          <w:tcPr>
            <w:tcW w:w="7745" w:type="dxa"/>
          </w:tcPr>
          <w:p w:rsidR="009A20E7" w:rsidRPr="000863F4" w:rsidRDefault="009A20E7" w:rsidP="003A47B7">
            <w:pPr>
              <w:rPr>
                <w:rFonts w:ascii="Arial Narrow" w:hAnsi="Arial Narrow"/>
                <w:sz w:val="18"/>
                <w:szCs w:val="18"/>
              </w:rPr>
            </w:pPr>
            <w:r w:rsidRPr="000863F4">
              <w:rPr>
                <w:rFonts w:ascii="Arial Narrow" w:hAnsi="Arial Narrow"/>
                <w:sz w:val="18"/>
                <w:szCs w:val="18"/>
              </w:rPr>
              <w:t>Patient must have received PBS-subsidised treatment with this drug for</w:t>
            </w:r>
            <w:r>
              <w:rPr>
                <w:rFonts w:ascii="Arial Narrow" w:hAnsi="Arial Narrow"/>
                <w:sz w:val="18"/>
                <w:szCs w:val="18"/>
              </w:rPr>
              <w:t xml:space="preserve"> this condition</w:t>
            </w:r>
          </w:p>
        </w:tc>
      </w:tr>
      <w:tr w:rsidR="009A20E7" w:rsidRPr="00762BC4" w:rsidTr="009A20E7">
        <w:tc>
          <w:tcPr>
            <w:tcW w:w="7745" w:type="dxa"/>
          </w:tcPr>
          <w:p w:rsidR="009A20E7" w:rsidRPr="00762BC4" w:rsidRDefault="009A20E7" w:rsidP="003A47B7">
            <w:pPr>
              <w:rPr>
                <w:rFonts w:ascii="Arial Narrow" w:hAnsi="Arial Narrow"/>
                <w:b/>
                <w:sz w:val="18"/>
                <w:szCs w:val="18"/>
              </w:rPr>
            </w:pPr>
            <w:r>
              <w:rPr>
                <w:rFonts w:ascii="Arial Narrow" w:hAnsi="Arial Narrow"/>
                <w:b/>
                <w:sz w:val="18"/>
                <w:szCs w:val="18"/>
              </w:rPr>
              <w:t>AND</w:t>
            </w:r>
          </w:p>
        </w:tc>
      </w:tr>
      <w:tr w:rsidR="009A20E7" w:rsidRPr="00762BC4" w:rsidTr="009A20E7">
        <w:tc>
          <w:tcPr>
            <w:tcW w:w="7745" w:type="dxa"/>
          </w:tcPr>
          <w:p w:rsidR="009A20E7" w:rsidRDefault="009A20E7" w:rsidP="003A47B7">
            <w:pPr>
              <w:rPr>
                <w:rFonts w:ascii="Arial Narrow" w:hAnsi="Arial Narrow"/>
                <w:b/>
                <w:sz w:val="18"/>
                <w:szCs w:val="18"/>
              </w:rPr>
            </w:pPr>
            <w:r>
              <w:rPr>
                <w:rFonts w:ascii="Arial Narrow" w:hAnsi="Arial Narrow"/>
                <w:b/>
                <w:sz w:val="18"/>
                <w:szCs w:val="18"/>
              </w:rPr>
              <w:t>Clinical criteria:</w:t>
            </w:r>
          </w:p>
        </w:tc>
      </w:tr>
      <w:tr w:rsidR="009A20E7" w:rsidRPr="00762BC4" w:rsidTr="009A20E7">
        <w:tc>
          <w:tcPr>
            <w:tcW w:w="7745" w:type="dxa"/>
          </w:tcPr>
          <w:p w:rsidR="009A20E7" w:rsidRPr="00E80AFA" w:rsidRDefault="009A20E7" w:rsidP="003A47B7">
            <w:pPr>
              <w:rPr>
                <w:rFonts w:ascii="Arial Narrow" w:hAnsi="Arial Narrow"/>
                <w:sz w:val="18"/>
                <w:szCs w:val="18"/>
              </w:rPr>
            </w:pPr>
            <w:r w:rsidRPr="00E80AFA">
              <w:rPr>
                <w:rFonts w:ascii="Arial Narrow" w:hAnsi="Arial Narrow"/>
                <w:sz w:val="18"/>
                <w:szCs w:val="18"/>
              </w:rPr>
              <w:t>Patient must not have developed disease progression while receiving PBS-subsidised treatment wi</w:t>
            </w:r>
            <w:r>
              <w:rPr>
                <w:rFonts w:ascii="Arial Narrow" w:hAnsi="Arial Narrow"/>
                <w:sz w:val="18"/>
                <w:szCs w:val="18"/>
              </w:rPr>
              <w:t>th this drug for this condition</w:t>
            </w:r>
          </w:p>
        </w:tc>
      </w:tr>
      <w:tr w:rsidR="009A20E7" w:rsidRPr="00762BC4" w:rsidTr="009A20E7">
        <w:tc>
          <w:tcPr>
            <w:tcW w:w="7745" w:type="dxa"/>
          </w:tcPr>
          <w:p w:rsidR="009A20E7" w:rsidRDefault="009A20E7" w:rsidP="003A47B7">
            <w:pPr>
              <w:rPr>
                <w:rFonts w:ascii="Arial Narrow" w:hAnsi="Arial Narrow"/>
                <w:b/>
                <w:sz w:val="18"/>
                <w:szCs w:val="18"/>
              </w:rPr>
            </w:pPr>
            <w:r>
              <w:rPr>
                <w:rFonts w:ascii="Arial Narrow" w:hAnsi="Arial Narrow"/>
                <w:b/>
                <w:sz w:val="18"/>
                <w:szCs w:val="18"/>
              </w:rPr>
              <w:lastRenderedPageBreak/>
              <w:t>AND</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Clinical criteria:</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sz w:val="18"/>
                <w:szCs w:val="18"/>
              </w:rPr>
              <w:t>The treatment must form part of triple combination therapy with a PBS-subsidised phosphodiesterase-5 inhibitor (PDE-5i) together with a PBS-subsidised endothelin receptor antagonist (ERA); or</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sz w:val="18"/>
                <w:szCs w:val="18"/>
              </w:rPr>
              <w:t xml:space="preserve">The treatment must form part of dual combination therapy with one of the above mentioned drug classes, but only  when triple combination therapy is not possible due to at least one of the following being present: (i) a contraindication according to the TGA approved Product Information, (ii) an intolerance requiring permanent treatment cessation  </w:t>
            </w:r>
          </w:p>
        </w:tc>
      </w:tr>
      <w:tr w:rsidR="009A20E7" w:rsidRPr="00762BC4" w:rsidTr="009A20E7">
        <w:tc>
          <w:tcPr>
            <w:tcW w:w="7745" w:type="dxa"/>
          </w:tcPr>
          <w:p w:rsidR="009A20E7" w:rsidRPr="00F76BE3" w:rsidRDefault="009A20E7" w:rsidP="003A47B7">
            <w:pPr>
              <w:rPr>
                <w:rFonts w:ascii="Arial Narrow" w:hAnsi="Arial Narrow"/>
                <w:b/>
                <w:sz w:val="18"/>
                <w:szCs w:val="18"/>
              </w:rPr>
            </w:pPr>
            <w:r w:rsidRPr="00F76BE3">
              <w:rPr>
                <w:rFonts w:ascii="Arial Narrow" w:hAnsi="Arial Narrow"/>
                <w:b/>
                <w:sz w:val="18"/>
                <w:szCs w:val="18"/>
              </w:rPr>
              <w:t>AND</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Clinical criteria:</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sz w:val="18"/>
                <w:szCs w:val="18"/>
              </w:rPr>
              <w:t>The treatment must not be as monotherapy</w:t>
            </w:r>
          </w:p>
        </w:tc>
      </w:tr>
      <w:tr w:rsidR="009A20E7" w:rsidRPr="00762BC4" w:rsidTr="009A20E7">
        <w:tc>
          <w:tcPr>
            <w:tcW w:w="7745" w:type="dxa"/>
          </w:tcPr>
          <w:p w:rsidR="009A20E7" w:rsidRPr="00C94057" w:rsidRDefault="009A20E7" w:rsidP="003A47B7">
            <w:pPr>
              <w:rPr>
                <w:rFonts w:ascii="Arial Narrow" w:hAnsi="Arial Narrow"/>
                <w:b/>
                <w:sz w:val="18"/>
                <w:szCs w:val="18"/>
              </w:rPr>
            </w:pPr>
            <w:r w:rsidRPr="00C94057">
              <w:rPr>
                <w:rFonts w:ascii="Arial Narrow" w:hAnsi="Arial Narrow"/>
                <w:b/>
                <w:sz w:val="18"/>
                <w:szCs w:val="18"/>
              </w:rPr>
              <w:t>Prescriber instructions:</w:t>
            </w:r>
          </w:p>
          <w:p w:rsidR="009A20E7" w:rsidRDefault="009A20E7" w:rsidP="003A47B7">
            <w:pPr>
              <w:rPr>
                <w:rFonts w:ascii="Arial Narrow" w:hAnsi="Arial Narrow"/>
                <w:sz w:val="18"/>
                <w:szCs w:val="18"/>
              </w:rPr>
            </w:pPr>
            <w:r>
              <w:rPr>
                <w:rFonts w:ascii="Arial Narrow" w:hAnsi="Arial Narrow"/>
                <w:sz w:val="18"/>
                <w:szCs w:val="18"/>
              </w:rPr>
              <w:t>For the purposes of administering this restriction, disease progression has developed if at least one of the following has occurred:</w:t>
            </w:r>
          </w:p>
          <w:p w:rsidR="009A20E7" w:rsidRPr="00EE351B" w:rsidRDefault="009A20E7" w:rsidP="003A47B7">
            <w:pPr>
              <w:rPr>
                <w:rFonts w:ascii="Arial Narrow" w:hAnsi="Arial Narrow"/>
                <w:sz w:val="18"/>
                <w:szCs w:val="18"/>
              </w:rPr>
            </w:pPr>
            <w:r>
              <w:rPr>
                <w:rFonts w:ascii="Arial Narrow" w:hAnsi="Arial Narrow"/>
                <w:sz w:val="18"/>
                <w:szCs w:val="18"/>
              </w:rPr>
              <w:t xml:space="preserve">(i) </w:t>
            </w:r>
            <w:r w:rsidRPr="00EE351B">
              <w:rPr>
                <w:rFonts w:ascii="Arial Narrow" w:hAnsi="Arial Narrow"/>
                <w:sz w:val="18"/>
                <w:szCs w:val="18"/>
              </w:rPr>
              <w:t xml:space="preserve">Hospitalisation </w:t>
            </w:r>
            <w:r>
              <w:rPr>
                <w:rFonts w:ascii="Arial Narrow" w:hAnsi="Arial Narrow"/>
                <w:sz w:val="18"/>
                <w:szCs w:val="18"/>
              </w:rPr>
              <w:t>due to worsening PAH;</w:t>
            </w:r>
          </w:p>
          <w:p w:rsidR="009A20E7" w:rsidRPr="00EE351B" w:rsidRDefault="009A20E7" w:rsidP="003A47B7">
            <w:pPr>
              <w:rPr>
                <w:rFonts w:ascii="Arial Narrow" w:hAnsi="Arial Narrow"/>
                <w:sz w:val="18"/>
                <w:szCs w:val="18"/>
              </w:rPr>
            </w:pPr>
            <w:r>
              <w:rPr>
                <w:rFonts w:ascii="Arial Narrow" w:hAnsi="Arial Narrow"/>
                <w:sz w:val="18"/>
                <w:szCs w:val="18"/>
              </w:rPr>
              <w:t>(ii) If measured, deterioration of aerobic capacity/endurance (a</w:t>
            </w:r>
            <w:r w:rsidRPr="00EE351B">
              <w:rPr>
                <w:rFonts w:ascii="Arial Narrow" w:hAnsi="Arial Narrow"/>
                <w:sz w:val="18"/>
                <w:szCs w:val="18"/>
              </w:rPr>
              <w:t xml:space="preserve"> 15% decrease </w:t>
            </w:r>
            <w:r>
              <w:rPr>
                <w:rFonts w:ascii="Arial Narrow" w:hAnsi="Arial Narrow"/>
                <w:sz w:val="18"/>
                <w:szCs w:val="18"/>
              </w:rPr>
              <w:t xml:space="preserve">or more </w:t>
            </w:r>
            <w:r w:rsidRPr="00EE351B">
              <w:rPr>
                <w:rFonts w:ascii="Arial Narrow" w:hAnsi="Arial Narrow"/>
                <w:sz w:val="18"/>
                <w:szCs w:val="18"/>
              </w:rPr>
              <w:t>in 6-Minute Walk Distance (6MWD) from baseline</w:t>
            </w:r>
            <w:r>
              <w:rPr>
                <w:rFonts w:ascii="Arial Narrow" w:hAnsi="Arial Narrow"/>
                <w:sz w:val="18"/>
                <w:szCs w:val="18"/>
              </w:rPr>
              <w:t>),</w:t>
            </w:r>
            <w:r w:rsidRPr="00EE351B">
              <w:rPr>
                <w:rFonts w:ascii="Arial Narrow" w:hAnsi="Arial Narrow"/>
                <w:sz w:val="18"/>
                <w:szCs w:val="18"/>
              </w:rPr>
              <w:t xml:space="preserve"> plus worsening of WHO </w:t>
            </w:r>
            <w:r>
              <w:rPr>
                <w:rFonts w:ascii="Arial Narrow" w:hAnsi="Arial Narrow"/>
                <w:sz w:val="18"/>
                <w:szCs w:val="18"/>
              </w:rPr>
              <w:t>functional class status</w:t>
            </w:r>
            <w:r w:rsidRPr="00EE351B">
              <w:rPr>
                <w:rFonts w:ascii="Arial Narrow" w:hAnsi="Arial Narrow"/>
                <w:sz w:val="18"/>
                <w:szCs w:val="18"/>
              </w:rPr>
              <w:t xml:space="preserve"> or need for </w:t>
            </w:r>
            <w:r>
              <w:rPr>
                <w:rFonts w:ascii="Arial Narrow" w:hAnsi="Arial Narrow"/>
                <w:sz w:val="18"/>
                <w:szCs w:val="18"/>
              </w:rPr>
              <w:t>additional PAH-specific therapy;</w:t>
            </w:r>
          </w:p>
          <w:p w:rsidR="009A20E7" w:rsidRPr="00EE351B" w:rsidRDefault="009A20E7" w:rsidP="003A47B7">
            <w:pPr>
              <w:rPr>
                <w:rFonts w:ascii="Arial Narrow" w:hAnsi="Arial Narrow"/>
                <w:sz w:val="18"/>
                <w:szCs w:val="18"/>
              </w:rPr>
            </w:pPr>
            <w:r>
              <w:rPr>
                <w:rFonts w:ascii="Arial Narrow" w:hAnsi="Arial Narrow"/>
                <w:sz w:val="18"/>
                <w:szCs w:val="18"/>
              </w:rPr>
              <w:t xml:space="preserve">(iii) </w:t>
            </w:r>
            <w:r w:rsidRPr="00EE351B">
              <w:rPr>
                <w:rFonts w:ascii="Arial Narrow" w:hAnsi="Arial Narrow"/>
                <w:sz w:val="18"/>
                <w:szCs w:val="18"/>
              </w:rPr>
              <w:t>Initiation of parenteral prostanoid therapy or long-term oxygen therapy for worsening of PAH</w:t>
            </w:r>
            <w:r>
              <w:rPr>
                <w:rFonts w:ascii="Arial Narrow" w:hAnsi="Arial Narrow"/>
                <w:sz w:val="18"/>
                <w:szCs w:val="18"/>
              </w:rPr>
              <w:t>;</w:t>
            </w:r>
          </w:p>
          <w:p w:rsidR="009A20E7" w:rsidRPr="00762BC4" w:rsidRDefault="009A20E7" w:rsidP="003A47B7">
            <w:pPr>
              <w:rPr>
                <w:rFonts w:ascii="Arial Narrow" w:hAnsi="Arial Narrow"/>
                <w:sz w:val="18"/>
                <w:szCs w:val="18"/>
              </w:rPr>
            </w:pPr>
            <w:r>
              <w:rPr>
                <w:rFonts w:ascii="Arial Narrow" w:hAnsi="Arial Narrow"/>
                <w:sz w:val="18"/>
                <w:szCs w:val="18"/>
              </w:rPr>
              <w:t xml:space="preserve">(iv) </w:t>
            </w:r>
            <w:r w:rsidRPr="00EE351B">
              <w:rPr>
                <w:rFonts w:ascii="Arial Narrow" w:hAnsi="Arial Narrow"/>
                <w:sz w:val="18"/>
                <w:szCs w:val="18"/>
              </w:rPr>
              <w:t xml:space="preserve">Need for lung transplantation or balloon atrial </w:t>
            </w:r>
            <w:r>
              <w:rPr>
                <w:rFonts w:ascii="Arial Narrow" w:hAnsi="Arial Narrow"/>
                <w:sz w:val="18"/>
                <w:szCs w:val="18"/>
              </w:rPr>
              <w:t>septostomy for worsening of PAH;</w:t>
            </w:r>
          </w:p>
        </w:tc>
      </w:tr>
      <w:tr w:rsidR="009A20E7" w:rsidRPr="00762BC4" w:rsidTr="009A20E7">
        <w:tc>
          <w:tcPr>
            <w:tcW w:w="7745" w:type="dxa"/>
          </w:tcPr>
          <w:p w:rsidR="009A20E7" w:rsidRPr="00762BC4" w:rsidRDefault="009A20E7" w:rsidP="003A47B7">
            <w:pPr>
              <w:rPr>
                <w:rFonts w:ascii="Arial Narrow" w:hAnsi="Arial Narrow"/>
                <w:b/>
                <w:sz w:val="18"/>
                <w:szCs w:val="18"/>
              </w:rPr>
            </w:pPr>
            <w:r w:rsidRPr="00762BC4">
              <w:rPr>
                <w:rFonts w:ascii="Arial Narrow" w:hAnsi="Arial Narrow"/>
                <w:b/>
                <w:sz w:val="18"/>
                <w:szCs w:val="18"/>
              </w:rPr>
              <w:t>Administration Advice:</w:t>
            </w:r>
          </w:p>
          <w:p w:rsidR="009A20E7" w:rsidRPr="00762BC4" w:rsidRDefault="009A20E7" w:rsidP="003A47B7">
            <w:pPr>
              <w:rPr>
                <w:rFonts w:ascii="Arial Narrow" w:hAnsi="Arial Narrow"/>
                <w:sz w:val="18"/>
                <w:szCs w:val="18"/>
              </w:rPr>
            </w:pPr>
            <w:r w:rsidRPr="000863F4">
              <w:rPr>
                <w:rFonts w:ascii="Arial Narrow" w:hAnsi="Arial Narrow"/>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EST Monday to Friday).</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Special Pricing Arrangements apply</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No increase in the maximum quantity or number of units may be authorised.</w:t>
            </w:r>
          </w:p>
        </w:tc>
      </w:tr>
      <w:tr w:rsidR="009A20E7" w:rsidRPr="00762BC4" w:rsidTr="009A20E7">
        <w:tc>
          <w:tcPr>
            <w:tcW w:w="7745" w:type="dxa"/>
          </w:tcPr>
          <w:p w:rsidR="009A20E7" w:rsidRPr="00762BC4" w:rsidRDefault="009A20E7" w:rsidP="003A47B7">
            <w:pPr>
              <w:rPr>
                <w:rFonts w:ascii="Arial Narrow" w:hAnsi="Arial Narrow"/>
                <w:sz w:val="18"/>
                <w:szCs w:val="18"/>
              </w:rPr>
            </w:pPr>
            <w:r w:rsidRPr="00762BC4">
              <w:rPr>
                <w:rFonts w:ascii="Arial Narrow" w:hAnsi="Arial Narrow"/>
                <w:b/>
                <w:sz w:val="18"/>
                <w:szCs w:val="18"/>
              </w:rPr>
              <w:t xml:space="preserve">Administrative Advice: </w:t>
            </w:r>
            <w:r w:rsidRPr="00762BC4">
              <w:rPr>
                <w:rFonts w:ascii="Arial Narrow" w:hAnsi="Arial Narrow"/>
                <w:sz w:val="18"/>
                <w:szCs w:val="18"/>
              </w:rPr>
              <w:t>No increase in the maximum number of repeats may be authorised.</w:t>
            </w:r>
          </w:p>
        </w:tc>
      </w:tr>
    </w:tbl>
    <w:p w:rsidR="003E0345" w:rsidRDefault="003E0345" w:rsidP="001745A9">
      <w:pPr>
        <w:rPr>
          <w:color w:val="FF00FF"/>
          <w:sz w:val="18"/>
          <w:szCs w:val="18"/>
        </w:rPr>
      </w:pPr>
    </w:p>
    <w:p w:rsidR="003E0345" w:rsidRDefault="003E0345" w:rsidP="001745A9">
      <w:pPr>
        <w:rPr>
          <w:color w:val="FF00FF"/>
          <w:sz w:val="18"/>
          <w:szCs w:val="18"/>
        </w:rPr>
      </w:pPr>
    </w:p>
    <w:p w:rsidR="001745A9" w:rsidRPr="00743358" w:rsidRDefault="001745A9" w:rsidP="001745A9">
      <w:r w:rsidRPr="00743358">
        <w:t xml:space="preserve">Flow-on changes to endothelin receptor antagonists and phosphodiesterase-5 inhibitors to </w:t>
      </w:r>
      <w:r>
        <w:t>permit</w:t>
      </w:r>
      <w:r w:rsidRPr="00743358">
        <w:t xml:space="preserve"> use in triple-therapy combination treatment:</w:t>
      </w:r>
    </w:p>
    <w:p w:rsidR="001745A9" w:rsidRPr="00743358" w:rsidRDefault="001745A9" w:rsidP="001745A9">
      <w:pPr>
        <w:rPr>
          <w:i/>
        </w:rPr>
      </w:pPr>
      <w:r w:rsidRPr="00743358">
        <w:rPr>
          <w:i/>
        </w:rPr>
        <w:t>To be finalised</w:t>
      </w:r>
    </w:p>
    <w:p w:rsidR="00FF269A" w:rsidRDefault="00FF269A" w:rsidP="00FF269A">
      <w:pPr>
        <w:rPr>
          <w:highlight w:val="yellow"/>
        </w:rPr>
      </w:pPr>
    </w:p>
    <w:p w:rsidR="00856390" w:rsidRDefault="00856390" w:rsidP="00FF269A">
      <w:pPr>
        <w:rPr>
          <w:rFonts w:asciiTheme="minorHAnsi" w:hAnsiTheme="minorHAnsi" w:cstheme="minorHAnsi"/>
          <w:b/>
          <w:i/>
          <w:szCs w:val="22"/>
        </w:rPr>
      </w:pPr>
      <w:r w:rsidRPr="00856390">
        <w:rPr>
          <w:rFonts w:asciiTheme="minorHAnsi" w:hAnsiTheme="minorHAnsi" w:cstheme="minorHAnsi"/>
          <w:b/>
          <w:i/>
          <w:szCs w:val="22"/>
        </w:rPr>
        <w:t>This restriction may be subject to further review. Should there be any changes made to the restriction the Sponsor will be informed.</w:t>
      </w:r>
    </w:p>
    <w:p w:rsidR="009A20E7" w:rsidRDefault="009A20E7" w:rsidP="00FF269A">
      <w:pPr>
        <w:rPr>
          <w:rFonts w:asciiTheme="minorHAnsi" w:hAnsiTheme="minorHAnsi" w:cstheme="minorHAnsi"/>
          <w:b/>
          <w:i/>
          <w:szCs w:val="22"/>
        </w:rPr>
      </w:pPr>
    </w:p>
    <w:p w:rsidR="009A20E7" w:rsidRDefault="009A20E7" w:rsidP="009A20E7">
      <w:pPr>
        <w:pStyle w:val="2Sections"/>
        <w:numPr>
          <w:ilvl w:val="0"/>
          <w:numId w:val="1"/>
        </w:numPr>
        <w:rPr>
          <w:color w:val="1F497D"/>
        </w:rPr>
      </w:pPr>
      <w:r w:rsidRPr="00C07617">
        <w:t>Context for Decision</w:t>
      </w:r>
    </w:p>
    <w:p w:rsidR="009A20E7" w:rsidRDefault="009A20E7" w:rsidP="009A20E7">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bCs/>
          <w:lang w:val="en-GB"/>
        </w:rPr>
        <w:t>medicines</w:t>
      </w:r>
      <w:r w:rsidRPr="007129F2">
        <w:rPr>
          <w:rFonts w:asciiTheme="minorHAnsi" w:hAnsiTheme="minorHAnsi"/>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A20E7" w:rsidRPr="007129F2" w:rsidRDefault="009A20E7" w:rsidP="009A20E7">
      <w:pPr>
        <w:rPr>
          <w:rFonts w:asciiTheme="minorHAnsi" w:hAnsiTheme="minorHAnsi"/>
          <w:bCs/>
          <w:lang w:val="en-GB"/>
        </w:rPr>
      </w:pPr>
    </w:p>
    <w:p w:rsidR="009A20E7" w:rsidRPr="00C07617" w:rsidRDefault="009A20E7" w:rsidP="009A20E7">
      <w:pPr>
        <w:pStyle w:val="2Sections"/>
        <w:numPr>
          <w:ilvl w:val="0"/>
          <w:numId w:val="1"/>
        </w:numPr>
        <w:rPr>
          <w:b w:val="0"/>
        </w:rPr>
      </w:pPr>
      <w:r>
        <w:t>Sponsor’s Comment</w:t>
      </w:r>
    </w:p>
    <w:p w:rsidR="009A20E7" w:rsidRDefault="009A20E7" w:rsidP="00A6055A">
      <w:pPr>
        <w:spacing w:after="120"/>
        <w:rPr>
          <w:rFonts w:asciiTheme="minorHAnsi" w:hAnsiTheme="minorHAnsi"/>
          <w:bCs/>
        </w:rPr>
      </w:pPr>
      <w:r w:rsidRPr="00C07617">
        <w:rPr>
          <w:rFonts w:asciiTheme="minorHAnsi" w:hAnsiTheme="minorHAnsi"/>
          <w:bCs/>
        </w:rPr>
        <w:t>The sponsor had no comment.</w:t>
      </w:r>
    </w:p>
    <w:p w:rsidR="00A145C5" w:rsidRDefault="00A145C5" w:rsidP="00A6055A">
      <w:pPr>
        <w:spacing w:after="120"/>
        <w:rPr>
          <w:rFonts w:asciiTheme="minorHAnsi" w:hAnsiTheme="minorHAnsi"/>
          <w:bCs/>
        </w:rPr>
      </w:pPr>
    </w:p>
    <w:p w:rsidR="00A145C5" w:rsidRDefault="00A145C5" w:rsidP="00A6055A">
      <w:pPr>
        <w:spacing w:after="120"/>
        <w:rPr>
          <w:rFonts w:asciiTheme="minorHAnsi" w:hAnsiTheme="minorHAnsi"/>
          <w:bCs/>
        </w:rPr>
      </w:pPr>
    </w:p>
    <w:p w:rsidR="00A145C5" w:rsidRPr="00A145C5" w:rsidRDefault="00A145C5" w:rsidP="00A145C5">
      <w:pPr>
        <w:keepNext/>
        <w:spacing w:before="120" w:after="120"/>
        <w:ind w:left="720" w:hanging="720"/>
        <w:jc w:val="left"/>
        <w:outlineLvl w:val="0"/>
        <w:rPr>
          <w:b/>
          <w:snapToGrid w:val="0"/>
          <w:color w:val="FF0000"/>
          <w:sz w:val="28"/>
          <w:szCs w:val="22"/>
          <w:lang w:eastAsia="en-US"/>
        </w:rPr>
      </w:pPr>
      <w:r>
        <w:rPr>
          <w:b/>
          <w:snapToGrid w:val="0"/>
          <w:color w:val="FF0000"/>
          <w:sz w:val="28"/>
          <w:szCs w:val="22"/>
          <w:lang w:eastAsia="en-US"/>
        </w:rPr>
        <w:lastRenderedPageBreak/>
        <w:t>Addendum to the July</w:t>
      </w:r>
      <w:r w:rsidRPr="00A145C5">
        <w:rPr>
          <w:b/>
          <w:snapToGrid w:val="0"/>
          <w:color w:val="FF0000"/>
          <w:sz w:val="28"/>
          <w:szCs w:val="22"/>
          <w:lang w:eastAsia="en-US"/>
        </w:rPr>
        <w:t xml:space="preserve"> 2020 PBAC Minutes:</w:t>
      </w:r>
    </w:p>
    <w:p w:rsidR="00A145C5" w:rsidRDefault="00A145C5" w:rsidP="00A145C5">
      <w:pPr>
        <w:rPr>
          <w:rFonts w:asciiTheme="minorHAnsi" w:hAnsiTheme="minorHAnsi" w:cstheme="minorHAnsi"/>
          <w:b/>
          <w:i/>
          <w:szCs w:val="22"/>
        </w:rPr>
      </w:pPr>
    </w:p>
    <w:p w:rsidR="00A145C5" w:rsidRPr="00725B7E" w:rsidRDefault="00A145C5" w:rsidP="00A145C5">
      <w:pPr>
        <w:keepNext/>
        <w:ind w:left="720" w:hanging="720"/>
        <w:jc w:val="left"/>
        <w:outlineLvl w:val="0"/>
        <w:rPr>
          <w:rFonts w:asciiTheme="minorHAnsi" w:eastAsiaTheme="majorEastAsia" w:hAnsiTheme="minorHAnsi" w:cstheme="majorBidi"/>
          <w:b/>
          <w:spacing w:val="5"/>
          <w:kern w:val="28"/>
          <w:sz w:val="36"/>
          <w:szCs w:val="36"/>
        </w:rPr>
      </w:pPr>
      <w:r w:rsidRPr="00725B7E">
        <w:rPr>
          <w:rFonts w:asciiTheme="minorHAnsi" w:eastAsiaTheme="majorEastAsia" w:hAnsiTheme="minorHAnsi" w:cstheme="majorBidi"/>
          <w:b/>
          <w:spacing w:val="5"/>
          <w:kern w:val="28"/>
          <w:sz w:val="36"/>
          <w:szCs w:val="36"/>
        </w:rPr>
        <w:t>4.02 SELEXIPAG,</w:t>
      </w:r>
      <w:r w:rsidRPr="00725B7E">
        <w:rPr>
          <w:rFonts w:asciiTheme="minorHAnsi" w:eastAsiaTheme="majorEastAsia" w:hAnsiTheme="minorHAnsi" w:cstheme="majorBidi"/>
          <w:b/>
          <w:spacing w:val="5"/>
          <w:kern w:val="28"/>
          <w:sz w:val="36"/>
          <w:szCs w:val="36"/>
        </w:rPr>
        <w:br/>
        <w:t>Tablets, 200, 400, 600, 800, 1000, 1200, 1400, 1600 microgram,</w:t>
      </w:r>
    </w:p>
    <w:p w:rsidR="00A145C5" w:rsidRPr="00725B7E" w:rsidRDefault="00A145C5" w:rsidP="00A145C5">
      <w:pPr>
        <w:keepNext/>
        <w:ind w:left="720"/>
        <w:jc w:val="left"/>
        <w:outlineLvl w:val="0"/>
        <w:rPr>
          <w:rFonts w:asciiTheme="minorHAnsi" w:eastAsiaTheme="majorEastAsia" w:hAnsiTheme="minorHAnsi" w:cstheme="majorBidi"/>
          <w:b/>
          <w:spacing w:val="5"/>
          <w:kern w:val="28"/>
          <w:sz w:val="36"/>
          <w:szCs w:val="36"/>
        </w:rPr>
      </w:pPr>
      <w:r w:rsidRPr="00725B7E">
        <w:rPr>
          <w:rFonts w:asciiTheme="minorHAnsi" w:eastAsiaTheme="majorEastAsia" w:hAnsiTheme="minorHAnsi" w:cstheme="majorBidi"/>
          <w:b/>
          <w:spacing w:val="5"/>
          <w:kern w:val="28"/>
          <w:sz w:val="36"/>
          <w:szCs w:val="36"/>
        </w:rPr>
        <w:t>Uptravi</w:t>
      </w:r>
      <w:r w:rsidRPr="00725B7E">
        <w:rPr>
          <w:rFonts w:asciiTheme="minorHAnsi" w:eastAsiaTheme="majorEastAsia" w:hAnsiTheme="minorHAnsi" w:cstheme="majorBidi"/>
          <w:b/>
          <w:spacing w:val="5"/>
          <w:kern w:val="28"/>
          <w:sz w:val="36"/>
          <w:szCs w:val="36"/>
          <w:vertAlign w:val="superscript"/>
        </w:rPr>
        <w:t>®</w:t>
      </w:r>
      <w:r w:rsidRPr="00725B7E">
        <w:rPr>
          <w:rFonts w:asciiTheme="minorHAnsi" w:eastAsiaTheme="majorEastAsia" w:hAnsiTheme="minorHAnsi" w:cstheme="majorBidi"/>
          <w:b/>
          <w:spacing w:val="5"/>
          <w:kern w:val="28"/>
          <w:sz w:val="36"/>
          <w:szCs w:val="36"/>
        </w:rPr>
        <w:t>,</w:t>
      </w:r>
      <w:r w:rsidRPr="00725B7E">
        <w:rPr>
          <w:rFonts w:asciiTheme="minorHAnsi" w:eastAsiaTheme="majorEastAsia" w:hAnsiTheme="minorHAnsi" w:cstheme="majorBidi"/>
          <w:b/>
          <w:spacing w:val="5"/>
          <w:kern w:val="28"/>
          <w:sz w:val="36"/>
          <w:szCs w:val="36"/>
        </w:rPr>
        <w:br/>
        <w:t>Janssen-Cilag Pty Ltd.</w:t>
      </w:r>
    </w:p>
    <w:p w:rsidR="00A145C5" w:rsidRPr="00725B7E" w:rsidRDefault="00A145C5" w:rsidP="00A145C5">
      <w:pPr>
        <w:keepNext/>
        <w:numPr>
          <w:ilvl w:val="0"/>
          <w:numId w:val="1"/>
        </w:numPr>
        <w:spacing w:before="240" w:after="120"/>
        <w:jc w:val="left"/>
        <w:outlineLvl w:val="0"/>
        <w:rPr>
          <w:rFonts w:asciiTheme="minorHAnsi" w:hAnsiTheme="minorHAnsi"/>
          <w:b/>
          <w:snapToGrid w:val="0"/>
          <w:sz w:val="32"/>
          <w:szCs w:val="32"/>
        </w:rPr>
      </w:pPr>
      <w:r w:rsidRPr="00725B7E">
        <w:rPr>
          <w:rFonts w:asciiTheme="minorHAnsi" w:hAnsiTheme="minorHAnsi"/>
          <w:b/>
          <w:snapToGrid w:val="0"/>
          <w:sz w:val="32"/>
          <w:szCs w:val="32"/>
        </w:rPr>
        <w:t>Purpose of item</w:t>
      </w:r>
    </w:p>
    <w:p w:rsidR="00A145C5" w:rsidRPr="00725B7E" w:rsidRDefault="00A145C5" w:rsidP="00A145C5">
      <w:pPr>
        <w:numPr>
          <w:ilvl w:val="1"/>
          <w:numId w:val="1"/>
        </w:numPr>
        <w:spacing w:after="120"/>
        <w:ind w:left="709"/>
        <w:rPr>
          <w:rFonts w:asciiTheme="minorHAnsi" w:hAnsiTheme="minorHAnsi"/>
          <w:i/>
          <w:snapToGrid w:val="0"/>
        </w:rPr>
      </w:pPr>
      <w:r w:rsidRPr="00725B7E">
        <w:rPr>
          <w:rFonts w:asciiTheme="minorHAnsi" w:hAnsiTheme="minorHAnsi"/>
          <w:snapToGrid w:val="0"/>
        </w:rPr>
        <w:t>To seek the Committee’s consideration on revising its July 2020 recommendation for a Section 85 (General Schedule) listing of selexipag to a recommendation for a Section 100 – Highly Specialised Drugs listing.</w:t>
      </w:r>
    </w:p>
    <w:p w:rsidR="00A145C5" w:rsidRPr="00725B7E" w:rsidRDefault="00A145C5" w:rsidP="00A145C5">
      <w:pPr>
        <w:keepNext/>
        <w:numPr>
          <w:ilvl w:val="0"/>
          <w:numId w:val="1"/>
        </w:numPr>
        <w:spacing w:before="240" w:after="120"/>
        <w:jc w:val="left"/>
        <w:outlineLvl w:val="0"/>
        <w:rPr>
          <w:rFonts w:asciiTheme="minorHAnsi" w:hAnsiTheme="minorHAnsi"/>
          <w:b/>
          <w:snapToGrid w:val="0"/>
          <w:sz w:val="32"/>
          <w:szCs w:val="32"/>
        </w:rPr>
      </w:pPr>
      <w:r w:rsidRPr="00725B7E">
        <w:rPr>
          <w:rFonts w:asciiTheme="minorHAnsi" w:hAnsiTheme="minorHAnsi"/>
          <w:b/>
          <w:snapToGrid w:val="0"/>
          <w:sz w:val="32"/>
          <w:szCs w:val="32"/>
        </w:rPr>
        <w:t>Background</w:t>
      </w:r>
    </w:p>
    <w:p w:rsidR="00A145C5" w:rsidRPr="00725B7E" w:rsidRDefault="00A145C5" w:rsidP="00A145C5">
      <w:pPr>
        <w:numPr>
          <w:ilvl w:val="1"/>
          <w:numId w:val="1"/>
        </w:numPr>
        <w:spacing w:after="120"/>
        <w:ind w:left="709" w:hanging="709"/>
        <w:rPr>
          <w:rFonts w:asciiTheme="minorHAnsi" w:hAnsiTheme="minorHAnsi"/>
          <w:i/>
          <w:snapToGrid w:val="0"/>
        </w:rPr>
      </w:pPr>
      <w:r w:rsidRPr="00725B7E">
        <w:rPr>
          <w:rFonts w:asciiTheme="minorHAnsi" w:hAnsiTheme="minorHAnsi"/>
          <w:snapToGrid w:val="0"/>
        </w:rPr>
        <w:t xml:space="preserve">At the July 2020 meeting, the PBAC recommended </w:t>
      </w:r>
      <w:r w:rsidRPr="00725B7E">
        <w:rPr>
          <w:rFonts w:asciiTheme="minorHAnsi" w:hAnsiTheme="minorHAnsi"/>
          <w:bCs/>
          <w:snapToGrid w:val="0"/>
        </w:rPr>
        <w:t xml:space="preserve">the Section 85 (General Schedule) - Authority Required listing of selexipag (item 7.07) for the treatment patients with World Health Organisation (WHO) Functional Class (FC) III or IV pulmonary arterial hypertension (PAH). The recommendation for selexipag was as triple therapy in combination with an endothelin receptor antagonist (ERA) and a phosphodiesterase-5 inhibitor (PDE-5i), with an exception permitting dual therapy in combination with an ERA or PDE-5i in a small number of patients who are intolerant or contraindicated to one of these classes of therapies. </w:t>
      </w:r>
    </w:p>
    <w:p w:rsidR="00A145C5" w:rsidRPr="002B0A18" w:rsidRDefault="00A145C5" w:rsidP="002B0A18">
      <w:pPr>
        <w:numPr>
          <w:ilvl w:val="1"/>
          <w:numId w:val="1"/>
        </w:numPr>
        <w:spacing w:after="120"/>
        <w:ind w:left="709" w:hanging="709"/>
        <w:rPr>
          <w:rFonts w:asciiTheme="minorHAnsi" w:hAnsiTheme="minorHAnsi"/>
          <w:i/>
          <w:snapToGrid w:val="0"/>
        </w:rPr>
      </w:pPr>
      <w:r w:rsidRPr="00725B7E">
        <w:rPr>
          <w:rFonts w:asciiTheme="minorHAnsi" w:hAnsiTheme="minorHAnsi"/>
          <w:snapToGrid w:val="0"/>
        </w:rPr>
        <w:t>The PBAC noted the sponsor’s request was for a Section 100 – Highly Specialised Drugs (HSD) listing for selexipag as, currently, the PBS listed ERAs and PDE-5i have Section 100 HSD Program listings.  The HSD Program is for drugs that are highly specialised, making administration outside an institutional environment problematic. However, the administration of selexipag outside an institution environment was considered by the PBAC to be non-problematic, as it is an orally administered drug that is unlikely to have immediate, life-threatening administration sequalae for which an institutional environment equipped with resuscitation equipment and expertise to handle an acute medical emergency, would be needed.  Therefore, listing selexipag under special circumstances through the Section 100 HSD Program, was not considered appropriate (paragraph 3</w:t>
      </w:r>
      <w:r>
        <w:rPr>
          <w:rFonts w:asciiTheme="minorHAnsi" w:hAnsiTheme="minorHAnsi"/>
          <w:snapToGrid w:val="0"/>
        </w:rPr>
        <w:t>.12, item 7.07 selexipag PSD</w:t>
      </w:r>
      <w:r w:rsidRPr="00725B7E">
        <w:rPr>
          <w:rFonts w:asciiTheme="minorHAnsi" w:hAnsiTheme="minorHAnsi"/>
          <w:snapToGrid w:val="0"/>
        </w:rPr>
        <w:t>, July 2020).</w:t>
      </w:r>
    </w:p>
    <w:p w:rsidR="00A145C5" w:rsidRPr="00725B7E" w:rsidRDefault="00A145C5" w:rsidP="00A145C5">
      <w:pPr>
        <w:keepNext/>
        <w:widowControl w:val="0"/>
        <w:numPr>
          <w:ilvl w:val="0"/>
          <w:numId w:val="1"/>
        </w:numPr>
        <w:spacing w:before="240" w:after="120"/>
        <w:outlineLvl w:val="0"/>
        <w:rPr>
          <w:rFonts w:asciiTheme="minorHAnsi" w:hAnsiTheme="minorHAnsi"/>
          <w:b/>
          <w:bCs/>
          <w:snapToGrid w:val="0"/>
          <w:sz w:val="32"/>
        </w:rPr>
      </w:pPr>
      <w:r w:rsidRPr="00725B7E">
        <w:rPr>
          <w:rFonts w:asciiTheme="minorHAnsi" w:hAnsiTheme="minorHAnsi"/>
          <w:b/>
          <w:bCs/>
          <w:snapToGrid w:val="0"/>
          <w:sz w:val="32"/>
        </w:rPr>
        <w:t>Issues/Matters for the PBAC to consider</w:t>
      </w:r>
    </w:p>
    <w:p w:rsidR="00A145C5" w:rsidRPr="00725B7E" w:rsidRDefault="00A145C5" w:rsidP="00A145C5">
      <w:pPr>
        <w:spacing w:before="120" w:after="120"/>
        <w:rPr>
          <w:rFonts w:asciiTheme="minorHAnsi" w:hAnsiTheme="minorHAnsi"/>
          <w:b/>
          <w:i/>
          <w:snapToGrid w:val="0"/>
          <w:sz w:val="28"/>
        </w:rPr>
      </w:pPr>
      <w:r w:rsidRPr="00725B7E">
        <w:rPr>
          <w:rFonts w:asciiTheme="minorHAnsi" w:hAnsiTheme="minorHAnsi"/>
          <w:b/>
          <w:i/>
          <w:snapToGrid w:val="0"/>
          <w:sz w:val="28"/>
        </w:rPr>
        <w:t>Discrepancy in access</w:t>
      </w:r>
    </w:p>
    <w:p w:rsidR="00A145C5" w:rsidRPr="00725B7E" w:rsidRDefault="00A145C5" w:rsidP="00A145C5">
      <w:pPr>
        <w:numPr>
          <w:ilvl w:val="1"/>
          <w:numId w:val="1"/>
        </w:numPr>
        <w:spacing w:after="120"/>
        <w:ind w:left="709" w:hanging="709"/>
        <w:rPr>
          <w:rFonts w:asciiTheme="minorHAnsi" w:hAnsiTheme="minorHAnsi"/>
          <w:snapToGrid w:val="0"/>
        </w:rPr>
      </w:pPr>
      <w:r w:rsidRPr="00725B7E">
        <w:rPr>
          <w:rFonts w:asciiTheme="minorHAnsi" w:hAnsiTheme="minorHAnsi"/>
          <w:snapToGrid w:val="0"/>
        </w:rPr>
        <w:t xml:space="preserve">While the PBAC recommended selexipag be listed under Section 85, it was noted that all other currently listed PAH drugs (oral and intravenous) are administered under </w:t>
      </w:r>
      <w:r w:rsidRPr="00725B7E">
        <w:rPr>
          <w:rFonts w:asciiTheme="minorHAnsi" w:hAnsiTheme="minorHAnsi"/>
          <w:snapToGrid w:val="0"/>
        </w:rPr>
        <w:lastRenderedPageBreak/>
        <w:t>Section 100 HSD Program. The resulting inconsistency will result in dispensing impracticalities particularly for the oral PAH agents where a dual or triple therapy (with selexipag) is permitted. Patients would be required to have ERA &amp; PDE-5i drugs dispensed at a hospital pharmacy department and subsequently be required to attend a community pharmacy to have their selexipag prescription dispensed.</w:t>
      </w:r>
    </w:p>
    <w:p w:rsidR="00A145C5" w:rsidRPr="00725B7E" w:rsidRDefault="00A145C5" w:rsidP="00A145C5">
      <w:pPr>
        <w:numPr>
          <w:ilvl w:val="1"/>
          <w:numId w:val="1"/>
        </w:numPr>
        <w:spacing w:after="120"/>
        <w:ind w:left="709" w:hanging="709"/>
        <w:rPr>
          <w:rFonts w:asciiTheme="minorHAnsi" w:hAnsiTheme="minorHAnsi"/>
          <w:snapToGrid w:val="0"/>
        </w:rPr>
      </w:pPr>
      <w:r w:rsidRPr="00725B7E">
        <w:rPr>
          <w:rFonts w:asciiTheme="minorHAnsi" w:hAnsiTheme="minorHAnsi"/>
          <w:snapToGrid w:val="0"/>
        </w:rPr>
        <w:t xml:space="preserve">Despite the apparent simplicity of selexipag administration, the management of PAH occurs in a specialised hospital setting and PAH medicines available under the HSD program are routinely dispensed in the hospital setting, even though the HSD program arrangements allow dispensing of these medicines both in the hospital and community setting.  General schedule medicines are generally not able to be dispensed at hospital pharmacies. Equity of access issues are raised if the listing of PAH medicines were separated across the HSD and general schedule likely causing confusion for patients already at risk of safety concerns through poly-pharmacy from triple therapy. </w:t>
      </w:r>
    </w:p>
    <w:p w:rsidR="00A145C5" w:rsidRPr="00725B7E" w:rsidRDefault="00A145C5" w:rsidP="00A145C5">
      <w:pPr>
        <w:spacing w:before="120" w:after="120"/>
        <w:rPr>
          <w:rFonts w:asciiTheme="minorHAnsi" w:hAnsiTheme="minorHAnsi"/>
          <w:b/>
          <w:i/>
          <w:snapToGrid w:val="0"/>
          <w:sz w:val="28"/>
        </w:rPr>
      </w:pPr>
      <w:r w:rsidRPr="00725B7E">
        <w:rPr>
          <w:rFonts w:asciiTheme="minorHAnsi" w:hAnsiTheme="minorHAnsi"/>
          <w:b/>
          <w:i/>
          <w:snapToGrid w:val="0"/>
          <w:sz w:val="28"/>
        </w:rPr>
        <w:t>HSD listing criteria</w:t>
      </w:r>
    </w:p>
    <w:p w:rsidR="00A145C5" w:rsidRPr="00725B7E" w:rsidRDefault="00A145C5" w:rsidP="00A145C5">
      <w:pPr>
        <w:numPr>
          <w:ilvl w:val="1"/>
          <w:numId w:val="1"/>
        </w:numPr>
        <w:spacing w:after="120"/>
        <w:ind w:left="709" w:hanging="709"/>
        <w:rPr>
          <w:rFonts w:asciiTheme="minorHAnsi" w:hAnsiTheme="minorHAnsi"/>
          <w:snapToGrid w:val="0"/>
        </w:rPr>
      </w:pPr>
      <w:r w:rsidRPr="00725B7E">
        <w:rPr>
          <w:rFonts w:asciiTheme="minorHAnsi" w:hAnsiTheme="minorHAnsi"/>
          <w:snapToGrid w:val="0"/>
        </w:rPr>
        <w:t>At its April 2015 Intracycle Meeting, the PBAC advised the Minister on the revised criteria for listing of HSD drugs. The PBAC considered the criteria applied by the former HSD Working Party and advised that the criterion that differentiated HSD listings from General Schedule listings was “the d</w:t>
      </w:r>
      <w:r w:rsidRPr="00725B7E">
        <w:rPr>
          <w:rFonts w:asciiTheme="minorHAnsi" w:hAnsiTheme="minorHAnsi"/>
          <w:snapToGrid w:val="0"/>
          <w:lang w:val="en-US"/>
        </w:rPr>
        <w:t>rug is highly specialised, making administration outside an institutional environment problematic and the patient target group is clearly identifiable</w:t>
      </w:r>
      <w:r w:rsidR="00FC22FB">
        <w:rPr>
          <w:rFonts w:asciiTheme="minorHAnsi" w:hAnsiTheme="minorHAnsi"/>
          <w:snapToGrid w:val="0"/>
          <w:lang w:val="en-US"/>
        </w:rPr>
        <w:t>”.</w:t>
      </w:r>
    </w:p>
    <w:p w:rsidR="00A145C5" w:rsidRPr="00725B7E" w:rsidRDefault="00A145C5" w:rsidP="00A145C5">
      <w:pPr>
        <w:numPr>
          <w:ilvl w:val="1"/>
          <w:numId w:val="1"/>
        </w:numPr>
        <w:spacing w:after="120"/>
        <w:ind w:left="709" w:hanging="709"/>
        <w:rPr>
          <w:rFonts w:asciiTheme="minorHAnsi" w:hAnsiTheme="minorHAnsi"/>
          <w:snapToGrid w:val="0"/>
        </w:rPr>
      </w:pPr>
      <w:r w:rsidRPr="00725B7E">
        <w:rPr>
          <w:rFonts w:asciiTheme="minorHAnsi" w:hAnsiTheme="minorHAnsi"/>
          <w:snapToGrid w:val="0"/>
        </w:rPr>
        <w:t xml:space="preserve">In the case of selexipag, the PBAC considered that selexipag meets the ‘highly specialised criteria’ and ‘patient target group is clearly identifiable’ criteria, but not the ‘administration outside an institutional environment problematic’ criterion, as stated in paragraph 2.2 above. Due to the nature of the conditions treated by medicines on the HSD program and the medicines themselves, potential HSD listings have historically been considered broadly on the criteria provided within the broader environment relating to the drug.  The criterion for inclusion in the HSD program do not require that all criteria be met in each instance, therefore selexipag could be considered appropriate to meet an s100 HSD listing criteria in the context of the criteria stated above and in view of the overall complex hospital based management of PAH. </w:t>
      </w:r>
    </w:p>
    <w:p w:rsidR="00A145C5" w:rsidRPr="00725B7E" w:rsidRDefault="00A145C5" w:rsidP="00A145C5">
      <w:pPr>
        <w:keepNext/>
        <w:keepLines/>
        <w:spacing w:before="120" w:after="120"/>
        <w:rPr>
          <w:rFonts w:asciiTheme="minorHAnsi" w:hAnsiTheme="minorHAnsi"/>
          <w:b/>
          <w:i/>
          <w:snapToGrid w:val="0"/>
          <w:sz w:val="28"/>
        </w:rPr>
      </w:pPr>
      <w:r w:rsidRPr="00725B7E">
        <w:rPr>
          <w:rFonts w:asciiTheme="minorHAnsi" w:hAnsiTheme="minorHAnsi"/>
          <w:b/>
          <w:i/>
          <w:snapToGrid w:val="0"/>
          <w:sz w:val="28"/>
        </w:rPr>
        <w:t>Sponsor/clinician feedback</w:t>
      </w:r>
    </w:p>
    <w:p w:rsidR="00A145C5" w:rsidRPr="00725B7E" w:rsidRDefault="00A145C5" w:rsidP="00A145C5">
      <w:pPr>
        <w:keepNext/>
        <w:keepLines/>
        <w:numPr>
          <w:ilvl w:val="1"/>
          <w:numId w:val="1"/>
        </w:numPr>
        <w:spacing w:after="120"/>
        <w:ind w:left="709" w:hanging="709"/>
        <w:rPr>
          <w:rFonts w:asciiTheme="minorHAnsi" w:hAnsiTheme="minorHAnsi"/>
          <w:snapToGrid w:val="0"/>
        </w:rPr>
      </w:pPr>
      <w:r w:rsidRPr="00725B7E">
        <w:rPr>
          <w:rFonts w:asciiTheme="minorHAnsi" w:hAnsiTheme="minorHAnsi"/>
          <w:snapToGrid w:val="0"/>
        </w:rPr>
        <w:t>The sponsor of selexipag contacted the Department on 1 September expressing their concerns and that of some clinicians represented by Pulmonary Hypertension Society of Australia and New Zealand (PHSANZ) regarding the Section 85 listing for selexipag. The sponsor outlined PHSANZ’s concerns to be as follows:</w:t>
      </w:r>
    </w:p>
    <w:p w:rsidR="00A145C5" w:rsidRPr="00725B7E" w:rsidRDefault="00A145C5" w:rsidP="00A145C5">
      <w:pPr>
        <w:ind w:left="709"/>
        <w:rPr>
          <w:rFonts w:cs="Calibri"/>
          <w:sz w:val="22"/>
          <w:szCs w:val="22"/>
        </w:rPr>
      </w:pPr>
      <w:r w:rsidRPr="00725B7E">
        <w:t xml:space="preserve">Selexipag is a highly specialised drug that requires prescribing and management of patients by medical practitioners with specific knowledge and experience in PAH. </w:t>
      </w:r>
    </w:p>
    <w:p w:rsidR="00A145C5" w:rsidRPr="00725B7E" w:rsidRDefault="00A145C5" w:rsidP="00A145C5">
      <w:pPr>
        <w:ind w:left="709" w:hanging="29"/>
      </w:pPr>
      <w:r w:rsidRPr="00725B7E">
        <w:t>Specifically,</w:t>
      </w:r>
    </w:p>
    <w:p w:rsidR="00A145C5" w:rsidRPr="00725B7E" w:rsidRDefault="00A145C5" w:rsidP="00A145C5">
      <w:pPr>
        <w:numPr>
          <w:ilvl w:val="0"/>
          <w:numId w:val="42"/>
        </w:numPr>
        <w:ind w:left="1276"/>
        <w:jc w:val="left"/>
      </w:pPr>
      <w:r w:rsidRPr="00725B7E">
        <w:lastRenderedPageBreak/>
        <w:t>the drug has the potential to cause serious harm or death if it is prescribed to the wrong subset of pulmonary hypertension patients – those with left heart disease or pulmonary hypertension secondary to interstitial lung disease,</w:t>
      </w:r>
    </w:p>
    <w:p w:rsidR="00A145C5" w:rsidRPr="00725B7E" w:rsidRDefault="00A145C5" w:rsidP="00A145C5">
      <w:pPr>
        <w:numPr>
          <w:ilvl w:val="0"/>
          <w:numId w:val="42"/>
        </w:numPr>
        <w:ind w:left="1276"/>
        <w:jc w:val="left"/>
      </w:pPr>
      <w:r w:rsidRPr="00725B7E">
        <w:t>the drug does not have standard dosing and requires individualised titration for every patient. Incorrect dosing will result in the clinical benefit of selexipag not being realised and not cost-effective use of the drug, and</w:t>
      </w:r>
    </w:p>
    <w:p w:rsidR="00A145C5" w:rsidRPr="00725B7E" w:rsidRDefault="00A145C5" w:rsidP="00A145C5">
      <w:pPr>
        <w:numPr>
          <w:ilvl w:val="0"/>
          <w:numId w:val="42"/>
        </w:numPr>
        <w:ind w:left="1276"/>
        <w:jc w:val="left"/>
      </w:pPr>
      <w:r w:rsidRPr="00725B7E">
        <w:t>the drug has significant side effects, and although they can be managed effectively in clinical practice, it is critical to balance these with the dosing for each individual patient, which requires clinicians with extensive experiences in PAH.</w:t>
      </w:r>
    </w:p>
    <w:p w:rsidR="00A145C5" w:rsidRPr="00725B7E" w:rsidRDefault="00A145C5" w:rsidP="00A145C5">
      <w:pPr>
        <w:numPr>
          <w:ilvl w:val="0"/>
          <w:numId w:val="1"/>
        </w:numPr>
        <w:spacing w:before="240" w:after="120"/>
        <w:jc w:val="left"/>
        <w:outlineLvl w:val="0"/>
        <w:rPr>
          <w:rFonts w:asciiTheme="minorHAnsi" w:hAnsiTheme="minorHAnsi"/>
          <w:b/>
          <w:snapToGrid w:val="0"/>
          <w:sz w:val="32"/>
          <w:szCs w:val="32"/>
          <w:lang w:eastAsia="en-US"/>
        </w:rPr>
      </w:pPr>
      <w:r w:rsidRPr="00725B7E">
        <w:rPr>
          <w:rFonts w:asciiTheme="minorHAnsi" w:hAnsiTheme="minorHAnsi"/>
          <w:b/>
          <w:snapToGrid w:val="0"/>
          <w:sz w:val="32"/>
          <w:szCs w:val="32"/>
          <w:lang w:eastAsia="en-US"/>
        </w:rPr>
        <w:t xml:space="preserve">PBAC Outcome </w:t>
      </w:r>
    </w:p>
    <w:p w:rsidR="00A145C5" w:rsidRPr="00725B7E" w:rsidRDefault="00A145C5" w:rsidP="00A145C5">
      <w:pPr>
        <w:numPr>
          <w:ilvl w:val="1"/>
          <w:numId w:val="1"/>
        </w:numPr>
        <w:spacing w:after="120"/>
        <w:ind w:left="709" w:hanging="709"/>
        <w:rPr>
          <w:rFonts w:asciiTheme="minorHAnsi" w:hAnsiTheme="minorHAnsi"/>
          <w:snapToGrid w:val="0"/>
        </w:rPr>
      </w:pPr>
      <w:r w:rsidRPr="00725B7E">
        <w:rPr>
          <w:rFonts w:asciiTheme="minorHAnsi" w:hAnsiTheme="minorHAnsi"/>
          <w:snapToGrid w:val="0"/>
        </w:rPr>
        <w:t>The PBAC revised its previous recommendation to list selexipag under Section 85, and instead recommended l</w:t>
      </w:r>
      <w:r w:rsidRPr="00725B7E">
        <w:rPr>
          <w:rFonts w:asciiTheme="minorHAnsi" w:eastAsiaTheme="minorHAnsi" w:hAnsiTheme="minorHAnsi" w:cstheme="minorBidi"/>
          <w:szCs w:val="22"/>
        </w:rPr>
        <w:t>isting selexipag under Section 100 - Highly Specialised Drugs</w:t>
      </w:r>
      <w:r w:rsidRPr="00725B7E">
        <w:rPr>
          <w:rFonts w:asciiTheme="minorHAnsi" w:hAnsiTheme="minorHAnsi"/>
          <w:snapToGrid w:val="0"/>
        </w:rPr>
        <w:t>.</w:t>
      </w:r>
    </w:p>
    <w:p w:rsidR="00A145C5" w:rsidRPr="00725B7E" w:rsidRDefault="00A145C5" w:rsidP="00A145C5">
      <w:pPr>
        <w:numPr>
          <w:ilvl w:val="1"/>
          <w:numId w:val="1"/>
        </w:numPr>
        <w:spacing w:after="120"/>
        <w:ind w:left="709" w:hanging="709"/>
        <w:rPr>
          <w:rFonts w:asciiTheme="minorHAnsi" w:hAnsiTheme="minorHAnsi"/>
          <w:snapToGrid w:val="0"/>
        </w:rPr>
      </w:pPr>
      <w:r w:rsidRPr="00725B7E">
        <w:rPr>
          <w:rFonts w:asciiTheme="minorHAnsi" w:hAnsiTheme="minorHAnsi"/>
          <w:snapToGrid w:val="0"/>
        </w:rPr>
        <w:t>The PBAC noted the iss</w:t>
      </w:r>
      <w:r w:rsidR="00FC22FB">
        <w:rPr>
          <w:rFonts w:asciiTheme="minorHAnsi" w:hAnsiTheme="minorHAnsi"/>
          <w:snapToGrid w:val="0"/>
        </w:rPr>
        <w:t>ues identified in paragraphs 13.1</w:t>
      </w:r>
      <w:r w:rsidRPr="00725B7E">
        <w:rPr>
          <w:rFonts w:asciiTheme="minorHAnsi" w:hAnsiTheme="minorHAnsi"/>
          <w:snapToGrid w:val="0"/>
        </w:rPr>
        <w:t xml:space="preserve"> to </w:t>
      </w:r>
      <w:r w:rsidR="00FC22FB">
        <w:rPr>
          <w:rFonts w:asciiTheme="minorHAnsi" w:hAnsiTheme="minorHAnsi"/>
          <w:snapToGrid w:val="0"/>
        </w:rPr>
        <w:t>1</w:t>
      </w:r>
      <w:r w:rsidRPr="00725B7E">
        <w:rPr>
          <w:rFonts w:asciiTheme="minorHAnsi" w:hAnsiTheme="minorHAnsi"/>
          <w:snapToGrid w:val="0"/>
        </w:rPr>
        <w:t xml:space="preserve">3.4 stated above. The PBAC agreed that there may be potential inequity in access if the listing of PAH medicines were separated across the HSD and general schedule. The PBAC considered that in this instance selexipag could be considered appropriate to meet an s100 HSD listing criteria in the context of the broader environment relating to the drug and in view of the overall complex hospital based management of PAH. </w:t>
      </w:r>
    </w:p>
    <w:p w:rsidR="00A145C5" w:rsidRPr="00725B7E" w:rsidRDefault="00A145C5" w:rsidP="00A145C5">
      <w:pPr>
        <w:numPr>
          <w:ilvl w:val="1"/>
          <w:numId w:val="1"/>
        </w:numPr>
        <w:spacing w:after="120"/>
        <w:ind w:left="720"/>
        <w:rPr>
          <w:rFonts w:asciiTheme="minorHAnsi" w:eastAsiaTheme="minorHAnsi" w:hAnsiTheme="minorHAnsi" w:cstheme="minorBidi"/>
          <w:snapToGrid w:val="0"/>
          <w:szCs w:val="22"/>
        </w:rPr>
      </w:pPr>
      <w:r w:rsidRPr="00725B7E">
        <w:rPr>
          <w:rFonts w:asciiTheme="minorHAnsi" w:eastAsiaTheme="minorHAnsi" w:hAnsiTheme="minorHAnsi" w:cstheme="minorBidi"/>
          <w:szCs w:val="22"/>
        </w:rPr>
        <w:t xml:space="preserve">The PBAC also noted the concerns raised by the sponsor of selexipag and clinicians stated in paragraph </w:t>
      </w:r>
      <w:r w:rsidR="00FC22FB">
        <w:rPr>
          <w:rFonts w:asciiTheme="minorHAnsi" w:eastAsiaTheme="minorHAnsi" w:hAnsiTheme="minorHAnsi" w:cstheme="minorBidi"/>
          <w:szCs w:val="22"/>
        </w:rPr>
        <w:t>1</w:t>
      </w:r>
      <w:r w:rsidRPr="00725B7E">
        <w:rPr>
          <w:rFonts w:asciiTheme="minorHAnsi" w:eastAsiaTheme="minorHAnsi" w:hAnsiTheme="minorHAnsi" w:cstheme="minorBidi"/>
          <w:szCs w:val="22"/>
        </w:rPr>
        <w:t xml:space="preserve">3.5. </w:t>
      </w:r>
    </w:p>
    <w:p w:rsidR="00A145C5" w:rsidRPr="00725B7E" w:rsidRDefault="00A145C5" w:rsidP="00A145C5">
      <w:pPr>
        <w:numPr>
          <w:ilvl w:val="0"/>
          <w:numId w:val="1"/>
        </w:numPr>
        <w:spacing w:before="240" w:after="120"/>
        <w:jc w:val="left"/>
        <w:outlineLvl w:val="0"/>
        <w:rPr>
          <w:rFonts w:asciiTheme="minorHAnsi" w:hAnsiTheme="minorHAnsi"/>
          <w:b/>
          <w:snapToGrid w:val="0"/>
          <w:sz w:val="32"/>
          <w:szCs w:val="32"/>
          <w:lang w:eastAsia="en-US"/>
        </w:rPr>
      </w:pPr>
      <w:r w:rsidRPr="00725B7E">
        <w:rPr>
          <w:rFonts w:asciiTheme="minorHAnsi" w:hAnsiTheme="minorHAnsi"/>
          <w:b/>
          <w:snapToGrid w:val="0"/>
          <w:sz w:val="32"/>
          <w:szCs w:val="32"/>
          <w:lang w:eastAsia="en-US"/>
        </w:rPr>
        <w:t>Recommended Listing</w:t>
      </w:r>
    </w:p>
    <w:p w:rsidR="00A145C5" w:rsidRPr="00725B7E" w:rsidRDefault="00A145C5" w:rsidP="00A145C5">
      <w:pPr>
        <w:numPr>
          <w:ilvl w:val="1"/>
          <w:numId w:val="1"/>
        </w:numPr>
        <w:spacing w:after="120"/>
        <w:ind w:left="720"/>
        <w:rPr>
          <w:rFonts w:asciiTheme="minorHAnsi" w:eastAsiaTheme="minorHAnsi" w:hAnsiTheme="minorHAnsi" w:cstheme="minorBidi"/>
          <w:szCs w:val="22"/>
        </w:rPr>
      </w:pPr>
      <w:r w:rsidRPr="00725B7E">
        <w:rPr>
          <w:rFonts w:asciiTheme="minorHAnsi" w:eastAsiaTheme="minorHAnsi" w:hAnsiTheme="minorHAnsi" w:cstheme="minorBidi"/>
          <w:szCs w:val="22"/>
        </w:rPr>
        <w:t>Add new medicinal product as follows (Program/category revised. Restrictions as per the July 2020 recommendation item 7.07 selexipag):</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276"/>
        <w:gridCol w:w="1276"/>
        <w:gridCol w:w="850"/>
        <w:gridCol w:w="1559"/>
      </w:tblGrid>
      <w:tr w:rsidR="00A145C5" w:rsidRPr="00725B7E" w:rsidTr="00A145C5">
        <w:trPr>
          <w:cantSplit/>
          <w:trHeight w:val="471"/>
        </w:trPr>
        <w:tc>
          <w:tcPr>
            <w:tcW w:w="2547" w:type="dxa"/>
          </w:tcPr>
          <w:p w:rsidR="00A145C5" w:rsidRPr="00725B7E" w:rsidRDefault="00A145C5" w:rsidP="00A145C5">
            <w:pPr>
              <w:keepNext/>
              <w:ind w:left="-108"/>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Name, Restriction,</w:t>
            </w:r>
          </w:p>
          <w:p w:rsidR="00A145C5" w:rsidRPr="00725B7E" w:rsidRDefault="00A145C5" w:rsidP="00A145C5">
            <w:pPr>
              <w:keepNext/>
              <w:ind w:left="-108"/>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Manner of administration and form</w:t>
            </w:r>
          </w:p>
        </w:tc>
        <w:tc>
          <w:tcPr>
            <w:tcW w:w="1417" w:type="dxa"/>
          </w:tcPr>
          <w:p w:rsidR="00A145C5" w:rsidRPr="00725B7E" w:rsidRDefault="00A145C5" w:rsidP="00A145C5">
            <w:pPr>
              <w:keepNext/>
              <w:ind w:left="-108"/>
              <w:jc w:val="center"/>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PBS item code</w:t>
            </w:r>
          </w:p>
        </w:tc>
        <w:tc>
          <w:tcPr>
            <w:tcW w:w="1276" w:type="dxa"/>
          </w:tcPr>
          <w:p w:rsidR="00A145C5" w:rsidRPr="00725B7E" w:rsidRDefault="00A145C5" w:rsidP="00A145C5">
            <w:pPr>
              <w:keepNext/>
              <w:ind w:left="-108"/>
              <w:jc w:val="center"/>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Max. qty packs</w:t>
            </w:r>
          </w:p>
        </w:tc>
        <w:tc>
          <w:tcPr>
            <w:tcW w:w="1276" w:type="dxa"/>
          </w:tcPr>
          <w:p w:rsidR="00A145C5" w:rsidRPr="00725B7E" w:rsidRDefault="00A145C5" w:rsidP="00A145C5">
            <w:pPr>
              <w:keepNext/>
              <w:ind w:left="-108"/>
              <w:jc w:val="center"/>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Max. qty units</w:t>
            </w:r>
          </w:p>
        </w:tc>
        <w:tc>
          <w:tcPr>
            <w:tcW w:w="850" w:type="dxa"/>
          </w:tcPr>
          <w:p w:rsidR="00A145C5" w:rsidRPr="00725B7E" w:rsidRDefault="00A145C5" w:rsidP="00A145C5">
            <w:pPr>
              <w:keepNext/>
              <w:ind w:left="-108"/>
              <w:jc w:val="center"/>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№.of Rpts</w:t>
            </w:r>
          </w:p>
        </w:tc>
        <w:tc>
          <w:tcPr>
            <w:tcW w:w="1559" w:type="dxa"/>
          </w:tcPr>
          <w:p w:rsidR="00A145C5" w:rsidRPr="00725B7E" w:rsidRDefault="00A145C5" w:rsidP="00A145C5">
            <w:pPr>
              <w:keepNext/>
              <w:jc w:val="left"/>
              <w:rPr>
                <w:rFonts w:ascii="Arial Narrow" w:eastAsiaTheme="minorHAnsi" w:hAnsi="Arial Narrow"/>
                <w:b/>
                <w:sz w:val="18"/>
                <w:szCs w:val="18"/>
                <w:lang w:val="fr-FR" w:eastAsia="en-US"/>
              </w:rPr>
            </w:pPr>
            <w:r w:rsidRPr="00725B7E">
              <w:rPr>
                <w:rFonts w:ascii="Arial Narrow" w:eastAsiaTheme="minorHAnsi" w:hAnsi="Arial Narrow"/>
                <w:b/>
                <w:sz w:val="18"/>
                <w:szCs w:val="18"/>
                <w:lang w:eastAsia="en-US"/>
              </w:rPr>
              <w:t>Available brands</w:t>
            </w:r>
          </w:p>
        </w:tc>
      </w:tr>
      <w:tr w:rsidR="00A145C5" w:rsidRPr="00725B7E" w:rsidTr="00A145C5">
        <w:trPr>
          <w:cantSplit/>
          <w:trHeight w:val="167"/>
        </w:trPr>
        <w:tc>
          <w:tcPr>
            <w:tcW w:w="8925" w:type="dxa"/>
            <w:gridSpan w:val="6"/>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w:t>
            </w:r>
          </w:p>
          <w:p w:rsidR="00A145C5" w:rsidRPr="00725B7E" w:rsidRDefault="00A145C5" w:rsidP="00A145C5">
            <w:pPr>
              <w:keepNext/>
              <w:jc w:val="left"/>
              <w:rPr>
                <w:rFonts w:ascii="Arial Narrow" w:eastAsiaTheme="minorHAnsi" w:hAnsi="Arial Narrow"/>
                <w:sz w:val="18"/>
                <w:szCs w:val="18"/>
                <w:lang w:eastAsia="en-US"/>
              </w:rPr>
            </w:pPr>
          </w:p>
        </w:tc>
      </w:tr>
      <w:tr w:rsidR="00A145C5" w:rsidRPr="00725B7E" w:rsidTr="00A145C5">
        <w:trPr>
          <w:cantSplit/>
          <w:trHeight w:val="247"/>
        </w:trPr>
        <w:tc>
          <w:tcPr>
            <w:tcW w:w="2547"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200 microgram tablet, 140</w:t>
            </w:r>
          </w:p>
        </w:tc>
        <w:tc>
          <w:tcPr>
            <w:tcW w:w="1417"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2</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r w:rsidR="00A145C5" w:rsidRPr="00725B7E" w:rsidTr="00A145C5">
        <w:trPr>
          <w:cantSplit/>
          <w:trHeight w:val="247"/>
        </w:trPr>
        <w:tc>
          <w:tcPr>
            <w:tcW w:w="2547"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800 microgram tablet, 60</w:t>
            </w:r>
          </w:p>
        </w:tc>
        <w:tc>
          <w:tcPr>
            <w:tcW w:w="1417"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3</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bl>
    <w:p w:rsidR="00A145C5" w:rsidRPr="00725B7E" w:rsidRDefault="00A145C5" w:rsidP="00A145C5"/>
    <w:p w:rsidR="00A145C5" w:rsidRPr="00725B7E" w:rsidRDefault="00A145C5" w:rsidP="00A145C5">
      <w:pPr>
        <w:keepNext/>
        <w:keepLines/>
        <w:spacing w:after="160" w:line="259" w:lineRule="auto"/>
        <w:jc w:val="left"/>
        <w:rPr>
          <w:rFonts w:ascii="Arial Narrow" w:eastAsiaTheme="minorHAnsi" w:hAnsi="Arial Narrow" w:cs="Times New Roman"/>
          <w:b/>
          <w:sz w:val="18"/>
          <w:szCs w:val="18"/>
          <w:lang w:eastAsia="en-US"/>
        </w:rPr>
      </w:pPr>
      <w:r w:rsidRPr="00725B7E">
        <w:rPr>
          <w:rFonts w:ascii="Arial Narrow" w:eastAsiaTheme="minorHAnsi" w:hAnsi="Arial Narrow" w:cs="Times New Roman"/>
          <w:b/>
          <w:sz w:val="18"/>
          <w:szCs w:val="18"/>
          <w:lang w:eastAsia="en-US"/>
        </w:rPr>
        <w:t>Restriction Summary [new] / Treatment of Concept: [new]</w:t>
      </w:r>
    </w:p>
    <w:tbl>
      <w:tblPr>
        <w:tblStyle w:val="TableGrid"/>
        <w:tblW w:w="7655" w:type="dxa"/>
        <w:tblLayout w:type="fixed"/>
        <w:tblCellMar>
          <w:left w:w="85" w:type="dxa"/>
          <w:right w:w="85" w:type="dxa"/>
        </w:tblCellMar>
        <w:tblLook w:val="04A0" w:firstRow="1" w:lastRow="0" w:firstColumn="1" w:lastColumn="0" w:noHBand="0" w:noVBand="1"/>
        <w:tblCaption w:val="Table restriction"/>
      </w:tblPr>
      <w:tblGrid>
        <w:gridCol w:w="7655"/>
      </w:tblGrid>
      <w:tr w:rsidR="00A145C5" w:rsidRPr="00725B7E" w:rsidTr="00A145C5">
        <w:tc>
          <w:tcPr>
            <w:tcW w:w="7655" w:type="dxa"/>
          </w:tcPr>
          <w:p w:rsidR="00A145C5" w:rsidRPr="00725B7E" w:rsidRDefault="00A145C5" w:rsidP="00A145C5">
            <w:pPr>
              <w:keepNext/>
              <w:keepLines/>
              <w:rPr>
                <w:rFonts w:ascii="Arial Narrow" w:hAnsi="Arial Narrow"/>
                <w:sz w:val="18"/>
                <w:szCs w:val="18"/>
              </w:rPr>
            </w:pPr>
            <w:r w:rsidRPr="00725B7E">
              <w:rPr>
                <w:rFonts w:ascii="Arial Narrow" w:hAnsi="Arial Narrow"/>
                <w:b/>
                <w:sz w:val="18"/>
                <w:szCs w:val="18"/>
              </w:rPr>
              <w:t xml:space="preserve">Category / Program: </w:t>
            </w:r>
            <w:r w:rsidRPr="00725B7E">
              <w:rPr>
                <w:rFonts w:ascii="Arial Narrow" w:hAnsi="Arial Narrow"/>
                <w:strike/>
                <w:sz w:val="18"/>
                <w:szCs w:val="18"/>
              </w:rPr>
              <w:t>General Schedule (Code GE)</w:t>
            </w:r>
            <w:r w:rsidRPr="00725B7E">
              <w:rPr>
                <w:rFonts w:ascii="Arial Narrow" w:hAnsi="Arial Narrow"/>
                <w:i/>
                <w:sz w:val="18"/>
                <w:szCs w:val="18"/>
              </w:rPr>
              <w:t>Section 100 - Highly Specialised Drugs Program (Public/Private)</w:t>
            </w:r>
            <w:r w:rsidRPr="00725B7E">
              <w:rPr>
                <w:rFonts w:ascii="Arial Narrow" w:hAnsi="Arial Narrow"/>
                <w:sz w:val="18"/>
                <w:szCs w:val="18"/>
              </w:rPr>
              <w:t xml:space="preserve"> </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Prescriber type: </w:t>
            </w:r>
            <w:r w:rsidRPr="00725B7E">
              <w:rPr>
                <w:rFonts w:ascii="Arial Narrow" w:hAnsi="Arial Narrow"/>
                <w:sz w:val="18"/>
                <w:szCs w:val="18"/>
              </w:rPr>
              <w:fldChar w:fldCharType="begin">
                <w:ffData>
                  <w:name w:val="Check1"/>
                  <w:enabled/>
                  <w:calcOnExit w:val="0"/>
                  <w:checkBox>
                    <w:sizeAuto/>
                    <w:default w:val="1"/>
                  </w:checkBox>
                </w:ffData>
              </w:fldChar>
            </w:r>
            <w:r w:rsidRPr="00725B7E">
              <w:rPr>
                <w:rFonts w:ascii="Arial Narrow" w:hAnsi="Arial Narrow"/>
                <w:sz w:val="18"/>
                <w:szCs w:val="18"/>
              </w:rPr>
              <w:instrText xml:space="preserve"> FORMCHECKBOX </w:instrText>
            </w:r>
            <w:r w:rsidR="00340FCF">
              <w:rPr>
                <w:rFonts w:ascii="Arial Narrow" w:hAnsi="Arial Narrow"/>
                <w:sz w:val="18"/>
                <w:szCs w:val="18"/>
              </w:rPr>
            </w:r>
            <w:r w:rsidR="00340FCF">
              <w:rPr>
                <w:rFonts w:ascii="Arial Narrow" w:hAnsi="Arial Narrow"/>
                <w:sz w:val="18"/>
                <w:szCs w:val="18"/>
              </w:rPr>
              <w:fldChar w:fldCharType="separate"/>
            </w:r>
            <w:r w:rsidRPr="00725B7E">
              <w:rPr>
                <w:rFonts w:ascii="Arial Narrow" w:hAnsi="Arial Narrow"/>
                <w:sz w:val="18"/>
                <w:szCs w:val="18"/>
              </w:rPr>
              <w:fldChar w:fldCharType="end"/>
            </w:r>
            <w:r w:rsidRPr="00725B7E">
              <w:rPr>
                <w:rFonts w:ascii="Arial Narrow" w:hAnsi="Arial Narrow"/>
                <w:sz w:val="18"/>
                <w:szCs w:val="18"/>
              </w:rPr>
              <w:t xml:space="preserve">Medical Practitioners  </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Episodicity</w:t>
            </w:r>
            <w:r w:rsidRPr="00725B7E">
              <w:rPr>
                <w:rFonts w:ascii="Arial Narrow" w:hAnsi="Arial Narrow"/>
                <w:sz w:val="18"/>
                <w:szCs w:val="18"/>
              </w:rPr>
              <w:t>:[blank]</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Severity: </w:t>
            </w:r>
            <w:r w:rsidRPr="00725B7E">
              <w:rPr>
                <w:rFonts w:ascii="Arial Narrow" w:hAnsi="Arial Narrow"/>
                <w:sz w:val="18"/>
                <w:szCs w:val="18"/>
              </w:rPr>
              <w:t>[blank]</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Condition: </w:t>
            </w:r>
            <w:r w:rsidRPr="00725B7E">
              <w:rPr>
                <w:rFonts w:ascii="Arial Narrow" w:hAnsi="Arial Narrow"/>
                <w:sz w:val="18"/>
                <w:szCs w:val="18"/>
              </w:rPr>
              <w:t>Pulmonary arterial hypertension (PAH)</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PBS Indication: </w:t>
            </w:r>
            <w:r w:rsidRPr="00725B7E">
              <w:rPr>
                <w:rFonts w:ascii="Arial Narrow" w:hAnsi="Arial Narrow"/>
                <w:sz w:val="18"/>
                <w:szCs w:val="18"/>
              </w:rPr>
              <w:t>Pulmonary arterial hypertension (PAH)</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Treatment phase:</w:t>
            </w:r>
            <w:r w:rsidRPr="00725B7E">
              <w:rPr>
                <w:rFonts w:ascii="Arial Narrow" w:hAnsi="Arial Narrow"/>
                <w:sz w:val="18"/>
                <w:szCs w:val="18"/>
              </w:rPr>
              <w:t xml:space="preserve"> Dose titration</w:t>
            </w:r>
          </w:p>
        </w:tc>
      </w:tr>
      <w:tr w:rsidR="00A145C5" w:rsidRPr="00725B7E" w:rsidTr="00A145C5">
        <w:trPr>
          <w:trHeight w:val="371"/>
        </w:trPr>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 xml:space="preserve">Restriction type / method: </w:t>
            </w:r>
            <w:r w:rsidRPr="00725B7E">
              <w:rPr>
                <w:rFonts w:ascii="Arial Narrow" w:eastAsia="Calibri" w:hAnsi="Arial Narrow"/>
                <w:sz w:val="18"/>
                <w:szCs w:val="18"/>
                <w:lang w:eastAsia="en-US"/>
              </w:rPr>
              <w:fldChar w:fldCharType="begin">
                <w:ffData>
                  <w:name w:val=""/>
                  <w:enabled/>
                  <w:calcOnExit w:val="0"/>
                  <w:checkBox>
                    <w:sizeAuto/>
                    <w:default w:val="1"/>
                  </w:checkBox>
                </w:ffData>
              </w:fldChar>
            </w:r>
            <w:r w:rsidRPr="00725B7E">
              <w:rPr>
                <w:rFonts w:ascii="Arial Narrow" w:eastAsia="Calibri" w:hAnsi="Arial Narrow"/>
                <w:sz w:val="18"/>
                <w:szCs w:val="18"/>
                <w:lang w:eastAsia="en-US"/>
              </w:rPr>
              <w:instrText xml:space="preserve"> FORMCHECKBOX </w:instrText>
            </w:r>
            <w:r w:rsidR="00340FCF">
              <w:rPr>
                <w:rFonts w:ascii="Arial Narrow" w:eastAsia="Calibri" w:hAnsi="Arial Narrow"/>
                <w:sz w:val="18"/>
                <w:szCs w:val="18"/>
                <w:lang w:eastAsia="en-US"/>
              </w:rPr>
            </w:r>
            <w:r w:rsidR="00340FCF">
              <w:rPr>
                <w:rFonts w:ascii="Arial Narrow" w:eastAsia="Calibri" w:hAnsi="Arial Narrow"/>
                <w:sz w:val="18"/>
                <w:szCs w:val="18"/>
                <w:lang w:eastAsia="en-US"/>
              </w:rPr>
              <w:fldChar w:fldCharType="separate"/>
            </w:r>
            <w:r w:rsidRPr="00725B7E">
              <w:rPr>
                <w:rFonts w:ascii="Arial Narrow" w:eastAsia="Calibri" w:hAnsi="Arial Narrow"/>
                <w:sz w:val="18"/>
                <w:szCs w:val="18"/>
                <w:lang w:eastAsia="en-US"/>
              </w:rPr>
              <w:fldChar w:fldCharType="end"/>
            </w:r>
            <w:r w:rsidRPr="00725B7E">
              <w:rPr>
                <w:rFonts w:ascii="Arial Narrow" w:eastAsia="Calibri" w:hAnsi="Arial Narrow"/>
                <w:sz w:val="18"/>
                <w:szCs w:val="18"/>
                <w:lang w:eastAsia="en-US"/>
              </w:rPr>
              <w:t xml:space="preserve"> Authority Required – non-immediate/delayed assessment by Services Australia (in-writing only via mail/postal service or electronic upload to Hobart)</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Treatment criteria:</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Treatment must be for dose titration purposes with the intent of completing the titration within 12 weeks</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lastRenderedPageBreak/>
              <w:t>AND</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Clinical criteria:</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Patient must have been assessed by a physician with expertise in the management of PAH</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655" w:type="dxa"/>
          </w:tcPr>
          <w:p w:rsidR="00A145C5" w:rsidRPr="00725B7E" w:rsidRDefault="00A145C5" w:rsidP="00A145C5">
            <w:pPr>
              <w:rPr>
                <w:rFonts w:ascii="Arial Narrow" w:hAnsi="Arial Narrow"/>
                <w:b/>
                <w:strike/>
                <w:sz w:val="18"/>
                <w:szCs w:val="18"/>
              </w:rPr>
            </w:pPr>
            <w:r w:rsidRPr="00725B7E">
              <w:rPr>
                <w:rFonts w:ascii="Arial Narrow" w:hAnsi="Arial Narrow"/>
                <w:b/>
                <w:sz w:val="18"/>
                <w:szCs w:val="18"/>
              </w:rPr>
              <w:t>Clinical criteria:</w:t>
            </w:r>
          </w:p>
        </w:tc>
      </w:tr>
      <w:tr w:rsidR="00A145C5" w:rsidRPr="00725B7E" w:rsidTr="00A145C5">
        <w:tc>
          <w:tcPr>
            <w:tcW w:w="7655" w:type="dxa"/>
          </w:tcPr>
          <w:p w:rsidR="00A145C5" w:rsidRPr="00725B7E" w:rsidRDefault="00A145C5" w:rsidP="00A145C5">
            <w:pPr>
              <w:rPr>
                <w:rFonts w:ascii="Arial Narrow" w:hAnsi="Arial Narrow"/>
                <w:color w:val="FF00FF"/>
                <w:sz w:val="18"/>
                <w:szCs w:val="18"/>
              </w:rPr>
            </w:pPr>
            <w:r w:rsidRPr="00725B7E">
              <w:rPr>
                <w:rFonts w:ascii="Arial Narrow" w:hAnsi="Arial Narrow"/>
                <w:sz w:val="18"/>
                <w:szCs w:val="18"/>
              </w:rPr>
              <w:t xml:space="preserve">Patients must have documented WHO Functional Class III PAH or WHO Functional Class IV PAH  </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Clinical criteria:</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The treatment must form part of triple combination therapy with a PBS-subsidised phosphodiesterase-5 inhibitor (PDE-5i) together with a PBS-subsidised endothelin receptor antagonist (ERA); or</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 xml:space="preserve">The treatment must form part of dual combination therapy with one of the above mentioned drug classes, but only  when triple combination therapy is not possible due to at least one of the following being present: (i) a contraindication according to the TGA approved Product Information, (ii) an intolerance requiring permanent treatment cessation  </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AND</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Clinical criteria:</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The treatment must be in addition to existing dual therapy with a phosphodiesterase-5 inhibitor (PDE-5i) agent combined with an endothelin receptor antagonist (ERA) for pulmonary arterial hypertension (PAH); or</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 xml:space="preserve">The treatment must be in addition to existing therapy with a phosphodiesterase-5 inhibitor (PDE-5i)/an endothelin receptor antagonist (ERA) for pulmonary arterial hypertension (PAH), but only when dual ERA-PDE-5i combination therapy was not possible due to at least one of the following being present: (i) a contraindication according to the TGA approved Product Information, (ii) an intolerance requiring permanent treatment cessation  </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Clinical criteria:</w:t>
            </w:r>
          </w:p>
        </w:tc>
      </w:tr>
      <w:tr w:rsidR="00A145C5" w:rsidRPr="00725B7E" w:rsidTr="00A145C5">
        <w:tc>
          <w:tcPr>
            <w:tcW w:w="765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The treatment must not be as monotherapy</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Prescriber Instructions:</w:t>
            </w:r>
          </w:p>
          <w:p w:rsidR="00A145C5" w:rsidRPr="00725B7E" w:rsidRDefault="00A145C5" w:rsidP="00A145C5">
            <w:pPr>
              <w:rPr>
                <w:rFonts w:ascii="Arial Narrow" w:hAnsi="Arial Narrow"/>
                <w:sz w:val="18"/>
                <w:szCs w:val="18"/>
              </w:rPr>
            </w:pPr>
            <w:r w:rsidRPr="00725B7E">
              <w:rPr>
                <w:rFonts w:ascii="Arial Narrow" w:hAnsi="Arial Narrow"/>
                <w:sz w:val="18"/>
                <w:szCs w:val="18"/>
              </w:rPr>
              <w:t>PAH (WHO Group I pulmonary hypertension) is defined as follows:</w:t>
            </w:r>
          </w:p>
          <w:p w:rsidR="00A145C5" w:rsidRPr="00725B7E" w:rsidRDefault="00A145C5" w:rsidP="00A145C5">
            <w:pPr>
              <w:rPr>
                <w:rFonts w:ascii="Arial Narrow" w:hAnsi="Arial Narrow"/>
                <w:sz w:val="18"/>
                <w:szCs w:val="18"/>
              </w:rPr>
            </w:pPr>
            <w:r w:rsidRPr="00725B7E">
              <w:rPr>
                <w:rFonts w:ascii="Arial Narrow" w:hAnsi="Arial Narrow"/>
                <w:sz w:val="18"/>
                <w:szCs w:val="18"/>
              </w:rPr>
              <w:t>(i) mean pulmonary artery pressure (mPAP) greater than or equal to 25 mmHg at rest and pulmonary artery wedge pressure (PAWP) less than or equal to 15 mmHg; or</w:t>
            </w:r>
          </w:p>
          <w:p w:rsidR="00A145C5" w:rsidRPr="00725B7E" w:rsidRDefault="00A145C5" w:rsidP="00A145C5">
            <w:pPr>
              <w:rPr>
                <w:rFonts w:ascii="Arial Narrow" w:hAnsi="Arial Narrow"/>
                <w:sz w:val="18"/>
                <w:szCs w:val="18"/>
              </w:rPr>
            </w:pPr>
            <w:r w:rsidRPr="00725B7E">
              <w:rPr>
                <w:rFonts w:ascii="Arial Narrow" w:hAnsi="Arial Narrow"/>
                <w:sz w:val="18"/>
                <w:szCs w:val="18"/>
              </w:rPr>
              <w:t>(ii) where a right heart catheter (RHC) cannot be performed on clinical grounds, right ventricular systolic pressure (RVSP), assessed by echocardiography (ECHO), greater than 40 mmHg, with normal left ventricular function.</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Prescriber Instructions:</w:t>
            </w:r>
          </w:p>
          <w:p w:rsidR="00A145C5" w:rsidRPr="00725B7E" w:rsidRDefault="00A145C5" w:rsidP="00A145C5">
            <w:pPr>
              <w:rPr>
                <w:rFonts w:ascii="Arial Narrow" w:hAnsi="Arial Narrow"/>
                <w:b/>
                <w:sz w:val="18"/>
                <w:szCs w:val="18"/>
              </w:rPr>
            </w:pPr>
            <w:r w:rsidRPr="00725B7E">
              <w:rPr>
                <w:rFonts w:ascii="Arial Narrow" w:hAnsi="Arial Narrow"/>
                <w:sz w:val="18"/>
                <w:szCs w:val="18"/>
              </w:rPr>
              <w:t>PAH agents are not PBS-subsidised for patients with pulmonary hypertension secondary to interstitial lung disease associated with connective tissue disease, where the total lung capacity is less than 70% of predicted.</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Prescriber Instructions:</w:t>
            </w:r>
          </w:p>
          <w:p w:rsidR="00A145C5" w:rsidRPr="00725B7E" w:rsidRDefault="00A145C5" w:rsidP="00A145C5">
            <w:pPr>
              <w:rPr>
                <w:rFonts w:ascii="Arial Narrow" w:hAnsi="Arial Narrow"/>
                <w:sz w:val="18"/>
                <w:szCs w:val="18"/>
              </w:rPr>
            </w:pPr>
            <w:r w:rsidRPr="00725B7E">
              <w:rPr>
                <w:rFonts w:ascii="Arial Narrow" w:hAnsi="Arial Narrow"/>
                <w:sz w:val="18"/>
                <w:szCs w:val="18"/>
              </w:rPr>
              <w:t>Delayed assessment instructions (to be determined)</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Administrative advice:</w:t>
            </w:r>
          </w:p>
          <w:p w:rsidR="00A145C5" w:rsidRPr="00725B7E" w:rsidRDefault="00A145C5" w:rsidP="00A145C5">
            <w:pPr>
              <w:rPr>
                <w:rFonts w:ascii="Arial Narrow" w:hAnsi="Arial Narrow"/>
                <w:sz w:val="18"/>
                <w:szCs w:val="18"/>
              </w:rPr>
            </w:pPr>
            <w:r w:rsidRPr="00725B7E">
              <w:rPr>
                <w:rFonts w:ascii="Arial Narrow" w:hAnsi="Arial Narrow"/>
                <w:sz w:val="18"/>
                <w:szCs w:val="18"/>
              </w:rPr>
              <w:t>PAH (WHO Group 1 pulmonary hypertension) currently includes the following subtypes:</w:t>
            </w:r>
          </w:p>
          <w:p w:rsidR="00A145C5" w:rsidRPr="00725B7E" w:rsidRDefault="00A145C5" w:rsidP="00A145C5">
            <w:pPr>
              <w:ind w:left="170"/>
              <w:rPr>
                <w:rFonts w:ascii="Arial Narrow" w:hAnsi="Arial Narrow"/>
                <w:sz w:val="18"/>
                <w:szCs w:val="18"/>
              </w:rPr>
            </w:pPr>
            <w:r w:rsidRPr="00725B7E">
              <w:rPr>
                <w:rFonts w:ascii="Arial Narrow" w:hAnsi="Arial Narrow"/>
                <w:sz w:val="18"/>
                <w:szCs w:val="18"/>
              </w:rPr>
              <w:t>•</w:t>
            </w:r>
            <w:r w:rsidRPr="00725B7E">
              <w:rPr>
                <w:rFonts w:ascii="Arial Narrow" w:hAnsi="Arial Narrow"/>
                <w:sz w:val="18"/>
                <w:szCs w:val="18"/>
              </w:rPr>
              <w:tab/>
              <w:t>Idiopathic PAH</w:t>
            </w:r>
          </w:p>
          <w:p w:rsidR="00A145C5" w:rsidRPr="00725B7E" w:rsidRDefault="00A145C5" w:rsidP="00A145C5">
            <w:pPr>
              <w:ind w:left="170"/>
              <w:rPr>
                <w:rFonts w:ascii="Arial Narrow" w:hAnsi="Arial Narrow"/>
                <w:sz w:val="18"/>
                <w:szCs w:val="18"/>
              </w:rPr>
            </w:pPr>
            <w:r w:rsidRPr="00725B7E">
              <w:rPr>
                <w:rFonts w:ascii="Arial Narrow" w:hAnsi="Arial Narrow"/>
                <w:sz w:val="18"/>
                <w:szCs w:val="18"/>
              </w:rPr>
              <w:t>•</w:t>
            </w:r>
            <w:r w:rsidRPr="00725B7E">
              <w:rPr>
                <w:rFonts w:ascii="Arial Narrow" w:hAnsi="Arial Narrow"/>
                <w:sz w:val="18"/>
                <w:szCs w:val="18"/>
              </w:rPr>
              <w:tab/>
              <w:t>Heritable PAH</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BMPR2 mutation</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ALK-1, ENG, SMAD9, CAV1, KCNK3 mutations</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Other mutations</w:t>
            </w:r>
          </w:p>
          <w:p w:rsidR="00A145C5" w:rsidRPr="00725B7E" w:rsidRDefault="00A145C5" w:rsidP="00A145C5">
            <w:pPr>
              <w:ind w:left="170"/>
              <w:rPr>
                <w:rFonts w:ascii="Arial Narrow" w:hAnsi="Arial Narrow"/>
                <w:sz w:val="18"/>
                <w:szCs w:val="18"/>
              </w:rPr>
            </w:pPr>
            <w:r w:rsidRPr="00725B7E">
              <w:rPr>
                <w:rFonts w:ascii="Arial Narrow" w:hAnsi="Arial Narrow"/>
                <w:sz w:val="18"/>
                <w:szCs w:val="18"/>
              </w:rPr>
              <w:t>•</w:t>
            </w:r>
            <w:r w:rsidRPr="00725B7E">
              <w:rPr>
                <w:rFonts w:ascii="Arial Narrow" w:hAnsi="Arial Narrow"/>
                <w:sz w:val="18"/>
                <w:szCs w:val="18"/>
              </w:rPr>
              <w:tab/>
              <w:t>Drugs and toxins induced PAH</w:t>
            </w:r>
          </w:p>
          <w:p w:rsidR="00A145C5" w:rsidRPr="00725B7E" w:rsidRDefault="00A145C5" w:rsidP="00A145C5">
            <w:pPr>
              <w:ind w:left="170"/>
              <w:rPr>
                <w:rFonts w:ascii="Arial Narrow" w:hAnsi="Arial Narrow"/>
                <w:sz w:val="18"/>
                <w:szCs w:val="18"/>
              </w:rPr>
            </w:pPr>
            <w:r w:rsidRPr="00725B7E">
              <w:rPr>
                <w:rFonts w:ascii="Arial Narrow" w:hAnsi="Arial Narrow"/>
                <w:sz w:val="18"/>
                <w:szCs w:val="18"/>
              </w:rPr>
              <w:t>•</w:t>
            </w:r>
            <w:r w:rsidRPr="00725B7E">
              <w:rPr>
                <w:rFonts w:ascii="Arial Narrow" w:hAnsi="Arial Narrow"/>
                <w:sz w:val="18"/>
                <w:szCs w:val="18"/>
              </w:rPr>
              <w:tab/>
              <w:t>PAH associated with:</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Connective tissue disease</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Human immunodeficiency virus (HIV) infection</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Portal hypertension</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Congenital heart disease</w:t>
            </w:r>
          </w:p>
          <w:p w:rsidR="00A145C5" w:rsidRPr="00725B7E" w:rsidRDefault="00A145C5" w:rsidP="00A145C5">
            <w:pPr>
              <w:rPr>
                <w:rFonts w:ascii="Arial Narrow" w:hAnsi="Arial Narrow"/>
                <w:b/>
                <w:sz w:val="18"/>
                <w:szCs w:val="18"/>
              </w:rPr>
            </w:pPr>
            <w:r w:rsidRPr="00725B7E">
              <w:rPr>
                <w:rFonts w:ascii="Arial Narrow" w:hAnsi="Arial Narrow"/>
                <w:sz w:val="18"/>
                <w:szCs w:val="18"/>
              </w:rPr>
              <w:t>o</w:t>
            </w:r>
            <w:r w:rsidRPr="00725B7E">
              <w:rPr>
                <w:rFonts w:ascii="Arial Narrow" w:hAnsi="Arial Narrow"/>
                <w:sz w:val="18"/>
                <w:szCs w:val="18"/>
              </w:rPr>
              <w:tab/>
              <w:t>Schistosomiasis</w:t>
            </w:r>
          </w:p>
        </w:tc>
      </w:tr>
      <w:tr w:rsidR="00A145C5" w:rsidRPr="00725B7E" w:rsidTr="00A145C5">
        <w:tc>
          <w:tcPr>
            <w:tcW w:w="7655" w:type="dxa"/>
          </w:tcPr>
          <w:p w:rsidR="00A145C5" w:rsidRPr="00725B7E" w:rsidRDefault="00A145C5" w:rsidP="00A145C5">
            <w:pPr>
              <w:rPr>
                <w:rFonts w:ascii="Arial Narrow" w:hAnsi="Arial Narrow"/>
                <w:color w:val="0000FF" w:themeColor="hyperlink"/>
                <w:sz w:val="18"/>
                <w:szCs w:val="18"/>
                <w:u w:val="single"/>
              </w:rPr>
            </w:pPr>
            <w:r w:rsidRPr="00725B7E">
              <w:rPr>
                <w:rFonts w:ascii="Arial Narrow" w:hAnsi="Arial Narrow"/>
                <w:b/>
                <w:sz w:val="18"/>
                <w:szCs w:val="18"/>
              </w:rPr>
              <w:t>Administrative advice:</w:t>
            </w:r>
          </w:p>
          <w:p w:rsidR="00A145C5" w:rsidRPr="00725B7E" w:rsidRDefault="00A145C5" w:rsidP="00A145C5">
            <w:pPr>
              <w:rPr>
                <w:rFonts w:ascii="Arial Narrow" w:hAnsi="Arial Narrow"/>
                <w:sz w:val="18"/>
                <w:szCs w:val="18"/>
              </w:rPr>
            </w:pPr>
            <w:r w:rsidRPr="00725B7E">
              <w:rPr>
                <w:rFonts w:ascii="Arial Narrow" w:hAnsi="Arial Narrow"/>
                <w:sz w:val="18"/>
                <w:szCs w:val="18"/>
              </w:rPr>
              <w:t>Any queries concerning the arrangements to prescribe may be directed to Services Australia on 1800 700 270 (hours of operation 8 a.m. to 5 p.m. EST Monday to Friday).</w:t>
            </w:r>
          </w:p>
          <w:p w:rsidR="00A145C5" w:rsidRPr="00725B7E" w:rsidRDefault="00A145C5" w:rsidP="00A145C5">
            <w:pPr>
              <w:rPr>
                <w:rFonts w:ascii="Arial Narrow" w:hAnsi="Arial Narrow"/>
                <w:sz w:val="18"/>
                <w:szCs w:val="18"/>
              </w:rPr>
            </w:pPr>
          </w:p>
          <w:p w:rsidR="00A145C5" w:rsidRPr="00725B7E" w:rsidRDefault="00A145C5" w:rsidP="00A145C5">
            <w:pPr>
              <w:rPr>
                <w:rFonts w:ascii="Arial Narrow" w:hAnsi="Arial Narrow"/>
                <w:sz w:val="18"/>
                <w:szCs w:val="18"/>
              </w:rPr>
            </w:pPr>
            <w:r w:rsidRPr="00725B7E">
              <w:rPr>
                <w:rFonts w:ascii="Arial Narrow" w:hAnsi="Arial Narrow"/>
                <w:sz w:val="18"/>
                <w:szCs w:val="18"/>
              </w:rPr>
              <w:t xml:space="preserve">Prescribing information (including Authority Application forms and other relevant documentation as applicable) is available on the Services Australia website at </w:t>
            </w:r>
            <w:r w:rsidRPr="00725B7E">
              <w:rPr>
                <w:rFonts w:ascii="Arial Narrow" w:hAnsi="Arial Narrow"/>
                <w:color w:val="0000FF" w:themeColor="hyperlink"/>
                <w:sz w:val="18"/>
                <w:szCs w:val="18"/>
                <w:u w:val="single"/>
              </w:rPr>
              <w:t>www.servicesaustralia.gov.au</w:t>
            </w:r>
          </w:p>
          <w:p w:rsidR="00A145C5" w:rsidRPr="00725B7E" w:rsidRDefault="00A145C5" w:rsidP="00A145C5">
            <w:pPr>
              <w:rPr>
                <w:rFonts w:ascii="Arial Narrow" w:hAnsi="Arial Narrow"/>
                <w:sz w:val="18"/>
                <w:szCs w:val="18"/>
              </w:rPr>
            </w:pPr>
          </w:p>
          <w:p w:rsidR="00A145C5" w:rsidRPr="00725B7E" w:rsidRDefault="00A145C5" w:rsidP="00A145C5">
            <w:pPr>
              <w:rPr>
                <w:rFonts w:ascii="Arial Narrow" w:hAnsi="Arial Narrow"/>
                <w:sz w:val="18"/>
                <w:szCs w:val="18"/>
              </w:rPr>
            </w:pPr>
            <w:r w:rsidRPr="00725B7E">
              <w:rPr>
                <w:rFonts w:ascii="Arial Narrow" w:hAnsi="Arial Narrow"/>
                <w:sz w:val="18"/>
                <w:szCs w:val="18"/>
              </w:rPr>
              <w:t xml:space="preserve">Applications for authority to prescribe should be submitted online using the form upload facility in Health Professional Online Services (HPOS) at </w:t>
            </w:r>
            <w:r w:rsidRPr="00725B7E">
              <w:rPr>
                <w:rFonts w:ascii="Arial Narrow" w:hAnsi="Arial Narrow"/>
                <w:color w:val="0000FF" w:themeColor="hyperlink"/>
                <w:sz w:val="18"/>
                <w:szCs w:val="18"/>
                <w:u w:val="single"/>
              </w:rPr>
              <w:t>www.servicesaustralia.gov.au/hpos</w:t>
            </w:r>
          </w:p>
          <w:p w:rsidR="00A145C5" w:rsidRPr="00725B7E" w:rsidRDefault="00A145C5" w:rsidP="00A145C5">
            <w:pPr>
              <w:rPr>
                <w:rFonts w:ascii="Arial Narrow" w:hAnsi="Arial Narrow"/>
                <w:sz w:val="18"/>
                <w:szCs w:val="18"/>
              </w:rPr>
            </w:pPr>
          </w:p>
          <w:p w:rsidR="00A145C5" w:rsidRPr="00725B7E" w:rsidRDefault="00A145C5" w:rsidP="00A145C5">
            <w:pPr>
              <w:rPr>
                <w:rFonts w:ascii="Arial Narrow" w:hAnsi="Arial Narrow"/>
                <w:sz w:val="18"/>
                <w:szCs w:val="18"/>
              </w:rPr>
            </w:pPr>
            <w:r w:rsidRPr="00725B7E">
              <w:rPr>
                <w:rFonts w:ascii="Arial Narrow" w:hAnsi="Arial Narrow"/>
                <w:sz w:val="18"/>
                <w:szCs w:val="18"/>
              </w:rPr>
              <w:t>Or mailed to:</w:t>
            </w:r>
          </w:p>
          <w:p w:rsidR="00A145C5" w:rsidRPr="00725B7E" w:rsidRDefault="00A145C5" w:rsidP="00A145C5">
            <w:pPr>
              <w:rPr>
                <w:rFonts w:ascii="Arial Narrow" w:hAnsi="Arial Narrow"/>
                <w:sz w:val="18"/>
                <w:szCs w:val="18"/>
              </w:rPr>
            </w:pPr>
            <w:r w:rsidRPr="00725B7E">
              <w:rPr>
                <w:rFonts w:ascii="Arial Narrow" w:hAnsi="Arial Narrow"/>
                <w:sz w:val="18"/>
                <w:szCs w:val="18"/>
              </w:rPr>
              <w:lastRenderedPageBreak/>
              <w:t>Services Australia</w:t>
            </w:r>
          </w:p>
          <w:p w:rsidR="00A145C5" w:rsidRPr="00725B7E" w:rsidRDefault="00A145C5" w:rsidP="00A145C5">
            <w:pPr>
              <w:rPr>
                <w:rFonts w:ascii="Arial Narrow" w:hAnsi="Arial Narrow"/>
                <w:sz w:val="18"/>
                <w:szCs w:val="18"/>
              </w:rPr>
            </w:pPr>
            <w:r w:rsidRPr="00725B7E">
              <w:rPr>
                <w:rFonts w:ascii="Arial Narrow" w:hAnsi="Arial Narrow"/>
                <w:sz w:val="18"/>
                <w:szCs w:val="18"/>
              </w:rPr>
              <w:t>Complex Drugs</w:t>
            </w:r>
          </w:p>
          <w:p w:rsidR="00A145C5" w:rsidRPr="00725B7E" w:rsidRDefault="00A145C5" w:rsidP="00A145C5">
            <w:pPr>
              <w:rPr>
                <w:rFonts w:ascii="Arial Narrow" w:hAnsi="Arial Narrow"/>
                <w:sz w:val="18"/>
                <w:szCs w:val="18"/>
              </w:rPr>
            </w:pPr>
            <w:r w:rsidRPr="00725B7E">
              <w:rPr>
                <w:rFonts w:ascii="Arial Narrow" w:hAnsi="Arial Narrow"/>
                <w:sz w:val="18"/>
                <w:szCs w:val="18"/>
              </w:rPr>
              <w:t>Reply Paid 9826</w:t>
            </w:r>
          </w:p>
          <w:p w:rsidR="00A145C5" w:rsidRPr="00725B7E" w:rsidRDefault="00A145C5" w:rsidP="00A145C5">
            <w:pPr>
              <w:rPr>
                <w:rFonts w:ascii="Arial Narrow" w:hAnsi="Arial Narrow"/>
                <w:sz w:val="18"/>
                <w:szCs w:val="18"/>
              </w:rPr>
            </w:pPr>
            <w:r w:rsidRPr="00725B7E">
              <w:rPr>
                <w:rFonts w:ascii="Arial Narrow" w:hAnsi="Arial Narrow"/>
                <w:sz w:val="18"/>
                <w:szCs w:val="18"/>
              </w:rPr>
              <w:t>HOBART TAS 7001</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lastRenderedPageBreak/>
              <w:t>Administrative Advice:</w:t>
            </w:r>
          </w:p>
          <w:p w:rsidR="00A145C5" w:rsidRPr="00725B7E" w:rsidRDefault="00A145C5" w:rsidP="00A145C5">
            <w:pPr>
              <w:rPr>
                <w:rFonts w:ascii="Arial Narrow" w:hAnsi="Arial Narrow"/>
                <w:b/>
                <w:sz w:val="18"/>
                <w:szCs w:val="18"/>
              </w:rPr>
            </w:pPr>
            <w:r w:rsidRPr="00725B7E">
              <w:rPr>
                <w:rFonts w:ascii="Arial Narrow" w:hAnsi="Arial Narrow"/>
                <w:sz w:val="18"/>
                <w:szCs w:val="18"/>
              </w:rPr>
              <w:t xml:space="preserve">The relevant agency assessing a first-time authority application for this drug is to confirm that there is valid, active authority approval for both an endothelin receptor (ERA) antagonist and phosphodiesterase-5 inhibitor (PDE-5i).  A concurrently lodged/yet to be assessed application for PBS subsidy of either will not suffice for the purpose of this restriction. Where triple therapy combination is not possible, confirm that that there is a valid authority approval for at least one of an ERA or PDE-5i. </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Special Pricing Arrangements apply</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No increase in the maximum quantity or number of units may be authorised.</w:t>
            </w:r>
          </w:p>
        </w:tc>
      </w:tr>
      <w:tr w:rsidR="00A145C5" w:rsidRPr="00725B7E" w:rsidTr="00A145C5">
        <w:tc>
          <w:tcPr>
            <w:tcW w:w="765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No increase in the maximum number of repeats may be authorised.</w:t>
            </w:r>
          </w:p>
        </w:tc>
      </w:tr>
    </w:tbl>
    <w:p w:rsidR="00A145C5" w:rsidRPr="00725B7E" w:rsidRDefault="00A145C5" w:rsidP="00A145C5"/>
    <w:p w:rsidR="00A145C5" w:rsidRPr="00725B7E" w:rsidRDefault="00A145C5" w:rsidP="00A145C5"/>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276"/>
        <w:gridCol w:w="1276"/>
        <w:gridCol w:w="1134"/>
        <w:gridCol w:w="850"/>
        <w:gridCol w:w="1559"/>
      </w:tblGrid>
      <w:tr w:rsidR="00A145C5" w:rsidRPr="00725B7E" w:rsidTr="00A145C5">
        <w:trPr>
          <w:cantSplit/>
          <w:trHeight w:val="471"/>
        </w:trPr>
        <w:tc>
          <w:tcPr>
            <w:tcW w:w="2830" w:type="dxa"/>
          </w:tcPr>
          <w:p w:rsidR="00A145C5" w:rsidRPr="00725B7E" w:rsidRDefault="00A145C5" w:rsidP="00A145C5">
            <w:pPr>
              <w:keepNext/>
              <w:ind w:left="-108"/>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Name, Restriction,</w:t>
            </w:r>
          </w:p>
          <w:p w:rsidR="00A145C5" w:rsidRPr="00725B7E" w:rsidRDefault="00A145C5" w:rsidP="00A145C5">
            <w:pPr>
              <w:keepNext/>
              <w:ind w:left="-108"/>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Manner of administration and form</w:t>
            </w:r>
          </w:p>
        </w:tc>
        <w:tc>
          <w:tcPr>
            <w:tcW w:w="1276" w:type="dxa"/>
          </w:tcPr>
          <w:p w:rsidR="00A145C5" w:rsidRPr="00725B7E" w:rsidRDefault="00A145C5" w:rsidP="00A145C5">
            <w:pPr>
              <w:keepNext/>
              <w:ind w:left="-108"/>
              <w:jc w:val="center"/>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PBS item code</w:t>
            </w:r>
          </w:p>
        </w:tc>
        <w:tc>
          <w:tcPr>
            <w:tcW w:w="1276" w:type="dxa"/>
          </w:tcPr>
          <w:p w:rsidR="00A145C5" w:rsidRPr="00725B7E" w:rsidRDefault="00A145C5" w:rsidP="00A145C5">
            <w:pPr>
              <w:keepNext/>
              <w:ind w:left="-108"/>
              <w:jc w:val="center"/>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Max. qty packs</w:t>
            </w:r>
          </w:p>
        </w:tc>
        <w:tc>
          <w:tcPr>
            <w:tcW w:w="1134" w:type="dxa"/>
          </w:tcPr>
          <w:p w:rsidR="00A145C5" w:rsidRPr="00725B7E" w:rsidRDefault="00A145C5" w:rsidP="00A145C5">
            <w:pPr>
              <w:keepNext/>
              <w:ind w:left="-108"/>
              <w:jc w:val="center"/>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Max. qty units</w:t>
            </w:r>
          </w:p>
        </w:tc>
        <w:tc>
          <w:tcPr>
            <w:tcW w:w="850" w:type="dxa"/>
          </w:tcPr>
          <w:p w:rsidR="00A145C5" w:rsidRPr="00725B7E" w:rsidRDefault="00A145C5" w:rsidP="00A145C5">
            <w:pPr>
              <w:keepNext/>
              <w:ind w:left="-108"/>
              <w:jc w:val="center"/>
              <w:rPr>
                <w:rFonts w:ascii="Arial Narrow" w:eastAsiaTheme="minorHAnsi" w:hAnsi="Arial Narrow"/>
                <w:b/>
                <w:sz w:val="18"/>
                <w:szCs w:val="18"/>
                <w:lang w:eastAsia="en-US"/>
              </w:rPr>
            </w:pPr>
            <w:r w:rsidRPr="00725B7E">
              <w:rPr>
                <w:rFonts w:ascii="Arial Narrow" w:eastAsiaTheme="minorHAnsi" w:hAnsi="Arial Narrow"/>
                <w:b/>
                <w:sz w:val="18"/>
                <w:szCs w:val="18"/>
                <w:lang w:eastAsia="en-US"/>
              </w:rPr>
              <w:t>№.of Rpts</w:t>
            </w:r>
          </w:p>
        </w:tc>
        <w:tc>
          <w:tcPr>
            <w:tcW w:w="1559" w:type="dxa"/>
          </w:tcPr>
          <w:p w:rsidR="00A145C5" w:rsidRPr="00725B7E" w:rsidRDefault="00A145C5" w:rsidP="00A145C5">
            <w:pPr>
              <w:keepNext/>
              <w:jc w:val="left"/>
              <w:rPr>
                <w:rFonts w:ascii="Arial Narrow" w:eastAsiaTheme="minorHAnsi" w:hAnsi="Arial Narrow"/>
                <w:b/>
                <w:sz w:val="18"/>
                <w:szCs w:val="18"/>
                <w:lang w:val="fr-FR" w:eastAsia="en-US"/>
              </w:rPr>
            </w:pPr>
            <w:r w:rsidRPr="00725B7E">
              <w:rPr>
                <w:rFonts w:ascii="Arial Narrow" w:eastAsiaTheme="minorHAnsi" w:hAnsi="Arial Narrow"/>
                <w:b/>
                <w:sz w:val="18"/>
                <w:szCs w:val="18"/>
                <w:lang w:eastAsia="en-US"/>
              </w:rPr>
              <w:t>Available brands</w:t>
            </w:r>
          </w:p>
        </w:tc>
      </w:tr>
      <w:tr w:rsidR="00A145C5" w:rsidRPr="00725B7E" w:rsidTr="00A145C5">
        <w:trPr>
          <w:cantSplit/>
          <w:trHeight w:val="224"/>
        </w:trPr>
        <w:tc>
          <w:tcPr>
            <w:tcW w:w="8925" w:type="dxa"/>
            <w:gridSpan w:val="6"/>
          </w:tcPr>
          <w:p w:rsidR="00A145C5" w:rsidRPr="00725B7E" w:rsidRDefault="00A145C5" w:rsidP="00A145C5">
            <w:pPr>
              <w:keepNext/>
              <w:ind w:left="-113"/>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SELEXIPAG  </w:t>
            </w:r>
          </w:p>
        </w:tc>
      </w:tr>
      <w:tr w:rsidR="00A145C5" w:rsidRPr="00725B7E" w:rsidTr="00A145C5">
        <w:trPr>
          <w:cantSplit/>
          <w:trHeight w:val="247"/>
        </w:trPr>
        <w:tc>
          <w:tcPr>
            <w:tcW w:w="2830"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200 microgram tablet, 60</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134"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5</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r w:rsidR="00A145C5" w:rsidRPr="00725B7E" w:rsidTr="00A145C5">
        <w:trPr>
          <w:cantSplit/>
          <w:trHeight w:val="247"/>
        </w:trPr>
        <w:tc>
          <w:tcPr>
            <w:tcW w:w="2830"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400 microgram tablet, 60</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134"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5</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r w:rsidR="00A145C5" w:rsidRPr="00725B7E" w:rsidTr="00A145C5">
        <w:trPr>
          <w:cantSplit/>
          <w:trHeight w:val="247"/>
        </w:trPr>
        <w:tc>
          <w:tcPr>
            <w:tcW w:w="2830"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600 microgram tablet, 60</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134"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5</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r w:rsidR="00A145C5" w:rsidRPr="00725B7E" w:rsidTr="00A145C5">
        <w:trPr>
          <w:cantSplit/>
          <w:trHeight w:val="247"/>
        </w:trPr>
        <w:tc>
          <w:tcPr>
            <w:tcW w:w="2830"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800 microgram tablet, 60</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134"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5</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r w:rsidR="00A145C5" w:rsidRPr="00725B7E" w:rsidTr="00A145C5">
        <w:trPr>
          <w:cantSplit/>
          <w:trHeight w:val="247"/>
        </w:trPr>
        <w:tc>
          <w:tcPr>
            <w:tcW w:w="2830"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1,000 microgram tablet, 60</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134"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5</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r w:rsidR="00A145C5" w:rsidRPr="00725B7E" w:rsidTr="00A145C5">
        <w:trPr>
          <w:cantSplit/>
          <w:trHeight w:val="247"/>
        </w:trPr>
        <w:tc>
          <w:tcPr>
            <w:tcW w:w="2830"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1,200 microgram tablet, 60</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134"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5</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r w:rsidR="00A145C5" w:rsidRPr="00725B7E" w:rsidTr="00A145C5">
        <w:trPr>
          <w:cantSplit/>
          <w:trHeight w:val="247"/>
        </w:trPr>
        <w:tc>
          <w:tcPr>
            <w:tcW w:w="2830"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1,400 microgram tablet, 60</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134"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5</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r w:rsidR="00A145C5" w:rsidRPr="00725B7E" w:rsidTr="00A145C5">
        <w:trPr>
          <w:cantSplit/>
          <w:trHeight w:val="247"/>
        </w:trPr>
        <w:tc>
          <w:tcPr>
            <w:tcW w:w="2830" w:type="dxa"/>
          </w:tcPr>
          <w:p w:rsidR="00A145C5" w:rsidRPr="00725B7E" w:rsidRDefault="00A145C5" w:rsidP="00A145C5">
            <w:pPr>
              <w:keepNext/>
              <w:ind w:left="-108"/>
              <w:jc w:val="left"/>
              <w:rPr>
                <w:rFonts w:ascii="Arial Narrow" w:eastAsiaTheme="minorHAnsi" w:hAnsi="Arial Narrow"/>
                <w:sz w:val="18"/>
                <w:szCs w:val="18"/>
                <w:lang w:eastAsia="en-US"/>
              </w:rPr>
            </w:pPr>
            <w:r w:rsidRPr="00725B7E">
              <w:rPr>
                <w:rFonts w:ascii="Arial Narrow" w:eastAsiaTheme="minorHAnsi" w:hAnsi="Arial Narrow"/>
                <w:sz w:val="18"/>
                <w:szCs w:val="18"/>
                <w:lang w:eastAsia="en-US"/>
              </w:rPr>
              <w:t>selexipag 1,600 microgram tablet, 60</w:t>
            </w:r>
          </w:p>
        </w:tc>
        <w:tc>
          <w:tcPr>
            <w:tcW w:w="1276"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NEW</w:t>
            </w:r>
          </w:p>
        </w:tc>
        <w:tc>
          <w:tcPr>
            <w:tcW w:w="1276"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1</w:t>
            </w:r>
          </w:p>
        </w:tc>
        <w:tc>
          <w:tcPr>
            <w:tcW w:w="1134"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1</w:t>
            </w:r>
          </w:p>
        </w:tc>
        <w:tc>
          <w:tcPr>
            <w:tcW w:w="850" w:type="dxa"/>
          </w:tcPr>
          <w:p w:rsidR="00A145C5" w:rsidRPr="00725B7E" w:rsidRDefault="00A145C5" w:rsidP="00A145C5">
            <w:pPr>
              <w:keepNext/>
              <w:ind w:left="-108"/>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 xml:space="preserve"> 5</w:t>
            </w:r>
          </w:p>
        </w:tc>
        <w:tc>
          <w:tcPr>
            <w:tcW w:w="1559" w:type="dxa"/>
          </w:tcPr>
          <w:p w:rsidR="00A145C5" w:rsidRPr="00725B7E" w:rsidRDefault="00A145C5" w:rsidP="00A145C5">
            <w:pPr>
              <w:keepNext/>
              <w:jc w:val="center"/>
              <w:rPr>
                <w:rFonts w:ascii="Arial Narrow" w:eastAsiaTheme="minorHAnsi" w:hAnsi="Arial Narrow"/>
                <w:sz w:val="18"/>
                <w:szCs w:val="18"/>
                <w:lang w:eastAsia="en-US"/>
              </w:rPr>
            </w:pPr>
            <w:r w:rsidRPr="00725B7E">
              <w:rPr>
                <w:rFonts w:ascii="Arial Narrow" w:eastAsiaTheme="minorHAnsi" w:hAnsi="Arial Narrow"/>
                <w:sz w:val="18"/>
                <w:szCs w:val="18"/>
                <w:lang w:eastAsia="en-US"/>
              </w:rPr>
              <w:t>Uptravi</w:t>
            </w:r>
          </w:p>
        </w:tc>
      </w:tr>
    </w:tbl>
    <w:p w:rsidR="00A145C5" w:rsidRPr="00725B7E" w:rsidRDefault="00A145C5" w:rsidP="00A145C5"/>
    <w:p w:rsidR="00A145C5" w:rsidRPr="00725B7E" w:rsidRDefault="00A145C5" w:rsidP="00A145C5">
      <w:pPr>
        <w:spacing w:after="160" w:line="259" w:lineRule="auto"/>
        <w:jc w:val="left"/>
        <w:rPr>
          <w:rFonts w:ascii="Arial Narrow" w:eastAsiaTheme="minorHAnsi" w:hAnsi="Arial Narrow" w:cs="Times New Roman"/>
          <w:b/>
          <w:sz w:val="18"/>
          <w:szCs w:val="18"/>
          <w:lang w:eastAsia="en-US"/>
        </w:rPr>
      </w:pPr>
      <w:r w:rsidRPr="00725B7E">
        <w:rPr>
          <w:rFonts w:ascii="Arial Narrow" w:eastAsiaTheme="minorHAnsi" w:hAnsi="Arial Narrow" w:cs="Times New Roman"/>
          <w:b/>
          <w:sz w:val="18"/>
          <w:szCs w:val="18"/>
          <w:lang w:eastAsia="en-US"/>
        </w:rPr>
        <w:t>Restriction Summary [new] / Treatment of Concept: [new]</w:t>
      </w:r>
    </w:p>
    <w:tbl>
      <w:tblPr>
        <w:tblStyle w:val="TableGrid"/>
        <w:tblW w:w="7745" w:type="dxa"/>
        <w:tblLayout w:type="fixed"/>
        <w:tblCellMar>
          <w:left w:w="85" w:type="dxa"/>
          <w:right w:w="85" w:type="dxa"/>
        </w:tblCellMar>
        <w:tblLook w:val="04A0" w:firstRow="1" w:lastRow="0" w:firstColumn="1" w:lastColumn="0" w:noHBand="0" w:noVBand="1"/>
        <w:tblCaption w:val="Table restriction"/>
      </w:tblPr>
      <w:tblGrid>
        <w:gridCol w:w="7745"/>
      </w:tblGrid>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Category / Program: </w:t>
            </w:r>
            <w:r w:rsidRPr="00725B7E">
              <w:rPr>
                <w:rFonts w:ascii="Arial Narrow" w:hAnsi="Arial Narrow"/>
                <w:strike/>
                <w:sz w:val="18"/>
                <w:szCs w:val="18"/>
              </w:rPr>
              <w:t>General Schedule (Code GE)</w:t>
            </w:r>
            <w:r w:rsidRPr="00725B7E">
              <w:rPr>
                <w:rFonts w:ascii="Arial Narrow" w:hAnsi="Arial Narrow"/>
                <w:i/>
                <w:sz w:val="18"/>
                <w:szCs w:val="18"/>
              </w:rPr>
              <w:t xml:space="preserve"> Section 100 - Highly Specialised Drugs Program (Public/Private)</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Prescriber type: </w:t>
            </w:r>
            <w:r w:rsidRPr="00725B7E">
              <w:rPr>
                <w:rFonts w:ascii="Arial Narrow" w:hAnsi="Arial Narrow"/>
                <w:sz w:val="18"/>
                <w:szCs w:val="18"/>
              </w:rPr>
              <w:fldChar w:fldCharType="begin">
                <w:ffData>
                  <w:name w:val="Check1"/>
                  <w:enabled/>
                  <w:calcOnExit w:val="0"/>
                  <w:checkBox>
                    <w:sizeAuto/>
                    <w:default w:val="1"/>
                  </w:checkBox>
                </w:ffData>
              </w:fldChar>
            </w:r>
            <w:r w:rsidRPr="00725B7E">
              <w:rPr>
                <w:rFonts w:ascii="Arial Narrow" w:hAnsi="Arial Narrow"/>
                <w:sz w:val="18"/>
                <w:szCs w:val="18"/>
              </w:rPr>
              <w:instrText xml:space="preserve"> FORMCHECKBOX </w:instrText>
            </w:r>
            <w:r w:rsidR="00340FCF">
              <w:rPr>
                <w:rFonts w:ascii="Arial Narrow" w:hAnsi="Arial Narrow"/>
                <w:sz w:val="18"/>
                <w:szCs w:val="18"/>
              </w:rPr>
            </w:r>
            <w:r w:rsidR="00340FCF">
              <w:rPr>
                <w:rFonts w:ascii="Arial Narrow" w:hAnsi="Arial Narrow"/>
                <w:sz w:val="18"/>
                <w:szCs w:val="18"/>
              </w:rPr>
              <w:fldChar w:fldCharType="separate"/>
            </w:r>
            <w:r w:rsidRPr="00725B7E">
              <w:rPr>
                <w:rFonts w:ascii="Arial Narrow" w:hAnsi="Arial Narrow"/>
                <w:sz w:val="18"/>
                <w:szCs w:val="18"/>
              </w:rPr>
              <w:fldChar w:fldCharType="end"/>
            </w:r>
            <w:r w:rsidRPr="00725B7E">
              <w:rPr>
                <w:rFonts w:ascii="Arial Narrow" w:hAnsi="Arial Narrow"/>
                <w:sz w:val="18"/>
                <w:szCs w:val="18"/>
              </w:rPr>
              <w:t xml:space="preserve">Medical Practitioners  </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Episodicity: </w:t>
            </w:r>
            <w:r w:rsidRPr="00725B7E">
              <w:rPr>
                <w:rFonts w:ascii="Arial Narrow" w:hAnsi="Arial Narrow"/>
                <w:sz w:val="18"/>
                <w:szCs w:val="18"/>
              </w:rPr>
              <w:t>N/A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Severity: </w:t>
            </w:r>
            <w:r w:rsidRPr="00725B7E">
              <w:rPr>
                <w:rFonts w:ascii="Arial Narrow" w:hAnsi="Arial Narrow"/>
                <w:sz w:val="18"/>
                <w:szCs w:val="18"/>
              </w:rPr>
              <w:t>[blank]</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Condition: </w:t>
            </w:r>
            <w:r w:rsidRPr="00725B7E">
              <w:rPr>
                <w:rFonts w:ascii="Arial Narrow" w:hAnsi="Arial Narrow"/>
                <w:sz w:val="18"/>
                <w:szCs w:val="18"/>
              </w:rPr>
              <w:t>Pulmonary arterial hypertension (PAH)</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PBS Indication: </w:t>
            </w:r>
            <w:r w:rsidRPr="00725B7E">
              <w:rPr>
                <w:rFonts w:ascii="Arial Narrow" w:hAnsi="Arial Narrow"/>
                <w:sz w:val="18"/>
                <w:szCs w:val="18"/>
              </w:rPr>
              <w:t>Pulmonary arterial hypertension (PAH)</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Treatment phase: </w:t>
            </w:r>
            <w:r w:rsidRPr="00725B7E">
              <w:rPr>
                <w:rFonts w:ascii="Arial Narrow" w:hAnsi="Arial Narrow"/>
                <w:sz w:val="18"/>
                <w:szCs w:val="18"/>
              </w:rPr>
              <w:t>Initial treatment (non-dose titration)</w:t>
            </w:r>
          </w:p>
        </w:tc>
      </w:tr>
      <w:tr w:rsidR="00A145C5" w:rsidRPr="00725B7E" w:rsidTr="00A145C5">
        <w:trPr>
          <w:trHeight w:val="205"/>
        </w:trPr>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 xml:space="preserve">Restriction type: </w:t>
            </w:r>
            <w:r w:rsidRPr="00725B7E">
              <w:rPr>
                <w:rFonts w:ascii="Arial Narrow" w:eastAsia="Calibri" w:hAnsi="Arial Narrow"/>
                <w:sz w:val="18"/>
                <w:szCs w:val="18"/>
                <w:lang w:eastAsia="en-US"/>
              </w:rPr>
              <w:fldChar w:fldCharType="begin">
                <w:ffData>
                  <w:name w:val=""/>
                  <w:enabled/>
                  <w:calcOnExit w:val="0"/>
                  <w:checkBox>
                    <w:sizeAuto/>
                    <w:default w:val="1"/>
                  </w:checkBox>
                </w:ffData>
              </w:fldChar>
            </w:r>
            <w:r w:rsidRPr="00725B7E">
              <w:rPr>
                <w:rFonts w:ascii="Arial Narrow" w:eastAsia="Calibri" w:hAnsi="Arial Narrow"/>
                <w:sz w:val="18"/>
                <w:szCs w:val="18"/>
                <w:lang w:eastAsia="en-US"/>
              </w:rPr>
              <w:instrText xml:space="preserve"> FORMCHECKBOX </w:instrText>
            </w:r>
            <w:r w:rsidR="00340FCF">
              <w:rPr>
                <w:rFonts w:ascii="Arial Narrow" w:eastAsia="Calibri" w:hAnsi="Arial Narrow"/>
                <w:sz w:val="18"/>
                <w:szCs w:val="18"/>
                <w:lang w:eastAsia="en-US"/>
              </w:rPr>
            </w:r>
            <w:r w:rsidR="00340FCF">
              <w:rPr>
                <w:rFonts w:ascii="Arial Narrow" w:eastAsia="Calibri" w:hAnsi="Arial Narrow"/>
                <w:sz w:val="18"/>
                <w:szCs w:val="18"/>
                <w:lang w:eastAsia="en-US"/>
              </w:rPr>
              <w:fldChar w:fldCharType="separate"/>
            </w:r>
            <w:r w:rsidRPr="00725B7E">
              <w:rPr>
                <w:rFonts w:ascii="Arial Narrow" w:eastAsia="Calibri" w:hAnsi="Arial Narrow"/>
                <w:sz w:val="18"/>
                <w:szCs w:val="18"/>
                <w:lang w:eastAsia="en-US"/>
              </w:rPr>
              <w:fldChar w:fldCharType="end"/>
            </w:r>
            <w:r w:rsidRPr="00725B7E">
              <w:rPr>
                <w:rFonts w:ascii="Arial Narrow" w:eastAsia="Calibri" w:hAnsi="Arial Narrow"/>
                <w:sz w:val="18"/>
                <w:szCs w:val="18"/>
                <w:lang w:eastAsia="en-US"/>
              </w:rPr>
              <w:t>Authority Required – non-immediate/delayed assessment by Services Australia (in-writing only via mail/postal service or electronic upload to Hobart)</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Patient must have been assessed by a physician with expertise in the management of PAH</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745" w:type="dxa"/>
          </w:tcPr>
          <w:p w:rsidR="00A145C5" w:rsidRPr="00725B7E" w:rsidRDefault="00A145C5" w:rsidP="00A145C5">
            <w:pPr>
              <w:rPr>
                <w:rFonts w:ascii="Arial Narrow" w:hAnsi="Arial Narrow"/>
                <w:b/>
                <w:strike/>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color w:val="FF00FF"/>
                <w:sz w:val="18"/>
                <w:szCs w:val="18"/>
              </w:rPr>
            </w:pPr>
            <w:r w:rsidRPr="00725B7E">
              <w:rPr>
                <w:rFonts w:ascii="Arial Narrow" w:hAnsi="Arial Narrow"/>
                <w:sz w:val="18"/>
                <w:szCs w:val="18"/>
              </w:rPr>
              <w:t>Patient must have documented WHO Functional Class III PAH or WHO Functional Class IV PAH at treatment initiation with this drug</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The treatment must form part of triple combination therapy with a PBS-subsidised phosphodiesterase-5 inhibitor (PDE-5i) together with a PBS-subsidised endothelin receptor antagonist (ERA); or</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 xml:space="preserve">The treatment must form part of dual combination therapy with one of the above mentioned drug classes, but only  when triple combination therapy is not possible due to at least one of the following being present: (i) a contraindication according to the TGA approved Product Information, (ii) an intolerance requiring permanent treatment cessation  </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AND</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sz w:val="18"/>
                <w:szCs w:val="18"/>
              </w:rPr>
              <w:t>The treatment must be in addition to existing dual therapy with a phosphodiesterase-5 inhibitor (PDE-5i) agent combined with an endothelin receptor antagonist (ERA) for pulmonary arterial hypertension (PAH); or</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sz w:val="18"/>
                <w:szCs w:val="18"/>
              </w:rPr>
              <w:t xml:space="preserve">The treatment must be in addition to existing therapy with a phosphodiesterase-5 inhibitor (PDE-5i)/an endothelin receptor antagonist (ERA) for pulmonary arterial hypertension (PAH), but only when dual ERA-PDE-5i combination </w:t>
            </w:r>
            <w:r w:rsidRPr="00725B7E">
              <w:rPr>
                <w:rFonts w:ascii="Arial Narrow" w:hAnsi="Arial Narrow"/>
                <w:sz w:val="18"/>
                <w:szCs w:val="18"/>
              </w:rPr>
              <w:lastRenderedPageBreak/>
              <w:t xml:space="preserve">therapy was not possible due to at least one of the following being present: (i) a contraindication according to the TGA approved Product Information, (ii) an intolerance requiring permanent treatment cessation  </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lastRenderedPageBreak/>
              <w:t>AND</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The treatment must not be as monotherapy</w:t>
            </w:r>
          </w:p>
        </w:tc>
      </w:tr>
      <w:tr w:rsidR="00A145C5" w:rsidRPr="00725B7E" w:rsidTr="00A145C5">
        <w:trPr>
          <w:trHeight w:val="1275"/>
        </w:trPr>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Prescriber Instructions:</w:t>
            </w:r>
          </w:p>
          <w:p w:rsidR="00A145C5" w:rsidRPr="00725B7E" w:rsidRDefault="00A145C5" w:rsidP="00A145C5">
            <w:pPr>
              <w:rPr>
                <w:rFonts w:ascii="Arial Narrow" w:hAnsi="Arial Narrow"/>
                <w:sz w:val="18"/>
                <w:szCs w:val="18"/>
              </w:rPr>
            </w:pPr>
            <w:r w:rsidRPr="00725B7E">
              <w:rPr>
                <w:rFonts w:ascii="Arial Narrow" w:hAnsi="Arial Narrow"/>
                <w:sz w:val="18"/>
                <w:szCs w:val="18"/>
              </w:rPr>
              <w:t>PAH (WHO Group I pulmonary hypertension) is defined as follows:</w:t>
            </w:r>
          </w:p>
          <w:p w:rsidR="00A145C5" w:rsidRPr="00725B7E" w:rsidRDefault="00A145C5" w:rsidP="00A145C5">
            <w:pPr>
              <w:rPr>
                <w:rFonts w:ascii="Arial Narrow" w:hAnsi="Arial Narrow"/>
                <w:sz w:val="18"/>
                <w:szCs w:val="18"/>
              </w:rPr>
            </w:pPr>
            <w:r w:rsidRPr="00725B7E">
              <w:rPr>
                <w:rFonts w:ascii="Arial Narrow" w:hAnsi="Arial Narrow"/>
                <w:sz w:val="18"/>
                <w:szCs w:val="18"/>
              </w:rPr>
              <w:t>(i) mean pulmonary artery pressure (mPAP) greater than or equal to 25 mmHg at rest and pulmonary artery wedge pressure (PAWP) less than or equal to 15 mmHg; or</w:t>
            </w:r>
          </w:p>
          <w:p w:rsidR="00A145C5" w:rsidRPr="00725B7E" w:rsidRDefault="00A145C5" w:rsidP="00A145C5">
            <w:pPr>
              <w:rPr>
                <w:rFonts w:ascii="Arial Narrow" w:hAnsi="Arial Narrow"/>
                <w:sz w:val="18"/>
                <w:szCs w:val="18"/>
              </w:rPr>
            </w:pPr>
            <w:r w:rsidRPr="00725B7E">
              <w:rPr>
                <w:rFonts w:ascii="Arial Narrow" w:hAnsi="Arial Narrow"/>
                <w:sz w:val="18"/>
                <w:szCs w:val="18"/>
              </w:rPr>
              <w:t>(ii) where a right heart catheter (RHC) cannot be performed on clinical grounds, right ventricular systolic pressure (RVSP), assessed by echocardiography (ECHO), greater than 40 mmHg, with normal left ventricular function.</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Prescriber Instructions:</w:t>
            </w:r>
          </w:p>
          <w:p w:rsidR="00A145C5" w:rsidRPr="00725B7E" w:rsidRDefault="00A145C5" w:rsidP="00A145C5">
            <w:pPr>
              <w:rPr>
                <w:rFonts w:ascii="Arial Narrow" w:hAnsi="Arial Narrow"/>
                <w:b/>
                <w:sz w:val="18"/>
                <w:szCs w:val="18"/>
              </w:rPr>
            </w:pPr>
            <w:r w:rsidRPr="00725B7E">
              <w:rPr>
                <w:rFonts w:ascii="Arial Narrow" w:hAnsi="Arial Narrow"/>
                <w:sz w:val="18"/>
                <w:szCs w:val="18"/>
              </w:rPr>
              <w:t>PAH agents are not PBS-subsidised for patients with pulmonary hypertension secondary to interstitial lung disease associated with connective tissue disease, where the total lung capacity is less than 70% of predicted.</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Prescriber Instructions:</w:t>
            </w:r>
          </w:p>
          <w:p w:rsidR="00A145C5" w:rsidRPr="00725B7E" w:rsidRDefault="00A145C5" w:rsidP="00A145C5">
            <w:pPr>
              <w:rPr>
                <w:rFonts w:ascii="Arial Narrow" w:hAnsi="Arial Narrow"/>
                <w:sz w:val="18"/>
                <w:szCs w:val="18"/>
              </w:rPr>
            </w:pPr>
            <w:r w:rsidRPr="00725B7E">
              <w:rPr>
                <w:rFonts w:ascii="Arial Narrow" w:hAnsi="Arial Narrow"/>
                <w:sz w:val="18"/>
                <w:szCs w:val="18"/>
              </w:rPr>
              <w:t>Delayed assessment instructions (to be determined)</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 xml:space="preserve"> Administrative Advice:</w:t>
            </w:r>
          </w:p>
          <w:p w:rsidR="00A145C5" w:rsidRPr="00725B7E" w:rsidRDefault="00A145C5" w:rsidP="00A145C5">
            <w:pPr>
              <w:rPr>
                <w:rFonts w:ascii="Arial Narrow" w:hAnsi="Arial Narrow"/>
                <w:sz w:val="18"/>
                <w:szCs w:val="18"/>
              </w:rPr>
            </w:pPr>
            <w:r w:rsidRPr="00725B7E">
              <w:rPr>
                <w:rFonts w:ascii="Arial Narrow" w:hAnsi="Arial Narrow"/>
                <w:sz w:val="18"/>
                <w:szCs w:val="18"/>
              </w:rPr>
              <w:t>PAH (WHO Group 1 pulmonary hypertension) currently includes the following subtypes:</w:t>
            </w:r>
          </w:p>
          <w:p w:rsidR="00A145C5" w:rsidRPr="00725B7E" w:rsidRDefault="00A145C5" w:rsidP="00A145C5">
            <w:pPr>
              <w:ind w:left="170"/>
              <w:rPr>
                <w:rFonts w:ascii="Arial Narrow" w:hAnsi="Arial Narrow"/>
                <w:sz w:val="18"/>
                <w:szCs w:val="18"/>
              </w:rPr>
            </w:pPr>
            <w:r w:rsidRPr="00725B7E">
              <w:rPr>
                <w:rFonts w:ascii="Arial Narrow" w:hAnsi="Arial Narrow"/>
                <w:sz w:val="18"/>
                <w:szCs w:val="18"/>
              </w:rPr>
              <w:t>•</w:t>
            </w:r>
            <w:r w:rsidRPr="00725B7E">
              <w:rPr>
                <w:rFonts w:ascii="Arial Narrow" w:hAnsi="Arial Narrow"/>
                <w:sz w:val="18"/>
                <w:szCs w:val="18"/>
              </w:rPr>
              <w:tab/>
              <w:t>Idiopathic PAH</w:t>
            </w:r>
          </w:p>
          <w:p w:rsidR="00A145C5" w:rsidRPr="00725B7E" w:rsidRDefault="00A145C5" w:rsidP="00A145C5">
            <w:pPr>
              <w:ind w:left="170"/>
              <w:rPr>
                <w:rFonts w:ascii="Arial Narrow" w:hAnsi="Arial Narrow"/>
                <w:sz w:val="18"/>
                <w:szCs w:val="18"/>
              </w:rPr>
            </w:pPr>
            <w:r w:rsidRPr="00725B7E">
              <w:rPr>
                <w:rFonts w:ascii="Arial Narrow" w:hAnsi="Arial Narrow"/>
                <w:sz w:val="18"/>
                <w:szCs w:val="18"/>
              </w:rPr>
              <w:t>•</w:t>
            </w:r>
            <w:r w:rsidRPr="00725B7E">
              <w:rPr>
                <w:rFonts w:ascii="Arial Narrow" w:hAnsi="Arial Narrow"/>
                <w:sz w:val="18"/>
                <w:szCs w:val="18"/>
              </w:rPr>
              <w:tab/>
              <w:t>Heritable PAH</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BMPR2 mutation</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ALK-1, ENG, SMAD9, CAV1, KCNK3 mutations</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Other mutations</w:t>
            </w:r>
          </w:p>
          <w:p w:rsidR="00A145C5" w:rsidRPr="00725B7E" w:rsidRDefault="00A145C5" w:rsidP="00A145C5">
            <w:pPr>
              <w:ind w:left="170"/>
              <w:rPr>
                <w:rFonts w:ascii="Arial Narrow" w:hAnsi="Arial Narrow"/>
                <w:sz w:val="18"/>
                <w:szCs w:val="18"/>
              </w:rPr>
            </w:pPr>
            <w:r w:rsidRPr="00725B7E">
              <w:rPr>
                <w:rFonts w:ascii="Arial Narrow" w:hAnsi="Arial Narrow"/>
                <w:sz w:val="18"/>
                <w:szCs w:val="18"/>
              </w:rPr>
              <w:t>•</w:t>
            </w:r>
            <w:r w:rsidRPr="00725B7E">
              <w:rPr>
                <w:rFonts w:ascii="Arial Narrow" w:hAnsi="Arial Narrow"/>
                <w:sz w:val="18"/>
                <w:szCs w:val="18"/>
              </w:rPr>
              <w:tab/>
              <w:t>Drugs and toxins induced PAH</w:t>
            </w:r>
          </w:p>
          <w:p w:rsidR="00A145C5" w:rsidRPr="00725B7E" w:rsidRDefault="00A145C5" w:rsidP="00A145C5">
            <w:pPr>
              <w:ind w:left="170"/>
              <w:rPr>
                <w:rFonts w:ascii="Arial Narrow" w:hAnsi="Arial Narrow"/>
                <w:sz w:val="18"/>
                <w:szCs w:val="18"/>
              </w:rPr>
            </w:pPr>
            <w:r w:rsidRPr="00725B7E">
              <w:rPr>
                <w:rFonts w:ascii="Arial Narrow" w:hAnsi="Arial Narrow"/>
                <w:sz w:val="18"/>
                <w:szCs w:val="18"/>
              </w:rPr>
              <w:t>•</w:t>
            </w:r>
            <w:r w:rsidRPr="00725B7E">
              <w:rPr>
                <w:rFonts w:ascii="Arial Narrow" w:hAnsi="Arial Narrow"/>
                <w:sz w:val="18"/>
                <w:szCs w:val="18"/>
              </w:rPr>
              <w:tab/>
              <w:t>PAH associated with:</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Connective tissue disease</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Human immunodeficiency virus (HIV) infection</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Portal hypertension</w:t>
            </w:r>
          </w:p>
          <w:p w:rsidR="00A145C5" w:rsidRPr="00725B7E" w:rsidRDefault="00A145C5" w:rsidP="00A145C5">
            <w:pPr>
              <w:ind w:left="850"/>
              <w:rPr>
                <w:rFonts w:ascii="Arial Narrow" w:hAnsi="Arial Narrow"/>
                <w:sz w:val="18"/>
                <w:szCs w:val="18"/>
              </w:rPr>
            </w:pPr>
            <w:r w:rsidRPr="00725B7E">
              <w:rPr>
                <w:rFonts w:ascii="Arial Narrow" w:hAnsi="Arial Narrow"/>
                <w:sz w:val="18"/>
                <w:szCs w:val="18"/>
              </w:rPr>
              <w:t>o</w:t>
            </w:r>
            <w:r w:rsidRPr="00725B7E">
              <w:rPr>
                <w:rFonts w:ascii="Arial Narrow" w:hAnsi="Arial Narrow"/>
                <w:sz w:val="18"/>
                <w:szCs w:val="18"/>
              </w:rPr>
              <w:tab/>
              <w:t>Congenital heart disease</w:t>
            </w:r>
          </w:p>
          <w:p w:rsidR="00A145C5" w:rsidRPr="00725B7E" w:rsidRDefault="00A145C5" w:rsidP="00A145C5">
            <w:pPr>
              <w:rPr>
                <w:rFonts w:ascii="Arial Narrow" w:hAnsi="Arial Narrow"/>
                <w:b/>
                <w:sz w:val="18"/>
                <w:szCs w:val="18"/>
              </w:rPr>
            </w:pPr>
            <w:r w:rsidRPr="00725B7E">
              <w:rPr>
                <w:rFonts w:ascii="Arial Narrow" w:hAnsi="Arial Narrow"/>
                <w:sz w:val="18"/>
                <w:szCs w:val="18"/>
              </w:rPr>
              <w:t>o</w:t>
            </w:r>
            <w:r w:rsidRPr="00725B7E">
              <w:rPr>
                <w:rFonts w:ascii="Arial Narrow" w:hAnsi="Arial Narrow"/>
                <w:sz w:val="18"/>
                <w:szCs w:val="18"/>
              </w:rPr>
              <w:tab/>
              <w:t>Schistosomiasis</w:t>
            </w:r>
          </w:p>
        </w:tc>
      </w:tr>
      <w:tr w:rsidR="00A145C5" w:rsidRPr="00725B7E" w:rsidTr="00A145C5">
        <w:tc>
          <w:tcPr>
            <w:tcW w:w="7745" w:type="dxa"/>
          </w:tcPr>
          <w:p w:rsidR="00A145C5" w:rsidRPr="00725B7E" w:rsidRDefault="00A145C5" w:rsidP="00A145C5">
            <w:pPr>
              <w:rPr>
                <w:rFonts w:ascii="Arial Narrow" w:hAnsi="Arial Narrow"/>
                <w:color w:val="0000FF" w:themeColor="hyperlink"/>
                <w:sz w:val="18"/>
                <w:szCs w:val="18"/>
                <w:u w:val="single"/>
              </w:rPr>
            </w:pPr>
            <w:r w:rsidRPr="00725B7E">
              <w:rPr>
                <w:rFonts w:ascii="Arial Narrow" w:hAnsi="Arial Narrow"/>
                <w:b/>
                <w:sz w:val="18"/>
                <w:szCs w:val="18"/>
              </w:rPr>
              <w:t>Administrative advice:</w:t>
            </w:r>
          </w:p>
          <w:p w:rsidR="00A145C5" w:rsidRPr="00725B7E" w:rsidRDefault="00A145C5" w:rsidP="00A145C5">
            <w:pPr>
              <w:rPr>
                <w:rFonts w:ascii="Arial Narrow" w:hAnsi="Arial Narrow"/>
                <w:sz w:val="18"/>
                <w:szCs w:val="18"/>
              </w:rPr>
            </w:pPr>
            <w:r w:rsidRPr="00725B7E">
              <w:rPr>
                <w:rFonts w:ascii="Arial Narrow" w:hAnsi="Arial Narrow"/>
                <w:sz w:val="18"/>
                <w:szCs w:val="18"/>
              </w:rPr>
              <w:t>Any queries concerning the arrangements to prescribe may be directed to Services Australia on 1800 700 270 (hours of operation 8 a.m. to 5 p.m. EST Monday to Friday).</w:t>
            </w:r>
          </w:p>
          <w:p w:rsidR="00A145C5" w:rsidRPr="00725B7E" w:rsidRDefault="00A145C5" w:rsidP="00A145C5">
            <w:pPr>
              <w:rPr>
                <w:rFonts w:ascii="Arial Narrow" w:hAnsi="Arial Narrow"/>
                <w:sz w:val="18"/>
                <w:szCs w:val="18"/>
              </w:rPr>
            </w:pPr>
          </w:p>
          <w:p w:rsidR="00A145C5" w:rsidRPr="00725B7E" w:rsidRDefault="00A145C5" w:rsidP="00A145C5">
            <w:pPr>
              <w:rPr>
                <w:rFonts w:ascii="Arial Narrow" w:hAnsi="Arial Narrow"/>
                <w:sz w:val="18"/>
                <w:szCs w:val="18"/>
              </w:rPr>
            </w:pPr>
            <w:r w:rsidRPr="00725B7E">
              <w:rPr>
                <w:rFonts w:ascii="Arial Narrow" w:hAnsi="Arial Narrow"/>
                <w:sz w:val="18"/>
                <w:szCs w:val="18"/>
              </w:rPr>
              <w:t xml:space="preserve">Prescribing information (including Authority Application forms and other relevant documentation as applicable) is available on the Services Australia website at </w:t>
            </w:r>
            <w:r w:rsidRPr="00725B7E">
              <w:rPr>
                <w:rFonts w:ascii="Arial Narrow" w:hAnsi="Arial Narrow"/>
                <w:color w:val="0000FF" w:themeColor="hyperlink"/>
                <w:sz w:val="18"/>
                <w:szCs w:val="18"/>
                <w:u w:val="single"/>
              </w:rPr>
              <w:t>www.servicesaustralia.gov.au</w:t>
            </w:r>
          </w:p>
          <w:p w:rsidR="00A145C5" w:rsidRPr="00725B7E" w:rsidRDefault="00A145C5" w:rsidP="00A145C5">
            <w:pPr>
              <w:rPr>
                <w:rFonts w:ascii="Arial Narrow" w:hAnsi="Arial Narrow"/>
                <w:sz w:val="18"/>
                <w:szCs w:val="18"/>
              </w:rPr>
            </w:pPr>
          </w:p>
          <w:p w:rsidR="00A145C5" w:rsidRPr="00725B7E" w:rsidRDefault="00A145C5" w:rsidP="00A145C5">
            <w:pPr>
              <w:rPr>
                <w:rFonts w:ascii="Arial Narrow" w:hAnsi="Arial Narrow"/>
                <w:sz w:val="18"/>
                <w:szCs w:val="18"/>
              </w:rPr>
            </w:pPr>
            <w:r w:rsidRPr="00725B7E">
              <w:rPr>
                <w:rFonts w:ascii="Arial Narrow" w:hAnsi="Arial Narrow"/>
                <w:sz w:val="18"/>
                <w:szCs w:val="18"/>
              </w:rPr>
              <w:t xml:space="preserve">Applications for authority to prescribe should be submitted online using the form upload facility in Health Professional Online Services (HPOS) at </w:t>
            </w:r>
            <w:r w:rsidRPr="00725B7E">
              <w:rPr>
                <w:rFonts w:ascii="Arial Narrow" w:hAnsi="Arial Narrow"/>
                <w:color w:val="0000FF" w:themeColor="hyperlink"/>
                <w:sz w:val="18"/>
                <w:szCs w:val="18"/>
                <w:u w:val="single"/>
              </w:rPr>
              <w:t>www.servicesaustralia.gov.au/hpos</w:t>
            </w:r>
          </w:p>
          <w:p w:rsidR="00A145C5" w:rsidRPr="00725B7E" w:rsidRDefault="00A145C5" w:rsidP="00A145C5">
            <w:pPr>
              <w:rPr>
                <w:rFonts w:ascii="Arial Narrow" w:hAnsi="Arial Narrow"/>
                <w:sz w:val="18"/>
                <w:szCs w:val="18"/>
              </w:rPr>
            </w:pPr>
          </w:p>
          <w:p w:rsidR="00A145C5" w:rsidRPr="00725B7E" w:rsidRDefault="00A145C5" w:rsidP="00A145C5">
            <w:pPr>
              <w:rPr>
                <w:rFonts w:ascii="Arial Narrow" w:hAnsi="Arial Narrow"/>
                <w:sz w:val="18"/>
                <w:szCs w:val="18"/>
              </w:rPr>
            </w:pPr>
            <w:r w:rsidRPr="00725B7E">
              <w:rPr>
                <w:rFonts w:ascii="Arial Narrow" w:hAnsi="Arial Narrow"/>
                <w:sz w:val="18"/>
                <w:szCs w:val="18"/>
              </w:rPr>
              <w:t>Or mailed to:</w:t>
            </w:r>
          </w:p>
          <w:p w:rsidR="00A145C5" w:rsidRPr="00725B7E" w:rsidRDefault="00A145C5" w:rsidP="00A145C5">
            <w:pPr>
              <w:rPr>
                <w:rFonts w:ascii="Arial Narrow" w:hAnsi="Arial Narrow"/>
                <w:sz w:val="18"/>
                <w:szCs w:val="18"/>
              </w:rPr>
            </w:pPr>
            <w:r w:rsidRPr="00725B7E">
              <w:rPr>
                <w:rFonts w:ascii="Arial Narrow" w:hAnsi="Arial Narrow"/>
                <w:sz w:val="18"/>
                <w:szCs w:val="18"/>
              </w:rPr>
              <w:t>Services Australia</w:t>
            </w:r>
          </w:p>
          <w:p w:rsidR="00A145C5" w:rsidRPr="00725B7E" w:rsidRDefault="00A145C5" w:rsidP="00A145C5">
            <w:pPr>
              <w:rPr>
                <w:rFonts w:ascii="Arial Narrow" w:hAnsi="Arial Narrow"/>
                <w:sz w:val="18"/>
                <w:szCs w:val="18"/>
              </w:rPr>
            </w:pPr>
            <w:r w:rsidRPr="00725B7E">
              <w:rPr>
                <w:rFonts w:ascii="Arial Narrow" w:hAnsi="Arial Narrow"/>
                <w:sz w:val="18"/>
                <w:szCs w:val="18"/>
              </w:rPr>
              <w:t>Complex Drugs</w:t>
            </w:r>
          </w:p>
          <w:p w:rsidR="00A145C5" w:rsidRPr="00725B7E" w:rsidRDefault="00A145C5" w:rsidP="00A145C5">
            <w:pPr>
              <w:rPr>
                <w:rFonts w:ascii="Arial Narrow" w:hAnsi="Arial Narrow"/>
                <w:sz w:val="18"/>
                <w:szCs w:val="18"/>
              </w:rPr>
            </w:pPr>
            <w:r w:rsidRPr="00725B7E">
              <w:rPr>
                <w:rFonts w:ascii="Arial Narrow" w:hAnsi="Arial Narrow"/>
                <w:sz w:val="18"/>
                <w:szCs w:val="18"/>
              </w:rPr>
              <w:t>Reply Paid 9826</w:t>
            </w:r>
          </w:p>
          <w:p w:rsidR="00A145C5" w:rsidRPr="00725B7E" w:rsidRDefault="00A145C5" w:rsidP="00A145C5">
            <w:pPr>
              <w:rPr>
                <w:rFonts w:ascii="Arial Narrow" w:hAnsi="Arial Narrow"/>
                <w:sz w:val="18"/>
                <w:szCs w:val="18"/>
              </w:rPr>
            </w:pPr>
            <w:r w:rsidRPr="00725B7E">
              <w:rPr>
                <w:rFonts w:ascii="Arial Narrow" w:hAnsi="Arial Narrow"/>
                <w:sz w:val="18"/>
                <w:szCs w:val="18"/>
              </w:rPr>
              <w:t>HOBART TAS 7001</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Administrative Advice:</w:t>
            </w:r>
          </w:p>
          <w:p w:rsidR="00A145C5" w:rsidRPr="00725B7E" w:rsidRDefault="00A145C5" w:rsidP="00A145C5">
            <w:pPr>
              <w:rPr>
                <w:rFonts w:ascii="Arial Narrow" w:hAnsi="Arial Narrow"/>
                <w:b/>
                <w:sz w:val="18"/>
                <w:szCs w:val="18"/>
              </w:rPr>
            </w:pPr>
            <w:r w:rsidRPr="00725B7E">
              <w:rPr>
                <w:rFonts w:ascii="Arial Narrow" w:hAnsi="Arial Narrow"/>
                <w:sz w:val="18"/>
                <w:szCs w:val="18"/>
              </w:rPr>
              <w:t xml:space="preserve">The relevant agency assessing a first-time authority application for this drug is to confirm that there is valid, active authority approval for both an endothelin receptor (ERA) antagonist and phosphodiesterase-5 inhibitor (PDE-5i).  A concurrently lodged/yet to be assessed application for PBS subsidy of either will not suffice for the purpose of this restriction. Where triple therapy combination is not possible, confirm that that there is a valid authority approval for at least one of an ERA or PDE-5i. </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Special Pricing Arrangements apply</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No increase in the maximum quantity or number of units may be authorised.</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No increase in the maximum number of repeats may be authorised.</w:t>
            </w:r>
          </w:p>
        </w:tc>
      </w:tr>
    </w:tbl>
    <w:p w:rsidR="00A145C5" w:rsidRPr="00725B7E" w:rsidRDefault="00A145C5" w:rsidP="00A145C5">
      <w:pPr>
        <w:rPr>
          <w:color w:val="FF00FF"/>
          <w:sz w:val="18"/>
          <w:szCs w:val="18"/>
        </w:rPr>
      </w:pPr>
    </w:p>
    <w:p w:rsidR="00A145C5" w:rsidRPr="00725B7E" w:rsidRDefault="00A145C5" w:rsidP="00A145C5">
      <w:pPr>
        <w:spacing w:after="160" w:line="259" w:lineRule="auto"/>
        <w:jc w:val="left"/>
        <w:rPr>
          <w:rFonts w:ascii="Arial Narrow" w:eastAsiaTheme="minorHAnsi" w:hAnsi="Arial Narrow" w:cs="Times New Roman"/>
          <w:b/>
          <w:sz w:val="18"/>
          <w:szCs w:val="18"/>
          <w:lang w:eastAsia="en-US"/>
        </w:rPr>
      </w:pPr>
      <w:r w:rsidRPr="00725B7E">
        <w:rPr>
          <w:rFonts w:ascii="Arial Narrow" w:eastAsiaTheme="minorHAnsi" w:hAnsi="Arial Narrow" w:cs="Times New Roman"/>
          <w:b/>
          <w:sz w:val="18"/>
          <w:szCs w:val="18"/>
          <w:lang w:eastAsia="en-US"/>
        </w:rPr>
        <w:t>Restriction Summary [new] / Treatment of Concept: [new]</w:t>
      </w:r>
    </w:p>
    <w:tbl>
      <w:tblPr>
        <w:tblStyle w:val="TableGrid"/>
        <w:tblW w:w="7745" w:type="dxa"/>
        <w:tblLayout w:type="fixed"/>
        <w:tblCellMar>
          <w:left w:w="85" w:type="dxa"/>
          <w:right w:w="85" w:type="dxa"/>
        </w:tblCellMar>
        <w:tblLook w:val="04A0" w:firstRow="1" w:lastRow="0" w:firstColumn="1" w:lastColumn="0" w:noHBand="0" w:noVBand="1"/>
        <w:tblCaption w:val="Table restriction"/>
      </w:tblPr>
      <w:tblGrid>
        <w:gridCol w:w="7745"/>
      </w:tblGrid>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Category / Program: </w:t>
            </w:r>
            <w:r w:rsidRPr="00725B7E">
              <w:rPr>
                <w:rFonts w:ascii="Arial Narrow" w:hAnsi="Arial Narrow"/>
                <w:strike/>
                <w:sz w:val="18"/>
                <w:szCs w:val="18"/>
              </w:rPr>
              <w:t>General Schedule (Code GE)</w:t>
            </w:r>
            <w:r w:rsidRPr="00725B7E">
              <w:rPr>
                <w:rFonts w:ascii="Arial Narrow" w:hAnsi="Arial Narrow"/>
                <w:sz w:val="18"/>
                <w:szCs w:val="18"/>
              </w:rPr>
              <w:t xml:space="preserve"> </w:t>
            </w:r>
            <w:r w:rsidRPr="00725B7E">
              <w:rPr>
                <w:rFonts w:ascii="Arial Narrow" w:hAnsi="Arial Narrow"/>
                <w:i/>
                <w:sz w:val="18"/>
                <w:szCs w:val="18"/>
              </w:rPr>
              <w:t>Section 100 - Highly Specialised Drugs Program (Public/Private)</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Prescriber type: </w:t>
            </w:r>
            <w:r w:rsidRPr="00725B7E">
              <w:rPr>
                <w:rFonts w:ascii="Arial Narrow" w:hAnsi="Arial Narrow"/>
                <w:sz w:val="18"/>
                <w:szCs w:val="18"/>
              </w:rPr>
              <w:fldChar w:fldCharType="begin">
                <w:ffData>
                  <w:name w:val="Check1"/>
                  <w:enabled/>
                  <w:calcOnExit w:val="0"/>
                  <w:checkBox>
                    <w:sizeAuto/>
                    <w:default w:val="1"/>
                  </w:checkBox>
                </w:ffData>
              </w:fldChar>
            </w:r>
            <w:r w:rsidRPr="00725B7E">
              <w:rPr>
                <w:rFonts w:ascii="Arial Narrow" w:hAnsi="Arial Narrow"/>
                <w:sz w:val="18"/>
                <w:szCs w:val="18"/>
              </w:rPr>
              <w:instrText xml:space="preserve"> FORMCHECKBOX </w:instrText>
            </w:r>
            <w:r w:rsidR="00340FCF">
              <w:rPr>
                <w:rFonts w:ascii="Arial Narrow" w:hAnsi="Arial Narrow"/>
                <w:sz w:val="18"/>
                <w:szCs w:val="18"/>
              </w:rPr>
            </w:r>
            <w:r w:rsidR="00340FCF">
              <w:rPr>
                <w:rFonts w:ascii="Arial Narrow" w:hAnsi="Arial Narrow"/>
                <w:sz w:val="18"/>
                <w:szCs w:val="18"/>
              </w:rPr>
              <w:fldChar w:fldCharType="separate"/>
            </w:r>
            <w:r w:rsidRPr="00725B7E">
              <w:rPr>
                <w:rFonts w:ascii="Arial Narrow" w:hAnsi="Arial Narrow"/>
                <w:sz w:val="18"/>
                <w:szCs w:val="18"/>
              </w:rPr>
              <w:fldChar w:fldCharType="end"/>
            </w:r>
            <w:r w:rsidRPr="00725B7E">
              <w:rPr>
                <w:rFonts w:ascii="Arial Narrow" w:hAnsi="Arial Narrow"/>
                <w:sz w:val="18"/>
                <w:szCs w:val="18"/>
              </w:rPr>
              <w:t xml:space="preserve">Medical Practitioners  </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Episodicity: </w:t>
            </w:r>
            <w:r w:rsidRPr="00725B7E">
              <w:rPr>
                <w:rFonts w:ascii="Arial Narrow" w:hAnsi="Arial Narrow"/>
                <w:sz w:val="18"/>
                <w:szCs w:val="18"/>
              </w:rPr>
              <w:t>N/A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Severity: </w:t>
            </w:r>
            <w:r w:rsidRPr="00725B7E">
              <w:rPr>
                <w:rFonts w:ascii="Arial Narrow" w:hAnsi="Arial Narrow"/>
                <w:sz w:val="18"/>
                <w:szCs w:val="18"/>
              </w:rPr>
              <w:t>[blank]</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lastRenderedPageBreak/>
              <w:t xml:space="preserve">Condition: </w:t>
            </w:r>
            <w:r w:rsidRPr="00725B7E">
              <w:rPr>
                <w:rFonts w:ascii="Arial Narrow" w:hAnsi="Arial Narrow"/>
                <w:sz w:val="18"/>
                <w:szCs w:val="18"/>
              </w:rPr>
              <w:t>Pulmonary arterial hypertension (PAH)</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PBS Indication: </w:t>
            </w:r>
            <w:r w:rsidRPr="00725B7E">
              <w:rPr>
                <w:rFonts w:ascii="Arial Narrow" w:hAnsi="Arial Narrow"/>
                <w:sz w:val="18"/>
                <w:szCs w:val="18"/>
              </w:rPr>
              <w:t>Pulmonary arterial hypertension (PAH)</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Treatment phase: </w:t>
            </w:r>
            <w:r w:rsidRPr="00725B7E">
              <w:rPr>
                <w:rFonts w:ascii="Arial Narrow" w:hAnsi="Arial Narrow"/>
                <w:sz w:val="18"/>
                <w:szCs w:val="18"/>
              </w:rPr>
              <w:t xml:space="preserve"> Continuing treatment </w:t>
            </w:r>
          </w:p>
        </w:tc>
      </w:tr>
      <w:tr w:rsidR="00A145C5" w:rsidRPr="00725B7E" w:rsidTr="00A145C5">
        <w:trPr>
          <w:trHeight w:val="205"/>
        </w:trPr>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 xml:space="preserve">Restriction type: </w:t>
            </w:r>
            <w:r w:rsidRPr="00725B7E">
              <w:rPr>
                <w:rFonts w:ascii="Arial Narrow" w:eastAsia="Calibri" w:hAnsi="Arial Narrow"/>
                <w:sz w:val="18"/>
                <w:szCs w:val="18"/>
                <w:lang w:eastAsia="en-US"/>
              </w:rPr>
              <w:fldChar w:fldCharType="begin">
                <w:ffData>
                  <w:name w:val=""/>
                  <w:enabled/>
                  <w:calcOnExit w:val="0"/>
                  <w:checkBox>
                    <w:sizeAuto/>
                    <w:default w:val="1"/>
                  </w:checkBox>
                </w:ffData>
              </w:fldChar>
            </w:r>
            <w:r w:rsidRPr="00725B7E">
              <w:rPr>
                <w:rFonts w:ascii="Arial Narrow" w:eastAsia="Calibri" w:hAnsi="Arial Narrow"/>
                <w:sz w:val="18"/>
                <w:szCs w:val="18"/>
                <w:lang w:eastAsia="en-US"/>
              </w:rPr>
              <w:instrText xml:space="preserve"> FORMCHECKBOX </w:instrText>
            </w:r>
            <w:r w:rsidR="00340FCF">
              <w:rPr>
                <w:rFonts w:ascii="Arial Narrow" w:eastAsia="Calibri" w:hAnsi="Arial Narrow"/>
                <w:sz w:val="18"/>
                <w:szCs w:val="18"/>
                <w:lang w:eastAsia="en-US"/>
              </w:rPr>
            </w:r>
            <w:r w:rsidR="00340FCF">
              <w:rPr>
                <w:rFonts w:ascii="Arial Narrow" w:eastAsia="Calibri" w:hAnsi="Arial Narrow"/>
                <w:sz w:val="18"/>
                <w:szCs w:val="18"/>
                <w:lang w:eastAsia="en-US"/>
              </w:rPr>
              <w:fldChar w:fldCharType="separate"/>
            </w:r>
            <w:r w:rsidRPr="00725B7E">
              <w:rPr>
                <w:rFonts w:ascii="Arial Narrow" w:eastAsia="Calibri" w:hAnsi="Arial Narrow"/>
                <w:sz w:val="18"/>
                <w:szCs w:val="18"/>
                <w:lang w:eastAsia="en-US"/>
              </w:rPr>
              <w:fldChar w:fldCharType="end"/>
            </w:r>
            <w:r w:rsidRPr="00725B7E">
              <w:rPr>
                <w:rFonts w:ascii="Arial Narrow" w:eastAsia="Calibri" w:hAnsi="Arial Narrow"/>
                <w:sz w:val="18"/>
                <w:szCs w:val="18"/>
                <w:lang w:eastAsia="en-US"/>
              </w:rPr>
              <w:t>Authority Required –immediate/real-time assessment by Services Australia (telephone/online)</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Patient must have been assessed by a physician with expertise in the management of PAH</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Patient must have received PBS-subsidised treatment with this drug for this condition</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Patient must not have developed disease progression while receiving PBS-subsidised treatment with this drug for this condition</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The treatment must form part of triple combination therapy with a PBS-subsidised phosphodiesterase-5 inhibitor (PDE-5i) together with a PBS-subsidised endothelin receptor antagonist (ERA); or</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 xml:space="preserve">The treatment must form part of dual combination therapy with one of the above mentioned drug classes, but only  when triple combination therapy is not possible due to at least one of the following being present: (i) a contraindication according to the TGA approved Product Information, (ii) an intolerance requiring permanent treatment cessation  </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AND</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Clinical criteria:</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sz w:val="18"/>
                <w:szCs w:val="18"/>
              </w:rPr>
              <w:t>The treatment must not be as monotherapy</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Prescriber instructions:</w:t>
            </w:r>
          </w:p>
          <w:p w:rsidR="00A145C5" w:rsidRPr="00725B7E" w:rsidRDefault="00A145C5" w:rsidP="00A145C5">
            <w:pPr>
              <w:rPr>
                <w:rFonts w:ascii="Arial Narrow" w:hAnsi="Arial Narrow"/>
                <w:sz w:val="18"/>
                <w:szCs w:val="18"/>
              </w:rPr>
            </w:pPr>
            <w:r w:rsidRPr="00725B7E">
              <w:rPr>
                <w:rFonts w:ascii="Arial Narrow" w:hAnsi="Arial Narrow"/>
                <w:sz w:val="18"/>
                <w:szCs w:val="18"/>
              </w:rPr>
              <w:t>For the purposes of administering this restriction, disease progression has developed if at least one of the following has occurred:</w:t>
            </w:r>
          </w:p>
          <w:p w:rsidR="00A145C5" w:rsidRPr="00725B7E" w:rsidRDefault="00A145C5" w:rsidP="00A145C5">
            <w:pPr>
              <w:rPr>
                <w:rFonts w:ascii="Arial Narrow" w:hAnsi="Arial Narrow"/>
                <w:sz w:val="18"/>
                <w:szCs w:val="18"/>
              </w:rPr>
            </w:pPr>
            <w:r w:rsidRPr="00725B7E">
              <w:rPr>
                <w:rFonts w:ascii="Arial Narrow" w:hAnsi="Arial Narrow"/>
                <w:sz w:val="18"/>
                <w:szCs w:val="18"/>
              </w:rPr>
              <w:t>(i) Hospitalisation due to worsening PAH;</w:t>
            </w:r>
          </w:p>
          <w:p w:rsidR="00A145C5" w:rsidRPr="00725B7E" w:rsidRDefault="00A145C5" w:rsidP="00A145C5">
            <w:pPr>
              <w:rPr>
                <w:rFonts w:ascii="Arial Narrow" w:hAnsi="Arial Narrow"/>
                <w:sz w:val="18"/>
                <w:szCs w:val="18"/>
              </w:rPr>
            </w:pPr>
            <w:r w:rsidRPr="00725B7E">
              <w:rPr>
                <w:rFonts w:ascii="Arial Narrow" w:hAnsi="Arial Narrow"/>
                <w:sz w:val="18"/>
                <w:szCs w:val="18"/>
              </w:rPr>
              <w:t>(ii) If measured, deterioration of aerobic capacity/endurance (a 15% decrease or more in 6-Minute Walk Distance (6MWD) from baseline), plus worsening of WHO functional class status or need for additional PAH-specific therapy;</w:t>
            </w:r>
          </w:p>
          <w:p w:rsidR="00A145C5" w:rsidRPr="00725B7E" w:rsidRDefault="00A145C5" w:rsidP="00A145C5">
            <w:pPr>
              <w:rPr>
                <w:rFonts w:ascii="Arial Narrow" w:hAnsi="Arial Narrow"/>
                <w:sz w:val="18"/>
                <w:szCs w:val="18"/>
              </w:rPr>
            </w:pPr>
            <w:r w:rsidRPr="00725B7E">
              <w:rPr>
                <w:rFonts w:ascii="Arial Narrow" w:hAnsi="Arial Narrow"/>
                <w:sz w:val="18"/>
                <w:szCs w:val="18"/>
              </w:rPr>
              <w:t>(iii) Initiation of parenteral prostanoid therapy or long-term oxygen therapy for worsening of PAH;</w:t>
            </w:r>
          </w:p>
          <w:p w:rsidR="00A145C5" w:rsidRPr="00725B7E" w:rsidRDefault="00A145C5" w:rsidP="00A145C5">
            <w:pPr>
              <w:rPr>
                <w:rFonts w:ascii="Arial Narrow" w:hAnsi="Arial Narrow"/>
                <w:sz w:val="18"/>
                <w:szCs w:val="18"/>
              </w:rPr>
            </w:pPr>
            <w:r w:rsidRPr="00725B7E">
              <w:rPr>
                <w:rFonts w:ascii="Arial Narrow" w:hAnsi="Arial Narrow"/>
                <w:sz w:val="18"/>
                <w:szCs w:val="18"/>
              </w:rPr>
              <w:t>(iv) Need for lung transplantation or balloon atrial septostomy for worsening of PAH;</w:t>
            </w:r>
          </w:p>
        </w:tc>
      </w:tr>
      <w:tr w:rsidR="00A145C5" w:rsidRPr="00725B7E" w:rsidTr="00A145C5">
        <w:tc>
          <w:tcPr>
            <w:tcW w:w="7745" w:type="dxa"/>
          </w:tcPr>
          <w:p w:rsidR="00A145C5" w:rsidRPr="00725B7E" w:rsidRDefault="00A145C5" w:rsidP="00A145C5">
            <w:pPr>
              <w:rPr>
                <w:rFonts w:ascii="Arial Narrow" w:hAnsi="Arial Narrow"/>
                <w:b/>
                <w:sz w:val="18"/>
                <w:szCs w:val="18"/>
              </w:rPr>
            </w:pPr>
            <w:r w:rsidRPr="00725B7E">
              <w:rPr>
                <w:rFonts w:ascii="Arial Narrow" w:hAnsi="Arial Narrow"/>
                <w:b/>
                <w:sz w:val="18"/>
                <w:szCs w:val="18"/>
              </w:rPr>
              <w:t>Administration Advice:</w:t>
            </w:r>
          </w:p>
          <w:p w:rsidR="00A145C5" w:rsidRPr="00725B7E" w:rsidRDefault="00A145C5" w:rsidP="00A145C5">
            <w:pPr>
              <w:rPr>
                <w:rFonts w:ascii="Arial Narrow" w:hAnsi="Arial Narrow"/>
                <w:sz w:val="18"/>
                <w:szCs w:val="18"/>
              </w:rPr>
            </w:pPr>
            <w:r w:rsidRPr="00725B7E">
              <w:rPr>
                <w:rFonts w:ascii="Arial Narrow" w:hAnsi="Arial Narrow"/>
                <w:sz w:val="18"/>
                <w:szCs w:val="18"/>
              </w:rPr>
              <w:t>Applications for authorisation under this restriction may be made in real time using the Online PBS Authorities system (see www.servicesaustralia.gov.au/HPOS)  or by telephone by contacting the Services Australia on 1800 700 270 (hours of operation 8 a.m. to 5 p.m. EST Monday to Friday).</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Special Pricing Arrangements apply</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No increase in the maximum quantity or number of units may be authorised.</w:t>
            </w:r>
          </w:p>
        </w:tc>
      </w:tr>
      <w:tr w:rsidR="00A145C5" w:rsidRPr="00725B7E" w:rsidTr="00A145C5">
        <w:tc>
          <w:tcPr>
            <w:tcW w:w="7745" w:type="dxa"/>
          </w:tcPr>
          <w:p w:rsidR="00A145C5" w:rsidRPr="00725B7E" w:rsidRDefault="00A145C5" w:rsidP="00A145C5">
            <w:pPr>
              <w:rPr>
                <w:rFonts w:ascii="Arial Narrow" w:hAnsi="Arial Narrow"/>
                <w:sz w:val="18"/>
                <w:szCs w:val="18"/>
              </w:rPr>
            </w:pPr>
            <w:r w:rsidRPr="00725B7E">
              <w:rPr>
                <w:rFonts w:ascii="Arial Narrow" w:hAnsi="Arial Narrow"/>
                <w:b/>
                <w:sz w:val="18"/>
                <w:szCs w:val="18"/>
              </w:rPr>
              <w:t xml:space="preserve">Administrative Advice: </w:t>
            </w:r>
            <w:r w:rsidRPr="00725B7E">
              <w:rPr>
                <w:rFonts w:ascii="Arial Narrow" w:hAnsi="Arial Narrow"/>
                <w:sz w:val="18"/>
                <w:szCs w:val="18"/>
              </w:rPr>
              <w:t>No increase in the maximum number of repeats may be authorised.</w:t>
            </w:r>
          </w:p>
        </w:tc>
      </w:tr>
    </w:tbl>
    <w:p w:rsidR="00A145C5" w:rsidRPr="00725B7E" w:rsidRDefault="00A145C5" w:rsidP="00A145C5">
      <w:pPr>
        <w:rPr>
          <w:color w:val="FF00FF"/>
          <w:sz w:val="18"/>
          <w:szCs w:val="18"/>
        </w:rPr>
      </w:pPr>
    </w:p>
    <w:p w:rsidR="00A145C5" w:rsidRPr="00725B7E" w:rsidRDefault="00A145C5" w:rsidP="00A145C5">
      <w:r w:rsidRPr="00725B7E">
        <w:t>Flow-on changes to endothelin receptor antagonists and phosphodiesterase-5 inhibitors to permit use in triple-therapy combination treatment:</w:t>
      </w:r>
    </w:p>
    <w:p w:rsidR="00A145C5" w:rsidRPr="00725B7E" w:rsidRDefault="00A145C5" w:rsidP="00A145C5">
      <w:pPr>
        <w:rPr>
          <w:i/>
        </w:rPr>
      </w:pPr>
      <w:r w:rsidRPr="00725B7E">
        <w:rPr>
          <w:i/>
        </w:rPr>
        <w:t>To be finalised</w:t>
      </w:r>
    </w:p>
    <w:p w:rsidR="00A145C5" w:rsidRPr="00725B7E" w:rsidRDefault="00A145C5" w:rsidP="00A145C5">
      <w:pPr>
        <w:rPr>
          <w:rFonts w:asciiTheme="minorHAnsi" w:hAnsiTheme="minorHAnsi" w:cstheme="minorHAnsi"/>
          <w:sz w:val="28"/>
          <w:highlight w:val="yellow"/>
        </w:rPr>
      </w:pPr>
    </w:p>
    <w:p w:rsidR="00A145C5" w:rsidRPr="00725B7E" w:rsidRDefault="00A145C5" w:rsidP="00A145C5">
      <w:pPr>
        <w:spacing w:after="120"/>
      </w:pPr>
      <w:r w:rsidRPr="00725B7E">
        <w:rPr>
          <w:rFonts w:cs="Calibri"/>
          <w:b/>
          <w:i/>
        </w:rPr>
        <w:t>This restriction may be subject to further review. Should there be any changes made to the restriction the Sponsor will be informed.</w:t>
      </w:r>
    </w:p>
    <w:p w:rsidR="00A145C5" w:rsidRPr="00725B7E" w:rsidRDefault="00A145C5" w:rsidP="00A145C5">
      <w:pPr>
        <w:rPr>
          <w:rFonts w:asciiTheme="minorHAnsi" w:hAnsiTheme="minorHAnsi" w:cstheme="minorHAnsi"/>
          <w:sz w:val="28"/>
          <w:highlight w:val="yellow"/>
        </w:rPr>
      </w:pPr>
    </w:p>
    <w:p w:rsidR="00A145C5" w:rsidRDefault="00A145C5" w:rsidP="00A145C5">
      <w:pPr>
        <w:pStyle w:val="2Sections"/>
        <w:numPr>
          <w:ilvl w:val="0"/>
          <w:numId w:val="1"/>
        </w:numPr>
        <w:rPr>
          <w:color w:val="1F497D"/>
        </w:rPr>
      </w:pPr>
      <w:r w:rsidRPr="00C07617">
        <w:t>Context for Decision</w:t>
      </w:r>
    </w:p>
    <w:p w:rsidR="00A145C5" w:rsidRDefault="00A145C5" w:rsidP="00A145C5">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bCs/>
          <w:lang w:val="en-GB"/>
        </w:rPr>
        <w:t>medicines</w:t>
      </w:r>
      <w:r w:rsidRPr="007129F2">
        <w:rPr>
          <w:rFonts w:asciiTheme="minorHAnsi" w:hAnsiTheme="minorHAnsi"/>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w:t>
      </w:r>
      <w:r w:rsidRPr="007129F2">
        <w:rPr>
          <w:rFonts w:asciiTheme="minorHAnsi" w:hAnsiTheme="minorHAnsi"/>
          <w:bCs/>
          <w:lang w:val="en-GB"/>
        </w:rPr>
        <w:lastRenderedPageBreak/>
        <w:t>in which it should be made available through the PBS. The PBAC welcomes applications containing new information at any time.</w:t>
      </w:r>
    </w:p>
    <w:p w:rsidR="00A145C5" w:rsidRPr="007129F2" w:rsidRDefault="00A145C5" w:rsidP="00A145C5">
      <w:pPr>
        <w:rPr>
          <w:rFonts w:asciiTheme="minorHAnsi" w:hAnsiTheme="minorHAnsi"/>
          <w:bCs/>
          <w:lang w:val="en-GB"/>
        </w:rPr>
      </w:pPr>
    </w:p>
    <w:p w:rsidR="00A145C5" w:rsidRPr="00C07617" w:rsidRDefault="00A145C5" w:rsidP="00A145C5">
      <w:pPr>
        <w:pStyle w:val="2Sections"/>
        <w:numPr>
          <w:ilvl w:val="0"/>
          <w:numId w:val="1"/>
        </w:numPr>
        <w:rPr>
          <w:b w:val="0"/>
        </w:rPr>
      </w:pPr>
      <w:r>
        <w:t>Sponsor’s Comment</w:t>
      </w:r>
      <w:bookmarkStart w:id="31" w:name="_GoBack"/>
      <w:bookmarkEnd w:id="31"/>
    </w:p>
    <w:p w:rsidR="00A145C5" w:rsidRDefault="00A145C5" w:rsidP="00A145C5">
      <w:pPr>
        <w:spacing w:after="120"/>
        <w:rPr>
          <w:rFonts w:asciiTheme="minorHAnsi" w:hAnsiTheme="minorHAnsi"/>
          <w:bCs/>
        </w:rPr>
      </w:pPr>
      <w:r w:rsidRPr="00C07617">
        <w:rPr>
          <w:rFonts w:asciiTheme="minorHAnsi" w:hAnsiTheme="minorHAnsi"/>
          <w:bCs/>
        </w:rPr>
        <w:t>The sponsor had no comment.</w:t>
      </w:r>
    </w:p>
    <w:p w:rsidR="00A145C5" w:rsidRPr="00856390" w:rsidRDefault="00A145C5" w:rsidP="00A145C5">
      <w:pPr>
        <w:rPr>
          <w:rFonts w:asciiTheme="minorHAnsi" w:hAnsiTheme="minorHAnsi" w:cstheme="minorHAnsi"/>
          <w:sz w:val="28"/>
          <w:highlight w:val="yellow"/>
        </w:rPr>
      </w:pPr>
    </w:p>
    <w:p w:rsidR="00A145C5" w:rsidRPr="00A6055A" w:rsidRDefault="00A145C5" w:rsidP="00A6055A">
      <w:pPr>
        <w:spacing w:after="120"/>
        <w:rPr>
          <w:rFonts w:asciiTheme="minorHAnsi" w:hAnsiTheme="minorHAnsi"/>
          <w:bCs/>
        </w:rPr>
      </w:pPr>
    </w:p>
    <w:sectPr w:rsidR="00A145C5" w:rsidRPr="00A6055A" w:rsidSect="00705F20">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F446" w16cex:dateUtc="2020-06-08T07:30:00Z"/>
  <w16cex:commentExtensible w16cex:durableId="22890349" w16cex:dateUtc="2020-06-08T08:34:00Z"/>
  <w16cex:commentExtensible w16cex:durableId="2288F575" w16cex:dateUtc="2020-06-08T07:35:00Z"/>
  <w16cex:commentExtensible w16cex:durableId="2288F53C" w16cex:dateUtc="2020-06-08T07:34:00Z"/>
  <w16cex:commentExtensible w16cex:durableId="2288F923" w16cex:dateUtc="2020-06-08T07:51:00Z"/>
  <w16cex:commentExtensible w16cex:durableId="2288F81D" w16cex:dateUtc="2020-06-08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4171AF" w16cid:durableId="2288F446"/>
  <w16cid:commentId w16cid:paraId="20F41C7B" w16cid:durableId="22890349"/>
  <w16cid:commentId w16cid:paraId="61BDD4E9" w16cid:durableId="2288F575"/>
  <w16cid:commentId w16cid:paraId="13DBA559" w16cid:durableId="2288F53C"/>
  <w16cid:commentId w16cid:paraId="1E032BE4" w16cid:durableId="2288F923"/>
  <w16cid:commentId w16cid:paraId="2B6288E1" w16cid:durableId="2288F8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11C" w:rsidRDefault="0088011C" w:rsidP="00124A51">
      <w:r>
        <w:separator/>
      </w:r>
    </w:p>
    <w:p w:rsidR="0088011C" w:rsidRDefault="0088011C"/>
  </w:endnote>
  <w:endnote w:type="continuationSeparator" w:id="0">
    <w:p w:rsidR="0088011C" w:rsidRDefault="0088011C" w:rsidP="00124A51">
      <w:r>
        <w:continuationSeparator/>
      </w:r>
    </w:p>
    <w:p w:rsidR="0088011C" w:rsidRDefault="00880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8070000" w:usb2="00000010" w:usb3="00000000" w:csb0="00020001" w:csb1="00000000"/>
  </w:font>
  <w:font w:name="OTNEJMScalaSansLF">
    <w:altName w:val="Microsoft YaHei"/>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936" w:rsidRDefault="00B24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71" w:rsidRPr="00D13A3E" w:rsidRDefault="00BF4A71" w:rsidP="007D5862">
    <w:pPr>
      <w:ind w:right="360"/>
      <w:jc w:val="left"/>
      <w:rPr>
        <w:b/>
        <w:sz w:val="20"/>
      </w:rPr>
    </w:pPr>
  </w:p>
  <w:p w:rsidR="00BF4A71" w:rsidRPr="00F90A91" w:rsidRDefault="00BF4A71" w:rsidP="00FF32AB">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340FCF">
      <w:rPr>
        <w:b/>
        <w:noProof/>
      </w:rPr>
      <w:t>52</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936" w:rsidRDefault="00B2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11C" w:rsidRDefault="0088011C" w:rsidP="00124A51">
      <w:r>
        <w:separator/>
      </w:r>
    </w:p>
    <w:p w:rsidR="0088011C" w:rsidRDefault="0088011C"/>
  </w:footnote>
  <w:footnote w:type="continuationSeparator" w:id="0">
    <w:p w:rsidR="0088011C" w:rsidRDefault="0088011C" w:rsidP="00124A51">
      <w:r>
        <w:continuationSeparator/>
      </w:r>
    </w:p>
    <w:p w:rsidR="0088011C" w:rsidRDefault="0088011C"/>
  </w:footnote>
  <w:footnote w:id="1">
    <w:p w:rsidR="00BF4A71" w:rsidRDefault="00BF4A71" w:rsidP="00665B7A">
      <w:pPr>
        <w:pStyle w:val="FootnoteText"/>
        <w:jc w:val="left"/>
      </w:pPr>
      <w:r>
        <w:rPr>
          <w:rStyle w:val="FootnoteReference"/>
        </w:rPr>
        <w:footnoteRef/>
      </w:r>
      <w:r>
        <w:t xml:space="preserve"> Information for Healthcare Professionals and Patients, Pharmaceutical Benefits Scheme (PBS) – Revised PBS listings for Pulmonary Arterial Hypertension Medicines, available from </w:t>
      </w:r>
      <w:hyperlink r:id="rId1" w:history="1">
        <w:r>
          <w:rPr>
            <w:rStyle w:val="Hyperlink"/>
          </w:rPr>
          <w:t>http://www.pbs.gov.au/industry/listing/participants/public-release-docs/pulm-art-hypertension/PAH-fact-sheet-monotherapy-restriction-changes-1-May-2020.pdf</w:t>
        </w:r>
      </w:hyperlink>
      <w:r>
        <w:t>, accessed 13 May 2020.</w:t>
      </w:r>
    </w:p>
  </w:footnote>
  <w:footnote w:id="2">
    <w:p w:rsidR="00BF4A71" w:rsidRDefault="00BF4A71" w:rsidP="00281820">
      <w:pPr>
        <w:pStyle w:val="FootnoteText"/>
      </w:pPr>
      <w:r>
        <w:rPr>
          <w:rStyle w:val="FootnoteReference"/>
        </w:rPr>
        <w:footnoteRef/>
      </w:r>
      <w:r>
        <w:t xml:space="preserve"> </w:t>
      </w:r>
      <w:r w:rsidRPr="00CE3B64">
        <w:t xml:space="preserve">Burger CD, Pruett JA, Lickert C A, </w:t>
      </w:r>
      <w:r>
        <w:t>et al</w:t>
      </w:r>
      <w:r w:rsidRPr="00CE3B64">
        <w:t>. Prostacyclin use among patients with pulmonary arterial hypertension in the United States: a retrospective analysis of a large health ca</w:t>
      </w:r>
      <w:r>
        <w:t>re claims database. Journal of Managed Care &amp; Specialty P</w:t>
      </w:r>
      <w:r w:rsidRPr="00CE3B64">
        <w:t>harmacy</w:t>
      </w:r>
      <w:r>
        <w:t>. 2018:</w:t>
      </w:r>
      <w:r w:rsidRPr="00CE3B64">
        <w:t>24(3)</w:t>
      </w:r>
      <w:r>
        <w:t>;</w:t>
      </w:r>
      <w:r w:rsidRPr="00CE3B64">
        <w:t>291-302.</w:t>
      </w:r>
    </w:p>
    <w:p w:rsidR="00BF4A71" w:rsidRDefault="00BF4A71" w:rsidP="0028182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936" w:rsidRDefault="00B24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71" w:rsidRPr="00966288" w:rsidRDefault="00BF4A71" w:rsidP="009A20E7">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BF4A71" w:rsidRPr="008C7ECB" w:rsidRDefault="00BF4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936" w:rsidRDefault="00B24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7DCA45C"/>
    <w:lvl w:ilvl="0">
      <w:start w:val="1"/>
      <w:numFmt w:val="bullet"/>
      <w:pStyle w:val="ListBullet"/>
      <w:lvlText w:val=""/>
      <w:lvlJc w:val="left"/>
      <w:pPr>
        <w:tabs>
          <w:tab w:val="num" w:pos="273"/>
        </w:tabs>
        <w:ind w:left="273"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4D6721"/>
    <w:multiLevelType w:val="hybridMultilevel"/>
    <w:tmpl w:val="5230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E0E94"/>
    <w:multiLevelType w:val="hybridMultilevel"/>
    <w:tmpl w:val="D3B454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6814206"/>
    <w:multiLevelType w:val="multilevel"/>
    <w:tmpl w:val="B04E380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C542B"/>
    <w:multiLevelType w:val="hybridMultilevel"/>
    <w:tmpl w:val="7B62036E"/>
    <w:lvl w:ilvl="0" w:tplc="A502E678">
      <w:numFmt w:val="bullet"/>
      <w:lvlText w:val="-"/>
      <w:lvlJc w:val="left"/>
      <w:pPr>
        <w:ind w:left="1636" w:hanging="360"/>
      </w:pPr>
      <w:rPr>
        <w:rFonts w:ascii="Calibri" w:eastAsiaTheme="minorHAnsi" w:hAnsi="Calibri" w:cstheme="minorBidi"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7" w15:restartNumberingAfterBreak="0">
    <w:nsid w:val="0C612594"/>
    <w:multiLevelType w:val="multilevel"/>
    <w:tmpl w:val="8ABA8D5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FC7B2A"/>
    <w:multiLevelType w:val="hybridMultilevel"/>
    <w:tmpl w:val="57DC1F6E"/>
    <w:lvl w:ilvl="0" w:tplc="04220814">
      <w:start w:val="30"/>
      <w:numFmt w:val="bullet"/>
      <w:lvlText w:val="-"/>
      <w:lvlJc w:val="left"/>
      <w:pPr>
        <w:ind w:left="3196" w:hanging="360"/>
      </w:pPr>
      <w:rPr>
        <w:rFonts w:ascii="Arial Narrow" w:eastAsia="Times New Roman" w:hAnsi="Arial Narrow" w:cs="Arial Narrow" w:hint="default"/>
      </w:rPr>
    </w:lvl>
    <w:lvl w:ilvl="1" w:tplc="04220814">
      <w:start w:val="30"/>
      <w:numFmt w:val="bullet"/>
      <w:lvlText w:val="-"/>
      <w:lvlJc w:val="left"/>
      <w:pPr>
        <w:ind w:left="1440" w:hanging="360"/>
      </w:pPr>
      <w:rPr>
        <w:rFonts w:ascii="Arial Narrow" w:eastAsia="Times New Roman" w:hAnsi="Arial Narrow" w:cs="Arial Narro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A40FF3"/>
    <w:multiLevelType w:val="hybridMultilevel"/>
    <w:tmpl w:val="002C0C40"/>
    <w:lvl w:ilvl="0" w:tplc="0C090001">
      <w:start w:val="1"/>
      <w:numFmt w:val="bullet"/>
      <w:lvlText w:val=""/>
      <w:lvlJc w:val="left"/>
      <w:pPr>
        <w:ind w:left="3196" w:hanging="360"/>
      </w:pPr>
      <w:rPr>
        <w:rFonts w:ascii="Symbol" w:hAnsi="Symbol" w:hint="default"/>
      </w:rPr>
    </w:lvl>
    <w:lvl w:ilvl="1" w:tplc="04220814">
      <w:start w:val="30"/>
      <w:numFmt w:val="bullet"/>
      <w:lvlText w:val="-"/>
      <w:lvlJc w:val="left"/>
      <w:pPr>
        <w:ind w:left="1440" w:hanging="360"/>
      </w:pPr>
      <w:rPr>
        <w:rFonts w:ascii="Arial Narrow" w:eastAsia="Times New Roman" w:hAnsi="Arial Narrow" w:cs="Arial Narro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F32CB2"/>
    <w:multiLevelType w:val="hybridMultilevel"/>
    <w:tmpl w:val="E3C22B6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FB219F8"/>
    <w:multiLevelType w:val="hybridMultilevel"/>
    <w:tmpl w:val="05DAF818"/>
    <w:lvl w:ilvl="0" w:tplc="0C090001">
      <w:start w:val="1"/>
      <w:numFmt w:val="bullet"/>
      <w:lvlText w:val=""/>
      <w:lvlJc w:val="left"/>
      <w:pPr>
        <w:ind w:left="674" w:hanging="360"/>
      </w:pPr>
      <w:rPr>
        <w:rFonts w:ascii="Symbol" w:hAnsi="Symbol" w:hint="default"/>
      </w:rPr>
    </w:lvl>
    <w:lvl w:ilvl="1" w:tplc="04220814">
      <w:start w:val="30"/>
      <w:numFmt w:val="bullet"/>
      <w:lvlText w:val="-"/>
      <w:lvlJc w:val="left"/>
      <w:pPr>
        <w:ind w:left="1440" w:hanging="360"/>
      </w:pPr>
      <w:rPr>
        <w:rFonts w:ascii="Arial Narrow" w:eastAsia="Times New Roman" w:hAnsi="Arial Narrow" w:cs="Arial Narro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472AF"/>
    <w:multiLevelType w:val="hybridMultilevel"/>
    <w:tmpl w:val="D5082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2A7258C"/>
    <w:multiLevelType w:val="hybridMultilevel"/>
    <w:tmpl w:val="3180614C"/>
    <w:lvl w:ilvl="0" w:tplc="63CABE04">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2977C8"/>
    <w:multiLevelType w:val="hybridMultilevel"/>
    <w:tmpl w:val="21EEE80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27663959"/>
    <w:multiLevelType w:val="multilevel"/>
    <w:tmpl w:val="84204882"/>
    <w:lvl w:ilvl="0">
      <w:start w:val="1"/>
      <w:numFmt w:val="bullet"/>
      <w:lvlText w:val=""/>
      <w:lvlJc w:val="left"/>
      <w:pPr>
        <w:ind w:left="720" w:hanging="720"/>
      </w:pPr>
      <w:rPr>
        <w:rFonts w:ascii="Symbol" w:hAnsi="Symbol" w:hint="default"/>
        <w:b/>
        <w:i w:val="0"/>
      </w:rPr>
    </w:lvl>
    <w:lvl w:ilvl="1">
      <w:start w:val="1"/>
      <w:numFmt w:val="decimal"/>
      <w:lvlText w:val="%1.%2"/>
      <w:lvlJc w:val="left"/>
      <w:pPr>
        <w:ind w:left="1288"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44319A"/>
    <w:multiLevelType w:val="hybridMultilevel"/>
    <w:tmpl w:val="529EFB96"/>
    <w:lvl w:ilvl="0" w:tplc="0C090001">
      <w:start w:val="1"/>
      <w:numFmt w:val="bullet"/>
      <w:lvlText w:val=""/>
      <w:lvlJc w:val="left"/>
      <w:pPr>
        <w:ind w:left="67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E835D3"/>
    <w:multiLevelType w:val="multilevel"/>
    <w:tmpl w:val="45624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7956D8"/>
    <w:multiLevelType w:val="hybridMultilevel"/>
    <w:tmpl w:val="823CD69E"/>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731748"/>
    <w:multiLevelType w:val="hybridMultilevel"/>
    <w:tmpl w:val="A560C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857883"/>
    <w:multiLevelType w:val="hybridMultilevel"/>
    <w:tmpl w:val="1BA60EAE"/>
    <w:lvl w:ilvl="0" w:tplc="04220814">
      <w:start w:val="30"/>
      <w:numFmt w:val="bullet"/>
      <w:lvlText w:val="-"/>
      <w:lvlJc w:val="left"/>
      <w:pPr>
        <w:ind w:left="720" w:hanging="360"/>
      </w:pPr>
      <w:rPr>
        <w:rFonts w:ascii="Arial Narrow" w:eastAsia="Times New Roman" w:hAnsi="Arial Narrow" w:cs="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67A6"/>
    <w:multiLevelType w:val="hybridMultilevel"/>
    <w:tmpl w:val="51CA1480"/>
    <w:lvl w:ilvl="0" w:tplc="04090001">
      <w:start w:val="1"/>
      <w:numFmt w:val="bullet"/>
      <w:pStyle w:val="ListParagraph"/>
      <w:lvlText w:val=""/>
      <w:lvlJc w:val="left"/>
      <w:pPr>
        <w:ind w:left="121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123BA1"/>
    <w:multiLevelType w:val="hybridMultilevel"/>
    <w:tmpl w:val="A37A2274"/>
    <w:lvl w:ilvl="0" w:tplc="C450B8FA">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782847"/>
    <w:multiLevelType w:val="hybridMultilevel"/>
    <w:tmpl w:val="FEF6E8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104424"/>
    <w:multiLevelType w:val="hybridMultilevel"/>
    <w:tmpl w:val="CC8A681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022270C"/>
    <w:multiLevelType w:val="hybridMultilevel"/>
    <w:tmpl w:val="9E62C63A"/>
    <w:lvl w:ilvl="0" w:tplc="45008D5E">
      <w:start w:val="1"/>
      <w:numFmt w:val="lowerLetter"/>
      <w:lvlText w:val="%1)"/>
      <w:lvlJc w:val="left"/>
      <w:pPr>
        <w:ind w:left="1080" w:hanging="360"/>
      </w:pPr>
      <w:rPr>
        <w:rFonts w:hint="default"/>
        <w:i w:val="0"/>
      </w:rPr>
    </w:lvl>
    <w:lvl w:ilvl="1" w:tplc="0C090019">
      <w:start w:val="1"/>
      <w:numFmt w:val="lowerLetter"/>
      <w:lvlText w:val="%2."/>
      <w:lvlJc w:val="left"/>
      <w:pPr>
        <w:ind w:left="1800" w:hanging="360"/>
      </w:pPr>
    </w:lvl>
    <w:lvl w:ilvl="2" w:tplc="A8207612">
      <w:numFmt w:val="bullet"/>
      <w:lvlText w:val="-"/>
      <w:lvlJc w:val="left"/>
      <w:pPr>
        <w:ind w:left="2700" w:hanging="360"/>
      </w:pPr>
      <w:rPr>
        <w:rFonts w:ascii="Calibri" w:eastAsia="Times New Roman" w:hAnsi="Calibri" w:cs="Calibri" w:hint="default"/>
      </w:rPr>
    </w:lvl>
    <w:lvl w:ilvl="3" w:tplc="2D186910">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5133661"/>
    <w:multiLevelType w:val="hybridMultilevel"/>
    <w:tmpl w:val="CB004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4D033C"/>
    <w:multiLevelType w:val="multilevel"/>
    <w:tmpl w:val="A302F93E"/>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1288"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016B7F"/>
    <w:multiLevelType w:val="multilevel"/>
    <w:tmpl w:val="84204882"/>
    <w:lvl w:ilvl="0">
      <w:start w:val="1"/>
      <w:numFmt w:val="bullet"/>
      <w:lvlText w:val=""/>
      <w:lvlJc w:val="left"/>
      <w:pPr>
        <w:ind w:left="720" w:hanging="720"/>
      </w:pPr>
      <w:rPr>
        <w:rFonts w:ascii="Symbol" w:hAnsi="Symbol" w:hint="default"/>
        <w:b/>
        <w:i w:val="0"/>
      </w:rPr>
    </w:lvl>
    <w:lvl w:ilvl="1">
      <w:start w:val="1"/>
      <w:numFmt w:val="decimal"/>
      <w:lvlText w:val="%1.%2"/>
      <w:lvlJc w:val="left"/>
      <w:pPr>
        <w:ind w:left="1288"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AA1901"/>
    <w:multiLevelType w:val="hybridMultilevel"/>
    <w:tmpl w:val="8708A3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C6374D"/>
    <w:multiLevelType w:val="hybridMultilevel"/>
    <w:tmpl w:val="7AAC9A2A"/>
    <w:lvl w:ilvl="0" w:tplc="73223DC4">
      <w:numFmt w:val="decimal"/>
      <w:lvlText w:val=""/>
      <w:lvlJc w:val="left"/>
    </w:lvl>
    <w:lvl w:ilvl="1" w:tplc="04090003">
      <w:numFmt w:val="decimal"/>
      <w:lvlText w:val=""/>
      <w:lvlJc w:val="left"/>
    </w:lvl>
    <w:lvl w:ilvl="2" w:tplc="04090005">
      <w:numFmt w:val="decimal"/>
      <w:lvlText w:val=""/>
      <w:lvlJc w:val="left"/>
    </w:lvl>
    <w:lvl w:ilvl="3" w:tplc="04090001">
      <w:numFmt w:val="decimal"/>
      <w:pStyle w:val="Triangle"/>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9" w15:restartNumberingAfterBreak="0">
    <w:nsid w:val="7EE90C47"/>
    <w:multiLevelType w:val="hybridMultilevel"/>
    <w:tmpl w:val="EB66300E"/>
    <w:lvl w:ilvl="0" w:tplc="0C090001">
      <w:start w:val="1"/>
      <w:numFmt w:val="bullet"/>
      <w:lvlText w:val=""/>
      <w:lvlJc w:val="left"/>
      <w:pPr>
        <w:ind w:left="3196" w:hanging="360"/>
      </w:pPr>
      <w:rPr>
        <w:rFonts w:ascii="Symbol" w:hAnsi="Symbol" w:hint="default"/>
      </w:rPr>
    </w:lvl>
    <w:lvl w:ilvl="1" w:tplc="04220814">
      <w:start w:val="30"/>
      <w:numFmt w:val="bullet"/>
      <w:lvlText w:val="-"/>
      <w:lvlJc w:val="left"/>
      <w:pPr>
        <w:ind w:left="1440" w:hanging="360"/>
      </w:pPr>
      <w:rPr>
        <w:rFonts w:ascii="Arial Narrow" w:eastAsia="Times New Roman" w:hAnsi="Arial Narrow" w:cs="Arial Narro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5"/>
  </w:num>
  <w:num w:numId="4">
    <w:abstractNumId w:val="0"/>
  </w:num>
  <w:num w:numId="5">
    <w:abstractNumId w:val="11"/>
  </w:num>
  <w:num w:numId="6">
    <w:abstractNumId w:val="27"/>
  </w:num>
  <w:num w:numId="7">
    <w:abstractNumId w:val="23"/>
  </w:num>
  <w:num w:numId="8">
    <w:abstractNumId w:val="38"/>
  </w:num>
  <w:num w:numId="9">
    <w:abstractNumId w:val="13"/>
  </w:num>
  <w:num w:numId="10">
    <w:abstractNumId w:val="6"/>
  </w:num>
  <w:num w:numId="11">
    <w:abstractNumId w:val="39"/>
  </w:num>
  <w:num w:numId="12">
    <w:abstractNumId w:val="21"/>
  </w:num>
  <w:num w:numId="13">
    <w:abstractNumId w:val="3"/>
  </w:num>
  <w:num w:numId="14">
    <w:abstractNumId w:val="2"/>
  </w:num>
  <w:num w:numId="15">
    <w:abstractNumId w:val="26"/>
  </w:num>
  <w:num w:numId="16">
    <w:abstractNumId w:val="10"/>
  </w:num>
  <w:num w:numId="17">
    <w:abstractNumId w:val="7"/>
  </w:num>
  <w:num w:numId="18">
    <w:abstractNumId w:val="4"/>
  </w:num>
  <w:num w:numId="19">
    <w:abstractNumId w:val="8"/>
  </w:num>
  <w:num w:numId="20">
    <w:abstractNumId w:val="9"/>
  </w:num>
  <w:num w:numId="21">
    <w:abstractNumId w:val="19"/>
  </w:num>
  <w:num w:numId="22">
    <w:abstractNumId w:val="22"/>
  </w:num>
  <w:num w:numId="23">
    <w:abstractNumId w:val="31"/>
  </w:num>
  <w:num w:numId="24">
    <w:abstractNumId w:val="32"/>
  </w:num>
  <w:num w:numId="25">
    <w:abstractNumId w:val="30"/>
  </w:num>
  <w:num w:numId="26">
    <w:abstractNumId w:val="37"/>
  </w:num>
  <w:num w:numId="27">
    <w:abstractNumId w:val="34"/>
  </w:num>
  <w:num w:numId="28">
    <w:abstractNumId w:val="35"/>
  </w:num>
  <w:num w:numId="29">
    <w:abstractNumId w:val="28"/>
  </w:num>
  <w:num w:numId="30">
    <w:abstractNumId w:val="29"/>
  </w:num>
  <w:num w:numId="31">
    <w:abstractNumId w:val="5"/>
  </w:num>
  <w:num w:numId="32">
    <w:abstractNumId w:val="1"/>
  </w:num>
  <w:num w:numId="33">
    <w:abstractNumId w:val="15"/>
  </w:num>
  <w:num w:numId="34">
    <w:abstractNumId w:val="18"/>
  </w:num>
  <w:num w:numId="35">
    <w:abstractNumId w:val="14"/>
  </w:num>
  <w:num w:numId="36">
    <w:abstractNumId w:val="16"/>
  </w:num>
  <w:num w:numId="37">
    <w:abstractNumId w:val="17"/>
  </w:num>
  <w:num w:numId="38">
    <w:abstractNumId w:val="36"/>
  </w:num>
  <w:num w:numId="39">
    <w:abstractNumId w:val="35"/>
  </w:num>
  <w:num w:numId="40">
    <w:abstractNumId w:val="33"/>
  </w:num>
  <w:num w:numId="41">
    <w:abstractNumId w:val="12"/>
  </w:num>
  <w:num w:numId="42">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31E"/>
    <w:rsid w:val="00000790"/>
    <w:rsid w:val="0000110B"/>
    <w:rsid w:val="00001451"/>
    <w:rsid w:val="000018E6"/>
    <w:rsid w:val="000019E6"/>
    <w:rsid w:val="00001A83"/>
    <w:rsid w:val="00001C08"/>
    <w:rsid w:val="00002C3E"/>
    <w:rsid w:val="00002DB8"/>
    <w:rsid w:val="00002F39"/>
    <w:rsid w:val="000033E8"/>
    <w:rsid w:val="00003499"/>
    <w:rsid w:val="000039B7"/>
    <w:rsid w:val="00004ED9"/>
    <w:rsid w:val="00005059"/>
    <w:rsid w:val="000056E4"/>
    <w:rsid w:val="00005DBD"/>
    <w:rsid w:val="00005EBF"/>
    <w:rsid w:val="0000613B"/>
    <w:rsid w:val="0000639A"/>
    <w:rsid w:val="00010698"/>
    <w:rsid w:val="00010891"/>
    <w:rsid w:val="0001090D"/>
    <w:rsid w:val="00010999"/>
    <w:rsid w:val="00010C08"/>
    <w:rsid w:val="00010C27"/>
    <w:rsid w:val="00012F82"/>
    <w:rsid w:val="00013247"/>
    <w:rsid w:val="000142AA"/>
    <w:rsid w:val="00014ECF"/>
    <w:rsid w:val="00015886"/>
    <w:rsid w:val="00015EDB"/>
    <w:rsid w:val="000162EF"/>
    <w:rsid w:val="00016368"/>
    <w:rsid w:val="00016A71"/>
    <w:rsid w:val="00017EC0"/>
    <w:rsid w:val="000201EF"/>
    <w:rsid w:val="000207C9"/>
    <w:rsid w:val="000210F4"/>
    <w:rsid w:val="000216CF"/>
    <w:rsid w:val="00021FE0"/>
    <w:rsid w:val="0002225F"/>
    <w:rsid w:val="00022659"/>
    <w:rsid w:val="000232EA"/>
    <w:rsid w:val="00023763"/>
    <w:rsid w:val="0002386E"/>
    <w:rsid w:val="00023AE2"/>
    <w:rsid w:val="00023EC8"/>
    <w:rsid w:val="00024DA0"/>
    <w:rsid w:val="00025804"/>
    <w:rsid w:val="000273EE"/>
    <w:rsid w:val="000274B8"/>
    <w:rsid w:val="00027CE4"/>
    <w:rsid w:val="0003053A"/>
    <w:rsid w:val="000305FD"/>
    <w:rsid w:val="000307C6"/>
    <w:rsid w:val="00030C86"/>
    <w:rsid w:val="00031241"/>
    <w:rsid w:val="00031A80"/>
    <w:rsid w:val="000325CA"/>
    <w:rsid w:val="00032D0C"/>
    <w:rsid w:val="00032F47"/>
    <w:rsid w:val="000336DA"/>
    <w:rsid w:val="00033863"/>
    <w:rsid w:val="00034DC2"/>
    <w:rsid w:val="000357F4"/>
    <w:rsid w:val="00035DC0"/>
    <w:rsid w:val="000361B1"/>
    <w:rsid w:val="00036829"/>
    <w:rsid w:val="00036EBB"/>
    <w:rsid w:val="00037A67"/>
    <w:rsid w:val="000402C9"/>
    <w:rsid w:val="00040895"/>
    <w:rsid w:val="00041452"/>
    <w:rsid w:val="000426FC"/>
    <w:rsid w:val="00042F43"/>
    <w:rsid w:val="000435EE"/>
    <w:rsid w:val="00043C37"/>
    <w:rsid w:val="00043ECB"/>
    <w:rsid w:val="00044F53"/>
    <w:rsid w:val="00045017"/>
    <w:rsid w:val="00045091"/>
    <w:rsid w:val="00045537"/>
    <w:rsid w:val="00045A2B"/>
    <w:rsid w:val="00045AF6"/>
    <w:rsid w:val="0004698F"/>
    <w:rsid w:val="00050C97"/>
    <w:rsid w:val="00050FE3"/>
    <w:rsid w:val="00051004"/>
    <w:rsid w:val="0005336A"/>
    <w:rsid w:val="0005362F"/>
    <w:rsid w:val="00053719"/>
    <w:rsid w:val="000539D0"/>
    <w:rsid w:val="00053A8E"/>
    <w:rsid w:val="000540E7"/>
    <w:rsid w:val="0005439C"/>
    <w:rsid w:val="000543FF"/>
    <w:rsid w:val="00054621"/>
    <w:rsid w:val="000546D7"/>
    <w:rsid w:val="00054794"/>
    <w:rsid w:val="00055004"/>
    <w:rsid w:val="00055A51"/>
    <w:rsid w:val="00056E50"/>
    <w:rsid w:val="00056ECF"/>
    <w:rsid w:val="00057AC7"/>
    <w:rsid w:val="00057C6D"/>
    <w:rsid w:val="00060160"/>
    <w:rsid w:val="00060313"/>
    <w:rsid w:val="000604DF"/>
    <w:rsid w:val="00060AE8"/>
    <w:rsid w:val="000617F4"/>
    <w:rsid w:val="000619E6"/>
    <w:rsid w:val="00061DA1"/>
    <w:rsid w:val="00062193"/>
    <w:rsid w:val="0006268B"/>
    <w:rsid w:val="000629E3"/>
    <w:rsid w:val="0006319D"/>
    <w:rsid w:val="00064751"/>
    <w:rsid w:val="000652CF"/>
    <w:rsid w:val="000653B5"/>
    <w:rsid w:val="000655C7"/>
    <w:rsid w:val="00065621"/>
    <w:rsid w:val="00066264"/>
    <w:rsid w:val="00066360"/>
    <w:rsid w:val="00066AF8"/>
    <w:rsid w:val="00066B9F"/>
    <w:rsid w:val="00067558"/>
    <w:rsid w:val="00070689"/>
    <w:rsid w:val="0007076D"/>
    <w:rsid w:val="00070FFB"/>
    <w:rsid w:val="00071248"/>
    <w:rsid w:val="00071662"/>
    <w:rsid w:val="00071887"/>
    <w:rsid w:val="000720B9"/>
    <w:rsid w:val="000737F7"/>
    <w:rsid w:val="000746BE"/>
    <w:rsid w:val="000755EC"/>
    <w:rsid w:val="000759C4"/>
    <w:rsid w:val="0007672F"/>
    <w:rsid w:val="00076B54"/>
    <w:rsid w:val="000774F0"/>
    <w:rsid w:val="000776DD"/>
    <w:rsid w:val="00080909"/>
    <w:rsid w:val="00080A29"/>
    <w:rsid w:val="00080B42"/>
    <w:rsid w:val="000812CA"/>
    <w:rsid w:val="00081428"/>
    <w:rsid w:val="000818E3"/>
    <w:rsid w:val="00081E63"/>
    <w:rsid w:val="000824A4"/>
    <w:rsid w:val="0008258D"/>
    <w:rsid w:val="000828C6"/>
    <w:rsid w:val="000833D8"/>
    <w:rsid w:val="0008351C"/>
    <w:rsid w:val="000836EF"/>
    <w:rsid w:val="00083E99"/>
    <w:rsid w:val="00084757"/>
    <w:rsid w:val="0008493E"/>
    <w:rsid w:val="00084FA8"/>
    <w:rsid w:val="000854CA"/>
    <w:rsid w:val="000856C5"/>
    <w:rsid w:val="0008597D"/>
    <w:rsid w:val="00085C31"/>
    <w:rsid w:val="00085DB7"/>
    <w:rsid w:val="000863F4"/>
    <w:rsid w:val="0008733D"/>
    <w:rsid w:val="000875DA"/>
    <w:rsid w:val="000902D9"/>
    <w:rsid w:val="0009057B"/>
    <w:rsid w:val="00090C10"/>
    <w:rsid w:val="00090C7E"/>
    <w:rsid w:val="00091A27"/>
    <w:rsid w:val="00091B50"/>
    <w:rsid w:val="000920F7"/>
    <w:rsid w:val="00092600"/>
    <w:rsid w:val="0009262B"/>
    <w:rsid w:val="00092DC1"/>
    <w:rsid w:val="00092DDB"/>
    <w:rsid w:val="00093310"/>
    <w:rsid w:val="0009332F"/>
    <w:rsid w:val="00093629"/>
    <w:rsid w:val="0009445C"/>
    <w:rsid w:val="00094579"/>
    <w:rsid w:val="00095200"/>
    <w:rsid w:val="00095FE5"/>
    <w:rsid w:val="00096284"/>
    <w:rsid w:val="00096A86"/>
    <w:rsid w:val="000977A8"/>
    <w:rsid w:val="00097CC1"/>
    <w:rsid w:val="00097F25"/>
    <w:rsid w:val="000A03A5"/>
    <w:rsid w:val="000A0BA3"/>
    <w:rsid w:val="000A0D2D"/>
    <w:rsid w:val="000A0FE4"/>
    <w:rsid w:val="000A1A8F"/>
    <w:rsid w:val="000A1BC0"/>
    <w:rsid w:val="000A2D8E"/>
    <w:rsid w:val="000A2ECA"/>
    <w:rsid w:val="000A367E"/>
    <w:rsid w:val="000A455F"/>
    <w:rsid w:val="000A4B3A"/>
    <w:rsid w:val="000A55D6"/>
    <w:rsid w:val="000A5D81"/>
    <w:rsid w:val="000A6039"/>
    <w:rsid w:val="000A7453"/>
    <w:rsid w:val="000A78C6"/>
    <w:rsid w:val="000A7D08"/>
    <w:rsid w:val="000B0121"/>
    <w:rsid w:val="000B0670"/>
    <w:rsid w:val="000B0812"/>
    <w:rsid w:val="000B0C75"/>
    <w:rsid w:val="000B0E75"/>
    <w:rsid w:val="000B2895"/>
    <w:rsid w:val="000B2DCB"/>
    <w:rsid w:val="000B40E5"/>
    <w:rsid w:val="000B4BEB"/>
    <w:rsid w:val="000B4CA5"/>
    <w:rsid w:val="000B5677"/>
    <w:rsid w:val="000B599A"/>
    <w:rsid w:val="000B5CE0"/>
    <w:rsid w:val="000B5ED9"/>
    <w:rsid w:val="000B6826"/>
    <w:rsid w:val="000B6B47"/>
    <w:rsid w:val="000B6C53"/>
    <w:rsid w:val="000B6CAC"/>
    <w:rsid w:val="000B6E44"/>
    <w:rsid w:val="000B6E50"/>
    <w:rsid w:val="000B7612"/>
    <w:rsid w:val="000B78AE"/>
    <w:rsid w:val="000B78D8"/>
    <w:rsid w:val="000C012D"/>
    <w:rsid w:val="000C03AB"/>
    <w:rsid w:val="000C0900"/>
    <w:rsid w:val="000C20CD"/>
    <w:rsid w:val="000C23B3"/>
    <w:rsid w:val="000C253D"/>
    <w:rsid w:val="000C3DF9"/>
    <w:rsid w:val="000C4116"/>
    <w:rsid w:val="000C4541"/>
    <w:rsid w:val="000C50E1"/>
    <w:rsid w:val="000C5876"/>
    <w:rsid w:val="000C5E8A"/>
    <w:rsid w:val="000C6713"/>
    <w:rsid w:val="000C6D11"/>
    <w:rsid w:val="000C6EF4"/>
    <w:rsid w:val="000D07AB"/>
    <w:rsid w:val="000D0AA9"/>
    <w:rsid w:val="000D0C92"/>
    <w:rsid w:val="000D1722"/>
    <w:rsid w:val="000D1BFC"/>
    <w:rsid w:val="000D1D5D"/>
    <w:rsid w:val="000D281A"/>
    <w:rsid w:val="000D2848"/>
    <w:rsid w:val="000D326A"/>
    <w:rsid w:val="000D4174"/>
    <w:rsid w:val="000D4F56"/>
    <w:rsid w:val="000D51FB"/>
    <w:rsid w:val="000D672E"/>
    <w:rsid w:val="000D6E4C"/>
    <w:rsid w:val="000E0640"/>
    <w:rsid w:val="000E070F"/>
    <w:rsid w:val="000E0A68"/>
    <w:rsid w:val="000E0A88"/>
    <w:rsid w:val="000E134B"/>
    <w:rsid w:val="000E135D"/>
    <w:rsid w:val="000E197A"/>
    <w:rsid w:val="000E27AE"/>
    <w:rsid w:val="000E3448"/>
    <w:rsid w:val="000E3D8A"/>
    <w:rsid w:val="000E63DF"/>
    <w:rsid w:val="000F00BA"/>
    <w:rsid w:val="000F0329"/>
    <w:rsid w:val="000F0DC9"/>
    <w:rsid w:val="000F1952"/>
    <w:rsid w:val="000F247A"/>
    <w:rsid w:val="000F254D"/>
    <w:rsid w:val="000F28D8"/>
    <w:rsid w:val="000F29A3"/>
    <w:rsid w:val="000F29FA"/>
    <w:rsid w:val="000F2E22"/>
    <w:rsid w:val="000F314C"/>
    <w:rsid w:val="000F316A"/>
    <w:rsid w:val="000F3C74"/>
    <w:rsid w:val="000F44A5"/>
    <w:rsid w:val="000F4BB8"/>
    <w:rsid w:val="000F4E82"/>
    <w:rsid w:val="000F4FA9"/>
    <w:rsid w:val="000F53FB"/>
    <w:rsid w:val="000F6326"/>
    <w:rsid w:val="000F6CFD"/>
    <w:rsid w:val="000F6EAC"/>
    <w:rsid w:val="000F7127"/>
    <w:rsid w:val="000F7B54"/>
    <w:rsid w:val="00100811"/>
    <w:rsid w:val="001009D8"/>
    <w:rsid w:val="00100AC1"/>
    <w:rsid w:val="00100DD1"/>
    <w:rsid w:val="00100F8A"/>
    <w:rsid w:val="00102764"/>
    <w:rsid w:val="00102FA3"/>
    <w:rsid w:val="00103E0D"/>
    <w:rsid w:val="0010421F"/>
    <w:rsid w:val="0010441A"/>
    <w:rsid w:val="0010452E"/>
    <w:rsid w:val="00104B94"/>
    <w:rsid w:val="00105410"/>
    <w:rsid w:val="00105A55"/>
    <w:rsid w:val="00105AE2"/>
    <w:rsid w:val="001060C6"/>
    <w:rsid w:val="00106B80"/>
    <w:rsid w:val="00106BDC"/>
    <w:rsid w:val="00107302"/>
    <w:rsid w:val="0011032E"/>
    <w:rsid w:val="0011107F"/>
    <w:rsid w:val="00111392"/>
    <w:rsid w:val="00111917"/>
    <w:rsid w:val="00113261"/>
    <w:rsid w:val="0011341B"/>
    <w:rsid w:val="0011348B"/>
    <w:rsid w:val="00114215"/>
    <w:rsid w:val="00114FB4"/>
    <w:rsid w:val="00115982"/>
    <w:rsid w:val="00116C53"/>
    <w:rsid w:val="00116DED"/>
    <w:rsid w:val="001170F5"/>
    <w:rsid w:val="00117115"/>
    <w:rsid w:val="0011736B"/>
    <w:rsid w:val="00117EBD"/>
    <w:rsid w:val="0012072B"/>
    <w:rsid w:val="00121296"/>
    <w:rsid w:val="001212F2"/>
    <w:rsid w:val="00121799"/>
    <w:rsid w:val="0012226B"/>
    <w:rsid w:val="001222FC"/>
    <w:rsid w:val="00122F8F"/>
    <w:rsid w:val="00123795"/>
    <w:rsid w:val="00123902"/>
    <w:rsid w:val="001239F0"/>
    <w:rsid w:val="00123AD1"/>
    <w:rsid w:val="00124A51"/>
    <w:rsid w:val="00125047"/>
    <w:rsid w:val="00126086"/>
    <w:rsid w:val="001263C9"/>
    <w:rsid w:val="00126621"/>
    <w:rsid w:val="00126699"/>
    <w:rsid w:val="00126B1D"/>
    <w:rsid w:val="001271EA"/>
    <w:rsid w:val="00127A3C"/>
    <w:rsid w:val="0013003E"/>
    <w:rsid w:val="001301E9"/>
    <w:rsid w:val="00130385"/>
    <w:rsid w:val="001309B2"/>
    <w:rsid w:val="001309BE"/>
    <w:rsid w:val="00131A54"/>
    <w:rsid w:val="00131A81"/>
    <w:rsid w:val="00131D82"/>
    <w:rsid w:val="0013204C"/>
    <w:rsid w:val="00132B22"/>
    <w:rsid w:val="00132BE8"/>
    <w:rsid w:val="00133A25"/>
    <w:rsid w:val="00133D36"/>
    <w:rsid w:val="00135503"/>
    <w:rsid w:val="0013589E"/>
    <w:rsid w:val="00135EC6"/>
    <w:rsid w:val="00136972"/>
    <w:rsid w:val="00137477"/>
    <w:rsid w:val="00137645"/>
    <w:rsid w:val="0014005B"/>
    <w:rsid w:val="0014015A"/>
    <w:rsid w:val="00140237"/>
    <w:rsid w:val="00140708"/>
    <w:rsid w:val="00140E99"/>
    <w:rsid w:val="00141373"/>
    <w:rsid w:val="00141C18"/>
    <w:rsid w:val="001421A9"/>
    <w:rsid w:val="001423F9"/>
    <w:rsid w:val="001431CE"/>
    <w:rsid w:val="00143AA1"/>
    <w:rsid w:val="00143AA5"/>
    <w:rsid w:val="00143D09"/>
    <w:rsid w:val="00143D90"/>
    <w:rsid w:val="00143F67"/>
    <w:rsid w:val="00143FCE"/>
    <w:rsid w:val="00144924"/>
    <w:rsid w:val="00144B54"/>
    <w:rsid w:val="00144D9E"/>
    <w:rsid w:val="00145540"/>
    <w:rsid w:val="001456B0"/>
    <w:rsid w:val="00145F40"/>
    <w:rsid w:val="001469F7"/>
    <w:rsid w:val="00147511"/>
    <w:rsid w:val="001504BC"/>
    <w:rsid w:val="00150651"/>
    <w:rsid w:val="0015143C"/>
    <w:rsid w:val="00152A0B"/>
    <w:rsid w:val="0015407E"/>
    <w:rsid w:val="001543E7"/>
    <w:rsid w:val="00156516"/>
    <w:rsid w:val="00156AD6"/>
    <w:rsid w:val="00156F8F"/>
    <w:rsid w:val="00157130"/>
    <w:rsid w:val="001576B1"/>
    <w:rsid w:val="00157ACD"/>
    <w:rsid w:val="00157DEF"/>
    <w:rsid w:val="0016047B"/>
    <w:rsid w:val="0016076A"/>
    <w:rsid w:val="00160A4C"/>
    <w:rsid w:val="00161305"/>
    <w:rsid w:val="00161E36"/>
    <w:rsid w:val="00162913"/>
    <w:rsid w:val="001636B3"/>
    <w:rsid w:val="00163EFF"/>
    <w:rsid w:val="00163F66"/>
    <w:rsid w:val="001645E8"/>
    <w:rsid w:val="00165267"/>
    <w:rsid w:val="00165AF9"/>
    <w:rsid w:val="001661FB"/>
    <w:rsid w:val="00166C1D"/>
    <w:rsid w:val="001671A0"/>
    <w:rsid w:val="0016734E"/>
    <w:rsid w:val="0016767F"/>
    <w:rsid w:val="00167D54"/>
    <w:rsid w:val="00170851"/>
    <w:rsid w:val="00170FA0"/>
    <w:rsid w:val="001715D9"/>
    <w:rsid w:val="00172AE6"/>
    <w:rsid w:val="00172C0A"/>
    <w:rsid w:val="00172DBA"/>
    <w:rsid w:val="00173565"/>
    <w:rsid w:val="00173683"/>
    <w:rsid w:val="00173B07"/>
    <w:rsid w:val="0017411C"/>
    <w:rsid w:val="001745A9"/>
    <w:rsid w:val="00174FAA"/>
    <w:rsid w:val="001751FA"/>
    <w:rsid w:val="00175E7D"/>
    <w:rsid w:val="00175F67"/>
    <w:rsid w:val="0017665E"/>
    <w:rsid w:val="00176AF3"/>
    <w:rsid w:val="00177C39"/>
    <w:rsid w:val="00180E92"/>
    <w:rsid w:val="00180EAD"/>
    <w:rsid w:val="0018183C"/>
    <w:rsid w:val="00181D9C"/>
    <w:rsid w:val="00181DF6"/>
    <w:rsid w:val="00182AA1"/>
    <w:rsid w:val="00183895"/>
    <w:rsid w:val="001847DC"/>
    <w:rsid w:val="00184A15"/>
    <w:rsid w:val="00184B0E"/>
    <w:rsid w:val="00185228"/>
    <w:rsid w:val="0018587F"/>
    <w:rsid w:val="001860FB"/>
    <w:rsid w:val="001867D8"/>
    <w:rsid w:val="0018752F"/>
    <w:rsid w:val="001875D5"/>
    <w:rsid w:val="001907E7"/>
    <w:rsid w:val="001910CC"/>
    <w:rsid w:val="0019135F"/>
    <w:rsid w:val="001913F4"/>
    <w:rsid w:val="00191B54"/>
    <w:rsid w:val="00192051"/>
    <w:rsid w:val="001920DD"/>
    <w:rsid w:val="001928F2"/>
    <w:rsid w:val="00192D7A"/>
    <w:rsid w:val="00193838"/>
    <w:rsid w:val="001943BA"/>
    <w:rsid w:val="0019458D"/>
    <w:rsid w:val="00194AD8"/>
    <w:rsid w:val="00194CD5"/>
    <w:rsid w:val="00194D33"/>
    <w:rsid w:val="00194D72"/>
    <w:rsid w:val="00195222"/>
    <w:rsid w:val="0019536D"/>
    <w:rsid w:val="001954C6"/>
    <w:rsid w:val="00195A61"/>
    <w:rsid w:val="00195BE5"/>
    <w:rsid w:val="00195E8F"/>
    <w:rsid w:val="0019617B"/>
    <w:rsid w:val="001961ED"/>
    <w:rsid w:val="00196966"/>
    <w:rsid w:val="00196979"/>
    <w:rsid w:val="00196AED"/>
    <w:rsid w:val="00196CCB"/>
    <w:rsid w:val="001975D8"/>
    <w:rsid w:val="00197FDD"/>
    <w:rsid w:val="001A02CC"/>
    <w:rsid w:val="001A066A"/>
    <w:rsid w:val="001A09E6"/>
    <w:rsid w:val="001A0B20"/>
    <w:rsid w:val="001A1432"/>
    <w:rsid w:val="001A178E"/>
    <w:rsid w:val="001A1D5B"/>
    <w:rsid w:val="001A2E57"/>
    <w:rsid w:val="001A3064"/>
    <w:rsid w:val="001A3341"/>
    <w:rsid w:val="001A43FA"/>
    <w:rsid w:val="001A47C5"/>
    <w:rsid w:val="001A48C1"/>
    <w:rsid w:val="001A4BB0"/>
    <w:rsid w:val="001A4CA3"/>
    <w:rsid w:val="001A59FB"/>
    <w:rsid w:val="001A5CCD"/>
    <w:rsid w:val="001A5E9E"/>
    <w:rsid w:val="001A5FFB"/>
    <w:rsid w:val="001A6354"/>
    <w:rsid w:val="001A6366"/>
    <w:rsid w:val="001A66F0"/>
    <w:rsid w:val="001A69E3"/>
    <w:rsid w:val="001A6DA6"/>
    <w:rsid w:val="001A71E3"/>
    <w:rsid w:val="001A7AE8"/>
    <w:rsid w:val="001B0351"/>
    <w:rsid w:val="001B0E5B"/>
    <w:rsid w:val="001B0FEB"/>
    <w:rsid w:val="001B13D0"/>
    <w:rsid w:val="001B204E"/>
    <w:rsid w:val="001B2372"/>
    <w:rsid w:val="001B2E3B"/>
    <w:rsid w:val="001B2FE9"/>
    <w:rsid w:val="001B3443"/>
    <w:rsid w:val="001B3919"/>
    <w:rsid w:val="001B454E"/>
    <w:rsid w:val="001B46CF"/>
    <w:rsid w:val="001B4C46"/>
    <w:rsid w:val="001B4D20"/>
    <w:rsid w:val="001B4F8B"/>
    <w:rsid w:val="001B5DDB"/>
    <w:rsid w:val="001B64FD"/>
    <w:rsid w:val="001B6B61"/>
    <w:rsid w:val="001B6D0E"/>
    <w:rsid w:val="001B7406"/>
    <w:rsid w:val="001B748D"/>
    <w:rsid w:val="001B77F3"/>
    <w:rsid w:val="001B7871"/>
    <w:rsid w:val="001B79D8"/>
    <w:rsid w:val="001B7BCC"/>
    <w:rsid w:val="001B7E67"/>
    <w:rsid w:val="001C0000"/>
    <w:rsid w:val="001C08A3"/>
    <w:rsid w:val="001C09BD"/>
    <w:rsid w:val="001C1065"/>
    <w:rsid w:val="001C138E"/>
    <w:rsid w:val="001C1D4E"/>
    <w:rsid w:val="001C2034"/>
    <w:rsid w:val="001C2A9B"/>
    <w:rsid w:val="001C2EAB"/>
    <w:rsid w:val="001C3B8A"/>
    <w:rsid w:val="001C3BB0"/>
    <w:rsid w:val="001C41ED"/>
    <w:rsid w:val="001C4299"/>
    <w:rsid w:val="001C44FB"/>
    <w:rsid w:val="001C4874"/>
    <w:rsid w:val="001C5C18"/>
    <w:rsid w:val="001C5F94"/>
    <w:rsid w:val="001C64AA"/>
    <w:rsid w:val="001C6617"/>
    <w:rsid w:val="001C6CA0"/>
    <w:rsid w:val="001C6E66"/>
    <w:rsid w:val="001C72A2"/>
    <w:rsid w:val="001C7578"/>
    <w:rsid w:val="001C7739"/>
    <w:rsid w:val="001D05F0"/>
    <w:rsid w:val="001D0AE7"/>
    <w:rsid w:val="001D1100"/>
    <w:rsid w:val="001D11F1"/>
    <w:rsid w:val="001D1391"/>
    <w:rsid w:val="001D1471"/>
    <w:rsid w:val="001D164B"/>
    <w:rsid w:val="001D199A"/>
    <w:rsid w:val="001D25D7"/>
    <w:rsid w:val="001D31B5"/>
    <w:rsid w:val="001D37F3"/>
    <w:rsid w:val="001D3AB1"/>
    <w:rsid w:val="001D4288"/>
    <w:rsid w:val="001D447C"/>
    <w:rsid w:val="001D47B9"/>
    <w:rsid w:val="001D50B2"/>
    <w:rsid w:val="001D52CB"/>
    <w:rsid w:val="001D5671"/>
    <w:rsid w:val="001D6409"/>
    <w:rsid w:val="001D6645"/>
    <w:rsid w:val="001D7645"/>
    <w:rsid w:val="001D780C"/>
    <w:rsid w:val="001E01FF"/>
    <w:rsid w:val="001E0D19"/>
    <w:rsid w:val="001E12D8"/>
    <w:rsid w:val="001E1705"/>
    <w:rsid w:val="001E1E86"/>
    <w:rsid w:val="001E22A5"/>
    <w:rsid w:val="001E238E"/>
    <w:rsid w:val="001E2483"/>
    <w:rsid w:val="001E2798"/>
    <w:rsid w:val="001E2B1E"/>
    <w:rsid w:val="001E2CFF"/>
    <w:rsid w:val="001E2F24"/>
    <w:rsid w:val="001E30D4"/>
    <w:rsid w:val="001E34DF"/>
    <w:rsid w:val="001E3900"/>
    <w:rsid w:val="001E52EB"/>
    <w:rsid w:val="001E54C7"/>
    <w:rsid w:val="001E56D0"/>
    <w:rsid w:val="001E61D2"/>
    <w:rsid w:val="001E6547"/>
    <w:rsid w:val="001E6994"/>
    <w:rsid w:val="001E6EB0"/>
    <w:rsid w:val="001E740C"/>
    <w:rsid w:val="001E766B"/>
    <w:rsid w:val="001E76BF"/>
    <w:rsid w:val="001F001F"/>
    <w:rsid w:val="001F071B"/>
    <w:rsid w:val="001F07F1"/>
    <w:rsid w:val="001F0854"/>
    <w:rsid w:val="001F0DE4"/>
    <w:rsid w:val="001F11AF"/>
    <w:rsid w:val="001F1235"/>
    <w:rsid w:val="001F179A"/>
    <w:rsid w:val="001F1CB3"/>
    <w:rsid w:val="001F2559"/>
    <w:rsid w:val="001F2D76"/>
    <w:rsid w:val="001F33DC"/>
    <w:rsid w:val="001F38B5"/>
    <w:rsid w:val="001F4036"/>
    <w:rsid w:val="001F4081"/>
    <w:rsid w:val="001F4BEC"/>
    <w:rsid w:val="001F4C24"/>
    <w:rsid w:val="001F4C56"/>
    <w:rsid w:val="001F5682"/>
    <w:rsid w:val="001F5F09"/>
    <w:rsid w:val="001F6298"/>
    <w:rsid w:val="001F685D"/>
    <w:rsid w:val="001F6C85"/>
    <w:rsid w:val="001F6E77"/>
    <w:rsid w:val="001F7361"/>
    <w:rsid w:val="00200AFF"/>
    <w:rsid w:val="00200D16"/>
    <w:rsid w:val="00200FCE"/>
    <w:rsid w:val="002011B0"/>
    <w:rsid w:val="00201C8F"/>
    <w:rsid w:val="002021EA"/>
    <w:rsid w:val="00203181"/>
    <w:rsid w:val="00203783"/>
    <w:rsid w:val="0020385F"/>
    <w:rsid w:val="002038CB"/>
    <w:rsid w:val="00203CF6"/>
    <w:rsid w:val="002042FE"/>
    <w:rsid w:val="0020565F"/>
    <w:rsid w:val="00205BBE"/>
    <w:rsid w:val="00205D67"/>
    <w:rsid w:val="002068A0"/>
    <w:rsid w:val="00207021"/>
    <w:rsid w:val="0020732F"/>
    <w:rsid w:val="002076CB"/>
    <w:rsid w:val="00207873"/>
    <w:rsid w:val="00207D00"/>
    <w:rsid w:val="00207EE2"/>
    <w:rsid w:val="00207F31"/>
    <w:rsid w:val="002105C1"/>
    <w:rsid w:val="002106B1"/>
    <w:rsid w:val="00211879"/>
    <w:rsid w:val="002119E7"/>
    <w:rsid w:val="00211DCD"/>
    <w:rsid w:val="00211F41"/>
    <w:rsid w:val="00213EF5"/>
    <w:rsid w:val="002142B2"/>
    <w:rsid w:val="00214998"/>
    <w:rsid w:val="00214AD8"/>
    <w:rsid w:val="00214C08"/>
    <w:rsid w:val="0021568A"/>
    <w:rsid w:val="00215B35"/>
    <w:rsid w:val="00216BF5"/>
    <w:rsid w:val="0021708F"/>
    <w:rsid w:val="0022068C"/>
    <w:rsid w:val="002206AE"/>
    <w:rsid w:val="00221184"/>
    <w:rsid w:val="00221980"/>
    <w:rsid w:val="002221AF"/>
    <w:rsid w:val="00222387"/>
    <w:rsid w:val="00222569"/>
    <w:rsid w:val="00223320"/>
    <w:rsid w:val="00223B49"/>
    <w:rsid w:val="00223D5A"/>
    <w:rsid w:val="00223D87"/>
    <w:rsid w:val="002242C9"/>
    <w:rsid w:val="0022459D"/>
    <w:rsid w:val="00224889"/>
    <w:rsid w:val="00224D3C"/>
    <w:rsid w:val="00224DD4"/>
    <w:rsid w:val="00224ED8"/>
    <w:rsid w:val="00225D10"/>
    <w:rsid w:val="0022605A"/>
    <w:rsid w:val="0022765C"/>
    <w:rsid w:val="002278A0"/>
    <w:rsid w:val="00230872"/>
    <w:rsid w:val="002309CC"/>
    <w:rsid w:val="002314F5"/>
    <w:rsid w:val="0023167E"/>
    <w:rsid w:val="00232069"/>
    <w:rsid w:val="0023209F"/>
    <w:rsid w:val="00232467"/>
    <w:rsid w:val="00232650"/>
    <w:rsid w:val="00232964"/>
    <w:rsid w:val="00232B5D"/>
    <w:rsid w:val="00232F66"/>
    <w:rsid w:val="0023310B"/>
    <w:rsid w:val="00233A6B"/>
    <w:rsid w:val="00233C01"/>
    <w:rsid w:val="0023410E"/>
    <w:rsid w:val="0023413C"/>
    <w:rsid w:val="002341E9"/>
    <w:rsid w:val="00234481"/>
    <w:rsid w:val="002346F0"/>
    <w:rsid w:val="002350D0"/>
    <w:rsid w:val="0023629D"/>
    <w:rsid w:val="00236FB1"/>
    <w:rsid w:val="00237123"/>
    <w:rsid w:val="00237255"/>
    <w:rsid w:val="002372A0"/>
    <w:rsid w:val="0023731C"/>
    <w:rsid w:val="0023758E"/>
    <w:rsid w:val="0023774D"/>
    <w:rsid w:val="002408C2"/>
    <w:rsid w:val="00240B39"/>
    <w:rsid w:val="002410C5"/>
    <w:rsid w:val="0024129D"/>
    <w:rsid w:val="00241C94"/>
    <w:rsid w:val="002424AF"/>
    <w:rsid w:val="00242838"/>
    <w:rsid w:val="002435A5"/>
    <w:rsid w:val="00243997"/>
    <w:rsid w:val="002439DC"/>
    <w:rsid w:val="00243CEA"/>
    <w:rsid w:val="00243DD7"/>
    <w:rsid w:val="00243F32"/>
    <w:rsid w:val="002441D2"/>
    <w:rsid w:val="002448FD"/>
    <w:rsid w:val="00244DC8"/>
    <w:rsid w:val="002458BA"/>
    <w:rsid w:val="002459E8"/>
    <w:rsid w:val="00245AE8"/>
    <w:rsid w:val="00245CE9"/>
    <w:rsid w:val="002461EC"/>
    <w:rsid w:val="0024636C"/>
    <w:rsid w:val="002467DF"/>
    <w:rsid w:val="0024733D"/>
    <w:rsid w:val="00247925"/>
    <w:rsid w:val="00247A4A"/>
    <w:rsid w:val="002500D4"/>
    <w:rsid w:val="00251006"/>
    <w:rsid w:val="00251BB4"/>
    <w:rsid w:val="00251E43"/>
    <w:rsid w:val="00251F62"/>
    <w:rsid w:val="002524D5"/>
    <w:rsid w:val="002525E3"/>
    <w:rsid w:val="00253B1D"/>
    <w:rsid w:val="00254BA8"/>
    <w:rsid w:val="00254DCF"/>
    <w:rsid w:val="0025534B"/>
    <w:rsid w:val="00255BB7"/>
    <w:rsid w:val="00256128"/>
    <w:rsid w:val="00257541"/>
    <w:rsid w:val="002578CE"/>
    <w:rsid w:val="002579C0"/>
    <w:rsid w:val="00257A39"/>
    <w:rsid w:val="00257AC4"/>
    <w:rsid w:val="00260363"/>
    <w:rsid w:val="00260D80"/>
    <w:rsid w:val="00260EAC"/>
    <w:rsid w:val="0026118E"/>
    <w:rsid w:val="00261B36"/>
    <w:rsid w:val="00261EEF"/>
    <w:rsid w:val="002627F0"/>
    <w:rsid w:val="00262A1A"/>
    <w:rsid w:val="00262A87"/>
    <w:rsid w:val="00262D48"/>
    <w:rsid w:val="00262E78"/>
    <w:rsid w:val="0026311F"/>
    <w:rsid w:val="00264D26"/>
    <w:rsid w:val="002653B9"/>
    <w:rsid w:val="00265CCD"/>
    <w:rsid w:val="00265E62"/>
    <w:rsid w:val="002664E3"/>
    <w:rsid w:val="002667E8"/>
    <w:rsid w:val="002672D0"/>
    <w:rsid w:val="00267557"/>
    <w:rsid w:val="002675C2"/>
    <w:rsid w:val="00267642"/>
    <w:rsid w:val="00267A95"/>
    <w:rsid w:val="00267AEA"/>
    <w:rsid w:val="002700E6"/>
    <w:rsid w:val="002703C2"/>
    <w:rsid w:val="002710A5"/>
    <w:rsid w:val="00271A84"/>
    <w:rsid w:val="0027294B"/>
    <w:rsid w:val="00272DAD"/>
    <w:rsid w:val="00273D28"/>
    <w:rsid w:val="00273EB4"/>
    <w:rsid w:val="00274682"/>
    <w:rsid w:val="00275C5A"/>
    <w:rsid w:val="00277F16"/>
    <w:rsid w:val="00281014"/>
    <w:rsid w:val="00281820"/>
    <w:rsid w:val="002827A6"/>
    <w:rsid w:val="00282FEE"/>
    <w:rsid w:val="002830F9"/>
    <w:rsid w:val="0028387F"/>
    <w:rsid w:val="00283BE5"/>
    <w:rsid w:val="002842A1"/>
    <w:rsid w:val="0028434A"/>
    <w:rsid w:val="00285048"/>
    <w:rsid w:val="0028552A"/>
    <w:rsid w:val="002857FF"/>
    <w:rsid w:val="00285B5F"/>
    <w:rsid w:val="0028665D"/>
    <w:rsid w:val="00286922"/>
    <w:rsid w:val="00286A95"/>
    <w:rsid w:val="00290097"/>
    <w:rsid w:val="002903FE"/>
    <w:rsid w:val="0029111F"/>
    <w:rsid w:val="0029189C"/>
    <w:rsid w:val="00291E75"/>
    <w:rsid w:val="002920F9"/>
    <w:rsid w:val="002927D0"/>
    <w:rsid w:val="0029319C"/>
    <w:rsid w:val="00294398"/>
    <w:rsid w:val="00294BF8"/>
    <w:rsid w:val="00295983"/>
    <w:rsid w:val="00295AC8"/>
    <w:rsid w:val="0029601C"/>
    <w:rsid w:val="002973D9"/>
    <w:rsid w:val="00297BDE"/>
    <w:rsid w:val="00297D80"/>
    <w:rsid w:val="00297D9E"/>
    <w:rsid w:val="002A000C"/>
    <w:rsid w:val="002A0C1C"/>
    <w:rsid w:val="002A0C79"/>
    <w:rsid w:val="002A1476"/>
    <w:rsid w:val="002A14AB"/>
    <w:rsid w:val="002A2ADE"/>
    <w:rsid w:val="002A2D5F"/>
    <w:rsid w:val="002A2F50"/>
    <w:rsid w:val="002A3E8D"/>
    <w:rsid w:val="002A3E94"/>
    <w:rsid w:val="002A43C1"/>
    <w:rsid w:val="002A526A"/>
    <w:rsid w:val="002A5DCB"/>
    <w:rsid w:val="002A659F"/>
    <w:rsid w:val="002A6C6A"/>
    <w:rsid w:val="002A700E"/>
    <w:rsid w:val="002A7E5C"/>
    <w:rsid w:val="002B05A1"/>
    <w:rsid w:val="002B0741"/>
    <w:rsid w:val="002B09A4"/>
    <w:rsid w:val="002B0A18"/>
    <w:rsid w:val="002B0AA1"/>
    <w:rsid w:val="002B0DB9"/>
    <w:rsid w:val="002B1502"/>
    <w:rsid w:val="002B154E"/>
    <w:rsid w:val="002B1666"/>
    <w:rsid w:val="002B1C1F"/>
    <w:rsid w:val="002B37C0"/>
    <w:rsid w:val="002B432F"/>
    <w:rsid w:val="002B43A9"/>
    <w:rsid w:val="002B507C"/>
    <w:rsid w:val="002B59E5"/>
    <w:rsid w:val="002B5C84"/>
    <w:rsid w:val="002B5D4A"/>
    <w:rsid w:val="002B60C3"/>
    <w:rsid w:val="002B62B3"/>
    <w:rsid w:val="002B6517"/>
    <w:rsid w:val="002B6754"/>
    <w:rsid w:val="002B6CCE"/>
    <w:rsid w:val="002B70BF"/>
    <w:rsid w:val="002B75D1"/>
    <w:rsid w:val="002C0395"/>
    <w:rsid w:val="002C1282"/>
    <w:rsid w:val="002C2510"/>
    <w:rsid w:val="002C25D0"/>
    <w:rsid w:val="002C2775"/>
    <w:rsid w:val="002C27C1"/>
    <w:rsid w:val="002C3145"/>
    <w:rsid w:val="002C3174"/>
    <w:rsid w:val="002C3871"/>
    <w:rsid w:val="002C425C"/>
    <w:rsid w:val="002C5099"/>
    <w:rsid w:val="002C52FF"/>
    <w:rsid w:val="002C56FD"/>
    <w:rsid w:val="002C5889"/>
    <w:rsid w:val="002C5A5E"/>
    <w:rsid w:val="002C5DA2"/>
    <w:rsid w:val="002C69CF"/>
    <w:rsid w:val="002C6F0F"/>
    <w:rsid w:val="002C71CE"/>
    <w:rsid w:val="002C78EB"/>
    <w:rsid w:val="002D0775"/>
    <w:rsid w:val="002D08F8"/>
    <w:rsid w:val="002D0A8D"/>
    <w:rsid w:val="002D0AFD"/>
    <w:rsid w:val="002D10B1"/>
    <w:rsid w:val="002D1E4D"/>
    <w:rsid w:val="002D1F7D"/>
    <w:rsid w:val="002D1FBA"/>
    <w:rsid w:val="002D26C3"/>
    <w:rsid w:val="002D2A8A"/>
    <w:rsid w:val="002D2CED"/>
    <w:rsid w:val="002D3928"/>
    <w:rsid w:val="002D577C"/>
    <w:rsid w:val="002D5B15"/>
    <w:rsid w:val="002D62E7"/>
    <w:rsid w:val="002D63A2"/>
    <w:rsid w:val="002D72BA"/>
    <w:rsid w:val="002D7A07"/>
    <w:rsid w:val="002E1071"/>
    <w:rsid w:val="002E1208"/>
    <w:rsid w:val="002E15B9"/>
    <w:rsid w:val="002E2158"/>
    <w:rsid w:val="002E3390"/>
    <w:rsid w:val="002E3E2F"/>
    <w:rsid w:val="002E4AF1"/>
    <w:rsid w:val="002E4F02"/>
    <w:rsid w:val="002E687B"/>
    <w:rsid w:val="002E7466"/>
    <w:rsid w:val="002E7722"/>
    <w:rsid w:val="002F05E2"/>
    <w:rsid w:val="002F07BA"/>
    <w:rsid w:val="002F08B3"/>
    <w:rsid w:val="002F0DA9"/>
    <w:rsid w:val="002F0FCD"/>
    <w:rsid w:val="002F1014"/>
    <w:rsid w:val="002F392E"/>
    <w:rsid w:val="002F461F"/>
    <w:rsid w:val="002F6075"/>
    <w:rsid w:val="002F643C"/>
    <w:rsid w:val="002F709E"/>
    <w:rsid w:val="002F71C0"/>
    <w:rsid w:val="002F74F1"/>
    <w:rsid w:val="002F770E"/>
    <w:rsid w:val="002F7847"/>
    <w:rsid w:val="002F7973"/>
    <w:rsid w:val="00300C14"/>
    <w:rsid w:val="00301017"/>
    <w:rsid w:val="0030155F"/>
    <w:rsid w:val="00301DF6"/>
    <w:rsid w:val="003024B2"/>
    <w:rsid w:val="003024CD"/>
    <w:rsid w:val="003028E0"/>
    <w:rsid w:val="003031C6"/>
    <w:rsid w:val="003036A4"/>
    <w:rsid w:val="00304156"/>
    <w:rsid w:val="003056DC"/>
    <w:rsid w:val="0030587B"/>
    <w:rsid w:val="00305B92"/>
    <w:rsid w:val="00305D46"/>
    <w:rsid w:val="00305FB9"/>
    <w:rsid w:val="00306194"/>
    <w:rsid w:val="00306C9A"/>
    <w:rsid w:val="00306D98"/>
    <w:rsid w:val="0030718C"/>
    <w:rsid w:val="003074B3"/>
    <w:rsid w:val="00307531"/>
    <w:rsid w:val="00307855"/>
    <w:rsid w:val="0030786C"/>
    <w:rsid w:val="0031031A"/>
    <w:rsid w:val="00310981"/>
    <w:rsid w:val="00310D2A"/>
    <w:rsid w:val="00310EC8"/>
    <w:rsid w:val="00311369"/>
    <w:rsid w:val="003124D9"/>
    <w:rsid w:val="00312594"/>
    <w:rsid w:val="00312FD1"/>
    <w:rsid w:val="00313A4C"/>
    <w:rsid w:val="00314356"/>
    <w:rsid w:val="00314DC1"/>
    <w:rsid w:val="00314F3D"/>
    <w:rsid w:val="00315498"/>
    <w:rsid w:val="00315C09"/>
    <w:rsid w:val="00316132"/>
    <w:rsid w:val="00316474"/>
    <w:rsid w:val="003170B8"/>
    <w:rsid w:val="0031725C"/>
    <w:rsid w:val="00317D9C"/>
    <w:rsid w:val="0032021A"/>
    <w:rsid w:val="00320300"/>
    <w:rsid w:val="00320398"/>
    <w:rsid w:val="003205C5"/>
    <w:rsid w:val="00320788"/>
    <w:rsid w:val="00321B65"/>
    <w:rsid w:val="00321B73"/>
    <w:rsid w:val="00322107"/>
    <w:rsid w:val="00322355"/>
    <w:rsid w:val="00322846"/>
    <w:rsid w:val="00323385"/>
    <w:rsid w:val="0032470F"/>
    <w:rsid w:val="00324831"/>
    <w:rsid w:val="00324B45"/>
    <w:rsid w:val="00325542"/>
    <w:rsid w:val="0032596E"/>
    <w:rsid w:val="00325A06"/>
    <w:rsid w:val="00325C62"/>
    <w:rsid w:val="00326119"/>
    <w:rsid w:val="00326526"/>
    <w:rsid w:val="00326616"/>
    <w:rsid w:val="0032680B"/>
    <w:rsid w:val="00326DA7"/>
    <w:rsid w:val="003270E4"/>
    <w:rsid w:val="00327B44"/>
    <w:rsid w:val="00330A24"/>
    <w:rsid w:val="00330DAA"/>
    <w:rsid w:val="00330F5C"/>
    <w:rsid w:val="003310A5"/>
    <w:rsid w:val="00333944"/>
    <w:rsid w:val="00334748"/>
    <w:rsid w:val="00334F4B"/>
    <w:rsid w:val="00335067"/>
    <w:rsid w:val="00335777"/>
    <w:rsid w:val="00336630"/>
    <w:rsid w:val="0033668D"/>
    <w:rsid w:val="003366C9"/>
    <w:rsid w:val="00336D73"/>
    <w:rsid w:val="003371B0"/>
    <w:rsid w:val="00340D41"/>
    <w:rsid w:val="00340DF1"/>
    <w:rsid w:val="00340FCF"/>
    <w:rsid w:val="00341934"/>
    <w:rsid w:val="003425AE"/>
    <w:rsid w:val="0034513D"/>
    <w:rsid w:val="00346E14"/>
    <w:rsid w:val="0035033F"/>
    <w:rsid w:val="00350AF2"/>
    <w:rsid w:val="00350C25"/>
    <w:rsid w:val="0035105A"/>
    <w:rsid w:val="003517F9"/>
    <w:rsid w:val="00351BA9"/>
    <w:rsid w:val="00352AB2"/>
    <w:rsid w:val="00352B81"/>
    <w:rsid w:val="00354688"/>
    <w:rsid w:val="00354BD0"/>
    <w:rsid w:val="00354F64"/>
    <w:rsid w:val="0035520C"/>
    <w:rsid w:val="00356066"/>
    <w:rsid w:val="0035620E"/>
    <w:rsid w:val="00356534"/>
    <w:rsid w:val="003572B7"/>
    <w:rsid w:val="00360345"/>
    <w:rsid w:val="0036177F"/>
    <w:rsid w:val="00361A05"/>
    <w:rsid w:val="003624C4"/>
    <w:rsid w:val="003626FB"/>
    <w:rsid w:val="00363B00"/>
    <w:rsid w:val="00363FC7"/>
    <w:rsid w:val="00364036"/>
    <w:rsid w:val="003641ED"/>
    <w:rsid w:val="00364AAE"/>
    <w:rsid w:val="00364C02"/>
    <w:rsid w:val="00364CFF"/>
    <w:rsid w:val="00365239"/>
    <w:rsid w:val="003654AC"/>
    <w:rsid w:val="00366062"/>
    <w:rsid w:val="0036690B"/>
    <w:rsid w:val="00366D00"/>
    <w:rsid w:val="00366E6D"/>
    <w:rsid w:val="00367A7B"/>
    <w:rsid w:val="003707EA"/>
    <w:rsid w:val="00370AC7"/>
    <w:rsid w:val="00370E3D"/>
    <w:rsid w:val="003710CF"/>
    <w:rsid w:val="00371A28"/>
    <w:rsid w:val="00371A32"/>
    <w:rsid w:val="00372653"/>
    <w:rsid w:val="00372FED"/>
    <w:rsid w:val="003732D2"/>
    <w:rsid w:val="00373573"/>
    <w:rsid w:val="0037358A"/>
    <w:rsid w:val="00373928"/>
    <w:rsid w:val="00373AA2"/>
    <w:rsid w:val="00373EC0"/>
    <w:rsid w:val="00373ED0"/>
    <w:rsid w:val="00374FA4"/>
    <w:rsid w:val="003750F6"/>
    <w:rsid w:val="003760FC"/>
    <w:rsid w:val="00376E7E"/>
    <w:rsid w:val="00377C32"/>
    <w:rsid w:val="0038096A"/>
    <w:rsid w:val="00381EAE"/>
    <w:rsid w:val="00381F28"/>
    <w:rsid w:val="00382733"/>
    <w:rsid w:val="0038282D"/>
    <w:rsid w:val="0038333E"/>
    <w:rsid w:val="00383407"/>
    <w:rsid w:val="0038365C"/>
    <w:rsid w:val="0038369B"/>
    <w:rsid w:val="00383B78"/>
    <w:rsid w:val="003842E2"/>
    <w:rsid w:val="00384D91"/>
    <w:rsid w:val="00385219"/>
    <w:rsid w:val="00385294"/>
    <w:rsid w:val="003857C9"/>
    <w:rsid w:val="00385A9D"/>
    <w:rsid w:val="00385FE2"/>
    <w:rsid w:val="003864BE"/>
    <w:rsid w:val="003869A5"/>
    <w:rsid w:val="00386D55"/>
    <w:rsid w:val="00386EC7"/>
    <w:rsid w:val="003902B1"/>
    <w:rsid w:val="003903C5"/>
    <w:rsid w:val="00390A7B"/>
    <w:rsid w:val="0039179C"/>
    <w:rsid w:val="00391A9E"/>
    <w:rsid w:val="0039307F"/>
    <w:rsid w:val="00393161"/>
    <w:rsid w:val="00393699"/>
    <w:rsid w:val="00394B05"/>
    <w:rsid w:val="00396896"/>
    <w:rsid w:val="003968D4"/>
    <w:rsid w:val="00396CD0"/>
    <w:rsid w:val="00396FD0"/>
    <w:rsid w:val="00397756"/>
    <w:rsid w:val="00397C93"/>
    <w:rsid w:val="00397D9D"/>
    <w:rsid w:val="003A14AD"/>
    <w:rsid w:val="003A150A"/>
    <w:rsid w:val="003A181F"/>
    <w:rsid w:val="003A1A7A"/>
    <w:rsid w:val="003A2392"/>
    <w:rsid w:val="003A25F5"/>
    <w:rsid w:val="003A2782"/>
    <w:rsid w:val="003A2831"/>
    <w:rsid w:val="003A2CCE"/>
    <w:rsid w:val="003A3191"/>
    <w:rsid w:val="003A332F"/>
    <w:rsid w:val="003A34F6"/>
    <w:rsid w:val="003A3CB6"/>
    <w:rsid w:val="003A3D7F"/>
    <w:rsid w:val="003A3ED1"/>
    <w:rsid w:val="003A43AA"/>
    <w:rsid w:val="003A44DB"/>
    <w:rsid w:val="003A4622"/>
    <w:rsid w:val="003A47B7"/>
    <w:rsid w:val="003A6090"/>
    <w:rsid w:val="003A61A6"/>
    <w:rsid w:val="003A6EFA"/>
    <w:rsid w:val="003A77F9"/>
    <w:rsid w:val="003B00AB"/>
    <w:rsid w:val="003B1AD7"/>
    <w:rsid w:val="003B1C12"/>
    <w:rsid w:val="003B20DB"/>
    <w:rsid w:val="003B2AB6"/>
    <w:rsid w:val="003B3311"/>
    <w:rsid w:val="003B3677"/>
    <w:rsid w:val="003B3694"/>
    <w:rsid w:val="003B3971"/>
    <w:rsid w:val="003B3C7C"/>
    <w:rsid w:val="003B4911"/>
    <w:rsid w:val="003B55D1"/>
    <w:rsid w:val="003B56BA"/>
    <w:rsid w:val="003B58B9"/>
    <w:rsid w:val="003B5B61"/>
    <w:rsid w:val="003B5CA8"/>
    <w:rsid w:val="003B688A"/>
    <w:rsid w:val="003B6CCC"/>
    <w:rsid w:val="003C1146"/>
    <w:rsid w:val="003C1654"/>
    <w:rsid w:val="003C2961"/>
    <w:rsid w:val="003C2969"/>
    <w:rsid w:val="003C30C1"/>
    <w:rsid w:val="003C3806"/>
    <w:rsid w:val="003C3D66"/>
    <w:rsid w:val="003C46C9"/>
    <w:rsid w:val="003C4AA7"/>
    <w:rsid w:val="003C5038"/>
    <w:rsid w:val="003C543B"/>
    <w:rsid w:val="003C5542"/>
    <w:rsid w:val="003C56E6"/>
    <w:rsid w:val="003C6BD2"/>
    <w:rsid w:val="003C743C"/>
    <w:rsid w:val="003C7D19"/>
    <w:rsid w:val="003C7D2F"/>
    <w:rsid w:val="003D0793"/>
    <w:rsid w:val="003D0974"/>
    <w:rsid w:val="003D1828"/>
    <w:rsid w:val="003D1DE4"/>
    <w:rsid w:val="003D1DE8"/>
    <w:rsid w:val="003D1E9A"/>
    <w:rsid w:val="003D2085"/>
    <w:rsid w:val="003D2422"/>
    <w:rsid w:val="003D26BD"/>
    <w:rsid w:val="003D2835"/>
    <w:rsid w:val="003D2AF3"/>
    <w:rsid w:val="003D363A"/>
    <w:rsid w:val="003D39A1"/>
    <w:rsid w:val="003D3E99"/>
    <w:rsid w:val="003D3FBF"/>
    <w:rsid w:val="003D4109"/>
    <w:rsid w:val="003D4362"/>
    <w:rsid w:val="003D4A30"/>
    <w:rsid w:val="003D4C50"/>
    <w:rsid w:val="003D552A"/>
    <w:rsid w:val="003D572F"/>
    <w:rsid w:val="003D6F18"/>
    <w:rsid w:val="003D7452"/>
    <w:rsid w:val="003D7716"/>
    <w:rsid w:val="003D79BB"/>
    <w:rsid w:val="003D7C75"/>
    <w:rsid w:val="003D7C98"/>
    <w:rsid w:val="003D7D6C"/>
    <w:rsid w:val="003D7D9D"/>
    <w:rsid w:val="003E021E"/>
    <w:rsid w:val="003E0345"/>
    <w:rsid w:val="003E03D0"/>
    <w:rsid w:val="003E04A7"/>
    <w:rsid w:val="003E0543"/>
    <w:rsid w:val="003E08D8"/>
    <w:rsid w:val="003E08F0"/>
    <w:rsid w:val="003E0B34"/>
    <w:rsid w:val="003E2932"/>
    <w:rsid w:val="003E341F"/>
    <w:rsid w:val="003E3CE1"/>
    <w:rsid w:val="003E400C"/>
    <w:rsid w:val="003E409F"/>
    <w:rsid w:val="003E4482"/>
    <w:rsid w:val="003E46A5"/>
    <w:rsid w:val="003E58CF"/>
    <w:rsid w:val="003E5E94"/>
    <w:rsid w:val="003E69E4"/>
    <w:rsid w:val="003E749E"/>
    <w:rsid w:val="003E7735"/>
    <w:rsid w:val="003E7909"/>
    <w:rsid w:val="003E7976"/>
    <w:rsid w:val="003F15D8"/>
    <w:rsid w:val="003F2283"/>
    <w:rsid w:val="003F27D9"/>
    <w:rsid w:val="003F2D31"/>
    <w:rsid w:val="003F4156"/>
    <w:rsid w:val="003F4F57"/>
    <w:rsid w:val="003F5ADF"/>
    <w:rsid w:val="003F6396"/>
    <w:rsid w:val="003F67BB"/>
    <w:rsid w:val="00400B29"/>
    <w:rsid w:val="00400C09"/>
    <w:rsid w:val="00400F9A"/>
    <w:rsid w:val="0040262A"/>
    <w:rsid w:val="00402A5F"/>
    <w:rsid w:val="00402C8C"/>
    <w:rsid w:val="004033AB"/>
    <w:rsid w:val="00404A9C"/>
    <w:rsid w:val="0040504B"/>
    <w:rsid w:val="004059F4"/>
    <w:rsid w:val="00405F20"/>
    <w:rsid w:val="0040603E"/>
    <w:rsid w:val="00406CD4"/>
    <w:rsid w:val="00407B55"/>
    <w:rsid w:val="00407FE5"/>
    <w:rsid w:val="00410143"/>
    <w:rsid w:val="004101B0"/>
    <w:rsid w:val="00410326"/>
    <w:rsid w:val="004106D8"/>
    <w:rsid w:val="00410708"/>
    <w:rsid w:val="00410EC7"/>
    <w:rsid w:val="00411B39"/>
    <w:rsid w:val="00411E2D"/>
    <w:rsid w:val="004127A7"/>
    <w:rsid w:val="00413A1E"/>
    <w:rsid w:val="00413F62"/>
    <w:rsid w:val="00414476"/>
    <w:rsid w:val="00414C2E"/>
    <w:rsid w:val="004151CF"/>
    <w:rsid w:val="004157FA"/>
    <w:rsid w:val="004159CB"/>
    <w:rsid w:val="00415AC2"/>
    <w:rsid w:val="00416364"/>
    <w:rsid w:val="0041667C"/>
    <w:rsid w:val="004167BF"/>
    <w:rsid w:val="00416E23"/>
    <w:rsid w:val="0042047F"/>
    <w:rsid w:val="00420AA6"/>
    <w:rsid w:val="00420B9F"/>
    <w:rsid w:val="00420F13"/>
    <w:rsid w:val="0042192C"/>
    <w:rsid w:val="00422260"/>
    <w:rsid w:val="00422C20"/>
    <w:rsid w:val="00422DDE"/>
    <w:rsid w:val="00423564"/>
    <w:rsid w:val="0042413F"/>
    <w:rsid w:val="00424726"/>
    <w:rsid w:val="00424AEF"/>
    <w:rsid w:val="0042552C"/>
    <w:rsid w:val="004267DA"/>
    <w:rsid w:val="00427316"/>
    <w:rsid w:val="00427CC8"/>
    <w:rsid w:val="00430131"/>
    <w:rsid w:val="004302B9"/>
    <w:rsid w:val="004314B3"/>
    <w:rsid w:val="004317C0"/>
    <w:rsid w:val="00431866"/>
    <w:rsid w:val="004319F8"/>
    <w:rsid w:val="00431E55"/>
    <w:rsid w:val="004321F6"/>
    <w:rsid w:val="00432989"/>
    <w:rsid w:val="00432DC0"/>
    <w:rsid w:val="00433044"/>
    <w:rsid w:val="00434088"/>
    <w:rsid w:val="00436488"/>
    <w:rsid w:val="004375B9"/>
    <w:rsid w:val="004415FF"/>
    <w:rsid w:val="00441A20"/>
    <w:rsid w:val="00441B58"/>
    <w:rsid w:val="00441F04"/>
    <w:rsid w:val="0044212F"/>
    <w:rsid w:val="004428D0"/>
    <w:rsid w:val="00442A9A"/>
    <w:rsid w:val="00442D3A"/>
    <w:rsid w:val="00443473"/>
    <w:rsid w:val="00444185"/>
    <w:rsid w:val="004443A7"/>
    <w:rsid w:val="0044442C"/>
    <w:rsid w:val="00445941"/>
    <w:rsid w:val="00445A9A"/>
    <w:rsid w:val="004464EB"/>
    <w:rsid w:val="00446666"/>
    <w:rsid w:val="004467E5"/>
    <w:rsid w:val="00446BD7"/>
    <w:rsid w:val="00446F10"/>
    <w:rsid w:val="0044750B"/>
    <w:rsid w:val="00447D26"/>
    <w:rsid w:val="00447DFC"/>
    <w:rsid w:val="00450681"/>
    <w:rsid w:val="00450B9A"/>
    <w:rsid w:val="00451294"/>
    <w:rsid w:val="00451629"/>
    <w:rsid w:val="00452466"/>
    <w:rsid w:val="00452675"/>
    <w:rsid w:val="00452815"/>
    <w:rsid w:val="00452E83"/>
    <w:rsid w:val="00453DB6"/>
    <w:rsid w:val="00453FE6"/>
    <w:rsid w:val="00455A90"/>
    <w:rsid w:val="00455A9E"/>
    <w:rsid w:val="00455D3D"/>
    <w:rsid w:val="00455D45"/>
    <w:rsid w:val="004566C6"/>
    <w:rsid w:val="00456E66"/>
    <w:rsid w:val="00457D73"/>
    <w:rsid w:val="0046012F"/>
    <w:rsid w:val="00460CBB"/>
    <w:rsid w:val="00461827"/>
    <w:rsid w:val="00462E33"/>
    <w:rsid w:val="00462E62"/>
    <w:rsid w:val="00462EBF"/>
    <w:rsid w:val="004630B2"/>
    <w:rsid w:val="00463410"/>
    <w:rsid w:val="0046363C"/>
    <w:rsid w:val="0046399F"/>
    <w:rsid w:val="004641EC"/>
    <w:rsid w:val="00464595"/>
    <w:rsid w:val="00464BF8"/>
    <w:rsid w:val="00464C0B"/>
    <w:rsid w:val="0046529F"/>
    <w:rsid w:val="004658B5"/>
    <w:rsid w:val="00465E02"/>
    <w:rsid w:val="004662B7"/>
    <w:rsid w:val="0046639A"/>
    <w:rsid w:val="00467681"/>
    <w:rsid w:val="004700FD"/>
    <w:rsid w:val="004702D3"/>
    <w:rsid w:val="00470550"/>
    <w:rsid w:val="00470563"/>
    <w:rsid w:val="00470E0E"/>
    <w:rsid w:val="00471EA5"/>
    <w:rsid w:val="00471EE8"/>
    <w:rsid w:val="00472A79"/>
    <w:rsid w:val="00472CDC"/>
    <w:rsid w:val="00473846"/>
    <w:rsid w:val="00473A7E"/>
    <w:rsid w:val="00473EF5"/>
    <w:rsid w:val="00473F19"/>
    <w:rsid w:val="00474984"/>
    <w:rsid w:val="0047510D"/>
    <w:rsid w:val="00475687"/>
    <w:rsid w:val="00475E22"/>
    <w:rsid w:val="004760CD"/>
    <w:rsid w:val="00476570"/>
    <w:rsid w:val="00477872"/>
    <w:rsid w:val="00477E27"/>
    <w:rsid w:val="004805D1"/>
    <w:rsid w:val="0048088E"/>
    <w:rsid w:val="00480F2B"/>
    <w:rsid w:val="00481226"/>
    <w:rsid w:val="00482422"/>
    <w:rsid w:val="00482720"/>
    <w:rsid w:val="004835E7"/>
    <w:rsid w:val="00483AF9"/>
    <w:rsid w:val="00485242"/>
    <w:rsid w:val="004867E2"/>
    <w:rsid w:val="00486C7E"/>
    <w:rsid w:val="00487273"/>
    <w:rsid w:val="004879D4"/>
    <w:rsid w:val="0049088F"/>
    <w:rsid w:val="00490B17"/>
    <w:rsid w:val="00490C40"/>
    <w:rsid w:val="00490C7B"/>
    <w:rsid w:val="00490EAF"/>
    <w:rsid w:val="00491185"/>
    <w:rsid w:val="00491257"/>
    <w:rsid w:val="00491636"/>
    <w:rsid w:val="00491B0E"/>
    <w:rsid w:val="00491B3A"/>
    <w:rsid w:val="004920F1"/>
    <w:rsid w:val="00492C38"/>
    <w:rsid w:val="00492CFD"/>
    <w:rsid w:val="0049348F"/>
    <w:rsid w:val="00493BA6"/>
    <w:rsid w:val="00494207"/>
    <w:rsid w:val="00494DD5"/>
    <w:rsid w:val="00494EE3"/>
    <w:rsid w:val="00495202"/>
    <w:rsid w:val="004954FB"/>
    <w:rsid w:val="00495F35"/>
    <w:rsid w:val="00495F7C"/>
    <w:rsid w:val="004962D2"/>
    <w:rsid w:val="00496552"/>
    <w:rsid w:val="0049739B"/>
    <w:rsid w:val="004977D5"/>
    <w:rsid w:val="00497B48"/>
    <w:rsid w:val="00497D64"/>
    <w:rsid w:val="004A0A90"/>
    <w:rsid w:val="004A0DA1"/>
    <w:rsid w:val="004A0FF2"/>
    <w:rsid w:val="004A10FD"/>
    <w:rsid w:val="004A13D6"/>
    <w:rsid w:val="004A20EF"/>
    <w:rsid w:val="004A28AD"/>
    <w:rsid w:val="004A3B22"/>
    <w:rsid w:val="004A3BD7"/>
    <w:rsid w:val="004A4C07"/>
    <w:rsid w:val="004A52E9"/>
    <w:rsid w:val="004A5651"/>
    <w:rsid w:val="004A6040"/>
    <w:rsid w:val="004A607E"/>
    <w:rsid w:val="004A60C2"/>
    <w:rsid w:val="004A6597"/>
    <w:rsid w:val="004A65D4"/>
    <w:rsid w:val="004A7251"/>
    <w:rsid w:val="004A73FC"/>
    <w:rsid w:val="004A7848"/>
    <w:rsid w:val="004A7BB2"/>
    <w:rsid w:val="004A7F35"/>
    <w:rsid w:val="004B0174"/>
    <w:rsid w:val="004B0303"/>
    <w:rsid w:val="004B07D6"/>
    <w:rsid w:val="004B15B9"/>
    <w:rsid w:val="004B166D"/>
    <w:rsid w:val="004B1CB4"/>
    <w:rsid w:val="004B1FAD"/>
    <w:rsid w:val="004B2541"/>
    <w:rsid w:val="004B2A48"/>
    <w:rsid w:val="004B2F18"/>
    <w:rsid w:val="004B3B35"/>
    <w:rsid w:val="004B3DDB"/>
    <w:rsid w:val="004B3E68"/>
    <w:rsid w:val="004B4412"/>
    <w:rsid w:val="004B44FD"/>
    <w:rsid w:val="004B5274"/>
    <w:rsid w:val="004B5CCF"/>
    <w:rsid w:val="004B5CFC"/>
    <w:rsid w:val="004B61B3"/>
    <w:rsid w:val="004B649B"/>
    <w:rsid w:val="004B6C45"/>
    <w:rsid w:val="004B6F79"/>
    <w:rsid w:val="004B746A"/>
    <w:rsid w:val="004B774D"/>
    <w:rsid w:val="004B7D4F"/>
    <w:rsid w:val="004C11D8"/>
    <w:rsid w:val="004C2419"/>
    <w:rsid w:val="004C31B0"/>
    <w:rsid w:val="004C3957"/>
    <w:rsid w:val="004C4039"/>
    <w:rsid w:val="004C4950"/>
    <w:rsid w:val="004C4A02"/>
    <w:rsid w:val="004C4AED"/>
    <w:rsid w:val="004C4F7A"/>
    <w:rsid w:val="004C4F9A"/>
    <w:rsid w:val="004C53DE"/>
    <w:rsid w:val="004C647E"/>
    <w:rsid w:val="004C65D4"/>
    <w:rsid w:val="004C69BB"/>
    <w:rsid w:val="004C6FF2"/>
    <w:rsid w:val="004C7213"/>
    <w:rsid w:val="004C7C11"/>
    <w:rsid w:val="004D038E"/>
    <w:rsid w:val="004D0718"/>
    <w:rsid w:val="004D0F5B"/>
    <w:rsid w:val="004D0FFA"/>
    <w:rsid w:val="004D1041"/>
    <w:rsid w:val="004D1078"/>
    <w:rsid w:val="004D1849"/>
    <w:rsid w:val="004D1A0D"/>
    <w:rsid w:val="004D1B0D"/>
    <w:rsid w:val="004D20F3"/>
    <w:rsid w:val="004D2C2D"/>
    <w:rsid w:val="004D2F64"/>
    <w:rsid w:val="004D31BA"/>
    <w:rsid w:val="004D3418"/>
    <w:rsid w:val="004D3D04"/>
    <w:rsid w:val="004D4FE3"/>
    <w:rsid w:val="004D4FFE"/>
    <w:rsid w:val="004D5309"/>
    <w:rsid w:val="004D69B5"/>
    <w:rsid w:val="004D7227"/>
    <w:rsid w:val="004D7B1D"/>
    <w:rsid w:val="004D7FC8"/>
    <w:rsid w:val="004E06F0"/>
    <w:rsid w:val="004E0E7F"/>
    <w:rsid w:val="004E0EB8"/>
    <w:rsid w:val="004E110F"/>
    <w:rsid w:val="004E18E9"/>
    <w:rsid w:val="004E1BCF"/>
    <w:rsid w:val="004E2ADC"/>
    <w:rsid w:val="004E2F59"/>
    <w:rsid w:val="004E3B48"/>
    <w:rsid w:val="004E3E98"/>
    <w:rsid w:val="004E43B2"/>
    <w:rsid w:val="004E5011"/>
    <w:rsid w:val="004E5020"/>
    <w:rsid w:val="004E6A8D"/>
    <w:rsid w:val="004E6D50"/>
    <w:rsid w:val="004E75A7"/>
    <w:rsid w:val="004F00DF"/>
    <w:rsid w:val="004F01EB"/>
    <w:rsid w:val="004F101D"/>
    <w:rsid w:val="004F1164"/>
    <w:rsid w:val="004F1D02"/>
    <w:rsid w:val="004F2679"/>
    <w:rsid w:val="004F2DA5"/>
    <w:rsid w:val="004F2F21"/>
    <w:rsid w:val="004F39A9"/>
    <w:rsid w:val="004F3DE5"/>
    <w:rsid w:val="004F4DD0"/>
    <w:rsid w:val="004F6394"/>
    <w:rsid w:val="004F6913"/>
    <w:rsid w:val="004F7865"/>
    <w:rsid w:val="0050029B"/>
    <w:rsid w:val="00500377"/>
    <w:rsid w:val="005009AA"/>
    <w:rsid w:val="00500CE0"/>
    <w:rsid w:val="0050174E"/>
    <w:rsid w:val="00501854"/>
    <w:rsid w:val="0050219B"/>
    <w:rsid w:val="0050234E"/>
    <w:rsid w:val="00502AF2"/>
    <w:rsid w:val="00503179"/>
    <w:rsid w:val="00503277"/>
    <w:rsid w:val="005035BF"/>
    <w:rsid w:val="00503A9C"/>
    <w:rsid w:val="00503F17"/>
    <w:rsid w:val="005040E5"/>
    <w:rsid w:val="005044C5"/>
    <w:rsid w:val="00504C5C"/>
    <w:rsid w:val="005050C1"/>
    <w:rsid w:val="00506513"/>
    <w:rsid w:val="00506664"/>
    <w:rsid w:val="00506928"/>
    <w:rsid w:val="005077EF"/>
    <w:rsid w:val="00510582"/>
    <w:rsid w:val="00511AD5"/>
    <w:rsid w:val="00511DC7"/>
    <w:rsid w:val="00512457"/>
    <w:rsid w:val="005125F7"/>
    <w:rsid w:val="00512AA1"/>
    <w:rsid w:val="00513278"/>
    <w:rsid w:val="0051347C"/>
    <w:rsid w:val="005138D5"/>
    <w:rsid w:val="005142C5"/>
    <w:rsid w:val="00515010"/>
    <w:rsid w:val="0051501B"/>
    <w:rsid w:val="005152B5"/>
    <w:rsid w:val="00515F28"/>
    <w:rsid w:val="00516D2A"/>
    <w:rsid w:val="00517E07"/>
    <w:rsid w:val="00520420"/>
    <w:rsid w:val="0052123C"/>
    <w:rsid w:val="00521319"/>
    <w:rsid w:val="00522580"/>
    <w:rsid w:val="00522BC8"/>
    <w:rsid w:val="00523A1D"/>
    <w:rsid w:val="00523C28"/>
    <w:rsid w:val="00524F1B"/>
    <w:rsid w:val="005253A9"/>
    <w:rsid w:val="00525EE2"/>
    <w:rsid w:val="00526A93"/>
    <w:rsid w:val="00526C99"/>
    <w:rsid w:val="00527825"/>
    <w:rsid w:val="00530008"/>
    <w:rsid w:val="00530239"/>
    <w:rsid w:val="005308AC"/>
    <w:rsid w:val="00530DDB"/>
    <w:rsid w:val="0053176B"/>
    <w:rsid w:val="00531A16"/>
    <w:rsid w:val="00532822"/>
    <w:rsid w:val="00534ECB"/>
    <w:rsid w:val="00535DF9"/>
    <w:rsid w:val="00535E76"/>
    <w:rsid w:val="005361C8"/>
    <w:rsid w:val="00536366"/>
    <w:rsid w:val="00536489"/>
    <w:rsid w:val="00536F42"/>
    <w:rsid w:val="00537182"/>
    <w:rsid w:val="005416B4"/>
    <w:rsid w:val="00541EDD"/>
    <w:rsid w:val="00542249"/>
    <w:rsid w:val="00542605"/>
    <w:rsid w:val="00542743"/>
    <w:rsid w:val="005427A0"/>
    <w:rsid w:val="00542C2D"/>
    <w:rsid w:val="005434B6"/>
    <w:rsid w:val="00543CC1"/>
    <w:rsid w:val="00544050"/>
    <w:rsid w:val="00544504"/>
    <w:rsid w:val="005446C1"/>
    <w:rsid w:val="00544BCF"/>
    <w:rsid w:val="005455FE"/>
    <w:rsid w:val="00545D4D"/>
    <w:rsid w:val="00547858"/>
    <w:rsid w:val="005478BD"/>
    <w:rsid w:val="005479E3"/>
    <w:rsid w:val="005511EC"/>
    <w:rsid w:val="005518B9"/>
    <w:rsid w:val="00551985"/>
    <w:rsid w:val="00551DDD"/>
    <w:rsid w:val="00551EA8"/>
    <w:rsid w:val="00552358"/>
    <w:rsid w:val="00552BD3"/>
    <w:rsid w:val="005532A0"/>
    <w:rsid w:val="00554126"/>
    <w:rsid w:val="00555109"/>
    <w:rsid w:val="00555387"/>
    <w:rsid w:val="00556646"/>
    <w:rsid w:val="005568C7"/>
    <w:rsid w:val="00556A1B"/>
    <w:rsid w:val="00556B35"/>
    <w:rsid w:val="0055741A"/>
    <w:rsid w:val="0056002E"/>
    <w:rsid w:val="0056057A"/>
    <w:rsid w:val="005608E8"/>
    <w:rsid w:val="00560BEC"/>
    <w:rsid w:val="00560C78"/>
    <w:rsid w:val="005611B7"/>
    <w:rsid w:val="005618D4"/>
    <w:rsid w:val="00561B6D"/>
    <w:rsid w:val="00561F32"/>
    <w:rsid w:val="00563C3E"/>
    <w:rsid w:val="005640DD"/>
    <w:rsid w:val="00564A25"/>
    <w:rsid w:val="005650C2"/>
    <w:rsid w:val="005651BA"/>
    <w:rsid w:val="00565DF0"/>
    <w:rsid w:val="0056696F"/>
    <w:rsid w:val="00567003"/>
    <w:rsid w:val="00567D4A"/>
    <w:rsid w:val="0057036B"/>
    <w:rsid w:val="005710EA"/>
    <w:rsid w:val="00571281"/>
    <w:rsid w:val="00571CEE"/>
    <w:rsid w:val="00572269"/>
    <w:rsid w:val="0057244A"/>
    <w:rsid w:val="00572F26"/>
    <w:rsid w:val="00573691"/>
    <w:rsid w:val="00573A88"/>
    <w:rsid w:val="005742CE"/>
    <w:rsid w:val="005746E7"/>
    <w:rsid w:val="00574E02"/>
    <w:rsid w:val="0057503F"/>
    <w:rsid w:val="00575089"/>
    <w:rsid w:val="005750C5"/>
    <w:rsid w:val="0057527C"/>
    <w:rsid w:val="005752DE"/>
    <w:rsid w:val="005754CB"/>
    <w:rsid w:val="00575565"/>
    <w:rsid w:val="00575720"/>
    <w:rsid w:val="00575D8D"/>
    <w:rsid w:val="005760B0"/>
    <w:rsid w:val="00576280"/>
    <w:rsid w:val="00576972"/>
    <w:rsid w:val="0057757E"/>
    <w:rsid w:val="00580425"/>
    <w:rsid w:val="005809A3"/>
    <w:rsid w:val="005814EE"/>
    <w:rsid w:val="0058194B"/>
    <w:rsid w:val="005819CA"/>
    <w:rsid w:val="00582182"/>
    <w:rsid w:val="0058235A"/>
    <w:rsid w:val="00583580"/>
    <w:rsid w:val="00583699"/>
    <w:rsid w:val="00583910"/>
    <w:rsid w:val="005842F0"/>
    <w:rsid w:val="005844C8"/>
    <w:rsid w:val="00584501"/>
    <w:rsid w:val="005847A1"/>
    <w:rsid w:val="00585143"/>
    <w:rsid w:val="00585476"/>
    <w:rsid w:val="0058573B"/>
    <w:rsid w:val="005859D5"/>
    <w:rsid w:val="00585B42"/>
    <w:rsid w:val="00585C5A"/>
    <w:rsid w:val="00585CDD"/>
    <w:rsid w:val="00585E7D"/>
    <w:rsid w:val="0058644A"/>
    <w:rsid w:val="00587058"/>
    <w:rsid w:val="00587B02"/>
    <w:rsid w:val="00590442"/>
    <w:rsid w:val="00590AEE"/>
    <w:rsid w:val="005910D2"/>
    <w:rsid w:val="005912E4"/>
    <w:rsid w:val="005915A1"/>
    <w:rsid w:val="00591929"/>
    <w:rsid w:val="00591957"/>
    <w:rsid w:val="0059214C"/>
    <w:rsid w:val="0059235B"/>
    <w:rsid w:val="005929F8"/>
    <w:rsid w:val="00592D35"/>
    <w:rsid w:val="00592D96"/>
    <w:rsid w:val="00593F93"/>
    <w:rsid w:val="005945BC"/>
    <w:rsid w:val="00594910"/>
    <w:rsid w:val="00594E3F"/>
    <w:rsid w:val="00595716"/>
    <w:rsid w:val="0059645D"/>
    <w:rsid w:val="005967D7"/>
    <w:rsid w:val="00596D03"/>
    <w:rsid w:val="00597035"/>
    <w:rsid w:val="005974D8"/>
    <w:rsid w:val="00597BF9"/>
    <w:rsid w:val="005A0126"/>
    <w:rsid w:val="005A0784"/>
    <w:rsid w:val="005A0AB0"/>
    <w:rsid w:val="005A0F86"/>
    <w:rsid w:val="005A0FC8"/>
    <w:rsid w:val="005A1169"/>
    <w:rsid w:val="005A1359"/>
    <w:rsid w:val="005A140E"/>
    <w:rsid w:val="005A15D1"/>
    <w:rsid w:val="005A1680"/>
    <w:rsid w:val="005A1F5D"/>
    <w:rsid w:val="005A309A"/>
    <w:rsid w:val="005A3412"/>
    <w:rsid w:val="005A373D"/>
    <w:rsid w:val="005A3A92"/>
    <w:rsid w:val="005A4ABE"/>
    <w:rsid w:val="005A4EA8"/>
    <w:rsid w:val="005A626C"/>
    <w:rsid w:val="005A6970"/>
    <w:rsid w:val="005A6DF5"/>
    <w:rsid w:val="005A75D0"/>
    <w:rsid w:val="005B0094"/>
    <w:rsid w:val="005B00BB"/>
    <w:rsid w:val="005B0B58"/>
    <w:rsid w:val="005B1023"/>
    <w:rsid w:val="005B1B62"/>
    <w:rsid w:val="005B466C"/>
    <w:rsid w:val="005B4E53"/>
    <w:rsid w:val="005B5857"/>
    <w:rsid w:val="005B74C6"/>
    <w:rsid w:val="005B763C"/>
    <w:rsid w:val="005B76F0"/>
    <w:rsid w:val="005B7DEC"/>
    <w:rsid w:val="005C0239"/>
    <w:rsid w:val="005C02F5"/>
    <w:rsid w:val="005C03EB"/>
    <w:rsid w:val="005C1163"/>
    <w:rsid w:val="005C1B83"/>
    <w:rsid w:val="005C1DBF"/>
    <w:rsid w:val="005C1FD5"/>
    <w:rsid w:val="005C2145"/>
    <w:rsid w:val="005C218C"/>
    <w:rsid w:val="005C25FF"/>
    <w:rsid w:val="005C29AF"/>
    <w:rsid w:val="005C2D55"/>
    <w:rsid w:val="005C3259"/>
    <w:rsid w:val="005C346B"/>
    <w:rsid w:val="005C4720"/>
    <w:rsid w:val="005C5D9E"/>
    <w:rsid w:val="005C6E5D"/>
    <w:rsid w:val="005C7C8D"/>
    <w:rsid w:val="005C7DEF"/>
    <w:rsid w:val="005D044D"/>
    <w:rsid w:val="005D0ABD"/>
    <w:rsid w:val="005D0BF0"/>
    <w:rsid w:val="005D0CD7"/>
    <w:rsid w:val="005D18AD"/>
    <w:rsid w:val="005D1A6F"/>
    <w:rsid w:val="005D2371"/>
    <w:rsid w:val="005D26B4"/>
    <w:rsid w:val="005D2A46"/>
    <w:rsid w:val="005D2F0F"/>
    <w:rsid w:val="005D3033"/>
    <w:rsid w:val="005D42A6"/>
    <w:rsid w:val="005D4749"/>
    <w:rsid w:val="005D4950"/>
    <w:rsid w:val="005D5FBC"/>
    <w:rsid w:val="005D73B0"/>
    <w:rsid w:val="005D7465"/>
    <w:rsid w:val="005D7A1E"/>
    <w:rsid w:val="005D7F5D"/>
    <w:rsid w:val="005E04B9"/>
    <w:rsid w:val="005E0A72"/>
    <w:rsid w:val="005E0B4E"/>
    <w:rsid w:val="005E0C82"/>
    <w:rsid w:val="005E330D"/>
    <w:rsid w:val="005E3F22"/>
    <w:rsid w:val="005E40AC"/>
    <w:rsid w:val="005E47AD"/>
    <w:rsid w:val="005E4AAC"/>
    <w:rsid w:val="005E4E71"/>
    <w:rsid w:val="005E4F6A"/>
    <w:rsid w:val="005E522D"/>
    <w:rsid w:val="005E52E8"/>
    <w:rsid w:val="005E5A3B"/>
    <w:rsid w:val="005E5B7C"/>
    <w:rsid w:val="005E6CBC"/>
    <w:rsid w:val="005E6EA3"/>
    <w:rsid w:val="005E72FF"/>
    <w:rsid w:val="005E73C0"/>
    <w:rsid w:val="005E7AAA"/>
    <w:rsid w:val="005E7CAF"/>
    <w:rsid w:val="005F0117"/>
    <w:rsid w:val="005F08F2"/>
    <w:rsid w:val="005F0D0A"/>
    <w:rsid w:val="005F0EA1"/>
    <w:rsid w:val="005F0F70"/>
    <w:rsid w:val="005F106C"/>
    <w:rsid w:val="005F1E01"/>
    <w:rsid w:val="005F2706"/>
    <w:rsid w:val="005F3DB8"/>
    <w:rsid w:val="005F4484"/>
    <w:rsid w:val="005F4F5D"/>
    <w:rsid w:val="005F50FA"/>
    <w:rsid w:val="005F5390"/>
    <w:rsid w:val="005F57DA"/>
    <w:rsid w:val="005F6A8F"/>
    <w:rsid w:val="005F6BB7"/>
    <w:rsid w:val="005F7588"/>
    <w:rsid w:val="005F77CB"/>
    <w:rsid w:val="005F7B4C"/>
    <w:rsid w:val="005F7F76"/>
    <w:rsid w:val="006003D1"/>
    <w:rsid w:val="00600D12"/>
    <w:rsid w:val="00601591"/>
    <w:rsid w:val="00602A64"/>
    <w:rsid w:val="00603436"/>
    <w:rsid w:val="00603DB9"/>
    <w:rsid w:val="00604206"/>
    <w:rsid w:val="00604361"/>
    <w:rsid w:val="00605B72"/>
    <w:rsid w:val="00605FBC"/>
    <w:rsid w:val="00606A65"/>
    <w:rsid w:val="00606AEB"/>
    <w:rsid w:val="00606FBA"/>
    <w:rsid w:val="00607669"/>
    <w:rsid w:val="006076F4"/>
    <w:rsid w:val="00607AFD"/>
    <w:rsid w:val="00610A02"/>
    <w:rsid w:val="00612F97"/>
    <w:rsid w:val="0061345D"/>
    <w:rsid w:val="006143F2"/>
    <w:rsid w:val="0061463E"/>
    <w:rsid w:val="006148F8"/>
    <w:rsid w:val="00614B26"/>
    <w:rsid w:val="00614E5A"/>
    <w:rsid w:val="0061549B"/>
    <w:rsid w:val="00616313"/>
    <w:rsid w:val="00616416"/>
    <w:rsid w:val="006166BB"/>
    <w:rsid w:val="00616754"/>
    <w:rsid w:val="00616802"/>
    <w:rsid w:val="00616F6A"/>
    <w:rsid w:val="00616FC4"/>
    <w:rsid w:val="006170D9"/>
    <w:rsid w:val="0061735E"/>
    <w:rsid w:val="00617E12"/>
    <w:rsid w:val="00620452"/>
    <w:rsid w:val="00620569"/>
    <w:rsid w:val="006205A4"/>
    <w:rsid w:val="00620C25"/>
    <w:rsid w:val="0062142D"/>
    <w:rsid w:val="00621477"/>
    <w:rsid w:val="00621656"/>
    <w:rsid w:val="0062168B"/>
    <w:rsid w:val="00621ADA"/>
    <w:rsid w:val="0062207B"/>
    <w:rsid w:val="00622B4D"/>
    <w:rsid w:val="00622D80"/>
    <w:rsid w:val="006236FC"/>
    <w:rsid w:val="00623808"/>
    <w:rsid w:val="00623C1F"/>
    <w:rsid w:val="00623F7B"/>
    <w:rsid w:val="006241A6"/>
    <w:rsid w:val="00624A68"/>
    <w:rsid w:val="00624F0A"/>
    <w:rsid w:val="00625942"/>
    <w:rsid w:val="00626534"/>
    <w:rsid w:val="0062675B"/>
    <w:rsid w:val="00626816"/>
    <w:rsid w:val="00626EED"/>
    <w:rsid w:val="0062772D"/>
    <w:rsid w:val="00630A74"/>
    <w:rsid w:val="00630A90"/>
    <w:rsid w:val="006312EB"/>
    <w:rsid w:val="0063158F"/>
    <w:rsid w:val="0063197D"/>
    <w:rsid w:val="00631D6B"/>
    <w:rsid w:val="00632183"/>
    <w:rsid w:val="00632343"/>
    <w:rsid w:val="006330A1"/>
    <w:rsid w:val="006331EA"/>
    <w:rsid w:val="006332BB"/>
    <w:rsid w:val="00633359"/>
    <w:rsid w:val="0063340E"/>
    <w:rsid w:val="0063479F"/>
    <w:rsid w:val="006353F0"/>
    <w:rsid w:val="006357B5"/>
    <w:rsid w:val="00635AAB"/>
    <w:rsid w:val="006362EA"/>
    <w:rsid w:val="006364A1"/>
    <w:rsid w:val="0063678E"/>
    <w:rsid w:val="00636CF6"/>
    <w:rsid w:val="0063717E"/>
    <w:rsid w:val="006378C6"/>
    <w:rsid w:val="00637BFD"/>
    <w:rsid w:val="00640078"/>
    <w:rsid w:val="00640B9F"/>
    <w:rsid w:val="00640EF2"/>
    <w:rsid w:val="0064117D"/>
    <w:rsid w:val="00641C4E"/>
    <w:rsid w:val="00641FB3"/>
    <w:rsid w:val="006429C8"/>
    <w:rsid w:val="0064434C"/>
    <w:rsid w:val="006447A9"/>
    <w:rsid w:val="00645342"/>
    <w:rsid w:val="006454DA"/>
    <w:rsid w:val="0064590C"/>
    <w:rsid w:val="00646F28"/>
    <w:rsid w:val="006471CC"/>
    <w:rsid w:val="006476E9"/>
    <w:rsid w:val="00647A29"/>
    <w:rsid w:val="00647BF2"/>
    <w:rsid w:val="00647D3B"/>
    <w:rsid w:val="0065079F"/>
    <w:rsid w:val="0065084B"/>
    <w:rsid w:val="0065088A"/>
    <w:rsid w:val="00650926"/>
    <w:rsid w:val="00651531"/>
    <w:rsid w:val="0065242E"/>
    <w:rsid w:val="00652A28"/>
    <w:rsid w:val="00652C4D"/>
    <w:rsid w:val="00652F0E"/>
    <w:rsid w:val="0065379F"/>
    <w:rsid w:val="00654A44"/>
    <w:rsid w:val="0065601D"/>
    <w:rsid w:val="00656188"/>
    <w:rsid w:val="0065715A"/>
    <w:rsid w:val="006574C8"/>
    <w:rsid w:val="00657AD0"/>
    <w:rsid w:val="00657CC7"/>
    <w:rsid w:val="006610F1"/>
    <w:rsid w:val="00661B05"/>
    <w:rsid w:val="00661C6B"/>
    <w:rsid w:val="0066295C"/>
    <w:rsid w:val="00662BD4"/>
    <w:rsid w:val="00663561"/>
    <w:rsid w:val="0066378B"/>
    <w:rsid w:val="00663992"/>
    <w:rsid w:val="00664269"/>
    <w:rsid w:val="0066437B"/>
    <w:rsid w:val="00665B7A"/>
    <w:rsid w:val="00666022"/>
    <w:rsid w:val="00666739"/>
    <w:rsid w:val="006669E9"/>
    <w:rsid w:val="00666BA3"/>
    <w:rsid w:val="0066798D"/>
    <w:rsid w:val="006679EA"/>
    <w:rsid w:val="00667A43"/>
    <w:rsid w:val="00667B63"/>
    <w:rsid w:val="00671004"/>
    <w:rsid w:val="0067109E"/>
    <w:rsid w:val="006717A2"/>
    <w:rsid w:val="00671956"/>
    <w:rsid w:val="00672574"/>
    <w:rsid w:val="00672646"/>
    <w:rsid w:val="006730DE"/>
    <w:rsid w:val="00673275"/>
    <w:rsid w:val="00673393"/>
    <w:rsid w:val="0067345E"/>
    <w:rsid w:val="00673A30"/>
    <w:rsid w:val="00673B39"/>
    <w:rsid w:val="006742E3"/>
    <w:rsid w:val="0067437A"/>
    <w:rsid w:val="00674E42"/>
    <w:rsid w:val="006756A7"/>
    <w:rsid w:val="006757A5"/>
    <w:rsid w:val="00676BEE"/>
    <w:rsid w:val="00677303"/>
    <w:rsid w:val="006778DF"/>
    <w:rsid w:val="006804AF"/>
    <w:rsid w:val="0068053D"/>
    <w:rsid w:val="00680670"/>
    <w:rsid w:val="00680685"/>
    <w:rsid w:val="00680D7A"/>
    <w:rsid w:val="006813F8"/>
    <w:rsid w:val="0068145C"/>
    <w:rsid w:val="006817E0"/>
    <w:rsid w:val="00681C24"/>
    <w:rsid w:val="00682112"/>
    <w:rsid w:val="00682265"/>
    <w:rsid w:val="006824CC"/>
    <w:rsid w:val="00682B06"/>
    <w:rsid w:val="00682BA6"/>
    <w:rsid w:val="00682CE4"/>
    <w:rsid w:val="00682D04"/>
    <w:rsid w:val="006830ED"/>
    <w:rsid w:val="00683226"/>
    <w:rsid w:val="006839DF"/>
    <w:rsid w:val="00683F2F"/>
    <w:rsid w:val="00684377"/>
    <w:rsid w:val="00684DE2"/>
    <w:rsid w:val="00685D41"/>
    <w:rsid w:val="0068637C"/>
    <w:rsid w:val="006866D5"/>
    <w:rsid w:val="0068679C"/>
    <w:rsid w:val="00686957"/>
    <w:rsid w:val="00686C1A"/>
    <w:rsid w:val="006872BA"/>
    <w:rsid w:val="006874D9"/>
    <w:rsid w:val="006875C5"/>
    <w:rsid w:val="006900B4"/>
    <w:rsid w:val="006906CA"/>
    <w:rsid w:val="00690795"/>
    <w:rsid w:val="00691040"/>
    <w:rsid w:val="00691648"/>
    <w:rsid w:val="006917D7"/>
    <w:rsid w:val="00692C77"/>
    <w:rsid w:val="0069434C"/>
    <w:rsid w:val="00694884"/>
    <w:rsid w:val="00694F44"/>
    <w:rsid w:val="006954FE"/>
    <w:rsid w:val="00695710"/>
    <w:rsid w:val="00695AC7"/>
    <w:rsid w:val="0069636B"/>
    <w:rsid w:val="00696565"/>
    <w:rsid w:val="006967B4"/>
    <w:rsid w:val="00696D95"/>
    <w:rsid w:val="00696F51"/>
    <w:rsid w:val="006970FF"/>
    <w:rsid w:val="006979A5"/>
    <w:rsid w:val="006A0976"/>
    <w:rsid w:val="006A0B25"/>
    <w:rsid w:val="006A1260"/>
    <w:rsid w:val="006A13FF"/>
    <w:rsid w:val="006A1447"/>
    <w:rsid w:val="006A341D"/>
    <w:rsid w:val="006A37D8"/>
    <w:rsid w:val="006A3A3D"/>
    <w:rsid w:val="006A4FEC"/>
    <w:rsid w:val="006A5D13"/>
    <w:rsid w:val="006A6A7E"/>
    <w:rsid w:val="006A6B99"/>
    <w:rsid w:val="006A6C7D"/>
    <w:rsid w:val="006A7B7B"/>
    <w:rsid w:val="006A7E5F"/>
    <w:rsid w:val="006B0194"/>
    <w:rsid w:val="006B08C5"/>
    <w:rsid w:val="006B0F8C"/>
    <w:rsid w:val="006B205D"/>
    <w:rsid w:val="006B261B"/>
    <w:rsid w:val="006B2C90"/>
    <w:rsid w:val="006B2E89"/>
    <w:rsid w:val="006B3271"/>
    <w:rsid w:val="006B3397"/>
    <w:rsid w:val="006B35E6"/>
    <w:rsid w:val="006B39EF"/>
    <w:rsid w:val="006B4147"/>
    <w:rsid w:val="006B4425"/>
    <w:rsid w:val="006B465A"/>
    <w:rsid w:val="006B47D9"/>
    <w:rsid w:val="006B4C8B"/>
    <w:rsid w:val="006B5F4A"/>
    <w:rsid w:val="006B649D"/>
    <w:rsid w:val="006B67CF"/>
    <w:rsid w:val="006B6DD0"/>
    <w:rsid w:val="006B6E15"/>
    <w:rsid w:val="006B70DD"/>
    <w:rsid w:val="006B76FA"/>
    <w:rsid w:val="006C018C"/>
    <w:rsid w:val="006C0399"/>
    <w:rsid w:val="006C0410"/>
    <w:rsid w:val="006C0BFB"/>
    <w:rsid w:val="006C0EBA"/>
    <w:rsid w:val="006C1AF6"/>
    <w:rsid w:val="006C1B0A"/>
    <w:rsid w:val="006C2445"/>
    <w:rsid w:val="006C2541"/>
    <w:rsid w:val="006C2A8E"/>
    <w:rsid w:val="006C2E78"/>
    <w:rsid w:val="006C3255"/>
    <w:rsid w:val="006C3459"/>
    <w:rsid w:val="006C3F26"/>
    <w:rsid w:val="006C52C9"/>
    <w:rsid w:val="006C58AA"/>
    <w:rsid w:val="006C5E5B"/>
    <w:rsid w:val="006C691E"/>
    <w:rsid w:val="006C7303"/>
    <w:rsid w:val="006D02F0"/>
    <w:rsid w:val="006D03A5"/>
    <w:rsid w:val="006D0540"/>
    <w:rsid w:val="006D0614"/>
    <w:rsid w:val="006D0934"/>
    <w:rsid w:val="006D0D17"/>
    <w:rsid w:val="006D1CA1"/>
    <w:rsid w:val="006D25E9"/>
    <w:rsid w:val="006D29EC"/>
    <w:rsid w:val="006D322A"/>
    <w:rsid w:val="006D336D"/>
    <w:rsid w:val="006D3C7D"/>
    <w:rsid w:val="006D4659"/>
    <w:rsid w:val="006D5ABD"/>
    <w:rsid w:val="006D5D5F"/>
    <w:rsid w:val="006D5E8F"/>
    <w:rsid w:val="006D68FB"/>
    <w:rsid w:val="006D6BC8"/>
    <w:rsid w:val="006D738C"/>
    <w:rsid w:val="006E02C2"/>
    <w:rsid w:val="006E0CF9"/>
    <w:rsid w:val="006E0DC7"/>
    <w:rsid w:val="006E0EE1"/>
    <w:rsid w:val="006E1C00"/>
    <w:rsid w:val="006E2868"/>
    <w:rsid w:val="006E2AF1"/>
    <w:rsid w:val="006E2C28"/>
    <w:rsid w:val="006E2E42"/>
    <w:rsid w:val="006E2EF7"/>
    <w:rsid w:val="006E317A"/>
    <w:rsid w:val="006E3680"/>
    <w:rsid w:val="006E5253"/>
    <w:rsid w:val="006E5B2C"/>
    <w:rsid w:val="006E5D8D"/>
    <w:rsid w:val="006E652F"/>
    <w:rsid w:val="006E655B"/>
    <w:rsid w:val="006E6F75"/>
    <w:rsid w:val="006E7550"/>
    <w:rsid w:val="006F06D7"/>
    <w:rsid w:val="006F14D1"/>
    <w:rsid w:val="006F2C08"/>
    <w:rsid w:val="006F306C"/>
    <w:rsid w:val="006F375D"/>
    <w:rsid w:val="006F3AE9"/>
    <w:rsid w:val="006F4153"/>
    <w:rsid w:val="006F41BB"/>
    <w:rsid w:val="006F439E"/>
    <w:rsid w:val="006F49AE"/>
    <w:rsid w:val="006F4DD4"/>
    <w:rsid w:val="006F4DF2"/>
    <w:rsid w:val="006F5086"/>
    <w:rsid w:val="006F5AC2"/>
    <w:rsid w:val="006F63A5"/>
    <w:rsid w:val="006F67C5"/>
    <w:rsid w:val="006F6F3B"/>
    <w:rsid w:val="006F7730"/>
    <w:rsid w:val="006F775D"/>
    <w:rsid w:val="00701283"/>
    <w:rsid w:val="0070142B"/>
    <w:rsid w:val="0070276E"/>
    <w:rsid w:val="00702F8F"/>
    <w:rsid w:val="00704110"/>
    <w:rsid w:val="007056D6"/>
    <w:rsid w:val="00705F20"/>
    <w:rsid w:val="00706C3B"/>
    <w:rsid w:val="007079FC"/>
    <w:rsid w:val="00707C3A"/>
    <w:rsid w:val="00710DB7"/>
    <w:rsid w:val="00710EA7"/>
    <w:rsid w:val="007118AF"/>
    <w:rsid w:val="00711A36"/>
    <w:rsid w:val="00711FAD"/>
    <w:rsid w:val="00711FFC"/>
    <w:rsid w:val="0071264C"/>
    <w:rsid w:val="0071307C"/>
    <w:rsid w:val="00713E30"/>
    <w:rsid w:val="00713E5D"/>
    <w:rsid w:val="007141E3"/>
    <w:rsid w:val="00714C26"/>
    <w:rsid w:val="00714DA4"/>
    <w:rsid w:val="00714F68"/>
    <w:rsid w:val="0071529C"/>
    <w:rsid w:val="007160F9"/>
    <w:rsid w:val="00716416"/>
    <w:rsid w:val="00716CA0"/>
    <w:rsid w:val="007170DA"/>
    <w:rsid w:val="007172AD"/>
    <w:rsid w:val="007178A1"/>
    <w:rsid w:val="0071792C"/>
    <w:rsid w:val="00720377"/>
    <w:rsid w:val="00720801"/>
    <w:rsid w:val="007209E5"/>
    <w:rsid w:val="0072186F"/>
    <w:rsid w:val="007227A7"/>
    <w:rsid w:val="00722B1B"/>
    <w:rsid w:val="00722D09"/>
    <w:rsid w:val="00723345"/>
    <w:rsid w:val="00723C8E"/>
    <w:rsid w:val="0072416F"/>
    <w:rsid w:val="007241BA"/>
    <w:rsid w:val="00724E82"/>
    <w:rsid w:val="00724F29"/>
    <w:rsid w:val="00725296"/>
    <w:rsid w:val="00725973"/>
    <w:rsid w:val="0072622E"/>
    <w:rsid w:val="0072653B"/>
    <w:rsid w:val="00726DD9"/>
    <w:rsid w:val="007271D5"/>
    <w:rsid w:val="00727C94"/>
    <w:rsid w:val="00727EAC"/>
    <w:rsid w:val="00727FE4"/>
    <w:rsid w:val="00731118"/>
    <w:rsid w:val="0073135B"/>
    <w:rsid w:val="007313DB"/>
    <w:rsid w:val="00731B0A"/>
    <w:rsid w:val="00731EAE"/>
    <w:rsid w:val="00733073"/>
    <w:rsid w:val="007331EC"/>
    <w:rsid w:val="0073323F"/>
    <w:rsid w:val="007333AF"/>
    <w:rsid w:val="007336C8"/>
    <w:rsid w:val="00733E03"/>
    <w:rsid w:val="00734495"/>
    <w:rsid w:val="00734740"/>
    <w:rsid w:val="00735033"/>
    <w:rsid w:val="00735328"/>
    <w:rsid w:val="0073671F"/>
    <w:rsid w:val="0073685B"/>
    <w:rsid w:val="007369C1"/>
    <w:rsid w:val="00736F4D"/>
    <w:rsid w:val="00737585"/>
    <w:rsid w:val="00737975"/>
    <w:rsid w:val="00741051"/>
    <w:rsid w:val="0074160B"/>
    <w:rsid w:val="00741B57"/>
    <w:rsid w:val="00741E8E"/>
    <w:rsid w:val="00742916"/>
    <w:rsid w:val="00742BF6"/>
    <w:rsid w:val="0074430B"/>
    <w:rsid w:val="00744445"/>
    <w:rsid w:val="0074447A"/>
    <w:rsid w:val="007444A6"/>
    <w:rsid w:val="00744685"/>
    <w:rsid w:val="007449BF"/>
    <w:rsid w:val="0074519E"/>
    <w:rsid w:val="00745517"/>
    <w:rsid w:val="00745622"/>
    <w:rsid w:val="00745709"/>
    <w:rsid w:val="00746988"/>
    <w:rsid w:val="00746BC0"/>
    <w:rsid w:val="007471AD"/>
    <w:rsid w:val="0074723D"/>
    <w:rsid w:val="00747A97"/>
    <w:rsid w:val="00747FA9"/>
    <w:rsid w:val="00750C63"/>
    <w:rsid w:val="00750D46"/>
    <w:rsid w:val="007510B4"/>
    <w:rsid w:val="007512CF"/>
    <w:rsid w:val="0075179E"/>
    <w:rsid w:val="00751AAE"/>
    <w:rsid w:val="00751E2A"/>
    <w:rsid w:val="00752142"/>
    <w:rsid w:val="007523D8"/>
    <w:rsid w:val="007523F9"/>
    <w:rsid w:val="00752410"/>
    <w:rsid w:val="00752542"/>
    <w:rsid w:val="00752F7D"/>
    <w:rsid w:val="0075357E"/>
    <w:rsid w:val="00753907"/>
    <w:rsid w:val="00754524"/>
    <w:rsid w:val="00755E67"/>
    <w:rsid w:val="007564A1"/>
    <w:rsid w:val="007567F2"/>
    <w:rsid w:val="00756D07"/>
    <w:rsid w:val="007573E8"/>
    <w:rsid w:val="00757484"/>
    <w:rsid w:val="0076079C"/>
    <w:rsid w:val="007607B9"/>
    <w:rsid w:val="00760C4E"/>
    <w:rsid w:val="00760F9E"/>
    <w:rsid w:val="0076122C"/>
    <w:rsid w:val="007614B8"/>
    <w:rsid w:val="007627BE"/>
    <w:rsid w:val="00763AED"/>
    <w:rsid w:val="0076423F"/>
    <w:rsid w:val="00764ED7"/>
    <w:rsid w:val="00764F03"/>
    <w:rsid w:val="007651BA"/>
    <w:rsid w:val="0076570E"/>
    <w:rsid w:val="00765B1A"/>
    <w:rsid w:val="00767440"/>
    <w:rsid w:val="00767F63"/>
    <w:rsid w:val="007703F5"/>
    <w:rsid w:val="00770709"/>
    <w:rsid w:val="00770BC6"/>
    <w:rsid w:val="00772395"/>
    <w:rsid w:val="007726CE"/>
    <w:rsid w:val="00773DE4"/>
    <w:rsid w:val="0077464B"/>
    <w:rsid w:val="00774A9C"/>
    <w:rsid w:val="00774F4C"/>
    <w:rsid w:val="00775D13"/>
    <w:rsid w:val="007763B8"/>
    <w:rsid w:val="00777335"/>
    <w:rsid w:val="0078059F"/>
    <w:rsid w:val="007807B6"/>
    <w:rsid w:val="00780EBA"/>
    <w:rsid w:val="0078130F"/>
    <w:rsid w:val="0078161C"/>
    <w:rsid w:val="00781B0B"/>
    <w:rsid w:val="00781DF8"/>
    <w:rsid w:val="007824B1"/>
    <w:rsid w:val="00782BD6"/>
    <w:rsid w:val="0078330E"/>
    <w:rsid w:val="0078411E"/>
    <w:rsid w:val="007843F2"/>
    <w:rsid w:val="0078463A"/>
    <w:rsid w:val="00785419"/>
    <w:rsid w:val="00785434"/>
    <w:rsid w:val="0078561B"/>
    <w:rsid w:val="00785890"/>
    <w:rsid w:val="00785A9F"/>
    <w:rsid w:val="00785C3E"/>
    <w:rsid w:val="00785CDD"/>
    <w:rsid w:val="00785F42"/>
    <w:rsid w:val="00786ABC"/>
    <w:rsid w:val="00787939"/>
    <w:rsid w:val="00787D8D"/>
    <w:rsid w:val="00790021"/>
    <w:rsid w:val="007906BC"/>
    <w:rsid w:val="0079133A"/>
    <w:rsid w:val="007919BA"/>
    <w:rsid w:val="007925DF"/>
    <w:rsid w:val="0079303F"/>
    <w:rsid w:val="00793237"/>
    <w:rsid w:val="00794C7F"/>
    <w:rsid w:val="007950EF"/>
    <w:rsid w:val="0079565A"/>
    <w:rsid w:val="00795B11"/>
    <w:rsid w:val="00795DD4"/>
    <w:rsid w:val="00796B77"/>
    <w:rsid w:val="00797E99"/>
    <w:rsid w:val="007A00C5"/>
    <w:rsid w:val="007A08AA"/>
    <w:rsid w:val="007A0A12"/>
    <w:rsid w:val="007A132D"/>
    <w:rsid w:val="007A1345"/>
    <w:rsid w:val="007A1563"/>
    <w:rsid w:val="007A23BB"/>
    <w:rsid w:val="007A256D"/>
    <w:rsid w:val="007A2DDB"/>
    <w:rsid w:val="007A342A"/>
    <w:rsid w:val="007A3572"/>
    <w:rsid w:val="007A3E6D"/>
    <w:rsid w:val="007A3F8C"/>
    <w:rsid w:val="007A4EA6"/>
    <w:rsid w:val="007A4F5D"/>
    <w:rsid w:val="007A506C"/>
    <w:rsid w:val="007A5BF2"/>
    <w:rsid w:val="007A5CBF"/>
    <w:rsid w:val="007A5FE3"/>
    <w:rsid w:val="007A65B8"/>
    <w:rsid w:val="007A66A4"/>
    <w:rsid w:val="007A6BE4"/>
    <w:rsid w:val="007A70BA"/>
    <w:rsid w:val="007A7301"/>
    <w:rsid w:val="007A76BA"/>
    <w:rsid w:val="007B0698"/>
    <w:rsid w:val="007B0D68"/>
    <w:rsid w:val="007B13FC"/>
    <w:rsid w:val="007B146B"/>
    <w:rsid w:val="007B2106"/>
    <w:rsid w:val="007B251D"/>
    <w:rsid w:val="007B289D"/>
    <w:rsid w:val="007B2F15"/>
    <w:rsid w:val="007B4F58"/>
    <w:rsid w:val="007B528D"/>
    <w:rsid w:val="007B5B37"/>
    <w:rsid w:val="007B63CA"/>
    <w:rsid w:val="007B6C26"/>
    <w:rsid w:val="007B70D5"/>
    <w:rsid w:val="007B7384"/>
    <w:rsid w:val="007B766D"/>
    <w:rsid w:val="007B77D1"/>
    <w:rsid w:val="007C07C7"/>
    <w:rsid w:val="007C0E5D"/>
    <w:rsid w:val="007C1125"/>
    <w:rsid w:val="007C1CD9"/>
    <w:rsid w:val="007C1F0D"/>
    <w:rsid w:val="007C242E"/>
    <w:rsid w:val="007C32EF"/>
    <w:rsid w:val="007C349D"/>
    <w:rsid w:val="007C361D"/>
    <w:rsid w:val="007C38A8"/>
    <w:rsid w:val="007C4117"/>
    <w:rsid w:val="007C4747"/>
    <w:rsid w:val="007C4954"/>
    <w:rsid w:val="007C4B84"/>
    <w:rsid w:val="007C4F6B"/>
    <w:rsid w:val="007C62D3"/>
    <w:rsid w:val="007C70FF"/>
    <w:rsid w:val="007C7C25"/>
    <w:rsid w:val="007C7FAB"/>
    <w:rsid w:val="007D004F"/>
    <w:rsid w:val="007D0679"/>
    <w:rsid w:val="007D09B1"/>
    <w:rsid w:val="007D0B38"/>
    <w:rsid w:val="007D0EAB"/>
    <w:rsid w:val="007D24ED"/>
    <w:rsid w:val="007D34BC"/>
    <w:rsid w:val="007D34D8"/>
    <w:rsid w:val="007D3C76"/>
    <w:rsid w:val="007D402F"/>
    <w:rsid w:val="007D41DC"/>
    <w:rsid w:val="007D421E"/>
    <w:rsid w:val="007D5440"/>
    <w:rsid w:val="007D5862"/>
    <w:rsid w:val="007D608C"/>
    <w:rsid w:val="007D6280"/>
    <w:rsid w:val="007D634C"/>
    <w:rsid w:val="007D649A"/>
    <w:rsid w:val="007D69EB"/>
    <w:rsid w:val="007D6D3E"/>
    <w:rsid w:val="007D6E67"/>
    <w:rsid w:val="007D763E"/>
    <w:rsid w:val="007D7BC9"/>
    <w:rsid w:val="007E128F"/>
    <w:rsid w:val="007E1D5D"/>
    <w:rsid w:val="007E1EF6"/>
    <w:rsid w:val="007E25AA"/>
    <w:rsid w:val="007E3415"/>
    <w:rsid w:val="007E50D5"/>
    <w:rsid w:val="007E5252"/>
    <w:rsid w:val="007E5C9E"/>
    <w:rsid w:val="007E649F"/>
    <w:rsid w:val="007E65E4"/>
    <w:rsid w:val="007E6A87"/>
    <w:rsid w:val="007F1017"/>
    <w:rsid w:val="007F1389"/>
    <w:rsid w:val="007F1D2B"/>
    <w:rsid w:val="007F1DC9"/>
    <w:rsid w:val="007F2382"/>
    <w:rsid w:val="007F24DD"/>
    <w:rsid w:val="007F265D"/>
    <w:rsid w:val="007F3383"/>
    <w:rsid w:val="007F40F2"/>
    <w:rsid w:val="007F44AB"/>
    <w:rsid w:val="007F44B0"/>
    <w:rsid w:val="007F4A3F"/>
    <w:rsid w:val="007F4A61"/>
    <w:rsid w:val="007F50A0"/>
    <w:rsid w:val="007F5255"/>
    <w:rsid w:val="007F56CC"/>
    <w:rsid w:val="007F585B"/>
    <w:rsid w:val="007F5BB9"/>
    <w:rsid w:val="007F5EB6"/>
    <w:rsid w:val="007F61C2"/>
    <w:rsid w:val="007F643F"/>
    <w:rsid w:val="007F7AEB"/>
    <w:rsid w:val="00800EFF"/>
    <w:rsid w:val="00801145"/>
    <w:rsid w:val="00801BCA"/>
    <w:rsid w:val="00802017"/>
    <w:rsid w:val="008024BD"/>
    <w:rsid w:val="00802E23"/>
    <w:rsid w:val="0080310E"/>
    <w:rsid w:val="0080464E"/>
    <w:rsid w:val="00804B3B"/>
    <w:rsid w:val="00805142"/>
    <w:rsid w:val="00805ABE"/>
    <w:rsid w:val="00805B56"/>
    <w:rsid w:val="00805FCE"/>
    <w:rsid w:val="00806706"/>
    <w:rsid w:val="00806CB5"/>
    <w:rsid w:val="00806D8B"/>
    <w:rsid w:val="00806E4A"/>
    <w:rsid w:val="00807A8B"/>
    <w:rsid w:val="00807FC5"/>
    <w:rsid w:val="00810085"/>
    <w:rsid w:val="00810380"/>
    <w:rsid w:val="00811383"/>
    <w:rsid w:val="00811727"/>
    <w:rsid w:val="00812149"/>
    <w:rsid w:val="00812440"/>
    <w:rsid w:val="0081252B"/>
    <w:rsid w:val="00812CAC"/>
    <w:rsid w:val="00812E44"/>
    <w:rsid w:val="008132DE"/>
    <w:rsid w:val="0081395D"/>
    <w:rsid w:val="008143A3"/>
    <w:rsid w:val="0081468E"/>
    <w:rsid w:val="008146BE"/>
    <w:rsid w:val="0081480D"/>
    <w:rsid w:val="0081496E"/>
    <w:rsid w:val="00815EEB"/>
    <w:rsid w:val="00816361"/>
    <w:rsid w:val="008166EF"/>
    <w:rsid w:val="00816FEF"/>
    <w:rsid w:val="00817B0B"/>
    <w:rsid w:val="008204FB"/>
    <w:rsid w:val="00820A8C"/>
    <w:rsid w:val="00820B3C"/>
    <w:rsid w:val="0082118F"/>
    <w:rsid w:val="008215FB"/>
    <w:rsid w:val="0082216A"/>
    <w:rsid w:val="0082222D"/>
    <w:rsid w:val="00823174"/>
    <w:rsid w:val="008231EA"/>
    <w:rsid w:val="008234E9"/>
    <w:rsid w:val="0082352A"/>
    <w:rsid w:val="00823644"/>
    <w:rsid w:val="0082458E"/>
    <w:rsid w:val="008249EF"/>
    <w:rsid w:val="00825751"/>
    <w:rsid w:val="008264EB"/>
    <w:rsid w:val="0082664A"/>
    <w:rsid w:val="0082667B"/>
    <w:rsid w:val="00830FE1"/>
    <w:rsid w:val="00831CD9"/>
    <w:rsid w:val="0083249B"/>
    <w:rsid w:val="00832E15"/>
    <w:rsid w:val="00832EE5"/>
    <w:rsid w:val="00833B05"/>
    <w:rsid w:val="00834055"/>
    <w:rsid w:val="008349CE"/>
    <w:rsid w:val="00834EBF"/>
    <w:rsid w:val="0083513E"/>
    <w:rsid w:val="00835AAB"/>
    <w:rsid w:val="00835E7A"/>
    <w:rsid w:val="00836049"/>
    <w:rsid w:val="008362B4"/>
    <w:rsid w:val="00836E16"/>
    <w:rsid w:val="00837D54"/>
    <w:rsid w:val="00840804"/>
    <w:rsid w:val="00840AF3"/>
    <w:rsid w:val="00840CA2"/>
    <w:rsid w:val="00840D23"/>
    <w:rsid w:val="00842DA3"/>
    <w:rsid w:val="0084374F"/>
    <w:rsid w:val="00843BE0"/>
    <w:rsid w:val="00844A22"/>
    <w:rsid w:val="00844F07"/>
    <w:rsid w:val="00844F79"/>
    <w:rsid w:val="0084511D"/>
    <w:rsid w:val="00846221"/>
    <w:rsid w:val="00846D4E"/>
    <w:rsid w:val="00846F4F"/>
    <w:rsid w:val="00847320"/>
    <w:rsid w:val="008474F9"/>
    <w:rsid w:val="00847703"/>
    <w:rsid w:val="00847DF5"/>
    <w:rsid w:val="008505AA"/>
    <w:rsid w:val="008506EE"/>
    <w:rsid w:val="008525C5"/>
    <w:rsid w:val="00852DAD"/>
    <w:rsid w:val="0085309D"/>
    <w:rsid w:val="008531F6"/>
    <w:rsid w:val="008543B0"/>
    <w:rsid w:val="00855DF4"/>
    <w:rsid w:val="00856259"/>
    <w:rsid w:val="00856390"/>
    <w:rsid w:val="00856897"/>
    <w:rsid w:val="00856E9A"/>
    <w:rsid w:val="00857999"/>
    <w:rsid w:val="00857B64"/>
    <w:rsid w:val="0086075D"/>
    <w:rsid w:val="00861041"/>
    <w:rsid w:val="00861083"/>
    <w:rsid w:val="00862502"/>
    <w:rsid w:val="0086270B"/>
    <w:rsid w:val="00862CC1"/>
    <w:rsid w:val="00863301"/>
    <w:rsid w:val="0086335E"/>
    <w:rsid w:val="0086368E"/>
    <w:rsid w:val="00863BA3"/>
    <w:rsid w:val="008647EB"/>
    <w:rsid w:val="00865FC6"/>
    <w:rsid w:val="008660D4"/>
    <w:rsid w:val="008664AC"/>
    <w:rsid w:val="00866B04"/>
    <w:rsid w:val="008712E2"/>
    <w:rsid w:val="00871450"/>
    <w:rsid w:val="00871A23"/>
    <w:rsid w:val="00871FA9"/>
    <w:rsid w:val="008728E9"/>
    <w:rsid w:val="0087570C"/>
    <w:rsid w:val="0087579E"/>
    <w:rsid w:val="00875857"/>
    <w:rsid w:val="00877800"/>
    <w:rsid w:val="008779C6"/>
    <w:rsid w:val="00877C98"/>
    <w:rsid w:val="0088011C"/>
    <w:rsid w:val="0088050E"/>
    <w:rsid w:val="008807D3"/>
    <w:rsid w:val="008817B7"/>
    <w:rsid w:val="00881F11"/>
    <w:rsid w:val="008820C8"/>
    <w:rsid w:val="00882432"/>
    <w:rsid w:val="00882874"/>
    <w:rsid w:val="00882E3C"/>
    <w:rsid w:val="00883430"/>
    <w:rsid w:val="00883787"/>
    <w:rsid w:val="00883876"/>
    <w:rsid w:val="00883FBD"/>
    <w:rsid w:val="0088426E"/>
    <w:rsid w:val="008852B7"/>
    <w:rsid w:val="008855E4"/>
    <w:rsid w:val="00885F9D"/>
    <w:rsid w:val="00886CC7"/>
    <w:rsid w:val="00886CD2"/>
    <w:rsid w:val="00886D66"/>
    <w:rsid w:val="0088753F"/>
    <w:rsid w:val="00887974"/>
    <w:rsid w:val="0089136E"/>
    <w:rsid w:val="00891E6F"/>
    <w:rsid w:val="008921F7"/>
    <w:rsid w:val="008922BD"/>
    <w:rsid w:val="0089275D"/>
    <w:rsid w:val="00892A36"/>
    <w:rsid w:val="00892AA9"/>
    <w:rsid w:val="00893239"/>
    <w:rsid w:val="00893E84"/>
    <w:rsid w:val="00894489"/>
    <w:rsid w:val="008947BE"/>
    <w:rsid w:val="0089543D"/>
    <w:rsid w:val="008955D1"/>
    <w:rsid w:val="008959CE"/>
    <w:rsid w:val="008963A5"/>
    <w:rsid w:val="00896D5D"/>
    <w:rsid w:val="008A07DC"/>
    <w:rsid w:val="008A0ED9"/>
    <w:rsid w:val="008A1505"/>
    <w:rsid w:val="008A2806"/>
    <w:rsid w:val="008A2AE8"/>
    <w:rsid w:val="008A3363"/>
    <w:rsid w:val="008A3371"/>
    <w:rsid w:val="008A3766"/>
    <w:rsid w:val="008A37F1"/>
    <w:rsid w:val="008A3C3E"/>
    <w:rsid w:val="008A505D"/>
    <w:rsid w:val="008A509C"/>
    <w:rsid w:val="008A57F8"/>
    <w:rsid w:val="008A5BFC"/>
    <w:rsid w:val="008A5C30"/>
    <w:rsid w:val="008A5C81"/>
    <w:rsid w:val="008A5F6E"/>
    <w:rsid w:val="008A611F"/>
    <w:rsid w:val="008A638C"/>
    <w:rsid w:val="008A65AC"/>
    <w:rsid w:val="008A7643"/>
    <w:rsid w:val="008A79DE"/>
    <w:rsid w:val="008B055A"/>
    <w:rsid w:val="008B104C"/>
    <w:rsid w:val="008B1757"/>
    <w:rsid w:val="008B19CF"/>
    <w:rsid w:val="008B1AF3"/>
    <w:rsid w:val="008B308F"/>
    <w:rsid w:val="008B43F1"/>
    <w:rsid w:val="008B4596"/>
    <w:rsid w:val="008B4724"/>
    <w:rsid w:val="008B4B54"/>
    <w:rsid w:val="008B5755"/>
    <w:rsid w:val="008B5C75"/>
    <w:rsid w:val="008B618C"/>
    <w:rsid w:val="008B7561"/>
    <w:rsid w:val="008B7992"/>
    <w:rsid w:val="008B7D7E"/>
    <w:rsid w:val="008B7EAF"/>
    <w:rsid w:val="008B7F16"/>
    <w:rsid w:val="008C00E8"/>
    <w:rsid w:val="008C07B9"/>
    <w:rsid w:val="008C0B5A"/>
    <w:rsid w:val="008C0E08"/>
    <w:rsid w:val="008C2228"/>
    <w:rsid w:val="008C224A"/>
    <w:rsid w:val="008C4DE5"/>
    <w:rsid w:val="008C4EC2"/>
    <w:rsid w:val="008C511F"/>
    <w:rsid w:val="008C5610"/>
    <w:rsid w:val="008C5739"/>
    <w:rsid w:val="008C59C1"/>
    <w:rsid w:val="008C632F"/>
    <w:rsid w:val="008C6643"/>
    <w:rsid w:val="008C6B7F"/>
    <w:rsid w:val="008C6E07"/>
    <w:rsid w:val="008C7AF8"/>
    <w:rsid w:val="008C7ECB"/>
    <w:rsid w:val="008D04F7"/>
    <w:rsid w:val="008D0620"/>
    <w:rsid w:val="008D18ED"/>
    <w:rsid w:val="008D1FC1"/>
    <w:rsid w:val="008D3072"/>
    <w:rsid w:val="008D385D"/>
    <w:rsid w:val="008D3B86"/>
    <w:rsid w:val="008D410A"/>
    <w:rsid w:val="008D4662"/>
    <w:rsid w:val="008D4755"/>
    <w:rsid w:val="008D47A6"/>
    <w:rsid w:val="008D4BBC"/>
    <w:rsid w:val="008D4C3D"/>
    <w:rsid w:val="008D53AB"/>
    <w:rsid w:val="008D6559"/>
    <w:rsid w:val="008D743C"/>
    <w:rsid w:val="008E082A"/>
    <w:rsid w:val="008E0888"/>
    <w:rsid w:val="008E0B24"/>
    <w:rsid w:val="008E0D1B"/>
    <w:rsid w:val="008E0D3C"/>
    <w:rsid w:val="008E106A"/>
    <w:rsid w:val="008E1B69"/>
    <w:rsid w:val="008E1B75"/>
    <w:rsid w:val="008E1B9E"/>
    <w:rsid w:val="008E286A"/>
    <w:rsid w:val="008E2A97"/>
    <w:rsid w:val="008E3FC5"/>
    <w:rsid w:val="008E4557"/>
    <w:rsid w:val="008E4690"/>
    <w:rsid w:val="008E46FA"/>
    <w:rsid w:val="008E55AB"/>
    <w:rsid w:val="008E758D"/>
    <w:rsid w:val="008E7A93"/>
    <w:rsid w:val="008F011D"/>
    <w:rsid w:val="008F09D2"/>
    <w:rsid w:val="008F0C3C"/>
    <w:rsid w:val="008F0C75"/>
    <w:rsid w:val="008F120A"/>
    <w:rsid w:val="008F13A8"/>
    <w:rsid w:val="008F2221"/>
    <w:rsid w:val="008F27E0"/>
    <w:rsid w:val="008F48EB"/>
    <w:rsid w:val="008F4BEC"/>
    <w:rsid w:val="008F4F0B"/>
    <w:rsid w:val="008F5626"/>
    <w:rsid w:val="008F5836"/>
    <w:rsid w:val="008F5F62"/>
    <w:rsid w:val="008F70C5"/>
    <w:rsid w:val="008F7D46"/>
    <w:rsid w:val="009007B8"/>
    <w:rsid w:val="00900A20"/>
    <w:rsid w:val="00901FDA"/>
    <w:rsid w:val="009020DB"/>
    <w:rsid w:val="00902686"/>
    <w:rsid w:val="009027D3"/>
    <w:rsid w:val="009030C5"/>
    <w:rsid w:val="009036E5"/>
    <w:rsid w:val="0090388F"/>
    <w:rsid w:val="00903B94"/>
    <w:rsid w:val="00903D28"/>
    <w:rsid w:val="0090422A"/>
    <w:rsid w:val="00904581"/>
    <w:rsid w:val="009046C4"/>
    <w:rsid w:val="00905DC4"/>
    <w:rsid w:val="009062A5"/>
    <w:rsid w:val="00906380"/>
    <w:rsid w:val="009064EC"/>
    <w:rsid w:val="0090667F"/>
    <w:rsid w:val="00906752"/>
    <w:rsid w:val="00907665"/>
    <w:rsid w:val="009077B4"/>
    <w:rsid w:val="00907BA2"/>
    <w:rsid w:val="00910564"/>
    <w:rsid w:val="00910ADF"/>
    <w:rsid w:val="00910FA7"/>
    <w:rsid w:val="00911272"/>
    <w:rsid w:val="00911AD7"/>
    <w:rsid w:val="00912B5C"/>
    <w:rsid w:val="009135D6"/>
    <w:rsid w:val="009136E4"/>
    <w:rsid w:val="00913F6A"/>
    <w:rsid w:val="00914A80"/>
    <w:rsid w:val="00914C77"/>
    <w:rsid w:val="009155BE"/>
    <w:rsid w:val="00920BC9"/>
    <w:rsid w:val="00921A51"/>
    <w:rsid w:val="00921ACB"/>
    <w:rsid w:val="00922332"/>
    <w:rsid w:val="009232EA"/>
    <w:rsid w:val="0092369B"/>
    <w:rsid w:val="00924015"/>
    <w:rsid w:val="009243C9"/>
    <w:rsid w:val="009259BC"/>
    <w:rsid w:val="00925B07"/>
    <w:rsid w:val="00925D64"/>
    <w:rsid w:val="0092630F"/>
    <w:rsid w:val="00926F05"/>
    <w:rsid w:val="00927715"/>
    <w:rsid w:val="00927B0E"/>
    <w:rsid w:val="00927F0A"/>
    <w:rsid w:val="00930506"/>
    <w:rsid w:val="00930B13"/>
    <w:rsid w:val="00931BE1"/>
    <w:rsid w:val="00931D09"/>
    <w:rsid w:val="0093240D"/>
    <w:rsid w:val="0093244E"/>
    <w:rsid w:val="00932E62"/>
    <w:rsid w:val="00932F06"/>
    <w:rsid w:val="00934988"/>
    <w:rsid w:val="0093500D"/>
    <w:rsid w:val="009362CF"/>
    <w:rsid w:val="009365DA"/>
    <w:rsid w:val="00936F8A"/>
    <w:rsid w:val="00936FCF"/>
    <w:rsid w:val="00937089"/>
    <w:rsid w:val="0093776E"/>
    <w:rsid w:val="009412EF"/>
    <w:rsid w:val="00941C59"/>
    <w:rsid w:val="00942E65"/>
    <w:rsid w:val="00942F19"/>
    <w:rsid w:val="009433AA"/>
    <w:rsid w:val="009446B8"/>
    <w:rsid w:val="00944B59"/>
    <w:rsid w:val="00944F8A"/>
    <w:rsid w:val="00944FB1"/>
    <w:rsid w:val="00945D53"/>
    <w:rsid w:val="00945FE7"/>
    <w:rsid w:val="009460A7"/>
    <w:rsid w:val="00946259"/>
    <w:rsid w:val="00947063"/>
    <w:rsid w:val="0094734F"/>
    <w:rsid w:val="00950B52"/>
    <w:rsid w:val="009510A2"/>
    <w:rsid w:val="00951464"/>
    <w:rsid w:val="00953257"/>
    <w:rsid w:val="00953267"/>
    <w:rsid w:val="00953C46"/>
    <w:rsid w:val="0095417B"/>
    <w:rsid w:val="0095474C"/>
    <w:rsid w:val="00954C8F"/>
    <w:rsid w:val="00954D97"/>
    <w:rsid w:val="009551DC"/>
    <w:rsid w:val="009553FD"/>
    <w:rsid w:val="0095540B"/>
    <w:rsid w:val="0095607E"/>
    <w:rsid w:val="009566D1"/>
    <w:rsid w:val="00956CFD"/>
    <w:rsid w:val="00956E7C"/>
    <w:rsid w:val="00957362"/>
    <w:rsid w:val="009606B2"/>
    <w:rsid w:val="009618C3"/>
    <w:rsid w:val="009620EF"/>
    <w:rsid w:val="009623D7"/>
    <w:rsid w:val="00962CB9"/>
    <w:rsid w:val="00963642"/>
    <w:rsid w:val="00964312"/>
    <w:rsid w:val="0096449E"/>
    <w:rsid w:val="0096450A"/>
    <w:rsid w:val="00964886"/>
    <w:rsid w:val="0096523B"/>
    <w:rsid w:val="0096559B"/>
    <w:rsid w:val="00965B8A"/>
    <w:rsid w:val="009661DB"/>
    <w:rsid w:val="009668EB"/>
    <w:rsid w:val="009669CA"/>
    <w:rsid w:val="00967462"/>
    <w:rsid w:val="00967B22"/>
    <w:rsid w:val="0097067C"/>
    <w:rsid w:val="0097071F"/>
    <w:rsid w:val="009716EC"/>
    <w:rsid w:val="009717AC"/>
    <w:rsid w:val="00972D7B"/>
    <w:rsid w:val="00973197"/>
    <w:rsid w:val="009737C4"/>
    <w:rsid w:val="00973FC8"/>
    <w:rsid w:val="009751C1"/>
    <w:rsid w:val="009770D3"/>
    <w:rsid w:val="00977397"/>
    <w:rsid w:val="00977A74"/>
    <w:rsid w:val="00980FED"/>
    <w:rsid w:val="009811F1"/>
    <w:rsid w:val="0098231E"/>
    <w:rsid w:val="00982614"/>
    <w:rsid w:val="009836CD"/>
    <w:rsid w:val="0098399E"/>
    <w:rsid w:val="00983E57"/>
    <w:rsid w:val="0098421F"/>
    <w:rsid w:val="0098426D"/>
    <w:rsid w:val="0098499C"/>
    <w:rsid w:val="00984EE4"/>
    <w:rsid w:val="00985661"/>
    <w:rsid w:val="009856D7"/>
    <w:rsid w:val="00985DE2"/>
    <w:rsid w:val="0098611F"/>
    <w:rsid w:val="009861EA"/>
    <w:rsid w:val="0098635C"/>
    <w:rsid w:val="00986583"/>
    <w:rsid w:val="0098675D"/>
    <w:rsid w:val="00986F30"/>
    <w:rsid w:val="009870C6"/>
    <w:rsid w:val="0098787A"/>
    <w:rsid w:val="00987B9C"/>
    <w:rsid w:val="00987DDD"/>
    <w:rsid w:val="009908D0"/>
    <w:rsid w:val="009912EC"/>
    <w:rsid w:val="009916A8"/>
    <w:rsid w:val="00991D42"/>
    <w:rsid w:val="009921C0"/>
    <w:rsid w:val="009926E0"/>
    <w:rsid w:val="009943BF"/>
    <w:rsid w:val="0099451E"/>
    <w:rsid w:val="009951FD"/>
    <w:rsid w:val="0099564B"/>
    <w:rsid w:val="009958E3"/>
    <w:rsid w:val="00996212"/>
    <w:rsid w:val="00996334"/>
    <w:rsid w:val="009969EA"/>
    <w:rsid w:val="00996B1A"/>
    <w:rsid w:val="0099773C"/>
    <w:rsid w:val="00997C0F"/>
    <w:rsid w:val="009A00FB"/>
    <w:rsid w:val="009A071A"/>
    <w:rsid w:val="009A07C0"/>
    <w:rsid w:val="009A1102"/>
    <w:rsid w:val="009A13AF"/>
    <w:rsid w:val="009A2093"/>
    <w:rsid w:val="009A20E7"/>
    <w:rsid w:val="009A225C"/>
    <w:rsid w:val="009A22D6"/>
    <w:rsid w:val="009A266F"/>
    <w:rsid w:val="009A2729"/>
    <w:rsid w:val="009A2DCC"/>
    <w:rsid w:val="009A44EE"/>
    <w:rsid w:val="009A56E5"/>
    <w:rsid w:val="009A5ABC"/>
    <w:rsid w:val="009A5D84"/>
    <w:rsid w:val="009A6604"/>
    <w:rsid w:val="009A7F10"/>
    <w:rsid w:val="009B062E"/>
    <w:rsid w:val="009B1A8F"/>
    <w:rsid w:val="009B1CDC"/>
    <w:rsid w:val="009B338F"/>
    <w:rsid w:val="009B3DCB"/>
    <w:rsid w:val="009B3E26"/>
    <w:rsid w:val="009B4003"/>
    <w:rsid w:val="009B4192"/>
    <w:rsid w:val="009B43E3"/>
    <w:rsid w:val="009B471F"/>
    <w:rsid w:val="009B4881"/>
    <w:rsid w:val="009B499A"/>
    <w:rsid w:val="009B5265"/>
    <w:rsid w:val="009B6E73"/>
    <w:rsid w:val="009B6EEF"/>
    <w:rsid w:val="009B750A"/>
    <w:rsid w:val="009B7EF8"/>
    <w:rsid w:val="009C135E"/>
    <w:rsid w:val="009C1720"/>
    <w:rsid w:val="009C191D"/>
    <w:rsid w:val="009C1F95"/>
    <w:rsid w:val="009C2673"/>
    <w:rsid w:val="009C2E29"/>
    <w:rsid w:val="009C2E9D"/>
    <w:rsid w:val="009C329C"/>
    <w:rsid w:val="009C3706"/>
    <w:rsid w:val="009C38CE"/>
    <w:rsid w:val="009C3A3A"/>
    <w:rsid w:val="009C4142"/>
    <w:rsid w:val="009C4D62"/>
    <w:rsid w:val="009C5728"/>
    <w:rsid w:val="009C65BA"/>
    <w:rsid w:val="009C6CEA"/>
    <w:rsid w:val="009C7B85"/>
    <w:rsid w:val="009C7E17"/>
    <w:rsid w:val="009D0254"/>
    <w:rsid w:val="009D0ABA"/>
    <w:rsid w:val="009D11E2"/>
    <w:rsid w:val="009D143B"/>
    <w:rsid w:val="009D1535"/>
    <w:rsid w:val="009D184B"/>
    <w:rsid w:val="009D1A64"/>
    <w:rsid w:val="009D1A7B"/>
    <w:rsid w:val="009D272D"/>
    <w:rsid w:val="009D29C4"/>
    <w:rsid w:val="009D2CB5"/>
    <w:rsid w:val="009D2FA4"/>
    <w:rsid w:val="009D4CF9"/>
    <w:rsid w:val="009D513A"/>
    <w:rsid w:val="009D5B91"/>
    <w:rsid w:val="009D601B"/>
    <w:rsid w:val="009D6118"/>
    <w:rsid w:val="009D6AAA"/>
    <w:rsid w:val="009D792E"/>
    <w:rsid w:val="009E03B9"/>
    <w:rsid w:val="009E0441"/>
    <w:rsid w:val="009E065E"/>
    <w:rsid w:val="009E090E"/>
    <w:rsid w:val="009E0DFE"/>
    <w:rsid w:val="009E0E38"/>
    <w:rsid w:val="009E1716"/>
    <w:rsid w:val="009E20C8"/>
    <w:rsid w:val="009E31F6"/>
    <w:rsid w:val="009E4C07"/>
    <w:rsid w:val="009E4F05"/>
    <w:rsid w:val="009E52D6"/>
    <w:rsid w:val="009E62A8"/>
    <w:rsid w:val="009E62E2"/>
    <w:rsid w:val="009E692E"/>
    <w:rsid w:val="009E7CC4"/>
    <w:rsid w:val="009E7D76"/>
    <w:rsid w:val="009F07C4"/>
    <w:rsid w:val="009F0B9A"/>
    <w:rsid w:val="009F10F6"/>
    <w:rsid w:val="009F1DC7"/>
    <w:rsid w:val="009F2C57"/>
    <w:rsid w:val="009F30DB"/>
    <w:rsid w:val="009F4318"/>
    <w:rsid w:val="009F4DE1"/>
    <w:rsid w:val="009F4FB6"/>
    <w:rsid w:val="009F563D"/>
    <w:rsid w:val="009F5B92"/>
    <w:rsid w:val="009F5D04"/>
    <w:rsid w:val="009F6C55"/>
    <w:rsid w:val="009F6D64"/>
    <w:rsid w:val="009F6F1C"/>
    <w:rsid w:val="009F7057"/>
    <w:rsid w:val="009F705B"/>
    <w:rsid w:val="009F7E1B"/>
    <w:rsid w:val="00A01184"/>
    <w:rsid w:val="00A018F9"/>
    <w:rsid w:val="00A03123"/>
    <w:rsid w:val="00A037C2"/>
    <w:rsid w:val="00A0395F"/>
    <w:rsid w:val="00A03D43"/>
    <w:rsid w:val="00A03E0A"/>
    <w:rsid w:val="00A0415D"/>
    <w:rsid w:val="00A042D5"/>
    <w:rsid w:val="00A04380"/>
    <w:rsid w:val="00A0484F"/>
    <w:rsid w:val="00A04B7D"/>
    <w:rsid w:val="00A04FE7"/>
    <w:rsid w:val="00A05216"/>
    <w:rsid w:val="00A05472"/>
    <w:rsid w:val="00A05C32"/>
    <w:rsid w:val="00A05E35"/>
    <w:rsid w:val="00A0653F"/>
    <w:rsid w:val="00A06ACC"/>
    <w:rsid w:val="00A0700A"/>
    <w:rsid w:val="00A07159"/>
    <w:rsid w:val="00A073DD"/>
    <w:rsid w:val="00A078CA"/>
    <w:rsid w:val="00A07977"/>
    <w:rsid w:val="00A07CD3"/>
    <w:rsid w:val="00A07D6D"/>
    <w:rsid w:val="00A07F89"/>
    <w:rsid w:val="00A10679"/>
    <w:rsid w:val="00A106A9"/>
    <w:rsid w:val="00A10759"/>
    <w:rsid w:val="00A11217"/>
    <w:rsid w:val="00A116CB"/>
    <w:rsid w:val="00A11CD0"/>
    <w:rsid w:val="00A11EF1"/>
    <w:rsid w:val="00A12371"/>
    <w:rsid w:val="00A12995"/>
    <w:rsid w:val="00A12AC1"/>
    <w:rsid w:val="00A1352C"/>
    <w:rsid w:val="00A136CB"/>
    <w:rsid w:val="00A13948"/>
    <w:rsid w:val="00A13AF7"/>
    <w:rsid w:val="00A145C5"/>
    <w:rsid w:val="00A14BD5"/>
    <w:rsid w:val="00A14FE6"/>
    <w:rsid w:val="00A1555B"/>
    <w:rsid w:val="00A155C5"/>
    <w:rsid w:val="00A15EC0"/>
    <w:rsid w:val="00A164D6"/>
    <w:rsid w:val="00A16AD8"/>
    <w:rsid w:val="00A2042B"/>
    <w:rsid w:val="00A20D1C"/>
    <w:rsid w:val="00A219A5"/>
    <w:rsid w:val="00A21A2B"/>
    <w:rsid w:val="00A21C95"/>
    <w:rsid w:val="00A21CF3"/>
    <w:rsid w:val="00A2232D"/>
    <w:rsid w:val="00A22EE5"/>
    <w:rsid w:val="00A23031"/>
    <w:rsid w:val="00A23D1F"/>
    <w:rsid w:val="00A23DBC"/>
    <w:rsid w:val="00A24813"/>
    <w:rsid w:val="00A254A7"/>
    <w:rsid w:val="00A25A87"/>
    <w:rsid w:val="00A266A7"/>
    <w:rsid w:val="00A26735"/>
    <w:rsid w:val="00A26748"/>
    <w:rsid w:val="00A27242"/>
    <w:rsid w:val="00A27589"/>
    <w:rsid w:val="00A27AEC"/>
    <w:rsid w:val="00A27AF5"/>
    <w:rsid w:val="00A27BE5"/>
    <w:rsid w:val="00A30A20"/>
    <w:rsid w:val="00A30C81"/>
    <w:rsid w:val="00A320DB"/>
    <w:rsid w:val="00A3361B"/>
    <w:rsid w:val="00A3388E"/>
    <w:rsid w:val="00A34229"/>
    <w:rsid w:val="00A34332"/>
    <w:rsid w:val="00A35D16"/>
    <w:rsid w:val="00A35FA6"/>
    <w:rsid w:val="00A368BD"/>
    <w:rsid w:val="00A368C2"/>
    <w:rsid w:val="00A368DE"/>
    <w:rsid w:val="00A373C3"/>
    <w:rsid w:val="00A374A4"/>
    <w:rsid w:val="00A37BCD"/>
    <w:rsid w:val="00A40336"/>
    <w:rsid w:val="00A405A7"/>
    <w:rsid w:val="00A40AB0"/>
    <w:rsid w:val="00A41465"/>
    <w:rsid w:val="00A414CA"/>
    <w:rsid w:val="00A41546"/>
    <w:rsid w:val="00A41689"/>
    <w:rsid w:val="00A42137"/>
    <w:rsid w:val="00A42592"/>
    <w:rsid w:val="00A43711"/>
    <w:rsid w:val="00A43C59"/>
    <w:rsid w:val="00A43FD9"/>
    <w:rsid w:val="00A43FF8"/>
    <w:rsid w:val="00A444C3"/>
    <w:rsid w:val="00A45D08"/>
    <w:rsid w:val="00A4654E"/>
    <w:rsid w:val="00A46A33"/>
    <w:rsid w:val="00A47032"/>
    <w:rsid w:val="00A50B1C"/>
    <w:rsid w:val="00A50ECD"/>
    <w:rsid w:val="00A5149E"/>
    <w:rsid w:val="00A518F3"/>
    <w:rsid w:val="00A52427"/>
    <w:rsid w:val="00A52729"/>
    <w:rsid w:val="00A52FAB"/>
    <w:rsid w:val="00A533DA"/>
    <w:rsid w:val="00A53675"/>
    <w:rsid w:val="00A54605"/>
    <w:rsid w:val="00A554AD"/>
    <w:rsid w:val="00A55589"/>
    <w:rsid w:val="00A558E5"/>
    <w:rsid w:val="00A564D7"/>
    <w:rsid w:val="00A568DB"/>
    <w:rsid w:val="00A56B6A"/>
    <w:rsid w:val="00A5748A"/>
    <w:rsid w:val="00A578DC"/>
    <w:rsid w:val="00A60066"/>
    <w:rsid w:val="00A6055A"/>
    <w:rsid w:val="00A6087E"/>
    <w:rsid w:val="00A611D0"/>
    <w:rsid w:val="00A61A14"/>
    <w:rsid w:val="00A63204"/>
    <w:rsid w:val="00A63DE1"/>
    <w:rsid w:val="00A640E2"/>
    <w:rsid w:val="00A64A5B"/>
    <w:rsid w:val="00A64D65"/>
    <w:rsid w:val="00A64FBD"/>
    <w:rsid w:val="00A6622E"/>
    <w:rsid w:val="00A6725B"/>
    <w:rsid w:val="00A67293"/>
    <w:rsid w:val="00A67704"/>
    <w:rsid w:val="00A677E1"/>
    <w:rsid w:val="00A70605"/>
    <w:rsid w:val="00A71BC4"/>
    <w:rsid w:val="00A727C2"/>
    <w:rsid w:val="00A728F7"/>
    <w:rsid w:val="00A72AE5"/>
    <w:rsid w:val="00A73134"/>
    <w:rsid w:val="00A73D91"/>
    <w:rsid w:val="00A74E76"/>
    <w:rsid w:val="00A7534D"/>
    <w:rsid w:val="00A75357"/>
    <w:rsid w:val="00A755F6"/>
    <w:rsid w:val="00A75840"/>
    <w:rsid w:val="00A75A4C"/>
    <w:rsid w:val="00A76001"/>
    <w:rsid w:val="00A76190"/>
    <w:rsid w:val="00A76D11"/>
    <w:rsid w:val="00A76F4E"/>
    <w:rsid w:val="00A77785"/>
    <w:rsid w:val="00A777B2"/>
    <w:rsid w:val="00A7798A"/>
    <w:rsid w:val="00A77CED"/>
    <w:rsid w:val="00A8009B"/>
    <w:rsid w:val="00A801BE"/>
    <w:rsid w:val="00A8054D"/>
    <w:rsid w:val="00A817E9"/>
    <w:rsid w:val="00A81F09"/>
    <w:rsid w:val="00A824AD"/>
    <w:rsid w:val="00A825D4"/>
    <w:rsid w:val="00A828F6"/>
    <w:rsid w:val="00A82B73"/>
    <w:rsid w:val="00A84059"/>
    <w:rsid w:val="00A84676"/>
    <w:rsid w:val="00A8560D"/>
    <w:rsid w:val="00A85B90"/>
    <w:rsid w:val="00A86031"/>
    <w:rsid w:val="00A86E8B"/>
    <w:rsid w:val="00A87164"/>
    <w:rsid w:val="00A8762D"/>
    <w:rsid w:val="00A90631"/>
    <w:rsid w:val="00A90692"/>
    <w:rsid w:val="00A91196"/>
    <w:rsid w:val="00A911F8"/>
    <w:rsid w:val="00A91208"/>
    <w:rsid w:val="00A912A7"/>
    <w:rsid w:val="00A9186B"/>
    <w:rsid w:val="00A92331"/>
    <w:rsid w:val="00A924EA"/>
    <w:rsid w:val="00A93072"/>
    <w:rsid w:val="00A935A5"/>
    <w:rsid w:val="00A938BD"/>
    <w:rsid w:val="00A93953"/>
    <w:rsid w:val="00A94E8B"/>
    <w:rsid w:val="00A953C7"/>
    <w:rsid w:val="00A959D8"/>
    <w:rsid w:val="00A95C70"/>
    <w:rsid w:val="00A970A2"/>
    <w:rsid w:val="00AA07F2"/>
    <w:rsid w:val="00AA113D"/>
    <w:rsid w:val="00AA1FF6"/>
    <w:rsid w:val="00AA21E5"/>
    <w:rsid w:val="00AA244A"/>
    <w:rsid w:val="00AA2627"/>
    <w:rsid w:val="00AA2754"/>
    <w:rsid w:val="00AA4732"/>
    <w:rsid w:val="00AA5F48"/>
    <w:rsid w:val="00AA6590"/>
    <w:rsid w:val="00AA66E6"/>
    <w:rsid w:val="00AA67FB"/>
    <w:rsid w:val="00AA6BD5"/>
    <w:rsid w:val="00AA6BD8"/>
    <w:rsid w:val="00AA6C7D"/>
    <w:rsid w:val="00AA782B"/>
    <w:rsid w:val="00AA7FD6"/>
    <w:rsid w:val="00AB042A"/>
    <w:rsid w:val="00AB0737"/>
    <w:rsid w:val="00AB0A2D"/>
    <w:rsid w:val="00AB19EF"/>
    <w:rsid w:val="00AB1EEE"/>
    <w:rsid w:val="00AB2143"/>
    <w:rsid w:val="00AB2B2A"/>
    <w:rsid w:val="00AB2CB2"/>
    <w:rsid w:val="00AB2D34"/>
    <w:rsid w:val="00AB3430"/>
    <w:rsid w:val="00AB37B9"/>
    <w:rsid w:val="00AB4450"/>
    <w:rsid w:val="00AB4AD1"/>
    <w:rsid w:val="00AB56D9"/>
    <w:rsid w:val="00AB5E07"/>
    <w:rsid w:val="00AB6F96"/>
    <w:rsid w:val="00AB7CFA"/>
    <w:rsid w:val="00AC0314"/>
    <w:rsid w:val="00AC2055"/>
    <w:rsid w:val="00AC2705"/>
    <w:rsid w:val="00AC2D66"/>
    <w:rsid w:val="00AC3591"/>
    <w:rsid w:val="00AC3888"/>
    <w:rsid w:val="00AC39E1"/>
    <w:rsid w:val="00AC3CA3"/>
    <w:rsid w:val="00AC40E8"/>
    <w:rsid w:val="00AC56EB"/>
    <w:rsid w:val="00AC5B48"/>
    <w:rsid w:val="00AC642F"/>
    <w:rsid w:val="00AC6FB4"/>
    <w:rsid w:val="00AC743C"/>
    <w:rsid w:val="00AC7502"/>
    <w:rsid w:val="00AD0C4E"/>
    <w:rsid w:val="00AD0C65"/>
    <w:rsid w:val="00AD104F"/>
    <w:rsid w:val="00AD1215"/>
    <w:rsid w:val="00AD1450"/>
    <w:rsid w:val="00AD1DC5"/>
    <w:rsid w:val="00AD20BF"/>
    <w:rsid w:val="00AD21BA"/>
    <w:rsid w:val="00AD2477"/>
    <w:rsid w:val="00AD2D8C"/>
    <w:rsid w:val="00AD3E87"/>
    <w:rsid w:val="00AD4245"/>
    <w:rsid w:val="00AD4D59"/>
    <w:rsid w:val="00AD5DCE"/>
    <w:rsid w:val="00AD6112"/>
    <w:rsid w:val="00AD6221"/>
    <w:rsid w:val="00AD6276"/>
    <w:rsid w:val="00AD6502"/>
    <w:rsid w:val="00AD65A8"/>
    <w:rsid w:val="00AD65E2"/>
    <w:rsid w:val="00AD6916"/>
    <w:rsid w:val="00AD69ED"/>
    <w:rsid w:val="00AD77B0"/>
    <w:rsid w:val="00AD79F9"/>
    <w:rsid w:val="00AE0695"/>
    <w:rsid w:val="00AE0BF1"/>
    <w:rsid w:val="00AE1016"/>
    <w:rsid w:val="00AE120D"/>
    <w:rsid w:val="00AE1969"/>
    <w:rsid w:val="00AE1B15"/>
    <w:rsid w:val="00AE1D15"/>
    <w:rsid w:val="00AE2BFE"/>
    <w:rsid w:val="00AE3618"/>
    <w:rsid w:val="00AE3E7E"/>
    <w:rsid w:val="00AE4616"/>
    <w:rsid w:val="00AE4C26"/>
    <w:rsid w:val="00AE4D8C"/>
    <w:rsid w:val="00AE4DEC"/>
    <w:rsid w:val="00AE4F71"/>
    <w:rsid w:val="00AE5275"/>
    <w:rsid w:val="00AE5EF8"/>
    <w:rsid w:val="00AE5FB7"/>
    <w:rsid w:val="00AE7CB9"/>
    <w:rsid w:val="00AE7D1B"/>
    <w:rsid w:val="00AF0230"/>
    <w:rsid w:val="00AF1084"/>
    <w:rsid w:val="00AF1315"/>
    <w:rsid w:val="00AF19BF"/>
    <w:rsid w:val="00AF1E87"/>
    <w:rsid w:val="00AF2DC3"/>
    <w:rsid w:val="00AF35B1"/>
    <w:rsid w:val="00AF3BAF"/>
    <w:rsid w:val="00AF4D8E"/>
    <w:rsid w:val="00AF5413"/>
    <w:rsid w:val="00AF5A41"/>
    <w:rsid w:val="00AF6E87"/>
    <w:rsid w:val="00B004BB"/>
    <w:rsid w:val="00B0099F"/>
    <w:rsid w:val="00B00CAA"/>
    <w:rsid w:val="00B01AD9"/>
    <w:rsid w:val="00B01FE2"/>
    <w:rsid w:val="00B023AE"/>
    <w:rsid w:val="00B02690"/>
    <w:rsid w:val="00B028DF"/>
    <w:rsid w:val="00B028EE"/>
    <w:rsid w:val="00B03293"/>
    <w:rsid w:val="00B033E5"/>
    <w:rsid w:val="00B0340D"/>
    <w:rsid w:val="00B03A63"/>
    <w:rsid w:val="00B03D29"/>
    <w:rsid w:val="00B04708"/>
    <w:rsid w:val="00B06F23"/>
    <w:rsid w:val="00B077C5"/>
    <w:rsid w:val="00B07A88"/>
    <w:rsid w:val="00B10CBD"/>
    <w:rsid w:val="00B10F66"/>
    <w:rsid w:val="00B11539"/>
    <w:rsid w:val="00B12751"/>
    <w:rsid w:val="00B12911"/>
    <w:rsid w:val="00B137FE"/>
    <w:rsid w:val="00B13824"/>
    <w:rsid w:val="00B14457"/>
    <w:rsid w:val="00B14738"/>
    <w:rsid w:val="00B14AD3"/>
    <w:rsid w:val="00B15228"/>
    <w:rsid w:val="00B153A8"/>
    <w:rsid w:val="00B16FF5"/>
    <w:rsid w:val="00B170F8"/>
    <w:rsid w:val="00B1725C"/>
    <w:rsid w:val="00B17771"/>
    <w:rsid w:val="00B201A4"/>
    <w:rsid w:val="00B201D1"/>
    <w:rsid w:val="00B20EDC"/>
    <w:rsid w:val="00B213A6"/>
    <w:rsid w:val="00B21A66"/>
    <w:rsid w:val="00B22269"/>
    <w:rsid w:val="00B22982"/>
    <w:rsid w:val="00B22EA1"/>
    <w:rsid w:val="00B23223"/>
    <w:rsid w:val="00B235B0"/>
    <w:rsid w:val="00B236C0"/>
    <w:rsid w:val="00B246BC"/>
    <w:rsid w:val="00B24936"/>
    <w:rsid w:val="00B24A54"/>
    <w:rsid w:val="00B24DF6"/>
    <w:rsid w:val="00B25309"/>
    <w:rsid w:val="00B256EB"/>
    <w:rsid w:val="00B25A29"/>
    <w:rsid w:val="00B262C1"/>
    <w:rsid w:val="00B270B8"/>
    <w:rsid w:val="00B27BAB"/>
    <w:rsid w:val="00B309A3"/>
    <w:rsid w:val="00B30A04"/>
    <w:rsid w:val="00B30FDD"/>
    <w:rsid w:val="00B3265A"/>
    <w:rsid w:val="00B33A50"/>
    <w:rsid w:val="00B34307"/>
    <w:rsid w:val="00B34723"/>
    <w:rsid w:val="00B3488E"/>
    <w:rsid w:val="00B34FE2"/>
    <w:rsid w:val="00B35166"/>
    <w:rsid w:val="00B357D8"/>
    <w:rsid w:val="00B35CF0"/>
    <w:rsid w:val="00B35FFF"/>
    <w:rsid w:val="00B360F4"/>
    <w:rsid w:val="00B36A00"/>
    <w:rsid w:val="00B36C14"/>
    <w:rsid w:val="00B37BFC"/>
    <w:rsid w:val="00B40358"/>
    <w:rsid w:val="00B40E5F"/>
    <w:rsid w:val="00B40F1E"/>
    <w:rsid w:val="00B4114C"/>
    <w:rsid w:val="00B41614"/>
    <w:rsid w:val="00B41767"/>
    <w:rsid w:val="00B41793"/>
    <w:rsid w:val="00B41E12"/>
    <w:rsid w:val="00B42851"/>
    <w:rsid w:val="00B42F80"/>
    <w:rsid w:val="00B435CB"/>
    <w:rsid w:val="00B43EF5"/>
    <w:rsid w:val="00B44466"/>
    <w:rsid w:val="00B44977"/>
    <w:rsid w:val="00B44CC4"/>
    <w:rsid w:val="00B45F0E"/>
    <w:rsid w:val="00B461CD"/>
    <w:rsid w:val="00B463B7"/>
    <w:rsid w:val="00B46F4F"/>
    <w:rsid w:val="00B505C8"/>
    <w:rsid w:val="00B50D3B"/>
    <w:rsid w:val="00B50DB8"/>
    <w:rsid w:val="00B50F64"/>
    <w:rsid w:val="00B513BD"/>
    <w:rsid w:val="00B5160F"/>
    <w:rsid w:val="00B51EF8"/>
    <w:rsid w:val="00B52B07"/>
    <w:rsid w:val="00B53061"/>
    <w:rsid w:val="00B53654"/>
    <w:rsid w:val="00B5376E"/>
    <w:rsid w:val="00B53905"/>
    <w:rsid w:val="00B53EAD"/>
    <w:rsid w:val="00B542B8"/>
    <w:rsid w:val="00B54742"/>
    <w:rsid w:val="00B54A08"/>
    <w:rsid w:val="00B54B5B"/>
    <w:rsid w:val="00B5562E"/>
    <w:rsid w:val="00B55BD1"/>
    <w:rsid w:val="00B55D65"/>
    <w:rsid w:val="00B565F7"/>
    <w:rsid w:val="00B56C1C"/>
    <w:rsid w:val="00B57000"/>
    <w:rsid w:val="00B5778E"/>
    <w:rsid w:val="00B600E7"/>
    <w:rsid w:val="00B60939"/>
    <w:rsid w:val="00B60978"/>
    <w:rsid w:val="00B60AFD"/>
    <w:rsid w:val="00B6226C"/>
    <w:rsid w:val="00B62715"/>
    <w:rsid w:val="00B636E8"/>
    <w:rsid w:val="00B63C20"/>
    <w:rsid w:val="00B6401D"/>
    <w:rsid w:val="00B64222"/>
    <w:rsid w:val="00B65611"/>
    <w:rsid w:val="00B65A74"/>
    <w:rsid w:val="00B65CAC"/>
    <w:rsid w:val="00B66A8B"/>
    <w:rsid w:val="00B66EFE"/>
    <w:rsid w:val="00B67BBE"/>
    <w:rsid w:val="00B70E8E"/>
    <w:rsid w:val="00B711FC"/>
    <w:rsid w:val="00B712E0"/>
    <w:rsid w:val="00B72099"/>
    <w:rsid w:val="00B72B6B"/>
    <w:rsid w:val="00B7350B"/>
    <w:rsid w:val="00B74469"/>
    <w:rsid w:val="00B7465D"/>
    <w:rsid w:val="00B74B56"/>
    <w:rsid w:val="00B74F4E"/>
    <w:rsid w:val="00B75049"/>
    <w:rsid w:val="00B75097"/>
    <w:rsid w:val="00B755DD"/>
    <w:rsid w:val="00B75A2B"/>
    <w:rsid w:val="00B7603C"/>
    <w:rsid w:val="00B7645C"/>
    <w:rsid w:val="00B7673F"/>
    <w:rsid w:val="00B769A2"/>
    <w:rsid w:val="00B76C92"/>
    <w:rsid w:val="00B76F1E"/>
    <w:rsid w:val="00B771F7"/>
    <w:rsid w:val="00B818A4"/>
    <w:rsid w:val="00B81DE8"/>
    <w:rsid w:val="00B81EB1"/>
    <w:rsid w:val="00B821B6"/>
    <w:rsid w:val="00B82401"/>
    <w:rsid w:val="00B83868"/>
    <w:rsid w:val="00B84117"/>
    <w:rsid w:val="00B84985"/>
    <w:rsid w:val="00B8500C"/>
    <w:rsid w:val="00B852F3"/>
    <w:rsid w:val="00B85824"/>
    <w:rsid w:val="00B858F0"/>
    <w:rsid w:val="00B85AA2"/>
    <w:rsid w:val="00B85C9D"/>
    <w:rsid w:val="00B85E8F"/>
    <w:rsid w:val="00B8649C"/>
    <w:rsid w:val="00B866B6"/>
    <w:rsid w:val="00B8695D"/>
    <w:rsid w:val="00B86AF7"/>
    <w:rsid w:val="00B86C13"/>
    <w:rsid w:val="00B86C18"/>
    <w:rsid w:val="00B8714C"/>
    <w:rsid w:val="00B877F0"/>
    <w:rsid w:val="00B87F0A"/>
    <w:rsid w:val="00B91726"/>
    <w:rsid w:val="00B91953"/>
    <w:rsid w:val="00B923BD"/>
    <w:rsid w:val="00B928B1"/>
    <w:rsid w:val="00B92BD7"/>
    <w:rsid w:val="00B92D0B"/>
    <w:rsid w:val="00B92FAA"/>
    <w:rsid w:val="00B931C6"/>
    <w:rsid w:val="00B938F2"/>
    <w:rsid w:val="00B9400B"/>
    <w:rsid w:val="00B94945"/>
    <w:rsid w:val="00B94DD6"/>
    <w:rsid w:val="00B94F5E"/>
    <w:rsid w:val="00B951F9"/>
    <w:rsid w:val="00B953D5"/>
    <w:rsid w:val="00B95975"/>
    <w:rsid w:val="00B95B0B"/>
    <w:rsid w:val="00B9741B"/>
    <w:rsid w:val="00B97489"/>
    <w:rsid w:val="00B97A42"/>
    <w:rsid w:val="00B97CC6"/>
    <w:rsid w:val="00B97D47"/>
    <w:rsid w:val="00BA0856"/>
    <w:rsid w:val="00BA0B9D"/>
    <w:rsid w:val="00BA1309"/>
    <w:rsid w:val="00BA1780"/>
    <w:rsid w:val="00BA1990"/>
    <w:rsid w:val="00BA1B61"/>
    <w:rsid w:val="00BA2142"/>
    <w:rsid w:val="00BA322D"/>
    <w:rsid w:val="00BA3709"/>
    <w:rsid w:val="00BA3D02"/>
    <w:rsid w:val="00BA3E3B"/>
    <w:rsid w:val="00BA3FD0"/>
    <w:rsid w:val="00BA45E7"/>
    <w:rsid w:val="00BA495F"/>
    <w:rsid w:val="00BA5813"/>
    <w:rsid w:val="00BA5D37"/>
    <w:rsid w:val="00BA63FA"/>
    <w:rsid w:val="00BA754A"/>
    <w:rsid w:val="00BA79B0"/>
    <w:rsid w:val="00BA7B47"/>
    <w:rsid w:val="00BB00B3"/>
    <w:rsid w:val="00BB067F"/>
    <w:rsid w:val="00BB0A87"/>
    <w:rsid w:val="00BB0BDD"/>
    <w:rsid w:val="00BB176C"/>
    <w:rsid w:val="00BB1D6F"/>
    <w:rsid w:val="00BB2871"/>
    <w:rsid w:val="00BB2A73"/>
    <w:rsid w:val="00BB3352"/>
    <w:rsid w:val="00BB3A45"/>
    <w:rsid w:val="00BB4252"/>
    <w:rsid w:val="00BB4ACC"/>
    <w:rsid w:val="00BB4BC6"/>
    <w:rsid w:val="00BB6F4B"/>
    <w:rsid w:val="00BB703E"/>
    <w:rsid w:val="00BB7232"/>
    <w:rsid w:val="00BB732D"/>
    <w:rsid w:val="00BB7405"/>
    <w:rsid w:val="00BB74C3"/>
    <w:rsid w:val="00BB7656"/>
    <w:rsid w:val="00BB7F87"/>
    <w:rsid w:val="00BC0932"/>
    <w:rsid w:val="00BC1293"/>
    <w:rsid w:val="00BC1A09"/>
    <w:rsid w:val="00BC1BC2"/>
    <w:rsid w:val="00BC1DC9"/>
    <w:rsid w:val="00BC26DF"/>
    <w:rsid w:val="00BC3631"/>
    <w:rsid w:val="00BC3808"/>
    <w:rsid w:val="00BC591F"/>
    <w:rsid w:val="00BC5B15"/>
    <w:rsid w:val="00BC73E3"/>
    <w:rsid w:val="00BC7D6D"/>
    <w:rsid w:val="00BD0BD3"/>
    <w:rsid w:val="00BD2108"/>
    <w:rsid w:val="00BD24DB"/>
    <w:rsid w:val="00BD29FA"/>
    <w:rsid w:val="00BD394A"/>
    <w:rsid w:val="00BD4082"/>
    <w:rsid w:val="00BD4B38"/>
    <w:rsid w:val="00BD4CCE"/>
    <w:rsid w:val="00BD57C6"/>
    <w:rsid w:val="00BD68A3"/>
    <w:rsid w:val="00BD6938"/>
    <w:rsid w:val="00BD6CF3"/>
    <w:rsid w:val="00BD6DF9"/>
    <w:rsid w:val="00BD7582"/>
    <w:rsid w:val="00BE0143"/>
    <w:rsid w:val="00BE034D"/>
    <w:rsid w:val="00BE0ECA"/>
    <w:rsid w:val="00BE13A7"/>
    <w:rsid w:val="00BE161D"/>
    <w:rsid w:val="00BE1794"/>
    <w:rsid w:val="00BE2180"/>
    <w:rsid w:val="00BE21F2"/>
    <w:rsid w:val="00BE2701"/>
    <w:rsid w:val="00BE4139"/>
    <w:rsid w:val="00BE4275"/>
    <w:rsid w:val="00BE4BD8"/>
    <w:rsid w:val="00BE5043"/>
    <w:rsid w:val="00BE5D6F"/>
    <w:rsid w:val="00BE5E3C"/>
    <w:rsid w:val="00BE60DF"/>
    <w:rsid w:val="00BE6C3F"/>
    <w:rsid w:val="00BE7B1B"/>
    <w:rsid w:val="00BF06AE"/>
    <w:rsid w:val="00BF0F95"/>
    <w:rsid w:val="00BF1590"/>
    <w:rsid w:val="00BF2433"/>
    <w:rsid w:val="00BF2525"/>
    <w:rsid w:val="00BF2D39"/>
    <w:rsid w:val="00BF33F0"/>
    <w:rsid w:val="00BF38EB"/>
    <w:rsid w:val="00BF4A71"/>
    <w:rsid w:val="00BF5240"/>
    <w:rsid w:val="00BF57C2"/>
    <w:rsid w:val="00BF5A87"/>
    <w:rsid w:val="00BF5BCA"/>
    <w:rsid w:val="00BF5D87"/>
    <w:rsid w:val="00BF6057"/>
    <w:rsid w:val="00BF6126"/>
    <w:rsid w:val="00BF61C9"/>
    <w:rsid w:val="00BF6334"/>
    <w:rsid w:val="00BF65CD"/>
    <w:rsid w:val="00BF665A"/>
    <w:rsid w:val="00BF6A6B"/>
    <w:rsid w:val="00BF6C29"/>
    <w:rsid w:val="00BF6C94"/>
    <w:rsid w:val="00C00424"/>
    <w:rsid w:val="00C0059D"/>
    <w:rsid w:val="00C00ED9"/>
    <w:rsid w:val="00C0194E"/>
    <w:rsid w:val="00C021EF"/>
    <w:rsid w:val="00C02D94"/>
    <w:rsid w:val="00C038D1"/>
    <w:rsid w:val="00C047F1"/>
    <w:rsid w:val="00C0531D"/>
    <w:rsid w:val="00C0531E"/>
    <w:rsid w:val="00C0537A"/>
    <w:rsid w:val="00C05748"/>
    <w:rsid w:val="00C0601E"/>
    <w:rsid w:val="00C06A69"/>
    <w:rsid w:val="00C102FA"/>
    <w:rsid w:val="00C10A4E"/>
    <w:rsid w:val="00C10C85"/>
    <w:rsid w:val="00C10E16"/>
    <w:rsid w:val="00C1133A"/>
    <w:rsid w:val="00C1179F"/>
    <w:rsid w:val="00C117B2"/>
    <w:rsid w:val="00C117DE"/>
    <w:rsid w:val="00C11836"/>
    <w:rsid w:val="00C122D4"/>
    <w:rsid w:val="00C12C14"/>
    <w:rsid w:val="00C14A3A"/>
    <w:rsid w:val="00C158CE"/>
    <w:rsid w:val="00C15BD9"/>
    <w:rsid w:val="00C15F04"/>
    <w:rsid w:val="00C16E9C"/>
    <w:rsid w:val="00C17292"/>
    <w:rsid w:val="00C17461"/>
    <w:rsid w:val="00C179B3"/>
    <w:rsid w:val="00C17E3F"/>
    <w:rsid w:val="00C17F3A"/>
    <w:rsid w:val="00C2008D"/>
    <w:rsid w:val="00C200AA"/>
    <w:rsid w:val="00C2146F"/>
    <w:rsid w:val="00C22C22"/>
    <w:rsid w:val="00C232DF"/>
    <w:rsid w:val="00C23410"/>
    <w:rsid w:val="00C237ED"/>
    <w:rsid w:val="00C24632"/>
    <w:rsid w:val="00C246B0"/>
    <w:rsid w:val="00C24890"/>
    <w:rsid w:val="00C24DA1"/>
    <w:rsid w:val="00C2513F"/>
    <w:rsid w:val="00C25418"/>
    <w:rsid w:val="00C25D9C"/>
    <w:rsid w:val="00C269CA"/>
    <w:rsid w:val="00C274FE"/>
    <w:rsid w:val="00C2778B"/>
    <w:rsid w:val="00C27803"/>
    <w:rsid w:val="00C30A6E"/>
    <w:rsid w:val="00C30FD3"/>
    <w:rsid w:val="00C314AC"/>
    <w:rsid w:val="00C31649"/>
    <w:rsid w:val="00C31F9E"/>
    <w:rsid w:val="00C33A8B"/>
    <w:rsid w:val="00C34084"/>
    <w:rsid w:val="00C3422E"/>
    <w:rsid w:val="00C3434C"/>
    <w:rsid w:val="00C34878"/>
    <w:rsid w:val="00C3554B"/>
    <w:rsid w:val="00C36F04"/>
    <w:rsid w:val="00C37AC8"/>
    <w:rsid w:val="00C40385"/>
    <w:rsid w:val="00C404E3"/>
    <w:rsid w:val="00C4055B"/>
    <w:rsid w:val="00C40A52"/>
    <w:rsid w:val="00C40BFD"/>
    <w:rsid w:val="00C41768"/>
    <w:rsid w:val="00C431B5"/>
    <w:rsid w:val="00C43980"/>
    <w:rsid w:val="00C44193"/>
    <w:rsid w:val="00C45504"/>
    <w:rsid w:val="00C45708"/>
    <w:rsid w:val="00C45E19"/>
    <w:rsid w:val="00C47344"/>
    <w:rsid w:val="00C475AA"/>
    <w:rsid w:val="00C47613"/>
    <w:rsid w:val="00C50190"/>
    <w:rsid w:val="00C5060B"/>
    <w:rsid w:val="00C50D69"/>
    <w:rsid w:val="00C50F2A"/>
    <w:rsid w:val="00C51039"/>
    <w:rsid w:val="00C5199B"/>
    <w:rsid w:val="00C524CE"/>
    <w:rsid w:val="00C53C98"/>
    <w:rsid w:val="00C55DE6"/>
    <w:rsid w:val="00C56C2C"/>
    <w:rsid w:val="00C56FCF"/>
    <w:rsid w:val="00C57042"/>
    <w:rsid w:val="00C57B6C"/>
    <w:rsid w:val="00C57DA2"/>
    <w:rsid w:val="00C60905"/>
    <w:rsid w:val="00C610CA"/>
    <w:rsid w:val="00C61333"/>
    <w:rsid w:val="00C61D1F"/>
    <w:rsid w:val="00C6274A"/>
    <w:rsid w:val="00C628A6"/>
    <w:rsid w:val="00C631C9"/>
    <w:rsid w:val="00C63C55"/>
    <w:rsid w:val="00C642EA"/>
    <w:rsid w:val="00C64344"/>
    <w:rsid w:val="00C644B4"/>
    <w:rsid w:val="00C64A17"/>
    <w:rsid w:val="00C65108"/>
    <w:rsid w:val="00C65576"/>
    <w:rsid w:val="00C65B1E"/>
    <w:rsid w:val="00C66165"/>
    <w:rsid w:val="00C701CF"/>
    <w:rsid w:val="00C7060A"/>
    <w:rsid w:val="00C70788"/>
    <w:rsid w:val="00C70906"/>
    <w:rsid w:val="00C70D1D"/>
    <w:rsid w:val="00C7151A"/>
    <w:rsid w:val="00C717E3"/>
    <w:rsid w:val="00C71DC1"/>
    <w:rsid w:val="00C71F60"/>
    <w:rsid w:val="00C72241"/>
    <w:rsid w:val="00C724DE"/>
    <w:rsid w:val="00C7305E"/>
    <w:rsid w:val="00C7328F"/>
    <w:rsid w:val="00C735F2"/>
    <w:rsid w:val="00C73D57"/>
    <w:rsid w:val="00C73F0D"/>
    <w:rsid w:val="00C743BC"/>
    <w:rsid w:val="00C746A2"/>
    <w:rsid w:val="00C7470F"/>
    <w:rsid w:val="00C74884"/>
    <w:rsid w:val="00C750C8"/>
    <w:rsid w:val="00C7560F"/>
    <w:rsid w:val="00C7579E"/>
    <w:rsid w:val="00C75E0D"/>
    <w:rsid w:val="00C77305"/>
    <w:rsid w:val="00C773F2"/>
    <w:rsid w:val="00C80A0E"/>
    <w:rsid w:val="00C8102D"/>
    <w:rsid w:val="00C8213F"/>
    <w:rsid w:val="00C8333B"/>
    <w:rsid w:val="00C83A5E"/>
    <w:rsid w:val="00C83E79"/>
    <w:rsid w:val="00C83EF7"/>
    <w:rsid w:val="00C842A8"/>
    <w:rsid w:val="00C8459D"/>
    <w:rsid w:val="00C84B24"/>
    <w:rsid w:val="00C84BCC"/>
    <w:rsid w:val="00C85060"/>
    <w:rsid w:val="00C85154"/>
    <w:rsid w:val="00C857BB"/>
    <w:rsid w:val="00C8599D"/>
    <w:rsid w:val="00C859B2"/>
    <w:rsid w:val="00C85E02"/>
    <w:rsid w:val="00C866AC"/>
    <w:rsid w:val="00C86763"/>
    <w:rsid w:val="00C86A3B"/>
    <w:rsid w:val="00C8797A"/>
    <w:rsid w:val="00C900B8"/>
    <w:rsid w:val="00C901F2"/>
    <w:rsid w:val="00C906BA"/>
    <w:rsid w:val="00C90C71"/>
    <w:rsid w:val="00C912B5"/>
    <w:rsid w:val="00C9141D"/>
    <w:rsid w:val="00C9185E"/>
    <w:rsid w:val="00C91FD1"/>
    <w:rsid w:val="00C931CF"/>
    <w:rsid w:val="00C93720"/>
    <w:rsid w:val="00C938CF"/>
    <w:rsid w:val="00C94053"/>
    <w:rsid w:val="00C947FE"/>
    <w:rsid w:val="00C95ABD"/>
    <w:rsid w:val="00C9624D"/>
    <w:rsid w:val="00C969DA"/>
    <w:rsid w:val="00C975F2"/>
    <w:rsid w:val="00C97C54"/>
    <w:rsid w:val="00CA009A"/>
    <w:rsid w:val="00CA0411"/>
    <w:rsid w:val="00CA0588"/>
    <w:rsid w:val="00CA0FDA"/>
    <w:rsid w:val="00CA0FFD"/>
    <w:rsid w:val="00CA279A"/>
    <w:rsid w:val="00CA2C77"/>
    <w:rsid w:val="00CA2F22"/>
    <w:rsid w:val="00CA2F63"/>
    <w:rsid w:val="00CA3569"/>
    <w:rsid w:val="00CA444F"/>
    <w:rsid w:val="00CA5245"/>
    <w:rsid w:val="00CA570C"/>
    <w:rsid w:val="00CA6335"/>
    <w:rsid w:val="00CA6409"/>
    <w:rsid w:val="00CA71F4"/>
    <w:rsid w:val="00CA72C2"/>
    <w:rsid w:val="00CA7B09"/>
    <w:rsid w:val="00CA7CF4"/>
    <w:rsid w:val="00CB0583"/>
    <w:rsid w:val="00CB0851"/>
    <w:rsid w:val="00CB12A5"/>
    <w:rsid w:val="00CB14F1"/>
    <w:rsid w:val="00CB1659"/>
    <w:rsid w:val="00CB1CAC"/>
    <w:rsid w:val="00CB2AE9"/>
    <w:rsid w:val="00CB2CC7"/>
    <w:rsid w:val="00CB2F2A"/>
    <w:rsid w:val="00CB2F2D"/>
    <w:rsid w:val="00CB421B"/>
    <w:rsid w:val="00CB53F5"/>
    <w:rsid w:val="00CB59B2"/>
    <w:rsid w:val="00CB5A75"/>
    <w:rsid w:val="00CB5B1A"/>
    <w:rsid w:val="00CB5EF9"/>
    <w:rsid w:val="00CB6B22"/>
    <w:rsid w:val="00CB7405"/>
    <w:rsid w:val="00CB79D0"/>
    <w:rsid w:val="00CB7A7E"/>
    <w:rsid w:val="00CB7AC2"/>
    <w:rsid w:val="00CB7D21"/>
    <w:rsid w:val="00CB7F5F"/>
    <w:rsid w:val="00CC0559"/>
    <w:rsid w:val="00CC0C59"/>
    <w:rsid w:val="00CC1B39"/>
    <w:rsid w:val="00CC2215"/>
    <w:rsid w:val="00CC2FBE"/>
    <w:rsid w:val="00CC34CF"/>
    <w:rsid w:val="00CC35EA"/>
    <w:rsid w:val="00CC3848"/>
    <w:rsid w:val="00CC3D51"/>
    <w:rsid w:val="00CC41AC"/>
    <w:rsid w:val="00CC4BF2"/>
    <w:rsid w:val="00CC4C41"/>
    <w:rsid w:val="00CC560C"/>
    <w:rsid w:val="00CC5786"/>
    <w:rsid w:val="00CC6737"/>
    <w:rsid w:val="00CC7A5C"/>
    <w:rsid w:val="00CD10EF"/>
    <w:rsid w:val="00CD15C5"/>
    <w:rsid w:val="00CD1ACC"/>
    <w:rsid w:val="00CD2395"/>
    <w:rsid w:val="00CD25F2"/>
    <w:rsid w:val="00CD27C8"/>
    <w:rsid w:val="00CD2B5A"/>
    <w:rsid w:val="00CD2EED"/>
    <w:rsid w:val="00CD311E"/>
    <w:rsid w:val="00CD3E89"/>
    <w:rsid w:val="00CD3F77"/>
    <w:rsid w:val="00CD4CAC"/>
    <w:rsid w:val="00CD4D86"/>
    <w:rsid w:val="00CD57A2"/>
    <w:rsid w:val="00CD5871"/>
    <w:rsid w:val="00CD5BDB"/>
    <w:rsid w:val="00CD6104"/>
    <w:rsid w:val="00CD6ADC"/>
    <w:rsid w:val="00CD6BC3"/>
    <w:rsid w:val="00CD6D77"/>
    <w:rsid w:val="00CD7193"/>
    <w:rsid w:val="00CD7766"/>
    <w:rsid w:val="00CD7DB5"/>
    <w:rsid w:val="00CE12E4"/>
    <w:rsid w:val="00CE13BB"/>
    <w:rsid w:val="00CE235E"/>
    <w:rsid w:val="00CE24AC"/>
    <w:rsid w:val="00CE29D7"/>
    <w:rsid w:val="00CE2AD3"/>
    <w:rsid w:val="00CE2ECB"/>
    <w:rsid w:val="00CE38C8"/>
    <w:rsid w:val="00CE51D0"/>
    <w:rsid w:val="00CE55C6"/>
    <w:rsid w:val="00CE6274"/>
    <w:rsid w:val="00CE6A5C"/>
    <w:rsid w:val="00CE6E45"/>
    <w:rsid w:val="00CE769D"/>
    <w:rsid w:val="00CE77B6"/>
    <w:rsid w:val="00CE7D61"/>
    <w:rsid w:val="00CE7D90"/>
    <w:rsid w:val="00CF04F1"/>
    <w:rsid w:val="00CF1480"/>
    <w:rsid w:val="00CF1664"/>
    <w:rsid w:val="00CF1AEF"/>
    <w:rsid w:val="00CF1E17"/>
    <w:rsid w:val="00CF2B8D"/>
    <w:rsid w:val="00CF2C6A"/>
    <w:rsid w:val="00CF2FEF"/>
    <w:rsid w:val="00CF2FF4"/>
    <w:rsid w:val="00CF304A"/>
    <w:rsid w:val="00CF3B67"/>
    <w:rsid w:val="00CF3EC2"/>
    <w:rsid w:val="00CF456B"/>
    <w:rsid w:val="00CF5A22"/>
    <w:rsid w:val="00CF5BF4"/>
    <w:rsid w:val="00CF757C"/>
    <w:rsid w:val="00D003ED"/>
    <w:rsid w:val="00D008C6"/>
    <w:rsid w:val="00D00C7A"/>
    <w:rsid w:val="00D00FFF"/>
    <w:rsid w:val="00D0112B"/>
    <w:rsid w:val="00D0251F"/>
    <w:rsid w:val="00D0262E"/>
    <w:rsid w:val="00D0388E"/>
    <w:rsid w:val="00D03999"/>
    <w:rsid w:val="00D04A7D"/>
    <w:rsid w:val="00D04F70"/>
    <w:rsid w:val="00D04F92"/>
    <w:rsid w:val="00D05B4C"/>
    <w:rsid w:val="00D05E3D"/>
    <w:rsid w:val="00D05ED6"/>
    <w:rsid w:val="00D06139"/>
    <w:rsid w:val="00D063F8"/>
    <w:rsid w:val="00D06BCC"/>
    <w:rsid w:val="00D06F61"/>
    <w:rsid w:val="00D07081"/>
    <w:rsid w:val="00D07365"/>
    <w:rsid w:val="00D110BD"/>
    <w:rsid w:val="00D12701"/>
    <w:rsid w:val="00D12D15"/>
    <w:rsid w:val="00D133B3"/>
    <w:rsid w:val="00D135D3"/>
    <w:rsid w:val="00D13675"/>
    <w:rsid w:val="00D13C0C"/>
    <w:rsid w:val="00D141E1"/>
    <w:rsid w:val="00D14A61"/>
    <w:rsid w:val="00D14C4E"/>
    <w:rsid w:val="00D15314"/>
    <w:rsid w:val="00D165E6"/>
    <w:rsid w:val="00D17D05"/>
    <w:rsid w:val="00D17D6C"/>
    <w:rsid w:val="00D20203"/>
    <w:rsid w:val="00D212A2"/>
    <w:rsid w:val="00D2155B"/>
    <w:rsid w:val="00D21970"/>
    <w:rsid w:val="00D22BBC"/>
    <w:rsid w:val="00D23D11"/>
    <w:rsid w:val="00D23EF0"/>
    <w:rsid w:val="00D2407D"/>
    <w:rsid w:val="00D244B6"/>
    <w:rsid w:val="00D2543D"/>
    <w:rsid w:val="00D262FC"/>
    <w:rsid w:val="00D27170"/>
    <w:rsid w:val="00D2754D"/>
    <w:rsid w:val="00D27B27"/>
    <w:rsid w:val="00D30108"/>
    <w:rsid w:val="00D301D0"/>
    <w:rsid w:val="00D309C7"/>
    <w:rsid w:val="00D30C6C"/>
    <w:rsid w:val="00D31995"/>
    <w:rsid w:val="00D319C3"/>
    <w:rsid w:val="00D32202"/>
    <w:rsid w:val="00D3255D"/>
    <w:rsid w:val="00D32AAE"/>
    <w:rsid w:val="00D32B9B"/>
    <w:rsid w:val="00D32E11"/>
    <w:rsid w:val="00D335D5"/>
    <w:rsid w:val="00D33BE9"/>
    <w:rsid w:val="00D33F93"/>
    <w:rsid w:val="00D33FB7"/>
    <w:rsid w:val="00D343F3"/>
    <w:rsid w:val="00D357FF"/>
    <w:rsid w:val="00D3649E"/>
    <w:rsid w:val="00D37166"/>
    <w:rsid w:val="00D3725C"/>
    <w:rsid w:val="00D37EDD"/>
    <w:rsid w:val="00D37FE5"/>
    <w:rsid w:val="00D40223"/>
    <w:rsid w:val="00D4038C"/>
    <w:rsid w:val="00D4089B"/>
    <w:rsid w:val="00D40E93"/>
    <w:rsid w:val="00D41B84"/>
    <w:rsid w:val="00D4233A"/>
    <w:rsid w:val="00D424C7"/>
    <w:rsid w:val="00D42958"/>
    <w:rsid w:val="00D43113"/>
    <w:rsid w:val="00D43B2A"/>
    <w:rsid w:val="00D43D83"/>
    <w:rsid w:val="00D43E6D"/>
    <w:rsid w:val="00D44313"/>
    <w:rsid w:val="00D445C8"/>
    <w:rsid w:val="00D454B0"/>
    <w:rsid w:val="00D460DB"/>
    <w:rsid w:val="00D46618"/>
    <w:rsid w:val="00D46FFF"/>
    <w:rsid w:val="00D47277"/>
    <w:rsid w:val="00D47575"/>
    <w:rsid w:val="00D47777"/>
    <w:rsid w:val="00D5001A"/>
    <w:rsid w:val="00D50313"/>
    <w:rsid w:val="00D5031F"/>
    <w:rsid w:val="00D51F8D"/>
    <w:rsid w:val="00D5243B"/>
    <w:rsid w:val="00D53211"/>
    <w:rsid w:val="00D533EC"/>
    <w:rsid w:val="00D535AF"/>
    <w:rsid w:val="00D53A1D"/>
    <w:rsid w:val="00D53A1F"/>
    <w:rsid w:val="00D54BAA"/>
    <w:rsid w:val="00D54DEE"/>
    <w:rsid w:val="00D54FF8"/>
    <w:rsid w:val="00D55CFB"/>
    <w:rsid w:val="00D56A95"/>
    <w:rsid w:val="00D56DBA"/>
    <w:rsid w:val="00D57A1D"/>
    <w:rsid w:val="00D60F3E"/>
    <w:rsid w:val="00D62092"/>
    <w:rsid w:val="00D620EF"/>
    <w:rsid w:val="00D623C6"/>
    <w:rsid w:val="00D63061"/>
    <w:rsid w:val="00D6322A"/>
    <w:rsid w:val="00D646AE"/>
    <w:rsid w:val="00D64DC9"/>
    <w:rsid w:val="00D65695"/>
    <w:rsid w:val="00D67B1F"/>
    <w:rsid w:val="00D67D67"/>
    <w:rsid w:val="00D701F0"/>
    <w:rsid w:val="00D70224"/>
    <w:rsid w:val="00D70F16"/>
    <w:rsid w:val="00D72076"/>
    <w:rsid w:val="00D72809"/>
    <w:rsid w:val="00D72EB8"/>
    <w:rsid w:val="00D72F57"/>
    <w:rsid w:val="00D73467"/>
    <w:rsid w:val="00D737B1"/>
    <w:rsid w:val="00D73C43"/>
    <w:rsid w:val="00D73D19"/>
    <w:rsid w:val="00D7458C"/>
    <w:rsid w:val="00D74BAD"/>
    <w:rsid w:val="00D751B5"/>
    <w:rsid w:val="00D75605"/>
    <w:rsid w:val="00D76A44"/>
    <w:rsid w:val="00D76D79"/>
    <w:rsid w:val="00D77072"/>
    <w:rsid w:val="00D77129"/>
    <w:rsid w:val="00D8015E"/>
    <w:rsid w:val="00D80C1F"/>
    <w:rsid w:val="00D81380"/>
    <w:rsid w:val="00D815EF"/>
    <w:rsid w:val="00D81F26"/>
    <w:rsid w:val="00D829B7"/>
    <w:rsid w:val="00D82CA4"/>
    <w:rsid w:val="00D82F41"/>
    <w:rsid w:val="00D836A1"/>
    <w:rsid w:val="00D836F6"/>
    <w:rsid w:val="00D83D78"/>
    <w:rsid w:val="00D8434E"/>
    <w:rsid w:val="00D843D5"/>
    <w:rsid w:val="00D851AE"/>
    <w:rsid w:val="00D854F7"/>
    <w:rsid w:val="00D85AF0"/>
    <w:rsid w:val="00D85F75"/>
    <w:rsid w:val="00D86231"/>
    <w:rsid w:val="00D863B7"/>
    <w:rsid w:val="00D86E48"/>
    <w:rsid w:val="00D86FC7"/>
    <w:rsid w:val="00D8731B"/>
    <w:rsid w:val="00D90176"/>
    <w:rsid w:val="00D901EE"/>
    <w:rsid w:val="00D90AA5"/>
    <w:rsid w:val="00D91026"/>
    <w:rsid w:val="00D91923"/>
    <w:rsid w:val="00D91D84"/>
    <w:rsid w:val="00D92338"/>
    <w:rsid w:val="00D9260F"/>
    <w:rsid w:val="00D92828"/>
    <w:rsid w:val="00D92DCD"/>
    <w:rsid w:val="00D93753"/>
    <w:rsid w:val="00D93C52"/>
    <w:rsid w:val="00D94411"/>
    <w:rsid w:val="00D945D3"/>
    <w:rsid w:val="00D94F45"/>
    <w:rsid w:val="00D959DD"/>
    <w:rsid w:val="00D95A56"/>
    <w:rsid w:val="00D96388"/>
    <w:rsid w:val="00D96618"/>
    <w:rsid w:val="00D97C95"/>
    <w:rsid w:val="00DA062A"/>
    <w:rsid w:val="00DA1648"/>
    <w:rsid w:val="00DA3167"/>
    <w:rsid w:val="00DA33C0"/>
    <w:rsid w:val="00DA3C60"/>
    <w:rsid w:val="00DA4146"/>
    <w:rsid w:val="00DA4C83"/>
    <w:rsid w:val="00DA4DC3"/>
    <w:rsid w:val="00DA5A87"/>
    <w:rsid w:val="00DA6040"/>
    <w:rsid w:val="00DA62E2"/>
    <w:rsid w:val="00DA63BA"/>
    <w:rsid w:val="00DA77A5"/>
    <w:rsid w:val="00DA7D7D"/>
    <w:rsid w:val="00DB0118"/>
    <w:rsid w:val="00DB0D6C"/>
    <w:rsid w:val="00DB0F8C"/>
    <w:rsid w:val="00DB2499"/>
    <w:rsid w:val="00DB36AA"/>
    <w:rsid w:val="00DB38A8"/>
    <w:rsid w:val="00DB3A23"/>
    <w:rsid w:val="00DB3DBF"/>
    <w:rsid w:val="00DB3F58"/>
    <w:rsid w:val="00DB45AB"/>
    <w:rsid w:val="00DB484F"/>
    <w:rsid w:val="00DB4980"/>
    <w:rsid w:val="00DB5961"/>
    <w:rsid w:val="00DB5C28"/>
    <w:rsid w:val="00DB5D98"/>
    <w:rsid w:val="00DB6070"/>
    <w:rsid w:val="00DB677D"/>
    <w:rsid w:val="00DB6B37"/>
    <w:rsid w:val="00DB706E"/>
    <w:rsid w:val="00DB7C7D"/>
    <w:rsid w:val="00DC04CF"/>
    <w:rsid w:val="00DC04F6"/>
    <w:rsid w:val="00DC0690"/>
    <w:rsid w:val="00DC1484"/>
    <w:rsid w:val="00DC19B2"/>
    <w:rsid w:val="00DC1D65"/>
    <w:rsid w:val="00DC2061"/>
    <w:rsid w:val="00DC2715"/>
    <w:rsid w:val="00DC2808"/>
    <w:rsid w:val="00DC397D"/>
    <w:rsid w:val="00DC3C57"/>
    <w:rsid w:val="00DC3D3B"/>
    <w:rsid w:val="00DC48CD"/>
    <w:rsid w:val="00DC5501"/>
    <w:rsid w:val="00DC5C92"/>
    <w:rsid w:val="00DC5D34"/>
    <w:rsid w:val="00DC5DBE"/>
    <w:rsid w:val="00DC613F"/>
    <w:rsid w:val="00DC61B8"/>
    <w:rsid w:val="00DC657A"/>
    <w:rsid w:val="00DC691B"/>
    <w:rsid w:val="00DC7154"/>
    <w:rsid w:val="00DC7A21"/>
    <w:rsid w:val="00DC7BB2"/>
    <w:rsid w:val="00DC7E8A"/>
    <w:rsid w:val="00DD0F78"/>
    <w:rsid w:val="00DD273C"/>
    <w:rsid w:val="00DD3272"/>
    <w:rsid w:val="00DD3F28"/>
    <w:rsid w:val="00DD4172"/>
    <w:rsid w:val="00DD4324"/>
    <w:rsid w:val="00DD4537"/>
    <w:rsid w:val="00DD4A6B"/>
    <w:rsid w:val="00DD4E15"/>
    <w:rsid w:val="00DD506C"/>
    <w:rsid w:val="00DD5BAC"/>
    <w:rsid w:val="00DD68BD"/>
    <w:rsid w:val="00DE00D0"/>
    <w:rsid w:val="00DE089F"/>
    <w:rsid w:val="00DE0940"/>
    <w:rsid w:val="00DE22CA"/>
    <w:rsid w:val="00DE2304"/>
    <w:rsid w:val="00DE2538"/>
    <w:rsid w:val="00DE2E7F"/>
    <w:rsid w:val="00DE30C0"/>
    <w:rsid w:val="00DE3138"/>
    <w:rsid w:val="00DE37F8"/>
    <w:rsid w:val="00DE3C55"/>
    <w:rsid w:val="00DE4279"/>
    <w:rsid w:val="00DE4EAB"/>
    <w:rsid w:val="00DE4FCB"/>
    <w:rsid w:val="00DE571C"/>
    <w:rsid w:val="00DE5AED"/>
    <w:rsid w:val="00DE5D07"/>
    <w:rsid w:val="00DE72A7"/>
    <w:rsid w:val="00DE732C"/>
    <w:rsid w:val="00DE7377"/>
    <w:rsid w:val="00DE765A"/>
    <w:rsid w:val="00DE7832"/>
    <w:rsid w:val="00DE787D"/>
    <w:rsid w:val="00DE7ABF"/>
    <w:rsid w:val="00DF00E0"/>
    <w:rsid w:val="00DF0483"/>
    <w:rsid w:val="00DF0601"/>
    <w:rsid w:val="00DF0A51"/>
    <w:rsid w:val="00DF0DC5"/>
    <w:rsid w:val="00DF0E4D"/>
    <w:rsid w:val="00DF18FC"/>
    <w:rsid w:val="00DF1AFD"/>
    <w:rsid w:val="00DF1C29"/>
    <w:rsid w:val="00DF35F5"/>
    <w:rsid w:val="00DF39FC"/>
    <w:rsid w:val="00DF4019"/>
    <w:rsid w:val="00DF4C3F"/>
    <w:rsid w:val="00DF5129"/>
    <w:rsid w:val="00DF5D2B"/>
    <w:rsid w:val="00DF72AF"/>
    <w:rsid w:val="00DF7EC6"/>
    <w:rsid w:val="00E00732"/>
    <w:rsid w:val="00E00E8E"/>
    <w:rsid w:val="00E011CA"/>
    <w:rsid w:val="00E02066"/>
    <w:rsid w:val="00E02698"/>
    <w:rsid w:val="00E03074"/>
    <w:rsid w:val="00E04106"/>
    <w:rsid w:val="00E0480D"/>
    <w:rsid w:val="00E05630"/>
    <w:rsid w:val="00E066F4"/>
    <w:rsid w:val="00E0677C"/>
    <w:rsid w:val="00E0681D"/>
    <w:rsid w:val="00E06DBB"/>
    <w:rsid w:val="00E07893"/>
    <w:rsid w:val="00E079E0"/>
    <w:rsid w:val="00E10149"/>
    <w:rsid w:val="00E111D3"/>
    <w:rsid w:val="00E11340"/>
    <w:rsid w:val="00E122A1"/>
    <w:rsid w:val="00E12916"/>
    <w:rsid w:val="00E12BBF"/>
    <w:rsid w:val="00E146F7"/>
    <w:rsid w:val="00E1476D"/>
    <w:rsid w:val="00E14CE1"/>
    <w:rsid w:val="00E150DE"/>
    <w:rsid w:val="00E16079"/>
    <w:rsid w:val="00E16372"/>
    <w:rsid w:val="00E176F9"/>
    <w:rsid w:val="00E20A15"/>
    <w:rsid w:val="00E20A5D"/>
    <w:rsid w:val="00E20E4D"/>
    <w:rsid w:val="00E20ED6"/>
    <w:rsid w:val="00E21358"/>
    <w:rsid w:val="00E214E9"/>
    <w:rsid w:val="00E21CAA"/>
    <w:rsid w:val="00E2229F"/>
    <w:rsid w:val="00E2249B"/>
    <w:rsid w:val="00E22873"/>
    <w:rsid w:val="00E22A03"/>
    <w:rsid w:val="00E22A0D"/>
    <w:rsid w:val="00E23C7E"/>
    <w:rsid w:val="00E24146"/>
    <w:rsid w:val="00E244F6"/>
    <w:rsid w:val="00E2455D"/>
    <w:rsid w:val="00E24791"/>
    <w:rsid w:val="00E2678D"/>
    <w:rsid w:val="00E267DC"/>
    <w:rsid w:val="00E26A55"/>
    <w:rsid w:val="00E27134"/>
    <w:rsid w:val="00E27163"/>
    <w:rsid w:val="00E27266"/>
    <w:rsid w:val="00E2737A"/>
    <w:rsid w:val="00E2771E"/>
    <w:rsid w:val="00E30B68"/>
    <w:rsid w:val="00E310C0"/>
    <w:rsid w:val="00E311EF"/>
    <w:rsid w:val="00E31F14"/>
    <w:rsid w:val="00E32180"/>
    <w:rsid w:val="00E327C9"/>
    <w:rsid w:val="00E329F8"/>
    <w:rsid w:val="00E32DE0"/>
    <w:rsid w:val="00E34948"/>
    <w:rsid w:val="00E36673"/>
    <w:rsid w:val="00E37181"/>
    <w:rsid w:val="00E37569"/>
    <w:rsid w:val="00E375CA"/>
    <w:rsid w:val="00E401B2"/>
    <w:rsid w:val="00E40CB4"/>
    <w:rsid w:val="00E40E6E"/>
    <w:rsid w:val="00E41DDF"/>
    <w:rsid w:val="00E41DFF"/>
    <w:rsid w:val="00E41E30"/>
    <w:rsid w:val="00E42A78"/>
    <w:rsid w:val="00E42EA9"/>
    <w:rsid w:val="00E42F73"/>
    <w:rsid w:val="00E4346E"/>
    <w:rsid w:val="00E43822"/>
    <w:rsid w:val="00E43D70"/>
    <w:rsid w:val="00E449C4"/>
    <w:rsid w:val="00E45A79"/>
    <w:rsid w:val="00E45F64"/>
    <w:rsid w:val="00E4645F"/>
    <w:rsid w:val="00E466F3"/>
    <w:rsid w:val="00E47065"/>
    <w:rsid w:val="00E47B2C"/>
    <w:rsid w:val="00E50698"/>
    <w:rsid w:val="00E5078E"/>
    <w:rsid w:val="00E51560"/>
    <w:rsid w:val="00E51874"/>
    <w:rsid w:val="00E529EC"/>
    <w:rsid w:val="00E534CA"/>
    <w:rsid w:val="00E535A8"/>
    <w:rsid w:val="00E538E8"/>
    <w:rsid w:val="00E53B32"/>
    <w:rsid w:val="00E53FC8"/>
    <w:rsid w:val="00E54347"/>
    <w:rsid w:val="00E55424"/>
    <w:rsid w:val="00E55915"/>
    <w:rsid w:val="00E55BB5"/>
    <w:rsid w:val="00E56501"/>
    <w:rsid w:val="00E56643"/>
    <w:rsid w:val="00E5669A"/>
    <w:rsid w:val="00E56742"/>
    <w:rsid w:val="00E567DB"/>
    <w:rsid w:val="00E56930"/>
    <w:rsid w:val="00E56ACC"/>
    <w:rsid w:val="00E56B67"/>
    <w:rsid w:val="00E57282"/>
    <w:rsid w:val="00E57CE6"/>
    <w:rsid w:val="00E610FE"/>
    <w:rsid w:val="00E6241D"/>
    <w:rsid w:val="00E6340D"/>
    <w:rsid w:val="00E63690"/>
    <w:rsid w:val="00E638C7"/>
    <w:rsid w:val="00E63BAB"/>
    <w:rsid w:val="00E63E26"/>
    <w:rsid w:val="00E64A29"/>
    <w:rsid w:val="00E65645"/>
    <w:rsid w:val="00E657FF"/>
    <w:rsid w:val="00E65E79"/>
    <w:rsid w:val="00E664F7"/>
    <w:rsid w:val="00E66857"/>
    <w:rsid w:val="00E66BA2"/>
    <w:rsid w:val="00E67416"/>
    <w:rsid w:val="00E70540"/>
    <w:rsid w:val="00E70709"/>
    <w:rsid w:val="00E70C85"/>
    <w:rsid w:val="00E70CD3"/>
    <w:rsid w:val="00E7119B"/>
    <w:rsid w:val="00E714BD"/>
    <w:rsid w:val="00E718B6"/>
    <w:rsid w:val="00E72351"/>
    <w:rsid w:val="00E723BA"/>
    <w:rsid w:val="00E72486"/>
    <w:rsid w:val="00E727C5"/>
    <w:rsid w:val="00E72CC6"/>
    <w:rsid w:val="00E73581"/>
    <w:rsid w:val="00E73FC0"/>
    <w:rsid w:val="00E75D7D"/>
    <w:rsid w:val="00E75E4E"/>
    <w:rsid w:val="00E75F5B"/>
    <w:rsid w:val="00E75F72"/>
    <w:rsid w:val="00E760B3"/>
    <w:rsid w:val="00E7768C"/>
    <w:rsid w:val="00E777D6"/>
    <w:rsid w:val="00E77D36"/>
    <w:rsid w:val="00E80BD6"/>
    <w:rsid w:val="00E825F6"/>
    <w:rsid w:val="00E8299B"/>
    <w:rsid w:val="00E82EE7"/>
    <w:rsid w:val="00E82F8A"/>
    <w:rsid w:val="00E833F7"/>
    <w:rsid w:val="00E83615"/>
    <w:rsid w:val="00E83BDF"/>
    <w:rsid w:val="00E84B02"/>
    <w:rsid w:val="00E84CAA"/>
    <w:rsid w:val="00E85635"/>
    <w:rsid w:val="00E85AC0"/>
    <w:rsid w:val="00E85B52"/>
    <w:rsid w:val="00E8735E"/>
    <w:rsid w:val="00E87A1D"/>
    <w:rsid w:val="00E9094A"/>
    <w:rsid w:val="00E914C2"/>
    <w:rsid w:val="00E91569"/>
    <w:rsid w:val="00E91626"/>
    <w:rsid w:val="00E91D35"/>
    <w:rsid w:val="00E91F2D"/>
    <w:rsid w:val="00E91FB7"/>
    <w:rsid w:val="00E926A5"/>
    <w:rsid w:val="00E926C1"/>
    <w:rsid w:val="00E93D7C"/>
    <w:rsid w:val="00E940DA"/>
    <w:rsid w:val="00E9522D"/>
    <w:rsid w:val="00E96030"/>
    <w:rsid w:val="00E9622D"/>
    <w:rsid w:val="00E96369"/>
    <w:rsid w:val="00E963D0"/>
    <w:rsid w:val="00E96740"/>
    <w:rsid w:val="00E96FBB"/>
    <w:rsid w:val="00E97511"/>
    <w:rsid w:val="00EA0675"/>
    <w:rsid w:val="00EA108E"/>
    <w:rsid w:val="00EA17C3"/>
    <w:rsid w:val="00EA19A8"/>
    <w:rsid w:val="00EA246D"/>
    <w:rsid w:val="00EA28A4"/>
    <w:rsid w:val="00EA2CAA"/>
    <w:rsid w:val="00EA2F6C"/>
    <w:rsid w:val="00EA3864"/>
    <w:rsid w:val="00EA3D70"/>
    <w:rsid w:val="00EA446A"/>
    <w:rsid w:val="00EA4646"/>
    <w:rsid w:val="00EA486F"/>
    <w:rsid w:val="00EA4CD1"/>
    <w:rsid w:val="00EA4F2A"/>
    <w:rsid w:val="00EA5034"/>
    <w:rsid w:val="00EA6970"/>
    <w:rsid w:val="00EA795D"/>
    <w:rsid w:val="00EA7F1C"/>
    <w:rsid w:val="00EB04AB"/>
    <w:rsid w:val="00EB0D44"/>
    <w:rsid w:val="00EB114A"/>
    <w:rsid w:val="00EB1485"/>
    <w:rsid w:val="00EB15B6"/>
    <w:rsid w:val="00EB1CB6"/>
    <w:rsid w:val="00EB1CB7"/>
    <w:rsid w:val="00EB1EBE"/>
    <w:rsid w:val="00EB2AC7"/>
    <w:rsid w:val="00EB2E44"/>
    <w:rsid w:val="00EB345F"/>
    <w:rsid w:val="00EB379E"/>
    <w:rsid w:val="00EB388B"/>
    <w:rsid w:val="00EB3D06"/>
    <w:rsid w:val="00EB44B3"/>
    <w:rsid w:val="00EB4916"/>
    <w:rsid w:val="00EB4B81"/>
    <w:rsid w:val="00EB57E5"/>
    <w:rsid w:val="00EB5BF5"/>
    <w:rsid w:val="00EB6116"/>
    <w:rsid w:val="00EB64CD"/>
    <w:rsid w:val="00EB67CF"/>
    <w:rsid w:val="00EB6BFC"/>
    <w:rsid w:val="00EB6C72"/>
    <w:rsid w:val="00EB7E94"/>
    <w:rsid w:val="00EC00C9"/>
    <w:rsid w:val="00EC0DD9"/>
    <w:rsid w:val="00EC13AC"/>
    <w:rsid w:val="00EC1CB5"/>
    <w:rsid w:val="00EC2649"/>
    <w:rsid w:val="00EC288F"/>
    <w:rsid w:val="00EC31ED"/>
    <w:rsid w:val="00EC3EC8"/>
    <w:rsid w:val="00EC4947"/>
    <w:rsid w:val="00EC5471"/>
    <w:rsid w:val="00EC5836"/>
    <w:rsid w:val="00EC5A14"/>
    <w:rsid w:val="00EC5A84"/>
    <w:rsid w:val="00EC688C"/>
    <w:rsid w:val="00EC6A41"/>
    <w:rsid w:val="00EC6B7D"/>
    <w:rsid w:val="00EC6E6D"/>
    <w:rsid w:val="00EC70AF"/>
    <w:rsid w:val="00EC78B4"/>
    <w:rsid w:val="00EC7E07"/>
    <w:rsid w:val="00ED0763"/>
    <w:rsid w:val="00ED0A5C"/>
    <w:rsid w:val="00ED0AB2"/>
    <w:rsid w:val="00ED0B78"/>
    <w:rsid w:val="00ED0D2B"/>
    <w:rsid w:val="00ED1154"/>
    <w:rsid w:val="00ED1370"/>
    <w:rsid w:val="00ED1D4E"/>
    <w:rsid w:val="00ED1DF7"/>
    <w:rsid w:val="00ED395A"/>
    <w:rsid w:val="00ED3BD6"/>
    <w:rsid w:val="00ED3D95"/>
    <w:rsid w:val="00ED4AC8"/>
    <w:rsid w:val="00ED4F80"/>
    <w:rsid w:val="00ED57DF"/>
    <w:rsid w:val="00ED57EA"/>
    <w:rsid w:val="00ED5BD4"/>
    <w:rsid w:val="00ED606B"/>
    <w:rsid w:val="00ED638E"/>
    <w:rsid w:val="00ED6E1B"/>
    <w:rsid w:val="00ED76EB"/>
    <w:rsid w:val="00EE0230"/>
    <w:rsid w:val="00EE07D3"/>
    <w:rsid w:val="00EE0BB8"/>
    <w:rsid w:val="00EE131D"/>
    <w:rsid w:val="00EE1919"/>
    <w:rsid w:val="00EE1996"/>
    <w:rsid w:val="00EE1C01"/>
    <w:rsid w:val="00EE2247"/>
    <w:rsid w:val="00EE22AF"/>
    <w:rsid w:val="00EE2333"/>
    <w:rsid w:val="00EE276D"/>
    <w:rsid w:val="00EE2885"/>
    <w:rsid w:val="00EE33DC"/>
    <w:rsid w:val="00EE3CCB"/>
    <w:rsid w:val="00EE4466"/>
    <w:rsid w:val="00EE4A8D"/>
    <w:rsid w:val="00EE4E1E"/>
    <w:rsid w:val="00EE4EBD"/>
    <w:rsid w:val="00EE4F7B"/>
    <w:rsid w:val="00EE60F7"/>
    <w:rsid w:val="00EF0171"/>
    <w:rsid w:val="00EF0BC9"/>
    <w:rsid w:val="00EF0F01"/>
    <w:rsid w:val="00EF1B25"/>
    <w:rsid w:val="00EF1CF6"/>
    <w:rsid w:val="00EF1DA0"/>
    <w:rsid w:val="00EF1DE0"/>
    <w:rsid w:val="00EF2160"/>
    <w:rsid w:val="00EF2A89"/>
    <w:rsid w:val="00EF2C1D"/>
    <w:rsid w:val="00EF378F"/>
    <w:rsid w:val="00EF379D"/>
    <w:rsid w:val="00EF4275"/>
    <w:rsid w:val="00EF4747"/>
    <w:rsid w:val="00EF4BF8"/>
    <w:rsid w:val="00EF4DE3"/>
    <w:rsid w:val="00EF5567"/>
    <w:rsid w:val="00EF595F"/>
    <w:rsid w:val="00EF5EB8"/>
    <w:rsid w:val="00EF6676"/>
    <w:rsid w:val="00EF6D50"/>
    <w:rsid w:val="00EF74E6"/>
    <w:rsid w:val="00EF7DF4"/>
    <w:rsid w:val="00F01005"/>
    <w:rsid w:val="00F01D67"/>
    <w:rsid w:val="00F01DD0"/>
    <w:rsid w:val="00F02253"/>
    <w:rsid w:val="00F0229C"/>
    <w:rsid w:val="00F029D8"/>
    <w:rsid w:val="00F03A1C"/>
    <w:rsid w:val="00F03C2E"/>
    <w:rsid w:val="00F043DA"/>
    <w:rsid w:val="00F048A7"/>
    <w:rsid w:val="00F04A66"/>
    <w:rsid w:val="00F04B4B"/>
    <w:rsid w:val="00F04F7E"/>
    <w:rsid w:val="00F05017"/>
    <w:rsid w:val="00F0516C"/>
    <w:rsid w:val="00F054D3"/>
    <w:rsid w:val="00F05DA1"/>
    <w:rsid w:val="00F06315"/>
    <w:rsid w:val="00F067A2"/>
    <w:rsid w:val="00F06AC3"/>
    <w:rsid w:val="00F06D91"/>
    <w:rsid w:val="00F07170"/>
    <w:rsid w:val="00F07B1C"/>
    <w:rsid w:val="00F07B9E"/>
    <w:rsid w:val="00F10B3D"/>
    <w:rsid w:val="00F10DC5"/>
    <w:rsid w:val="00F1116F"/>
    <w:rsid w:val="00F11EB1"/>
    <w:rsid w:val="00F12137"/>
    <w:rsid w:val="00F1263A"/>
    <w:rsid w:val="00F133BA"/>
    <w:rsid w:val="00F134B3"/>
    <w:rsid w:val="00F13714"/>
    <w:rsid w:val="00F139B3"/>
    <w:rsid w:val="00F13B70"/>
    <w:rsid w:val="00F13FD4"/>
    <w:rsid w:val="00F142E6"/>
    <w:rsid w:val="00F14D5E"/>
    <w:rsid w:val="00F15A19"/>
    <w:rsid w:val="00F15B77"/>
    <w:rsid w:val="00F1631F"/>
    <w:rsid w:val="00F16CDF"/>
    <w:rsid w:val="00F204C4"/>
    <w:rsid w:val="00F20FE9"/>
    <w:rsid w:val="00F211C4"/>
    <w:rsid w:val="00F2154F"/>
    <w:rsid w:val="00F21F9E"/>
    <w:rsid w:val="00F233C9"/>
    <w:rsid w:val="00F2382D"/>
    <w:rsid w:val="00F23872"/>
    <w:rsid w:val="00F23C68"/>
    <w:rsid w:val="00F23DAC"/>
    <w:rsid w:val="00F2455F"/>
    <w:rsid w:val="00F24837"/>
    <w:rsid w:val="00F24B01"/>
    <w:rsid w:val="00F24C7B"/>
    <w:rsid w:val="00F24FE5"/>
    <w:rsid w:val="00F2575F"/>
    <w:rsid w:val="00F257EE"/>
    <w:rsid w:val="00F25D91"/>
    <w:rsid w:val="00F263FA"/>
    <w:rsid w:val="00F273ED"/>
    <w:rsid w:val="00F274ED"/>
    <w:rsid w:val="00F27565"/>
    <w:rsid w:val="00F30083"/>
    <w:rsid w:val="00F307D5"/>
    <w:rsid w:val="00F30C5C"/>
    <w:rsid w:val="00F310D4"/>
    <w:rsid w:val="00F311AF"/>
    <w:rsid w:val="00F315E3"/>
    <w:rsid w:val="00F317BD"/>
    <w:rsid w:val="00F31D5A"/>
    <w:rsid w:val="00F32E3B"/>
    <w:rsid w:val="00F3388F"/>
    <w:rsid w:val="00F33975"/>
    <w:rsid w:val="00F33DE9"/>
    <w:rsid w:val="00F33FA7"/>
    <w:rsid w:val="00F34232"/>
    <w:rsid w:val="00F34572"/>
    <w:rsid w:val="00F34865"/>
    <w:rsid w:val="00F34C97"/>
    <w:rsid w:val="00F3500E"/>
    <w:rsid w:val="00F35266"/>
    <w:rsid w:val="00F35E6D"/>
    <w:rsid w:val="00F35E8B"/>
    <w:rsid w:val="00F3619A"/>
    <w:rsid w:val="00F36206"/>
    <w:rsid w:val="00F36620"/>
    <w:rsid w:val="00F36FE3"/>
    <w:rsid w:val="00F40AAA"/>
    <w:rsid w:val="00F40B68"/>
    <w:rsid w:val="00F40BA7"/>
    <w:rsid w:val="00F40F9D"/>
    <w:rsid w:val="00F41266"/>
    <w:rsid w:val="00F4157D"/>
    <w:rsid w:val="00F41ACD"/>
    <w:rsid w:val="00F42BAB"/>
    <w:rsid w:val="00F43C66"/>
    <w:rsid w:val="00F43D12"/>
    <w:rsid w:val="00F43D4E"/>
    <w:rsid w:val="00F45262"/>
    <w:rsid w:val="00F45AA6"/>
    <w:rsid w:val="00F4617D"/>
    <w:rsid w:val="00F46A0D"/>
    <w:rsid w:val="00F46CB6"/>
    <w:rsid w:val="00F46F87"/>
    <w:rsid w:val="00F4756D"/>
    <w:rsid w:val="00F4799C"/>
    <w:rsid w:val="00F47ACE"/>
    <w:rsid w:val="00F47BB3"/>
    <w:rsid w:val="00F47DE8"/>
    <w:rsid w:val="00F50B92"/>
    <w:rsid w:val="00F50D2D"/>
    <w:rsid w:val="00F50D75"/>
    <w:rsid w:val="00F51777"/>
    <w:rsid w:val="00F51A2F"/>
    <w:rsid w:val="00F523DE"/>
    <w:rsid w:val="00F530D4"/>
    <w:rsid w:val="00F5317D"/>
    <w:rsid w:val="00F536EF"/>
    <w:rsid w:val="00F537DC"/>
    <w:rsid w:val="00F54191"/>
    <w:rsid w:val="00F542C1"/>
    <w:rsid w:val="00F549AF"/>
    <w:rsid w:val="00F55BF0"/>
    <w:rsid w:val="00F55E73"/>
    <w:rsid w:val="00F55EDA"/>
    <w:rsid w:val="00F564DF"/>
    <w:rsid w:val="00F56C22"/>
    <w:rsid w:val="00F56C80"/>
    <w:rsid w:val="00F5752F"/>
    <w:rsid w:val="00F576CE"/>
    <w:rsid w:val="00F57F8F"/>
    <w:rsid w:val="00F60092"/>
    <w:rsid w:val="00F606A8"/>
    <w:rsid w:val="00F60C37"/>
    <w:rsid w:val="00F610B7"/>
    <w:rsid w:val="00F611A3"/>
    <w:rsid w:val="00F61C14"/>
    <w:rsid w:val="00F61C18"/>
    <w:rsid w:val="00F62291"/>
    <w:rsid w:val="00F62C72"/>
    <w:rsid w:val="00F62DD5"/>
    <w:rsid w:val="00F659D6"/>
    <w:rsid w:val="00F65EE7"/>
    <w:rsid w:val="00F65F4B"/>
    <w:rsid w:val="00F660D3"/>
    <w:rsid w:val="00F6637C"/>
    <w:rsid w:val="00F663A9"/>
    <w:rsid w:val="00F66969"/>
    <w:rsid w:val="00F66DD2"/>
    <w:rsid w:val="00F672A1"/>
    <w:rsid w:val="00F67A69"/>
    <w:rsid w:val="00F67EA4"/>
    <w:rsid w:val="00F70BFF"/>
    <w:rsid w:val="00F70C9D"/>
    <w:rsid w:val="00F7213A"/>
    <w:rsid w:val="00F729A9"/>
    <w:rsid w:val="00F72CAF"/>
    <w:rsid w:val="00F731A3"/>
    <w:rsid w:val="00F74CD9"/>
    <w:rsid w:val="00F76BE3"/>
    <w:rsid w:val="00F802CA"/>
    <w:rsid w:val="00F80A7B"/>
    <w:rsid w:val="00F80E5D"/>
    <w:rsid w:val="00F815ED"/>
    <w:rsid w:val="00F81E78"/>
    <w:rsid w:val="00F8206F"/>
    <w:rsid w:val="00F8258A"/>
    <w:rsid w:val="00F834B4"/>
    <w:rsid w:val="00F83636"/>
    <w:rsid w:val="00F851CE"/>
    <w:rsid w:val="00F85275"/>
    <w:rsid w:val="00F86DE6"/>
    <w:rsid w:val="00F87744"/>
    <w:rsid w:val="00F87D86"/>
    <w:rsid w:val="00F907C6"/>
    <w:rsid w:val="00F90DE3"/>
    <w:rsid w:val="00F91219"/>
    <w:rsid w:val="00F91F08"/>
    <w:rsid w:val="00F920E4"/>
    <w:rsid w:val="00F92360"/>
    <w:rsid w:val="00F92444"/>
    <w:rsid w:val="00F92551"/>
    <w:rsid w:val="00F927D8"/>
    <w:rsid w:val="00F9347B"/>
    <w:rsid w:val="00F93826"/>
    <w:rsid w:val="00F93836"/>
    <w:rsid w:val="00F9393E"/>
    <w:rsid w:val="00F93BC7"/>
    <w:rsid w:val="00F93FE9"/>
    <w:rsid w:val="00F9474B"/>
    <w:rsid w:val="00F9511B"/>
    <w:rsid w:val="00F95D55"/>
    <w:rsid w:val="00F966B3"/>
    <w:rsid w:val="00F96D19"/>
    <w:rsid w:val="00F96FD0"/>
    <w:rsid w:val="00F97452"/>
    <w:rsid w:val="00F979B5"/>
    <w:rsid w:val="00F97A78"/>
    <w:rsid w:val="00F97CD2"/>
    <w:rsid w:val="00FA048C"/>
    <w:rsid w:val="00FA0B20"/>
    <w:rsid w:val="00FA0F57"/>
    <w:rsid w:val="00FA1182"/>
    <w:rsid w:val="00FA12D6"/>
    <w:rsid w:val="00FA227F"/>
    <w:rsid w:val="00FA24E7"/>
    <w:rsid w:val="00FA35D7"/>
    <w:rsid w:val="00FA388E"/>
    <w:rsid w:val="00FA39BE"/>
    <w:rsid w:val="00FA3E6D"/>
    <w:rsid w:val="00FA4B16"/>
    <w:rsid w:val="00FA5D11"/>
    <w:rsid w:val="00FA5E0B"/>
    <w:rsid w:val="00FA5EE6"/>
    <w:rsid w:val="00FA5FE0"/>
    <w:rsid w:val="00FA61EC"/>
    <w:rsid w:val="00FA64CD"/>
    <w:rsid w:val="00FA70DC"/>
    <w:rsid w:val="00FA7116"/>
    <w:rsid w:val="00FA75EA"/>
    <w:rsid w:val="00FA7956"/>
    <w:rsid w:val="00FB04F1"/>
    <w:rsid w:val="00FB0773"/>
    <w:rsid w:val="00FB1ADE"/>
    <w:rsid w:val="00FB1B85"/>
    <w:rsid w:val="00FB2276"/>
    <w:rsid w:val="00FB2909"/>
    <w:rsid w:val="00FB2B8F"/>
    <w:rsid w:val="00FB2FCB"/>
    <w:rsid w:val="00FB303E"/>
    <w:rsid w:val="00FB3998"/>
    <w:rsid w:val="00FB4205"/>
    <w:rsid w:val="00FB427A"/>
    <w:rsid w:val="00FB4801"/>
    <w:rsid w:val="00FB489B"/>
    <w:rsid w:val="00FB52FB"/>
    <w:rsid w:val="00FB5486"/>
    <w:rsid w:val="00FB6198"/>
    <w:rsid w:val="00FB76C0"/>
    <w:rsid w:val="00FB7C55"/>
    <w:rsid w:val="00FC075F"/>
    <w:rsid w:val="00FC1074"/>
    <w:rsid w:val="00FC1884"/>
    <w:rsid w:val="00FC1E5C"/>
    <w:rsid w:val="00FC219E"/>
    <w:rsid w:val="00FC22FB"/>
    <w:rsid w:val="00FC3587"/>
    <w:rsid w:val="00FC371D"/>
    <w:rsid w:val="00FC43A9"/>
    <w:rsid w:val="00FC56E7"/>
    <w:rsid w:val="00FC5965"/>
    <w:rsid w:val="00FC5A0C"/>
    <w:rsid w:val="00FC5B77"/>
    <w:rsid w:val="00FC5F0B"/>
    <w:rsid w:val="00FC67C3"/>
    <w:rsid w:val="00FC6D26"/>
    <w:rsid w:val="00FC769E"/>
    <w:rsid w:val="00FD16F6"/>
    <w:rsid w:val="00FD1C09"/>
    <w:rsid w:val="00FD2100"/>
    <w:rsid w:val="00FD253C"/>
    <w:rsid w:val="00FD436C"/>
    <w:rsid w:val="00FD446D"/>
    <w:rsid w:val="00FD4F2C"/>
    <w:rsid w:val="00FD61A8"/>
    <w:rsid w:val="00FD6394"/>
    <w:rsid w:val="00FD7F18"/>
    <w:rsid w:val="00FE0831"/>
    <w:rsid w:val="00FE0E6C"/>
    <w:rsid w:val="00FE0FF7"/>
    <w:rsid w:val="00FE11CD"/>
    <w:rsid w:val="00FE19FB"/>
    <w:rsid w:val="00FE1A16"/>
    <w:rsid w:val="00FE1CDC"/>
    <w:rsid w:val="00FE203D"/>
    <w:rsid w:val="00FE2E04"/>
    <w:rsid w:val="00FE3BDF"/>
    <w:rsid w:val="00FE5025"/>
    <w:rsid w:val="00FE55C9"/>
    <w:rsid w:val="00FE70C3"/>
    <w:rsid w:val="00FE7AAF"/>
    <w:rsid w:val="00FE7DBE"/>
    <w:rsid w:val="00FF0593"/>
    <w:rsid w:val="00FF083B"/>
    <w:rsid w:val="00FF114B"/>
    <w:rsid w:val="00FF1490"/>
    <w:rsid w:val="00FF233C"/>
    <w:rsid w:val="00FF23C4"/>
    <w:rsid w:val="00FF269A"/>
    <w:rsid w:val="00FF2AD9"/>
    <w:rsid w:val="00FF2C87"/>
    <w:rsid w:val="00FF32AB"/>
    <w:rsid w:val="00FF359F"/>
    <w:rsid w:val="00FF3DCF"/>
    <w:rsid w:val="00FF3DFE"/>
    <w:rsid w:val="00FF492C"/>
    <w:rsid w:val="00FF4A21"/>
    <w:rsid w:val="00FF4AFA"/>
    <w:rsid w:val="00FF4B19"/>
    <w:rsid w:val="00FF549D"/>
    <w:rsid w:val="00FF5AA3"/>
    <w:rsid w:val="00FF5AD8"/>
    <w:rsid w:val="00FF5B4A"/>
    <w:rsid w:val="00FF6771"/>
    <w:rsid w:val="00FF68DD"/>
    <w:rsid w:val="00FF6C7D"/>
    <w:rsid w:val="00FF6C84"/>
    <w:rsid w:val="00FF6F3A"/>
    <w:rsid w:val="00FF7021"/>
    <w:rsid w:val="00FF784B"/>
    <w:rsid w:val="00FF79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D1"/>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Caption Char1,Caption Char Char,Char Char Char,Char Char1,Table caption,IB Caption,Medical Caption,Medical Caption Char,Caption Char1 Char Char,Caption Char Char Char Char,Caption Char Char Char Char Char,Caption Char1 Char1,c,Caption 3,appendix"/>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har Char Char Char,Char Char1 Char,Table caption Char,IB Caption Char,Medical Caption Char1,Medical Caption Char Char,Caption Char1 Char Char Char,Caption Char Char Char Char Char1,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1,Table Legend,ES Paragraph,PBAC ES Paragraph,PBAC normal points,Bullet List"/>
    <w:next w:val="ListBullet"/>
    <w:link w:val="ListParagraphChar"/>
    <w:uiPriority w:val="34"/>
    <w:qFormat/>
    <w:rsid w:val="00BB00B3"/>
    <w:pPr>
      <w:numPr>
        <w:numId w:val="3"/>
      </w:numPr>
      <w:spacing w:after="120"/>
      <w:ind w:left="7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numbering" w:customStyle="1" w:styleId="Lists">
    <w:name w:val="Lists"/>
    <w:uiPriority w:val="99"/>
    <w:rsid w:val="00C6274A"/>
    <w:pPr>
      <w:numPr>
        <w:numId w:val="6"/>
      </w:numPr>
    </w:pPr>
  </w:style>
  <w:style w:type="paragraph" w:customStyle="1" w:styleId="Body">
    <w:name w:val="Body"/>
    <w:basedOn w:val="BodyText"/>
    <w:link w:val="BodyChar"/>
    <w:qFormat/>
    <w:rsid w:val="008231EA"/>
    <w:pPr>
      <w:spacing w:after="120"/>
      <w:jc w:val="both"/>
    </w:pPr>
    <w:rPr>
      <w:rFonts w:ascii="Arial" w:hAnsi="Arial" w:cs="Times New Roman"/>
      <w:sz w:val="20"/>
      <w:szCs w:val="20"/>
      <w:lang w:val="en-GB" w:eastAsia="en-US"/>
    </w:rPr>
  </w:style>
  <w:style w:type="character" w:customStyle="1" w:styleId="BodyChar">
    <w:name w:val="Body Char"/>
    <w:basedOn w:val="DefaultParagraphFont"/>
    <w:link w:val="Body"/>
    <w:rsid w:val="008231EA"/>
    <w:rPr>
      <w:rFonts w:ascii="Arial" w:hAnsi="Arial"/>
      <w:lang w:val="en-GB" w:eastAsia="en-US"/>
    </w:rPr>
  </w:style>
  <w:style w:type="character" w:customStyle="1" w:styleId="TableTextChar1">
    <w:name w:val="TableText Char"/>
    <w:link w:val="TableText1"/>
    <w:locked/>
    <w:rsid w:val="00BD0BD3"/>
    <w:rPr>
      <w:rFonts w:ascii="Arial Narrow" w:hAnsi="Arial Narrow" w:cs="Arial Narrow"/>
      <w:lang w:eastAsia="en-US"/>
    </w:rPr>
  </w:style>
  <w:style w:type="paragraph" w:customStyle="1" w:styleId="TableText1">
    <w:name w:val="TableText"/>
    <w:basedOn w:val="Normal"/>
    <w:link w:val="TableTextChar1"/>
    <w:qFormat/>
    <w:rsid w:val="00BD0BD3"/>
    <w:pPr>
      <w:keepNext/>
      <w:jc w:val="left"/>
    </w:pPr>
    <w:rPr>
      <w:rFonts w:ascii="Arial Narrow" w:hAnsi="Arial Narrow" w:cs="Arial Narrow"/>
      <w:sz w:val="20"/>
      <w:szCs w:val="20"/>
      <w:lang w:eastAsia="en-US"/>
    </w:rPr>
  </w:style>
  <w:style w:type="paragraph" w:styleId="FootnoteText">
    <w:name w:val="footnote text"/>
    <w:basedOn w:val="Normal"/>
    <w:link w:val="FootnoteTextChar"/>
    <w:semiHidden/>
    <w:unhideWhenUsed/>
    <w:rsid w:val="003B688A"/>
    <w:rPr>
      <w:sz w:val="20"/>
      <w:szCs w:val="20"/>
    </w:rPr>
  </w:style>
  <w:style w:type="character" w:customStyle="1" w:styleId="FootnoteTextChar">
    <w:name w:val="Footnote Text Char"/>
    <w:basedOn w:val="DefaultParagraphFont"/>
    <w:link w:val="FootnoteText"/>
    <w:semiHidden/>
    <w:rsid w:val="003B688A"/>
    <w:rPr>
      <w:rFonts w:ascii="Calibri" w:hAnsi="Calibri" w:cs="Arial"/>
    </w:rPr>
  </w:style>
  <w:style w:type="character" w:styleId="FootnoteReference">
    <w:name w:val="footnote reference"/>
    <w:basedOn w:val="DefaultParagraphFont"/>
    <w:semiHidden/>
    <w:unhideWhenUsed/>
    <w:rsid w:val="003B688A"/>
    <w:rPr>
      <w:vertAlign w:val="superscript"/>
    </w:rPr>
  </w:style>
  <w:style w:type="paragraph" w:customStyle="1" w:styleId="cs2654ae3a">
    <w:name w:val="cs2654ae3a"/>
    <w:basedOn w:val="Normal"/>
    <w:rsid w:val="0023758E"/>
    <w:pPr>
      <w:jc w:val="left"/>
    </w:pPr>
    <w:rPr>
      <w:rFonts w:ascii="Times New Roman" w:hAnsi="Times New Roman" w:cs="Times New Roman"/>
    </w:rPr>
  </w:style>
  <w:style w:type="character" w:customStyle="1" w:styleId="csa33de6751">
    <w:name w:val="csa33de6751"/>
    <w:basedOn w:val="DefaultParagraphFont"/>
    <w:rsid w:val="0023758E"/>
    <w:rPr>
      <w:rFonts w:ascii="Calibri" w:hAnsi="Calibri" w:cs="Calibri" w:hint="default"/>
      <w:b w:val="0"/>
      <w:bCs w:val="0"/>
      <w:i w:val="0"/>
      <w:iCs w:val="0"/>
      <w:color w:val="000000"/>
      <w:sz w:val="20"/>
      <w:szCs w:val="20"/>
      <w:shd w:val="clear" w:color="auto" w:fill="auto"/>
    </w:rPr>
  </w:style>
  <w:style w:type="paragraph" w:customStyle="1" w:styleId="Triangle">
    <w:name w:val="Triangle"/>
    <w:basedOn w:val="Normal"/>
    <w:uiPriority w:val="99"/>
    <w:rsid w:val="00B65A74"/>
    <w:pPr>
      <w:numPr>
        <w:ilvl w:val="3"/>
        <w:numId w:val="8"/>
      </w:numPr>
      <w:spacing w:before="120" w:after="40"/>
      <w:jc w:val="left"/>
    </w:pPr>
    <w:rPr>
      <w:rFonts w:ascii="Arial" w:eastAsiaTheme="minorHAnsi" w:hAnsi="Arial" w:cs="Calibri"/>
      <w:sz w:val="20"/>
      <w:szCs w:val="20"/>
      <w:lang w:val="en-US" w:eastAsia="en-US"/>
    </w:rPr>
  </w:style>
  <w:style w:type="paragraph" w:customStyle="1" w:styleId="TableBodyText-H54">
    <w:name w:val="Table Body Text - H54"/>
    <w:basedOn w:val="BodyText"/>
    <w:link w:val="TableBodyText-H54Char"/>
    <w:qFormat/>
    <w:rsid w:val="00B65A74"/>
    <w:pPr>
      <w:keepLines/>
      <w:widowControl w:val="0"/>
      <w:spacing w:before="40" w:after="40"/>
    </w:pPr>
    <w:rPr>
      <w:rFonts w:ascii="Arial" w:hAnsi="Arial" w:cs="Times New Roman"/>
      <w:color w:val="000000" w:themeColor="text1"/>
      <w:sz w:val="16"/>
      <w:szCs w:val="20"/>
      <w:lang w:val="en-GB" w:eastAsia="en-US"/>
    </w:rPr>
  </w:style>
  <w:style w:type="character" w:customStyle="1" w:styleId="TableBodyText-H54Char">
    <w:name w:val="Table Body Text - H54 Char"/>
    <w:basedOn w:val="DefaultParagraphFont"/>
    <w:link w:val="TableBodyText-H54"/>
    <w:rsid w:val="00B65A74"/>
    <w:rPr>
      <w:rFonts w:ascii="Arial" w:hAnsi="Arial"/>
      <w:color w:val="000000" w:themeColor="text1"/>
      <w:sz w:val="16"/>
      <w:lang w:val="en-GB" w:eastAsia="en-US"/>
    </w:rPr>
  </w:style>
  <w:style w:type="paragraph" w:styleId="EndnoteText">
    <w:name w:val="endnote text"/>
    <w:basedOn w:val="Normal"/>
    <w:link w:val="EndnoteTextChar"/>
    <w:semiHidden/>
    <w:unhideWhenUsed/>
    <w:rsid w:val="00F672A1"/>
    <w:rPr>
      <w:sz w:val="20"/>
      <w:szCs w:val="20"/>
    </w:rPr>
  </w:style>
  <w:style w:type="character" w:customStyle="1" w:styleId="EndnoteTextChar">
    <w:name w:val="Endnote Text Char"/>
    <w:basedOn w:val="DefaultParagraphFont"/>
    <w:link w:val="EndnoteText"/>
    <w:semiHidden/>
    <w:rsid w:val="00F672A1"/>
    <w:rPr>
      <w:rFonts w:ascii="Calibri" w:hAnsi="Calibri" w:cs="Arial"/>
    </w:rPr>
  </w:style>
  <w:style w:type="character" w:styleId="EndnoteReference">
    <w:name w:val="endnote reference"/>
    <w:basedOn w:val="DefaultParagraphFont"/>
    <w:semiHidden/>
    <w:unhideWhenUsed/>
    <w:rsid w:val="00F672A1"/>
    <w:rPr>
      <w:vertAlign w:val="superscript"/>
    </w:rPr>
  </w:style>
  <w:style w:type="paragraph" w:customStyle="1" w:styleId="Style3">
    <w:name w:val="Style3"/>
    <w:basedOn w:val="Normal"/>
    <w:next w:val="Heading2"/>
    <w:rsid w:val="00A34332"/>
    <w:pPr>
      <w:spacing w:line="264" w:lineRule="auto"/>
      <w:jc w:val="left"/>
    </w:pPr>
    <w:rPr>
      <w:rFonts w:ascii="Arial" w:hAnsi="Arial"/>
      <w:b/>
      <w:sz w:val="28"/>
      <w:szCs w:val="28"/>
      <w:lang w:eastAsia="en-US" w:bidi="en-US"/>
    </w:rPr>
  </w:style>
  <w:style w:type="table" w:customStyle="1" w:styleId="Summarybox6">
    <w:name w:val="Summary box6"/>
    <w:basedOn w:val="TableNormal"/>
    <w:next w:val="TableGrid"/>
    <w:uiPriority w:val="59"/>
    <w:rsid w:val="006515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1531"/>
    <w:pPr>
      <w:autoSpaceDE w:val="0"/>
      <w:autoSpaceDN w:val="0"/>
      <w:adjustRightInd w:val="0"/>
    </w:pPr>
    <w:rPr>
      <w:rFonts w:ascii="Calibri" w:hAnsi="Calibri" w:cs="Calibri"/>
      <w:color w:val="000000"/>
      <w:sz w:val="24"/>
      <w:szCs w:val="24"/>
    </w:rPr>
  </w:style>
  <w:style w:type="paragraph" w:customStyle="1" w:styleId="Bullettext">
    <w:name w:val="Bullet text"/>
    <w:link w:val="BullettextChar"/>
    <w:qFormat/>
    <w:rsid w:val="00651531"/>
    <w:pPr>
      <w:numPr>
        <w:numId w:val="12"/>
      </w:numPr>
      <w:spacing w:before="120" w:line="276" w:lineRule="auto"/>
      <w:contextualSpacing/>
    </w:pPr>
    <w:rPr>
      <w:rFonts w:asciiTheme="minorHAnsi" w:eastAsia="Calibri" w:hAnsiTheme="minorHAnsi"/>
      <w:sz w:val="24"/>
      <w:szCs w:val="24"/>
      <w:lang w:eastAsia="en-US"/>
    </w:rPr>
  </w:style>
  <w:style w:type="character" w:customStyle="1" w:styleId="BullettextChar">
    <w:name w:val="Bullet text Char"/>
    <w:link w:val="Bullettext"/>
    <w:rsid w:val="00651531"/>
    <w:rPr>
      <w:rFonts w:asciiTheme="minorHAnsi" w:eastAsia="Calibri" w:hAnsiTheme="minorHAnsi"/>
      <w:sz w:val="24"/>
      <w:szCs w:val="24"/>
      <w:lang w:eastAsia="en-US"/>
    </w:rPr>
  </w:style>
  <w:style w:type="paragraph" w:customStyle="1" w:styleId="EndNoteBibliography">
    <w:name w:val="EndNote Bibliography"/>
    <w:basedOn w:val="Normal"/>
    <w:link w:val="EndNoteBibliographyChar"/>
    <w:rsid w:val="00651531"/>
    <w:pPr>
      <w:spacing w:after="120" w:line="240" w:lineRule="exact"/>
      <w:ind w:left="720" w:hanging="720"/>
      <w:jc w:val="left"/>
    </w:pPr>
    <w:rPr>
      <w:rFonts w:ascii="Arial" w:eastAsiaTheme="minorHAnsi" w:hAnsi="Arial"/>
      <w:noProof/>
      <w:lang w:val="en-US" w:eastAsia="en-US"/>
    </w:rPr>
  </w:style>
  <w:style w:type="character" w:customStyle="1" w:styleId="EndNoteBibliographyChar">
    <w:name w:val="EndNote Bibliography Char"/>
    <w:basedOn w:val="ListParagraphChar"/>
    <w:link w:val="EndNoteBibliography"/>
    <w:rsid w:val="00651531"/>
    <w:rPr>
      <w:rFonts w:ascii="Arial" w:eastAsiaTheme="minorHAnsi" w:hAnsi="Arial" w:cs="Arial"/>
      <w:noProof/>
      <w:snapToGrid/>
      <w:sz w:val="24"/>
      <w:szCs w:val="24"/>
      <w:lang w:val="en-US" w:eastAsia="en-US"/>
    </w:rPr>
  </w:style>
  <w:style w:type="paragraph" w:customStyle="1" w:styleId="bullet">
    <w:name w:val="bullet"/>
    <w:basedOn w:val="ListParagraph"/>
    <w:link w:val="bulletChar"/>
    <w:qFormat/>
    <w:rsid w:val="006C1AF6"/>
    <w:pPr>
      <w:numPr>
        <w:numId w:val="24"/>
      </w:numPr>
    </w:pPr>
    <w:rPr>
      <w:rFonts w:ascii="Calibri" w:hAnsi="Calibri" w:cstheme="minorBidi"/>
      <w:i/>
      <w:snapToGrid/>
      <w:sz w:val="22"/>
      <w:szCs w:val="22"/>
      <w:lang w:eastAsia="en-US"/>
    </w:rPr>
  </w:style>
  <w:style w:type="character" w:customStyle="1" w:styleId="bulletChar">
    <w:name w:val="bullet Char"/>
    <w:basedOn w:val="ListParagraphChar"/>
    <w:link w:val="bullet"/>
    <w:rsid w:val="006C1AF6"/>
    <w:rPr>
      <w:rFonts w:ascii="Calibri" w:hAnsi="Calibri" w:cstheme="minorBidi"/>
      <w:i/>
      <w:snapToGrid/>
      <w:sz w:val="22"/>
      <w:szCs w:val="22"/>
      <w:lang w:eastAsia="en-US"/>
    </w:rPr>
  </w:style>
  <w:style w:type="paragraph" w:customStyle="1" w:styleId="3Bodytext">
    <w:name w:val="3. Body text"/>
    <w:basedOn w:val="ListParagraph"/>
    <w:qFormat/>
    <w:rsid w:val="00CB5EF9"/>
    <w:pPr>
      <w:numPr>
        <w:numId w:val="0"/>
      </w:numPr>
      <w:ind w:left="720" w:hanging="720"/>
      <w:jc w:val="left"/>
    </w:pPr>
    <w:rPr>
      <w:rFonts w:eastAsiaTheme="minorHAnsi" w:cstheme="minorBidi"/>
      <w:snapToGrid/>
      <w:szCs w:val="22"/>
    </w:rPr>
  </w:style>
  <w:style w:type="paragraph" w:customStyle="1" w:styleId="MinorOVRHeader">
    <w:name w:val="Minor OVR Header"/>
    <w:basedOn w:val="Header"/>
    <w:link w:val="MinorOVRHeaderChar"/>
    <w:rsid w:val="009A20E7"/>
    <w:pPr>
      <w:jc w:val="right"/>
    </w:pPr>
    <w:rPr>
      <w:rFonts w:asciiTheme="minorHAnsi" w:hAnsiTheme="minorHAnsi"/>
    </w:rPr>
  </w:style>
  <w:style w:type="character" w:customStyle="1" w:styleId="MinorOVRHeaderChar">
    <w:name w:val="Minor OVR Header Char"/>
    <w:basedOn w:val="HeaderChar"/>
    <w:link w:val="MinorOVRHeader"/>
    <w:rsid w:val="009A20E7"/>
    <w:rPr>
      <w:rFonts w:asciiTheme="minorHAnsi" w:hAnsiTheme="minorHAnsi" w:cs="Arial"/>
      <w:sz w:val="24"/>
      <w:szCs w:val="24"/>
    </w:rPr>
  </w:style>
  <w:style w:type="paragraph" w:customStyle="1" w:styleId="2Sections">
    <w:name w:val="2. Sections"/>
    <w:qFormat/>
    <w:rsid w:val="009A20E7"/>
    <w:pPr>
      <w:spacing w:before="240" w:after="120"/>
      <w:outlineLvl w:val="0"/>
    </w:pPr>
    <w:rPr>
      <w:rFonts w:asciiTheme="minorHAnsi" w:hAnsiTheme="minorHAnsi" w:cs="Arial"/>
      <w:b/>
      <w:snapToGrid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8495453">
      <w:bodyDiv w:val="1"/>
      <w:marLeft w:val="0"/>
      <w:marRight w:val="0"/>
      <w:marTop w:val="0"/>
      <w:marBottom w:val="0"/>
      <w:divBdr>
        <w:top w:val="none" w:sz="0" w:space="0" w:color="auto"/>
        <w:left w:val="none" w:sz="0" w:space="0" w:color="auto"/>
        <w:bottom w:val="none" w:sz="0" w:space="0" w:color="auto"/>
        <w:right w:val="none" w:sz="0" w:space="0" w:color="auto"/>
      </w:divBdr>
      <w:divsChild>
        <w:div w:id="509298933">
          <w:marLeft w:val="0"/>
          <w:marRight w:val="0"/>
          <w:marTop w:val="0"/>
          <w:marBottom w:val="0"/>
          <w:divBdr>
            <w:top w:val="none" w:sz="0" w:space="0" w:color="auto"/>
            <w:left w:val="none" w:sz="0" w:space="0" w:color="auto"/>
            <w:bottom w:val="none" w:sz="0" w:space="0" w:color="auto"/>
            <w:right w:val="none" w:sz="0" w:space="0" w:color="auto"/>
          </w:divBdr>
          <w:divsChild>
            <w:div w:id="1420103588">
              <w:marLeft w:val="0"/>
              <w:marRight w:val="0"/>
              <w:marTop w:val="0"/>
              <w:marBottom w:val="0"/>
              <w:divBdr>
                <w:top w:val="none" w:sz="0" w:space="0" w:color="auto"/>
                <w:left w:val="none" w:sz="0" w:space="0" w:color="auto"/>
                <w:bottom w:val="none" w:sz="0" w:space="0" w:color="auto"/>
                <w:right w:val="none" w:sz="0" w:space="0" w:color="auto"/>
              </w:divBdr>
              <w:divsChild>
                <w:div w:id="2068263451">
                  <w:marLeft w:val="0"/>
                  <w:marRight w:val="0"/>
                  <w:marTop w:val="0"/>
                  <w:marBottom w:val="0"/>
                  <w:divBdr>
                    <w:top w:val="none" w:sz="0" w:space="0" w:color="auto"/>
                    <w:left w:val="none" w:sz="0" w:space="0" w:color="auto"/>
                    <w:bottom w:val="none" w:sz="0" w:space="0" w:color="auto"/>
                    <w:right w:val="none" w:sz="0" w:space="0" w:color="auto"/>
                  </w:divBdr>
                  <w:divsChild>
                    <w:div w:id="287274710">
                      <w:marLeft w:val="0"/>
                      <w:marRight w:val="0"/>
                      <w:marTop w:val="0"/>
                      <w:marBottom w:val="0"/>
                      <w:divBdr>
                        <w:top w:val="none" w:sz="0" w:space="0" w:color="auto"/>
                        <w:left w:val="none" w:sz="0" w:space="0" w:color="auto"/>
                        <w:bottom w:val="none" w:sz="0" w:space="0" w:color="auto"/>
                        <w:right w:val="none" w:sz="0" w:space="0" w:color="auto"/>
                      </w:divBdr>
                      <w:divsChild>
                        <w:div w:id="2019841604">
                          <w:marLeft w:val="0"/>
                          <w:marRight w:val="0"/>
                          <w:marTop w:val="0"/>
                          <w:marBottom w:val="0"/>
                          <w:divBdr>
                            <w:top w:val="none" w:sz="0" w:space="0" w:color="auto"/>
                            <w:left w:val="none" w:sz="0" w:space="0" w:color="auto"/>
                            <w:bottom w:val="none" w:sz="0" w:space="0" w:color="auto"/>
                            <w:right w:val="none" w:sz="0" w:space="0" w:color="auto"/>
                          </w:divBdr>
                          <w:divsChild>
                            <w:div w:id="16225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7330639">
      <w:bodyDiv w:val="1"/>
      <w:marLeft w:val="0"/>
      <w:marRight w:val="0"/>
      <w:marTop w:val="0"/>
      <w:marBottom w:val="0"/>
      <w:divBdr>
        <w:top w:val="none" w:sz="0" w:space="0" w:color="auto"/>
        <w:left w:val="none" w:sz="0" w:space="0" w:color="auto"/>
        <w:bottom w:val="none" w:sz="0" w:space="0" w:color="auto"/>
        <w:right w:val="none" w:sz="0" w:space="0" w:color="auto"/>
      </w:divBdr>
    </w:div>
    <w:div w:id="27082028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4044672">
      <w:bodyDiv w:val="1"/>
      <w:marLeft w:val="0"/>
      <w:marRight w:val="0"/>
      <w:marTop w:val="0"/>
      <w:marBottom w:val="0"/>
      <w:divBdr>
        <w:top w:val="none" w:sz="0" w:space="0" w:color="auto"/>
        <w:left w:val="none" w:sz="0" w:space="0" w:color="auto"/>
        <w:bottom w:val="none" w:sz="0" w:space="0" w:color="auto"/>
        <w:right w:val="none" w:sz="0" w:space="0" w:color="auto"/>
      </w:divBdr>
    </w:div>
    <w:div w:id="859011646">
      <w:bodyDiv w:val="1"/>
      <w:marLeft w:val="0"/>
      <w:marRight w:val="0"/>
      <w:marTop w:val="0"/>
      <w:marBottom w:val="0"/>
      <w:divBdr>
        <w:top w:val="none" w:sz="0" w:space="0" w:color="auto"/>
        <w:left w:val="none" w:sz="0" w:space="0" w:color="auto"/>
        <w:bottom w:val="none" w:sz="0" w:space="0" w:color="auto"/>
        <w:right w:val="none" w:sz="0" w:space="0" w:color="auto"/>
      </w:divBdr>
    </w:div>
    <w:div w:id="114519716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11109">
      <w:bodyDiv w:val="1"/>
      <w:marLeft w:val="0"/>
      <w:marRight w:val="0"/>
      <w:marTop w:val="0"/>
      <w:marBottom w:val="0"/>
      <w:divBdr>
        <w:top w:val="none" w:sz="0" w:space="0" w:color="auto"/>
        <w:left w:val="none" w:sz="0" w:space="0" w:color="auto"/>
        <w:bottom w:val="none" w:sz="0" w:space="0" w:color="auto"/>
        <w:right w:val="none" w:sz="0" w:space="0" w:color="auto"/>
      </w:divBdr>
    </w:div>
    <w:div w:id="1728070764">
      <w:bodyDiv w:val="1"/>
      <w:marLeft w:val="0"/>
      <w:marRight w:val="0"/>
      <w:marTop w:val="0"/>
      <w:marBottom w:val="0"/>
      <w:divBdr>
        <w:top w:val="none" w:sz="0" w:space="0" w:color="auto"/>
        <w:left w:val="none" w:sz="0" w:space="0" w:color="auto"/>
        <w:bottom w:val="none" w:sz="0" w:space="0" w:color="auto"/>
        <w:right w:val="none" w:sz="0" w:space="0" w:color="auto"/>
      </w:divBdr>
    </w:div>
    <w:div w:id="175551436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dustry/listing/participants/public-release-docs/pulm-art-hypertension/PAH-fact-sheet-monotherapy-restriction-changes-1-May-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E601-09C9-4E49-8F05-2E51CFF2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22341</Words>
  <Characters>127116</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2020-10-21T22:23:00Z</dcterms:created>
  <dcterms:modified xsi:type="dcterms:W3CDTF">2020-10-29T09:45:00Z</dcterms:modified>
</cp:coreProperties>
</file>