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A0" w:rsidRPr="00EB5379" w:rsidRDefault="002E5DA0" w:rsidP="002E5DA0">
      <w:pPr>
        <w:pStyle w:val="1MainTitle"/>
        <w:jc w:val="left"/>
        <w:rPr>
          <w:rFonts w:eastAsia="Calibri"/>
          <w:lang w:eastAsia="en-US"/>
        </w:rPr>
      </w:pPr>
      <w:bookmarkStart w:id="0" w:name="_GoBack"/>
      <w:bookmarkEnd w:id="0"/>
      <w:r w:rsidRPr="00EB5379">
        <w:rPr>
          <w:rFonts w:eastAsia="Calibri"/>
          <w:lang w:eastAsia="en-US"/>
        </w:rPr>
        <w:t>4.01</w:t>
      </w:r>
      <w:r w:rsidR="00BF27A0" w:rsidRPr="00EB5379">
        <w:rPr>
          <w:rFonts w:eastAsia="Calibri"/>
          <w:lang w:eastAsia="en-US"/>
        </w:rPr>
        <w:tab/>
      </w:r>
      <w:r w:rsidRPr="00EB5379">
        <w:rPr>
          <w:rFonts w:eastAsia="Calibri"/>
          <w:lang w:eastAsia="en-US"/>
        </w:rPr>
        <w:t xml:space="preserve">RIVAROXABAN, </w:t>
      </w:r>
    </w:p>
    <w:p w:rsidR="002E5DA0" w:rsidRPr="00EB5379" w:rsidRDefault="002E5DA0" w:rsidP="000901AB">
      <w:pPr>
        <w:pStyle w:val="1MainTitle"/>
        <w:ind w:firstLine="0"/>
        <w:jc w:val="left"/>
        <w:outlineLvl w:val="9"/>
        <w:rPr>
          <w:rFonts w:eastAsia="Calibri"/>
          <w:lang w:eastAsia="en-US"/>
        </w:rPr>
      </w:pPr>
      <w:r w:rsidRPr="00EB5379">
        <w:rPr>
          <w:rFonts w:eastAsia="Calibri"/>
          <w:lang w:eastAsia="en-US"/>
        </w:rPr>
        <w:t xml:space="preserve">Tablet 2.5 mg, </w:t>
      </w:r>
    </w:p>
    <w:p w:rsidR="002E5DA0" w:rsidRPr="00EB5379" w:rsidRDefault="002E5DA0" w:rsidP="000901AB">
      <w:pPr>
        <w:pStyle w:val="1MainTitle"/>
        <w:ind w:firstLine="0"/>
        <w:jc w:val="left"/>
        <w:outlineLvl w:val="9"/>
        <w:rPr>
          <w:rFonts w:eastAsia="Calibri"/>
          <w:lang w:eastAsia="en-US"/>
        </w:rPr>
      </w:pPr>
      <w:r w:rsidRPr="00EB5379">
        <w:rPr>
          <w:rFonts w:eastAsia="Calibri"/>
          <w:lang w:eastAsia="en-US"/>
        </w:rPr>
        <w:t xml:space="preserve">Xarelto®, </w:t>
      </w:r>
    </w:p>
    <w:p w:rsidR="00BF27A0" w:rsidRPr="00EB5379" w:rsidRDefault="002E5DA0" w:rsidP="000901AB">
      <w:pPr>
        <w:pStyle w:val="1MainTitle"/>
        <w:ind w:firstLine="0"/>
        <w:jc w:val="left"/>
        <w:outlineLvl w:val="9"/>
        <w:rPr>
          <w:rFonts w:eastAsia="Calibri"/>
          <w:lang w:eastAsia="en-US"/>
        </w:rPr>
      </w:pPr>
      <w:r w:rsidRPr="00EB5379">
        <w:rPr>
          <w:rFonts w:eastAsia="Calibri"/>
          <w:lang w:eastAsia="en-US"/>
        </w:rPr>
        <w:t>Bayer Australia Limited.</w:t>
      </w:r>
      <w:r w:rsidRPr="00EB5379">
        <w:rPr>
          <w:rFonts w:eastAsia="Calibri"/>
          <w:lang w:eastAsia="en-US"/>
        </w:rPr>
        <w:tab/>
      </w:r>
    </w:p>
    <w:p w:rsidR="008A50F1" w:rsidRPr="00EB5379" w:rsidRDefault="00CE10C4" w:rsidP="008F0213">
      <w:pPr>
        <w:pStyle w:val="2-SectionHeading"/>
      </w:pPr>
      <w:r w:rsidRPr="00EB5379">
        <w:t xml:space="preserve">Purpose of </w:t>
      </w:r>
      <w:r w:rsidR="0004240E" w:rsidRPr="00EB5379">
        <w:t>Application</w:t>
      </w:r>
      <w:r w:rsidR="00034905" w:rsidRPr="00EB5379">
        <w:t xml:space="preserve"> </w:t>
      </w:r>
    </w:p>
    <w:p w:rsidR="00EE0C95" w:rsidRPr="00EB5379" w:rsidRDefault="004B6DAA" w:rsidP="0087256C">
      <w:pPr>
        <w:pStyle w:val="3Bodytext"/>
      </w:pPr>
      <w:r w:rsidRPr="00EB5379">
        <w:t>The</w:t>
      </w:r>
      <w:r w:rsidR="001320EF" w:rsidRPr="00EB5379">
        <w:t xml:space="preserve"> minor</w:t>
      </w:r>
      <w:r w:rsidRPr="00EB5379">
        <w:t xml:space="preserve"> </w:t>
      </w:r>
      <w:r w:rsidR="00EE0C95" w:rsidRPr="00EB5379">
        <w:t xml:space="preserve">submission requested </w:t>
      </w:r>
      <w:r w:rsidR="00EE0C95" w:rsidRPr="00EB5379">
        <w:rPr>
          <w:rFonts w:eastAsia="Times New Roman" w:cs="Arial"/>
          <w:snapToGrid w:val="0"/>
          <w:szCs w:val="24"/>
        </w:rPr>
        <w:t xml:space="preserve">an Authority Required (STREAMLINED) listing </w:t>
      </w:r>
      <w:r w:rsidR="003263B1" w:rsidRPr="00EB5379">
        <w:t xml:space="preserve">of </w:t>
      </w:r>
      <w:r w:rsidR="00EE0C95" w:rsidRPr="00EB5379">
        <w:t xml:space="preserve">rivaroxaban in combination with aspirin </w:t>
      </w:r>
      <w:r w:rsidR="00EE0C95" w:rsidRPr="00EB5379">
        <w:rPr>
          <w:rFonts w:eastAsia="Times New Roman" w:cs="Arial"/>
          <w:snapToGrid w:val="0"/>
          <w:szCs w:val="24"/>
        </w:rPr>
        <w:t xml:space="preserve">for the treatment of patients at high risk of recurrent cardiovascular events with </w:t>
      </w:r>
      <w:r w:rsidR="00EE0C95" w:rsidRPr="00EB5379">
        <w:t>coronary artery disease (</w:t>
      </w:r>
      <w:r w:rsidR="00EE0C95" w:rsidRPr="00EB5379">
        <w:rPr>
          <w:rFonts w:eastAsia="Times New Roman" w:cs="Arial"/>
          <w:snapToGrid w:val="0"/>
          <w:szCs w:val="24"/>
        </w:rPr>
        <w:t xml:space="preserve">CAD) or </w:t>
      </w:r>
      <w:r w:rsidR="00EE0C95" w:rsidRPr="00EB5379">
        <w:t>peripheral artery disease (</w:t>
      </w:r>
      <w:r w:rsidR="00EE0C95" w:rsidRPr="00EB5379">
        <w:rPr>
          <w:rFonts w:eastAsia="Times New Roman" w:cs="Arial"/>
          <w:snapToGrid w:val="0"/>
          <w:szCs w:val="24"/>
        </w:rPr>
        <w:t>PAD) who meet certain conditions.</w:t>
      </w:r>
    </w:p>
    <w:p w:rsidR="000901AB" w:rsidRPr="00EB5379" w:rsidRDefault="004B6DAA" w:rsidP="003263B1">
      <w:pPr>
        <w:pStyle w:val="3Bodytext"/>
        <w:rPr>
          <w:rFonts w:eastAsia="Times New Roman" w:cs="Arial"/>
          <w:snapToGrid w:val="0"/>
          <w:szCs w:val="24"/>
        </w:rPr>
      </w:pPr>
      <w:r w:rsidRPr="00EB5379">
        <w:t xml:space="preserve">The PBAC previously considered rivaroxaban for this indication in </w:t>
      </w:r>
      <w:r w:rsidR="00DA3D4C" w:rsidRPr="00EB5379">
        <w:t xml:space="preserve">March 2019 (rejected) and </w:t>
      </w:r>
      <w:r w:rsidRPr="00EB5379">
        <w:t>March</w:t>
      </w:r>
      <w:r w:rsidR="001320EF" w:rsidRPr="00EB5379">
        <w:t xml:space="preserve"> 202</w:t>
      </w:r>
      <w:r w:rsidR="00AB7424" w:rsidRPr="00EB5379">
        <w:t>0</w:t>
      </w:r>
      <w:r w:rsidR="001320EF" w:rsidRPr="00EB5379">
        <w:t xml:space="preserve"> </w:t>
      </w:r>
      <w:r w:rsidR="003263B1" w:rsidRPr="00EB5379">
        <w:t>(deferred)</w:t>
      </w:r>
      <w:r w:rsidRPr="00EB5379">
        <w:t>.</w:t>
      </w:r>
      <w:r w:rsidR="001320EF" w:rsidRPr="00EB5379">
        <w:t xml:space="preserve"> </w:t>
      </w:r>
    </w:p>
    <w:p w:rsidR="003263B1" w:rsidRPr="00EB5379" w:rsidRDefault="003263B1" w:rsidP="003263B1">
      <w:pPr>
        <w:pStyle w:val="3Bodytext"/>
        <w:rPr>
          <w:rFonts w:eastAsia="Times New Roman" w:cs="Arial"/>
          <w:snapToGrid w:val="0"/>
          <w:szCs w:val="24"/>
        </w:rPr>
      </w:pPr>
      <w:r w:rsidRPr="00EB5379">
        <w:rPr>
          <w:rFonts w:eastAsia="Times New Roman" w:cs="Arial"/>
          <w:snapToGrid w:val="0"/>
          <w:szCs w:val="24"/>
        </w:rPr>
        <w:t xml:space="preserve">The submission made the following changes, which were requested by the PBAC in its March 2020 deferral of rivaroxaban: </w:t>
      </w:r>
    </w:p>
    <w:p w:rsidR="003263B1" w:rsidRPr="00EB5379" w:rsidRDefault="003263B1" w:rsidP="000901AB">
      <w:pPr>
        <w:pStyle w:val="Bulletpoints"/>
      </w:pPr>
      <w:r w:rsidRPr="00EB5379">
        <w:t xml:space="preserve">revised </w:t>
      </w:r>
      <w:r w:rsidR="00D017D6" w:rsidRPr="00EB5379">
        <w:t xml:space="preserve">the </w:t>
      </w:r>
      <w:r w:rsidRPr="00EB5379">
        <w:t xml:space="preserve">restriction based on the PBAC’s March 2020 advice; </w:t>
      </w:r>
    </w:p>
    <w:p w:rsidR="003263B1" w:rsidRPr="00EB5379" w:rsidRDefault="003263B1" w:rsidP="000901AB">
      <w:pPr>
        <w:pStyle w:val="Bulletpoints"/>
      </w:pPr>
      <w:r w:rsidRPr="00EB5379">
        <w:t xml:space="preserve">an </w:t>
      </w:r>
      <w:r w:rsidR="00DF10EB">
        <w:rPr>
          <w:noProof/>
          <w:color w:val="000000"/>
          <w:highlight w:val="black"/>
        </w:rPr>
        <w:t>'''</w:t>
      </w:r>
      <w:r w:rsidRPr="00EB5379">
        <w:t xml:space="preserve">% price reduction, which resulted in an incremental cost-effectiveness ratio (ICER) of </w:t>
      </w:r>
      <w:r w:rsidR="006E0D95">
        <w:t>$15,000 - $45,000</w:t>
      </w:r>
      <w:r w:rsidRPr="006E0D95">
        <w:t xml:space="preserve"> per QALY</w:t>
      </w:r>
      <w:r w:rsidRPr="00EB5379">
        <w:t xml:space="preserve"> using the </w:t>
      </w:r>
      <w:r w:rsidR="000901AB" w:rsidRPr="00EB5379">
        <w:t xml:space="preserve">economic model provided in the pre-PBAC response as </w:t>
      </w:r>
      <w:r w:rsidRPr="00EB5379">
        <w:t>requested by the PBAC</w:t>
      </w:r>
      <w:r w:rsidR="00DA3D4C" w:rsidRPr="00EB5379">
        <w:t xml:space="preserve"> in March 2020</w:t>
      </w:r>
      <w:r w:rsidRPr="00EB5379">
        <w:t xml:space="preserve">; </w:t>
      </w:r>
    </w:p>
    <w:p w:rsidR="003263B1" w:rsidRPr="00EB5379" w:rsidRDefault="003263B1" w:rsidP="000901AB">
      <w:pPr>
        <w:pStyle w:val="Bulletpoints"/>
      </w:pPr>
      <w:r w:rsidRPr="00EB5379">
        <w:t>revised the financial estimates to incorporate the reduced price</w:t>
      </w:r>
      <w:r w:rsidR="00D017D6" w:rsidRPr="00EB5379">
        <w:t xml:space="preserve"> and </w:t>
      </w:r>
      <w:r w:rsidRPr="00EB5379">
        <w:t xml:space="preserve">reduced uptake </w:t>
      </w:r>
      <w:r w:rsidR="000901AB" w:rsidRPr="00EB5379">
        <w:t>rates</w:t>
      </w:r>
      <w:r w:rsidRPr="00EB5379">
        <w:t>; and</w:t>
      </w:r>
    </w:p>
    <w:p w:rsidR="003263B1" w:rsidRPr="00EB5379" w:rsidRDefault="003263B1" w:rsidP="000901AB">
      <w:pPr>
        <w:pStyle w:val="Bulletpoints"/>
      </w:pPr>
      <w:r w:rsidRPr="00EB5379">
        <w:t xml:space="preserve">a risk share arrangement (RSA) was proposed with a </w:t>
      </w:r>
      <w:r w:rsidR="00DF10EB">
        <w:rPr>
          <w:noProof/>
          <w:color w:val="000000"/>
          <w:highlight w:val="black"/>
        </w:rPr>
        <w:t>''''''''''''</w:t>
      </w:r>
      <w:r w:rsidRPr="00EB5379">
        <w:t xml:space="preserve"> rebate over the caps.</w:t>
      </w:r>
    </w:p>
    <w:p w:rsidR="004B6DAA" w:rsidRPr="00EB5379" w:rsidRDefault="004B6DAA" w:rsidP="005E1067">
      <w:pPr>
        <w:pStyle w:val="ExecSumBodyText"/>
        <w:numPr>
          <w:ilvl w:val="1"/>
          <w:numId w:val="1"/>
        </w:numPr>
      </w:pPr>
      <w:r w:rsidRPr="00EB5379">
        <w:t>Listing was requested on a cost-effectiveness basis compared with aspirin alone.</w:t>
      </w:r>
    </w:p>
    <w:p w:rsidR="004B6DAA" w:rsidRPr="00EB5379" w:rsidRDefault="004B6DAA" w:rsidP="0056195C">
      <w:pPr>
        <w:pStyle w:val="TableHeading0"/>
      </w:pPr>
      <w:r w:rsidRPr="00EB5379">
        <w:t>Table 1: Key components of the c</w:t>
      </w:r>
      <w:r w:rsidR="000345C6">
        <w:t xml:space="preserve">linical issue addressed by the </w:t>
      </w:r>
      <w:r w:rsidRPr="00EB5379">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3"/>
      </w:tblGrid>
      <w:tr w:rsidR="004B6DAA" w:rsidRPr="00EB5379" w:rsidTr="0056195C">
        <w:tc>
          <w:tcPr>
            <w:tcW w:w="911" w:type="pct"/>
            <w:vAlign w:val="center"/>
          </w:tcPr>
          <w:p w:rsidR="004B6DAA" w:rsidRPr="000345C6" w:rsidRDefault="004B6DAA" w:rsidP="004B6DAA">
            <w:pPr>
              <w:keepNext/>
              <w:jc w:val="left"/>
              <w:rPr>
                <w:rFonts w:ascii="Arial Narrow" w:eastAsiaTheme="majorEastAsia" w:hAnsi="Arial Narrow"/>
                <w:b/>
                <w:sz w:val="20"/>
              </w:rPr>
            </w:pPr>
            <w:r w:rsidRPr="000345C6">
              <w:rPr>
                <w:rFonts w:ascii="Arial Narrow" w:eastAsiaTheme="majorEastAsia" w:hAnsi="Arial Narrow"/>
                <w:b/>
                <w:sz w:val="20"/>
              </w:rPr>
              <w:t>Component</w:t>
            </w:r>
          </w:p>
        </w:tc>
        <w:tc>
          <w:tcPr>
            <w:tcW w:w="4089" w:type="pct"/>
            <w:vAlign w:val="center"/>
          </w:tcPr>
          <w:p w:rsidR="004B6DAA" w:rsidRPr="000345C6" w:rsidRDefault="004B6DAA" w:rsidP="004B6DAA">
            <w:pPr>
              <w:keepNext/>
              <w:jc w:val="left"/>
              <w:rPr>
                <w:rFonts w:ascii="Arial Narrow" w:eastAsiaTheme="majorEastAsia" w:hAnsi="Arial Narrow"/>
                <w:b/>
                <w:sz w:val="20"/>
              </w:rPr>
            </w:pPr>
            <w:r w:rsidRPr="000345C6">
              <w:rPr>
                <w:rFonts w:ascii="Arial Narrow" w:eastAsiaTheme="majorEastAsia" w:hAnsi="Arial Narrow"/>
                <w:b/>
                <w:sz w:val="20"/>
              </w:rPr>
              <w:t>Description</w:t>
            </w:r>
          </w:p>
        </w:tc>
      </w:tr>
      <w:tr w:rsidR="004B6DAA" w:rsidRPr="00EB5379" w:rsidTr="0056195C">
        <w:tc>
          <w:tcPr>
            <w:tcW w:w="911" w:type="pct"/>
            <w:vAlign w:val="center"/>
          </w:tcPr>
          <w:p w:rsidR="004B6DAA" w:rsidRPr="00EB5379" w:rsidRDefault="004B6DAA" w:rsidP="004B6DAA">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Population</w:t>
            </w:r>
          </w:p>
        </w:tc>
        <w:tc>
          <w:tcPr>
            <w:tcW w:w="4089" w:type="pct"/>
            <w:vAlign w:val="center"/>
          </w:tcPr>
          <w:p w:rsidR="00D017D6" w:rsidRPr="00EB5379" w:rsidRDefault="00D017D6" w:rsidP="004B6DAA">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Patients with chronic coronary artery disease (CAD) and peripheral artery disease (PAD); or</w:t>
            </w:r>
          </w:p>
          <w:p w:rsidR="004B6DAA" w:rsidRPr="00EB5379" w:rsidRDefault="004B6DAA" w:rsidP="004B6DAA">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 xml:space="preserve">Patients with </w:t>
            </w:r>
            <w:r w:rsidR="00D017D6" w:rsidRPr="00EB5379">
              <w:rPr>
                <w:rFonts w:ascii="Arial Narrow" w:eastAsiaTheme="majorEastAsia" w:hAnsi="Arial Narrow" w:cstheme="majorBidi"/>
                <w:bCs/>
                <w:sz w:val="20"/>
              </w:rPr>
              <w:t>CAD or PAD</w:t>
            </w:r>
            <w:r w:rsidRPr="00EB5379">
              <w:rPr>
                <w:rFonts w:ascii="Arial Narrow" w:eastAsiaTheme="majorEastAsia" w:hAnsi="Arial Narrow" w:cstheme="majorBidi"/>
                <w:bCs/>
                <w:sz w:val="20"/>
              </w:rPr>
              <w:t xml:space="preserve"> and at least one additional risk factor of: </w:t>
            </w:r>
          </w:p>
          <w:p w:rsidR="004B6DAA" w:rsidRPr="00EB5379" w:rsidRDefault="004B6DAA" w:rsidP="005E1067">
            <w:pPr>
              <w:keepNext/>
              <w:numPr>
                <w:ilvl w:val="0"/>
                <w:numId w:val="23"/>
              </w:numPr>
              <w:jc w:val="left"/>
              <w:rPr>
                <w:rFonts w:ascii="Arial Narrow" w:eastAsiaTheme="majorEastAsia" w:hAnsi="Arial Narrow" w:cstheme="majorBidi"/>
                <w:bCs/>
                <w:sz w:val="20"/>
              </w:rPr>
            </w:pPr>
            <w:r w:rsidRPr="00EB5379">
              <w:rPr>
                <w:rFonts w:ascii="Arial Narrow" w:eastAsiaTheme="majorEastAsia" w:hAnsi="Arial Narrow" w:cstheme="majorBidi"/>
                <w:bCs/>
                <w:sz w:val="20"/>
              </w:rPr>
              <w:t>Heart failure (LVEF ≥ 30%</w:t>
            </w:r>
            <w:r w:rsidR="00D017D6" w:rsidRPr="00EB5379">
              <w:rPr>
                <w:rFonts w:ascii="Arial Narrow" w:eastAsiaTheme="majorEastAsia" w:hAnsi="Arial Narrow" w:cstheme="majorBidi"/>
                <w:bCs/>
                <w:sz w:val="20"/>
              </w:rPr>
              <w:t xml:space="preserve"> to &lt; 50%</w:t>
            </w:r>
            <w:r w:rsidRPr="00EB5379">
              <w:rPr>
                <w:rFonts w:ascii="Arial Narrow" w:eastAsiaTheme="majorEastAsia" w:hAnsi="Arial Narrow" w:cstheme="majorBidi"/>
                <w:bCs/>
                <w:sz w:val="20"/>
              </w:rPr>
              <w:t>)</w:t>
            </w:r>
            <w:r w:rsidR="00D017D6" w:rsidRPr="00EB5379">
              <w:rPr>
                <w:rFonts w:ascii="Arial Narrow" w:eastAsiaTheme="majorEastAsia" w:hAnsi="Arial Narrow" w:cstheme="majorBidi"/>
                <w:bCs/>
                <w:sz w:val="20"/>
              </w:rPr>
              <w:t>;</w:t>
            </w:r>
            <w:r w:rsidRPr="00EB5379">
              <w:rPr>
                <w:rFonts w:ascii="Arial Narrow" w:eastAsiaTheme="majorEastAsia" w:hAnsi="Arial Narrow" w:cstheme="majorBidi"/>
                <w:bCs/>
                <w:sz w:val="20"/>
              </w:rPr>
              <w:t xml:space="preserve"> or</w:t>
            </w:r>
          </w:p>
          <w:p w:rsidR="004B6DAA" w:rsidRPr="00EB5379" w:rsidRDefault="004B6DAA" w:rsidP="005E1067">
            <w:pPr>
              <w:keepNext/>
              <w:numPr>
                <w:ilvl w:val="0"/>
                <w:numId w:val="23"/>
              </w:numPr>
              <w:jc w:val="left"/>
              <w:rPr>
                <w:rFonts w:ascii="Arial Narrow" w:eastAsiaTheme="majorEastAsia" w:hAnsi="Arial Narrow" w:cstheme="majorBidi"/>
                <w:bCs/>
                <w:sz w:val="20"/>
              </w:rPr>
            </w:pPr>
            <w:r w:rsidRPr="00EB5379">
              <w:rPr>
                <w:rFonts w:ascii="Arial Narrow" w:eastAsiaTheme="majorEastAsia" w:hAnsi="Arial Narrow" w:cstheme="majorBidi"/>
                <w:bCs/>
                <w:sz w:val="20"/>
              </w:rPr>
              <w:t>Chronic kidney disease defi</w:t>
            </w:r>
            <w:r w:rsidR="00D017D6" w:rsidRPr="00EB5379">
              <w:rPr>
                <w:rFonts w:ascii="Arial Narrow" w:eastAsiaTheme="majorEastAsia" w:hAnsi="Arial Narrow" w:cstheme="majorBidi"/>
                <w:bCs/>
                <w:sz w:val="20"/>
              </w:rPr>
              <w:t>ned by an eGFR 15 to &lt;60 mL/min; or</w:t>
            </w:r>
          </w:p>
          <w:p w:rsidR="004B6DAA" w:rsidRPr="00EB5379" w:rsidRDefault="00D017D6" w:rsidP="00D017D6">
            <w:pPr>
              <w:keepNext/>
              <w:numPr>
                <w:ilvl w:val="0"/>
                <w:numId w:val="23"/>
              </w:numPr>
              <w:jc w:val="left"/>
              <w:rPr>
                <w:rFonts w:ascii="Arial Narrow" w:eastAsiaTheme="majorEastAsia" w:hAnsi="Arial Narrow" w:cstheme="majorBidi"/>
                <w:bCs/>
                <w:sz w:val="20"/>
              </w:rPr>
            </w:pPr>
            <w:r w:rsidRPr="00EB5379">
              <w:rPr>
                <w:rFonts w:ascii="Arial Narrow" w:eastAsiaTheme="majorEastAsia" w:hAnsi="Arial Narrow" w:cstheme="majorBidi"/>
                <w:bCs/>
                <w:sz w:val="20"/>
              </w:rPr>
              <w:t>Diabetes mellitus and: age ≥ 60; concomitant microalbuminuria; or of Aboriginal or Torres Strait Islander descent.</w:t>
            </w:r>
          </w:p>
        </w:tc>
      </w:tr>
      <w:tr w:rsidR="001320EF" w:rsidRPr="00EB5379" w:rsidTr="0056195C">
        <w:tc>
          <w:tcPr>
            <w:tcW w:w="911" w:type="pct"/>
            <w:vAlign w:val="center"/>
          </w:tcPr>
          <w:p w:rsidR="001320EF" w:rsidRPr="00EB5379" w:rsidRDefault="001320EF" w:rsidP="001320EF">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Intervention</w:t>
            </w:r>
          </w:p>
        </w:tc>
        <w:tc>
          <w:tcPr>
            <w:tcW w:w="4089" w:type="pct"/>
            <w:vAlign w:val="center"/>
          </w:tcPr>
          <w:p w:rsidR="001320EF" w:rsidRPr="00EB5379" w:rsidRDefault="001320EF" w:rsidP="001320EF">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Rivaroxaban 2.5 mg twice daily, plus aspirin 100 mg daily</w:t>
            </w:r>
          </w:p>
        </w:tc>
      </w:tr>
      <w:tr w:rsidR="001320EF" w:rsidRPr="00EB5379" w:rsidTr="0056195C">
        <w:tc>
          <w:tcPr>
            <w:tcW w:w="911" w:type="pct"/>
            <w:vAlign w:val="center"/>
          </w:tcPr>
          <w:p w:rsidR="001320EF" w:rsidRPr="00EB5379" w:rsidRDefault="001320EF" w:rsidP="001320EF">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Comparator</w:t>
            </w:r>
          </w:p>
        </w:tc>
        <w:tc>
          <w:tcPr>
            <w:tcW w:w="4089" w:type="pct"/>
            <w:vAlign w:val="center"/>
          </w:tcPr>
          <w:p w:rsidR="001320EF" w:rsidRPr="00EB5379" w:rsidRDefault="001320EF" w:rsidP="001320EF">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 xml:space="preserve">Aspirin 100 mg daily </w:t>
            </w:r>
          </w:p>
        </w:tc>
      </w:tr>
      <w:tr w:rsidR="001320EF" w:rsidRPr="00EB5379" w:rsidTr="0056195C">
        <w:tc>
          <w:tcPr>
            <w:tcW w:w="911" w:type="pct"/>
            <w:vAlign w:val="center"/>
          </w:tcPr>
          <w:p w:rsidR="001320EF" w:rsidRPr="00EB5379" w:rsidRDefault="001320EF" w:rsidP="001320EF">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Outcomes</w:t>
            </w:r>
          </w:p>
        </w:tc>
        <w:tc>
          <w:tcPr>
            <w:tcW w:w="4089" w:type="pct"/>
            <w:vAlign w:val="center"/>
          </w:tcPr>
          <w:p w:rsidR="001320EF" w:rsidRPr="00EB5379" w:rsidRDefault="001320EF" w:rsidP="001320EF">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Reductions in cardiovascular events (cardiovascular death, ischaemic stroke) and peripheral vascular events. Increases in major bleeding events.</w:t>
            </w:r>
          </w:p>
        </w:tc>
      </w:tr>
      <w:tr w:rsidR="001320EF" w:rsidRPr="00EB5379" w:rsidTr="0056195C">
        <w:tc>
          <w:tcPr>
            <w:tcW w:w="911" w:type="pct"/>
            <w:vAlign w:val="center"/>
          </w:tcPr>
          <w:p w:rsidR="001320EF" w:rsidRPr="00EB5379" w:rsidRDefault="001320EF" w:rsidP="001320EF">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Clinical claim</w:t>
            </w:r>
          </w:p>
        </w:tc>
        <w:tc>
          <w:tcPr>
            <w:tcW w:w="4089" w:type="pct"/>
            <w:vAlign w:val="center"/>
          </w:tcPr>
          <w:p w:rsidR="001320EF" w:rsidRPr="00EB5379" w:rsidRDefault="001320EF" w:rsidP="001320EF">
            <w:pPr>
              <w:keepNext/>
              <w:jc w:val="left"/>
              <w:rPr>
                <w:rFonts w:ascii="Arial Narrow" w:eastAsiaTheme="majorEastAsia" w:hAnsi="Arial Narrow" w:cstheme="majorBidi"/>
                <w:bCs/>
                <w:sz w:val="20"/>
              </w:rPr>
            </w:pPr>
            <w:r w:rsidRPr="00EB5379">
              <w:rPr>
                <w:rFonts w:ascii="Arial Narrow" w:eastAsiaTheme="majorEastAsia" w:hAnsi="Arial Narrow" w:cstheme="majorBidi"/>
                <w:bCs/>
                <w:sz w:val="20"/>
              </w:rPr>
              <w:t>In patients with atherosclerotic disease of the coronary and/or peripheral arteries at high risk of cardiovascular events, rivaroxaban 2.5 mg in combination with aspirin is superior in terms of efficacy and inferior in terms of safety compared to aspirin.</w:t>
            </w:r>
          </w:p>
        </w:tc>
      </w:tr>
    </w:tbl>
    <w:p w:rsidR="001320EF" w:rsidRPr="00EB5379" w:rsidRDefault="001320EF" w:rsidP="001320EF">
      <w:pPr>
        <w:spacing w:after="120"/>
        <w:contextualSpacing/>
        <w:rPr>
          <w:rFonts w:ascii="Arial Narrow" w:hAnsi="Arial Narrow" w:cs="Arial"/>
          <w:snapToGrid w:val="0"/>
          <w:sz w:val="18"/>
          <w:szCs w:val="22"/>
        </w:rPr>
      </w:pPr>
      <w:r w:rsidRPr="00EB5379">
        <w:rPr>
          <w:rFonts w:ascii="Arial Narrow" w:hAnsi="Arial Narrow" w:cs="Arial"/>
          <w:snapToGrid w:val="0"/>
          <w:sz w:val="18"/>
          <w:szCs w:val="22"/>
        </w:rPr>
        <w:t>Source: Table 1.1-1, p.8 of the previous submission</w:t>
      </w:r>
    </w:p>
    <w:p w:rsidR="00A01432" w:rsidRPr="00EB5379" w:rsidRDefault="00A01432" w:rsidP="006F0A71">
      <w:pPr>
        <w:pStyle w:val="2-SectionHeading"/>
      </w:pPr>
      <w:r w:rsidRPr="00EB5379">
        <w:lastRenderedPageBreak/>
        <w:t xml:space="preserve">Background </w:t>
      </w:r>
    </w:p>
    <w:p w:rsidR="004B6DAA" w:rsidRPr="00EB5379" w:rsidRDefault="004B6DAA" w:rsidP="00734243">
      <w:pPr>
        <w:pStyle w:val="4-SubsectionHeading"/>
      </w:pPr>
      <w:bookmarkStart w:id="1" w:name="_Toc22897638"/>
      <w:bookmarkStart w:id="2" w:name="_Toc27421944"/>
      <w:r w:rsidRPr="00EB5379">
        <w:t>Registration status</w:t>
      </w:r>
      <w:bookmarkEnd w:id="1"/>
      <w:bookmarkEnd w:id="2"/>
    </w:p>
    <w:p w:rsidR="004B6DAA" w:rsidRPr="00EB5379" w:rsidRDefault="004B6DAA" w:rsidP="0056195C">
      <w:pPr>
        <w:pStyle w:val="3Bodytext"/>
      </w:pPr>
      <w:r w:rsidRPr="00EB5379">
        <w:t>Rivaroxaban 2.5 mg was TGA registered on 11 January 2019 for use in combination with aspirin with an indication of ‘</w:t>
      </w:r>
      <w:r w:rsidR="001923AA">
        <w:t>PS</w:t>
      </w:r>
      <w:r w:rsidRPr="00EB5379">
        <w:t xml:space="preserve">vention of major cardiovascular events (composite of stroke, myocardial infarction and cardiovascular death) in patients with CAD and/or PAD’. </w:t>
      </w:r>
    </w:p>
    <w:p w:rsidR="004B6DAA" w:rsidRPr="00EB5379" w:rsidRDefault="004B6DAA" w:rsidP="00734243">
      <w:pPr>
        <w:pStyle w:val="4-SubsectionHeading"/>
      </w:pPr>
      <w:bookmarkStart w:id="3" w:name="_Toc22897639"/>
      <w:bookmarkStart w:id="4" w:name="_Toc27421945"/>
      <w:r w:rsidRPr="00EB5379">
        <w:t>Previous PBAC consideration</w:t>
      </w:r>
      <w:bookmarkEnd w:id="3"/>
      <w:bookmarkEnd w:id="4"/>
    </w:p>
    <w:p w:rsidR="00A01432" w:rsidRPr="00EB5379" w:rsidRDefault="004B6DAA" w:rsidP="0087256C">
      <w:pPr>
        <w:pStyle w:val="3Bodytext"/>
        <w:rPr>
          <w:rFonts w:ascii="Arial" w:hAnsi="Arial"/>
          <w:b/>
          <w:sz w:val="22"/>
        </w:rPr>
      </w:pPr>
      <w:r w:rsidRPr="000345C6">
        <w:t xml:space="preserve">A summary of the key matters of concern arising from the PBAC consideration of the </w:t>
      </w:r>
      <w:r w:rsidRPr="00EB5379">
        <w:t>March 2020</w:t>
      </w:r>
      <w:r w:rsidRPr="000345C6">
        <w:t xml:space="preserve"> submission for rivaroxaban, and how the current submission addresses these concerns, is presented in Table 2.</w:t>
      </w:r>
      <w:r w:rsidR="00A01432" w:rsidRPr="00EB5379">
        <w:t xml:space="preserve"> </w:t>
      </w:r>
    </w:p>
    <w:p w:rsidR="00A01432" w:rsidRPr="00EB5379" w:rsidRDefault="00A01432" w:rsidP="0056195C">
      <w:pPr>
        <w:pStyle w:val="TableHeading0"/>
      </w:pPr>
      <w:r w:rsidRPr="00EB5379">
        <w:t>Table</w:t>
      </w:r>
      <w:r w:rsidR="002A1EF7" w:rsidRPr="00EB5379">
        <w:t xml:space="preserve"> </w:t>
      </w:r>
      <w:r w:rsidR="001320EF" w:rsidRPr="00EB5379">
        <w:rPr>
          <w:rFonts w:eastAsiaTheme="majorEastAsia"/>
        </w:rPr>
        <w:t>2</w:t>
      </w:r>
      <w:r w:rsidR="002A1EF7" w:rsidRPr="00EB5379">
        <w:rPr>
          <w:rFonts w:eastAsiaTheme="majorEastAsia"/>
        </w:rPr>
        <w:t>:</w:t>
      </w:r>
      <w:r w:rsidRPr="00EB5379">
        <w:t xml:space="preserve"> </w:t>
      </w:r>
      <w:r w:rsidR="001320EF" w:rsidRPr="00EB5379">
        <w:t>Summary of key matters of concern from PBAC’s March 2020 consideration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83"/>
        <w:gridCol w:w="3633"/>
      </w:tblGrid>
      <w:tr w:rsidR="00A01432" w:rsidRPr="00EB5379" w:rsidTr="0056195C">
        <w:trPr>
          <w:trHeight w:val="240"/>
        </w:trPr>
        <w:tc>
          <w:tcPr>
            <w:tcW w:w="2985" w:type="pct"/>
            <w:tcBorders>
              <w:top w:val="single" w:sz="4" w:space="0" w:color="auto"/>
              <w:left w:val="single" w:sz="4" w:space="0" w:color="auto"/>
              <w:bottom w:val="single" w:sz="4" w:space="0" w:color="auto"/>
              <w:right w:val="single" w:sz="4" w:space="0" w:color="auto"/>
            </w:tcBorders>
            <w:hideMark/>
          </w:tcPr>
          <w:p w:rsidR="00A01432" w:rsidRPr="00EB5379" w:rsidRDefault="00A01432" w:rsidP="00917D69">
            <w:pPr>
              <w:pStyle w:val="TableText0"/>
              <w:rPr>
                <w:b/>
              </w:rPr>
            </w:pPr>
            <w:r w:rsidRPr="00EB5379">
              <w:rPr>
                <w:b/>
              </w:rPr>
              <w:t>Matters of concern</w:t>
            </w:r>
          </w:p>
        </w:tc>
        <w:tc>
          <w:tcPr>
            <w:tcW w:w="2015" w:type="pct"/>
            <w:tcBorders>
              <w:top w:val="single" w:sz="4" w:space="0" w:color="auto"/>
              <w:left w:val="single" w:sz="4" w:space="0" w:color="auto"/>
              <w:bottom w:val="single" w:sz="4" w:space="0" w:color="auto"/>
              <w:right w:val="single" w:sz="4" w:space="0" w:color="auto"/>
            </w:tcBorders>
            <w:hideMark/>
          </w:tcPr>
          <w:p w:rsidR="00A01432" w:rsidRPr="00EB5379" w:rsidRDefault="000345C6" w:rsidP="000345C6">
            <w:pPr>
              <w:pStyle w:val="TableText0"/>
              <w:rPr>
                <w:b/>
              </w:rPr>
            </w:pPr>
            <w:r>
              <w:rPr>
                <w:b/>
              </w:rPr>
              <w:t xml:space="preserve">How the </w:t>
            </w:r>
            <w:r w:rsidR="00A01432" w:rsidRPr="00EB5379">
              <w:rPr>
                <w:b/>
              </w:rPr>
              <w:t>submission addresse</w:t>
            </w:r>
            <w:r w:rsidR="00F7393A" w:rsidRPr="00EB5379">
              <w:rPr>
                <w:b/>
              </w:rPr>
              <w:t>d</w:t>
            </w:r>
            <w:r w:rsidR="00A01432" w:rsidRPr="00EB5379">
              <w:rPr>
                <w:b/>
              </w:rPr>
              <w:t xml:space="preserve"> it</w:t>
            </w:r>
          </w:p>
        </w:tc>
      </w:tr>
      <w:tr w:rsidR="007456D3" w:rsidRPr="00EB5379" w:rsidTr="0056195C">
        <w:trPr>
          <w:trHeight w:val="788"/>
        </w:trPr>
        <w:tc>
          <w:tcPr>
            <w:tcW w:w="2985" w:type="pct"/>
            <w:tcBorders>
              <w:top w:val="single" w:sz="4" w:space="0" w:color="auto"/>
              <w:left w:val="single" w:sz="4" w:space="0" w:color="auto"/>
              <w:bottom w:val="single" w:sz="4" w:space="0" w:color="auto"/>
              <w:right w:val="single" w:sz="4" w:space="0" w:color="auto"/>
            </w:tcBorders>
            <w:hideMark/>
          </w:tcPr>
          <w:p w:rsidR="00F7393A" w:rsidRPr="00EB5379" w:rsidRDefault="007456D3" w:rsidP="00E075E9">
            <w:pPr>
              <w:pStyle w:val="TableText0"/>
            </w:pPr>
            <w:r w:rsidRPr="00EB5379">
              <w:t>Include the updated restriction based on the PBAC’s advice</w:t>
            </w:r>
            <w:r w:rsidR="00112AD0" w:rsidRPr="00EB5379">
              <w:t>, which was to target use to a higher risk PAD population and to include diabetes as a risk factor.</w:t>
            </w:r>
          </w:p>
        </w:tc>
        <w:tc>
          <w:tcPr>
            <w:tcW w:w="2015" w:type="pct"/>
            <w:tcBorders>
              <w:top w:val="single" w:sz="4" w:space="0" w:color="auto"/>
              <w:left w:val="single" w:sz="4" w:space="0" w:color="auto"/>
              <w:bottom w:val="single" w:sz="4" w:space="0" w:color="auto"/>
              <w:right w:val="single" w:sz="4" w:space="0" w:color="auto"/>
            </w:tcBorders>
          </w:tcPr>
          <w:p w:rsidR="007456D3" w:rsidRPr="00EB5379" w:rsidRDefault="00F7393A" w:rsidP="00F7393A">
            <w:pPr>
              <w:pStyle w:val="TableText0"/>
            </w:pPr>
            <w:r w:rsidRPr="00EB5379">
              <w:t xml:space="preserve">Updated PBS restriction as per March 2020 </w:t>
            </w:r>
            <w:r w:rsidR="000D3B77">
              <w:t>Public Summary Document (PSD)</w:t>
            </w:r>
            <w:r w:rsidRPr="00EB5379">
              <w:t xml:space="preserve">; included diabetes in the eligibility criteria. </w:t>
            </w:r>
          </w:p>
        </w:tc>
      </w:tr>
      <w:tr w:rsidR="007456D3" w:rsidRPr="00EB5379" w:rsidTr="0056195C">
        <w:trPr>
          <w:trHeight w:val="788"/>
        </w:trPr>
        <w:tc>
          <w:tcPr>
            <w:tcW w:w="2985" w:type="pct"/>
            <w:tcBorders>
              <w:top w:val="single" w:sz="4" w:space="0" w:color="auto"/>
              <w:left w:val="single" w:sz="4" w:space="0" w:color="auto"/>
              <w:bottom w:val="single" w:sz="4" w:space="0" w:color="auto"/>
              <w:right w:val="single" w:sz="4" w:space="0" w:color="auto"/>
            </w:tcBorders>
          </w:tcPr>
          <w:p w:rsidR="007456D3" w:rsidRPr="00EB5379" w:rsidRDefault="007456D3" w:rsidP="007456D3">
            <w:pPr>
              <w:pStyle w:val="TableText0"/>
            </w:pPr>
            <w:r w:rsidRPr="00EB5379">
              <w:t xml:space="preserve">A further price reduction would be required to achieve an ICER in the range of around </w:t>
            </w:r>
            <w:r w:rsidR="00DC2D2A">
              <w:t>$15,000 - $45,000</w:t>
            </w:r>
            <w:r w:rsidRPr="00DC2D2A">
              <w:t xml:space="preserve"> per QALY</w:t>
            </w:r>
            <w:r w:rsidRPr="00EB5379">
              <w:t xml:space="preserve">, using the pre-PBAC response economic model. </w:t>
            </w:r>
          </w:p>
        </w:tc>
        <w:tc>
          <w:tcPr>
            <w:tcW w:w="2015" w:type="pct"/>
            <w:tcBorders>
              <w:top w:val="single" w:sz="4" w:space="0" w:color="auto"/>
              <w:left w:val="single" w:sz="4" w:space="0" w:color="auto"/>
              <w:bottom w:val="single" w:sz="4" w:space="0" w:color="auto"/>
              <w:right w:val="single" w:sz="4" w:space="0" w:color="auto"/>
            </w:tcBorders>
          </w:tcPr>
          <w:p w:rsidR="007456D3" w:rsidRPr="00EB5379" w:rsidRDefault="007456D3" w:rsidP="000901AB">
            <w:pPr>
              <w:pStyle w:val="TableText0"/>
            </w:pPr>
            <w:r w:rsidRPr="00EB5379">
              <w:t>AEMP reduced from $</w:t>
            </w:r>
            <w:r w:rsidR="00DF10EB">
              <w:rPr>
                <w:noProof/>
                <w:color w:val="000000"/>
                <w:highlight w:val="black"/>
              </w:rPr>
              <w:t>''''''''''''''</w:t>
            </w:r>
            <w:r w:rsidRPr="00EB5379">
              <w:t xml:space="preserve"> to $</w:t>
            </w:r>
            <w:r w:rsidR="00DF10EB">
              <w:rPr>
                <w:noProof/>
                <w:color w:val="000000"/>
                <w:highlight w:val="black"/>
              </w:rPr>
              <w:t>''''''''''''''</w:t>
            </w:r>
            <w:r w:rsidRPr="00EB5379">
              <w:t xml:space="preserve">, a reduction of </w:t>
            </w:r>
            <w:r w:rsidR="00DF10EB">
              <w:rPr>
                <w:noProof/>
                <w:color w:val="000000"/>
                <w:highlight w:val="black"/>
              </w:rPr>
              <w:t>'''''''''</w:t>
            </w:r>
            <w:r w:rsidRPr="00EB5379">
              <w:t>% compared with the previous submission. The additional price reduction result</w:t>
            </w:r>
            <w:r w:rsidR="000901AB" w:rsidRPr="00EB5379">
              <w:t>ed</w:t>
            </w:r>
            <w:r w:rsidRPr="00EB5379">
              <w:t xml:space="preserve"> in an ICER </w:t>
            </w:r>
            <w:r w:rsidRPr="00DC2D2A">
              <w:t xml:space="preserve">of </w:t>
            </w:r>
            <w:r w:rsidR="00DC2D2A">
              <w:t>$15,000 - $45,000</w:t>
            </w:r>
            <w:r w:rsidRPr="00DC2D2A">
              <w:t xml:space="preserve"> per QALY</w:t>
            </w:r>
          </w:p>
        </w:tc>
      </w:tr>
      <w:tr w:rsidR="007456D3" w:rsidRPr="00EB5379" w:rsidTr="0056195C">
        <w:trPr>
          <w:trHeight w:val="487"/>
        </w:trPr>
        <w:tc>
          <w:tcPr>
            <w:tcW w:w="2985" w:type="pct"/>
            <w:tcBorders>
              <w:top w:val="single" w:sz="4" w:space="0" w:color="auto"/>
              <w:left w:val="single" w:sz="4" w:space="0" w:color="auto"/>
              <w:bottom w:val="single" w:sz="4" w:space="0" w:color="auto"/>
              <w:right w:val="single" w:sz="4" w:space="0" w:color="auto"/>
            </w:tcBorders>
          </w:tcPr>
          <w:p w:rsidR="007456D3" w:rsidRPr="00EB5379" w:rsidRDefault="007456D3" w:rsidP="007456D3">
            <w:pPr>
              <w:pStyle w:val="TableText0"/>
            </w:pPr>
            <w:r w:rsidRPr="00EB5379">
              <w:t xml:space="preserve">The financial estimates should be revised to reflect the lower price (derived from the economic model outlined above) and reduced uptake rate estimates. </w:t>
            </w:r>
            <w:r w:rsidR="000901AB" w:rsidRPr="00EB5379">
              <w:t>Uptake rates of 15</w:t>
            </w:r>
            <w:r w:rsidR="00E814A2" w:rsidRPr="00EB5379">
              <w:t>%</w:t>
            </w:r>
            <w:r w:rsidR="000901AB" w:rsidRPr="00EB5379">
              <w:t xml:space="preserve"> to 30% over six years would be more reasonable</w:t>
            </w:r>
            <w:r w:rsidR="00E814A2" w:rsidRPr="00EB5379">
              <w:t xml:space="preserve"> (rather than 15% to 40% as proposed in the pre-PBAC response)</w:t>
            </w:r>
            <w:r w:rsidR="000901AB" w:rsidRPr="00EB5379">
              <w:t>.</w:t>
            </w:r>
          </w:p>
        </w:tc>
        <w:tc>
          <w:tcPr>
            <w:tcW w:w="2015" w:type="pct"/>
            <w:tcBorders>
              <w:top w:val="single" w:sz="4" w:space="0" w:color="auto"/>
              <w:left w:val="single" w:sz="4" w:space="0" w:color="auto"/>
              <w:bottom w:val="single" w:sz="4" w:space="0" w:color="auto"/>
              <w:right w:val="single" w:sz="4" w:space="0" w:color="auto"/>
            </w:tcBorders>
          </w:tcPr>
          <w:p w:rsidR="008C784C" w:rsidRPr="00EB5379" w:rsidRDefault="007456D3" w:rsidP="007456D3">
            <w:pPr>
              <w:pStyle w:val="TableText0"/>
            </w:pPr>
            <w:r w:rsidRPr="00EB5379">
              <w:t>Uptake rate</w:t>
            </w:r>
            <w:r w:rsidR="00E814A2" w:rsidRPr="00EB5379">
              <w:t>s</w:t>
            </w:r>
            <w:r w:rsidRPr="00EB5379">
              <w:t xml:space="preserve"> changed: </w:t>
            </w:r>
          </w:p>
          <w:p w:rsidR="007456D3" w:rsidRPr="000345C6" w:rsidRDefault="008652EF" w:rsidP="007456D3">
            <w:pPr>
              <w:pStyle w:val="TableText0"/>
            </w:pPr>
            <w:r>
              <w:t>Current s</w:t>
            </w:r>
            <w:r w:rsidR="001652D6" w:rsidRPr="000345C6">
              <w:t xml:space="preserve">ubmission: </w:t>
            </w:r>
            <w:r w:rsidR="000901AB" w:rsidRPr="000345C6">
              <w:t xml:space="preserve">9.6% in Year 1, increasing to 20.4% in Year 3, </w:t>
            </w:r>
            <w:r w:rsidR="008672C8" w:rsidRPr="000345C6">
              <w:t>and then</w:t>
            </w:r>
            <w:r w:rsidR="000901AB" w:rsidRPr="000345C6">
              <w:t xml:space="preserve"> decreasing to 19.4% in Year 6.</w:t>
            </w:r>
          </w:p>
          <w:p w:rsidR="000901AB" w:rsidRPr="00EB5379" w:rsidRDefault="001652D6" w:rsidP="001652D6">
            <w:pPr>
              <w:pStyle w:val="TableText0"/>
            </w:pPr>
            <w:r w:rsidRPr="000345C6">
              <w:t>Pre-PBAC response: 9.6% in Year 1, increasing to 30% in Year 6.</w:t>
            </w:r>
          </w:p>
        </w:tc>
      </w:tr>
      <w:tr w:rsidR="007456D3" w:rsidRPr="00EB5379" w:rsidTr="0056195C">
        <w:trPr>
          <w:trHeight w:val="466"/>
        </w:trPr>
        <w:tc>
          <w:tcPr>
            <w:tcW w:w="2985" w:type="pct"/>
            <w:tcBorders>
              <w:top w:val="single" w:sz="4" w:space="0" w:color="auto"/>
              <w:left w:val="single" w:sz="4" w:space="0" w:color="auto"/>
              <w:bottom w:val="single" w:sz="4" w:space="0" w:color="auto"/>
              <w:right w:val="single" w:sz="4" w:space="0" w:color="auto"/>
            </w:tcBorders>
          </w:tcPr>
          <w:p w:rsidR="007456D3" w:rsidRPr="00EB5379" w:rsidRDefault="007456D3" w:rsidP="007456D3">
            <w:pPr>
              <w:pStyle w:val="TableText0"/>
            </w:pPr>
            <w:r w:rsidRPr="00EB5379">
              <w:t xml:space="preserve">An RSA with a </w:t>
            </w:r>
            <w:r w:rsidR="00DF10EB">
              <w:rPr>
                <w:noProof/>
                <w:color w:val="000000"/>
                <w:highlight w:val="black"/>
              </w:rPr>
              <w:t>'''''''''''''</w:t>
            </w:r>
            <w:r w:rsidRPr="00EB5379">
              <w:t xml:space="preserve"> rebate above the caps would be required given the uncertain patient numbers and the potential for use outside the restriction</w:t>
            </w:r>
          </w:p>
        </w:tc>
        <w:tc>
          <w:tcPr>
            <w:tcW w:w="2015" w:type="pct"/>
            <w:tcBorders>
              <w:top w:val="single" w:sz="4" w:space="0" w:color="auto"/>
              <w:left w:val="single" w:sz="4" w:space="0" w:color="auto"/>
              <w:bottom w:val="single" w:sz="4" w:space="0" w:color="auto"/>
              <w:right w:val="single" w:sz="4" w:space="0" w:color="auto"/>
            </w:tcBorders>
          </w:tcPr>
          <w:p w:rsidR="007456D3" w:rsidRPr="00EB5379" w:rsidRDefault="007456D3" w:rsidP="007456D3">
            <w:pPr>
              <w:pStyle w:val="TableText0"/>
            </w:pPr>
            <w:r w:rsidRPr="00EB5379">
              <w:t>Addressed</w:t>
            </w:r>
          </w:p>
          <w:p w:rsidR="001652D6" w:rsidRPr="00EB5379" w:rsidRDefault="001652D6" w:rsidP="000653DF">
            <w:pPr>
              <w:pStyle w:val="TableText0"/>
            </w:pPr>
            <w:r w:rsidRPr="00EB5379">
              <w:t xml:space="preserve">Pre-PBAC response: RSA capped expenditure at </w:t>
            </w:r>
            <w:r w:rsidR="00DF10EB">
              <w:rPr>
                <w:noProof/>
                <w:color w:val="000000"/>
                <w:highlight w:val="black"/>
              </w:rPr>
              <w:t>'''' '''''''''' ''''''''''''''''</w:t>
            </w:r>
            <w:r w:rsidRPr="00EB5379">
              <w:t xml:space="preserve"> per year from Year 3 onwards. </w:t>
            </w:r>
          </w:p>
        </w:tc>
      </w:tr>
    </w:tbl>
    <w:p w:rsidR="00A01432" w:rsidRPr="00EB5379" w:rsidRDefault="00A01432" w:rsidP="0095221E">
      <w:pPr>
        <w:pStyle w:val="TableFigureFooter"/>
        <w:keepNext/>
        <w:spacing w:after="240"/>
        <w:contextualSpacing w:val="0"/>
        <w:rPr>
          <w:color w:val="FF0000"/>
          <w:lang w:eastAsia="en-US"/>
        </w:rPr>
      </w:pPr>
      <w:r w:rsidRPr="00EB5379">
        <w:rPr>
          <w:lang w:eastAsia="en-US"/>
        </w:rPr>
        <w:t xml:space="preserve">Source: Compiled </w:t>
      </w:r>
      <w:r w:rsidR="004B6DAA" w:rsidRPr="00EB5379">
        <w:rPr>
          <w:lang w:eastAsia="en-US"/>
        </w:rPr>
        <w:t>during preparation of the Minor Overview based on Table 1, p</w:t>
      </w:r>
      <w:r w:rsidRPr="00EB5379">
        <w:rPr>
          <w:lang w:eastAsia="en-US"/>
        </w:rPr>
        <w:t>.</w:t>
      </w:r>
      <w:r w:rsidR="008652EF">
        <w:rPr>
          <w:lang w:eastAsia="en-US"/>
        </w:rPr>
        <w:t xml:space="preserve">1 of the minor </w:t>
      </w:r>
      <w:r w:rsidR="007456D3" w:rsidRPr="00EB5379">
        <w:rPr>
          <w:lang w:eastAsia="en-US"/>
        </w:rPr>
        <w:t>submission</w:t>
      </w:r>
      <w:r w:rsidR="000653DF" w:rsidRPr="00EB5379">
        <w:rPr>
          <w:lang w:eastAsia="en-US"/>
        </w:rPr>
        <w:t xml:space="preserve"> and the pre-PBAC response</w:t>
      </w:r>
      <w:r w:rsidR="007456D3" w:rsidRPr="00EB5379">
        <w:rPr>
          <w:lang w:eastAsia="en-US"/>
        </w:rPr>
        <w:t xml:space="preserve">. </w:t>
      </w:r>
      <w:r w:rsidRPr="00EB5379">
        <w:rPr>
          <w:lang w:eastAsia="en-US"/>
        </w:rPr>
        <w:t>Paragraph references refer to the</w:t>
      </w:r>
      <w:r w:rsidR="007456D3" w:rsidRPr="00EB5379">
        <w:rPr>
          <w:lang w:eastAsia="en-US"/>
        </w:rPr>
        <w:t xml:space="preserve"> March 2020 rivaroxaban </w:t>
      </w:r>
      <w:r w:rsidR="000D3B77">
        <w:rPr>
          <w:lang w:eastAsia="en-US"/>
        </w:rPr>
        <w:t>PSD</w:t>
      </w:r>
      <w:r w:rsidR="007456D3" w:rsidRPr="00EB5379">
        <w:rPr>
          <w:color w:val="FF0000"/>
          <w:lang w:eastAsia="en-US"/>
        </w:rPr>
        <w:t>.</w:t>
      </w:r>
    </w:p>
    <w:p w:rsidR="0095221E" w:rsidRPr="00EB5379" w:rsidRDefault="0095221E" w:rsidP="000D3B77">
      <w:pPr>
        <w:pStyle w:val="TableFigureFooter"/>
        <w:keepNext/>
        <w:ind w:firstLine="720"/>
        <w:rPr>
          <w:rFonts w:asciiTheme="minorHAnsi" w:hAnsiTheme="minorHAnsi" w:cstheme="minorHAnsi"/>
          <w:i/>
          <w:snapToGrid/>
          <w:sz w:val="24"/>
          <w:szCs w:val="24"/>
        </w:rPr>
      </w:pPr>
      <w:r w:rsidRPr="00EB5379">
        <w:rPr>
          <w:rFonts w:asciiTheme="minorHAnsi" w:hAnsiTheme="minorHAnsi" w:cstheme="minorHAnsi"/>
          <w:i/>
          <w:snapToGrid/>
          <w:sz w:val="24"/>
          <w:szCs w:val="24"/>
        </w:rPr>
        <w:t>For more detail on PBAC’s view, see section 6 PBAC outcomes.</w:t>
      </w:r>
    </w:p>
    <w:p w:rsidR="00B17EE5" w:rsidRPr="00EB5379" w:rsidRDefault="00B17EE5" w:rsidP="00917D69">
      <w:pPr>
        <w:pStyle w:val="2-SectionHeading"/>
      </w:pPr>
      <w:r w:rsidRPr="00EB5379">
        <w:t>Requested listing</w:t>
      </w:r>
    </w:p>
    <w:p w:rsidR="004B6DAA" w:rsidRPr="00EB5379" w:rsidRDefault="00E075E9" w:rsidP="004B6DAA">
      <w:pPr>
        <w:pStyle w:val="3Bodytext"/>
      </w:pPr>
      <w:r>
        <w:t>The submission updated the restriction in line with PBAC’s previous advice</w:t>
      </w:r>
      <w:r w:rsidR="006B151D">
        <w:t xml:space="preserve">, including by targeting use in patients with PAD to a higher risk population, and including diabetes as a risk factor. </w:t>
      </w:r>
      <w:r w:rsidR="00B17EE5" w:rsidRPr="00EB5379">
        <w:t xml:space="preserve">The </w:t>
      </w:r>
      <w:r w:rsidR="00C24612">
        <w:t xml:space="preserve">listing requested by the </w:t>
      </w:r>
      <w:r w:rsidR="00B17EE5" w:rsidRPr="00EB5379">
        <w:t xml:space="preserve">submission </w:t>
      </w:r>
      <w:r w:rsidR="00C24612">
        <w:t>is</w:t>
      </w:r>
      <w:r w:rsidR="004B6DAA" w:rsidRPr="00EB5379">
        <w:t xml:space="preserve"> outlined below. </w:t>
      </w:r>
      <w:r w:rsidR="008C5490">
        <w:t>The restriction recommended by the PBAC is presented in Section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986"/>
        <w:gridCol w:w="705"/>
        <w:gridCol w:w="703"/>
        <w:gridCol w:w="564"/>
        <w:gridCol w:w="1410"/>
        <w:gridCol w:w="705"/>
        <w:gridCol w:w="1268"/>
      </w:tblGrid>
      <w:tr w:rsidR="004A73A1" w:rsidRPr="00EB5379" w:rsidTr="0056195C">
        <w:trPr>
          <w:cantSplit/>
          <w:trHeight w:val="471"/>
        </w:trPr>
        <w:tc>
          <w:tcPr>
            <w:tcW w:w="1483" w:type="pct"/>
          </w:tcPr>
          <w:p w:rsidR="004A73A1" w:rsidRPr="00EB5379" w:rsidRDefault="004A73A1" w:rsidP="001B3A40">
            <w:pPr>
              <w:keepNext/>
              <w:ind w:left="-108"/>
              <w:rPr>
                <w:rFonts w:ascii="Arial Narrow" w:hAnsi="Arial Narrow" w:cs="Arial"/>
                <w:b/>
                <w:sz w:val="18"/>
                <w:szCs w:val="18"/>
              </w:rPr>
            </w:pPr>
            <w:r w:rsidRPr="00EB5379">
              <w:rPr>
                <w:rFonts w:ascii="Arial Narrow" w:hAnsi="Arial Narrow" w:cs="Arial"/>
                <w:b/>
                <w:sz w:val="18"/>
                <w:szCs w:val="18"/>
              </w:rPr>
              <w:lastRenderedPageBreak/>
              <w:t>Name, Restriction,</w:t>
            </w:r>
          </w:p>
          <w:p w:rsidR="004A73A1" w:rsidRPr="00EB5379" w:rsidRDefault="004A73A1" w:rsidP="001B3A40">
            <w:pPr>
              <w:keepNext/>
              <w:ind w:left="-108"/>
              <w:rPr>
                <w:rFonts w:ascii="Arial Narrow" w:hAnsi="Arial Narrow" w:cs="Arial"/>
                <w:b/>
                <w:sz w:val="18"/>
                <w:szCs w:val="18"/>
              </w:rPr>
            </w:pPr>
            <w:r w:rsidRPr="00EB5379">
              <w:rPr>
                <w:rFonts w:ascii="Arial Narrow" w:hAnsi="Arial Narrow" w:cs="Arial"/>
                <w:b/>
                <w:sz w:val="18"/>
                <w:szCs w:val="18"/>
              </w:rPr>
              <w:t>Manner of administration and form</w:t>
            </w:r>
          </w:p>
        </w:tc>
        <w:tc>
          <w:tcPr>
            <w:tcW w:w="547" w:type="pct"/>
            <w:tcBorders>
              <w:bottom w:val="single" w:sz="4" w:space="0" w:color="auto"/>
            </w:tcBorders>
          </w:tcPr>
          <w:p w:rsidR="004A73A1" w:rsidRPr="00EB5379" w:rsidRDefault="004A73A1" w:rsidP="001B3A40">
            <w:pPr>
              <w:keepNext/>
              <w:ind w:left="-108"/>
              <w:jc w:val="center"/>
              <w:rPr>
                <w:rFonts w:ascii="Arial Narrow" w:hAnsi="Arial Narrow" w:cs="Arial"/>
                <w:b/>
                <w:sz w:val="18"/>
                <w:szCs w:val="18"/>
              </w:rPr>
            </w:pPr>
            <w:r w:rsidRPr="00EB5379">
              <w:rPr>
                <w:rFonts w:ascii="Arial Narrow" w:hAnsi="Arial Narrow" w:cs="Arial"/>
                <w:b/>
                <w:sz w:val="18"/>
                <w:szCs w:val="18"/>
              </w:rPr>
              <w:t>PBS item code</w:t>
            </w:r>
          </w:p>
        </w:tc>
        <w:tc>
          <w:tcPr>
            <w:tcW w:w="391" w:type="pct"/>
            <w:tcBorders>
              <w:bottom w:val="single" w:sz="4" w:space="0" w:color="auto"/>
            </w:tcBorders>
          </w:tcPr>
          <w:p w:rsidR="004A73A1" w:rsidRPr="00EB5379" w:rsidRDefault="004A73A1" w:rsidP="001B3A40">
            <w:pPr>
              <w:keepNext/>
              <w:ind w:left="-108"/>
              <w:jc w:val="center"/>
              <w:rPr>
                <w:rFonts w:ascii="Arial Narrow" w:hAnsi="Arial Narrow" w:cs="Arial"/>
                <w:b/>
                <w:sz w:val="18"/>
                <w:szCs w:val="18"/>
              </w:rPr>
            </w:pPr>
            <w:r w:rsidRPr="00EB5379">
              <w:rPr>
                <w:rFonts w:ascii="Arial Narrow" w:hAnsi="Arial Narrow" w:cs="Arial"/>
                <w:b/>
                <w:sz w:val="18"/>
                <w:szCs w:val="18"/>
              </w:rPr>
              <w:t>Max. qty packs</w:t>
            </w:r>
          </w:p>
        </w:tc>
        <w:tc>
          <w:tcPr>
            <w:tcW w:w="390" w:type="pct"/>
          </w:tcPr>
          <w:p w:rsidR="004A73A1" w:rsidRPr="00EB5379" w:rsidRDefault="004A73A1" w:rsidP="001B3A40">
            <w:pPr>
              <w:keepNext/>
              <w:ind w:left="-108"/>
              <w:jc w:val="center"/>
              <w:rPr>
                <w:rFonts w:ascii="Arial Narrow" w:hAnsi="Arial Narrow" w:cs="Arial"/>
                <w:b/>
                <w:sz w:val="18"/>
                <w:szCs w:val="18"/>
              </w:rPr>
            </w:pPr>
            <w:r w:rsidRPr="00EB5379">
              <w:rPr>
                <w:rFonts w:ascii="Arial Narrow" w:hAnsi="Arial Narrow" w:cs="Arial"/>
                <w:b/>
                <w:sz w:val="18"/>
                <w:szCs w:val="18"/>
              </w:rPr>
              <w:t>Max. qty units</w:t>
            </w:r>
          </w:p>
        </w:tc>
        <w:tc>
          <w:tcPr>
            <w:tcW w:w="313" w:type="pct"/>
          </w:tcPr>
          <w:p w:rsidR="004A73A1" w:rsidRPr="00EB5379" w:rsidRDefault="004A73A1" w:rsidP="001B3A40">
            <w:pPr>
              <w:keepNext/>
              <w:ind w:left="-108"/>
              <w:jc w:val="center"/>
              <w:rPr>
                <w:rFonts w:ascii="Arial Narrow" w:hAnsi="Arial Narrow" w:cs="Arial"/>
                <w:b/>
                <w:sz w:val="18"/>
                <w:szCs w:val="18"/>
              </w:rPr>
            </w:pPr>
            <w:r w:rsidRPr="00EB5379">
              <w:rPr>
                <w:rFonts w:ascii="Arial Narrow" w:hAnsi="Arial Narrow" w:cs="Arial"/>
                <w:b/>
                <w:sz w:val="18"/>
                <w:szCs w:val="18"/>
              </w:rPr>
              <w:t>№.of</w:t>
            </w:r>
          </w:p>
          <w:p w:rsidR="004A73A1" w:rsidRPr="00EB5379" w:rsidRDefault="004A73A1" w:rsidP="001B3A40">
            <w:pPr>
              <w:keepNext/>
              <w:ind w:left="-108"/>
              <w:jc w:val="center"/>
              <w:rPr>
                <w:rFonts w:ascii="Arial Narrow" w:hAnsi="Arial Narrow" w:cs="Arial"/>
                <w:b/>
                <w:sz w:val="18"/>
                <w:szCs w:val="18"/>
              </w:rPr>
            </w:pPr>
            <w:r w:rsidRPr="00EB5379">
              <w:rPr>
                <w:rFonts w:ascii="Arial Narrow" w:hAnsi="Arial Narrow" w:cs="Arial"/>
                <w:b/>
                <w:sz w:val="18"/>
                <w:szCs w:val="18"/>
              </w:rPr>
              <w:t>Rpts</w:t>
            </w:r>
          </w:p>
        </w:tc>
        <w:tc>
          <w:tcPr>
            <w:tcW w:w="782" w:type="pct"/>
          </w:tcPr>
          <w:p w:rsidR="004A73A1" w:rsidRPr="00EB5379" w:rsidRDefault="004A73A1" w:rsidP="004A73A1">
            <w:pPr>
              <w:keepNext/>
              <w:jc w:val="center"/>
              <w:rPr>
                <w:rFonts w:ascii="Arial Narrow" w:hAnsi="Arial Narrow" w:cs="Arial"/>
                <w:b/>
                <w:sz w:val="18"/>
                <w:szCs w:val="18"/>
              </w:rPr>
            </w:pPr>
            <w:r w:rsidRPr="00EB5379">
              <w:rPr>
                <w:rFonts w:ascii="Arial Narrow" w:hAnsi="Arial Narrow" w:cs="Arial"/>
                <w:b/>
                <w:sz w:val="18"/>
                <w:szCs w:val="18"/>
              </w:rPr>
              <w:t>Dispensed Price Max Qty</w:t>
            </w:r>
          </w:p>
        </w:tc>
        <w:tc>
          <w:tcPr>
            <w:tcW w:w="1094" w:type="pct"/>
            <w:gridSpan w:val="2"/>
          </w:tcPr>
          <w:p w:rsidR="004A73A1" w:rsidRPr="000345C6" w:rsidRDefault="004A73A1" w:rsidP="001B3A40">
            <w:pPr>
              <w:keepNext/>
              <w:rPr>
                <w:rFonts w:ascii="Arial Narrow" w:hAnsi="Arial Narrow" w:cs="Arial"/>
                <w:b/>
                <w:sz w:val="18"/>
                <w:szCs w:val="18"/>
              </w:rPr>
            </w:pPr>
            <w:r w:rsidRPr="00EB5379">
              <w:rPr>
                <w:rFonts w:ascii="Arial Narrow" w:hAnsi="Arial Narrow" w:cs="Arial"/>
                <w:b/>
                <w:sz w:val="18"/>
                <w:szCs w:val="18"/>
              </w:rPr>
              <w:t>Proprietary Name and Manufacturer</w:t>
            </w:r>
          </w:p>
        </w:tc>
      </w:tr>
      <w:tr w:rsidR="004A73A1" w:rsidRPr="00EB5379" w:rsidTr="0056195C">
        <w:trPr>
          <w:cantSplit/>
          <w:trHeight w:val="761"/>
        </w:trPr>
        <w:tc>
          <w:tcPr>
            <w:tcW w:w="1483" w:type="pct"/>
          </w:tcPr>
          <w:p w:rsidR="00F3791B" w:rsidRPr="00EB5379" w:rsidRDefault="004A73A1" w:rsidP="00F3791B">
            <w:pPr>
              <w:keepNext/>
              <w:ind w:left="-108"/>
              <w:rPr>
                <w:rFonts w:ascii="Arial Narrow" w:hAnsi="Arial Narrow" w:cs="Arial"/>
                <w:sz w:val="18"/>
                <w:szCs w:val="18"/>
              </w:rPr>
            </w:pPr>
            <w:r w:rsidRPr="00EB5379">
              <w:rPr>
                <w:rFonts w:ascii="Arial Narrow" w:hAnsi="Arial Narrow" w:cs="Arial"/>
                <w:sz w:val="18"/>
                <w:szCs w:val="18"/>
              </w:rPr>
              <w:t>RIVAROXABAN</w:t>
            </w:r>
          </w:p>
          <w:p w:rsidR="00F3791B" w:rsidRPr="00EB5379" w:rsidRDefault="00F3791B" w:rsidP="00F3791B">
            <w:pPr>
              <w:keepNext/>
              <w:ind w:left="-108"/>
              <w:rPr>
                <w:rFonts w:ascii="Arial Narrow" w:hAnsi="Arial Narrow" w:cs="Arial"/>
                <w:sz w:val="18"/>
                <w:szCs w:val="18"/>
              </w:rPr>
            </w:pPr>
          </w:p>
          <w:p w:rsidR="004A73A1" w:rsidRPr="00EB5379" w:rsidRDefault="00F3791B" w:rsidP="002C1AC8">
            <w:pPr>
              <w:keepNext/>
              <w:ind w:left="-108"/>
              <w:rPr>
                <w:rFonts w:ascii="Arial Narrow" w:hAnsi="Arial Narrow" w:cs="Arial"/>
                <w:sz w:val="18"/>
                <w:szCs w:val="18"/>
              </w:rPr>
            </w:pPr>
            <w:r w:rsidRPr="00EB5379">
              <w:rPr>
                <w:rFonts w:ascii="Arial Narrow" w:hAnsi="Arial Narrow" w:cs="Arial"/>
                <w:sz w:val="18"/>
                <w:szCs w:val="18"/>
              </w:rPr>
              <w:t>r</w:t>
            </w:r>
            <w:r w:rsidR="004A73A1" w:rsidRPr="00EB5379">
              <w:rPr>
                <w:rFonts w:ascii="Arial Narrow" w:hAnsi="Arial Narrow" w:cs="Arial"/>
                <w:sz w:val="18"/>
                <w:szCs w:val="18"/>
              </w:rPr>
              <w:t>ivaroxaban 2.5 mg tablet, 60</w:t>
            </w:r>
          </w:p>
        </w:tc>
        <w:tc>
          <w:tcPr>
            <w:tcW w:w="547" w:type="pct"/>
            <w:tcBorders>
              <w:top w:val="single" w:sz="4" w:space="0" w:color="auto"/>
              <w:bottom w:val="single" w:sz="4" w:space="0" w:color="auto"/>
            </w:tcBorders>
          </w:tcPr>
          <w:p w:rsidR="004A73A1" w:rsidRPr="00EB5379" w:rsidRDefault="004A73A1" w:rsidP="003851FA">
            <w:pPr>
              <w:keepNext/>
              <w:ind w:left="-108"/>
              <w:jc w:val="center"/>
              <w:rPr>
                <w:rFonts w:ascii="Arial Narrow" w:hAnsi="Arial Narrow" w:cs="Arial"/>
                <w:sz w:val="18"/>
                <w:szCs w:val="18"/>
              </w:rPr>
            </w:pPr>
          </w:p>
          <w:p w:rsidR="00F3791B" w:rsidRPr="00EB5379" w:rsidRDefault="00F3791B" w:rsidP="003851FA">
            <w:pPr>
              <w:keepNext/>
              <w:ind w:left="-108"/>
              <w:jc w:val="center"/>
              <w:rPr>
                <w:rFonts w:ascii="Arial Narrow" w:hAnsi="Arial Narrow" w:cs="Arial"/>
                <w:sz w:val="18"/>
                <w:szCs w:val="18"/>
              </w:rPr>
            </w:pPr>
          </w:p>
          <w:p w:rsidR="004A73A1" w:rsidRPr="00EB5379" w:rsidRDefault="004A73A1" w:rsidP="003851FA">
            <w:pPr>
              <w:keepNext/>
              <w:ind w:left="-108"/>
              <w:jc w:val="center"/>
              <w:rPr>
                <w:rFonts w:ascii="Arial Narrow" w:hAnsi="Arial Narrow" w:cs="Arial"/>
                <w:sz w:val="18"/>
                <w:szCs w:val="18"/>
              </w:rPr>
            </w:pPr>
            <w:r w:rsidRPr="00EB5379">
              <w:rPr>
                <w:rFonts w:ascii="Arial Narrow" w:hAnsi="Arial Narrow" w:cs="Arial"/>
                <w:sz w:val="18"/>
                <w:szCs w:val="18"/>
              </w:rPr>
              <w:t>NEW</w:t>
            </w:r>
          </w:p>
        </w:tc>
        <w:tc>
          <w:tcPr>
            <w:tcW w:w="391" w:type="pct"/>
            <w:tcBorders>
              <w:top w:val="single" w:sz="4" w:space="0" w:color="auto"/>
              <w:left w:val="single" w:sz="4" w:space="0" w:color="999999"/>
              <w:bottom w:val="single" w:sz="4" w:space="0" w:color="auto"/>
              <w:right w:val="single" w:sz="4" w:space="0" w:color="auto"/>
            </w:tcBorders>
          </w:tcPr>
          <w:p w:rsidR="004A73A1" w:rsidRPr="000345C6" w:rsidRDefault="004A73A1" w:rsidP="003851FA">
            <w:pPr>
              <w:keepNext/>
              <w:jc w:val="center"/>
              <w:rPr>
                <w:rFonts w:ascii="Arial Narrow" w:eastAsia="Calibri" w:hAnsi="Arial Narrow"/>
                <w:sz w:val="18"/>
                <w:szCs w:val="18"/>
                <w:lang w:eastAsia="en-US"/>
              </w:rPr>
            </w:pPr>
          </w:p>
          <w:p w:rsidR="00F3791B" w:rsidRPr="000345C6" w:rsidRDefault="00F3791B" w:rsidP="003851FA">
            <w:pPr>
              <w:keepNext/>
              <w:jc w:val="center"/>
              <w:rPr>
                <w:rFonts w:ascii="Arial Narrow" w:eastAsia="Calibri" w:hAnsi="Arial Narrow"/>
                <w:sz w:val="18"/>
                <w:szCs w:val="18"/>
                <w:lang w:eastAsia="en-US"/>
              </w:rPr>
            </w:pPr>
          </w:p>
          <w:p w:rsidR="004A73A1" w:rsidRPr="00EB5379" w:rsidRDefault="004A73A1" w:rsidP="003851FA">
            <w:pPr>
              <w:keepNext/>
              <w:jc w:val="center"/>
              <w:rPr>
                <w:rFonts w:ascii="Arial Narrow" w:hAnsi="Arial Narrow" w:cs="Arial"/>
                <w:sz w:val="18"/>
                <w:szCs w:val="18"/>
              </w:rPr>
            </w:pPr>
            <w:r w:rsidRPr="000345C6">
              <w:rPr>
                <w:rFonts w:ascii="Arial Narrow" w:eastAsia="Calibri" w:hAnsi="Arial Narrow"/>
                <w:sz w:val="18"/>
                <w:szCs w:val="18"/>
                <w:lang w:eastAsia="en-US"/>
              </w:rPr>
              <w:t>1</w:t>
            </w:r>
          </w:p>
        </w:tc>
        <w:tc>
          <w:tcPr>
            <w:tcW w:w="390" w:type="pct"/>
            <w:tcBorders>
              <w:top w:val="single" w:sz="4" w:space="0" w:color="auto"/>
              <w:left w:val="single" w:sz="4" w:space="0" w:color="auto"/>
              <w:bottom w:val="single" w:sz="4" w:space="0" w:color="auto"/>
              <w:right w:val="single" w:sz="4" w:space="0" w:color="auto"/>
            </w:tcBorders>
          </w:tcPr>
          <w:p w:rsidR="004A73A1" w:rsidRPr="000345C6" w:rsidRDefault="004A73A1" w:rsidP="003851FA">
            <w:pPr>
              <w:keepNext/>
              <w:ind w:left="-108"/>
              <w:jc w:val="center"/>
              <w:rPr>
                <w:rFonts w:ascii="Arial Narrow" w:eastAsia="Calibri" w:hAnsi="Arial Narrow"/>
                <w:sz w:val="18"/>
                <w:szCs w:val="18"/>
                <w:lang w:eastAsia="en-US"/>
              </w:rPr>
            </w:pPr>
          </w:p>
          <w:p w:rsidR="00F3791B" w:rsidRPr="000345C6" w:rsidRDefault="00F3791B" w:rsidP="003851FA">
            <w:pPr>
              <w:keepNext/>
              <w:ind w:left="-108"/>
              <w:jc w:val="center"/>
              <w:rPr>
                <w:rFonts w:ascii="Arial Narrow" w:eastAsia="Calibri" w:hAnsi="Arial Narrow"/>
                <w:sz w:val="18"/>
                <w:szCs w:val="18"/>
                <w:lang w:eastAsia="en-US"/>
              </w:rPr>
            </w:pPr>
          </w:p>
          <w:p w:rsidR="004A73A1" w:rsidRPr="00EB5379" w:rsidRDefault="004A73A1" w:rsidP="003851FA">
            <w:pPr>
              <w:keepNext/>
              <w:ind w:left="-108"/>
              <w:jc w:val="center"/>
              <w:rPr>
                <w:rFonts w:ascii="Arial Narrow" w:hAnsi="Arial Narrow" w:cs="Arial"/>
                <w:sz w:val="18"/>
                <w:szCs w:val="18"/>
              </w:rPr>
            </w:pPr>
            <w:r w:rsidRPr="000345C6">
              <w:rPr>
                <w:rFonts w:ascii="Arial Narrow" w:eastAsia="Calibri" w:hAnsi="Arial Narrow"/>
                <w:sz w:val="18"/>
                <w:szCs w:val="18"/>
                <w:lang w:eastAsia="en-US"/>
              </w:rPr>
              <w:t>60</w:t>
            </w:r>
          </w:p>
        </w:tc>
        <w:tc>
          <w:tcPr>
            <w:tcW w:w="313" w:type="pct"/>
            <w:tcBorders>
              <w:top w:val="single" w:sz="4" w:space="0" w:color="auto"/>
              <w:left w:val="single" w:sz="4" w:space="0" w:color="auto"/>
              <w:bottom w:val="single" w:sz="4" w:space="0" w:color="auto"/>
              <w:right w:val="single" w:sz="4" w:space="0" w:color="auto"/>
            </w:tcBorders>
          </w:tcPr>
          <w:p w:rsidR="004A73A1" w:rsidRPr="00EB5379" w:rsidRDefault="004A73A1" w:rsidP="004A73A1">
            <w:pPr>
              <w:jc w:val="center"/>
              <w:rPr>
                <w:rFonts w:ascii="Arial Narrow" w:hAnsi="Arial Narrow" w:cs="Arial"/>
                <w:sz w:val="18"/>
                <w:szCs w:val="18"/>
              </w:rPr>
            </w:pPr>
          </w:p>
          <w:p w:rsidR="00F3791B" w:rsidRPr="00EB5379" w:rsidRDefault="00F3791B" w:rsidP="004A73A1">
            <w:pPr>
              <w:jc w:val="center"/>
              <w:rPr>
                <w:rFonts w:ascii="Arial Narrow" w:hAnsi="Arial Narrow" w:cs="Arial"/>
                <w:sz w:val="18"/>
                <w:szCs w:val="18"/>
              </w:rPr>
            </w:pPr>
          </w:p>
          <w:p w:rsidR="004A73A1" w:rsidRPr="00EB5379" w:rsidRDefault="004A73A1" w:rsidP="004A73A1">
            <w:pPr>
              <w:jc w:val="center"/>
              <w:rPr>
                <w:rFonts w:ascii="Arial Narrow" w:hAnsi="Arial Narrow" w:cs="Arial"/>
                <w:sz w:val="18"/>
                <w:szCs w:val="18"/>
              </w:rPr>
            </w:pPr>
            <w:r w:rsidRPr="00EB5379">
              <w:rPr>
                <w:rFonts w:ascii="Arial Narrow" w:hAnsi="Arial Narrow" w:cs="Arial"/>
                <w:sz w:val="18"/>
                <w:szCs w:val="18"/>
              </w:rPr>
              <w:t>5</w:t>
            </w:r>
          </w:p>
        </w:tc>
        <w:tc>
          <w:tcPr>
            <w:tcW w:w="782" w:type="pct"/>
            <w:tcBorders>
              <w:top w:val="single" w:sz="4" w:space="0" w:color="auto"/>
              <w:left w:val="single" w:sz="4" w:space="0" w:color="auto"/>
              <w:bottom w:val="single" w:sz="4" w:space="0" w:color="auto"/>
              <w:right w:val="single" w:sz="4" w:space="0" w:color="auto"/>
            </w:tcBorders>
          </w:tcPr>
          <w:p w:rsidR="004A73A1" w:rsidRPr="000345C6" w:rsidRDefault="004A73A1" w:rsidP="004A73A1">
            <w:pPr>
              <w:keepNext/>
              <w:jc w:val="center"/>
              <w:rPr>
                <w:rFonts w:ascii="Arial Narrow" w:eastAsia="Calibri" w:hAnsi="Arial Narrow"/>
                <w:sz w:val="18"/>
                <w:szCs w:val="18"/>
                <w:lang w:eastAsia="en-US"/>
              </w:rPr>
            </w:pPr>
          </w:p>
          <w:p w:rsidR="00F3791B" w:rsidRPr="000345C6" w:rsidRDefault="00F3791B" w:rsidP="00F3791B">
            <w:pPr>
              <w:keepNext/>
              <w:jc w:val="center"/>
              <w:rPr>
                <w:rFonts w:ascii="Arial Narrow" w:eastAsia="Calibri" w:hAnsi="Arial Narrow"/>
                <w:sz w:val="18"/>
                <w:szCs w:val="18"/>
                <w:lang w:eastAsia="en-US"/>
              </w:rPr>
            </w:pPr>
          </w:p>
          <w:p w:rsidR="004A73A1" w:rsidRPr="000345C6" w:rsidRDefault="004A73A1" w:rsidP="00F3791B">
            <w:pPr>
              <w:keepNext/>
              <w:jc w:val="center"/>
              <w:rPr>
                <w:rFonts w:ascii="Arial Narrow" w:eastAsia="Calibri" w:hAnsi="Arial Narrow"/>
                <w:sz w:val="18"/>
                <w:szCs w:val="18"/>
                <w:lang w:eastAsia="en-US"/>
              </w:rPr>
            </w:pPr>
            <w:r w:rsidRPr="000345C6">
              <w:rPr>
                <w:rFonts w:ascii="Arial Narrow" w:eastAsia="Calibri" w:hAnsi="Arial Narrow"/>
                <w:sz w:val="18"/>
                <w:szCs w:val="18"/>
                <w:lang w:eastAsia="en-US"/>
              </w:rPr>
              <w:t>Public: $84.83</w:t>
            </w:r>
          </w:p>
          <w:p w:rsidR="004A73A1" w:rsidRPr="000345C6" w:rsidRDefault="004A73A1" w:rsidP="004A73A1">
            <w:pPr>
              <w:keepNext/>
              <w:jc w:val="center"/>
              <w:rPr>
                <w:rFonts w:ascii="Arial Narrow" w:eastAsia="Calibri" w:hAnsi="Arial Narrow"/>
                <w:sz w:val="18"/>
                <w:szCs w:val="18"/>
                <w:lang w:eastAsia="en-US"/>
              </w:rPr>
            </w:pPr>
            <w:r w:rsidRPr="000345C6">
              <w:rPr>
                <w:rFonts w:ascii="Arial Narrow" w:eastAsia="Calibri" w:hAnsi="Arial Narrow"/>
                <w:sz w:val="18"/>
                <w:szCs w:val="18"/>
                <w:lang w:eastAsia="en-US"/>
              </w:rPr>
              <w:t>Effective: $</w:t>
            </w:r>
            <w:r w:rsidR="00DF10EB">
              <w:rPr>
                <w:rFonts w:ascii="Arial Narrow" w:eastAsia="Calibri" w:hAnsi="Arial Narrow"/>
                <w:noProof/>
                <w:color w:val="000000"/>
                <w:sz w:val="18"/>
                <w:szCs w:val="18"/>
                <w:highlight w:val="black"/>
                <w:lang w:eastAsia="en-US"/>
              </w:rPr>
              <w:t>''''''''''''</w:t>
            </w:r>
          </w:p>
        </w:tc>
        <w:tc>
          <w:tcPr>
            <w:tcW w:w="391" w:type="pct"/>
            <w:tcBorders>
              <w:top w:val="single" w:sz="4" w:space="0" w:color="auto"/>
              <w:left w:val="single" w:sz="4" w:space="0" w:color="auto"/>
              <w:bottom w:val="single" w:sz="4" w:space="0" w:color="auto"/>
              <w:right w:val="single" w:sz="4" w:space="0" w:color="auto"/>
            </w:tcBorders>
          </w:tcPr>
          <w:p w:rsidR="004A73A1" w:rsidRPr="000345C6" w:rsidRDefault="004A73A1" w:rsidP="003851FA">
            <w:pPr>
              <w:keepNext/>
              <w:rPr>
                <w:rFonts w:ascii="Arial Narrow" w:eastAsia="Calibri" w:hAnsi="Arial Narrow"/>
                <w:sz w:val="18"/>
                <w:szCs w:val="18"/>
                <w:lang w:eastAsia="en-US"/>
              </w:rPr>
            </w:pPr>
          </w:p>
          <w:p w:rsidR="00F3791B" w:rsidRPr="000345C6" w:rsidRDefault="00F3791B" w:rsidP="003851FA">
            <w:pPr>
              <w:keepNext/>
              <w:rPr>
                <w:rFonts w:ascii="Arial Narrow" w:eastAsia="Calibri" w:hAnsi="Arial Narrow"/>
                <w:sz w:val="18"/>
                <w:szCs w:val="18"/>
                <w:lang w:eastAsia="en-US"/>
              </w:rPr>
            </w:pPr>
          </w:p>
          <w:p w:rsidR="004A73A1" w:rsidRPr="00EB5379" w:rsidRDefault="004A73A1" w:rsidP="003851FA">
            <w:pPr>
              <w:keepNext/>
              <w:rPr>
                <w:rFonts w:ascii="Arial Narrow" w:hAnsi="Arial Narrow" w:cs="Arial"/>
                <w:sz w:val="18"/>
                <w:szCs w:val="18"/>
              </w:rPr>
            </w:pPr>
            <w:r w:rsidRPr="000345C6">
              <w:rPr>
                <w:rFonts w:ascii="Arial Narrow" w:eastAsia="Calibri" w:hAnsi="Arial Narrow"/>
                <w:sz w:val="18"/>
                <w:szCs w:val="18"/>
                <w:lang w:eastAsia="en-US"/>
              </w:rPr>
              <w:t>Xarelto</w:t>
            </w:r>
          </w:p>
        </w:tc>
        <w:tc>
          <w:tcPr>
            <w:tcW w:w="703" w:type="pct"/>
            <w:tcBorders>
              <w:top w:val="single" w:sz="4" w:space="0" w:color="auto"/>
              <w:left w:val="single" w:sz="4" w:space="0" w:color="auto"/>
              <w:bottom w:val="single" w:sz="4" w:space="0" w:color="auto"/>
              <w:right w:val="single" w:sz="4" w:space="0" w:color="auto"/>
            </w:tcBorders>
          </w:tcPr>
          <w:p w:rsidR="004A73A1" w:rsidRPr="000345C6" w:rsidRDefault="004A73A1" w:rsidP="003851FA">
            <w:pPr>
              <w:keepNext/>
              <w:rPr>
                <w:rFonts w:ascii="Arial Narrow" w:eastAsia="Calibri" w:hAnsi="Arial Narrow"/>
                <w:sz w:val="18"/>
                <w:szCs w:val="18"/>
                <w:lang w:eastAsia="en-US"/>
              </w:rPr>
            </w:pPr>
          </w:p>
          <w:p w:rsidR="00F3791B" w:rsidRPr="000345C6" w:rsidRDefault="00F3791B" w:rsidP="003851FA">
            <w:pPr>
              <w:keepNext/>
              <w:rPr>
                <w:rFonts w:ascii="Arial Narrow" w:eastAsia="Calibri" w:hAnsi="Arial Narrow"/>
                <w:sz w:val="18"/>
                <w:szCs w:val="18"/>
                <w:lang w:eastAsia="en-US"/>
              </w:rPr>
            </w:pPr>
          </w:p>
          <w:p w:rsidR="004A73A1" w:rsidRPr="00EB5379" w:rsidRDefault="004A73A1" w:rsidP="003851FA">
            <w:pPr>
              <w:keepNext/>
              <w:rPr>
                <w:rFonts w:ascii="Arial Narrow" w:hAnsi="Arial Narrow" w:cs="Arial"/>
                <w:sz w:val="18"/>
                <w:szCs w:val="18"/>
              </w:rPr>
            </w:pPr>
            <w:r w:rsidRPr="000345C6">
              <w:rPr>
                <w:rFonts w:ascii="Arial Narrow" w:eastAsia="Calibri" w:hAnsi="Arial Narrow"/>
                <w:sz w:val="18"/>
                <w:szCs w:val="18"/>
                <w:lang w:eastAsia="en-US"/>
              </w:rPr>
              <w:t>Bayer Australia Ltd</w:t>
            </w:r>
          </w:p>
        </w:tc>
      </w:tr>
    </w:tbl>
    <w:p w:rsidR="007456D3" w:rsidRDefault="007456D3" w:rsidP="007456D3">
      <w:pPr>
        <w:widowControl w:val="0"/>
        <w:rPr>
          <w:rFonts w:ascii="Arial Narrow" w:eastAsia="Calibri" w:hAnsi="Arial Narrow"/>
          <w:b/>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8C5490" w:rsidRPr="00FE1603" w:rsidTr="008C5490">
        <w:trPr>
          <w:trHeight w:val="43"/>
        </w:trPr>
        <w:tc>
          <w:tcPr>
            <w:tcW w:w="5000" w:type="pct"/>
            <w:tcBorders>
              <w:top w:val="single" w:sz="4" w:space="0" w:color="auto"/>
              <w:left w:val="single" w:sz="4" w:space="0" w:color="auto"/>
              <w:bottom w:val="single" w:sz="4" w:space="0" w:color="auto"/>
              <w:right w:val="single" w:sz="4" w:space="0" w:color="auto"/>
            </w:tcBorders>
          </w:tcPr>
          <w:p w:rsidR="008C5490" w:rsidRPr="00FE1603" w:rsidRDefault="008C5490" w:rsidP="00A35DB0">
            <w:pPr>
              <w:widowControl w:val="0"/>
              <w:rPr>
                <w:rFonts w:ascii="Arial Narrow" w:eastAsia="Calibri" w:hAnsi="Arial Narrow"/>
                <w:sz w:val="18"/>
                <w:szCs w:val="18"/>
                <w:lang w:eastAsia="en-US"/>
              </w:rPr>
            </w:pPr>
            <w:r w:rsidRPr="00FE1603">
              <w:rPr>
                <w:rFonts w:ascii="Arial Narrow" w:eastAsia="Calibri" w:hAnsi="Arial Narrow"/>
                <w:b/>
                <w:sz w:val="18"/>
                <w:szCs w:val="18"/>
                <w:lang w:eastAsia="en-US"/>
              </w:rPr>
              <w:t xml:space="preserve">Category / Program: </w:t>
            </w:r>
            <w:r w:rsidRPr="00FE1603">
              <w:rPr>
                <w:rFonts w:ascii="Arial Narrow" w:eastAsia="Calibri" w:hAnsi="Arial Narrow"/>
                <w:sz w:val="18"/>
                <w:szCs w:val="18"/>
                <w:lang w:eastAsia="en-US"/>
              </w:rPr>
              <w:t>GENERAL – General Schedule (Code GE)</w:t>
            </w:r>
          </w:p>
        </w:tc>
      </w:tr>
      <w:tr w:rsidR="008C5490" w:rsidRPr="00FE1603" w:rsidTr="008C5490">
        <w:trPr>
          <w:trHeight w:val="183"/>
        </w:trPr>
        <w:tc>
          <w:tcPr>
            <w:tcW w:w="5000" w:type="pct"/>
            <w:tcBorders>
              <w:top w:val="single" w:sz="4" w:space="0" w:color="auto"/>
              <w:left w:val="single" w:sz="4" w:space="0" w:color="auto"/>
              <w:bottom w:val="single" w:sz="4" w:space="0" w:color="auto"/>
              <w:right w:val="single" w:sz="4" w:space="0" w:color="auto"/>
            </w:tcBorders>
          </w:tcPr>
          <w:p w:rsidR="008C5490" w:rsidRPr="00FE1603" w:rsidRDefault="008C5490" w:rsidP="00A35DB0">
            <w:pPr>
              <w:widowControl w:val="0"/>
              <w:rPr>
                <w:rFonts w:ascii="Arial Narrow" w:eastAsia="Calibri" w:hAnsi="Arial Narrow"/>
                <w:sz w:val="18"/>
                <w:szCs w:val="18"/>
                <w:lang w:eastAsia="en-US"/>
              </w:rPr>
            </w:pPr>
            <w:r w:rsidRPr="00FE1603">
              <w:rPr>
                <w:rFonts w:ascii="Arial Narrow" w:eastAsia="Calibri" w:hAnsi="Arial Narrow"/>
                <w:b/>
                <w:sz w:val="18"/>
                <w:szCs w:val="18"/>
                <w:lang w:eastAsia="en-US"/>
              </w:rPr>
              <w:t xml:space="preserve">Prescriber type:  </w:t>
            </w:r>
            <w:r w:rsidRPr="00FE1603">
              <w:rPr>
                <w:rFonts w:ascii="Arial Narrow" w:eastAsia="Calibri" w:hAnsi="Arial Narrow"/>
                <w:sz w:val="18"/>
                <w:szCs w:val="18"/>
                <w:lang w:eastAsia="en-US"/>
              </w:rPr>
              <w:fldChar w:fldCharType="begin">
                <w:ffData>
                  <w:name w:val="Check1"/>
                  <w:enabled/>
                  <w:calcOnExit w:val="0"/>
                  <w:checkBox>
                    <w:sizeAuto/>
                    <w:default w:val="0"/>
                  </w:checkBox>
                </w:ffData>
              </w:fldChar>
            </w:r>
            <w:r w:rsidRPr="00FE1603">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FE1603">
              <w:rPr>
                <w:rFonts w:ascii="Arial Narrow" w:eastAsia="Calibri" w:hAnsi="Arial Narrow"/>
                <w:sz w:val="18"/>
                <w:szCs w:val="18"/>
                <w:lang w:eastAsia="en-US"/>
              </w:rPr>
              <w:fldChar w:fldCharType="end"/>
            </w:r>
            <w:r w:rsidRPr="00FE1603">
              <w:rPr>
                <w:rFonts w:ascii="Arial Narrow" w:eastAsia="Calibri" w:hAnsi="Arial Narrow"/>
                <w:sz w:val="18"/>
                <w:szCs w:val="18"/>
                <w:lang w:eastAsia="en-US"/>
              </w:rPr>
              <w:t xml:space="preserve">Dental  </w:t>
            </w:r>
            <w:r w:rsidRPr="00FE1603">
              <w:rPr>
                <w:rFonts w:ascii="Arial Narrow" w:eastAsia="Calibri" w:hAnsi="Arial Narrow"/>
                <w:sz w:val="18"/>
                <w:szCs w:val="18"/>
                <w:lang w:eastAsia="en-US"/>
              </w:rPr>
              <w:fldChar w:fldCharType="begin">
                <w:ffData>
                  <w:name w:val=""/>
                  <w:enabled/>
                  <w:calcOnExit w:val="0"/>
                  <w:checkBox>
                    <w:sizeAuto/>
                    <w:default w:val="1"/>
                  </w:checkBox>
                </w:ffData>
              </w:fldChar>
            </w:r>
            <w:r w:rsidRPr="00FE1603">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FE1603">
              <w:rPr>
                <w:rFonts w:ascii="Arial Narrow" w:eastAsia="Calibri" w:hAnsi="Arial Narrow"/>
                <w:sz w:val="18"/>
                <w:szCs w:val="18"/>
                <w:lang w:eastAsia="en-US"/>
              </w:rPr>
              <w:fldChar w:fldCharType="end"/>
            </w:r>
            <w:r w:rsidRPr="00FE1603">
              <w:rPr>
                <w:rFonts w:ascii="Arial Narrow" w:eastAsia="Calibri" w:hAnsi="Arial Narrow"/>
                <w:sz w:val="18"/>
                <w:szCs w:val="18"/>
                <w:lang w:eastAsia="en-US"/>
              </w:rPr>
              <w:t xml:space="preserve">Medical Practitioners  </w:t>
            </w:r>
            <w:r w:rsidRPr="00D27DC3">
              <w:rPr>
                <w:rFonts w:ascii="Arial Narrow" w:eastAsia="Calibri" w:hAnsi="Arial Narrow"/>
                <w:sz w:val="18"/>
                <w:szCs w:val="18"/>
                <w:lang w:eastAsia="en-US"/>
              </w:rPr>
              <w:fldChar w:fldCharType="begin">
                <w:ffData>
                  <w:name w:val="Check3"/>
                  <w:enabled/>
                  <w:calcOnExit w:val="0"/>
                  <w:checkBox>
                    <w:sizeAuto/>
                    <w:default w:val="1"/>
                  </w:checkBox>
                </w:ffData>
              </w:fldChar>
            </w:r>
            <w:r w:rsidRPr="00D27DC3">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D27DC3">
              <w:rPr>
                <w:rFonts w:ascii="Arial Narrow" w:eastAsia="Calibri" w:hAnsi="Arial Narrow"/>
                <w:sz w:val="18"/>
                <w:szCs w:val="18"/>
                <w:lang w:eastAsia="en-US"/>
              </w:rPr>
              <w:fldChar w:fldCharType="end"/>
            </w:r>
            <w:r w:rsidRPr="00D27DC3">
              <w:rPr>
                <w:rFonts w:ascii="Arial Narrow" w:eastAsia="Calibri" w:hAnsi="Arial Narrow"/>
                <w:sz w:val="18"/>
                <w:szCs w:val="18"/>
                <w:lang w:eastAsia="en-US"/>
              </w:rPr>
              <w:t xml:space="preserve">Nurse practitioners (SCM)  </w:t>
            </w:r>
            <w:r w:rsidRPr="00FE1603">
              <w:rPr>
                <w:rFonts w:ascii="Arial Narrow" w:eastAsia="Calibri" w:hAnsi="Arial Narrow"/>
                <w:sz w:val="18"/>
                <w:szCs w:val="18"/>
                <w:lang w:eastAsia="en-US"/>
              </w:rPr>
              <w:fldChar w:fldCharType="begin">
                <w:ffData>
                  <w:name w:val=""/>
                  <w:enabled/>
                  <w:calcOnExit w:val="0"/>
                  <w:checkBox>
                    <w:sizeAuto/>
                    <w:default w:val="0"/>
                  </w:checkBox>
                </w:ffData>
              </w:fldChar>
            </w:r>
            <w:r w:rsidRPr="00FE1603">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FE1603">
              <w:rPr>
                <w:rFonts w:ascii="Arial Narrow" w:eastAsia="Calibri" w:hAnsi="Arial Narrow"/>
                <w:sz w:val="18"/>
                <w:szCs w:val="18"/>
                <w:lang w:eastAsia="en-US"/>
              </w:rPr>
              <w:fldChar w:fldCharType="end"/>
            </w:r>
            <w:r w:rsidRPr="00FE1603">
              <w:rPr>
                <w:rFonts w:ascii="Arial Narrow" w:eastAsia="Calibri" w:hAnsi="Arial Narrow"/>
                <w:sz w:val="18"/>
                <w:szCs w:val="18"/>
                <w:lang w:eastAsia="en-US"/>
              </w:rPr>
              <w:t>Optometrists</w:t>
            </w:r>
            <w:r w:rsidR="008231E9">
              <w:rPr>
                <w:rFonts w:ascii="Arial Narrow" w:eastAsia="Calibri" w:hAnsi="Arial Narrow"/>
                <w:sz w:val="18"/>
                <w:szCs w:val="18"/>
                <w:lang w:eastAsia="en-US"/>
              </w:rPr>
              <w:t xml:space="preserve"> </w:t>
            </w:r>
            <w:r w:rsidRPr="00FE1603">
              <w:rPr>
                <w:rFonts w:ascii="Arial Narrow" w:eastAsia="Calibri" w:hAnsi="Arial Narrow"/>
                <w:sz w:val="18"/>
                <w:szCs w:val="18"/>
                <w:lang w:eastAsia="en-US"/>
              </w:rPr>
              <w:t xml:space="preserve">  </w:t>
            </w:r>
            <w:r w:rsidRPr="00FE1603">
              <w:rPr>
                <w:rFonts w:ascii="Arial Narrow" w:eastAsia="Calibri" w:hAnsi="Arial Narrow"/>
                <w:sz w:val="18"/>
                <w:szCs w:val="18"/>
                <w:lang w:eastAsia="en-US"/>
              </w:rPr>
              <w:fldChar w:fldCharType="begin">
                <w:ffData>
                  <w:name w:val="Check5"/>
                  <w:enabled/>
                  <w:calcOnExit w:val="0"/>
                  <w:checkBox>
                    <w:sizeAuto/>
                    <w:default w:val="0"/>
                  </w:checkBox>
                </w:ffData>
              </w:fldChar>
            </w:r>
            <w:r w:rsidRPr="00FE1603">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FE1603">
              <w:rPr>
                <w:rFonts w:ascii="Arial Narrow" w:eastAsia="Calibri" w:hAnsi="Arial Narrow"/>
                <w:sz w:val="18"/>
                <w:szCs w:val="18"/>
                <w:lang w:eastAsia="en-US"/>
              </w:rPr>
              <w:fldChar w:fldCharType="end"/>
            </w:r>
            <w:r w:rsidRPr="00FE1603">
              <w:rPr>
                <w:rFonts w:ascii="Arial Narrow" w:eastAsia="Calibri" w:hAnsi="Arial Narrow"/>
                <w:sz w:val="18"/>
                <w:szCs w:val="18"/>
                <w:lang w:eastAsia="en-US"/>
              </w:rPr>
              <w:t>Midwives</w:t>
            </w:r>
          </w:p>
        </w:tc>
      </w:tr>
      <w:tr w:rsidR="008C5490" w:rsidRPr="00FE1603" w:rsidTr="008C5490">
        <w:tc>
          <w:tcPr>
            <w:tcW w:w="5000" w:type="pct"/>
            <w:tcBorders>
              <w:top w:val="single" w:sz="4" w:space="0" w:color="auto"/>
              <w:left w:val="single" w:sz="4" w:space="0" w:color="auto"/>
              <w:bottom w:val="single" w:sz="4" w:space="0" w:color="auto"/>
              <w:right w:val="single" w:sz="4" w:space="0" w:color="auto"/>
            </w:tcBorders>
          </w:tcPr>
          <w:p w:rsidR="008C5490" w:rsidRPr="00FE1603" w:rsidRDefault="008C5490" w:rsidP="00D27DC3">
            <w:pPr>
              <w:widowControl w:val="0"/>
              <w:rPr>
                <w:rFonts w:ascii="Arial Narrow" w:eastAsia="Calibri" w:hAnsi="Arial Narrow"/>
                <w:b/>
                <w:sz w:val="18"/>
                <w:szCs w:val="18"/>
                <w:lang w:eastAsia="en-US"/>
              </w:rPr>
            </w:pPr>
            <w:r w:rsidRPr="00FE1603">
              <w:rPr>
                <w:rFonts w:ascii="Arial Narrow" w:eastAsia="Calibri" w:hAnsi="Arial Narrow"/>
                <w:b/>
                <w:sz w:val="18"/>
                <w:szCs w:val="18"/>
                <w:lang w:eastAsia="en-US"/>
              </w:rPr>
              <w:t xml:space="preserve">Restriction </w:t>
            </w:r>
            <w:r>
              <w:rPr>
                <w:rFonts w:ascii="Arial Narrow" w:eastAsia="Calibri" w:hAnsi="Arial Narrow"/>
                <w:b/>
                <w:sz w:val="18"/>
                <w:szCs w:val="18"/>
                <w:lang w:eastAsia="en-US"/>
              </w:rPr>
              <w:t>Type</w:t>
            </w:r>
            <w:r w:rsidRPr="00FE1603">
              <w:rPr>
                <w:rFonts w:ascii="Arial Narrow" w:eastAsia="Calibri" w:hAnsi="Arial Narrow"/>
                <w:b/>
                <w:sz w:val="18"/>
                <w:szCs w:val="18"/>
                <w:lang w:eastAsia="en-US"/>
              </w:rPr>
              <w:t xml:space="preserve"> / Method:</w:t>
            </w:r>
            <w:r>
              <w:rPr>
                <w:rFonts w:ascii="Arial Narrow" w:eastAsia="Calibri" w:hAnsi="Arial Narrow"/>
                <w:b/>
                <w:sz w:val="18"/>
                <w:szCs w:val="18"/>
                <w:lang w:eastAsia="en-US"/>
              </w:rPr>
              <w:t xml:space="preserve">  </w:t>
            </w:r>
            <w:r w:rsidRPr="00FE1603">
              <w:rPr>
                <w:rFonts w:ascii="Arial Narrow" w:eastAsia="Calibri" w:hAnsi="Arial Narrow"/>
                <w:sz w:val="18"/>
                <w:szCs w:val="18"/>
                <w:lang w:eastAsia="en-US"/>
              </w:rPr>
              <w:fldChar w:fldCharType="begin">
                <w:ffData>
                  <w:name w:val=""/>
                  <w:enabled/>
                  <w:calcOnExit w:val="0"/>
                  <w:checkBox>
                    <w:sizeAuto/>
                    <w:default w:val="1"/>
                  </w:checkBox>
                </w:ffData>
              </w:fldChar>
            </w:r>
            <w:r w:rsidRPr="00FE1603">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FE1603">
              <w:rPr>
                <w:rFonts w:ascii="Arial Narrow" w:eastAsia="Calibri" w:hAnsi="Arial Narrow"/>
                <w:sz w:val="18"/>
                <w:szCs w:val="18"/>
                <w:lang w:eastAsia="en-US"/>
              </w:rPr>
              <w:fldChar w:fldCharType="end"/>
            </w:r>
            <w:r w:rsidRPr="00FE1603">
              <w:rPr>
                <w:rFonts w:ascii="Arial Narrow" w:eastAsia="Calibri" w:hAnsi="Arial Narrow"/>
                <w:sz w:val="18"/>
                <w:szCs w:val="18"/>
                <w:lang w:eastAsia="en-US"/>
              </w:rPr>
              <w:t xml:space="preserve">Authority Required </w:t>
            </w:r>
            <w:r>
              <w:rPr>
                <w:rFonts w:ascii="Arial Narrow" w:eastAsia="Calibri" w:hAnsi="Arial Narrow"/>
                <w:sz w:val="18"/>
                <w:szCs w:val="18"/>
                <w:lang w:eastAsia="en-US"/>
              </w:rPr>
              <w:t>–</w:t>
            </w:r>
            <w:r w:rsidRPr="00FE1603">
              <w:rPr>
                <w:rFonts w:ascii="Arial Narrow" w:eastAsia="Calibri" w:hAnsi="Arial Narrow"/>
                <w:sz w:val="18"/>
                <w:szCs w:val="18"/>
                <w:lang w:eastAsia="en-US"/>
              </w:rPr>
              <w:t xml:space="preserve"> Streamlined</w:t>
            </w:r>
            <w:r>
              <w:rPr>
                <w:rFonts w:ascii="Arial Narrow" w:eastAsia="Calibri" w:hAnsi="Arial Narrow"/>
                <w:sz w:val="18"/>
                <w:szCs w:val="18"/>
                <w:lang w:eastAsia="en-US"/>
              </w:rPr>
              <w:t xml:space="preserve"> </w:t>
            </w:r>
          </w:p>
        </w:tc>
      </w:tr>
      <w:tr w:rsidR="008C5490" w:rsidRPr="00FE1603" w:rsidTr="008C5490">
        <w:tc>
          <w:tcPr>
            <w:tcW w:w="5000" w:type="pct"/>
            <w:tcBorders>
              <w:left w:val="single" w:sz="4" w:space="0" w:color="auto"/>
            </w:tcBorders>
            <w:vAlign w:val="center"/>
          </w:tcPr>
          <w:p w:rsidR="008C5490" w:rsidRPr="00FE1603" w:rsidRDefault="008C5490" w:rsidP="00A35DB0">
            <w:pPr>
              <w:widowControl w:val="0"/>
              <w:rPr>
                <w:rFonts w:ascii="Arial Narrow" w:eastAsia="Calibri" w:hAnsi="Arial Narrow"/>
                <w:bCs/>
                <w:sz w:val="18"/>
                <w:szCs w:val="18"/>
                <w:lang w:eastAsia="en-US"/>
              </w:rPr>
            </w:pPr>
            <w:r w:rsidRPr="00FE1603">
              <w:rPr>
                <w:rFonts w:ascii="Arial Narrow" w:eastAsia="Calibri" w:hAnsi="Arial Narrow"/>
                <w:b/>
                <w:bCs/>
                <w:sz w:val="18"/>
                <w:szCs w:val="18"/>
                <w:lang w:eastAsia="en-US"/>
              </w:rPr>
              <w:t xml:space="preserve">Episodicity: </w:t>
            </w:r>
            <w:r w:rsidRPr="00FE1603">
              <w:rPr>
                <w:rFonts w:ascii="Arial Narrow" w:eastAsia="Calibri" w:hAnsi="Arial Narrow"/>
                <w:bCs/>
                <w:sz w:val="18"/>
                <w:szCs w:val="18"/>
                <w:lang w:eastAsia="en-US"/>
              </w:rPr>
              <w:t>Chronic</w:t>
            </w:r>
          </w:p>
        </w:tc>
      </w:tr>
      <w:tr w:rsidR="008C5490" w:rsidRPr="00FE1603" w:rsidTr="008C5490">
        <w:tc>
          <w:tcPr>
            <w:tcW w:w="5000" w:type="pct"/>
            <w:tcBorders>
              <w:left w:val="single" w:sz="4" w:space="0" w:color="auto"/>
            </w:tcBorders>
            <w:vAlign w:val="center"/>
          </w:tcPr>
          <w:p w:rsidR="008C5490" w:rsidRPr="00FE1603" w:rsidRDefault="008C5490" w:rsidP="00A35DB0">
            <w:pPr>
              <w:widowControl w:val="0"/>
              <w:rPr>
                <w:rFonts w:ascii="Arial Narrow" w:eastAsia="Calibri" w:hAnsi="Arial Narrow"/>
                <w:bCs/>
                <w:sz w:val="18"/>
                <w:szCs w:val="18"/>
                <w:lang w:eastAsia="en-US"/>
              </w:rPr>
            </w:pPr>
            <w:r w:rsidRPr="00FE1603">
              <w:rPr>
                <w:rFonts w:ascii="Arial Narrow" w:eastAsia="Calibri" w:hAnsi="Arial Narrow"/>
                <w:b/>
                <w:bCs/>
                <w:sz w:val="18"/>
                <w:szCs w:val="18"/>
                <w:lang w:eastAsia="en-US"/>
              </w:rPr>
              <w:t xml:space="preserve">Severity: </w:t>
            </w:r>
            <w:r>
              <w:rPr>
                <w:rFonts w:ascii="Arial Narrow" w:eastAsia="Calibri" w:hAnsi="Arial Narrow"/>
                <w:bCs/>
                <w:sz w:val="18"/>
                <w:szCs w:val="18"/>
                <w:lang w:eastAsia="en-US"/>
              </w:rPr>
              <w:t>s</w:t>
            </w:r>
            <w:r w:rsidRPr="00FE1603">
              <w:rPr>
                <w:rFonts w:ascii="Arial Narrow" w:eastAsia="Calibri" w:hAnsi="Arial Narrow"/>
                <w:bCs/>
                <w:sz w:val="18"/>
                <w:szCs w:val="18"/>
                <w:lang w:eastAsia="en-US"/>
              </w:rPr>
              <w:t>table</w:t>
            </w:r>
          </w:p>
        </w:tc>
      </w:tr>
      <w:tr w:rsidR="008C5490" w:rsidRPr="00FE1603" w:rsidTr="008C5490">
        <w:tc>
          <w:tcPr>
            <w:tcW w:w="5000" w:type="pct"/>
            <w:tcBorders>
              <w:left w:val="single" w:sz="4" w:space="0" w:color="auto"/>
            </w:tcBorders>
            <w:vAlign w:val="center"/>
          </w:tcPr>
          <w:p w:rsidR="008C5490" w:rsidRPr="00FE1603" w:rsidRDefault="008C5490" w:rsidP="00A35DB0">
            <w:pPr>
              <w:widowControl w:val="0"/>
              <w:rPr>
                <w:rFonts w:ascii="Arial Narrow" w:eastAsia="Calibri" w:hAnsi="Arial Narrow"/>
                <w:bCs/>
                <w:sz w:val="18"/>
                <w:szCs w:val="18"/>
                <w:lang w:eastAsia="en-US"/>
              </w:rPr>
            </w:pPr>
            <w:r w:rsidRPr="00FE1603">
              <w:rPr>
                <w:rFonts w:ascii="Arial Narrow" w:eastAsia="Calibri" w:hAnsi="Arial Narrow"/>
                <w:b/>
                <w:bCs/>
                <w:sz w:val="18"/>
                <w:szCs w:val="18"/>
                <w:lang w:eastAsia="en-US"/>
              </w:rPr>
              <w:t xml:space="preserve">Condition: </w:t>
            </w:r>
            <w:r>
              <w:rPr>
                <w:rFonts w:ascii="Arial Narrow" w:eastAsia="Calibri" w:hAnsi="Arial Narrow"/>
                <w:bCs/>
                <w:sz w:val="18"/>
                <w:szCs w:val="18"/>
                <w:lang w:eastAsia="en-US"/>
              </w:rPr>
              <w:t>a</w:t>
            </w:r>
            <w:r w:rsidRPr="00FE1603">
              <w:rPr>
                <w:rFonts w:ascii="Arial Narrow" w:eastAsia="Calibri" w:hAnsi="Arial Narrow"/>
                <w:bCs/>
                <w:sz w:val="18"/>
                <w:szCs w:val="18"/>
                <w:lang w:eastAsia="en-US"/>
              </w:rPr>
              <w:t xml:space="preserve">therosclerotic disease </w:t>
            </w:r>
          </w:p>
        </w:tc>
      </w:tr>
      <w:tr w:rsidR="008C5490" w:rsidRPr="00FE1603" w:rsidTr="008C5490">
        <w:tc>
          <w:tcPr>
            <w:tcW w:w="5000" w:type="pct"/>
            <w:vAlign w:val="center"/>
            <w:hideMark/>
          </w:tcPr>
          <w:p w:rsidR="008C5490" w:rsidRPr="00FE1603" w:rsidRDefault="008C5490" w:rsidP="00A35DB0">
            <w:pPr>
              <w:widowControl w:val="0"/>
              <w:rPr>
                <w:rFonts w:ascii="Arial Narrow" w:eastAsia="Calibri" w:hAnsi="Arial Narrow"/>
                <w:sz w:val="18"/>
                <w:szCs w:val="18"/>
                <w:lang w:eastAsia="en-US"/>
              </w:rPr>
            </w:pPr>
            <w:r w:rsidRPr="00FE1603">
              <w:rPr>
                <w:rFonts w:ascii="Arial Narrow" w:eastAsia="Calibri" w:hAnsi="Arial Narrow"/>
                <w:b/>
                <w:bCs/>
                <w:sz w:val="18"/>
                <w:szCs w:val="18"/>
                <w:lang w:eastAsia="en-US"/>
              </w:rPr>
              <w:t>Indication:</w:t>
            </w:r>
            <w:r w:rsidRPr="00FE1603">
              <w:rPr>
                <w:rFonts w:ascii="Arial Narrow" w:eastAsia="Calibri" w:hAnsi="Arial Narrow"/>
                <w:sz w:val="18"/>
                <w:szCs w:val="18"/>
                <w:lang w:eastAsia="en-US"/>
              </w:rPr>
              <w:t xml:space="preserve"> Chronic stable atherosclerotic disease</w:t>
            </w:r>
          </w:p>
        </w:tc>
      </w:tr>
      <w:tr w:rsidR="008C5490" w:rsidRPr="00FE1603" w:rsidTr="008C5490">
        <w:tc>
          <w:tcPr>
            <w:tcW w:w="5000" w:type="pct"/>
            <w:vAlign w:val="center"/>
            <w:hideMark/>
          </w:tcPr>
          <w:p w:rsidR="008C5490" w:rsidRPr="00FE1603" w:rsidRDefault="008C5490" w:rsidP="00A35DB0">
            <w:pPr>
              <w:widowControl w:val="0"/>
              <w:rPr>
                <w:rFonts w:ascii="Arial Narrow" w:eastAsia="Calibri" w:hAnsi="Arial Narrow"/>
                <w:sz w:val="18"/>
                <w:szCs w:val="18"/>
                <w:lang w:eastAsia="en-US"/>
              </w:rPr>
            </w:pPr>
            <w:r w:rsidRPr="00FE1603">
              <w:rPr>
                <w:rFonts w:ascii="Arial Narrow" w:eastAsia="Calibri" w:hAnsi="Arial Narrow"/>
                <w:b/>
                <w:bCs/>
                <w:sz w:val="18"/>
                <w:szCs w:val="18"/>
                <w:lang w:eastAsia="en-US"/>
              </w:rPr>
              <w:t>Clinical criteria:</w:t>
            </w:r>
          </w:p>
        </w:tc>
      </w:tr>
      <w:tr w:rsidR="008C5490" w:rsidRPr="00FE1603" w:rsidTr="008C5490">
        <w:tc>
          <w:tcPr>
            <w:tcW w:w="5000" w:type="pct"/>
            <w:vAlign w:val="center"/>
            <w:hideMark/>
          </w:tcPr>
          <w:p w:rsidR="008C5490" w:rsidRPr="00322769" w:rsidRDefault="008C5490" w:rsidP="00D27DC3">
            <w:pPr>
              <w:widowControl w:val="0"/>
              <w:rPr>
                <w:rFonts w:ascii="Arial Narrow" w:eastAsia="Calibri" w:hAnsi="Arial Narrow"/>
                <w:i/>
                <w:sz w:val="18"/>
                <w:szCs w:val="18"/>
                <w:lang w:eastAsia="en-US"/>
              </w:rPr>
            </w:pPr>
            <w:r w:rsidRPr="00FE1603">
              <w:rPr>
                <w:rFonts w:ascii="Arial Narrow" w:eastAsia="Calibri" w:hAnsi="Arial Narrow"/>
                <w:sz w:val="18"/>
                <w:szCs w:val="18"/>
                <w:lang w:eastAsia="en-US"/>
              </w:rPr>
              <w:t>The treatment must</w:t>
            </w:r>
            <w:r>
              <w:rPr>
                <w:rFonts w:ascii="Arial Narrow" w:eastAsia="Calibri" w:hAnsi="Arial Narrow"/>
                <w:sz w:val="18"/>
                <w:szCs w:val="18"/>
                <w:lang w:eastAsia="en-US"/>
              </w:rPr>
              <w:t xml:space="preserve"> be in combination with aspirin</w:t>
            </w:r>
          </w:p>
        </w:tc>
      </w:tr>
      <w:tr w:rsidR="008C5490" w:rsidRPr="00FE1603" w:rsidTr="008C5490">
        <w:tc>
          <w:tcPr>
            <w:tcW w:w="5000" w:type="pct"/>
            <w:vAlign w:val="center"/>
            <w:hideMark/>
          </w:tcPr>
          <w:p w:rsidR="008C5490" w:rsidRPr="00D27DC3" w:rsidRDefault="008C5490" w:rsidP="00A35DB0">
            <w:pPr>
              <w:widowControl w:val="0"/>
              <w:rPr>
                <w:rFonts w:ascii="Arial Narrow" w:eastAsia="Calibri" w:hAnsi="Arial Narrow"/>
                <w:sz w:val="18"/>
                <w:szCs w:val="18"/>
                <w:lang w:eastAsia="en-US"/>
              </w:rPr>
            </w:pPr>
            <w:r w:rsidRPr="00D27DC3">
              <w:rPr>
                <w:rFonts w:ascii="Arial Narrow" w:eastAsia="Calibri" w:hAnsi="Arial Narrow"/>
                <w:b/>
                <w:bCs/>
                <w:sz w:val="18"/>
                <w:szCs w:val="18"/>
                <w:lang w:eastAsia="en-US"/>
              </w:rPr>
              <w:t>AND</w:t>
            </w:r>
          </w:p>
        </w:tc>
      </w:tr>
      <w:tr w:rsidR="008C5490" w:rsidRPr="00FE1603" w:rsidTr="008C5490">
        <w:trPr>
          <w:trHeight w:val="188"/>
        </w:trPr>
        <w:tc>
          <w:tcPr>
            <w:tcW w:w="5000" w:type="pct"/>
            <w:vAlign w:val="center"/>
            <w:hideMark/>
          </w:tcPr>
          <w:p w:rsidR="008C5490" w:rsidRPr="00D27DC3" w:rsidRDefault="008C5490" w:rsidP="00A35DB0">
            <w:pPr>
              <w:widowControl w:val="0"/>
              <w:rPr>
                <w:rFonts w:ascii="Arial Narrow" w:eastAsia="Calibri" w:hAnsi="Arial Narrow"/>
                <w:sz w:val="18"/>
                <w:szCs w:val="18"/>
                <w:lang w:eastAsia="en-US"/>
              </w:rPr>
            </w:pPr>
            <w:r w:rsidRPr="00D27DC3">
              <w:rPr>
                <w:rFonts w:ascii="Arial Narrow" w:eastAsia="Calibri" w:hAnsi="Arial Narrow"/>
                <w:b/>
                <w:bCs/>
                <w:sz w:val="18"/>
                <w:szCs w:val="18"/>
                <w:lang w:eastAsia="en-US"/>
              </w:rPr>
              <w:t>Clinical criteria:</w:t>
            </w:r>
          </w:p>
          <w:p w:rsidR="008C5490" w:rsidRPr="00D27DC3" w:rsidRDefault="008C5490" w:rsidP="00A35DB0">
            <w:pPr>
              <w:widowControl w:val="0"/>
              <w:rPr>
                <w:rFonts w:ascii="Arial Narrow" w:eastAsia="Calibri" w:hAnsi="Arial Narrow"/>
                <w:sz w:val="18"/>
                <w:szCs w:val="18"/>
                <w:lang w:eastAsia="en-US"/>
              </w:rPr>
            </w:pPr>
            <w:r w:rsidRPr="00D27DC3">
              <w:rPr>
                <w:rFonts w:ascii="Arial Narrow" w:eastAsia="Calibri" w:hAnsi="Arial Narrow"/>
                <w:sz w:val="18"/>
                <w:szCs w:val="18"/>
                <w:lang w:eastAsia="en-US"/>
              </w:rPr>
              <w:t xml:space="preserve">The treatment must not be in combination with any other anti-platelet therapy </w:t>
            </w:r>
          </w:p>
        </w:tc>
      </w:tr>
      <w:tr w:rsidR="008C5490" w:rsidRPr="00FE1603" w:rsidTr="008C5490">
        <w:tc>
          <w:tcPr>
            <w:tcW w:w="5000" w:type="pct"/>
            <w:vAlign w:val="center"/>
            <w:hideMark/>
          </w:tcPr>
          <w:p w:rsidR="008C5490" w:rsidRPr="00FE1603" w:rsidRDefault="008C5490" w:rsidP="00A35DB0">
            <w:pPr>
              <w:widowControl w:val="0"/>
              <w:rPr>
                <w:rFonts w:ascii="Arial Narrow" w:eastAsia="Calibri" w:hAnsi="Arial Narrow"/>
                <w:sz w:val="18"/>
                <w:szCs w:val="18"/>
                <w:lang w:eastAsia="en-US"/>
              </w:rPr>
            </w:pPr>
            <w:r w:rsidRPr="00FE1603">
              <w:rPr>
                <w:rFonts w:ascii="Arial Narrow" w:eastAsia="Calibri" w:hAnsi="Arial Narrow"/>
                <w:b/>
                <w:bCs/>
                <w:sz w:val="18"/>
                <w:szCs w:val="18"/>
                <w:lang w:eastAsia="en-US"/>
              </w:rPr>
              <w:t>AND</w:t>
            </w:r>
          </w:p>
        </w:tc>
      </w:tr>
      <w:tr w:rsidR="008C5490" w:rsidRPr="00FE1603" w:rsidTr="008C5490">
        <w:trPr>
          <w:trHeight w:val="217"/>
        </w:trPr>
        <w:tc>
          <w:tcPr>
            <w:tcW w:w="5000" w:type="pct"/>
            <w:vAlign w:val="center"/>
            <w:hideMark/>
          </w:tcPr>
          <w:p w:rsidR="008C5490" w:rsidRPr="00FE1603" w:rsidRDefault="008C5490" w:rsidP="00A35DB0">
            <w:pPr>
              <w:widowControl w:val="0"/>
              <w:rPr>
                <w:rFonts w:ascii="Arial Narrow" w:eastAsia="Calibri" w:hAnsi="Arial Narrow"/>
                <w:sz w:val="18"/>
                <w:szCs w:val="18"/>
                <w:lang w:eastAsia="en-US"/>
              </w:rPr>
            </w:pPr>
            <w:r w:rsidRPr="00FE1603">
              <w:rPr>
                <w:rFonts w:ascii="Arial Narrow" w:eastAsia="Calibri" w:hAnsi="Arial Narrow"/>
                <w:b/>
                <w:bCs/>
                <w:sz w:val="18"/>
                <w:szCs w:val="18"/>
                <w:lang w:eastAsia="en-US"/>
              </w:rPr>
              <w:t>Clinical criteria:</w:t>
            </w:r>
          </w:p>
        </w:tc>
      </w:tr>
      <w:tr w:rsidR="008C5490" w:rsidRPr="00FE1603" w:rsidTr="008C5490">
        <w:trPr>
          <w:trHeight w:val="830"/>
        </w:trPr>
        <w:tc>
          <w:tcPr>
            <w:tcW w:w="5000" w:type="pct"/>
            <w:vAlign w:val="center"/>
          </w:tcPr>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Patient must have a diagnosis of coronary artery disease and must have one or more of the following risk factors:</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w:t>
            </w:r>
            <w:r w:rsidRPr="00D27DC3">
              <w:rPr>
                <w:rFonts w:ascii="Arial Narrow" w:eastAsia="Calibri" w:hAnsi="Arial Narrow"/>
                <w:bCs/>
                <w:sz w:val="18"/>
                <w:szCs w:val="18"/>
                <w:lang w:eastAsia="en-US"/>
              </w:rPr>
              <w:tab/>
              <w:t>Diagnosed heart failure (left ventricular ejection fraction greater than or equal to 30% but less than 50%);</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w:t>
            </w:r>
            <w:r w:rsidRPr="00D27DC3">
              <w:rPr>
                <w:rFonts w:ascii="Arial Narrow" w:eastAsia="Calibri" w:hAnsi="Arial Narrow"/>
                <w:bCs/>
                <w:sz w:val="18"/>
                <w:szCs w:val="18"/>
                <w:lang w:eastAsia="en-US"/>
              </w:rPr>
              <w:tab/>
              <w:t>Diagnosed kidney disease classified by an eGFR 15-60ml/min.</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w:t>
            </w:r>
            <w:r w:rsidRPr="00D27DC3">
              <w:rPr>
                <w:rFonts w:ascii="Arial Narrow" w:eastAsia="Calibri" w:hAnsi="Arial Narrow"/>
                <w:bCs/>
                <w:sz w:val="18"/>
                <w:szCs w:val="18"/>
                <w:lang w:eastAsia="en-US"/>
              </w:rPr>
              <w:tab/>
              <w:t xml:space="preserve">Diabetes Mellitus and at least one of the following: age 60 years or more; concomitant microalbuminuria; or be of Aboriginal or Torres Strait Islander descent. </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 xml:space="preserve">OR </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Patients must have a diagnosis of peripheral artery disease and must have one or more of the following risk factors:</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w:t>
            </w:r>
            <w:r w:rsidRPr="00D27DC3">
              <w:rPr>
                <w:rFonts w:ascii="Arial Narrow" w:eastAsia="Calibri" w:hAnsi="Arial Narrow"/>
                <w:bCs/>
                <w:sz w:val="18"/>
                <w:szCs w:val="18"/>
                <w:lang w:eastAsia="en-US"/>
              </w:rPr>
              <w:tab/>
              <w:t>Concomitant coronary artery disease</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w:t>
            </w:r>
            <w:r w:rsidRPr="00D27DC3">
              <w:rPr>
                <w:rFonts w:ascii="Arial Narrow" w:eastAsia="Calibri" w:hAnsi="Arial Narrow"/>
                <w:bCs/>
                <w:sz w:val="18"/>
                <w:szCs w:val="18"/>
                <w:lang w:eastAsia="en-US"/>
              </w:rPr>
              <w:tab/>
              <w:t>Diagnosed heart failure (left ventricular ejection fraction greater than or equal to 30% but less than 50%)</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w:t>
            </w:r>
            <w:r w:rsidRPr="00D27DC3">
              <w:rPr>
                <w:rFonts w:ascii="Arial Narrow" w:eastAsia="Calibri" w:hAnsi="Arial Narrow"/>
                <w:bCs/>
                <w:sz w:val="18"/>
                <w:szCs w:val="18"/>
                <w:lang w:eastAsia="en-US"/>
              </w:rPr>
              <w:tab/>
              <w:t>Diagnosed kidney disease classified by an eGFR 15-60ml/min</w:t>
            </w:r>
          </w:p>
          <w:p w:rsidR="008C5490" w:rsidRPr="00E7095B"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w:t>
            </w:r>
            <w:r w:rsidRPr="00D27DC3">
              <w:rPr>
                <w:rFonts w:ascii="Arial Narrow" w:eastAsia="Calibri" w:hAnsi="Arial Narrow"/>
                <w:bCs/>
                <w:sz w:val="18"/>
                <w:szCs w:val="18"/>
                <w:lang w:eastAsia="en-US"/>
              </w:rPr>
              <w:tab/>
              <w:t>Diabetes Mellitus and at least one of the following: age 60 years or more; concomitant microalbuminuria; or be of Aboriginal or Torres Strait Islander descent.</w:t>
            </w:r>
          </w:p>
        </w:tc>
      </w:tr>
      <w:tr w:rsidR="008C5490" w:rsidRPr="00FE1603" w:rsidTr="008C5490">
        <w:trPr>
          <w:trHeight w:val="194"/>
        </w:trPr>
        <w:tc>
          <w:tcPr>
            <w:tcW w:w="5000" w:type="pct"/>
            <w:vAlign w:val="center"/>
          </w:tcPr>
          <w:p w:rsidR="008C5490" w:rsidRPr="00FE1603" w:rsidRDefault="008C5490" w:rsidP="00A35DB0">
            <w:pPr>
              <w:widowControl w:val="0"/>
              <w:rPr>
                <w:rFonts w:ascii="Arial Narrow" w:eastAsia="Calibri" w:hAnsi="Arial Narrow"/>
                <w:b/>
                <w:bCs/>
                <w:sz w:val="18"/>
                <w:szCs w:val="18"/>
                <w:lang w:eastAsia="en-US"/>
              </w:rPr>
            </w:pPr>
            <w:r w:rsidRPr="00FE1603">
              <w:rPr>
                <w:rFonts w:ascii="Arial Narrow" w:eastAsia="Calibri" w:hAnsi="Arial Narrow"/>
                <w:b/>
                <w:bCs/>
                <w:sz w:val="18"/>
                <w:szCs w:val="18"/>
                <w:lang w:eastAsia="en-US"/>
              </w:rPr>
              <w:t>AND</w:t>
            </w:r>
          </w:p>
        </w:tc>
      </w:tr>
      <w:tr w:rsidR="008C5490" w:rsidRPr="00FE1603" w:rsidTr="008C5490">
        <w:trPr>
          <w:trHeight w:val="254"/>
        </w:trPr>
        <w:tc>
          <w:tcPr>
            <w:tcW w:w="5000" w:type="pct"/>
            <w:vAlign w:val="center"/>
          </w:tcPr>
          <w:p w:rsidR="008C5490" w:rsidRPr="008C7BF7" w:rsidRDefault="008C5490" w:rsidP="00A35DB0">
            <w:pPr>
              <w:widowControl w:val="0"/>
              <w:rPr>
                <w:rFonts w:ascii="Arial Narrow" w:eastAsia="Calibri" w:hAnsi="Arial Narrow"/>
                <w:b/>
                <w:bCs/>
                <w:sz w:val="18"/>
                <w:szCs w:val="18"/>
                <w:lang w:eastAsia="en-US"/>
              </w:rPr>
            </w:pPr>
            <w:r w:rsidRPr="00FE1603">
              <w:rPr>
                <w:rFonts w:ascii="Arial Narrow" w:eastAsia="Calibri" w:hAnsi="Arial Narrow"/>
                <w:b/>
                <w:bCs/>
                <w:sz w:val="18"/>
                <w:szCs w:val="18"/>
                <w:lang w:eastAsia="en-US"/>
              </w:rPr>
              <w:t xml:space="preserve">Clinical criteria: </w:t>
            </w:r>
          </w:p>
        </w:tc>
      </w:tr>
      <w:tr w:rsidR="008C5490" w:rsidRPr="00FE1603" w:rsidTr="008C5490">
        <w:trPr>
          <w:trHeight w:val="630"/>
        </w:trPr>
        <w:tc>
          <w:tcPr>
            <w:tcW w:w="5000" w:type="pct"/>
            <w:vAlign w:val="center"/>
          </w:tcPr>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 xml:space="preserve">Patient must have, if coronary artery disease is present, one or more of the following: </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i)</w:t>
            </w:r>
            <w:r w:rsidRPr="00D27DC3">
              <w:rPr>
                <w:rFonts w:ascii="Arial Narrow" w:eastAsia="Calibri" w:hAnsi="Arial Narrow"/>
                <w:bCs/>
                <w:sz w:val="18"/>
                <w:szCs w:val="18"/>
                <w:lang w:eastAsia="en-US"/>
              </w:rPr>
              <w:tab/>
              <w:t>Previous multi-vessel coronary revascularisation procedure;</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ii)</w:t>
            </w:r>
            <w:r w:rsidRPr="00D27DC3">
              <w:rPr>
                <w:rFonts w:ascii="Arial Narrow" w:eastAsia="Calibri" w:hAnsi="Arial Narrow"/>
                <w:bCs/>
                <w:sz w:val="18"/>
                <w:szCs w:val="18"/>
                <w:lang w:eastAsia="en-US"/>
              </w:rPr>
              <w:tab/>
              <w:t>Significant stenosis in 2 or more coronary arteries;</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iii)</w:t>
            </w:r>
            <w:r w:rsidRPr="00D27DC3">
              <w:rPr>
                <w:rFonts w:ascii="Arial Narrow" w:eastAsia="Calibri" w:hAnsi="Arial Narrow"/>
                <w:bCs/>
                <w:sz w:val="18"/>
                <w:szCs w:val="18"/>
                <w:lang w:eastAsia="en-US"/>
              </w:rPr>
              <w:tab/>
              <w:t>Previous single vessel coronary revascularisation procedure with significant stenosis in more than 1 coronary artery.</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OR</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 xml:space="preserve">Patient must have, if peripheral arterial disease is present, one or more of the following: </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i)</w:t>
            </w:r>
            <w:r w:rsidRPr="00D27DC3">
              <w:rPr>
                <w:rFonts w:ascii="Arial Narrow" w:eastAsia="Calibri" w:hAnsi="Arial Narrow"/>
                <w:bCs/>
                <w:sz w:val="18"/>
                <w:szCs w:val="18"/>
                <w:lang w:eastAsia="en-US"/>
              </w:rPr>
              <w:tab/>
              <w:t>Previous peripheral artery or carotid revascularisation intervention;</w:t>
            </w:r>
          </w:p>
          <w:p w:rsidR="00D27DC3" w:rsidRPr="00D27DC3"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ii)</w:t>
            </w:r>
            <w:r w:rsidRPr="00D27DC3">
              <w:rPr>
                <w:rFonts w:ascii="Arial Narrow" w:eastAsia="Calibri" w:hAnsi="Arial Narrow"/>
                <w:bCs/>
                <w:sz w:val="18"/>
                <w:szCs w:val="18"/>
                <w:lang w:eastAsia="en-US"/>
              </w:rPr>
              <w:tab/>
              <w:t xml:space="preserve">Intermittent claudication with ankle-brachial index less than 0.9; </w:t>
            </w:r>
          </w:p>
          <w:p w:rsidR="008C5490" w:rsidRPr="008C7BF7" w:rsidRDefault="00D27DC3" w:rsidP="00D27DC3">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iii)</w:t>
            </w:r>
            <w:r w:rsidRPr="00D27DC3">
              <w:rPr>
                <w:rFonts w:ascii="Arial Narrow" w:eastAsia="Calibri" w:hAnsi="Arial Narrow"/>
                <w:bCs/>
                <w:sz w:val="18"/>
                <w:szCs w:val="18"/>
                <w:lang w:eastAsia="en-US"/>
              </w:rPr>
              <w:tab/>
              <w:t>Asymptomatic carotid artery stenosis greater than 50%.</w:t>
            </w:r>
          </w:p>
        </w:tc>
      </w:tr>
      <w:tr w:rsidR="008C5490" w:rsidRPr="00FE1603" w:rsidTr="008C5490">
        <w:trPr>
          <w:trHeight w:val="194"/>
        </w:trPr>
        <w:tc>
          <w:tcPr>
            <w:tcW w:w="5000" w:type="pct"/>
            <w:vAlign w:val="center"/>
          </w:tcPr>
          <w:p w:rsidR="008C5490" w:rsidRPr="00FE1603" w:rsidRDefault="008C5490" w:rsidP="00A35DB0">
            <w:pPr>
              <w:widowControl w:val="0"/>
              <w:rPr>
                <w:rFonts w:ascii="Arial Narrow" w:eastAsia="Calibri" w:hAnsi="Arial Narrow"/>
                <w:b/>
                <w:bCs/>
                <w:sz w:val="18"/>
                <w:szCs w:val="18"/>
                <w:lang w:eastAsia="en-US"/>
              </w:rPr>
            </w:pPr>
            <w:r w:rsidRPr="00FE1603">
              <w:rPr>
                <w:rFonts w:ascii="Arial Narrow" w:eastAsia="Calibri" w:hAnsi="Arial Narrow"/>
                <w:b/>
                <w:bCs/>
                <w:sz w:val="18"/>
                <w:szCs w:val="18"/>
                <w:lang w:eastAsia="en-US"/>
              </w:rPr>
              <w:t xml:space="preserve">AND </w:t>
            </w:r>
          </w:p>
        </w:tc>
      </w:tr>
      <w:tr w:rsidR="008C5490" w:rsidRPr="00FE1603" w:rsidTr="008C5490">
        <w:trPr>
          <w:trHeight w:val="257"/>
        </w:trPr>
        <w:tc>
          <w:tcPr>
            <w:tcW w:w="5000" w:type="pct"/>
            <w:vAlign w:val="center"/>
          </w:tcPr>
          <w:p w:rsidR="008C5490" w:rsidRPr="00FE1603" w:rsidRDefault="008C5490" w:rsidP="00A35DB0">
            <w:pPr>
              <w:widowControl w:val="0"/>
              <w:rPr>
                <w:rFonts w:ascii="Arial Narrow" w:eastAsia="Calibri" w:hAnsi="Arial Narrow"/>
                <w:b/>
                <w:bCs/>
                <w:sz w:val="18"/>
                <w:szCs w:val="18"/>
                <w:lang w:eastAsia="en-US"/>
              </w:rPr>
            </w:pPr>
            <w:r w:rsidRPr="00FE1603">
              <w:rPr>
                <w:rFonts w:ascii="Arial Narrow" w:eastAsia="Calibri" w:hAnsi="Arial Narrow"/>
                <w:b/>
                <w:bCs/>
                <w:sz w:val="18"/>
                <w:szCs w:val="18"/>
                <w:lang w:eastAsia="en-US"/>
              </w:rPr>
              <w:t>Clinical criteria:</w:t>
            </w:r>
          </w:p>
        </w:tc>
      </w:tr>
      <w:tr w:rsidR="008C5490" w:rsidRPr="00FE1603" w:rsidTr="008C5490">
        <w:trPr>
          <w:trHeight w:val="256"/>
        </w:trPr>
        <w:tc>
          <w:tcPr>
            <w:tcW w:w="5000" w:type="pct"/>
            <w:vAlign w:val="center"/>
          </w:tcPr>
          <w:p w:rsidR="008C5490" w:rsidRPr="00FE1603" w:rsidRDefault="00D27DC3" w:rsidP="00D27DC3">
            <w:pPr>
              <w:widowControl w:val="0"/>
              <w:rPr>
                <w:rFonts w:ascii="Arial Narrow" w:eastAsia="Calibri" w:hAnsi="Arial Narrow"/>
                <w:b/>
                <w:bCs/>
                <w:sz w:val="18"/>
                <w:szCs w:val="18"/>
                <w:lang w:eastAsia="en-US"/>
              </w:rPr>
            </w:pPr>
            <w:r w:rsidRPr="00D27DC3">
              <w:rPr>
                <w:rFonts w:ascii="Arial Narrow" w:eastAsia="Calibri" w:hAnsi="Arial Narrow"/>
                <w:sz w:val="18"/>
                <w:szCs w:val="18"/>
                <w:lang w:eastAsia="en-US"/>
              </w:rPr>
              <w:t xml:space="preserve">The condition must be diagnosed by angiography or non-invasive imaging where peripheral artery disease, peripheral artery stenosis, stenosis of the carotid artery, or coronary artery stenosis is present. </w:t>
            </w:r>
          </w:p>
        </w:tc>
      </w:tr>
      <w:tr w:rsidR="008C5490" w:rsidRPr="00FE1603" w:rsidTr="008C5490">
        <w:trPr>
          <w:trHeight w:val="194"/>
        </w:trPr>
        <w:tc>
          <w:tcPr>
            <w:tcW w:w="5000" w:type="pct"/>
            <w:vAlign w:val="center"/>
          </w:tcPr>
          <w:p w:rsidR="008C5490" w:rsidRPr="00FE1603" w:rsidRDefault="008C5490" w:rsidP="00A35DB0">
            <w:pPr>
              <w:widowControl w:val="0"/>
              <w:rPr>
                <w:rFonts w:ascii="Arial Narrow" w:eastAsia="Calibri" w:hAnsi="Arial Narrow"/>
                <w:b/>
                <w:bCs/>
                <w:sz w:val="18"/>
                <w:szCs w:val="18"/>
                <w:lang w:eastAsia="en-US"/>
              </w:rPr>
            </w:pPr>
            <w:r w:rsidRPr="00FE1603">
              <w:rPr>
                <w:rFonts w:ascii="Arial Narrow" w:eastAsia="Calibri" w:hAnsi="Arial Narrow"/>
                <w:b/>
                <w:bCs/>
                <w:sz w:val="18"/>
                <w:szCs w:val="18"/>
                <w:lang w:eastAsia="en-US"/>
              </w:rPr>
              <w:t>AND</w:t>
            </w:r>
          </w:p>
        </w:tc>
      </w:tr>
      <w:tr w:rsidR="008C5490" w:rsidRPr="00FE1603" w:rsidTr="008C5490">
        <w:trPr>
          <w:trHeight w:val="166"/>
        </w:trPr>
        <w:tc>
          <w:tcPr>
            <w:tcW w:w="5000" w:type="pct"/>
            <w:vAlign w:val="center"/>
          </w:tcPr>
          <w:p w:rsidR="008C5490" w:rsidRPr="00FE1603" w:rsidRDefault="008C5490" w:rsidP="00A35DB0">
            <w:pPr>
              <w:widowControl w:val="0"/>
              <w:jc w:val="left"/>
              <w:rPr>
                <w:rFonts w:ascii="Arial Narrow" w:eastAsia="Calibri" w:hAnsi="Arial Narrow"/>
                <w:b/>
                <w:sz w:val="18"/>
                <w:szCs w:val="18"/>
                <w:lang w:eastAsia="en-US"/>
              </w:rPr>
            </w:pPr>
            <w:r w:rsidRPr="00FE1603">
              <w:rPr>
                <w:rFonts w:ascii="Arial Narrow" w:eastAsia="Calibri" w:hAnsi="Arial Narrow"/>
                <w:b/>
                <w:sz w:val="18"/>
                <w:szCs w:val="18"/>
                <w:lang w:eastAsia="en-US"/>
              </w:rPr>
              <w:t xml:space="preserve">Clinical criteria: </w:t>
            </w:r>
          </w:p>
        </w:tc>
      </w:tr>
      <w:tr w:rsidR="008C5490" w:rsidRPr="00FE1603" w:rsidTr="008C5490">
        <w:trPr>
          <w:trHeight w:val="776"/>
        </w:trPr>
        <w:tc>
          <w:tcPr>
            <w:tcW w:w="5000" w:type="pct"/>
            <w:vAlign w:val="center"/>
          </w:tcPr>
          <w:p w:rsidR="00D27DC3" w:rsidRPr="00D27DC3" w:rsidRDefault="00D27DC3" w:rsidP="00D27DC3">
            <w:pPr>
              <w:widowControl w:val="0"/>
              <w:jc w:val="left"/>
              <w:rPr>
                <w:rFonts w:ascii="Arial Narrow" w:eastAsia="Calibri" w:hAnsi="Arial Narrow"/>
                <w:bCs/>
                <w:sz w:val="18"/>
                <w:szCs w:val="18"/>
                <w:lang w:eastAsia="en-US"/>
              </w:rPr>
            </w:pPr>
            <w:r w:rsidRPr="00D27DC3">
              <w:rPr>
                <w:rFonts w:ascii="Arial Narrow" w:eastAsia="Calibri" w:hAnsi="Arial Narrow"/>
                <w:bCs/>
                <w:sz w:val="18"/>
                <w:szCs w:val="18"/>
                <w:lang w:eastAsia="en-US"/>
              </w:rPr>
              <w:t xml:space="preserve">Patient must not be, or have any of the following: </w:t>
            </w:r>
          </w:p>
          <w:p w:rsidR="00D27DC3" w:rsidRPr="00D27DC3" w:rsidRDefault="00D27DC3" w:rsidP="00D27DC3">
            <w:pPr>
              <w:widowControl w:val="0"/>
              <w:jc w:val="left"/>
              <w:rPr>
                <w:rFonts w:ascii="Arial Narrow" w:eastAsia="Calibri" w:hAnsi="Arial Narrow"/>
                <w:bCs/>
                <w:sz w:val="18"/>
                <w:szCs w:val="18"/>
                <w:lang w:eastAsia="en-US"/>
              </w:rPr>
            </w:pPr>
            <w:r w:rsidRPr="00D27DC3">
              <w:rPr>
                <w:rFonts w:ascii="Arial Narrow" w:eastAsia="Calibri" w:hAnsi="Arial Narrow"/>
                <w:bCs/>
                <w:sz w:val="18"/>
                <w:szCs w:val="18"/>
                <w:lang w:eastAsia="en-US"/>
              </w:rPr>
              <w:t>i)</w:t>
            </w:r>
            <w:r w:rsidRPr="00D27DC3">
              <w:rPr>
                <w:rFonts w:ascii="Arial Narrow" w:eastAsia="Calibri" w:hAnsi="Arial Narrow"/>
                <w:bCs/>
                <w:sz w:val="18"/>
                <w:szCs w:val="18"/>
                <w:lang w:eastAsia="en-US"/>
              </w:rPr>
              <w:tab/>
              <w:t>At high risk of bleeding;</w:t>
            </w:r>
          </w:p>
          <w:p w:rsidR="00D27DC3" w:rsidRPr="00D27DC3" w:rsidRDefault="00D27DC3" w:rsidP="00D27DC3">
            <w:pPr>
              <w:widowControl w:val="0"/>
              <w:jc w:val="left"/>
              <w:rPr>
                <w:rFonts w:ascii="Arial Narrow" w:eastAsia="Calibri" w:hAnsi="Arial Narrow"/>
                <w:bCs/>
                <w:sz w:val="18"/>
                <w:szCs w:val="18"/>
                <w:lang w:eastAsia="en-US"/>
              </w:rPr>
            </w:pPr>
            <w:r w:rsidRPr="00D27DC3">
              <w:rPr>
                <w:rFonts w:ascii="Arial Narrow" w:eastAsia="Calibri" w:hAnsi="Arial Narrow"/>
                <w:bCs/>
                <w:sz w:val="18"/>
                <w:szCs w:val="18"/>
                <w:lang w:eastAsia="en-US"/>
              </w:rPr>
              <w:t>ii)</w:t>
            </w:r>
            <w:r w:rsidRPr="00D27DC3">
              <w:rPr>
                <w:rFonts w:ascii="Arial Narrow" w:eastAsia="Calibri" w:hAnsi="Arial Narrow"/>
                <w:bCs/>
                <w:sz w:val="18"/>
                <w:szCs w:val="18"/>
                <w:lang w:eastAsia="en-US"/>
              </w:rPr>
              <w:tab/>
              <w:t>A history of stroke within one month of treatment initiation or any history of haemorrhagic or lacunar stroke;</w:t>
            </w:r>
          </w:p>
          <w:p w:rsidR="00D27DC3" w:rsidRPr="00D27DC3" w:rsidRDefault="00D27DC3" w:rsidP="00D27DC3">
            <w:pPr>
              <w:widowControl w:val="0"/>
              <w:jc w:val="left"/>
              <w:rPr>
                <w:rFonts w:ascii="Arial Narrow" w:eastAsia="Calibri" w:hAnsi="Arial Narrow"/>
                <w:bCs/>
                <w:sz w:val="18"/>
                <w:szCs w:val="18"/>
                <w:lang w:eastAsia="en-US"/>
              </w:rPr>
            </w:pPr>
            <w:r w:rsidRPr="00D27DC3">
              <w:rPr>
                <w:rFonts w:ascii="Arial Narrow" w:eastAsia="Calibri" w:hAnsi="Arial Narrow"/>
                <w:bCs/>
                <w:sz w:val="18"/>
                <w:szCs w:val="18"/>
                <w:lang w:eastAsia="en-US"/>
              </w:rPr>
              <w:t>iii)</w:t>
            </w:r>
            <w:r w:rsidRPr="00D27DC3">
              <w:rPr>
                <w:rFonts w:ascii="Arial Narrow" w:eastAsia="Calibri" w:hAnsi="Arial Narrow"/>
                <w:bCs/>
                <w:sz w:val="18"/>
                <w:szCs w:val="18"/>
                <w:lang w:eastAsia="en-US"/>
              </w:rPr>
              <w:tab/>
              <w:t>Severe heart failure with a known ejection fraction less than 30% or New York Heart Association class III or IV symptoms;</w:t>
            </w:r>
          </w:p>
          <w:p w:rsidR="00D27DC3" w:rsidRPr="00D27DC3" w:rsidRDefault="00D27DC3" w:rsidP="00D27DC3">
            <w:pPr>
              <w:widowControl w:val="0"/>
              <w:jc w:val="left"/>
              <w:rPr>
                <w:rFonts w:ascii="Arial Narrow" w:eastAsia="Calibri" w:hAnsi="Arial Narrow"/>
                <w:bCs/>
                <w:sz w:val="18"/>
                <w:szCs w:val="18"/>
                <w:lang w:eastAsia="en-US"/>
              </w:rPr>
            </w:pPr>
            <w:r w:rsidRPr="00D27DC3">
              <w:rPr>
                <w:rFonts w:ascii="Arial Narrow" w:eastAsia="Calibri" w:hAnsi="Arial Narrow"/>
                <w:bCs/>
                <w:sz w:val="18"/>
                <w:szCs w:val="18"/>
                <w:lang w:eastAsia="en-US"/>
              </w:rPr>
              <w:t>iv)</w:t>
            </w:r>
            <w:r w:rsidRPr="00D27DC3">
              <w:rPr>
                <w:rFonts w:ascii="Arial Narrow" w:eastAsia="Calibri" w:hAnsi="Arial Narrow"/>
                <w:bCs/>
                <w:sz w:val="18"/>
                <w:szCs w:val="18"/>
                <w:lang w:eastAsia="en-US"/>
              </w:rPr>
              <w:tab/>
              <w:t>An estimated glomerular filtration rate less than 15 mL/min;</w:t>
            </w:r>
          </w:p>
          <w:p w:rsidR="008C5490" w:rsidRPr="00612143" w:rsidRDefault="00D27DC3" w:rsidP="00D27DC3">
            <w:pPr>
              <w:widowControl w:val="0"/>
              <w:jc w:val="left"/>
              <w:rPr>
                <w:rFonts w:ascii="Arial Narrow" w:eastAsia="Calibri" w:hAnsi="Arial Narrow"/>
                <w:bCs/>
                <w:sz w:val="18"/>
                <w:szCs w:val="18"/>
                <w:lang w:eastAsia="en-US"/>
              </w:rPr>
            </w:pPr>
            <w:r w:rsidRPr="00D27DC3">
              <w:rPr>
                <w:rFonts w:ascii="Arial Narrow" w:eastAsia="Calibri" w:hAnsi="Arial Narrow"/>
                <w:bCs/>
                <w:sz w:val="18"/>
                <w:szCs w:val="18"/>
                <w:lang w:eastAsia="en-US"/>
              </w:rPr>
              <w:t>v)</w:t>
            </w:r>
            <w:r w:rsidRPr="00D27DC3">
              <w:rPr>
                <w:rFonts w:ascii="Arial Narrow" w:eastAsia="Calibri" w:hAnsi="Arial Narrow"/>
                <w:bCs/>
                <w:sz w:val="18"/>
                <w:szCs w:val="18"/>
                <w:lang w:eastAsia="en-US"/>
              </w:rPr>
              <w:tab/>
              <w:t>A requirement for dual antiplatelet therapy, other non-ASA antiplatelet therapy, or higher dose oral anticoagulant therapy</w:t>
            </w:r>
          </w:p>
        </w:tc>
      </w:tr>
      <w:tr w:rsidR="008C5490" w:rsidRPr="00FE1603" w:rsidTr="008C5490">
        <w:trPr>
          <w:trHeight w:val="188"/>
        </w:trPr>
        <w:tc>
          <w:tcPr>
            <w:tcW w:w="5000" w:type="pct"/>
            <w:vAlign w:val="center"/>
            <w:hideMark/>
          </w:tcPr>
          <w:p w:rsidR="008C5490" w:rsidRPr="00FE1603" w:rsidRDefault="008C5490" w:rsidP="00A35DB0">
            <w:pPr>
              <w:widowControl w:val="0"/>
              <w:rPr>
                <w:rFonts w:ascii="Arial Narrow" w:eastAsia="Calibri" w:hAnsi="Arial Narrow"/>
                <w:sz w:val="18"/>
                <w:szCs w:val="18"/>
                <w:lang w:eastAsia="en-US"/>
              </w:rPr>
            </w:pPr>
            <w:r w:rsidRPr="00FE1603">
              <w:rPr>
                <w:rFonts w:ascii="Arial Narrow" w:eastAsia="Calibri" w:hAnsi="Arial Narrow"/>
                <w:b/>
                <w:bCs/>
                <w:sz w:val="18"/>
                <w:szCs w:val="18"/>
                <w:lang w:eastAsia="en-US"/>
              </w:rPr>
              <w:lastRenderedPageBreak/>
              <w:t>Treatment criteria:</w:t>
            </w:r>
          </w:p>
        </w:tc>
      </w:tr>
      <w:tr w:rsidR="008C5490" w:rsidRPr="00FE1603" w:rsidTr="008C5490">
        <w:trPr>
          <w:trHeight w:val="188"/>
        </w:trPr>
        <w:tc>
          <w:tcPr>
            <w:tcW w:w="5000" w:type="pct"/>
            <w:vAlign w:val="center"/>
          </w:tcPr>
          <w:p w:rsidR="008C5490" w:rsidRPr="00C61A88" w:rsidRDefault="00D27DC3" w:rsidP="00A35DB0">
            <w:pPr>
              <w:widowControl w:val="0"/>
              <w:rPr>
                <w:rFonts w:ascii="Arial Narrow" w:eastAsia="Calibri" w:hAnsi="Arial Narrow"/>
                <w:bCs/>
                <w:sz w:val="18"/>
                <w:szCs w:val="18"/>
                <w:lang w:eastAsia="en-US"/>
              </w:rPr>
            </w:pPr>
            <w:r w:rsidRPr="00D27DC3">
              <w:rPr>
                <w:rFonts w:ascii="Arial Narrow" w:eastAsia="Calibri" w:hAnsi="Arial Narrow"/>
                <w:bCs/>
                <w:sz w:val="18"/>
                <w:szCs w:val="18"/>
                <w:lang w:eastAsia="en-US"/>
              </w:rPr>
              <w:t xml:space="preserve">Must be treated by or in consultation with a specialist physician.  </w:t>
            </w:r>
          </w:p>
        </w:tc>
      </w:tr>
      <w:tr w:rsidR="008C5490" w:rsidRPr="00FE1603" w:rsidTr="008C5490">
        <w:tc>
          <w:tcPr>
            <w:tcW w:w="5000" w:type="pct"/>
            <w:vAlign w:val="center"/>
          </w:tcPr>
          <w:p w:rsidR="008C5490" w:rsidRPr="00D27DC3" w:rsidRDefault="008C5490" w:rsidP="00A35DB0">
            <w:pPr>
              <w:widowControl w:val="0"/>
              <w:rPr>
                <w:rFonts w:ascii="Arial Narrow" w:eastAsia="Calibri" w:hAnsi="Arial Narrow"/>
                <w:b/>
                <w:sz w:val="18"/>
                <w:szCs w:val="18"/>
                <w:lang w:eastAsia="en-US"/>
              </w:rPr>
            </w:pPr>
            <w:r w:rsidRPr="00D27DC3">
              <w:rPr>
                <w:rFonts w:ascii="Arial Narrow" w:eastAsia="Calibri" w:hAnsi="Arial Narrow"/>
                <w:b/>
                <w:sz w:val="18"/>
                <w:szCs w:val="18"/>
                <w:lang w:eastAsia="en-US"/>
              </w:rPr>
              <w:t xml:space="preserve">Administrative Advice: </w:t>
            </w:r>
          </w:p>
          <w:p w:rsidR="008C5490" w:rsidRPr="00D27DC3" w:rsidRDefault="008C5490" w:rsidP="00A35DB0">
            <w:pPr>
              <w:widowControl w:val="0"/>
              <w:rPr>
                <w:rFonts w:ascii="Arial Narrow" w:eastAsia="Calibri" w:hAnsi="Arial Narrow"/>
                <w:b/>
                <w:sz w:val="18"/>
                <w:szCs w:val="18"/>
                <w:lang w:eastAsia="en-US"/>
              </w:rPr>
            </w:pPr>
            <w:r w:rsidRPr="00D27DC3">
              <w:rPr>
                <w:rFonts w:ascii="Arial Narrow" w:eastAsia="Calibri" w:hAnsi="Arial Narrow"/>
                <w:b/>
                <w:bCs/>
                <w:sz w:val="18"/>
                <w:szCs w:val="18"/>
                <w:lang w:eastAsia="en-US"/>
              </w:rPr>
              <w:t>Shared Care Model</w:t>
            </w:r>
            <w:r w:rsidRPr="00D27DC3">
              <w:rPr>
                <w:rFonts w:ascii="Arial Narrow" w:eastAsia="Calibri" w:hAnsi="Arial Narrow"/>
                <w:b/>
                <w:sz w:val="18"/>
                <w:szCs w:val="18"/>
                <w:lang w:eastAsia="en-US"/>
              </w:rPr>
              <w:t>:</w:t>
            </w:r>
          </w:p>
          <w:p w:rsidR="008C5490" w:rsidRPr="00FE1603" w:rsidRDefault="008C5490" w:rsidP="00A35DB0">
            <w:pPr>
              <w:widowControl w:val="0"/>
              <w:rPr>
                <w:rFonts w:ascii="Arial Narrow" w:eastAsia="Calibri" w:hAnsi="Arial Narrow"/>
                <w:sz w:val="18"/>
                <w:szCs w:val="18"/>
                <w:lang w:eastAsia="en-US"/>
              </w:rPr>
            </w:pPr>
            <w:r w:rsidRPr="00D27DC3">
              <w:rPr>
                <w:rFonts w:ascii="Arial Narrow" w:eastAsia="Calibri" w:hAnsi="Arial Narrow"/>
                <w:sz w:val="18"/>
                <w:szCs w:val="18"/>
                <w:lang w:eastAsia="en-US"/>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A25AFA" w:rsidRPr="00EB5379" w:rsidRDefault="00A25AFA" w:rsidP="00A25AFA">
      <w:pPr>
        <w:widowControl w:val="0"/>
        <w:rPr>
          <w:rFonts w:eastAsia="Calibri"/>
          <w:sz w:val="22"/>
          <w:szCs w:val="22"/>
          <w:lang w:eastAsia="en-US"/>
        </w:rPr>
      </w:pPr>
    </w:p>
    <w:p w:rsidR="00590801" w:rsidRPr="00EB5379" w:rsidRDefault="00222E13" w:rsidP="00F10BCB">
      <w:pPr>
        <w:pStyle w:val="3Bodytext"/>
      </w:pPr>
      <w:r w:rsidRPr="00EB5379">
        <w:t>The submission proposed a special pricing arrangement</w:t>
      </w:r>
      <w:r w:rsidR="00E814A2" w:rsidRPr="00EB5379">
        <w:t xml:space="preserve"> for rivaroxaban 2.5 mg (quantity 60)</w:t>
      </w:r>
      <w:r w:rsidRPr="00EB5379">
        <w:t xml:space="preserve">, with an effective </w:t>
      </w:r>
      <w:r w:rsidR="00E814A2" w:rsidRPr="00EB5379">
        <w:t>ex</w:t>
      </w:r>
      <w:r w:rsidR="00E814A2" w:rsidRPr="00EB5379">
        <w:noBreakHyphen/>
      </w:r>
      <w:r w:rsidR="00F10BCB" w:rsidRPr="00EB5379">
        <w:t xml:space="preserve">manufacturer price (AEMP) </w:t>
      </w:r>
      <w:r w:rsidRPr="00EB5379">
        <w:t>of $</w:t>
      </w:r>
      <w:r w:rsidR="00DF10EB">
        <w:rPr>
          <w:noProof/>
          <w:color w:val="000000"/>
          <w:highlight w:val="black"/>
        </w:rPr>
        <w:t>''''''''''</w:t>
      </w:r>
      <w:r w:rsidRPr="00EB5379">
        <w:t xml:space="preserve">, which was </w:t>
      </w:r>
      <w:r w:rsidR="00DF10EB">
        <w:rPr>
          <w:noProof/>
          <w:color w:val="000000"/>
          <w:highlight w:val="black"/>
        </w:rPr>
        <w:t>''</w:t>
      </w:r>
      <w:r w:rsidRPr="00EB5379">
        <w:t xml:space="preserve">% lower than </w:t>
      </w:r>
      <w:r w:rsidR="00F10BCB" w:rsidRPr="00EB5379">
        <w:t xml:space="preserve">proposed in </w:t>
      </w:r>
      <w:r w:rsidRPr="00EB5379">
        <w:t>the previous submission</w:t>
      </w:r>
      <w:r w:rsidR="00F10BCB" w:rsidRPr="00EB5379">
        <w:t>’s pre-PBAC response</w:t>
      </w:r>
      <w:r w:rsidRPr="00EB5379">
        <w:t xml:space="preserve"> (</w:t>
      </w:r>
      <w:r w:rsidR="003851FA" w:rsidRPr="00EB5379">
        <w:t>$</w:t>
      </w:r>
      <w:r w:rsidR="00DF10EB">
        <w:rPr>
          <w:noProof/>
          <w:color w:val="000000"/>
          <w:highlight w:val="black"/>
        </w:rPr>
        <w:t>''''''''''</w:t>
      </w:r>
      <w:r w:rsidRPr="00EB5379">
        <w:t xml:space="preserve">). </w:t>
      </w:r>
    </w:p>
    <w:p w:rsidR="00F10BCB" w:rsidRPr="00EB5379" w:rsidRDefault="00F10BCB" w:rsidP="00F10BCB">
      <w:pPr>
        <w:pStyle w:val="3Bodytext"/>
        <w:rPr>
          <w:snapToGrid w:val="0"/>
          <w:lang w:eastAsia="en-US"/>
        </w:rPr>
      </w:pPr>
      <w:r w:rsidRPr="00EB5379">
        <w:rPr>
          <w:snapToGrid w:val="0"/>
          <w:lang w:eastAsia="en-US"/>
        </w:rPr>
        <w:t xml:space="preserve">The restriction proposed by the submission was consistent with the PBAC’s previous advice </w:t>
      </w:r>
      <w:r w:rsidR="00F62CE3" w:rsidRPr="00EB5379">
        <w:rPr>
          <w:snapToGrid w:val="0"/>
          <w:lang w:eastAsia="en-US"/>
        </w:rPr>
        <w:t>(paragraph 3</w:t>
      </w:r>
      <w:r w:rsidRPr="00EB5379">
        <w:rPr>
          <w:snapToGrid w:val="0"/>
          <w:lang w:eastAsia="en-US"/>
        </w:rPr>
        <w:t xml:space="preserve">.1, </w:t>
      </w:r>
      <w:r w:rsidR="00F62CE3" w:rsidRPr="00EB5379">
        <w:rPr>
          <w:snapToGrid w:val="0"/>
          <w:lang w:eastAsia="en-US"/>
        </w:rPr>
        <w:t xml:space="preserve">rivaroxaban </w:t>
      </w:r>
      <w:r w:rsidR="000D3B77">
        <w:rPr>
          <w:snapToGrid w:val="0"/>
          <w:lang w:eastAsia="en-US"/>
        </w:rPr>
        <w:t>PSD</w:t>
      </w:r>
      <w:r w:rsidRPr="00EB5379">
        <w:rPr>
          <w:snapToGrid w:val="0"/>
          <w:lang w:eastAsia="en-US"/>
        </w:rPr>
        <w:t>, March 20</w:t>
      </w:r>
      <w:r w:rsidR="00F62CE3" w:rsidRPr="00EB5379">
        <w:rPr>
          <w:snapToGrid w:val="0"/>
          <w:lang w:eastAsia="en-US"/>
        </w:rPr>
        <w:t>20</w:t>
      </w:r>
      <w:r w:rsidRPr="00EB5379">
        <w:rPr>
          <w:snapToGrid w:val="0"/>
          <w:lang w:eastAsia="en-US"/>
        </w:rPr>
        <w:t>). The PBAC previously considered that the patient population encompassed by this restriction adequately defined the high-risk subgroups who would derive the most benefit from treatment with rivaroxaban</w:t>
      </w:r>
      <w:r w:rsidR="00F62CE3" w:rsidRPr="00EB5379">
        <w:rPr>
          <w:snapToGrid w:val="0"/>
          <w:lang w:eastAsia="en-US"/>
        </w:rPr>
        <w:t xml:space="preserve"> (paragraph 7.3, rivaroxaban </w:t>
      </w:r>
      <w:r w:rsidR="000D3B77">
        <w:rPr>
          <w:snapToGrid w:val="0"/>
          <w:lang w:eastAsia="en-US"/>
        </w:rPr>
        <w:t>PSD</w:t>
      </w:r>
      <w:r w:rsidR="00F62CE3" w:rsidRPr="00EB5379">
        <w:rPr>
          <w:snapToGrid w:val="0"/>
          <w:lang w:eastAsia="en-US"/>
        </w:rPr>
        <w:t>, March 2020)</w:t>
      </w:r>
      <w:r w:rsidR="00EB5379">
        <w:rPr>
          <w:snapToGrid w:val="0"/>
          <w:lang w:eastAsia="en-US"/>
        </w:rPr>
        <w:t xml:space="preserve">. </w:t>
      </w:r>
    </w:p>
    <w:p w:rsidR="00CB4EDF" w:rsidRDefault="00F10BCB" w:rsidP="00CB4EDF">
      <w:pPr>
        <w:pStyle w:val="3Bodytext"/>
        <w:rPr>
          <w:snapToGrid w:val="0"/>
          <w:lang w:eastAsia="en-US"/>
        </w:rPr>
      </w:pPr>
      <w:r w:rsidRPr="00EB5379">
        <w:rPr>
          <w:snapToGrid w:val="0"/>
          <w:lang w:eastAsia="en-US"/>
        </w:rPr>
        <w:t xml:space="preserve">The </w:t>
      </w:r>
      <w:r w:rsidR="000F0DE2" w:rsidRPr="00EB5379">
        <w:rPr>
          <w:snapToGrid w:val="0"/>
          <w:lang w:eastAsia="en-US"/>
        </w:rPr>
        <w:t>PBAC considered that</w:t>
      </w:r>
      <w:r w:rsidRPr="00EB5379">
        <w:rPr>
          <w:snapToGrid w:val="0"/>
          <w:lang w:eastAsia="en-US"/>
        </w:rPr>
        <w:t xml:space="preserve"> separate </w:t>
      </w:r>
      <w:r w:rsidR="006B21EB" w:rsidRPr="00EB5379">
        <w:rPr>
          <w:snapToGrid w:val="0"/>
          <w:lang w:eastAsia="en-US"/>
        </w:rPr>
        <w:t xml:space="preserve">initial and </w:t>
      </w:r>
      <w:r w:rsidRPr="00EB5379">
        <w:rPr>
          <w:snapToGrid w:val="0"/>
          <w:lang w:eastAsia="en-US"/>
        </w:rPr>
        <w:t xml:space="preserve">continuing </w:t>
      </w:r>
      <w:r w:rsidR="006B21EB" w:rsidRPr="00EB5379">
        <w:rPr>
          <w:snapToGrid w:val="0"/>
          <w:lang w:eastAsia="en-US"/>
        </w:rPr>
        <w:t xml:space="preserve">listings </w:t>
      </w:r>
      <w:r w:rsidR="000F0DE2" w:rsidRPr="00EB5379">
        <w:rPr>
          <w:snapToGrid w:val="0"/>
          <w:lang w:eastAsia="en-US"/>
        </w:rPr>
        <w:t xml:space="preserve">would be required </w:t>
      </w:r>
      <w:r w:rsidR="00C16413">
        <w:rPr>
          <w:snapToGrid w:val="0"/>
          <w:lang w:eastAsia="en-US"/>
        </w:rPr>
        <w:t xml:space="preserve">to simplify the continuing treatment listing. </w:t>
      </w:r>
    </w:p>
    <w:p w:rsidR="00590801" w:rsidRPr="00EB5379" w:rsidRDefault="000653DF" w:rsidP="00CB4EDF">
      <w:pPr>
        <w:pStyle w:val="3Bodytext"/>
        <w:rPr>
          <w:snapToGrid w:val="0"/>
          <w:lang w:eastAsia="en-US"/>
        </w:rPr>
      </w:pPr>
      <w:r w:rsidRPr="00EB5379">
        <w:rPr>
          <w:snapToGrid w:val="0"/>
          <w:lang w:eastAsia="en-US"/>
        </w:rPr>
        <w:t xml:space="preserve">The PBAC considered that </w:t>
      </w:r>
      <w:r w:rsidR="00CB4EDF">
        <w:rPr>
          <w:snapToGrid w:val="0"/>
          <w:lang w:eastAsia="en-US"/>
        </w:rPr>
        <w:t>t</w:t>
      </w:r>
      <w:r w:rsidR="00CB4EDF" w:rsidRPr="00CB4EDF">
        <w:rPr>
          <w:snapToGrid w:val="0"/>
          <w:lang w:eastAsia="en-US"/>
        </w:rPr>
        <w:t xml:space="preserve">reatment </w:t>
      </w:r>
      <w:r w:rsidR="00810C61">
        <w:rPr>
          <w:snapToGrid w:val="0"/>
          <w:lang w:eastAsia="en-US"/>
        </w:rPr>
        <w:t xml:space="preserve">with rivaroxaban for this condition </w:t>
      </w:r>
      <w:r w:rsidR="00CB4EDF" w:rsidRPr="00CB4EDF">
        <w:rPr>
          <w:snapToGrid w:val="0"/>
          <w:lang w:eastAsia="en-US"/>
        </w:rPr>
        <w:t>must be initiated by a specialist physician or in consultation with a specialist physician</w:t>
      </w:r>
      <w:r w:rsidR="00CB4EDF">
        <w:rPr>
          <w:snapToGrid w:val="0"/>
          <w:lang w:eastAsia="en-US"/>
        </w:rPr>
        <w:t>. The PBAC considered that</w:t>
      </w:r>
      <w:r w:rsidR="00C53D46">
        <w:rPr>
          <w:snapToGrid w:val="0"/>
          <w:lang w:eastAsia="en-US"/>
        </w:rPr>
        <w:t xml:space="preserve"> treatment could be continued </w:t>
      </w:r>
      <w:r w:rsidR="00810C61">
        <w:rPr>
          <w:snapToGrid w:val="0"/>
          <w:lang w:eastAsia="en-US"/>
        </w:rPr>
        <w:t xml:space="preserve">(after the initial PBS prescription) </w:t>
      </w:r>
      <w:r w:rsidR="00C53D46">
        <w:rPr>
          <w:snapToGrid w:val="0"/>
          <w:lang w:eastAsia="en-US"/>
        </w:rPr>
        <w:t>by non-specialist prescribers.</w:t>
      </w:r>
    </w:p>
    <w:p w:rsidR="007456D3" w:rsidRPr="00EB5379" w:rsidRDefault="007456D3" w:rsidP="00F10BCB">
      <w:pPr>
        <w:pStyle w:val="3Bodytext"/>
        <w:rPr>
          <w:snapToGrid w:val="0"/>
          <w:lang w:eastAsia="en-US"/>
        </w:rPr>
      </w:pPr>
      <w:r w:rsidRPr="00EB5379">
        <w:rPr>
          <w:snapToGrid w:val="0"/>
          <w:lang w:eastAsia="en-US"/>
        </w:rPr>
        <w:t xml:space="preserve">The submission </w:t>
      </w:r>
      <w:r w:rsidR="00F10BCB" w:rsidRPr="00EB5379">
        <w:rPr>
          <w:snapToGrid w:val="0"/>
          <w:lang w:eastAsia="en-US"/>
        </w:rPr>
        <w:t xml:space="preserve">stated that </w:t>
      </w:r>
      <w:r w:rsidR="00BE5986" w:rsidRPr="00EB5379">
        <w:rPr>
          <w:snapToGrid w:val="0"/>
          <w:lang w:eastAsia="en-US"/>
        </w:rPr>
        <w:t xml:space="preserve">approximately </w:t>
      </w:r>
      <w:r w:rsidR="00DC2D2A">
        <w:rPr>
          <w:snapToGrid w:val="0"/>
          <w:lang w:eastAsia="en-US"/>
        </w:rPr>
        <w:t>less than 10,000</w:t>
      </w:r>
      <w:r w:rsidR="00F10BCB" w:rsidRPr="00EB5379">
        <w:rPr>
          <w:snapToGrid w:val="0"/>
          <w:lang w:eastAsia="en-US"/>
        </w:rPr>
        <w:t xml:space="preserve"> patients require </w:t>
      </w:r>
      <w:r w:rsidR="00BE5986" w:rsidRPr="00EB5379">
        <w:rPr>
          <w:snapToGrid w:val="0"/>
          <w:lang w:eastAsia="en-US"/>
        </w:rPr>
        <w:t>transition from non-PBS to PBS-subsidised supply (‘</w:t>
      </w:r>
      <w:r w:rsidR="00F10BCB" w:rsidRPr="00EB5379">
        <w:rPr>
          <w:snapToGrid w:val="0"/>
          <w:lang w:eastAsia="en-US"/>
        </w:rPr>
        <w:t>grandfather access</w:t>
      </w:r>
      <w:r w:rsidR="00BE5986" w:rsidRPr="00EB5379">
        <w:rPr>
          <w:snapToGrid w:val="0"/>
          <w:lang w:eastAsia="en-US"/>
        </w:rPr>
        <w:t>’)</w:t>
      </w:r>
      <w:r w:rsidR="00F10BCB" w:rsidRPr="00EB5379">
        <w:rPr>
          <w:snapToGrid w:val="0"/>
          <w:lang w:eastAsia="en-US"/>
        </w:rPr>
        <w:t xml:space="preserve"> in Year 1 and </w:t>
      </w:r>
      <w:r w:rsidR="00F62CE3" w:rsidRPr="00EB5379">
        <w:rPr>
          <w:snapToGrid w:val="0"/>
          <w:lang w:eastAsia="en-US"/>
        </w:rPr>
        <w:t>requested</w:t>
      </w:r>
      <w:r w:rsidRPr="00EB5379">
        <w:rPr>
          <w:snapToGrid w:val="0"/>
          <w:lang w:eastAsia="en-US"/>
        </w:rPr>
        <w:t xml:space="preserve"> a grandfather </w:t>
      </w:r>
      <w:r w:rsidR="00BE5986" w:rsidRPr="00EB5379">
        <w:rPr>
          <w:snapToGrid w:val="0"/>
          <w:lang w:eastAsia="en-US"/>
        </w:rPr>
        <w:t xml:space="preserve">listing </w:t>
      </w:r>
      <w:r w:rsidRPr="00EB5379">
        <w:rPr>
          <w:snapToGrid w:val="0"/>
          <w:lang w:eastAsia="en-US"/>
        </w:rPr>
        <w:t>(not previously requested)</w:t>
      </w:r>
      <w:r w:rsidR="00F62CE3" w:rsidRPr="00EB5379">
        <w:rPr>
          <w:snapToGrid w:val="0"/>
          <w:lang w:eastAsia="en-US"/>
        </w:rPr>
        <w:t xml:space="preserve">, but did not propose any </w:t>
      </w:r>
      <w:r w:rsidR="00A57158" w:rsidRPr="00EB5379">
        <w:rPr>
          <w:snapToGrid w:val="0"/>
          <w:lang w:eastAsia="en-US"/>
        </w:rPr>
        <w:t xml:space="preserve">restriction </w:t>
      </w:r>
      <w:r w:rsidR="00F62CE3" w:rsidRPr="00EB5379">
        <w:rPr>
          <w:snapToGrid w:val="0"/>
          <w:lang w:eastAsia="en-US"/>
        </w:rPr>
        <w:t>wording</w:t>
      </w:r>
      <w:r w:rsidRPr="00EB5379">
        <w:rPr>
          <w:snapToGrid w:val="0"/>
          <w:lang w:eastAsia="en-US"/>
        </w:rPr>
        <w:t xml:space="preserve">. </w:t>
      </w:r>
      <w:r w:rsidR="00F10BCB" w:rsidRPr="00EB5379">
        <w:rPr>
          <w:snapToGrid w:val="0"/>
          <w:lang w:eastAsia="en-US"/>
        </w:rPr>
        <w:t>The</w:t>
      </w:r>
      <w:r w:rsidR="00F62CE3" w:rsidRPr="00EB5379">
        <w:rPr>
          <w:snapToGrid w:val="0"/>
          <w:lang w:eastAsia="en-US"/>
        </w:rPr>
        <w:t xml:space="preserve"> </w:t>
      </w:r>
      <w:r w:rsidR="00F10BCB" w:rsidRPr="00EB5379">
        <w:rPr>
          <w:snapToGrid w:val="0"/>
          <w:lang w:eastAsia="en-US"/>
        </w:rPr>
        <w:t>ESC previous</w:t>
      </w:r>
      <w:r w:rsidR="00F62CE3" w:rsidRPr="00EB5379">
        <w:rPr>
          <w:snapToGrid w:val="0"/>
          <w:lang w:eastAsia="en-US"/>
        </w:rPr>
        <w:t>ly emphasised</w:t>
      </w:r>
      <w:r w:rsidR="00F10BCB" w:rsidRPr="00EB5379">
        <w:rPr>
          <w:snapToGrid w:val="0"/>
          <w:lang w:eastAsia="en-US"/>
        </w:rPr>
        <w:t xml:space="preserve"> that any grandfather restriction would need to ensure that patients had met the PBS initiation criteria at the time of commencement of rivaroxaban (paragraph 3.8, rivaroxaban </w:t>
      </w:r>
      <w:r w:rsidR="000D3B77">
        <w:rPr>
          <w:snapToGrid w:val="0"/>
          <w:lang w:eastAsia="en-US"/>
        </w:rPr>
        <w:t>PSD</w:t>
      </w:r>
      <w:r w:rsidR="00F10BCB" w:rsidRPr="00EB5379">
        <w:rPr>
          <w:snapToGrid w:val="0"/>
          <w:lang w:eastAsia="en-US"/>
        </w:rPr>
        <w:t xml:space="preserve">, March 2020). </w:t>
      </w:r>
      <w:r w:rsidR="00BB406D" w:rsidRPr="00EB5379">
        <w:rPr>
          <w:snapToGrid w:val="0"/>
          <w:lang w:eastAsia="en-US"/>
        </w:rPr>
        <w:t xml:space="preserve">The </w:t>
      </w:r>
      <w:r w:rsidR="000F0DE2" w:rsidRPr="00EB5379">
        <w:rPr>
          <w:snapToGrid w:val="0"/>
          <w:lang w:eastAsia="en-US"/>
        </w:rPr>
        <w:t>PBAC considered that</w:t>
      </w:r>
      <w:r w:rsidR="00BB406D" w:rsidRPr="00EB5379">
        <w:rPr>
          <w:snapToGrid w:val="0"/>
          <w:lang w:eastAsia="en-US"/>
        </w:rPr>
        <w:t xml:space="preserve"> a separate grandfather restriction </w:t>
      </w:r>
      <w:r w:rsidR="000F0DE2" w:rsidRPr="00EB5379">
        <w:rPr>
          <w:snapToGrid w:val="0"/>
          <w:lang w:eastAsia="en-US"/>
        </w:rPr>
        <w:t xml:space="preserve">would </w:t>
      </w:r>
      <w:r w:rsidR="00083925">
        <w:rPr>
          <w:snapToGrid w:val="0"/>
          <w:lang w:eastAsia="en-US"/>
        </w:rPr>
        <w:t xml:space="preserve">not </w:t>
      </w:r>
      <w:r w:rsidR="000F0DE2" w:rsidRPr="00EB5379">
        <w:rPr>
          <w:snapToGrid w:val="0"/>
          <w:lang w:eastAsia="en-US"/>
        </w:rPr>
        <w:t xml:space="preserve">be required </w:t>
      </w:r>
      <w:r w:rsidR="00BB406D" w:rsidRPr="00EB5379">
        <w:rPr>
          <w:snapToGrid w:val="0"/>
          <w:lang w:eastAsia="en-US"/>
        </w:rPr>
        <w:t xml:space="preserve">given that </w:t>
      </w:r>
      <w:r w:rsidR="00083925">
        <w:rPr>
          <w:snapToGrid w:val="0"/>
          <w:lang w:eastAsia="en-US"/>
        </w:rPr>
        <w:t>grandfather patients would be eligible under the initial restriction (if they meet the PBS initiation criteria)</w:t>
      </w:r>
      <w:r w:rsidR="00BB406D" w:rsidRPr="00EB5379">
        <w:rPr>
          <w:snapToGrid w:val="0"/>
          <w:lang w:eastAsia="en-US"/>
        </w:rPr>
        <w:t xml:space="preserve">. </w:t>
      </w:r>
    </w:p>
    <w:p w:rsidR="00BB406D" w:rsidRPr="00EB5379" w:rsidRDefault="00BB406D" w:rsidP="00BB406D">
      <w:pPr>
        <w:pStyle w:val="3Bodytext"/>
        <w:rPr>
          <w:snapToGrid w:val="0"/>
          <w:lang w:eastAsia="en-US"/>
        </w:rPr>
      </w:pPr>
      <w:r w:rsidRPr="00EB5379">
        <w:rPr>
          <w:snapToGrid w:val="0"/>
          <w:lang w:eastAsia="en-US"/>
        </w:rPr>
        <w:t>The s</w:t>
      </w:r>
      <w:r w:rsidR="008652EF">
        <w:rPr>
          <w:snapToGrid w:val="0"/>
          <w:lang w:eastAsia="en-US"/>
        </w:rPr>
        <w:t>u</w:t>
      </w:r>
      <w:r w:rsidRPr="00EB5379">
        <w:rPr>
          <w:snapToGrid w:val="0"/>
          <w:lang w:eastAsia="en-US"/>
        </w:rPr>
        <w:t xml:space="preserve">bmission requested prescribing by nurse practitioners. </w:t>
      </w:r>
      <w:r w:rsidR="00A57158" w:rsidRPr="00EB5379">
        <w:rPr>
          <w:snapToGrid w:val="0"/>
          <w:lang w:eastAsia="en-US"/>
        </w:rPr>
        <w:t>T</w:t>
      </w:r>
      <w:r w:rsidR="00E23E46" w:rsidRPr="00EB5379">
        <w:rPr>
          <w:snapToGrid w:val="0"/>
          <w:lang w:eastAsia="en-US"/>
        </w:rPr>
        <w:t>he existing</w:t>
      </w:r>
      <w:r w:rsidRPr="00EB5379">
        <w:rPr>
          <w:snapToGrid w:val="0"/>
          <w:lang w:eastAsia="en-US"/>
        </w:rPr>
        <w:t xml:space="preserve"> PBS</w:t>
      </w:r>
      <w:r w:rsidR="00E23E46" w:rsidRPr="00EB5379">
        <w:rPr>
          <w:snapToGrid w:val="0"/>
          <w:lang w:eastAsia="en-US"/>
        </w:rPr>
        <w:t>-</w:t>
      </w:r>
      <w:r w:rsidRPr="00EB5379">
        <w:rPr>
          <w:snapToGrid w:val="0"/>
          <w:lang w:eastAsia="en-US"/>
        </w:rPr>
        <w:t xml:space="preserve">listings for rivaroxaban are </w:t>
      </w:r>
      <w:r w:rsidR="00E23E46" w:rsidRPr="00EB5379">
        <w:rPr>
          <w:snapToGrid w:val="0"/>
          <w:lang w:eastAsia="en-US"/>
        </w:rPr>
        <w:t>‘</w:t>
      </w:r>
      <w:r w:rsidRPr="00EB5379">
        <w:rPr>
          <w:snapToGrid w:val="0"/>
          <w:lang w:eastAsia="en-US"/>
        </w:rPr>
        <w:t>suitable for prescribing by nurse practitioners</w:t>
      </w:r>
      <w:r w:rsidR="00E23E46" w:rsidRPr="00EB5379">
        <w:rPr>
          <w:snapToGrid w:val="0"/>
          <w:lang w:eastAsia="en-US"/>
        </w:rPr>
        <w:t>’</w:t>
      </w:r>
      <w:r w:rsidRPr="00EB5379">
        <w:rPr>
          <w:snapToGrid w:val="0"/>
          <w:lang w:eastAsia="en-US"/>
        </w:rPr>
        <w:t xml:space="preserve"> (in the context of a shared care model)</w:t>
      </w:r>
      <w:r w:rsidR="00A57158" w:rsidRPr="00EB5379">
        <w:rPr>
          <w:snapToGrid w:val="0"/>
          <w:lang w:eastAsia="en-US"/>
        </w:rPr>
        <w:t xml:space="preserve">. However, unlike the existing listings, </w:t>
      </w:r>
      <w:r w:rsidR="00E23E46" w:rsidRPr="00EB5379">
        <w:rPr>
          <w:snapToGrid w:val="0"/>
          <w:lang w:eastAsia="en-US"/>
        </w:rPr>
        <w:t xml:space="preserve">the requested </w:t>
      </w:r>
      <w:r w:rsidR="001A7C84" w:rsidRPr="00EB5379">
        <w:rPr>
          <w:snapToGrid w:val="0"/>
          <w:lang w:eastAsia="en-US"/>
        </w:rPr>
        <w:t xml:space="preserve">initial restriction </w:t>
      </w:r>
      <w:r w:rsidR="00E23E46" w:rsidRPr="00EB5379">
        <w:rPr>
          <w:snapToGrid w:val="0"/>
          <w:lang w:eastAsia="en-US"/>
        </w:rPr>
        <w:t>requires that the patient must be treated by, or in consultation with, a specialist</w:t>
      </w:r>
      <w:r w:rsidR="001A7C84" w:rsidRPr="00EB5379">
        <w:rPr>
          <w:snapToGrid w:val="0"/>
          <w:lang w:eastAsia="en-US"/>
        </w:rPr>
        <w:t>/cardiologist</w:t>
      </w:r>
      <w:r w:rsidR="00A57158" w:rsidRPr="00EB5379">
        <w:rPr>
          <w:snapToGrid w:val="0"/>
          <w:lang w:eastAsia="en-US"/>
        </w:rPr>
        <w:t>. Thus</w:t>
      </w:r>
      <w:r w:rsidR="00DA6B0B" w:rsidRPr="00EB5379">
        <w:rPr>
          <w:snapToGrid w:val="0"/>
          <w:lang w:eastAsia="en-US"/>
        </w:rPr>
        <w:t>,</w:t>
      </w:r>
      <w:r w:rsidR="00A57158" w:rsidRPr="00EB5379">
        <w:rPr>
          <w:snapToGrid w:val="0"/>
          <w:lang w:eastAsia="en-US"/>
        </w:rPr>
        <w:t xml:space="preserve"> </w:t>
      </w:r>
      <w:r w:rsidR="00AA17D1" w:rsidRPr="00EB5379">
        <w:rPr>
          <w:snapToGrid w:val="0"/>
          <w:lang w:eastAsia="en-US"/>
        </w:rPr>
        <w:t xml:space="preserve">the PBAC considered that </w:t>
      </w:r>
      <w:r w:rsidR="00A57158" w:rsidRPr="00EB5379">
        <w:rPr>
          <w:snapToGrid w:val="0"/>
          <w:lang w:eastAsia="en-US"/>
        </w:rPr>
        <w:t xml:space="preserve">prescribing by nurse practitioners </w:t>
      </w:r>
      <w:r w:rsidR="001A7C84" w:rsidRPr="00EB5379">
        <w:rPr>
          <w:snapToGrid w:val="0"/>
          <w:lang w:eastAsia="en-US"/>
        </w:rPr>
        <w:t xml:space="preserve">(shared care model) </w:t>
      </w:r>
      <w:r w:rsidR="00AA17D1" w:rsidRPr="00EB5379">
        <w:rPr>
          <w:snapToGrid w:val="0"/>
          <w:lang w:eastAsia="en-US"/>
        </w:rPr>
        <w:t>would only</w:t>
      </w:r>
      <w:r w:rsidR="00A57158" w:rsidRPr="00EB5379">
        <w:rPr>
          <w:snapToGrid w:val="0"/>
          <w:lang w:eastAsia="en-US"/>
        </w:rPr>
        <w:t xml:space="preserve"> be appropriate</w:t>
      </w:r>
      <w:r w:rsidR="00AA17D1" w:rsidRPr="00EB5379">
        <w:rPr>
          <w:snapToGrid w:val="0"/>
          <w:lang w:eastAsia="en-US"/>
        </w:rPr>
        <w:t xml:space="preserve"> for continuing use</w:t>
      </w:r>
      <w:r w:rsidRPr="00EB5379">
        <w:rPr>
          <w:snapToGrid w:val="0"/>
          <w:lang w:eastAsia="en-US"/>
        </w:rPr>
        <w:t xml:space="preserve">. </w:t>
      </w:r>
    </w:p>
    <w:p w:rsidR="0095221E" w:rsidRPr="00EB5379" w:rsidRDefault="0095221E" w:rsidP="0095221E">
      <w:pPr>
        <w:pStyle w:val="3Bodytext"/>
        <w:numPr>
          <w:ilvl w:val="0"/>
          <w:numId w:val="0"/>
        </w:numPr>
        <w:ind w:left="720"/>
        <w:rPr>
          <w:i/>
          <w:snapToGrid w:val="0"/>
          <w:lang w:eastAsia="en-US"/>
        </w:rPr>
      </w:pPr>
      <w:r w:rsidRPr="00EB5379">
        <w:rPr>
          <w:i/>
          <w:snapToGrid w:val="0"/>
          <w:lang w:eastAsia="en-US"/>
        </w:rPr>
        <w:t>For more detail on PBAC’s view, see section 6 PBAC outcomes.</w:t>
      </w:r>
    </w:p>
    <w:p w:rsidR="005A3173" w:rsidRPr="00EB5379" w:rsidRDefault="005A3173" w:rsidP="00917D69">
      <w:pPr>
        <w:pStyle w:val="2-SectionHeading"/>
        <w:rPr>
          <w:color w:val="FF0000"/>
        </w:rPr>
      </w:pPr>
      <w:r w:rsidRPr="00EB5379">
        <w:t>Comparator</w:t>
      </w:r>
      <w:r w:rsidR="0099465B" w:rsidRPr="00EB5379">
        <w:t xml:space="preserve"> </w:t>
      </w:r>
    </w:p>
    <w:p w:rsidR="003851FA" w:rsidRPr="00EB5379" w:rsidRDefault="00FF2801" w:rsidP="003851FA">
      <w:pPr>
        <w:pStyle w:val="3Bodytext"/>
      </w:pPr>
      <w:r w:rsidRPr="00EB5379">
        <w:t xml:space="preserve">The </w:t>
      </w:r>
      <w:r w:rsidR="003851FA" w:rsidRPr="00EB5379">
        <w:t>PBAC previously considered that aspirin alone, the nominated main comparator, was appropriate.</w:t>
      </w:r>
    </w:p>
    <w:p w:rsidR="0095221E" w:rsidRPr="00EB5379" w:rsidRDefault="0095221E" w:rsidP="0095221E">
      <w:pPr>
        <w:pStyle w:val="3Bodytext"/>
        <w:numPr>
          <w:ilvl w:val="0"/>
          <w:numId w:val="0"/>
        </w:numPr>
        <w:ind w:left="720"/>
        <w:rPr>
          <w:i/>
        </w:rPr>
      </w:pPr>
      <w:r w:rsidRPr="00EB5379">
        <w:rPr>
          <w:i/>
        </w:rPr>
        <w:lastRenderedPageBreak/>
        <w:t>For more detail on PBAC’s view, see section 6 PBAC outcomes.</w:t>
      </w:r>
    </w:p>
    <w:p w:rsidR="000B558D" w:rsidRPr="00EB5379" w:rsidRDefault="008D7A41" w:rsidP="005E1067">
      <w:pPr>
        <w:pStyle w:val="Heading1"/>
        <w:keepLines/>
        <w:numPr>
          <w:ilvl w:val="0"/>
          <w:numId w:val="3"/>
        </w:numPr>
        <w:spacing w:before="240"/>
        <w:ind w:left="709" w:hanging="709"/>
        <w:rPr>
          <w:sz w:val="32"/>
          <w:szCs w:val="32"/>
        </w:rPr>
      </w:pPr>
      <w:r w:rsidRPr="00EB5379">
        <w:rPr>
          <w:sz w:val="32"/>
          <w:szCs w:val="32"/>
        </w:rPr>
        <w:t>C</w:t>
      </w:r>
      <w:r w:rsidR="00D84934" w:rsidRPr="00EB5379">
        <w:rPr>
          <w:sz w:val="32"/>
          <w:szCs w:val="32"/>
        </w:rPr>
        <w:t>onsideration of the evidence</w:t>
      </w:r>
    </w:p>
    <w:p w:rsidR="00980813" w:rsidRPr="00EB5379" w:rsidRDefault="00980813" w:rsidP="00980813">
      <w:pPr>
        <w:pStyle w:val="4-SubsectionHeading"/>
        <w:rPr>
          <w:lang w:eastAsia="en-US"/>
        </w:rPr>
      </w:pPr>
      <w:r w:rsidRPr="00EB5379">
        <w:rPr>
          <w:lang w:eastAsia="en-US"/>
        </w:rPr>
        <w:t>Sponsor hearing</w:t>
      </w:r>
    </w:p>
    <w:p w:rsidR="00980813" w:rsidRPr="00EB5379" w:rsidRDefault="00980813" w:rsidP="00980813">
      <w:pPr>
        <w:pStyle w:val="3Bodytext"/>
      </w:pPr>
      <w:r w:rsidRPr="00EB5379">
        <w:t>There was no hearing for this ite</w:t>
      </w:r>
      <w:r w:rsidR="00AA17D1" w:rsidRPr="00EB5379">
        <w:t>m as it was a minor submission.</w:t>
      </w:r>
    </w:p>
    <w:p w:rsidR="00980813" w:rsidRPr="00EB5379" w:rsidRDefault="00980813" w:rsidP="00980813">
      <w:pPr>
        <w:pStyle w:val="4-SubsectionHeading"/>
        <w:rPr>
          <w:lang w:eastAsia="en-US"/>
        </w:rPr>
      </w:pPr>
      <w:r w:rsidRPr="00EB5379">
        <w:rPr>
          <w:lang w:eastAsia="en-US"/>
        </w:rPr>
        <w:t>Consumer comments</w:t>
      </w:r>
    </w:p>
    <w:p w:rsidR="00980813" w:rsidRPr="00EB5379" w:rsidRDefault="00980813" w:rsidP="001C45ED">
      <w:pPr>
        <w:pStyle w:val="3Bodytext"/>
        <w:rPr>
          <w:lang w:eastAsia="en-US"/>
        </w:rPr>
      </w:pPr>
      <w:r w:rsidRPr="00EB5379">
        <w:t>The PBAC noted and welcomed the input from</w:t>
      </w:r>
      <w:r w:rsidRPr="00EB5379">
        <w:rPr>
          <w:lang w:eastAsia="en-US"/>
        </w:rPr>
        <w:t xml:space="preserve"> </w:t>
      </w:r>
      <w:r w:rsidR="00733690" w:rsidRPr="00EB5379">
        <w:rPr>
          <w:lang w:eastAsia="en-US"/>
        </w:rPr>
        <w:t xml:space="preserve">an individual, but noted that this comment related to the treatment of pulmonary embolism, for which rivaroxaban is already PBS-listed. </w:t>
      </w:r>
    </w:p>
    <w:p w:rsidR="001A7C84" w:rsidRPr="00EB5379" w:rsidRDefault="001A7C84" w:rsidP="001A7C84">
      <w:pPr>
        <w:pStyle w:val="4-SubsectionHeading"/>
        <w:rPr>
          <w:lang w:eastAsia="en-US"/>
        </w:rPr>
      </w:pPr>
      <w:r w:rsidRPr="00EB5379">
        <w:rPr>
          <w:lang w:eastAsia="en-US"/>
        </w:rPr>
        <w:t>Clinical trials</w:t>
      </w:r>
    </w:p>
    <w:p w:rsidR="001A7C84" w:rsidRPr="00EB5379" w:rsidRDefault="001A7C84" w:rsidP="001B3A39">
      <w:pPr>
        <w:pStyle w:val="3Bodytext"/>
      </w:pPr>
      <w:r w:rsidRPr="00EB5379">
        <w:t>No new clinical data were provided in the submission. The previous submission was based on the COMPASS trial, d</w:t>
      </w:r>
      <w:r w:rsidRPr="00E075E9">
        <w:t xml:space="preserve">etails of which are provided in the table below. </w:t>
      </w:r>
    </w:p>
    <w:p w:rsidR="001A7C84" w:rsidRPr="00EB5379" w:rsidRDefault="001A7C84" w:rsidP="001A7C84">
      <w:pPr>
        <w:pStyle w:val="TableFigureCaption"/>
      </w:pPr>
      <w:r w:rsidRPr="00EB5379">
        <w:t>Table 3: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4"/>
        <w:gridCol w:w="2528"/>
      </w:tblGrid>
      <w:tr w:rsidR="001A7C84" w:rsidRPr="00EB5379" w:rsidTr="001B3A39">
        <w:trPr>
          <w:cantSplit/>
          <w:tblHeader/>
        </w:trPr>
        <w:tc>
          <w:tcPr>
            <w:tcW w:w="795" w:type="pct"/>
            <w:vAlign w:val="center"/>
          </w:tcPr>
          <w:p w:rsidR="001A7C84" w:rsidRPr="00E075E9" w:rsidRDefault="001A7C84" w:rsidP="001B3A39">
            <w:pPr>
              <w:pStyle w:val="Tableheadingrow"/>
              <w:jc w:val="center"/>
              <w:rPr>
                <w:lang w:val="en-AU"/>
              </w:rPr>
            </w:pPr>
            <w:r w:rsidRPr="00E075E9">
              <w:rPr>
                <w:lang w:val="en-AU"/>
              </w:rPr>
              <w:t>Trial ID</w:t>
            </w:r>
          </w:p>
        </w:tc>
        <w:tc>
          <w:tcPr>
            <w:tcW w:w="2803" w:type="pct"/>
            <w:vAlign w:val="center"/>
          </w:tcPr>
          <w:p w:rsidR="001A7C84" w:rsidRPr="00E075E9" w:rsidRDefault="001A7C84" w:rsidP="001B3A39">
            <w:pPr>
              <w:pStyle w:val="Tableheadingrow"/>
              <w:rPr>
                <w:lang w:val="en-AU"/>
              </w:rPr>
            </w:pPr>
            <w:r w:rsidRPr="00E075E9">
              <w:rPr>
                <w:lang w:val="en-AU"/>
              </w:rPr>
              <w:t>Protocol title/ Publication title</w:t>
            </w:r>
          </w:p>
        </w:tc>
        <w:tc>
          <w:tcPr>
            <w:tcW w:w="1402" w:type="pct"/>
            <w:vAlign w:val="center"/>
          </w:tcPr>
          <w:p w:rsidR="001A7C84" w:rsidRPr="00E075E9" w:rsidRDefault="001A7C84" w:rsidP="001B3A39">
            <w:pPr>
              <w:pStyle w:val="Tableheadingrow"/>
              <w:rPr>
                <w:lang w:val="en-AU"/>
              </w:rPr>
            </w:pPr>
            <w:r w:rsidRPr="00E075E9">
              <w:rPr>
                <w:lang w:val="en-AU"/>
              </w:rPr>
              <w:t>Publication citation</w:t>
            </w:r>
          </w:p>
        </w:tc>
      </w:tr>
      <w:tr w:rsidR="001A7C84" w:rsidRPr="00EB5379" w:rsidTr="001B3A39">
        <w:trPr>
          <w:cantSplit/>
        </w:trPr>
        <w:tc>
          <w:tcPr>
            <w:tcW w:w="795" w:type="pct"/>
            <w:vMerge w:val="restart"/>
            <w:vAlign w:val="center"/>
          </w:tcPr>
          <w:p w:rsidR="001A7C84" w:rsidRPr="00EB5379" w:rsidRDefault="001A7C84" w:rsidP="001B3A39">
            <w:pPr>
              <w:pStyle w:val="TableText0"/>
              <w:jc w:val="center"/>
              <w:rPr>
                <w:rFonts w:ascii="Times" w:hAnsi="Times"/>
              </w:rPr>
            </w:pPr>
            <w:r w:rsidRPr="00EB5379">
              <w:t>COMPASS</w:t>
            </w:r>
          </w:p>
        </w:tc>
        <w:tc>
          <w:tcPr>
            <w:tcW w:w="2803" w:type="pct"/>
            <w:tcBorders>
              <w:bottom w:val="nil"/>
            </w:tcBorders>
            <w:vAlign w:val="center"/>
          </w:tcPr>
          <w:p w:rsidR="001A7C84" w:rsidRPr="00EB5379" w:rsidRDefault="001A7C84" w:rsidP="001B3A39">
            <w:pPr>
              <w:pStyle w:val="TableText0"/>
            </w:pPr>
            <w:r w:rsidRPr="00EB5379">
              <w:rPr>
                <w:szCs w:val="18"/>
              </w:rPr>
              <w:t>A Randomized Controlled Trial of Rivaroxaban for the Prevention of Major Cardiovascular Events in Patients With Coronary or Peripheral Artery Disease (COMPASS - Cardiovascular OutcoMes for People Using Anticoagulation StrategieS).</w:t>
            </w:r>
          </w:p>
        </w:tc>
        <w:tc>
          <w:tcPr>
            <w:tcW w:w="1402" w:type="pct"/>
            <w:tcBorders>
              <w:bottom w:val="nil"/>
            </w:tcBorders>
            <w:vAlign w:val="center"/>
          </w:tcPr>
          <w:p w:rsidR="001A7C84" w:rsidRPr="00EB5379" w:rsidRDefault="001A7C84" w:rsidP="001B3A39">
            <w:pPr>
              <w:pStyle w:val="TableText0"/>
              <w:rPr>
                <w:rFonts w:ascii="Times" w:hAnsi="Times"/>
              </w:rPr>
            </w:pPr>
            <w:r w:rsidRPr="00EB5379">
              <w:t>Internal study report; 16 October 2017</w:t>
            </w:r>
          </w:p>
        </w:tc>
      </w:tr>
      <w:tr w:rsidR="001A7C84" w:rsidRPr="00EB5379" w:rsidTr="001B3A39">
        <w:trPr>
          <w:cantSplit/>
        </w:trPr>
        <w:tc>
          <w:tcPr>
            <w:tcW w:w="795" w:type="pct"/>
            <w:vMerge/>
            <w:vAlign w:val="center"/>
          </w:tcPr>
          <w:p w:rsidR="001A7C84" w:rsidRPr="00EB5379" w:rsidRDefault="001A7C84" w:rsidP="001B3A39">
            <w:pPr>
              <w:pStyle w:val="TableText0"/>
              <w:jc w:val="center"/>
            </w:pPr>
          </w:p>
        </w:tc>
        <w:tc>
          <w:tcPr>
            <w:tcW w:w="2803" w:type="pct"/>
            <w:tcBorders>
              <w:top w:val="nil"/>
              <w:bottom w:val="nil"/>
            </w:tcBorders>
            <w:vAlign w:val="center"/>
          </w:tcPr>
          <w:p w:rsidR="001A7C84" w:rsidRPr="00EB5379" w:rsidRDefault="001A7C84" w:rsidP="001B3A39">
            <w:pPr>
              <w:pStyle w:val="TableText0"/>
            </w:pPr>
            <w:r w:rsidRPr="00EB5379">
              <w:rPr>
                <w:szCs w:val="18"/>
              </w:rPr>
              <w:t xml:space="preserve">Eikelboom et al. (2017). Rivaroxaban with or without Aspirin in Stable Cardiovascular Disease. </w:t>
            </w:r>
          </w:p>
        </w:tc>
        <w:tc>
          <w:tcPr>
            <w:tcW w:w="1402" w:type="pct"/>
            <w:tcBorders>
              <w:top w:val="nil"/>
              <w:bottom w:val="nil"/>
            </w:tcBorders>
            <w:vAlign w:val="center"/>
          </w:tcPr>
          <w:p w:rsidR="001A7C84" w:rsidRPr="00EB5379" w:rsidRDefault="001A7C84" w:rsidP="001B3A39">
            <w:pPr>
              <w:pStyle w:val="TableText0"/>
            </w:pPr>
            <w:r w:rsidRPr="00EB5379">
              <w:rPr>
                <w:szCs w:val="18"/>
              </w:rPr>
              <w:t>NEJM 377(14): 1319-1330</w:t>
            </w:r>
          </w:p>
        </w:tc>
      </w:tr>
      <w:tr w:rsidR="001A7C84" w:rsidRPr="00EB5379" w:rsidTr="001B3A39">
        <w:trPr>
          <w:cantSplit/>
        </w:trPr>
        <w:tc>
          <w:tcPr>
            <w:tcW w:w="795" w:type="pct"/>
            <w:vMerge/>
            <w:vAlign w:val="center"/>
          </w:tcPr>
          <w:p w:rsidR="001A7C84" w:rsidRPr="00EB5379" w:rsidRDefault="001A7C84" w:rsidP="001B3A39">
            <w:pPr>
              <w:pStyle w:val="TableText0"/>
              <w:jc w:val="center"/>
            </w:pPr>
          </w:p>
        </w:tc>
        <w:tc>
          <w:tcPr>
            <w:tcW w:w="2803" w:type="pct"/>
            <w:tcBorders>
              <w:top w:val="nil"/>
              <w:bottom w:val="nil"/>
            </w:tcBorders>
            <w:vAlign w:val="center"/>
          </w:tcPr>
          <w:p w:rsidR="001A7C84" w:rsidRPr="00E075E9" w:rsidRDefault="001A7C84" w:rsidP="001B3A39">
            <w:pPr>
              <w:pStyle w:val="TableText0"/>
            </w:pPr>
            <w:r w:rsidRPr="00EB5379">
              <w:rPr>
                <w:szCs w:val="18"/>
              </w:rPr>
              <w:t>Anand et al. (2019) Rivaroxaban plus aspirin in relation to vascular risk in the COMPASS trial.</w:t>
            </w:r>
          </w:p>
        </w:tc>
        <w:tc>
          <w:tcPr>
            <w:tcW w:w="1402" w:type="pct"/>
            <w:tcBorders>
              <w:top w:val="nil"/>
              <w:bottom w:val="nil"/>
            </w:tcBorders>
            <w:vAlign w:val="center"/>
          </w:tcPr>
          <w:p w:rsidR="001A7C84" w:rsidRPr="00E075E9" w:rsidRDefault="001A7C84" w:rsidP="001B3A39">
            <w:pPr>
              <w:pStyle w:val="TableText0"/>
              <w:rPr>
                <w:i/>
              </w:rPr>
            </w:pPr>
            <w:r w:rsidRPr="00EB5379">
              <w:rPr>
                <w:szCs w:val="18"/>
              </w:rPr>
              <w:t>J Am Coll Cardiol 73(25): 3271-3280</w:t>
            </w:r>
          </w:p>
        </w:tc>
      </w:tr>
      <w:tr w:rsidR="001A7C84" w:rsidRPr="00EB5379" w:rsidTr="001B3A39">
        <w:trPr>
          <w:cantSplit/>
        </w:trPr>
        <w:tc>
          <w:tcPr>
            <w:tcW w:w="795" w:type="pct"/>
            <w:vMerge/>
            <w:vAlign w:val="center"/>
          </w:tcPr>
          <w:p w:rsidR="001A7C84" w:rsidRPr="00EB5379" w:rsidRDefault="001A7C84" w:rsidP="001B3A39">
            <w:pPr>
              <w:pStyle w:val="TableText0"/>
              <w:jc w:val="center"/>
              <w:rPr>
                <w:rFonts w:ascii="Times" w:hAnsi="Times"/>
              </w:rPr>
            </w:pPr>
          </w:p>
        </w:tc>
        <w:tc>
          <w:tcPr>
            <w:tcW w:w="2803" w:type="pct"/>
            <w:tcBorders>
              <w:top w:val="nil"/>
              <w:bottom w:val="nil"/>
            </w:tcBorders>
            <w:vAlign w:val="center"/>
          </w:tcPr>
          <w:p w:rsidR="001A7C84" w:rsidRPr="00EB5379" w:rsidRDefault="001A7C84" w:rsidP="001B3A39">
            <w:pPr>
              <w:pStyle w:val="TableText0"/>
              <w:rPr>
                <w:rFonts w:ascii="Times" w:hAnsi="Times"/>
              </w:rPr>
            </w:pPr>
            <w:r w:rsidRPr="00E075E9">
              <w:rPr>
                <w:szCs w:val="18"/>
              </w:rPr>
              <w:t xml:space="preserve">Anand et al. (2018). Major Adverse Limb Events and Mortality in Patients With Peripheral Artery Disease: The COMPASS Trial. </w:t>
            </w:r>
          </w:p>
        </w:tc>
        <w:tc>
          <w:tcPr>
            <w:tcW w:w="1402" w:type="pct"/>
            <w:tcBorders>
              <w:top w:val="nil"/>
              <w:bottom w:val="nil"/>
            </w:tcBorders>
            <w:vAlign w:val="center"/>
          </w:tcPr>
          <w:p w:rsidR="001A7C84" w:rsidRPr="00EB5379" w:rsidRDefault="001A7C84" w:rsidP="001B3A39">
            <w:pPr>
              <w:pStyle w:val="TableText0"/>
            </w:pPr>
            <w:r w:rsidRPr="00EB5379">
              <w:rPr>
                <w:szCs w:val="18"/>
              </w:rPr>
              <w:t xml:space="preserve">J Am Coll Cardiol </w:t>
            </w:r>
            <w:r w:rsidRPr="00E075E9">
              <w:rPr>
                <w:szCs w:val="18"/>
              </w:rPr>
              <w:t>71 (20): 2306-2315</w:t>
            </w:r>
          </w:p>
        </w:tc>
      </w:tr>
      <w:tr w:rsidR="001A7C84" w:rsidRPr="00EB5379" w:rsidTr="001B3A39">
        <w:trPr>
          <w:cantSplit/>
        </w:trPr>
        <w:tc>
          <w:tcPr>
            <w:tcW w:w="795" w:type="pct"/>
            <w:vMerge/>
            <w:vAlign w:val="center"/>
          </w:tcPr>
          <w:p w:rsidR="001A7C84" w:rsidRPr="00EB5379" w:rsidRDefault="001A7C84" w:rsidP="001B3A39">
            <w:pPr>
              <w:pStyle w:val="TableText0"/>
              <w:jc w:val="center"/>
            </w:pPr>
          </w:p>
        </w:tc>
        <w:tc>
          <w:tcPr>
            <w:tcW w:w="2803" w:type="pct"/>
            <w:tcBorders>
              <w:top w:val="nil"/>
              <w:bottom w:val="nil"/>
            </w:tcBorders>
            <w:vAlign w:val="center"/>
          </w:tcPr>
          <w:p w:rsidR="001A7C84" w:rsidRPr="00EB5379" w:rsidRDefault="001A7C84" w:rsidP="001B3A39">
            <w:pPr>
              <w:pStyle w:val="TableText0"/>
            </w:pPr>
            <w:r w:rsidRPr="00EB5379">
              <w:rPr>
                <w:szCs w:val="18"/>
              </w:rPr>
              <w:t xml:space="preserve">Anand et al. (2017). Rivaroxaban with or without aspirin in patients with stable peripheral or carotid artery disease: An international, randomised, double-blind, placebo-controlled trial. </w:t>
            </w:r>
          </w:p>
        </w:tc>
        <w:tc>
          <w:tcPr>
            <w:tcW w:w="1402" w:type="pct"/>
            <w:tcBorders>
              <w:top w:val="nil"/>
              <w:bottom w:val="nil"/>
            </w:tcBorders>
            <w:vAlign w:val="center"/>
          </w:tcPr>
          <w:p w:rsidR="001A7C84" w:rsidRPr="00EB5379" w:rsidRDefault="001A7C84" w:rsidP="001B3A39">
            <w:pPr>
              <w:pStyle w:val="TableText0"/>
              <w:rPr>
                <w:i/>
              </w:rPr>
            </w:pPr>
            <w:r w:rsidRPr="00EB5379">
              <w:rPr>
                <w:szCs w:val="18"/>
              </w:rPr>
              <w:t>The Lancet S0140-6736(17): 32409-1.</w:t>
            </w:r>
          </w:p>
        </w:tc>
      </w:tr>
      <w:tr w:rsidR="001A7C84" w:rsidRPr="00EB5379" w:rsidTr="001B3A39">
        <w:trPr>
          <w:cantSplit/>
        </w:trPr>
        <w:tc>
          <w:tcPr>
            <w:tcW w:w="795" w:type="pct"/>
            <w:vMerge/>
            <w:vAlign w:val="center"/>
          </w:tcPr>
          <w:p w:rsidR="001A7C84" w:rsidRPr="00EB5379" w:rsidRDefault="001A7C84" w:rsidP="001B3A39">
            <w:pPr>
              <w:pStyle w:val="TableText0"/>
              <w:jc w:val="center"/>
            </w:pPr>
          </w:p>
        </w:tc>
        <w:tc>
          <w:tcPr>
            <w:tcW w:w="2803" w:type="pct"/>
            <w:tcBorders>
              <w:top w:val="nil"/>
              <w:bottom w:val="nil"/>
            </w:tcBorders>
            <w:vAlign w:val="center"/>
          </w:tcPr>
          <w:p w:rsidR="001A7C84" w:rsidRPr="00EB5379" w:rsidRDefault="001A7C84" w:rsidP="001B3A39">
            <w:pPr>
              <w:pStyle w:val="TableText0"/>
            </w:pPr>
            <w:r w:rsidRPr="00EB5379">
              <w:rPr>
                <w:szCs w:val="18"/>
              </w:rPr>
              <w:t xml:space="preserve">Connolly et al., Rivaroxaban with or without aspirin in patients with stable coronary artery disease: An international, randomised, double-blind, placebo-controlled trial. </w:t>
            </w:r>
          </w:p>
        </w:tc>
        <w:tc>
          <w:tcPr>
            <w:tcW w:w="1402" w:type="pct"/>
            <w:tcBorders>
              <w:top w:val="nil"/>
              <w:bottom w:val="nil"/>
            </w:tcBorders>
            <w:vAlign w:val="center"/>
          </w:tcPr>
          <w:p w:rsidR="001A7C84" w:rsidRPr="00EB5379" w:rsidRDefault="001A7C84" w:rsidP="001B3A39">
            <w:pPr>
              <w:pStyle w:val="TableText0"/>
              <w:rPr>
                <w:rFonts w:ascii="Times" w:hAnsi="Times"/>
              </w:rPr>
            </w:pPr>
            <w:r w:rsidRPr="00EB5379">
              <w:rPr>
                <w:szCs w:val="18"/>
              </w:rPr>
              <w:t>The Lancet S0140-6736(17): 32458-3.</w:t>
            </w:r>
          </w:p>
        </w:tc>
      </w:tr>
      <w:tr w:rsidR="001A7C84" w:rsidRPr="00EB5379" w:rsidTr="001B3A39">
        <w:trPr>
          <w:cantSplit/>
        </w:trPr>
        <w:tc>
          <w:tcPr>
            <w:tcW w:w="795" w:type="pct"/>
            <w:vMerge/>
            <w:vAlign w:val="center"/>
          </w:tcPr>
          <w:p w:rsidR="001A7C84" w:rsidRPr="00EB5379" w:rsidRDefault="001A7C84" w:rsidP="001B3A39">
            <w:pPr>
              <w:pStyle w:val="TableText0"/>
              <w:jc w:val="center"/>
            </w:pPr>
          </w:p>
        </w:tc>
        <w:tc>
          <w:tcPr>
            <w:tcW w:w="2803" w:type="pct"/>
            <w:tcBorders>
              <w:top w:val="nil"/>
              <w:bottom w:val="nil"/>
            </w:tcBorders>
            <w:vAlign w:val="center"/>
          </w:tcPr>
          <w:p w:rsidR="001A7C84" w:rsidRPr="00EB5379" w:rsidRDefault="001A7C84" w:rsidP="001B3A39">
            <w:pPr>
              <w:pStyle w:val="TableText0"/>
              <w:rPr>
                <w:rFonts w:ascii="Times" w:hAnsi="Times"/>
              </w:rPr>
            </w:pPr>
            <w:r w:rsidRPr="00EB5379">
              <w:rPr>
                <w:szCs w:val="18"/>
              </w:rPr>
              <w:t>Fox et al. (2019b) Rivaroxaban plus aspirin in patients with vascular disease and renal dysfunction: From the COMPASS trial.</w:t>
            </w:r>
          </w:p>
        </w:tc>
        <w:tc>
          <w:tcPr>
            <w:tcW w:w="1402" w:type="pct"/>
            <w:tcBorders>
              <w:top w:val="nil"/>
              <w:bottom w:val="nil"/>
            </w:tcBorders>
            <w:vAlign w:val="center"/>
          </w:tcPr>
          <w:p w:rsidR="001A7C84" w:rsidRPr="00EB5379" w:rsidRDefault="001A7C84" w:rsidP="001B3A39">
            <w:pPr>
              <w:pStyle w:val="TableText0"/>
              <w:rPr>
                <w:rFonts w:ascii="Times" w:hAnsi="Times"/>
              </w:rPr>
            </w:pPr>
            <w:r w:rsidRPr="00EB5379">
              <w:rPr>
                <w:szCs w:val="18"/>
              </w:rPr>
              <w:t>J Am Coll Cardiol 73(18): 2243-2250.</w:t>
            </w:r>
          </w:p>
        </w:tc>
      </w:tr>
      <w:tr w:rsidR="001A7C84" w:rsidRPr="00EB5379" w:rsidTr="001B3A39">
        <w:trPr>
          <w:cantSplit/>
        </w:trPr>
        <w:tc>
          <w:tcPr>
            <w:tcW w:w="795" w:type="pct"/>
            <w:vMerge/>
            <w:vAlign w:val="center"/>
          </w:tcPr>
          <w:p w:rsidR="001A7C84" w:rsidRPr="00EB5379" w:rsidRDefault="001A7C84" w:rsidP="001B3A39">
            <w:pPr>
              <w:keepNext/>
              <w:keepLines/>
            </w:pPr>
          </w:p>
        </w:tc>
        <w:tc>
          <w:tcPr>
            <w:tcW w:w="2803" w:type="pct"/>
            <w:tcBorders>
              <w:top w:val="nil"/>
              <w:bottom w:val="nil"/>
            </w:tcBorders>
            <w:vAlign w:val="center"/>
          </w:tcPr>
          <w:p w:rsidR="001A7C84" w:rsidRPr="00EB5379" w:rsidRDefault="001A7C84" w:rsidP="001B3A39">
            <w:pPr>
              <w:pStyle w:val="TableText0"/>
            </w:pPr>
            <w:r w:rsidRPr="00EB5379">
              <w:rPr>
                <w:szCs w:val="18"/>
              </w:rPr>
              <w:t>Branch et al. (2019) Rivaroxaban with or without aspirin in patients with heart failure and chronic coronary or peripheral artery disease.</w:t>
            </w:r>
          </w:p>
        </w:tc>
        <w:tc>
          <w:tcPr>
            <w:tcW w:w="1402" w:type="pct"/>
            <w:tcBorders>
              <w:top w:val="nil"/>
              <w:bottom w:val="nil"/>
            </w:tcBorders>
            <w:vAlign w:val="center"/>
          </w:tcPr>
          <w:p w:rsidR="001A7C84" w:rsidRPr="00EB5379" w:rsidRDefault="001A7C84" w:rsidP="001B3A39">
            <w:pPr>
              <w:pStyle w:val="TableText0"/>
            </w:pPr>
            <w:r w:rsidRPr="00EB5379">
              <w:rPr>
                <w:szCs w:val="18"/>
              </w:rPr>
              <w:t>Circulation 140: 529-537.</w:t>
            </w:r>
          </w:p>
        </w:tc>
      </w:tr>
      <w:tr w:rsidR="001A7C84" w:rsidRPr="00EB5379" w:rsidTr="001B3A39">
        <w:trPr>
          <w:cantSplit/>
        </w:trPr>
        <w:tc>
          <w:tcPr>
            <w:tcW w:w="795" w:type="pct"/>
            <w:vMerge/>
            <w:vAlign w:val="center"/>
          </w:tcPr>
          <w:p w:rsidR="001A7C84" w:rsidRPr="00EB5379" w:rsidRDefault="001A7C84" w:rsidP="001B3A39">
            <w:pPr>
              <w:keepNext/>
              <w:keepLines/>
            </w:pPr>
          </w:p>
        </w:tc>
        <w:tc>
          <w:tcPr>
            <w:tcW w:w="2803" w:type="pct"/>
            <w:tcBorders>
              <w:top w:val="nil"/>
              <w:bottom w:val="nil"/>
            </w:tcBorders>
            <w:vAlign w:val="center"/>
          </w:tcPr>
          <w:p w:rsidR="001A7C84" w:rsidRPr="00EB5379" w:rsidRDefault="001A7C84" w:rsidP="001B3A39">
            <w:pPr>
              <w:pStyle w:val="TableText0"/>
            </w:pPr>
            <w:r w:rsidRPr="00EB5379">
              <w:rPr>
                <w:szCs w:val="18"/>
              </w:rPr>
              <w:t>Eikelboom et al. (2019). Major Bleeding in Patients With Coronary or Peripheral Artery Disease Treated With Rivaroxaban Plus Aspirin.</w:t>
            </w:r>
          </w:p>
        </w:tc>
        <w:tc>
          <w:tcPr>
            <w:tcW w:w="1402" w:type="pct"/>
            <w:tcBorders>
              <w:top w:val="nil"/>
              <w:bottom w:val="nil"/>
            </w:tcBorders>
            <w:vAlign w:val="center"/>
          </w:tcPr>
          <w:p w:rsidR="001A7C84" w:rsidRPr="00EB5379" w:rsidRDefault="001A7C84" w:rsidP="001B3A39">
            <w:pPr>
              <w:pStyle w:val="TableText0"/>
              <w:rPr>
                <w:i/>
              </w:rPr>
            </w:pPr>
            <w:r w:rsidRPr="00EB5379">
              <w:rPr>
                <w:szCs w:val="18"/>
              </w:rPr>
              <w:t>J Am Coll Cardiol 74 (12): 1519-1528.</w:t>
            </w:r>
          </w:p>
        </w:tc>
      </w:tr>
      <w:tr w:rsidR="001A7C84" w:rsidRPr="00EB5379" w:rsidTr="001B3A39">
        <w:trPr>
          <w:cantSplit/>
        </w:trPr>
        <w:tc>
          <w:tcPr>
            <w:tcW w:w="795" w:type="pct"/>
            <w:vMerge/>
            <w:vAlign w:val="center"/>
          </w:tcPr>
          <w:p w:rsidR="001A7C84" w:rsidRPr="00EB5379" w:rsidRDefault="001A7C84" w:rsidP="001B3A39">
            <w:pPr>
              <w:keepNext/>
              <w:keepLines/>
            </w:pPr>
          </w:p>
        </w:tc>
        <w:tc>
          <w:tcPr>
            <w:tcW w:w="2803" w:type="pct"/>
            <w:tcBorders>
              <w:top w:val="nil"/>
              <w:bottom w:val="nil"/>
            </w:tcBorders>
            <w:vAlign w:val="center"/>
          </w:tcPr>
          <w:p w:rsidR="001A7C84" w:rsidRPr="00EB5379" w:rsidRDefault="001A7C84" w:rsidP="001B3A39">
            <w:pPr>
              <w:pStyle w:val="TableText0"/>
            </w:pPr>
            <w:r w:rsidRPr="00EB5379">
              <w:rPr>
                <w:szCs w:val="18"/>
              </w:rPr>
              <w:t xml:space="preserve">Lamy et al. (2019). Rivaroxaban, Aspirin, or Both to Prevent Early Coronary Bypass Graft Occlusion: The COMPASS-CABG Study. </w:t>
            </w:r>
          </w:p>
        </w:tc>
        <w:tc>
          <w:tcPr>
            <w:tcW w:w="1402" w:type="pct"/>
            <w:tcBorders>
              <w:top w:val="nil"/>
              <w:bottom w:val="nil"/>
            </w:tcBorders>
            <w:vAlign w:val="center"/>
          </w:tcPr>
          <w:p w:rsidR="001A7C84" w:rsidRPr="00EB5379" w:rsidRDefault="001A7C84" w:rsidP="001B3A39">
            <w:pPr>
              <w:pStyle w:val="TableText0"/>
              <w:rPr>
                <w:i/>
              </w:rPr>
            </w:pPr>
            <w:r w:rsidRPr="00EB5379">
              <w:rPr>
                <w:szCs w:val="18"/>
              </w:rPr>
              <w:t>J Am Coll Cardiol 2019; 73 (2): 121-130.</w:t>
            </w:r>
          </w:p>
        </w:tc>
      </w:tr>
      <w:tr w:rsidR="001A7C84" w:rsidRPr="00EB5379" w:rsidTr="001B3A39">
        <w:trPr>
          <w:cantSplit/>
        </w:trPr>
        <w:tc>
          <w:tcPr>
            <w:tcW w:w="795" w:type="pct"/>
            <w:vMerge/>
            <w:vAlign w:val="center"/>
          </w:tcPr>
          <w:p w:rsidR="001A7C84" w:rsidRPr="00EB5379" w:rsidRDefault="001A7C84" w:rsidP="001B3A39">
            <w:pPr>
              <w:keepNext/>
              <w:keepLines/>
            </w:pPr>
          </w:p>
        </w:tc>
        <w:tc>
          <w:tcPr>
            <w:tcW w:w="2803" w:type="pct"/>
            <w:tcBorders>
              <w:top w:val="nil"/>
              <w:bottom w:val="nil"/>
            </w:tcBorders>
            <w:vAlign w:val="center"/>
          </w:tcPr>
          <w:p w:rsidR="001A7C84" w:rsidRPr="00EB5379" w:rsidRDefault="001A7C84" w:rsidP="001B3A39">
            <w:pPr>
              <w:pStyle w:val="TableText0"/>
            </w:pPr>
            <w:r w:rsidRPr="00EB5379">
              <w:rPr>
                <w:szCs w:val="18"/>
              </w:rPr>
              <w:t xml:space="preserve">Sharma et al. (2019). Stroke Outcomes in the COMPASS Trial. </w:t>
            </w:r>
          </w:p>
        </w:tc>
        <w:tc>
          <w:tcPr>
            <w:tcW w:w="1402" w:type="pct"/>
            <w:tcBorders>
              <w:top w:val="nil"/>
              <w:bottom w:val="nil"/>
            </w:tcBorders>
            <w:vAlign w:val="center"/>
          </w:tcPr>
          <w:p w:rsidR="001A7C84" w:rsidRPr="00EB5379" w:rsidRDefault="001A7C84" w:rsidP="001B3A39">
            <w:pPr>
              <w:pStyle w:val="TableText0"/>
              <w:rPr>
                <w:i/>
              </w:rPr>
            </w:pPr>
            <w:r w:rsidRPr="00EB5379">
              <w:rPr>
                <w:szCs w:val="18"/>
              </w:rPr>
              <w:t>Circulation 2019; 139 (9): 1134-1145.</w:t>
            </w:r>
          </w:p>
        </w:tc>
      </w:tr>
      <w:tr w:rsidR="001A7C84" w:rsidRPr="00EB5379" w:rsidTr="001B3A39">
        <w:trPr>
          <w:cantSplit/>
        </w:trPr>
        <w:tc>
          <w:tcPr>
            <w:tcW w:w="795" w:type="pct"/>
            <w:vMerge/>
            <w:vAlign w:val="center"/>
          </w:tcPr>
          <w:p w:rsidR="001A7C84" w:rsidRPr="00EB5379" w:rsidRDefault="001A7C84" w:rsidP="001B3A39">
            <w:pPr>
              <w:keepNext/>
              <w:keepLines/>
            </w:pPr>
          </w:p>
        </w:tc>
        <w:tc>
          <w:tcPr>
            <w:tcW w:w="2803" w:type="pct"/>
            <w:tcBorders>
              <w:top w:val="nil"/>
              <w:bottom w:val="nil"/>
            </w:tcBorders>
            <w:vAlign w:val="center"/>
          </w:tcPr>
          <w:p w:rsidR="001A7C84" w:rsidRPr="00EB5379" w:rsidRDefault="001A7C84" w:rsidP="001B3A39">
            <w:pPr>
              <w:pStyle w:val="TableText0"/>
            </w:pPr>
            <w:r w:rsidRPr="00EB5379">
              <w:rPr>
                <w:szCs w:val="18"/>
              </w:rPr>
              <w:t xml:space="preserve">Moayyedi et al. (2019a). Safety of Proton Pump Inhibitors Based on a Large, Multi-Year, Randomised Trial of Patients Receiving Rivaroxaban or Aspirin. </w:t>
            </w:r>
          </w:p>
        </w:tc>
        <w:tc>
          <w:tcPr>
            <w:tcW w:w="1402" w:type="pct"/>
            <w:tcBorders>
              <w:top w:val="nil"/>
              <w:bottom w:val="nil"/>
            </w:tcBorders>
            <w:vAlign w:val="center"/>
          </w:tcPr>
          <w:p w:rsidR="001A7C84" w:rsidRPr="00EB5379" w:rsidRDefault="001A7C84" w:rsidP="001B3A39">
            <w:pPr>
              <w:pStyle w:val="TableText0"/>
              <w:rPr>
                <w:i/>
              </w:rPr>
            </w:pPr>
            <w:r w:rsidRPr="00EB5379">
              <w:rPr>
                <w:szCs w:val="18"/>
              </w:rPr>
              <w:t>Gastroenterology 157 (3): 682691.e2.</w:t>
            </w:r>
          </w:p>
        </w:tc>
      </w:tr>
      <w:tr w:rsidR="001A7C84" w:rsidRPr="00EB5379" w:rsidTr="001B3A39">
        <w:trPr>
          <w:cantSplit/>
        </w:trPr>
        <w:tc>
          <w:tcPr>
            <w:tcW w:w="795" w:type="pct"/>
            <w:vMerge/>
            <w:vAlign w:val="center"/>
          </w:tcPr>
          <w:p w:rsidR="001A7C84" w:rsidRPr="00EB5379" w:rsidRDefault="001A7C84" w:rsidP="001B3A39">
            <w:pPr>
              <w:keepNext/>
              <w:keepLines/>
            </w:pPr>
          </w:p>
        </w:tc>
        <w:tc>
          <w:tcPr>
            <w:tcW w:w="2803" w:type="pct"/>
            <w:tcBorders>
              <w:top w:val="nil"/>
            </w:tcBorders>
            <w:vAlign w:val="center"/>
          </w:tcPr>
          <w:p w:rsidR="001A7C84" w:rsidRPr="00EB5379" w:rsidRDefault="001A7C84" w:rsidP="001B3A39">
            <w:pPr>
              <w:pStyle w:val="TableText0"/>
            </w:pPr>
            <w:r w:rsidRPr="00EB5379">
              <w:rPr>
                <w:szCs w:val="18"/>
              </w:rPr>
              <w:t xml:space="preserve">Moayyedi et al. (2019b). Pantoprazole to Prevent Gastroduodenal Events in Patients Receiving Rivaroxaban and/or Aspirin in a Randomised, Double-Blind, Placebo-Controlled Trial. </w:t>
            </w:r>
          </w:p>
        </w:tc>
        <w:tc>
          <w:tcPr>
            <w:tcW w:w="1402" w:type="pct"/>
            <w:tcBorders>
              <w:top w:val="nil"/>
            </w:tcBorders>
            <w:vAlign w:val="center"/>
          </w:tcPr>
          <w:p w:rsidR="001A7C84" w:rsidRPr="00EB5379" w:rsidRDefault="001A7C84" w:rsidP="001B3A39">
            <w:pPr>
              <w:pStyle w:val="TableText0"/>
              <w:rPr>
                <w:i/>
              </w:rPr>
            </w:pPr>
            <w:r w:rsidRPr="00EB5379">
              <w:rPr>
                <w:szCs w:val="18"/>
              </w:rPr>
              <w:t>Gastroenterology 157 (2): 403-412.e5.</w:t>
            </w:r>
          </w:p>
        </w:tc>
      </w:tr>
    </w:tbl>
    <w:p w:rsidR="001A7C84" w:rsidRPr="00EB5379" w:rsidRDefault="001A7C84" w:rsidP="001A7C84">
      <w:pPr>
        <w:pStyle w:val="TableFooter"/>
        <w:widowControl/>
      </w:pPr>
      <w:r w:rsidRPr="00EB5379">
        <w:t>Source: Table 2.2-1, p.67; Table 2.2-2, p.67; Table 2.2-3, p.68 of the previous submission.</w:t>
      </w:r>
    </w:p>
    <w:p w:rsidR="003C2FB5" w:rsidRPr="00EB5379" w:rsidRDefault="005A3173" w:rsidP="00917D69">
      <w:pPr>
        <w:pStyle w:val="4-SubsectionHeading"/>
        <w:rPr>
          <w:lang w:eastAsia="en-US"/>
        </w:rPr>
      </w:pPr>
      <w:r w:rsidRPr="00EB5379">
        <w:rPr>
          <w:lang w:eastAsia="en-US"/>
        </w:rPr>
        <w:lastRenderedPageBreak/>
        <w:t>Clinical claim</w:t>
      </w:r>
    </w:p>
    <w:p w:rsidR="00E82F71" w:rsidRPr="00EB5379" w:rsidRDefault="00F62CE3" w:rsidP="00E82F71">
      <w:pPr>
        <w:pStyle w:val="3Bodytext"/>
      </w:pPr>
      <w:r w:rsidRPr="00EB5379">
        <w:t xml:space="preserve">The </w:t>
      </w:r>
      <w:r w:rsidR="00E82F71" w:rsidRPr="00EB5379">
        <w:t xml:space="preserve">PBAC </w:t>
      </w:r>
      <w:r w:rsidR="00AA17D1" w:rsidRPr="00EB5379">
        <w:t xml:space="preserve">reiterated its previous advice </w:t>
      </w:r>
      <w:r w:rsidR="00E82F71" w:rsidRPr="00EB5379">
        <w:t xml:space="preserve">that the claim of superior comparative effectiveness of rivaroxaban in combination with aspirin versus aspirin alone was reasonable, but that the magnitude of the benefit in the proposed PBS population was uncertain (paragraph 6.37, rivaroxaban </w:t>
      </w:r>
      <w:r w:rsidR="000D3B77">
        <w:t>PSD</w:t>
      </w:r>
      <w:r w:rsidR="00E82F71" w:rsidRPr="00EB5379">
        <w:t xml:space="preserve">, March 2020). </w:t>
      </w:r>
    </w:p>
    <w:p w:rsidR="00E82F71" w:rsidRPr="00EB5379" w:rsidRDefault="00E82F71" w:rsidP="00E82F71">
      <w:pPr>
        <w:pStyle w:val="3Bodytext"/>
      </w:pPr>
      <w:r w:rsidRPr="00EB5379">
        <w:t xml:space="preserve">The PBAC </w:t>
      </w:r>
      <w:r w:rsidR="008075E1" w:rsidRPr="00EB5379">
        <w:t xml:space="preserve">reiterated its previous advice </w:t>
      </w:r>
      <w:r w:rsidRPr="00EB5379">
        <w:t>that the claim of inferior comparative safety of rivaroxaban in combination versus aspirin alone was reasonable. However, the PBAC considered that the magnitude of the risk of bleeding was uncertain, noting that the risk was likely to vary depending on age, renal</w:t>
      </w:r>
      <w:r w:rsidR="00A57158" w:rsidRPr="00EB5379">
        <w:t xml:space="preserve"> function, baseline risk and co</w:t>
      </w:r>
      <w:r w:rsidR="00A57158" w:rsidRPr="00EB5379">
        <w:noBreakHyphen/>
      </w:r>
      <w:r w:rsidRPr="00EB5379">
        <w:t xml:space="preserve">morbidities (paragraph 6.38, rivaroxaban </w:t>
      </w:r>
      <w:r w:rsidR="000D3B77">
        <w:t>PSD</w:t>
      </w:r>
      <w:r w:rsidRPr="00EB5379">
        <w:t xml:space="preserve">, March 2020). </w:t>
      </w:r>
    </w:p>
    <w:p w:rsidR="005A3173" w:rsidRPr="00EB5379" w:rsidRDefault="005A3173" w:rsidP="00917D69">
      <w:pPr>
        <w:pStyle w:val="4-SubsectionHeading"/>
        <w:rPr>
          <w:lang w:eastAsia="en-US"/>
        </w:rPr>
      </w:pPr>
      <w:r w:rsidRPr="00EB5379">
        <w:rPr>
          <w:lang w:eastAsia="en-US"/>
        </w:rPr>
        <w:t>Economic analysis</w:t>
      </w:r>
      <w:r w:rsidR="009803E4" w:rsidRPr="00EB5379">
        <w:rPr>
          <w:lang w:eastAsia="en-US"/>
        </w:rPr>
        <w:t xml:space="preserve"> </w:t>
      </w:r>
    </w:p>
    <w:p w:rsidR="00137757" w:rsidRPr="00EB5379" w:rsidRDefault="00137757" w:rsidP="00137757">
      <w:pPr>
        <w:widowControl w:val="0"/>
        <w:numPr>
          <w:ilvl w:val="1"/>
          <w:numId w:val="1"/>
        </w:numPr>
        <w:spacing w:after="120"/>
      </w:pPr>
      <w:r w:rsidRPr="00EB5379">
        <w:t xml:space="preserve">The model submitted with the previous pre-PBAC response </w:t>
      </w:r>
      <w:r w:rsidR="001A7C84" w:rsidRPr="00EB5379">
        <w:t xml:space="preserve">(March 2020) </w:t>
      </w:r>
      <w:r w:rsidRPr="00EB5379">
        <w:t xml:space="preserve">resulted in an ICER of </w:t>
      </w:r>
      <w:r w:rsidR="00DC2D2A">
        <w:t>$15,000 - $45,000</w:t>
      </w:r>
      <w:r w:rsidRPr="00DC2D2A">
        <w:t xml:space="preserve"> per QALY</w:t>
      </w:r>
      <w:r w:rsidRPr="00EB5379">
        <w:t xml:space="preserve"> gained. This model had removed both non-cardiovascular death treatment effects and non-cardiovascular death transition probabilities, and proposed a lower effective price (</w:t>
      </w:r>
      <w:r w:rsidR="00DF10EB">
        <w:rPr>
          <w:noProof/>
          <w:color w:val="000000"/>
          <w:highlight w:val="black"/>
        </w:rPr>
        <w:t>'''''</w:t>
      </w:r>
      <w:r w:rsidRPr="00EB5379">
        <w:t xml:space="preserve">% reduction versus the price proposed in the submission). </w:t>
      </w:r>
    </w:p>
    <w:p w:rsidR="003851FA" w:rsidRPr="00E075E9" w:rsidRDefault="00985F28" w:rsidP="005E1067">
      <w:pPr>
        <w:widowControl w:val="0"/>
        <w:numPr>
          <w:ilvl w:val="1"/>
          <w:numId w:val="1"/>
        </w:numPr>
        <w:spacing w:after="120"/>
        <w:rPr>
          <w:rFonts w:asciiTheme="minorHAnsi" w:hAnsiTheme="minorHAnsi"/>
          <w:bCs/>
          <w:snapToGrid w:val="0"/>
        </w:rPr>
      </w:pPr>
      <w:r w:rsidRPr="00E075E9">
        <w:rPr>
          <w:rFonts w:asciiTheme="minorHAnsi" w:hAnsiTheme="minorHAnsi"/>
          <w:bCs/>
          <w:snapToGrid w:val="0"/>
        </w:rPr>
        <w:t xml:space="preserve">The March 2020 </w:t>
      </w:r>
      <w:r w:rsidR="000D3B77">
        <w:rPr>
          <w:rFonts w:asciiTheme="minorHAnsi" w:hAnsiTheme="minorHAnsi"/>
          <w:bCs/>
          <w:snapToGrid w:val="0"/>
        </w:rPr>
        <w:t>PSD</w:t>
      </w:r>
      <w:r w:rsidRPr="00E075E9">
        <w:rPr>
          <w:rFonts w:asciiTheme="minorHAnsi" w:hAnsiTheme="minorHAnsi"/>
          <w:bCs/>
          <w:snapToGrid w:val="0"/>
        </w:rPr>
        <w:t xml:space="preserve"> state</w:t>
      </w:r>
      <w:r w:rsidR="000D3B77">
        <w:rPr>
          <w:rFonts w:asciiTheme="minorHAnsi" w:hAnsiTheme="minorHAnsi"/>
          <w:bCs/>
          <w:snapToGrid w:val="0"/>
        </w:rPr>
        <w:t>s</w:t>
      </w:r>
      <w:r w:rsidRPr="00E075E9">
        <w:rPr>
          <w:rFonts w:asciiTheme="minorHAnsi" w:hAnsiTheme="minorHAnsi"/>
          <w:bCs/>
          <w:snapToGrid w:val="0"/>
        </w:rPr>
        <w:t xml:space="preserve"> ‘</w:t>
      </w:r>
      <w:r w:rsidR="00137757" w:rsidRPr="00E075E9">
        <w:rPr>
          <w:rFonts w:asciiTheme="minorHAnsi" w:hAnsiTheme="minorHAnsi"/>
          <w:bCs/>
          <w:snapToGrid w:val="0"/>
        </w:rPr>
        <w:t>g</w:t>
      </w:r>
      <w:r w:rsidR="003851FA" w:rsidRPr="00E075E9">
        <w:rPr>
          <w:rFonts w:asciiTheme="minorHAnsi" w:hAnsiTheme="minorHAnsi"/>
          <w:bCs/>
          <w:snapToGrid w:val="0"/>
        </w:rPr>
        <w:t xml:space="preserve">iven the uncertain safety and efficacy in clinical practice, particularly the risk of bleeding and the likely overestimation of the clinical benefit in the trial </w:t>
      </w:r>
      <w:r w:rsidR="003851FA" w:rsidRPr="00EB5379">
        <w:t>(due to the premature stopping of the trial)</w:t>
      </w:r>
      <w:r w:rsidR="003851FA" w:rsidRPr="00E075E9">
        <w:rPr>
          <w:rFonts w:asciiTheme="minorHAnsi" w:hAnsiTheme="minorHAnsi"/>
          <w:bCs/>
          <w:snapToGrid w:val="0"/>
        </w:rPr>
        <w:t xml:space="preserve">, and in the context of a secondary prevention medicine for a broad patient population, the PBAC considered that an ICER in the range of around </w:t>
      </w:r>
      <w:r w:rsidR="00A97ED1">
        <w:rPr>
          <w:rFonts w:asciiTheme="minorHAnsi" w:hAnsiTheme="minorHAnsi"/>
          <w:bCs/>
          <w:snapToGrid w:val="0"/>
        </w:rPr>
        <w:t>$15,000 - $45,000</w:t>
      </w:r>
      <w:r w:rsidR="003851FA" w:rsidRPr="00DC2D2A">
        <w:rPr>
          <w:rFonts w:asciiTheme="minorHAnsi" w:hAnsiTheme="minorHAnsi"/>
          <w:bCs/>
          <w:snapToGrid w:val="0"/>
        </w:rPr>
        <w:t xml:space="preserve"> per QALY</w:t>
      </w:r>
      <w:r w:rsidR="003851FA" w:rsidRPr="00E075E9">
        <w:rPr>
          <w:rFonts w:asciiTheme="minorHAnsi" w:hAnsiTheme="minorHAnsi"/>
          <w:bCs/>
          <w:snapToGrid w:val="0"/>
        </w:rPr>
        <w:t xml:space="preserve"> would be required for rivaroxaban to be considered suitably cost-effective. The PBAC was particularly concerned that the risk of bleeding would be higher in the proposed PBS population than in the COMPASS trial (which likely underestimated the bleeding risk) and considered that this contributed to uncertainty regarding the ICER and the need for the ICER to be more conservative than proposed in the submission and the pre-PBAC response. The PBAC considered that this ICER should be based on the model submitted with the pre-PBAC response</w:t>
      </w:r>
      <w:r w:rsidRPr="00E075E9">
        <w:rPr>
          <w:rFonts w:asciiTheme="minorHAnsi" w:hAnsiTheme="minorHAnsi"/>
          <w:bCs/>
          <w:snapToGrid w:val="0"/>
        </w:rPr>
        <w:t xml:space="preserve">’ (paragraph 7.11, rivaroxaban </w:t>
      </w:r>
      <w:r w:rsidR="000D3B77">
        <w:rPr>
          <w:rFonts w:asciiTheme="minorHAnsi" w:hAnsiTheme="minorHAnsi"/>
          <w:bCs/>
          <w:snapToGrid w:val="0"/>
        </w:rPr>
        <w:t>PSD</w:t>
      </w:r>
      <w:r w:rsidRPr="00E075E9">
        <w:rPr>
          <w:rFonts w:asciiTheme="minorHAnsi" w:hAnsiTheme="minorHAnsi"/>
          <w:bCs/>
          <w:snapToGrid w:val="0"/>
        </w:rPr>
        <w:t xml:space="preserve">, March 2020). </w:t>
      </w:r>
    </w:p>
    <w:p w:rsidR="00E82F71" w:rsidRPr="00EB5379" w:rsidRDefault="00E82F71" w:rsidP="00137757">
      <w:pPr>
        <w:widowControl w:val="0"/>
        <w:numPr>
          <w:ilvl w:val="1"/>
          <w:numId w:val="1"/>
        </w:numPr>
        <w:spacing w:after="120"/>
      </w:pPr>
      <w:r w:rsidRPr="00EB5379">
        <w:t>The on</w:t>
      </w:r>
      <w:r w:rsidR="00DE3CDA" w:rsidRPr="00EB5379">
        <w:t>ly change to the economic model, compared with the model p</w:t>
      </w:r>
      <w:r w:rsidRPr="00EB5379">
        <w:t>resented in the previous pre-PBAC response</w:t>
      </w:r>
      <w:r w:rsidR="00DE3CDA" w:rsidRPr="00EB5379">
        <w:t>,</w:t>
      </w:r>
      <w:r w:rsidRPr="00EB5379">
        <w:t xml:space="preserve"> was th</w:t>
      </w:r>
      <w:r w:rsidR="00DE3CDA" w:rsidRPr="00EB5379">
        <w:t xml:space="preserve">at a </w:t>
      </w:r>
      <w:r w:rsidR="00985F28" w:rsidRPr="00EB5379">
        <w:t xml:space="preserve">further reduction to the </w:t>
      </w:r>
      <w:r w:rsidRPr="00EB5379">
        <w:t>price of rivaroxaban</w:t>
      </w:r>
      <w:r w:rsidR="00DE3CDA" w:rsidRPr="00EB5379">
        <w:t xml:space="preserve"> was proposed (AEMP reduced from $</w:t>
      </w:r>
      <w:r w:rsidR="00DF10EB">
        <w:rPr>
          <w:noProof/>
          <w:color w:val="000000"/>
          <w:highlight w:val="black"/>
        </w:rPr>
        <w:t>''''''''''</w:t>
      </w:r>
      <w:r w:rsidR="00DE3CDA" w:rsidRPr="00EB5379">
        <w:t xml:space="preserve"> to $</w:t>
      </w:r>
      <w:r w:rsidR="00DF10EB">
        <w:rPr>
          <w:noProof/>
          <w:color w:val="000000"/>
          <w:highlight w:val="black"/>
        </w:rPr>
        <w:t>'''''''''''</w:t>
      </w:r>
      <w:r w:rsidR="00DE3CDA" w:rsidRPr="00EB5379">
        <w:t>).</w:t>
      </w:r>
    </w:p>
    <w:p w:rsidR="009E0332" w:rsidRPr="00EB5379" w:rsidRDefault="009E0332" w:rsidP="00137757">
      <w:pPr>
        <w:widowControl w:val="0"/>
        <w:numPr>
          <w:ilvl w:val="1"/>
          <w:numId w:val="1"/>
        </w:numPr>
        <w:spacing w:after="120"/>
      </w:pPr>
      <w:r w:rsidRPr="00EB5379">
        <w:t xml:space="preserve">The results of the modelled economic evaluation are summarised below. </w:t>
      </w:r>
    </w:p>
    <w:p w:rsidR="009E0332" w:rsidRPr="00EB5379" w:rsidRDefault="009E0332" w:rsidP="0056195C">
      <w:pPr>
        <w:pStyle w:val="TableHeading0"/>
      </w:pPr>
      <w:r w:rsidRPr="00EB5379">
        <w:lastRenderedPageBreak/>
        <w:t xml:space="preserve">Table </w:t>
      </w:r>
      <w:r w:rsidR="001A7C84" w:rsidRPr="00EB5379">
        <w:t>4</w:t>
      </w:r>
      <w:r w:rsidRPr="00EB5379">
        <w:t>: Results of economic evaluation of rivaroxaban with asp</w:t>
      </w:r>
      <w:r w:rsidR="00E56041" w:rsidRPr="00EB5379">
        <w:t xml:space="preserve">irin compared to aspirin alone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5"/>
        <w:gridCol w:w="1946"/>
        <w:gridCol w:w="1947"/>
        <w:gridCol w:w="2588"/>
      </w:tblGrid>
      <w:tr w:rsidR="009E0332" w:rsidRPr="00EB5379" w:rsidTr="0056195C">
        <w:trPr>
          <w:trHeight w:val="469"/>
        </w:trPr>
        <w:tc>
          <w:tcPr>
            <w:tcW w:w="1406" w:type="pct"/>
            <w:vAlign w:val="center"/>
          </w:tcPr>
          <w:p w:rsidR="009E0332" w:rsidRPr="00EB5379" w:rsidRDefault="00DE3CDA" w:rsidP="00EE5881">
            <w:pPr>
              <w:pStyle w:val="TableText0"/>
              <w:keepLines/>
              <w:widowControl w:val="0"/>
              <w:jc w:val="center"/>
              <w:rPr>
                <w:b/>
              </w:rPr>
            </w:pPr>
            <w:r w:rsidRPr="00EB5379">
              <w:rPr>
                <w:b/>
              </w:rPr>
              <w:t>Outcome</w:t>
            </w:r>
          </w:p>
        </w:tc>
        <w:tc>
          <w:tcPr>
            <w:tcW w:w="1079" w:type="pct"/>
            <w:vAlign w:val="center"/>
          </w:tcPr>
          <w:p w:rsidR="009E0332" w:rsidRPr="00EB5379" w:rsidRDefault="009E0332" w:rsidP="00EE5881">
            <w:pPr>
              <w:pStyle w:val="TableText0"/>
              <w:keepLines/>
              <w:widowControl w:val="0"/>
              <w:jc w:val="center"/>
              <w:rPr>
                <w:b/>
              </w:rPr>
            </w:pPr>
            <w:r w:rsidRPr="00EB5379">
              <w:rPr>
                <w:b/>
              </w:rPr>
              <w:t>Rivaroxaban with aspirin</w:t>
            </w:r>
          </w:p>
        </w:tc>
        <w:tc>
          <w:tcPr>
            <w:tcW w:w="1080" w:type="pct"/>
            <w:vAlign w:val="center"/>
          </w:tcPr>
          <w:p w:rsidR="009E0332" w:rsidRPr="00EB5379" w:rsidRDefault="009E0332" w:rsidP="00EE5881">
            <w:pPr>
              <w:pStyle w:val="TableText0"/>
              <w:keepLines/>
              <w:widowControl w:val="0"/>
              <w:jc w:val="center"/>
              <w:rPr>
                <w:b/>
              </w:rPr>
            </w:pPr>
            <w:r w:rsidRPr="00EB5379">
              <w:rPr>
                <w:b/>
              </w:rPr>
              <w:t>Aspirin alone</w:t>
            </w:r>
          </w:p>
        </w:tc>
        <w:tc>
          <w:tcPr>
            <w:tcW w:w="1435" w:type="pct"/>
            <w:vAlign w:val="center"/>
          </w:tcPr>
          <w:p w:rsidR="009E0332" w:rsidRPr="00EB5379" w:rsidRDefault="00DE3CDA" w:rsidP="00EE5881">
            <w:pPr>
              <w:pStyle w:val="TableText0"/>
              <w:keepLines/>
              <w:widowControl w:val="0"/>
              <w:jc w:val="center"/>
              <w:rPr>
                <w:b/>
              </w:rPr>
            </w:pPr>
            <w:r w:rsidRPr="00EB5379">
              <w:rPr>
                <w:b/>
              </w:rPr>
              <w:t>Increment</w:t>
            </w:r>
          </w:p>
        </w:tc>
      </w:tr>
      <w:tr w:rsidR="009E0332" w:rsidRPr="00EB5379" w:rsidTr="0056195C">
        <w:tc>
          <w:tcPr>
            <w:tcW w:w="5000" w:type="pct"/>
            <w:gridSpan w:val="4"/>
          </w:tcPr>
          <w:p w:rsidR="009E0332" w:rsidRPr="00EB5379" w:rsidRDefault="009E0332" w:rsidP="00EE5881">
            <w:pPr>
              <w:pStyle w:val="TableText0"/>
              <w:keepLines/>
              <w:widowControl w:val="0"/>
              <w:jc w:val="both"/>
              <w:rPr>
                <w:b/>
              </w:rPr>
            </w:pPr>
            <w:r w:rsidRPr="00EB5379">
              <w:rPr>
                <w:b/>
              </w:rPr>
              <w:t>Revised economic model</w:t>
            </w:r>
          </w:p>
        </w:tc>
      </w:tr>
      <w:tr w:rsidR="00EE5881" w:rsidRPr="00EB5379" w:rsidTr="0056195C">
        <w:tc>
          <w:tcPr>
            <w:tcW w:w="1406" w:type="pct"/>
            <w:tcBorders>
              <w:top w:val="single" w:sz="4" w:space="0" w:color="auto"/>
              <w:bottom w:val="single" w:sz="4" w:space="0" w:color="auto"/>
              <w:right w:val="single" w:sz="4" w:space="0" w:color="auto"/>
            </w:tcBorders>
          </w:tcPr>
          <w:p w:rsidR="00EE5881" w:rsidRPr="00EB5379" w:rsidRDefault="00EE5881" w:rsidP="00EE5881">
            <w:pPr>
              <w:pStyle w:val="TableText0"/>
              <w:keepLines/>
              <w:widowControl w:val="0"/>
            </w:pPr>
            <w:r w:rsidRPr="00EB5379">
              <w:t>Costs</w:t>
            </w:r>
          </w:p>
        </w:tc>
        <w:tc>
          <w:tcPr>
            <w:tcW w:w="1079" w:type="pct"/>
            <w:tcBorders>
              <w:top w:val="single" w:sz="4" w:space="0" w:color="auto"/>
              <w:left w:val="single" w:sz="4" w:space="0" w:color="auto"/>
              <w:bottom w:val="single" w:sz="4" w:space="0" w:color="auto"/>
              <w:right w:val="single" w:sz="4" w:space="0" w:color="auto"/>
            </w:tcBorders>
            <w:vAlign w:val="bottom"/>
          </w:tcPr>
          <w:p w:rsidR="00EE5881" w:rsidRPr="00EB5379" w:rsidRDefault="00EE5881" w:rsidP="00EE5881">
            <w:pPr>
              <w:pStyle w:val="TableText0"/>
              <w:keepLines/>
              <w:widowControl w:val="0"/>
              <w:jc w:val="center"/>
              <w:rPr>
                <w:highlight w:val="yellow"/>
              </w:rPr>
            </w:pPr>
            <w:r w:rsidRPr="00EB5379">
              <w:t>$</w:t>
            </w:r>
            <w:r w:rsidR="00DF10EB">
              <w:rPr>
                <w:noProof/>
                <w:color w:val="000000"/>
                <w:highlight w:val="black"/>
              </w:rPr>
              <w:t>''''''''''''''''''</w:t>
            </w:r>
          </w:p>
        </w:tc>
        <w:tc>
          <w:tcPr>
            <w:tcW w:w="1080" w:type="pct"/>
            <w:tcBorders>
              <w:top w:val="single" w:sz="4" w:space="0" w:color="auto"/>
              <w:left w:val="single" w:sz="4" w:space="0" w:color="auto"/>
              <w:bottom w:val="single" w:sz="4" w:space="0" w:color="auto"/>
              <w:right w:val="single" w:sz="4" w:space="0" w:color="auto"/>
            </w:tcBorders>
            <w:vAlign w:val="bottom"/>
          </w:tcPr>
          <w:p w:rsidR="00EE5881" w:rsidRPr="00EB5379" w:rsidRDefault="00EE5881" w:rsidP="00EE5881">
            <w:pPr>
              <w:pStyle w:val="TableText0"/>
              <w:keepLines/>
              <w:widowControl w:val="0"/>
              <w:jc w:val="center"/>
              <w:rPr>
                <w:highlight w:val="yellow"/>
              </w:rPr>
            </w:pPr>
            <w:r w:rsidRPr="00EB5379">
              <w:t>$14,211</w:t>
            </w:r>
          </w:p>
        </w:tc>
        <w:tc>
          <w:tcPr>
            <w:tcW w:w="1435" w:type="pct"/>
            <w:tcBorders>
              <w:top w:val="single" w:sz="4" w:space="0" w:color="auto"/>
              <w:left w:val="single" w:sz="4" w:space="0" w:color="auto"/>
              <w:bottom w:val="single" w:sz="4" w:space="0" w:color="auto"/>
              <w:right w:val="single" w:sz="4" w:space="0" w:color="auto"/>
            </w:tcBorders>
            <w:vAlign w:val="center"/>
          </w:tcPr>
          <w:p w:rsidR="00EE5881" w:rsidRPr="00EB5379" w:rsidRDefault="00EE5881" w:rsidP="00EE5881">
            <w:pPr>
              <w:pStyle w:val="TableText0"/>
              <w:keepLines/>
              <w:widowControl w:val="0"/>
              <w:jc w:val="center"/>
              <w:rPr>
                <w:highlight w:val="yellow"/>
              </w:rPr>
            </w:pPr>
            <w:r w:rsidRPr="00EB5379">
              <w:t>$</w:t>
            </w:r>
            <w:r w:rsidR="00DF10EB">
              <w:rPr>
                <w:noProof/>
                <w:color w:val="000000"/>
                <w:highlight w:val="black"/>
              </w:rPr>
              <w:t>''''''''''''''</w:t>
            </w:r>
          </w:p>
        </w:tc>
      </w:tr>
      <w:tr w:rsidR="00EE5881" w:rsidRPr="00EB5379" w:rsidTr="0056195C">
        <w:tc>
          <w:tcPr>
            <w:tcW w:w="1406" w:type="pct"/>
            <w:tcBorders>
              <w:top w:val="single" w:sz="4" w:space="0" w:color="auto"/>
              <w:bottom w:val="single" w:sz="4" w:space="0" w:color="auto"/>
              <w:right w:val="single" w:sz="4" w:space="0" w:color="auto"/>
            </w:tcBorders>
          </w:tcPr>
          <w:p w:rsidR="00EE5881" w:rsidRPr="00EB5379" w:rsidRDefault="00EE5881" w:rsidP="00EE5881">
            <w:pPr>
              <w:pStyle w:val="TableText0"/>
              <w:keepLines/>
              <w:widowControl w:val="0"/>
            </w:pPr>
            <w:r w:rsidRPr="00EB5379">
              <w:t>L</w:t>
            </w:r>
            <w:r w:rsidR="001B3A39" w:rsidRPr="00EB5379">
              <w:t>Y</w:t>
            </w:r>
            <w:r w:rsidRPr="00EB5379">
              <w:t>s</w:t>
            </w:r>
          </w:p>
        </w:tc>
        <w:tc>
          <w:tcPr>
            <w:tcW w:w="1079" w:type="pct"/>
            <w:tcBorders>
              <w:top w:val="single" w:sz="4" w:space="0" w:color="auto"/>
              <w:left w:val="single" w:sz="4" w:space="0" w:color="auto"/>
              <w:bottom w:val="single" w:sz="4" w:space="0" w:color="auto"/>
              <w:right w:val="single" w:sz="4" w:space="0" w:color="auto"/>
            </w:tcBorders>
            <w:vAlign w:val="bottom"/>
          </w:tcPr>
          <w:p w:rsidR="00EE5881" w:rsidRPr="00EB5379" w:rsidRDefault="00EE5881" w:rsidP="00EE5881">
            <w:pPr>
              <w:pStyle w:val="TableText0"/>
              <w:keepLines/>
              <w:widowControl w:val="0"/>
              <w:jc w:val="center"/>
              <w:rPr>
                <w:highlight w:val="yellow"/>
              </w:rPr>
            </w:pPr>
            <w:r w:rsidRPr="00A4158F">
              <w:t>10.191</w:t>
            </w:r>
          </w:p>
        </w:tc>
        <w:tc>
          <w:tcPr>
            <w:tcW w:w="1080" w:type="pct"/>
            <w:tcBorders>
              <w:top w:val="single" w:sz="4" w:space="0" w:color="auto"/>
              <w:left w:val="single" w:sz="4" w:space="0" w:color="auto"/>
              <w:bottom w:val="single" w:sz="4" w:space="0" w:color="auto"/>
              <w:right w:val="single" w:sz="4" w:space="0" w:color="auto"/>
            </w:tcBorders>
            <w:vAlign w:val="bottom"/>
          </w:tcPr>
          <w:p w:rsidR="00EE5881" w:rsidRPr="00EB5379" w:rsidRDefault="00EE5881" w:rsidP="00EE5881">
            <w:pPr>
              <w:pStyle w:val="TableText0"/>
              <w:keepLines/>
              <w:widowControl w:val="0"/>
              <w:jc w:val="center"/>
              <w:rPr>
                <w:highlight w:val="yellow"/>
              </w:rPr>
            </w:pPr>
            <w:r w:rsidRPr="00A4158F">
              <w:t>10.117</w:t>
            </w:r>
          </w:p>
        </w:tc>
        <w:tc>
          <w:tcPr>
            <w:tcW w:w="1435" w:type="pct"/>
            <w:tcBorders>
              <w:top w:val="single" w:sz="4" w:space="0" w:color="auto"/>
              <w:left w:val="single" w:sz="4" w:space="0" w:color="auto"/>
              <w:bottom w:val="single" w:sz="4" w:space="0" w:color="auto"/>
              <w:right w:val="single" w:sz="4" w:space="0" w:color="auto"/>
            </w:tcBorders>
            <w:vAlign w:val="center"/>
          </w:tcPr>
          <w:p w:rsidR="00EE5881" w:rsidRPr="00EB5379" w:rsidRDefault="00EE5881" w:rsidP="00EE5881">
            <w:pPr>
              <w:pStyle w:val="TableText0"/>
              <w:keepLines/>
              <w:widowControl w:val="0"/>
              <w:jc w:val="center"/>
              <w:rPr>
                <w:highlight w:val="yellow"/>
              </w:rPr>
            </w:pPr>
            <w:r w:rsidRPr="00A4158F">
              <w:t>0.074</w:t>
            </w:r>
          </w:p>
        </w:tc>
      </w:tr>
      <w:tr w:rsidR="00EE5881" w:rsidRPr="00EB5379" w:rsidTr="0056195C">
        <w:tc>
          <w:tcPr>
            <w:tcW w:w="1406" w:type="pct"/>
            <w:tcBorders>
              <w:top w:val="single" w:sz="4" w:space="0" w:color="auto"/>
              <w:bottom w:val="single" w:sz="4" w:space="0" w:color="auto"/>
              <w:right w:val="single" w:sz="4" w:space="0" w:color="auto"/>
            </w:tcBorders>
          </w:tcPr>
          <w:p w:rsidR="00EE5881" w:rsidRPr="00EB5379" w:rsidRDefault="00EE5881" w:rsidP="00EE5881">
            <w:pPr>
              <w:pStyle w:val="TableText0"/>
              <w:keepLines/>
              <w:widowControl w:val="0"/>
            </w:pPr>
            <w:r w:rsidRPr="00EB5379">
              <w:t>QALYs</w:t>
            </w:r>
          </w:p>
        </w:tc>
        <w:tc>
          <w:tcPr>
            <w:tcW w:w="1079" w:type="pct"/>
            <w:tcBorders>
              <w:top w:val="single" w:sz="4" w:space="0" w:color="auto"/>
              <w:left w:val="single" w:sz="4" w:space="0" w:color="auto"/>
              <w:bottom w:val="single" w:sz="4" w:space="0" w:color="auto"/>
              <w:right w:val="single" w:sz="4" w:space="0" w:color="auto"/>
            </w:tcBorders>
            <w:vAlign w:val="bottom"/>
          </w:tcPr>
          <w:p w:rsidR="00EE5881" w:rsidRPr="00EB5379" w:rsidRDefault="00EE5881" w:rsidP="00EE5881">
            <w:pPr>
              <w:pStyle w:val="TableText0"/>
              <w:keepLines/>
              <w:widowControl w:val="0"/>
              <w:jc w:val="center"/>
              <w:rPr>
                <w:highlight w:val="yellow"/>
              </w:rPr>
            </w:pPr>
            <w:r w:rsidRPr="00A4158F">
              <w:t>7.996</w:t>
            </w:r>
          </w:p>
        </w:tc>
        <w:tc>
          <w:tcPr>
            <w:tcW w:w="1080" w:type="pct"/>
            <w:tcBorders>
              <w:top w:val="single" w:sz="4" w:space="0" w:color="auto"/>
              <w:left w:val="single" w:sz="4" w:space="0" w:color="auto"/>
              <w:bottom w:val="single" w:sz="4" w:space="0" w:color="auto"/>
              <w:right w:val="single" w:sz="4" w:space="0" w:color="auto"/>
            </w:tcBorders>
            <w:vAlign w:val="bottom"/>
          </w:tcPr>
          <w:p w:rsidR="00EE5881" w:rsidRPr="00EB5379" w:rsidRDefault="00EE5881" w:rsidP="00EE5881">
            <w:pPr>
              <w:pStyle w:val="TableText0"/>
              <w:keepLines/>
              <w:widowControl w:val="0"/>
              <w:jc w:val="center"/>
              <w:rPr>
                <w:highlight w:val="yellow"/>
              </w:rPr>
            </w:pPr>
            <w:r w:rsidRPr="00A4158F">
              <w:t>7.920</w:t>
            </w:r>
          </w:p>
        </w:tc>
        <w:tc>
          <w:tcPr>
            <w:tcW w:w="1435" w:type="pct"/>
            <w:tcBorders>
              <w:top w:val="single" w:sz="4" w:space="0" w:color="auto"/>
              <w:left w:val="single" w:sz="4" w:space="0" w:color="auto"/>
              <w:bottom w:val="single" w:sz="4" w:space="0" w:color="auto"/>
              <w:right w:val="single" w:sz="4" w:space="0" w:color="auto"/>
            </w:tcBorders>
            <w:vAlign w:val="center"/>
          </w:tcPr>
          <w:p w:rsidR="00EE5881" w:rsidRPr="00EB5379" w:rsidRDefault="00EE5881" w:rsidP="00EE5881">
            <w:pPr>
              <w:pStyle w:val="TableText0"/>
              <w:keepLines/>
              <w:widowControl w:val="0"/>
              <w:jc w:val="center"/>
              <w:rPr>
                <w:highlight w:val="yellow"/>
              </w:rPr>
            </w:pPr>
            <w:r w:rsidRPr="00A4158F">
              <w:t>0.076</w:t>
            </w:r>
          </w:p>
        </w:tc>
      </w:tr>
      <w:tr w:rsidR="009E0332" w:rsidRPr="00EB5379" w:rsidTr="0056195C">
        <w:tc>
          <w:tcPr>
            <w:tcW w:w="3565" w:type="pct"/>
            <w:gridSpan w:val="3"/>
            <w:vAlign w:val="center"/>
          </w:tcPr>
          <w:p w:rsidR="009E0332" w:rsidRPr="00EB5379" w:rsidRDefault="009E0332" w:rsidP="00EE5881">
            <w:pPr>
              <w:pStyle w:val="TableText0"/>
              <w:keepLines/>
              <w:widowControl w:val="0"/>
              <w:rPr>
                <w:b/>
              </w:rPr>
            </w:pPr>
            <w:r w:rsidRPr="00EB5379">
              <w:rPr>
                <w:b/>
              </w:rPr>
              <w:t xml:space="preserve">Incremental cost per </w:t>
            </w:r>
            <w:r w:rsidR="00DE3CDA" w:rsidRPr="00EB5379">
              <w:rPr>
                <w:b/>
              </w:rPr>
              <w:t>QALY</w:t>
            </w:r>
            <w:r w:rsidR="00EE5881" w:rsidRPr="00EB5379">
              <w:rPr>
                <w:b/>
              </w:rPr>
              <w:t xml:space="preserve"> (Effective DPMQ $</w:t>
            </w:r>
            <w:r w:rsidR="00DF10EB">
              <w:rPr>
                <w:b/>
                <w:noProof/>
                <w:color w:val="000000"/>
                <w:highlight w:val="black"/>
              </w:rPr>
              <w:t>''''''''''</w:t>
            </w:r>
            <w:r w:rsidR="00EE5881" w:rsidRPr="00EB5379">
              <w:rPr>
                <w:b/>
              </w:rPr>
              <w:t>)</w:t>
            </w:r>
          </w:p>
        </w:tc>
        <w:tc>
          <w:tcPr>
            <w:tcW w:w="1435" w:type="pct"/>
            <w:vAlign w:val="center"/>
          </w:tcPr>
          <w:p w:rsidR="009E0332" w:rsidRPr="00EB5379" w:rsidRDefault="009E0332" w:rsidP="00EE5881">
            <w:pPr>
              <w:pStyle w:val="TableText0"/>
              <w:keepLines/>
              <w:widowControl w:val="0"/>
              <w:jc w:val="center"/>
            </w:pPr>
            <w:r w:rsidRPr="00EB5379">
              <w:t>$</w:t>
            </w:r>
            <w:r w:rsidR="00DF10EB">
              <w:rPr>
                <w:noProof/>
                <w:color w:val="000000"/>
                <w:highlight w:val="black"/>
              </w:rPr>
              <w:t>'''''''''''''''''</w:t>
            </w:r>
          </w:p>
        </w:tc>
      </w:tr>
      <w:tr w:rsidR="00EE5881" w:rsidRPr="00EB5379" w:rsidTr="0056195C">
        <w:tc>
          <w:tcPr>
            <w:tcW w:w="5000" w:type="pct"/>
            <w:gridSpan w:val="4"/>
            <w:shd w:val="clear" w:color="auto" w:fill="B8CCE4" w:themeFill="accent1" w:themeFillTint="66"/>
          </w:tcPr>
          <w:p w:rsidR="00EE5881" w:rsidRPr="00EB5379" w:rsidRDefault="00EE5881" w:rsidP="00EE5881">
            <w:pPr>
              <w:pStyle w:val="TableText0"/>
              <w:keepLines/>
              <w:widowControl w:val="0"/>
              <w:rPr>
                <w:b/>
              </w:rPr>
            </w:pPr>
            <w:r w:rsidRPr="00EB5379">
              <w:rPr>
                <w:b/>
              </w:rPr>
              <w:t>March 2020 pre-PBAC response</w:t>
            </w:r>
          </w:p>
        </w:tc>
      </w:tr>
      <w:tr w:rsidR="00EE5881" w:rsidRPr="00EB5379" w:rsidTr="0056195C">
        <w:tc>
          <w:tcPr>
            <w:tcW w:w="140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E5881" w:rsidRPr="00EB5379" w:rsidRDefault="00EE5881" w:rsidP="00EE5881">
            <w:pPr>
              <w:pStyle w:val="TableText0"/>
              <w:keepLines/>
              <w:widowControl w:val="0"/>
            </w:pPr>
            <w:r w:rsidRPr="00EB5379">
              <w:t>Costs</w:t>
            </w:r>
          </w:p>
        </w:tc>
        <w:tc>
          <w:tcPr>
            <w:tcW w:w="10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EE5881" w:rsidRPr="00EB5379" w:rsidRDefault="00EE5881" w:rsidP="00EE5881">
            <w:pPr>
              <w:pStyle w:val="TableText0"/>
              <w:keepLines/>
              <w:widowControl w:val="0"/>
              <w:jc w:val="center"/>
            </w:pPr>
            <w:r w:rsidRPr="00EB5379">
              <w:t>$</w:t>
            </w:r>
            <w:r w:rsidR="00DF10EB">
              <w:rPr>
                <w:noProof/>
                <w:color w:val="000000"/>
                <w:highlight w:val="black"/>
              </w:rPr>
              <w:t>'''''''''''''''</w:t>
            </w:r>
          </w:p>
        </w:tc>
        <w:tc>
          <w:tcPr>
            <w:tcW w:w="108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EE5881" w:rsidRPr="00EB5379" w:rsidRDefault="00EE5881" w:rsidP="00EE5881">
            <w:pPr>
              <w:pStyle w:val="TableText0"/>
              <w:keepLines/>
              <w:widowControl w:val="0"/>
              <w:jc w:val="center"/>
            </w:pPr>
            <w:r w:rsidRPr="00EB5379">
              <w:t>$14,211</w:t>
            </w:r>
          </w:p>
        </w:tc>
        <w:tc>
          <w:tcPr>
            <w:tcW w:w="143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E5881" w:rsidRPr="00EB5379" w:rsidRDefault="00EE5881" w:rsidP="00EE5881">
            <w:pPr>
              <w:pStyle w:val="TableText0"/>
              <w:keepLines/>
              <w:widowControl w:val="0"/>
              <w:jc w:val="center"/>
            </w:pPr>
            <w:r w:rsidRPr="00EB5379">
              <w:t>$</w:t>
            </w:r>
            <w:r w:rsidR="00DF10EB">
              <w:rPr>
                <w:noProof/>
                <w:color w:val="000000"/>
                <w:highlight w:val="black"/>
              </w:rPr>
              <w:t>'''''''''''''</w:t>
            </w:r>
          </w:p>
        </w:tc>
      </w:tr>
      <w:tr w:rsidR="00EE5881" w:rsidRPr="00EB5379" w:rsidTr="0056195C">
        <w:tc>
          <w:tcPr>
            <w:tcW w:w="140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E5881" w:rsidRPr="00EB5379" w:rsidRDefault="00EE5881" w:rsidP="00EE5881">
            <w:pPr>
              <w:pStyle w:val="TableText0"/>
              <w:keepLines/>
              <w:widowControl w:val="0"/>
            </w:pPr>
            <w:r w:rsidRPr="00EB5379">
              <w:t>L</w:t>
            </w:r>
            <w:r w:rsidR="001B3A39" w:rsidRPr="00EB5379">
              <w:t>Y</w:t>
            </w:r>
            <w:r w:rsidRPr="00EB5379">
              <w:t>s</w:t>
            </w:r>
          </w:p>
        </w:tc>
        <w:tc>
          <w:tcPr>
            <w:tcW w:w="10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EE5881" w:rsidRPr="00EB5379" w:rsidRDefault="00EE5881" w:rsidP="00EE5881">
            <w:pPr>
              <w:pStyle w:val="TableText0"/>
              <w:keepLines/>
              <w:widowControl w:val="0"/>
              <w:jc w:val="center"/>
            </w:pPr>
            <w:r w:rsidRPr="00A4158F">
              <w:t>10.191</w:t>
            </w:r>
          </w:p>
        </w:tc>
        <w:tc>
          <w:tcPr>
            <w:tcW w:w="108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EE5881" w:rsidRPr="00EB5379" w:rsidRDefault="00EE5881" w:rsidP="00EE5881">
            <w:pPr>
              <w:pStyle w:val="TableText0"/>
              <w:keepLines/>
              <w:widowControl w:val="0"/>
              <w:jc w:val="center"/>
            </w:pPr>
            <w:r w:rsidRPr="00A4158F">
              <w:t>10.117</w:t>
            </w:r>
          </w:p>
        </w:tc>
        <w:tc>
          <w:tcPr>
            <w:tcW w:w="143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E5881" w:rsidRPr="00EB5379" w:rsidRDefault="00EE5881" w:rsidP="00EE5881">
            <w:pPr>
              <w:pStyle w:val="TableText0"/>
              <w:keepLines/>
              <w:widowControl w:val="0"/>
              <w:jc w:val="center"/>
            </w:pPr>
            <w:r w:rsidRPr="00A4158F">
              <w:t>0.0747</w:t>
            </w:r>
          </w:p>
        </w:tc>
      </w:tr>
      <w:tr w:rsidR="00EE5881" w:rsidRPr="00EB5379" w:rsidTr="0056195C">
        <w:trPr>
          <w:trHeight w:val="33"/>
        </w:trPr>
        <w:tc>
          <w:tcPr>
            <w:tcW w:w="140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E5881" w:rsidRPr="00EB5379" w:rsidRDefault="00EE5881" w:rsidP="00EE5881">
            <w:pPr>
              <w:pStyle w:val="TableText0"/>
              <w:keepLines/>
              <w:widowControl w:val="0"/>
            </w:pPr>
            <w:r w:rsidRPr="00EB5379">
              <w:t>QALYs</w:t>
            </w:r>
          </w:p>
        </w:tc>
        <w:tc>
          <w:tcPr>
            <w:tcW w:w="10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EE5881" w:rsidRPr="00EB5379" w:rsidRDefault="00EE5881" w:rsidP="00EE5881">
            <w:pPr>
              <w:pStyle w:val="TableText0"/>
              <w:keepLines/>
              <w:widowControl w:val="0"/>
              <w:jc w:val="center"/>
            </w:pPr>
            <w:r w:rsidRPr="00A4158F">
              <w:t>7.996</w:t>
            </w:r>
          </w:p>
        </w:tc>
        <w:tc>
          <w:tcPr>
            <w:tcW w:w="108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EE5881" w:rsidRPr="00EB5379" w:rsidRDefault="00EE5881" w:rsidP="00EE5881">
            <w:pPr>
              <w:pStyle w:val="TableText0"/>
              <w:keepLines/>
              <w:widowControl w:val="0"/>
              <w:jc w:val="center"/>
            </w:pPr>
            <w:r w:rsidRPr="00A4158F">
              <w:t>7.920</w:t>
            </w:r>
          </w:p>
        </w:tc>
        <w:tc>
          <w:tcPr>
            <w:tcW w:w="143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E5881" w:rsidRPr="00EB5379" w:rsidRDefault="00EE5881" w:rsidP="00EE5881">
            <w:pPr>
              <w:pStyle w:val="TableText0"/>
              <w:keepLines/>
              <w:widowControl w:val="0"/>
              <w:jc w:val="center"/>
            </w:pPr>
            <w:r w:rsidRPr="00A4158F">
              <w:t>0.076</w:t>
            </w:r>
          </w:p>
        </w:tc>
      </w:tr>
      <w:tr w:rsidR="00EE5881" w:rsidRPr="00EB5379" w:rsidTr="0056195C">
        <w:tc>
          <w:tcPr>
            <w:tcW w:w="3565" w:type="pct"/>
            <w:gridSpan w:val="3"/>
            <w:shd w:val="clear" w:color="auto" w:fill="B8CCE4" w:themeFill="accent1" w:themeFillTint="66"/>
          </w:tcPr>
          <w:p w:rsidR="00EE5881" w:rsidRPr="00EB5379" w:rsidRDefault="00EE5881" w:rsidP="00EE5881">
            <w:pPr>
              <w:pStyle w:val="TableText0"/>
              <w:keepLines/>
              <w:widowControl w:val="0"/>
            </w:pPr>
            <w:r w:rsidRPr="00EB5379">
              <w:t>Incremental cost per QALY (Effective DPMQ $</w:t>
            </w:r>
            <w:r w:rsidR="00DF10EB">
              <w:rPr>
                <w:noProof/>
                <w:color w:val="000000"/>
                <w:highlight w:val="black"/>
              </w:rPr>
              <w:t>'''''''''''''</w:t>
            </w:r>
            <w:r w:rsidRPr="00EB5379">
              <w:t>)</w:t>
            </w:r>
          </w:p>
        </w:tc>
        <w:tc>
          <w:tcPr>
            <w:tcW w:w="1435" w:type="pct"/>
            <w:shd w:val="clear" w:color="auto" w:fill="B8CCE4" w:themeFill="accent1" w:themeFillTint="66"/>
            <w:vAlign w:val="center"/>
          </w:tcPr>
          <w:p w:rsidR="00EE5881" w:rsidRPr="00EB5379" w:rsidRDefault="00EE5881" w:rsidP="00EE5881">
            <w:pPr>
              <w:pStyle w:val="TableText0"/>
              <w:keepLines/>
              <w:widowControl w:val="0"/>
              <w:jc w:val="center"/>
            </w:pPr>
            <w:r w:rsidRPr="00EB5379">
              <w:t>$</w:t>
            </w:r>
            <w:r w:rsidR="00DF10EB">
              <w:rPr>
                <w:noProof/>
                <w:color w:val="000000"/>
                <w:highlight w:val="black"/>
              </w:rPr>
              <w:t>''''''''''''''''</w:t>
            </w:r>
          </w:p>
        </w:tc>
      </w:tr>
    </w:tbl>
    <w:p w:rsidR="00DE592A" w:rsidRPr="00EB5379" w:rsidRDefault="009E0332" w:rsidP="00EE5881">
      <w:pPr>
        <w:keepNext/>
        <w:keepLines/>
        <w:rPr>
          <w:rFonts w:ascii="Arial Narrow" w:hAnsi="Arial Narrow" w:cs="Arial"/>
          <w:snapToGrid w:val="0"/>
          <w:sz w:val="18"/>
          <w:szCs w:val="22"/>
          <w:lang w:eastAsia="en-US"/>
        </w:rPr>
      </w:pPr>
      <w:r w:rsidRPr="00EB5379">
        <w:rPr>
          <w:rFonts w:ascii="Arial Narrow" w:hAnsi="Arial Narrow" w:cs="Arial"/>
          <w:snapToGrid w:val="0"/>
          <w:sz w:val="18"/>
          <w:szCs w:val="22"/>
          <w:lang w:eastAsia="en-US"/>
        </w:rPr>
        <w:t>Source: Table</w:t>
      </w:r>
      <w:r w:rsidR="00DE592A" w:rsidRPr="00EB5379">
        <w:rPr>
          <w:rFonts w:ascii="Arial Narrow" w:hAnsi="Arial Narrow" w:cs="Arial"/>
          <w:snapToGrid w:val="0"/>
          <w:sz w:val="18"/>
          <w:szCs w:val="22"/>
          <w:lang w:eastAsia="en-US"/>
        </w:rPr>
        <w:t xml:space="preserve"> 4 of the </w:t>
      </w:r>
      <w:r w:rsidRPr="00EB5379">
        <w:rPr>
          <w:rFonts w:ascii="Arial Narrow" w:hAnsi="Arial Narrow" w:cs="Arial"/>
          <w:snapToGrid w:val="0"/>
          <w:sz w:val="18"/>
          <w:szCs w:val="22"/>
          <w:lang w:eastAsia="en-US"/>
        </w:rPr>
        <w:t>submission</w:t>
      </w:r>
      <w:r w:rsidR="00DE592A" w:rsidRPr="00EB5379">
        <w:rPr>
          <w:rFonts w:ascii="Arial Narrow" w:hAnsi="Arial Narrow" w:cs="Arial"/>
          <w:snapToGrid w:val="0"/>
          <w:sz w:val="18"/>
          <w:szCs w:val="22"/>
          <w:lang w:eastAsia="en-US"/>
        </w:rPr>
        <w:t>, Attachment 2_ Xarelto  Econ Eval Updated pre-PBAC base case_new price.xlsx</w:t>
      </w:r>
    </w:p>
    <w:p w:rsidR="009E0332" w:rsidRPr="00EB5379" w:rsidRDefault="009E0332" w:rsidP="00EE5881">
      <w:pPr>
        <w:pStyle w:val="TableFooter"/>
        <w:keepNext/>
        <w:keepLines/>
        <w:spacing w:after="240"/>
      </w:pPr>
      <w:r w:rsidRPr="00EB5379">
        <w:t>LY</w:t>
      </w:r>
      <w:r w:rsidR="00DE3CDA" w:rsidRPr="00EB5379">
        <w:t xml:space="preserve"> = life years; QALYs = </w:t>
      </w:r>
      <w:r w:rsidRPr="00EB5379">
        <w:t>quality-adjusted life years</w:t>
      </w:r>
    </w:p>
    <w:p w:rsidR="003851FA" w:rsidRPr="00A97ED1" w:rsidRDefault="00DE3CDA" w:rsidP="00137757">
      <w:pPr>
        <w:widowControl w:val="0"/>
        <w:numPr>
          <w:ilvl w:val="1"/>
          <w:numId w:val="1"/>
        </w:numPr>
        <w:spacing w:after="120"/>
        <w:rPr>
          <w:rFonts w:cstheme="minorHAnsi"/>
        </w:rPr>
      </w:pPr>
      <w:r w:rsidRPr="00EB5379">
        <w:rPr>
          <w:rFonts w:cstheme="minorHAnsi"/>
        </w:rPr>
        <w:t xml:space="preserve">The submission’s model estimated an ICER of </w:t>
      </w:r>
      <w:r w:rsidR="00A97ED1">
        <w:rPr>
          <w:rFonts w:cstheme="minorHAnsi"/>
        </w:rPr>
        <w:t>$15,000 - $45,000</w:t>
      </w:r>
      <w:r w:rsidRPr="00A97ED1">
        <w:rPr>
          <w:rFonts w:cstheme="minorHAnsi"/>
        </w:rPr>
        <w:t xml:space="preserve"> per QALY.</w:t>
      </w:r>
    </w:p>
    <w:p w:rsidR="003C2FB5" w:rsidRPr="00EB5379" w:rsidRDefault="00A55FEE" w:rsidP="00917D69">
      <w:pPr>
        <w:pStyle w:val="4-SubsectionHeading"/>
        <w:rPr>
          <w:lang w:eastAsia="en-US"/>
        </w:rPr>
      </w:pPr>
      <w:r w:rsidRPr="00EB5379">
        <w:rPr>
          <w:lang w:eastAsia="en-US"/>
        </w:rPr>
        <w:t>Drug cost/patient</w:t>
      </w:r>
      <w:r w:rsidR="00C245E4" w:rsidRPr="00EB5379">
        <w:rPr>
          <w:lang w:eastAsia="en-US"/>
        </w:rPr>
        <w:t xml:space="preserve"> </w:t>
      </w:r>
      <w:r w:rsidRPr="00EB5379">
        <w:rPr>
          <w:lang w:eastAsia="en-US"/>
        </w:rPr>
        <w:t>/year: $</w:t>
      </w:r>
      <w:r w:rsidR="00DF10EB">
        <w:rPr>
          <w:noProof/>
          <w:color w:val="000000"/>
          <w:highlight w:val="black"/>
          <w:lang w:eastAsia="en-US"/>
        </w:rPr>
        <w:t>''''''</w:t>
      </w:r>
    </w:p>
    <w:p w:rsidR="00A55FEE" w:rsidRPr="00EB5379" w:rsidRDefault="009D52F2" w:rsidP="00137757">
      <w:pPr>
        <w:widowControl w:val="0"/>
        <w:numPr>
          <w:ilvl w:val="1"/>
          <w:numId w:val="1"/>
        </w:numPr>
        <w:spacing w:after="120"/>
      </w:pPr>
      <w:r w:rsidRPr="00EB5379">
        <w:t>Based on the financial estimates, t</w:t>
      </w:r>
      <w:r w:rsidR="003064AF" w:rsidRPr="00EB5379">
        <w:t>he estimated drug cost</w:t>
      </w:r>
      <w:r w:rsidRPr="00EB5379">
        <w:t xml:space="preserve"> for rivaroxaban would be $</w:t>
      </w:r>
      <w:r w:rsidR="00DF10EB">
        <w:rPr>
          <w:noProof/>
          <w:color w:val="000000"/>
          <w:highlight w:val="black"/>
        </w:rPr>
        <w:t>''''''''</w:t>
      </w:r>
      <w:r w:rsidRPr="00EB5379">
        <w:t xml:space="preserve"> per </w:t>
      </w:r>
      <w:r w:rsidR="0052792D" w:rsidRPr="00EB5379">
        <w:t>patient</w:t>
      </w:r>
      <w:r w:rsidR="00CA48D9" w:rsidRPr="00EB5379">
        <w:t xml:space="preserve"> per year</w:t>
      </w:r>
      <w:r w:rsidR="003064AF" w:rsidRPr="00EB5379">
        <w:t xml:space="preserve">, based on </w:t>
      </w:r>
      <w:r w:rsidRPr="00EB5379">
        <w:t>the requested DPMQ of $</w:t>
      </w:r>
      <w:r w:rsidR="00DF10EB">
        <w:rPr>
          <w:noProof/>
          <w:color w:val="000000"/>
          <w:highlight w:val="black"/>
        </w:rPr>
        <w:t>''''''''''</w:t>
      </w:r>
      <w:r w:rsidRPr="00EB5379">
        <w:t xml:space="preserve"> and </w:t>
      </w:r>
      <w:r w:rsidR="003064AF" w:rsidRPr="00EB5379">
        <w:t>a</w:t>
      </w:r>
      <w:r w:rsidRPr="00EB5379">
        <w:t>n average of 8.8 scripts per patient per year</w:t>
      </w:r>
      <w:r w:rsidR="003064AF" w:rsidRPr="00EB5379">
        <w:t xml:space="preserve"> </w:t>
      </w:r>
      <w:r w:rsidRPr="00EB5379">
        <w:t>(assuming</w:t>
      </w:r>
      <w:r w:rsidR="00EF0B9B" w:rsidRPr="00EB5379">
        <w:t>:</w:t>
      </w:r>
      <w:r w:rsidRPr="00EB5379">
        <w:t xml:space="preserve"> 76% compliance</w:t>
      </w:r>
      <w:r w:rsidR="00EF0B9B" w:rsidRPr="00EB5379">
        <w:t>;</w:t>
      </w:r>
      <w:r w:rsidRPr="00EB5379">
        <w:t xml:space="preserve"> all patients who experience an event will cease rivaroxaban for 12 months</w:t>
      </w:r>
      <w:r w:rsidR="00EF0B9B" w:rsidRPr="00EB5379">
        <w:t>; and negligible incremental aspirin costs</w:t>
      </w:r>
      <w:r w:rsidRPr="00EB5379">
        <w:t>)</w:t>
      </w:r>
      <w:r w:rsidR="003064AF" w:rsidRPr="00EB5379">
        <w:t xml:space="preserve">. </w:t>
      </w:r>
      <w:r w:rsidRPr="00EB5379">
        <w:t>The drug cost per patient was lower in the economic model due to the persistence estimates applied.</w:t>
      </w:r>
    </w:p>
    <w:p w:rsidR="005A3173" w:rsidRPr="00EB5379" w:rsidRDefault="005A3173" w:rsidP="00917D69">
      <w:pPr>
        <w:pStyle w:val="4-SubsectionHeading"/>
        <w:rPr>
          <w:lang w:eastAsia="en-US"/>
        </w:rPr>
      </w:pPr>
      <w:r w:rsidRPr="00EB5379">
        <w:rPr>
          <w:lang w:eastAsia="en-US"/>
        </w:rPr>
        <w:t>Estimated PBS usage &amp; financial implications</w:t>
      </w:r>
    </w:p>
    <w:p w:rsidR="0091549C" w:rsidRPr="00EB5379" w:rsidRDefault="0091549C" w:rsidP="003851FA">
      <w:pPr>
        <w:pStyle w:val="3Bodytext"/>
      </w:pPr>
      <w:r w:rsidRPr="00EB5379">
        <w:t xml:space="preserve">The only changes </w:t>
      </w:r>
      <w:r w:rsidR="00E56041" w:rsidRPr="00EB5379">
        <w:t xml:space="preserve">to the financial estimates </w:t>
      </w:r>
      <w:r w:rsidR="000C61EC" w:rsidRPr="00EB5379">
        <w:t>compared with</w:t>
      </w:r>
      <w:r w:rsidRPr="00EB5379">
        <w:t xml:space="preserve"> the March 2020 pre-PBAC response were th</w:t>
      </w:r>
      <w:r w:rsidR="00325637" w:rsidRPr="00EB5379">
        <w:t xml:space="preserve">at the </w:t>
      </w:r>
      <w:r w:rsidRPr="00EB5379">
        <w:t>uptake rates and th</w:t>
      </w:r>
      <w:r w:rsidR="00325637" w:rsidRPr="00EB5379">
        <w:t>e proposed price of rivaroxaban were reduced.</w:t>
      </w:r>
    </w:p>
    <w:p w:rsidR="0091549C" w:rsidRPr="00EB5379" w:rsidRDefault="0091549C" w:rsidP="003851FA">
      <w:pPr>
        <w:pStyle w:val="3Bodytext"/>
      </w:pPr>
      <w:r w:rsidRPr="00EB5379">
        <w:t>The table below summarises the key inputs into the utilisation estimates.</w:t>
      </w:r>
      <w:r w:rsidR="005E1067" w:rsidRPr="00EB5379">
        <w:t xml:space="preserve"> </w:t>
      </w:r>
    </w:p>
    <w:p w:rsidR="005359F9" w:rsidRPr="00EB5379" w:rsidRDefault="005359F9" w:rsidP="0056195C">
      <w:pPr>
        <w:pStyle w:val="TableHeading0"/>
      </w:pPr>
      <w:r w:rsidRPr="00EB5379">
        <w:lastRenderedPageBreak/>
        <w:t xml:space="preserve">Table </w:t>
      </w:r>
      <w:r w:rsidR="001A7C84" w:rsidRPr="00EB5379">
        <w:t>5</w:t>
      </w:r>
      <w:r w:rsidRPr="00EB5379">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5814"/>
        <w:gridCol w:w="2074"/>
      </w:tblGrid>
      <w:tr w:rsidR="005359F9" w:rsidRPr="00EB5379" w:rsidTr="0056195C">
        <w:trPr>
          <w:tblHeader/>
        </w:trPr>
        <w:tc>
          <w:tcPr>
            <w:tcW w:w="626" w:type="pct"/>
            <w:shd w:val="clear" w:color="auto" w:fill="auto"/>
            <w:vAlign w:val="center"/>
          </w:tcPr>
          <w:p w:rsidR="005359F9" w:rsidRPr="00E075E9" w:rsidRDefault="005359F9" w:rsidP="00B438B9">
            <w:pPr>
              <w:pStyle w:val="Tableheadingrow"/>
              <w:rPr>
                <w:lang w:val="en-AU"/>
              </w:rPr>
            </w:pPr>
            <w:r w:rsidRPr="00E075E9">
              <w:rPr>
                <w:lang w:val="en-AU"/>
              </w:rPr>
              <w:t>Parameter</w:t>
            </w:r>
          </w:p>
        </w:tc>
        <w:tc>
          <w:tcPr>
            <w:tcW w:w="3224" w:type="pct"/>
            <w:shd w:val="clear" w:color="auto" w:fill="auto"/>
            <w:vAlign w:val="center"/>
          </w:tcPr>
          <w:p w:rsidR="005359F9" w:rsidRPr="00E075E9" w:rsidRDefault="005359F9" w:rsidP="00B438B9">
            <w:pPr>
              <w:pStyle w:val="Tableheadingrow"/>
              <w:rPr>
                <w:lang w:val="en-AU"/>
              </w:rPr>
            </w:pPr>
            <w:r w:rsidRPr="00E075E9">
              <w:rPr>
                <w:lang w:val="en-AU"/>
              </w:rPr>
              <w:t>Value applied and source</w:t>
            </w:r>
          </w:p>
        </w:tc>
        <w:tc>
          <w:tcPr>
            <w:tcW w:w="1150" w:type="pct"/>
            <w:shd w:val="clear" w:color="auto" w:fill="auto"/>
            <w:vAlign w:val="center"/>
          </w:tcPr>
          <w:p w:rsidR="005359F9" w:rsidRPr="00E075E9" w:rsidRDefault="005359F9" w:rsidP="00202DF4">
            <w:pPr>
              <w:pStyle w:val="Tableheadingrow"/>
              <w:rPr>
                <w:lang w:val="en-AU"/>
              </w:rPr>
            </w:pPr>
            <w:r w:rsidRPr="00E075E9">
              <w:rPr>
                <w:lang w:val="en-AU"/>
              </w:rPr>
              <w:t>C</w:t>
            </w:r>
            <w:r w:rsidR="00202DF4" w:rsidRPr="00E075E9">
              <w:rPr>
                <w:lang w:val="en-AU"/>
              </w:rPr>
              <w:t>ompared with previous submission</w:t>
            </w:r>
          </w:p>
        </w:tc>
      </w:tr>
      <w:tr w:rsidR="005359F9" w:rsidRPr="00EB5379" w:rsidTr="0056195C">
        <w:tc>
          <w:tcPr>
            <w:tcW w:w="626" w:type="pct"/>
            <w:shd w:val="clear" w:color="auto" w:fill="auto"/>
            <w:vAlign w:val="center"/>
          </w:tcPr>
          <w:p w:rsidR="005359F9" w:rsidRPr="00E075E9" w:rsidRDefault="005359F9" w:rsidP="00B438B9">
            <w:pPr>
              <w:pStyle w:val="TableText0"/>
            </w:pPr>
            <w:r w:rsidRPr="00E075E9">
              <w:t>Prevalent population</w:t>
            </w:r>
          </w:p>
        </w:tc>
        <w:tc>
          <w:tcPr>
            <w:tcW w:w="3224" w:type="pct"/>
            <w:shd w:val="clear" w:color="auto" w:fill="auto"/>
            <w:vAlign w:val="center"/>
          </w:tcPr>
          <w:p w:rsidR="005359F9" w:rsidRPr="00E075E9" w:rsidRDefault="005359F9" w:rsidP="00B438B9">
            <w:pPr>
              <w:pStyle w:val="TableText0"/>
            </w:pPr>
            <w:r w:rsidRPr="00E075E9">
              <w:t xml:space="preserve">Prevalence of 0.77% to 0.83% based on eligible patients in an analysis of hospital data from 2010 in Western Australia, extrapolated to Australian prevalence based on ABS population statistics, and extended to current year based on projected growth in prevalence of cardiovascular disease (Sarink 2016). </w:t>
            </w:r>
          </w:p>
        </w:tc>
        <w:tc>
          <w:tcPr>
            <w:tcW w:w="1150" w:type="pct"/>
            <w:shd w:val="clear" w:color="auto" w:fill="auto"/>
            <w:vAlign w:val="center"/>
          </w:tcPr>
          <w:p w:rsidR="005359F9" w:rsidRPr="00E075E9" w:rsidRDefault="00202DF4" w:rsidP="00B438B9">
            <w:pPr>
              <w:pStyle w:val="TableText0"/>
            </w:pPr>
            <w:r w:rsidRPr="00E075E9">
              <w:t>Unchanged</w:t>
            </w:r>
          </w:p>
        </w:tc>
      </w:tr>
      <w:tr w:rsidR="005359F9" w:rsidRPr="00EB5379" w:rsidTr="0056195C">
        <w:tc>
          <w:tcPr>
            <w:tcW w:w="626" w:type="pct"/>
            <w:shd w:val="clear" w:color="auto" w:fill="auto"/>
            <w:vAlign w:val="center"/>
          </w:tcPr>
          <w:p w:rsidR="005359F9" w:rsidRPr="00E075E9" w:rsidRDefault="005359F9" w:rsidP="00B438B9">
            <w:pPr>
              <w:pStyle w:val="TableText0"/>
            </w:pPr>
            <w:r w:rsidRPr="00E075E9">
              <w:t>Uptake rate</w:t>
            </w:r>
          </w:p>
        </w:tc>
        <w:tc>
          <w:tcPr>
            <w:tcW w:w="3224" w:type="pct"/>
            <w:shd w:val="clear" w:color="auto" w:fill="auto"/>
            <w:vAlign w:val="center"/>
          </w:tcPr>
          <w:p w:rsidR="005F52CE" w:rsidRPr="00E075E9" w:rsidRDefault="00202DF4" w:rsidP="005359F9">
            <w:pPr>
              <w:pStyle w:val="TableText0"/>
            </w:pPr>
            <w:r w:rsidRPr="00E075E9">
              <w:t xml:space="preserve">9.6% in Year 1, increasing to 20.4% in Year 3, </w:t>
            </w:r>
            <w:r w:rsidR="008672C8" w:rsidRPr="00E075E9">
              <w:t>and then</w:t>
            </w:r>
            <w:r w:rsidRPr="00E075E9">
              <w:t xml:space="preserve"> decreasing to 19.4% in Year 6.</w:t>
            </w:r>
            <w:r w:rsidR="005F52CE" w:rsidRPr="00E075E9">
              <w:t xml:space="preserve"> </w:t>
            </w:r>
          </w:p>
          <w:p w:rsidR="005359F9" w:rsidRPr="00E075E9" w:rsidRDefault="00436E38" w:rsidP="00436E38">
            <w:pPr>
              <w:pStyle w:val="TableText0"/>
            </w:pPr>
            <w:r w:rsidRPr="00E075E9">
              <w:t>To address concerns that it does not seem plausible for uptake rates to decline from Year 3 to Year 6, t</w:t>
            </w:r>
            <w:r w:rsidR="005F52CE" w:rsidRPr="00E075E9">
              <w:t xml:space="preserve">he pre-PBAC response </w:t>
            </w:r>
            <w:r w:rsidRPr="00E075E9">
              <w:t>proposed uptake rates that steadily increased from 9.6% in Year 1 to 30% in Year 6.</w:t>
            </w:r>
          </w:p>
        </w:tc>
        <w:tc>
          <w:tcPr>
            <w:tcW w:w="1150" w:type="pct"/>
            <w:shd w:val="clear" w:color="auto" w:fill="auto"/>
            <w:vAlign w:val="center"/>
          </w:tcPr>
          <w:p w:rsidR="005359F9" w:rsidRPr="00E075E9" w:rsidRDefault="005359F9" w:rsidP="00202DF4">
            <w:pPr>
              <w:pStyle w:val="TableText0"/>
            </w:pPr>
            <w:r w:rsidRPr="00E075E9">
              <w:t>Previous pre-PBAC response: 15% in Year 1 increasing to 40% in Year 6. Based on the lower limit of the 95% CI from the market research.</w:t>
            </w:r>
          </w:p>
        </w:tc>
      </w:tr>
      <w:tr w:rsidR="005359F9" w:rsidRPr="00EB5379" w:rsidTr="0056195C">
        <w:tc>
          <w:tcPr>
            <w:tcW w:w="626" w:type="pct"/>
            <w:shd w:val="clear" w:color="auto" w:fill="auto"/>
            <w:vAlign w:val="center"/>
          </w:tcPr>
          <w:p w:rsidR="005359F9" w:rsidRPr="00E075E9" w:rsidRDefault="005359F9" w:rsidP="00B438B9">
            <w:pPr>
              <w:pStyle w:val="TableText0"/>
            </w:pPr>
            <w:r w:rsidRPr="00E075E9">
              <w:t>Compliance rate</w:t>
            </w:r>
          </w:p>
        </w:tc>
        <w:tc>
          <w:tcPr>
            <w:tcW w:w="3224" w:type="pct"/>
            <w:shd w:val="clear" w:color="auto" w:fill="auto"/>
            <w:vAlign w:val="center"/>
          </w:tcPr>
          <w:p w:rsidR="00202DF4" w:rsidRPr="00E075E9" w:rsidRDefault="00202DF4" w:rsidP="00325637">
            <w:pPr>
              <w:pStyle w:val="TableText0"/>
            </w:pPr>
            <w:r w:rsidRPr="00E075E9">
              <w:t>76.4% compliance (9.3 scripts per patient per year</w:t>
            </w:r>
            <w:r w:rsidR="00325637" w:rsidRPr="00E075E9">
              <w:t>)</w:t>
            </w:r>
            <w:r w:rsidRPr="00EB5379">
              <w:t xml:space="preserve"> </w:t>
            </w:r>
            <w:r w:rsidRPr="00E075E9">
              <w:t>based on 10% sample data for rivaroxaban in the non-valvular atrial fibrillation indication</w:t>
            </w:r>
          </w:p>
        </w:tc>
        <w:tc>
          <w:tcPr>
            <w:tcW w:w="1150" w:type="pct"/>
            <w:shd w:val="clear" w:color="auto" w:fill="auto"/>
            <w:vAlign w:val="center"/>
          </w:tcPr>
          <w:p w:rsidR="005359F9" w:rsidRPr="00E075E9" w:rsidRDefault="00202DF4" w:rsidP="00B438B9">
            <w:pPr>
              <w:pStyle w:val="TableText0"/>
            </w:pPr>
            <w:r w:rsidRPr="00E075E9">
              <w:t>Unchanged from previous pre-PBAC response.</w:t>
            </w:r>
          </w:p>
        </w:tc>
      </w:tr>
      <w:tr w:rsidR="00EF0B9B" w:rsidRPr="00EB5379" w:rsidTr="0056195C">
        <w:tc>
          <w:tcPr>
            <w:tcW w:w="626" w:type="pct"/>
            <w:shd w:val="clear" w:color="auto" w:fill="auto"/>
            <w:vAlign w:val="center"/>
          </w:tcPr>
          <w:p w:rsidR="00EF0B9B" w:rsidRPr="00E075E9" w:rsidRDefault="00836633" w:rsidP="00B438B9">
            <w:pPr>
              <w:pStyle w:val="TableText0"/>
            </w:pPr>
            <w:r w:rsidRPr="00E075E9">
              <w:t>Treatment interruptions</w:t>
            </w:r>
          </w:p>
        </w:tc>
        <w:tc>
          <w:tcPr>
            <w:tcW w:w="3224" w:type="pct"/>
            <w:shd w:val="clear" w:color="auto" w:fill="auto"/>
            <w:vAlign w:val="center"/>
          </w:tcPr>
          <w:p w:rsidR="00325637" w:rsidRPr="00EB5379" w:rsidRDefault="00325637" w:rsidP="00325637">
            <w:pPr>
              <w:pStyle w:val="TableText0"/>
            </w:pPr>
            <w:r w:rsidRPr="00E075E9">
              <w:t>P</w:t>
            </w:r>
            <w:r w:rsidRPr="00EB5379">
              <w:t xml:space="preserve">atients were assumed to cease rivaroxaban for 12 months if they have an event (based on event rates from the economic model). </w:t>
            </w:r>
          </w:p>
          <w:p w:rsidR="00EF0B9B" w:rsidRPr="00E075E9" w:rsidRDefault="00325637" w:rsidP="00325637">
            <w:pPr>
              <w:pStyle w:val="TableText0"/>
            </w:pPr>
            <w:r w:rsidRPr="00EB5379">
              <w:t xml:space="preserve">This </w:t>
            </w:r>
            <w:r w:rsidR="00836633" w:rsidRPr="00E075E9">
              <w:t xml:space="preserve">reduced </w:t>
            </w:r>
            <w:r w:rsidR="000C61EC" w:rsidRPr="00E075E9">
              <w:t>the average scripts p</w:t>
            </w:r>
            <w:r w:rsidR="00836633" w:rsidRPr="00E075E9">
              <w:t>e</w:t>
            </w:r>
            <w:r w:rsidR="000C61EC" w:rsidRPr="00E075E9">
              <w:t>r</w:t>
            </w:r>
            <w:r w:rsidR="00836633" w:rsidRPr="00E075E9">
              <w:t xml:space="preserve"> patient per year from 9.3 to 8.8 in Year 1.</w:t>
            </w:r>
          </w:p>
        </w:tc>
        <w:tc>
          <w:tcPr>
            <w:tcW w:w="1150" w:type="pct"/>
            <w:shd w:val="clear" w:color="auto" w:fill="auto"/>
            <w:vAlign w:val="center"/>
          </w:tcPr>
          <w:p w:rsidR="00EF0B9B" w:rsidRPr="00E075E9" w:rsidRDefault="00836633" w:rsidP="00B438B9">
            <w:pPr>
              <w:pStyle w:val="TableText0"/>
            </w:pPr>
            <w:r w:rsidRPr="00E075E9">
              <w:t>Unchanged from previous pre-PBAC response</w:t>
            </w:r>
          </w:p>
        </w:tc>
      </w:tr>
    </w:tbl>
    <w:p w:rsidR="005359F9" w:rsidRPr="00EB5379" w:rsidRDefault="005359F9" w:rsidP="005359F9">
      <w:pPr>
        <w:pStyle w:val="TableFigureFooter"/>
      </w:pPr>
      <w:r w:rsidRPr="00EB5379">
        <w:t xml:space="preserve">Source: Table </w:t>
      </w:r>
      <w:r w:rsidR="00953467" w:rsidRPr="00EB5379">
        <w:t xml:space="preserve">18, rivaroxaban </w:t>
      </w:r>
      <w:r w:rsidR="000D3B77">
        <w:t>PSD</w:t>
      </w:r>
      <w:r w:rsidR="00953467" w:rsidRPr="00EB5379">
        <w:t>, March 2020; and Attachment 3_ Xarelto (rivaroxaban) Utilisation and Cost – revised.xlxs</w:t>
      </w:r>
    </w:p>
    <w:p w:rsidR="005359F9" w:rsidRPr="00EB5379" w:rsidRDefault="005359F9" w:rsidP="00946AD0">
      <w:pPr>
        <w:pStyle w:val="TableFigureFooter"/>
        <w:spacing w:after="240"/>
      </w:pPr>
      <w:r w:rsidRPr="00EB5379">
        <w:t>ABS, Australian Bureau of Statistics.</w:t>
      </w:r>
    </w:p>
    <w:p w:rsidR="00436E38" w:rsidRPr="00EB5379" w:rsidRDefault="00436E38" w:rsidP="00436E38">
      <w:pPr>
        <w:pStyle w:val="3Bodytext"/>
      </w:pPr>
      <w:r w:rsidRPr="00EB5379">
        <w:t xml:space="preserve">The previous submission (March 2020 pre-PBAC response) assumed uptake rates of 15% in Year 1 increasing to 40% in Year 6 and, in March 2020, the PBAC considered that it ‘would be more reasonable to assume uptake rates of 15 to 30% over six years’ (paragraph 7.12, rivaroxaban </w:t>
      </w:r>
      <w:r w:rsidR="000D3B77">
        <w:t>PSD</w:t>
      </w:r>
      <w:r w:rsidRPr="00EB5379">
        <w:t>, March 2020). To address this, the submission estimated uptake rates of 9.6% in Year 1 increasing to 20.4% in Year 3 then decreasing to 19.4% in Year 6.</w:t>
      </w:r>
    </w:p>
    <w:p w:rsidR="00436E38" w:rsidRPr="00EB5379" w:rsidRDefault="00436E38" w:rsidP="002C1AC8">
      <w:pPr>
        <w:pStyle w:val="3Bodytext"/>
      </w:pPr>
      <w:r w:rsidRPr="00EB5379">
        <w:t xml:space="preserve">The submission stated that it expected that the Year 3 cost to the PBS/RPBS of </w:t>
      </w:r>
      <w:r w:rsidR="00A97ED1">
        <w:t>$10 - $20</w:t>
      </w:r>
      <w:r w:rsidRPr="00EB5379">
        <w:t xml:space="preserve"> million would be the peak PBS/RPBS cost, due the expected loss of exclusivity in 2023 and </w:t>
      </w:r>
      <w:r w:rsidR="008C3379" w:rsidRPr="00EB5379">
        <w:t xml:space="preserve">the </w:t>
      </w:r>
      <w:r w:rsidRPr="00EB5379">
        <w:t xml:space="preserve">anticipated statutory F2 25% price reduction. </w:t>
      </w:r>
      <w:r w:rsidR="008C3379" w:rsidRPr="00EB5379">
        <w:t>T</w:t>
      </w:r>
      <w:r w:rsidRPr="00EB5379">
        <w:t xml:space="preserve">he submission (p.3) proposed to maintain the Commonwealth payment stable for Years 3 to 6, </w:t>
      </w:r>
      <w:r w:rsidR="008C3379" w:rsidRPr="00EB5379">
        <w:t xml:space="preserve">by reducing the </w:t>
      </w:r>
      <w:r w:rsidRPr="00EB5379">
        <w:t xml:space="preserve">uptake rates </w:t>
      </w:r>
      <w:r w:rsidR="008C3379" w:rsidRPr="00EB5379">
        <w:t>from a peak of 20.4% in Year 3</w:t>
      </w:r>
      <w:r w:rsidRPr="00EB5379">
        <w:t xml:space="preserve"> to 20.0% </w:t>
      </w:r>
      <w:r w:rsidR="008C3379" w:rsidRPr="00EB5379">
        <w:t>Year 4</w:t>
      </w:r>
      <w:r w:rsidRPr="00EB5379">
        <w:t>,</w:t>
      </w:r>
      <w:r w:rsidR="008C3379" w:rsidRPr="00EB5379">
        <w:t xml:space="preserve"> 19.7% in Year 5 </w:t>
      </w:r>
      <w:r w:rsidRPr="00EB5379">
        <w:t xml:space="preserve">and 19.4% </w:t>
      </w:r>
      <w:r w:rsidR="008C3379" w:rsidRPr="00EB5379">
        <w:t xml:space="preserve">in Year 6. </w:t>
      </w:r>
      <w:r w:rsidR="001A7C84" w:rsidRPr="00EB5379">
        <w:t>As</w:t>
      </w:r>
      <w:r w:rsidR="0056568F" w:rsidRPr="00EB5379">
        <w:t xml:space="preserve"> </w:t>
      </w:r>
      <w:r w:rsidRPr="00EB5379">
        <w:t xml:space="preserve">it </w:t>
      </w:r>
      <w:r w:rsidR="00A35DB0">
        <w:t>would have been implausible</w:t>
      </w:r>
      <w:r w:rsidR="001A7C84" w:rsidRPr="00EB5379">
        <w:t xml:space="preserve"> </w:t>
      </w:r>
      <w:r w:rsidRPr="00EB5379">
        <w:t>for uptake to decline from Year 3</w:t>
      </w:r>
      <w:r w:rsidR="00897C58" w:rsidRPr="00EB5379">
        <w:t xml:space="preserve"> to Year 6, </w:t>
      </w:r>
      <w:r w:rsidRPr="00EB5379">
        <w:t xml:space="preserve">the pre-PBAC response </w:t>
      </w:r>
      <w:r w:rsidR="003D032D" w:rsidRPr="00EB5379">
        <w:t xml:space="preserve">provided revised uptake rates which </w:t>
      </w:r>
      <w:r w:rsidRPr="00EB5379">
        <w:t>assumed a steady increase in uptake from 9.6% in Year 1 to 30% by Year 6</w:t>
      </w:r>
      <w:r w:rsidR="00897C58" w:rsidRPr="00EB5379">
        <w:t xml:space="preserve"> in order to derive more accurate financial estimates</w:t>
      </w:r>
      <w:r w:rsidRPr="00EB5379">
        <w:t xml:space="preserve">. The pre-PBAC response proposed a risk sharing arrangement (RSA) that would cap Commonwealth expenditure at </w:t>
      </w:r>
      <w:r w:rsidR="00DF10EB">
        <w:rPr>
          <w:noProof/>
          <w:color w:val="000000"/>
          <w:highlight w:val="black"/>
        </w:rPr>
        <w:t>''''''' '''''''' ''''''' ''''''''''''</w:t>
      </w:r>
      <w:r w:rsidRPr="00EB5379">
        <w:t xml:space="preserve"> from Year 3 onwards (noting that this is lower than estimated expenditure).</w:t>
      </w:r>
    </w:p>
    <w:p w:rsidR="00E078D9" w:rsidRPr="00EB5379" w:rsidRDefault="00C00DA7" w:rsidP="003851FA">
      <w:pPr>
        <w:pStyle w:val="3Bodytext"/>
      </w:pPr>
      <w:r w:rsidRPr="00EB5379">
        <w:t>Th</w:t>
      </w:r>
      <w:r w:rsidR="0091549C" w:rsidRPr="00EB5379">
        <w:t xml:space="preserve">e estimated cost to the PBS/RPBS </w:t>
      </w:r>
      <w:r w:rsidRPr="00EB5379">
        <w:t xml:space="preserve">is summarised in the table below. </w:t>
      </w:r>
    </w:p>
    <w:p w:rsidR="00C7409E" w:rsidRPr="00EB5379" w:rsidRDefault="00C7409E" w:rsidP="00470B9B">
      <w:pPr>
        <w:pStyle w:val="TableHeading0"/>
        <w:spacing w:after="0"/>
      </w:pPr>
      <w:r w:rsidRPr="00EB5379">
        <w:rPr>
          <w:rStyle w:val="CommentReference"/>
          <w:sz w:val="20"/>
          <w:szCs w:val="22"/>
        </w:rPr>
        <w:lastRenderedPageBreak/>
        <w:t>Table</w:t>
      </w:r>
      <w:r w:rsidR="00EE31A2" w:rsidRPr="00EB5379">
        <w:rPr>
          <w:rFonts w:eastAsiaTheme="majorEastAsia"/>
        </w:rPr>
        <w:t xml:space="preserve"> </w:t>
      </w:r>
      <w:r w:rsidR="001A7C84" w:rsidRPr="00EB5379">
        <w:rPr>
          <w:rFonts w:eastAsiaTheme="majorEastAsia"/>
        </w:rPr>
        <w:t>6</w:t>
      </w:r>
      <w:r w:rsidR="00EE31A2" w:rsidRPr="00EB5379">
        <w:rPr>
          <w:rFonts w:eastAsiaTheme="majorEastAsia"/>
        </w:rPr>
        <w:t xml:space="preserve">: </w:t>
      </w:r>
      <w:r w:rsidRPr="00EB5379">
        <w:rPr>
          <w:rStyle w:val="CommentReference"/>
          <w:sz w:val="20"/>
          <w:szCs w:val="22"/>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0"/>
        <w:gridCol w:w="1166"/>
        <w:gridCol w:w="1167"/>
        <w:gridCol w:w="1167"/>
        <w:gridCol w:w="1167"/>
        <w:gridCol w:w="1167"/>
        <w:gridCol w:w="1172"/>
      </w:tblGrid>
      <w:tr w:rsidR="00C7409E" w:rsidRPr="00EB5379" w:rsidTr="0056568F">
        <w:trPr>
          <w:tblHeader/>
        </w:trPr>
        <w:tc>
          <w:tcPr>
            <w:tcW w:w="1115" w:type="pct"/>
            <w:shd w:val="clear" w:color="auto" w:fill="auto"/>
            <w:vAlign w:val="center"/>
          </w:tcPr>
          <w:p w:rsidR="00C7409E" w:rsidRPr="00EB5379" w:rsidRDefault="00C7409E" w:rsidP="00F37ECA">
            <w:pPr>
              <w:pStyle w:val="TableText0"/>
              <w:rPr>
                <w:szCs w:val="20"/>
              </w:rPr>
            </w:pPr>
          </w:p>
        </w:tc>
        <w:tc>
          <w:tcPr>
            <w:tcW w:w="647" w:type="pct"/>
            <w:shd w:val="clear" w:color="auto" w:fill="auto"/>
            <w:vAlign w:val="center"/>
          </w:tcPr>
          <w:p w:rsidR="00C7409E" w:rsidRPr="00EB5379" w:rsidRDefault="00C7409E" w:rsidP="001F452F">
            <w:pPr>
              <w:pStyle w:val="TableText0"/>
              <w:jc w:val="center"/>
              <w:rPr>
                <w:b/>
                <w:szCs w:val="20"/>
              </w:rPr>
            </w:pPr>
            <w:r w:rsidRPr="00EB5379">
              <w:rPr>
                <w:b/>
                <w:szCs w:val="20"/>
              </w:rPr>
              <w:t>Year 1</w:t>
            </w:r>
          </w:p>
        </w:tc>
        <w:tc>
          <w:tcPr>
            <w:tcW w:w="647" w:type="pct"/>
            <w:shd w:val="clear" w:color="auto" w:fill="auto"/>
            <w:vAlign w:val="center"/>
          </w:tcPr>
          <w:p w:rsidR="00C7409E" w:rsidRPr="00EB5379" w:rsidRDefault="00C7409E" w:rsidP="001F452F">
            <w:pPr>
              <w:pStyle w:val="TableText0"/>
              <w:jc w:val="center"/>
              <w:rPr>
                <w:b/>
                <w:szCs w:val="20"/>
              </w:rPr>
            </w:pPr>
            <w:r w:rsidRPr="00EB5379">
              <w:rPr>
                <w:b/>
                <w:szCs w:val="20"/>
              </w:rPr>
              <w:t>Year 2</w:t>
            </w:r>
          </w:p>
        </w:tc>
        <w:tc>
          <w:tcPr>
            <w:tcW w:w="647" w:type="pct"/>
            <w:shd w:val="clear" w:color="auto" w:fill="auto"/>
            <w:vAlign w:val="center"/>
          </w:tcPr>
          <w:p w:rsidR="00C7409E" w:rsidRPr="00EB5379" w:rsidRDefault="00C7409E" w:rsidP="001F452F">
            <w:pPr>
              <w:pStyle w:val="TableText0"/>
              <w:jc w:val="center"/>
              <w:rPr>
                <w:b/>
                <w:szCs w:val="20"/>
              </w:rPr>
            </w:pPr>
            <w:r w:rsidRPr="00EB5379">
              <w:rPr>
                <w:b/>
                <w:szCs w:val="20"/>
              </w:rPr>
              <w:t>Year 3</w:t>
            </w:r>
          </w:p>
        </w:tc>
        <w:tc>
          <w:tcPr>
            <w:tcW w:w="647" w:type="pct"/>
            <w:shd w:val="clear" w:color="auto" w:fill="auto"/>
            <w:vAlign w:val="center"/>
          </w:tcPr>
          <w:p w:rsidR="00C7409E" w:rsidRPr="00EB5379" w:rsidRDefault="00C7409E" w:rsidP="001F452F">
            <w:pPr>
              <w:pStyle w:val="TableText0"/>
              <w:jc w:val="center"/>
              <w:rPr>
                <w:b/>
                <w:szCs w:val="20"/>
              </w:rPr>
            </w:pPr>
            <w:r w:rsidRPr="00EB5379">
              <w:rPr>
                <w:b/>
                <w:szCs w:val="20"/>
              </w:rPr>
              <w:t>Year 4</w:t>
            </w:r>
          </w:p>
        </w:tc>
        <w:tc>
          <w:tcPr>
            <w:tcW w:w="647" w:type="pct"/>
            <w:shd w:val="clear" w:color="auto" w:fill="auto"/>
            <w:vAlign w:val="center"/>
          </w:tcPr>
          <w:p w:rsidR="00C7409E" w:rsidRPr="00EB5379" w:rsidRDefault="00C7409E" w:rsidP="001F452F">
            <w:pPr>
              <w:pStyle w:val="TableText0"/>
              <w:jc w:val="center"/>
              <w:rPr>
                <w:b/>
                <w:szCs w:val="20"/>
              </w:rPr>
            </w:pPr>
            <w:r w:rsidRPr="00EB5379">
              <w:rPr>
                <w:b/>
                <w:szCs w:val="20"/>
              </w:rPr>
              <w:t>Year 5</w:t>
            </w:r>
          </w:p>
        </w:tc>
        <w:tc>
          <w:tcPr>
            <w:tcW w:w="650" w:type="pct"/>
          </w:tcPr>
          <w:p w:rsidR="00C7409E" w:rsidRPr="00EB5379" w:rsidRDefault="00C7409E" w:rsidP="001F452F">
            <w:pPr>
              <w:pStyle w:val="TableText0"/>
              <w:jc w:val="center"/>
              <w:rPr>
                <w:b/>
                <w:szCs w:val="20"/>
              </w:rPr>
            </w:pPr>
            <w:r w:rsidRPr="00EB5379">
              <w:rPr>
                <w:b/>
                <w:szCs w:val="20"/>
              </w:rPr>
              <w:t>Year 6</w:t>
            </w:r>
          </w:p>
        </w:tc>
      </w:tr>
      <w:tr w:rsidR="001F452F" w:rsidRPr="00EB5379" w:rsidTr="0056568F">
        <w:trPr>
          <w:tblHeader/>
        </w:trPr>
        <w:tc>
          <w:tcPr>
            <w:tcW w:w="1115" w:type="pct"/>
          </w:tcPr>
          <w:p w:rsidR="001F452F" w:rsidRPr="00EB5379" w:rsidRDefault="001F452F" w:rsidP="001F452F">
            <w:pPr>
              <w:pStyle w:val="TableText0"/>
              <w:rPr>
                <w:szCs w:val="20"/>
              </w:rPr>
            </w:pPr>
            <w:r w:rsidRPr="00EB5379">
              <w:rPr>
                <w:szCs w:val="20"/>
              </w:rPr>
              <w:t>Australian population</w:t>
            </w:r>
          </w:p>
        </w:tc>
        <w:tc>
          <w:tcPr>
            <w:tcW w:w="647" w:type="pct"/>
          </w:tcPr>
          <w:p w:rsidR="001F452F" w:rsidRPr="00EB5379" w:rsidRDefault="001F452F" w:rsidP="001F452F">
            <w:pPr>
              <w:pStyle w:val="TableText0"/>
              <w:jc w:val="center"/>
              <w:rPr>
                <w:b/>
                <w:szCs w:val="20"/>
              </w:rPr>
            </w:pPr>
            <w:r w:rsidRPr="00EB5379">
              <w:rPr>
                <w:szCs w:val="20"/>
              </w:rPr>
              <w:t>25,873,480</w:t>
            </w:r>
          </w:p>
        </w:tc>
        <w:tc>
          <w:tcPr>
            <w:tcW w:w="647" w:type="pct"/>
          </w:tcPr>
          <w:p w:rsidR="001F452F" w:rsidRPr="00EB5379" w:rsidRDefault="001F452F" w:rsidP="001F452F">
            <w:pPr>
              <w:pStyle w:val="TableText0"/>
              <w:jc w:val="center"/>
              <w:rPr>
                <w:b/>
                <w:szCs w:val="20"/>
              </w:rPr>
            </w:pPr>
            <w:r w:rsidRPr="00EB5379">
              <w:rPr>
                <w:szCs w:val="20"/>
              </w:rPr>
              <w:t>26,301,274</w:t>
            </w:r>
          </w:p>
        </w:tc>
        <w:tc>
          <w:tcPr>
            <w:tcW w:w="647" w:type="pct"/>
          </w:tcPr>
          <w:p w:rsidR="001F452F" w:rsidRPr="00EB5379" w:rsidRDefault="001F452F" w:rsidP="001F452F">
            <w:pPr>
              <w:pStyle w:val="TableText0"/>
              <w:jc w:val="center"/>
              <w:rPr>
                <w:b/>
                <w:szCs w:val="20"/>
              </w:rPr>
            </w:pPr>
            <w:r w:rsidRPr="00EB5379">
              <w:rPr>
                <w:szCs w:val="20"/>
              </w:rPr>
              <w:t>26,727,025</w:t>
            </w:r>
          </w:p>
        </w:tc>
        <w:tc>
          <w:tcPr>
            <w:tcW w:w="647" w:type="pct"/>
          </w:tcPr>
          <w:p w:rsidR="001F452F" w:rsidRPr="00EB5379" w:rsidRDefault="001F452F" w:rsidP="001F452F">
            <w:pPr>
              <w:pStyle w:val="TableText0"/>
              <w:jc w:val="center"/>
              <w:rPr>
                <w:b/>
                <w:szCs w:val="20"/>
              </w:rPr>
            </w:pPr>
            <w:r w:rsidRPr="00EB5379">
              <w:rPr>
                <w:szCs w:val="20"/>
              </w:rPr>
              <w:t>27,147,199</w:t>
            </w:r>
          </w:p>
        </w:tc>
        <w:tc>
          <w:tcPr>
            <w:tcW w:w="647" w:type="pct"/>
          </w:tcPr>
          <w:p w:rsidR="001F452F" w:rsidRPr="00EB5379" w:rsidRDefault="001F452F" w:rsidP="001F452F">
            <w:pPr>
              <w:pStyle w:val="TableText0"/>
              <w:jc w:val="center"/>
              <w:rPr>
                <w:b/>
                <w:szCs w:val="20"/>
              </w:rPr>
            </w:pPr>
            <w:r w:rsidRPr="00EB5379">
              <w:rPr>
                <w:szCs w:val="20"/>
              </w:rPr>
              <w:t>27,562,195</w:t>
            </w:r>
          </w:p>
        </w:tc>
        <w:tc>
          <w:tcPr>
            <w:tcW w:w="650" w:type="pct"/>
          </w:tcPr>
          <w:p w:rsidR="001F452F" w:rsidRPr="00EB5379" w:rsidRDefault="001F452F" w:rsidP="001F452F">
            <w:pPr>
              <w:pStyle w:val="TableText0"/>
              <w:jc w:val="center"/>
              <w:rPr>
                <w:b/>
                <w:szCs w:val="20"/>
              </w:rPr>
            </w:pPr>
            <w:r w:rsidRPr="00EB5379">
              <w:rPr>
                <w:szCs w:val="20"/>
              </w:rPr>
              <w:t>27,970,435</w:t>
            </w:r>
          </w:p>
        </w:tc>
      </w:tr>
      <w:tr w:rsidR="001F452F" w:rsidRPr="00EB5379" w:rsidTr="0056568F">
        <w:trPr>
          <w:tblHeader/>
        </w:trPr>
        <w:tc>
          <w:tcPr>
            <w:tcW w:w="1115" w:type="pct"/>
          </w:tcPr>
          <w:p w:rsidR="001F452F" w:rsidRPr="00EB5379" w:rsidRDefault="001F452F" w:rsidP="001F452F">
            <w:pPr>
              <w:pStyle w:val="TableText0"/>
              <w:rPr>
                <w:szCs w:val="20"/>
              </w:rPr>
            </w:pPr>
            <w:r w:rsidRPr="00EB5379">
              <w:rPr>
                <w:szCs w:val="20"/>
              </w:rPr>
              <w:t>Prevalence rate</w:t>
            </w:r>
          </w:p>
        </w:tc>
        <w:tc>
          <w:tcPr>
            <w:tcW w:w="647" w:type="pct"/>
            <w:vAlign w:val="center"/>
          </w:tcPr>
          <w:p w:rsidR="001F452F" w:rsidRPr="00EB5379" w:rsidRDefault="00DF10EB" w:rsidP="001F452F">
            <w:pPr>
              <w:pStyle w:val="TableText0"/>
              <w:jc w:val="center"/>
              <w:rPr>
                <w:b/>
                <w:szCs w:val="20"/>
              </w:rPr>
            </w:pPr>
            <w:r>
              <w:rPr>
                <w:noProof/>
                <w:color w:val="000000"/>
                <w:szCs w:val="20"/>
                <w:highlight w:val="black"/>
              </w:rPr>
              <w:t>'''''''''''</w:t>
            </w:r>
            <w:r w:rsidR="001F452F" w:rsidRPr="00EB5379">
              <w:rPr>
                <w:szCs w:val="20"/>
              </w:rPr>
              <w:t>%</w:t>
            </w:r>
          </w:p>
        </w:tc>
        <w:tc>
          <w:tcPr>
            <w:tcW w:w="647" w:type="pct"/>
            <w:vAlign w:val="center"/>
          </w:tcPr>
          <w:p w:rsidR="001F452F" w:rsidRPr="00EB5379" w:rsidRDefault="00DF10EB" w:rsidP="001F452F">
            <w:pPr>
              <w:pStyle w:val="TableText0"/>
              <w:jc w:val="center"/>
              <w:rPr>
                <w:b/>
                <w:szCs w:val="20"/>
              </w:rPr>
            </w:pPr>
            <w:r>
              <w:rPr>
                <w:noProof/>
                <w:color w:val="000000"/>
                <w:szCs w:val="20"/>
                <w:highlight w:val="black"/>
              </w:rPr>
              <w:t>'''''''''''</w:t>
            </w:r>
            <w:r w:rsidR="001F452F" w:rsidRPr="00EB5379">
              <w:rPr>
                <w:szCs w:val="20"/>
              </w:rPr>
              <w:t>%</w:t>
            </w:r>
          </w:p>
        </w:tc>
        <w:tc>
          <w:tcPr>
            <w:tcW w:w="647" w:type="pct"/>
            <w:vAlign w:val="center"/>
          </w:tcPr>
          <w:p w:rsidR="001F452F" w:rsidRPr="00EB5379" w:rsidRDefault="00DF10EB" w:rsidP="001F452F">
            <w:pPr>
              <w:pStyle w:val="TableText0"/>
              <w:jc w:val="center"/>
              <w:rPr>
                <w:b/>
                <w:szCs w:val="20"/>
              </w:rPr>
            </w:pPr>
            <w:r>
              <w:rPr>
                <w:noProof/>
                <w:color w:val="000000"/>
                <w:szCs w:val="20"/>
                <w:highlight w:val="black"/>
              </w:rPr>
              <w:t>''''''''''</w:t>
            </w:r>
            <w:r w:rsidR="001F452F" w:rsidRPr="00EB5379">
              <w:rPr>
                <w:szCs w:val="20"/>
              </w:rPr>
              <w:t>%</w:t>
            </w:r>
          </w:p>
        </w:tc>
        <w:tc>
          <w:tcPr>
            <w:tcW w:w="647" w:type="pct"/>
            <w:vAlign w:val="center"/>
          </w:tcPr>
          <w:p w:rsidR="001F452F" w:rsidRPr="00EB5379" w:rsidRDefault="00DF10EB" w:rsidP="001F452F">
            <w:pPr>
              <w:pStyle w:val="TableText0"/>
              <w:jc w:val="center"/>
              <w:rPr>
                <w:b/>
                <w:szCs w:val="20"/>
              </w:rPr>
            </w:pPr>
            <w:r>
              <w:rPr>
                <w:noProof/>
                <w:color w:val="000000"/>
                <w:szCs w:val="20"/>
                <w:highlight w:val="black"/>
              </w:rPr>
              <w:t>'''''''''''</w:t>
            </w:r>
            <w:r w:rsidR="001F452F" w:rsidRPr="00EB5379">
              <w:rPr>
                <w:szCs w:val="20"/>
              </w:rPr>
              <w:t>%</w:t>
            </w:r>
          </w:p>
        </w:tc>
        <w:tc>
          <w:tcPr>
            <w:tcW w:w="647" w:type="pct"/>
            <w:vAlign w:val="center"/>
          </w:tcPr>
          <w:p w:rsidR="001F452F" w:rsidRPr="00EB5379" w:rsidRDefault="00DF10EB" w:rsidP="001F452F">
            <w:pPr>
              <w:pStyle w:val="TableText0"/>
              <w:jc w:val="center"/>
              <w:rPr>
                <w:b/>
                <w:szCs w:val="20"/>
              </w:rPr>
            </w:pPr>
            <w:r>
              <w:rPr>
                <w:noProof/>
                <w:color w:val="000000"/>
                <w:szCs w:val="20"/>
                <w:highlight w:val="black"/>
              </w:rPr>
              <w:t>''''''''''</w:t>
            </w:r>
            <w:r w:rsidR="001F452F" w:rsidRPr="00EB5379">
              <w:rPr>
                <w:szCs w:val="20"/>
              </w:rPr>
              <w:t>%</w:t>
            </w:r>
          </w:p>
        </w:tc>
        <w:tc>
          <w:tcPr>
            <w:tcW w:w="650" w:type="pct"/>
            <w:vAlign w:val="center"/>
          </w:tcPr>
          <w:p w:rsidR="001F452F" w:rsidRPr="00EB5379" w:rsidRDefault="00DF10EB" w:rsidP="001F452F">
            <w:pPr>
              <w:pStyle w:val="TableText0"/>
              <w:jc w:val="center"/>
              <w:rPr>
                <w:b/>
                <w:szCs w:val="20"/>
              </w:rPr>
            </w:pPr>
            <w:r>
              <w:rPr>
                <w:noProof/>
                <w:color w:val="000000"/>
                <w:szCs w:val="20"/>
                <w:highlight w:val="black"/>
              </w:rPr>
              <w:t>'''''''''''</w:t>
            </w:r>
            <w:r w:rsidR="001F452F" w:rsidRPr="00EB5379">
              <w:rPr>
                <w:szCs w:val="20"/>
              </w:rPr>
              <w:t>%</w:t>
            </w:r>
          </w:p>
        </w:tc>
      </w:tr>
      <w:tr w:rsidR="001F452F" w:rsidRPr="00EB5379" w:rsidTr="0056568F">
        <w:trPr>
          <w:tblHeader/>
        </w:trPr>
        <w:tc>
          <w:tcPr>
            <w:tcW w:w="1115" w:type="pct"/>
          </w:tcPr>
          <w:p w:rsidR="001F452F" w:rsidRPr="00EB5379" w:rsidRDefault="001F452F" w:rsidP="001F452F">
            <w:pPr>
              <w:pStyle w:val="TableText0"/>
              <w:rPr>
                <w:szCs w:val="20"/>
              </w:rPr>
            </w:pPr>
            <w:r w:rsidRPr="00EB5379">
              <w:rPr>
                <w:szCs w:val="20"/>
              </w:rPr>
              <w:t>Total eligible patients</w:t>
            </w:r>
          </w:p>
        </w:tc>
        <w:tc>
          <w:tcPr>
            <w:tcW w:w="647" w:type="pct"/>
            <w:vAlign w:val="center"/>
          </w:tcPr>
          <w:p w:rsidR="001F452F" w:rsidRPr="00DF10EB" w:rsidRDefault="00DF10EB" w:rsidP="001F452F">
            <w:pPr>
              <w:pStyle w:val="TableText0"/>
              <w:jc w:val="center"/>
              <w:rPr>
                <w:b/>
                <w:szCs w:val="20"/>
                <w:highlight w:val="black"/>
              </w:rPr>
            </w:pPr>
            <w:r>
              <w:rPr>
                <w:noProof/>
                <w:color w:val="000000"/>
                <w:szCs w:val="20"/>
                <w:highlight w:val="black"/>
              </w:rPr>
              <w:t>''''''''''''''''''</w:t>
            </w:r>
          </w:p>
        </w:tc>
        <w:tc>
          <w:tcPr>
            <w:tcW w:w="647" w:type="pct"/>
            <w:vAlign w:val="center"/>
          </w:tcPr>
          <w:p w:rsidR="001F452F" w:rsidRPr="00DF10EB" w:rsidRDefault="00DF10EB" w:rsidP="001F452F">
            <w:pPr>
              <w:pStyle w:val="TableText0"/>
              <w:jc w:val="center"/>
              <w:rPr>
                <w:b/>
                <w:szCs w:val="20"/>
                <w:highlight w:val="black"/>
              </w:rPr>
            </w:pPr>
            <w:r>
              <w:rPr>
                <w:noProof/>
                <w:color w:val="000000"/>
                <w:szCs w:val="20"/>
                <w:highlight w:val="black"/>
              </w:rPr>
              <w:t>'''''''''''''''''''</w:t>
            </w:r>
          </w:p>
        </w:tc>
        <w:tc>
          <w:tcPr>
            <w:tcW w:w="647" w:type="pct"/>
            <w:vAlign w:val="center"/>
          </w:tcPr>
          <w:p w:rsidR="001F452F" w:rsidRPr="00DF10EB" w:rsidRDefault="00DF10EB" w:rsidP="001F452F">
            <w:pPr>
              <w:pStyle w:val="TableText0"/>
              <w:jc w:val="center"/>
              <w:rPr>
                <w:b/>
                <w:szCs w:val="20"/>
                <w:highlight w:val="black"/>
              </w:rPr>
            </w:pPr>
            <w:r>
              <w:rPr>
                <w:noProof/>
                <w:color w:val="000000"/>
                <w:szCs w:val="20"/>
                <w:highlight w:val="black"/>
              </w:rPr>
              <w:t>''''''''''''''''''''</w:t>
            </w:r>
          </w:p>
        </w:tc>
        <w:tc>
          <w:tcPr>
            <w:tcW w:w="647" w:type="pct"/>
            <w:vAlign w:val="center"/>
          </w:tcPr>
          <w:p w:rsidR="001F452F" w:rsidRPr="00DF10EB" w:rsidRDefault="00DF10EB" w:rsidP="001F452F">
            <w:pPr>
              <w:pStyle w:val="TableText0"/>
              <w:jc w:val="center"/>
              <w:rPr>
                <w:b/>
                <w:szCs w:val="20"/>
                <w:highlight w:val="black"/>
              </w:rPr>
            </w:pPr>
            <w:r>
              <w:rPr>
                <w:noProof/>
                <w:color w:val="000000"/>
                <w:szCs w:val="20"/>
                <w:highlight w:val="black"/>
              </w:rPr>
              <w:t>'''''''''''''''''''''</w:t>
            </w:r>
          </w:p>
        </w:tc>
        <w:tc>
          <w:tcPr>
            <w:tcW w:w="647" w:type="pct"/>
            <w:vAlign w:val="center"/>
          </w:tcPr>
          <w:p w:rsidR="001F452F" w:rsidRPr="00DF10EB" w:rsidRDefault="00DF10EB" w:rsidP="001F452F">
            <w:pPr>
              <w:pStyle w:val="TableText0"/>
              <w:jc w:val="center"/>
              <w:rPr>
                <w:b/>
                <w:szCs w:val="20"/>
                <w:highlight w:val="black"/>
              </w:rPr>
            </w:pPr>
            <w:r>
              <w:rPr>
                <w:noProof/>
                <w:color w:val="000000"/>
                <w:szCs w:val="20"/>
                <w:highlight w:val="black"/>
              </w:rPr>
              <w:t>'''''''''''''''''</w:t>
            </w:r>
          </w:p>
        </w:tc>
        <w:tc>
          <w:tcPr>
            <w:tcW w:w="650" w:type="pct"/>
            <w:vAlign w:val="center"/>
          </w:tcPr>
          <w:p w:rsidR="001F452F" w:rsidRPr="00DF10EB" w:rsidRDefault="00DF10EB" w:rsidP="001F452F">
            <w:pPr>
              <w:pStyle w:val="TableText0"/>
              <w:jc w:val="center"/>
              <w:rPr>
                <w:b/>
                <w:szCs w:val="20"/>
                <w:highlight w:val="black"/>
              </w:rPr>
            </w:pPr>
            <w:r>
              <w:rPr>
                <w:noProof/>
                <w:color w:val="000000"/>
                <w:szCs w:val="20"/>
                <w:highlight w:val="black"/>
              </w:rPr>
              <w:t>''''''''''''''''''</w:t>
            </w:r>
          </w:p>
        </w:tc>
      </w:tr>
      <w:tr w:rsidR="007A44A0" w:rsidRPr="00EB5379" w:rsidTr="0056195C">
        <w:trPr>
          <w:tblHeader/>
        </w:trPr>
        <w:tc>
          <w:tcPr>
            <w:tcW w:w="5000" w:type="pct"/>
            <w:gridSpan w:val="7"/>
            <w:shd w:val="clear" w:color="auto" w:fill="auto"/>
            <w:vAlign w:val="center"/>
          </w:tcPr>
          <w:p w:rsidR="007A44A0" w:rsidRPr="00EB5379" w:rsidRDefault="007A44A0" w:rsidP="00F37ECA">
            <w:pPr>
              <w:pStyle w:val="TableText0"/>
              <w:rPr>
                <w:b/>
                <w:szCs w:val="20"/>
              </w:rPr>
            </w:pPr>
            <w:r w:rsidRPr="00EB5379">
              <w:rPr>
                <w:b/>
                <w:szCs w:val="20"/>
              </w:rPr>
              <w:t>Uptake rates</w:t>
            </w:r>
          </w:p>
        </w:tc>
      </w:tr>
      <w:tr w:rsidR="007A44A0" w:rsidRPr="00EB5379" w:rsidTr="0056568F">
        <w:trPr>
          <w:tblHeader/>
        </w:trPr>
        <w:tc>
          <w:tcPr>
            <w:tcW w:w="1115" w:type="pct"/>
            <w:shd w:val="clear" w:color="auto" w:fill="auto"/>
            <w:vAlign w:val="center"/>
          </w:tcPr>
          <w:p w:rsidR="007A44A0" w:rsidRPr="00EB5379" w:rsidRDefault="008652EF" w:rsidP="00CF72F8">
            <w:pPr>
              <w:pStyle w:val="TableText0"/>
              <w:rPr>
                <w:szCs w:val="20"/>
              </w:rPr>
            </w:pPr>
            <w:r>
              <w:rPr>
                <w:szCs w:val="20"/>
              </w:rPr>
              <w:t xml:space="preserve">Current submission </w:t>
            </w:r>
            <w:r w:rsidR="007A44A0" w:rsidRPr="00EB5379">
              <w:rPr>
                <w:szCs w:val="20"/>
              </w:rPr>
              <w:t xml:space="preserve"> </w:t>
            </w:r>
          </w:p>
        </w:tc>
        <w:tc>
          <w:tcPr>
            <w:tcW w:w="647" w:type="pct"/>
            <w:tcBorders>
              <w:top w:val="single" w:sz="4" w:space="0" w:color="auto"/>
              <w:left w:val="single" w:sz="4" w:space="0" w:color="auto"/>
              <w:bottom w:val="single" w:sz="4" w:space="0" w:color="auto"/>
              <w:right w:val="single" w:sz="4" w:space="0" w:color="auto"/>
            </w:tcBorders>
          </w:tcPr>
          <w:p w:rsidR="007A44A0" w:rsidRPr="00EB5379" w:rsidRDefault="007A44A0" w:rsidP="007A44A0">
            <w:pPr>
              <w:pStyle w:val="TableText0"/>
              <w:jc w:val="center"/>
              <w:rPr>
                <w:b/>
                <w:szCs w:val="20"/>
              </w:rPr>
            </w:pPr>
            <w:r w:rsidRPr="00EB5379">
              <w:rPr>
                <w:szCs w:val="20"/>
              </w:rPr>
              <w:t>9.6%</w:t>
            </w:r>
          </w:p>
        </w:tc>
        <w:tc>
          <w:tcPr>
            <w:tcW w:w="647" w:type="pct"/>
            <w:tcBorders>
              <w:top w:val="single" w:sz="4" w:space="0" w:color="auto"/>
              <w:left w:val="single" w:sz="4" w:space="0" w:color="auto"/>
              <w:bottom w:val="single" w:sz="4" w:space="0" w:color="auto"/>
              <w:right w:val="single" w:sz="4" w:space="0" w:color="auto"/>
            </w:tcBorders>
          </w:tcPr>
          <w:p w:rsidR="007A44A0" w:rsidRPr="00EB5379" w:rsidRDefault="007A44A0" w:rsidP="007A44A0">
            <w:pPr>
              <w:pStyle w:val="TableText0"/>
              <w:jc w:val="center"/>
              <w:rPr>
                <w:b/>
                <w:szCs w:val="20"/>
              </w:rPr>
            </w:pPr>
            <w:r w:rsidRPr="00EB5379">
              <w:rPr>
                <w:szCs w:val="20"/>
              </w:rPr>
              <w:t>16.9%</w:t>
            </w:r>
          </w:p>
        </w:tc>
        <w:tc>
          <w:tcPr>
            <w:tcW w:w="647" w:type="pct"/>
            <w:tcBorders>
              <w:top w:val="single" w:sz="4" w:space="0" w:color="auto"/>
              <w:left w:val="single" w:sz="4" w:space="0" w:color="auto"/>
              <w:bottom w:val="single" w:sz="4" w:space="0" w:color="auto"/>
              <w:right w:val="single" w:sz="4" w:space="0" w:color="auto"/>
            </w:tcBorders>
          </w:tcPr>
          <w:p w:rsidR="007A44A0" w:rsidRPr="00EB5379" w:rsidRDefault="007A44A0" w:rsidP="007A44A0">
            <w:pPr>
              <w:pStyle w:val="TableText0"/>
              <w:jc w:val="center"/>
              <w:rPr>
                <w:b/>
                <w:szCs w:val="20"/>
              </w:rPr>
            </w:pPr>
            <w:r w:rsidRPr="00EB5379">
              <w:rPr>
                <w:szCs w:val="20"/>
              </w:rPr>
              <w:t>20.4%</w:t>
            </w:r>
          </w:p>
        </w:tc>
        <w:tc>
          <w:tcPr>
            <w:tcW w:w="647" w:type="pct"/>
            <w:tcBorders>
              <w:top w:val="single" w:sz="4" w:space="0" w:color="auto"/>
              <w:left w:val="single" w:sz="4" w:space="0" w:color="auto"/>
              <w:bottom w:val="single" w:sz="4" w:space="0" w:color="auto"/>
              <w:right w:val="single" w:sz="4" w:space="0" w:color="auto"/>
            </w:tcBorders>
          </w:tcPr>
          <w:p w:rsidR="007A44A0" w:rsidRPr="00EB5379" w:rsidRDefault="007A44A0" w:rsidP="007A44A0">
            <w:pPr>
              <w:pStyle w:val="TableText0"/>
              <w:jc w:val="center"/>
              <w:rPr>
                <w:b/>
                <w:szCs w:val="20"/>
                <w:vertAlign w:val="superscript"/>
              </w:rPr>
            </w:pPr>
            <w:r w:rsidRPr="00EB5379">
              <w:rPr>
                <w:szCs w:val="20"/>
              </w:rPr>
              <w:t xml:space="preserve">20.0% </w:t>
            </w:r>
            <w:r w:rsidRPr="00EB5379">
              <w:rPr>
                <w:szCs w:val="20"/>
                <w:vertAlign w:val="superscript"/>
              </w:rPr>
              <w:t>a</w:t>
            </w:r>
          </w:p>
        </w:tc>
        <w:tc>
          <w:tcPr>
            <w:tcW w:w="647" w:type="pct"/>
            <w:tcBorders>
              <w:top w:val="single" w:sz="4" w:space="0" w:color="auto"/>
              <w:left w:val="single" w:sz="4" w:space="0" w:color="auto"/>
              <w:bottom w:val="single" w:sz="4" w:space="0" w:color="auto"/>
              <w:right w:val="single" w:sz="4" w:space="0" w:color="auto"/>
            </w:tcBorders>
          </w:tcPr>
          <w:p w:rsidR="007A44A0" w:rsidRPr="00EB5379" w:rsidRDefault="007A44A0" w:rsidP="007A44A0">
            <w:pPr>
              <w:pStyle w:val="TableText0"/>
              <w:jc w:val="center"/>
              <w:rPr>
                <w:b/>
                <w:szCs w:val="20"/>
                <w:vertAlign w:val="superscript"/>
              </w:rPr>
            </w:pPr>
            <w:r w:rsidRPr="00EB5379">
              <w:rPr>
                <w:szCs w:val="20"/>
              </w:rPr>
              <w:t xml:space="preserve">19.7% </w:t>
            </w:r>
            <w:r w:rsidRPr="00EB5379">
              <w:rPr>
                <w:szCs w:val="20"/>
                <w:vertAlign w:val="superscript"/>
              </w:rPr>
              <w:t>a</w:t>
            </w:r>
          </w:p>
        </w:tc>
        <w:tc>
          <w:tcPr>
            <w:tcW w:w="650" w:type="pct"/>
            <w:tcBorders>
              <w:top w:val="single" w:sz="4" w:space="0" w:color="auto"/>
              <w:left w:val="single" w:sz="4" w:space="0" w:color="auto"/>
              <w:bottom w:val="single" w:sz="4" w:space="0" w:color="auto"/>
              <w:right w:val="single" w:sz="4" w:space="0" w:color="auto"/>
            </w:tcBorders>
          </w:tcPr>
          <w:p w:rsidR="007A44A0" w:rsidRPr="00EB5379" w:rsidRDefault="007A44A0" w:rsidP="007A44A0">
            <w:pPr>
              <w:pStyle w:val="TableText0"/>
              <w:jc w:val="center"/>
              <w:rPr>
                <w:b/>
                <w:szCs w:val="20"/>
                <w:vertAlign w:val="superscript"/>
              </w:rPr>
            </w:pPr>
            <w:r w:rsidRPr="00EB5379">
              <w:rPr>
                <w:szCs w:val="20"/>
              </w:rPr>
              <w:t xml:space="preserve">19.4% </w:t>
            </w:r>
            <w:r w:rsidRPr="00EB5379">
              <w:rPr>
                <w:szCs w:val="20"/>
                <w:vertAlign w:val="superscript"/>
              </w:rPr>
              <w:t>a</w:t>
            </w:r>
          </w:p>
        </w:tc>
      </w:tr>
      <w:tr w:rsidR="00436E38" w:rsidRPr="00EB5379" w:rsidTr="0056568F">
        <w:trPr>
          <w:tblHeader/>
        </w:trPr>
        <w:tc>
          <w:tcPr>
            <w:tcW w:w="1115" w:type="pct"/>
            <w:shd w:val="clear" w:color="auto" w:fill="auto"/>
            <w:vAlign w:val="center"/>
          </w:tcPr>
          <w:p w:rsidR="00436E38" w:rsidRPr="00EB5379" w:rsidRDefault="00436E38" w:rsidP="00436E38">
            <w:pPr>
              <w:pStyle w:val="TableText0"/>
              <w:rPr>
                <w:szCs w:val="20"/>
              </w:rPr>
            </w:pPr>
            <w:r w:rsidRPr="00EB5379">
              <w:rPr>
                <w:szCs w:val="20"/>
              </w:rPr>
              <w:t>Pre-PBAC response</w:t>
            </w:r>
          </w:p>
        </w:tc>
        <w:tc>
          <w:tcPr>
            <w:tcW w:w="647" w:type="pct"/>
            <w:tcBorders>
              <w:top w:val="single" w:sz="4" w:space="0" w:color="auto"/>
              <w:left w:val="single" w:sz="4" w:space="0" w:color="auto"/>
              <w:bottom w:val="single" w:sz="4" w:space="0" w:color="auto"/>
              <w:right w:val="single" w:sz="4" w:space="0" w:color="auto"/>
            </w:tcBorders>
          </w:tcPr>
          <w:p w:rsidR="00436E38" w:rsidRPr="00EB5379" w:rsidRDefault="00436E38" w:rsidP="00436E38">
            <w:pPr>
              <w:pStyle w:val="TableText0"/>
              <w:jc w:val="center"/>
              <w:rPr>
                <w:szCs w:val="20"/>
              </w:rPr>
            </w:pPr>
            <w:r w:rsidRPr="00EB5379">
              <w:t>9.6%</w:t>
            </w:r>
          </w:p>
        </w:tc>
        <w:tc>
          <w:tcPr>
            <w:tcW w:w="647" w:type="pct"/>
            <w:tcBorders>
              <w:top w:val="single" w:sz="4" w:space="0" w:color="auto"/>
              <w:left w:val="single" w:sz="4" w:space="0" w:color="auto"/>
              <w:bottom w:val="single" w:sz="4" w:space="0" w:color="auto"/>
              <w:right w:val="single" w:sz="4" w:space="0" w:color="auto"/>
            </w:tcBorders>
          </w:tcPr>
          <w:p w:rsidR="00436E38" w:rsidRPr="00EB5379" w:rsidRDefault="00436E38" w:rsidP="00436E38">
            <w:pPr>
              <w:pStyle w:val="TableText0"/>
              <w:jc w:val="center"/>
              <w:rPr>
                <w:szCs w:val="20"/>
              </w:rPr>
            </w:pPr>
            <w:r w:rsidRPr="00EB5379">
              <w:rPr>
                <w:szCs w:val="20"/>
              </w:rPr>
              <w:t>16.9%</w:t>
            </w:r>
          </w:p>
        </w:tc>
        <w:tc>
          <w:tcPr>
            <w:tcW w:w="647" w:type="pct"/>
            <w:tcBorders>
              <w:top w:val="single" w:sz="4" w:space="0" w:color="auto"/>
              <w:left w:val="single" w:sz="4" w:space="0" w:color="auto"/>
              <w:bottom w:val="single" w:sz="4" w:space="0" w:color="auto"/>
              <w:right w:val="single" w:sz="4" w:space="0" w:color="auto"/>
            </w:tcBorders>
          </w:tcPr>
          <w:p w:rsidR="00436E38" w:rsidRPr="00EB5379" w:rsidRDefault="00436E38" w:rsidP="00436E38">
            <w:pPr>
              <w:pStyle w:val="TableText0"/>
              <w:jc w:val="center"/>
              <w:rPr>
                <w:szCs w:val="20"/>
              </w:rPr>
            </w:pPr>
            <w:r w:rsidRPr="00EB5379">
              <w:rPr>
                <w:szCs w:val="20"/>
              </w:rPr>
              <w:t>20.4%</w:t>
            </w:r>
          </w:p>
        </w:tc>
        <w:tc>
          <w:tcPr>
            <w:tcW w:w="647" w:type="pct"/>
            <w:tcBorders>
              <w:top w:val="single" w:sz="4" w:space="0" w:color="auto"/>
              <w:left w:val="single" w:sz="4" w:space="0" w:color="auto"/>
              <w:bottom w:val="single" w:sz="4" w:space="0" w:color="auto"/>
              <w:right w:val="single" w:sz="4" w:space="0" w:color="auto"/>
            </w:tcBorders>
          </w:tcPr>
          <w:p w:rsidR="00436E38" w:rsidRPr="00EB5379" w:rsidRDefault="00436E38" w:rsidP="00436E38">
            <w:pPr>
              <w:pStyle w:val="TableText0"/>
              <w:jc w:val="center"/>
              <w:rPr>
                <w:szCs w:val="20"/>
              </w:rPr>
            </w:pPr>
            <w:r w:rsidRPr="00EB5379">
              <w:rPr>
                <w:szCs w:val="20"/>
              </w:rPr>
              <w:t>23.6%</w:t>
            </w:r>
          </w:p>
        </w:tc>
        <w:tc>
          <w:tcPr>
            <w:tcW w:w="647" w:type="pct"/>
            <w:tcBorders>
              <w:top w:val="single" w:sz="4" w:space="0" w:color="auto"/>
              <w:left w:val="single" w:sz="4" w:space="0" w:color="auto"/>
              <w:bottom w:val="single" w:sz="4" w:space="0" w:color="auto"/>
              <w:right w:val="single" w:sz="4" w:space="0" w:color="auto"/>
            </w:tcBorders>
          </w:tcPr>
          <w:p w:rsidR="00436E38" w:rsidRPr="00EB5379" w:rsidRDefault="00436E38" w:rsidP="00436E38">
            <w:pPr>
              <w:pStyle w:val="TableText0"/>
              <w:jc w:val="center"/>
              <w:rPr>
                <w:szCs w:val="20"/>
              </w:rPr>
            </w:pPr>
            <w:r w:rsidRPr="00EB5379">
              <w:rPr>
                <w:szCs w:val="20"/>
              </w:rPr>
              <w:t>26.8%</w:t>
            </w:r>
          </w:p>
        </w:tc>
        <w:tc>
          <w:tcPr>
            <w:tcW w:w="650" w:type="pct"/>
            <w:tcBorders>
              <w:top w:val="single" w:sz="4" w:space="0" w:color="auto"/>
              <w:left w:val="single" w:sz="4" w:space="0" w:color="auto"/>
              <w:bottom w:val="single" w:sz="4" w:space="0" w:color="auto"/>
              <w:right w:val="single" w:sz="4" w:space="0" w:color="auto"/>
            </w:tcBorders>
          </w:tcPr>
          <w:p w:rsidR="00436E38" w:rsidRPr="00EB5379" w:rsidRDefault="00436E38" w:rsidP="00436E38">
            <w:pPr>
              <w:pStyle w:val="TableText0"/>
              <w:jc w:val="center"/>
              <w:rPr>
                <w:szCs w:val="20"/>
              </w:rPr>
            </w:pPr>
            <w:r w:rsidRPr="00EB5379">
              <w:rPr>
                <w:szCs w:val="20"/>
              </w:rPr>
              <w:t>30.0%</w:t>
            </w:r>
          </w:p>
        </w:tc>
      </w:tr>
      <w:tr w:rsidR="007A44A0" w:rsidRPr="00EB5379" w:rsidTr="0056568F">
        <w:trPr>
          <w:tblHeader/>
        </w:trPr>
        <w:tc>
          <w:tcPr>
            <w:tcW w:w="1115" w:type="pct"/>
            <w:shd w:val="clear" w:color="auto" w:fill="C6D9F1" w:themeFill="text2" w:themeFillTint="33"/>
            <w:vAlign w:val="center"/>
          </w:tcPr>
          <w:p w:rsidR="007A44A0" w:rsidRPr="00EB5379" w:rsidRDefault="007A44A0" w:rsidP="007A44A0">
            <w:pPr>
              <w:pStyle w:val="TableText0"/>
              <w:rPr>
                <w:szCs w:val="20"/>
              </w:rPr>
            </w:pPr>
            <w:r w:rsidRPr="00EB5379">
              <w:rPr>
                <w:szCs w:val="20"/>
              </w:rPr>
              <w:t>March 2020</w:t>
            </w:r>
            <w:r w:rsidR="001F452F" w:rsidRPr="00EB5379">
              <w:rPr>
                <w:szCs w:val="20"/>
              </w:rPr>
              <w:t xml:space="preserve"> (pre-PBAC response)</w:t>
            </w:r>
          </w:p>
        </w:tc>
        <w:tc>
          <w:tcPr>
            <w:tcW w:w="647" w:type="pct"/>
            <w:shd w:val="clear" w:color="auto" w:fill="C6D9F1" w:themeFill="text2" w:themeFillTint="33"/>
          </w:tcPr>
          <w:p w:rsidR="007A44A0" w:rsidRPr="00EB5379" w:rsidRDefault="007A44A0" w:rsidP="007A44A0">
            <w:pPr>
              <w:pStyle w:val="TableText0"/>
              <w:jc w:val="center"/>
              <w:rPr>
                <w:b/>
                <w:szCs w:val="20"/>
              </w:rPr>
            </w:pPr>
            <w:r w:rsidRPr="00EB5379">
              <w:rPr>
                <w:szCs w:val="20"/>
              </w:rPr>
              <w:t>15%</w:t>
            </w:r>
          </w:p>
        </w:tc>
        <w:tc>
          <w:tcPr>
            <w:tcW w:w="647" w:type="pct"/>
            <w:shd w:val="clear" w:color="auto" w:fill="C6D9F1" w:themeFill="text2" w:themeFillTint="33"/>
          </w:tcPr>
          <w:p w:rsidR="007A44A0" w:rsidRPr="00EB5379" w:rsidRDefault="007A44A0" w:rsidP="007A44A0">
            <w:pPr>
              <w:pStyle w:val="TableText0"/>
              <w:jc w:val="center"/>
              <w:rPr>
                <w:b/>
                <w:szCs w:val="20"/>
              </w:rPr>
            </w:pPr>
            <w:r w:rsidRPr="00EB5379">
              <w:rPr>
                <w:szCs w:val="20"/>
              </w:rPr>
              <w:t>26%</w:t>
            </w:r>
          </w:p>
        </w:tc>
        <w:tc>
          <w:tcPr>
            <w:tcW w:w="647" w:type="pct"/>
            <w:shd w:val="clear" w:color="auto" w:fill="C6D9F1" w:themeFill="text2" w:themeFillTint="33"/>
          </w:tcPr>
          <w:p w:rsidR="007A44A0" w:rsidRPr="00EB5379" w:rsidRDefault="007A44A0" w:rsidP="007A44A0">
            <w:pPr>
              <w:pStyle w:val="TableText0"/>
              <w:jc w:val="center"/>
              <w:rPr>
                <w:b/>
                <w:szCs w:val="20"/>
              </w:rPr>
            </w:pPr>
            <w:r w:rsidRPr="00EB5379">
              <w:rPr>
                <w:szCs w:val="20"/>
              </w:rPr>
              <w:t>32%</w:t>
            </w:r>
          </w:p>
        </w:tc>
        <w:tc>
          <w:tcPr>
            <w:tcW w:w="647" w:type="pct"/>
            <w:shd w:val="clear" w:color="auto" w:fill="C6D9F1" w:themeFill="text2" w:themeFillTint="33"/>
          </w:tcPr>
          <w:p w:rsidR="007A44A0" w:rsidRPr="00EB5379" w:rsidRDefault="007A44A0" w:rsidP="007A44A0">
            <w:pPr>
              <w:pStyle w:val="TableText0"/>
              <w:jc w:val="center"/>
              <w:rPr>
                <w:b/>
                <w:szCs w:val="20"/>
              </w:rPr>
            </w:pPr>
            <w:r w:rsidRPr="00EB5379">
              <w:rPr>
                <w:szCs w:val="20"/>
              </w:rPr>
              <w:t>36%</w:t>
            </w:r>
          </w:p>
        </w:tc>
        <w:tc>
          <w:tcPr>
            <w:tcW w:w="647" w:type="pct"/>
            <w:shd w:val="clear" w:color="auto" w:fill="C6D9F1" w:themeFill="text2" w:themeFillTint="33"/>
          </w:tcPr>
          <w:p w:rsidR="007A44A0" w:rsidRPr="00EB5379" w:rsidRDefault="007A44A0" w:rsidP="007A44A0">
            <w:pPr>
              <w:pStyle w:val="TableText0"/>
              <w:jc w:val="center"/>
              <w:rPr>
                <w:b/>
                <w:szCs w:val="20"/>
              </w:rPr>
            </w:pPr>
            <w:r w:rsidRPr="00EB5379">
              <w:rPr>
                <w:szCs w:val="20"/>
              </w:rPr>
              <w:t>40%</w:t>
            </w:r>
          </w:p>
        </w:tc>
        <w:tc>
          <w:tcPr>
            <w:tcW w:w="650" w:type="pct"/>
            <w:shd w:val="clear" w:color="auto" w:fill="C6D9F1" w:themeFill="text2" w:themeFillTint="33"/>
          </w:tcPr>
          <w:p w:rsidR="007A44A0" w:rsidRPr="00EB5379" w:rsidRDefault="007A44A0" w:rsidP="007A44A0">
            <w:pPr>
              <w:pStyle w:val="TableText0"/>
              <w:jc w:val="center"/>
              <w:rPr>
                <w:b/>
                <w:szCs w:val="20"/>
              </w:rPr>
            </w:pPr>
            <w:r w:rsidRPr="00EB5379">
              <w:rPr>
                <w:szCs w:val="20"/>
              </w:rPr>
              <w:t>40%</w:t>
            </w:r>
          </w:p>
        </w:tc>
      </w:tr>
      <w:tr w:rsidR="00C7409E" w:rsidRPr="00EB5379" w:rsidTr="0056195C">
        <w:tc>
          <w:tcPr>
            <w:tcW w:w="5000" w:type="pct"/>
            <w:gridSpan w:val="7"/>
            <w:shd w:val="clear" w:color="auto" w:fill="auto"/>
            <w:vAlign w:val="center"/>
          </w:tcPr>
          <w:p w:rsidR="00C7409E" w:rsidRPr="00EB5379" w:rsidRDefault="00C7409E" w:rsidP="00F37ECA">
            <w:pPr>
              <w:pStyle w:val="TableText0"/>
              <w:rPr>
                <w:b/>
                <w:color w:val="000000"/>
                <w:szCs w:val="20"/>
              </w:rPr>
            </w:pPr>
            <w:r w:rsidRPr="00EB5379">
              <w:rPr>
                <w:b/>
                <w:color w:val="000000"/>
                <w:szCs w:val="20"/>
              </w:rPr>
              <w:t>Estimated extent of use</w:t>
            </w:r>
          </w:p>
        </w:tc>
      </w:tr>
      <w:tr w:rsidR="00C950A6" w:rsidRPr="00EB5379" w:rsidTr="0056568F">
        <w:tc>
          <w:tcPr>
            <w:tcW w:w="1115" w:type="pct"/>
            <w:shd w:val="clear" w:color="auto" w:fill="auto"/>
            <w:vAlign w:val="center"/>
          </w:tcPr>
          <w:p w:rsidR="00C950A6" w:rsidRPr="00EB5379" w:rsidRDefault="00C950A6" w:rsidP="001F452F">
            <w:pPr>
              <w:pStyle w:val="TableText0"/>
              <w:rPr>
                <w:szCs w:val="20"/>
              </w:rPr>
            </w:pPr>
            <w:r w:rsidRPr="00EB5379">
              <w:rPr>
                <w:szCs w:val="20"/>
              </w:rPr>
              <w:t>Grandfather patients</w:t>
            </w:r>
          </w:p>
        </w:tc>
        <w:tc>
          <w:tcPr>
            <w:tcW w:w="647" w:type="pct"/>
            <w:shd w:val="clear" w:color="auto" w:fill="auto"/>
          </w:tcPr>
          <w:p w:rsidR="00C950A6" w:rsidRPr="00DF10EB" w:rsidRDefault="00DF10EB" w:rsidP="001F452F">
            <w:pPr>
              <w:pStyle w:val="TableText0"/>
              <w:jc w:val="center"/>
              <w:rPr>
                <w:szCs w:val="20"/>
                <w:highlight w:val="black"/>
              </w:rPr>
            </w:pPr>
            <w:r>
              <w:rPr>
                <w:noProof/>
                <w:color w:val="000000"/>
                <w:szCs w:val="20"/>
                <w:highlight w:val="black"/>
              </w:rPr>
              <w:t>'''''''''''''''</w:t>
            </w:r>
          </w:p>
        </w:tc>
        <w:tc>
          <w:tcPr>
            <w:tcW w:w="647" w:type="pct"/>
            <w:shd w:val="clear" w:color="auto" w:fill="auto"/>
          </w:tcPr>
          <w:p w:rsidR="00C950A6" w:rsidRPr="00EB5379" w:rsidRDefault="00C950A6" w:rsidP="001F452F">
            <w:pPr>
              <w:pStyle w:val="TableText0"/>
              <w:jc w:val="center"/>
              <w:rPr>
                <w:szCs w:val="20"/>
              </w:rPr>
            </w:pPr>
            <w:r w:rsidRPr="00EB5379">
              <w:rPr>
                <w:szCs w:val="20"/>
              </w:rPr>
              <w:t>-</w:t>
            </w:r>
          </w:p>
        </w:tc>
        <w:tc>
          <w:tcPr>
            <w:tcW w:w="647" w:type="pct"/>
            <w:shd w:val="clear" w:color="auto" w:fill="auto"/>
          </w:tcPr>
          <w:p w:rsidR="00C950A6" w:rsidRPr="00EB5379" w:rsidRDefault="00C950A6" w:rsidP="001F452F">
            <w:pPr>
              <w:pStyle w:val="TableText0"/>
              <w:jc w:val="center"/>
              <w:rPr>
                <w:szCs w:val="20"/>
              </w:rPr>
            </w:pPr>
            <w:r w:rsidRPr="00EB5379">
              <w:rPr>
                <w:szCs w:val="20"/>
              </w:rPr>
              <w:t>-</w:t>
            </w:r>
          </w:p>
        </w:tc>
        <w:tc>
          <w:tcPr>
            <w:tcW w:w="647" w:type="pct"/>
            <w:shd w:val="clear" w:color="auto" w:fill="auto"/>
          </w:tcPr>
          <w:p w:rsidR="00C950A6" w:rsidRPr="00EB5379" w:rsidRDefault="00C950A6" w:rsidP="001F452F">
            <w:pPr>
              <w:pStyle w:val="TableText0"/>
              <w:jc w:val="center"/>
              <w:rPr>
                <w:szCs w:val="20"/>
              </w:rPr>
            </w:pPr>
            <w:r w:rsidRPr="00EB5379">
              <w:rPr>
                <w:szCs w:val="20"/>
              </w:rPr>
              <w:t>-</w:t>
            </w:r>
          </w:p>
        </w:tc>
        <w:tc>
          <w:tcPr>
            <w:tcW w:w="647" w:type="pct"/>
            <w:shd w:val="clear" w:color="auto" w:fill="auto"/>
          </w:tcPr>
          <w:p w:rsidR="00C950A6" w:rsidRPr="00EB5379" w:rsidRDefault="00C950A6" w:rsidP="001F452F">
            <w:pPr>
              <w:pStyle w:val="TableText0"/>
              <w:jc w:val="center"/>
              <w:rPr>
                <w:szCs w:val="20"/>
              </w:rPr>
            </w:pPr>
            <w:r w:rsidRPr="00EB5379">
              <w:rPr>
                <w:szCs w:val="20"/>
              </w:rPr>
              <w:t>-</w:t>
            </w:r>
          </w:p>
        </w:tc>
        <w:tc>
          <w:tcPr>
            <w:tcW w:w="650" w:type="pct"/>
          </w:tcPr>
          <w:p w:rsidR="00C950A6" w:rsidRPr="00EB5379" w:rsidRDefault="00C950A6" w:rsidP="001F452F">
            <w:pPr>
              <w:pStyle w:val="TableText0"/>
              <w:jc w:val="center"/>
              <w:rPr>
                <w:szCs w:val="20"/>
              </w:rPr>
            </w:pPr>
            <w:r w:rsidRPr="00EB5379">
              <w:rPr>
                <w:szCs w:val="20"/>
              </w:rPr>
              <w:t>-</w:t>
            </w:r>
          </w:p>
        </w:tc>
      </w:tr>
      <w:tr w:rsidR="001F452F" w:rsidRPr="00EB5379" w:rsidTr="0056568F">
        <w:tc>
          <w:tcPr>
            <w:tcW w:w="1115" w:type="pct"/>
            <w:shd w:val="clear" w:color="auto" w:fill="auto"/>
            <w:vAlign w:val="center"/>
          </w:tcPr>
          <w:p w:rsidR="001F452F" w:rsidRPr="00EB5379" w:rsidRDefault="001F452F" w:rsidP="001F452F">
            <w:pPr>
              <w:pStyle w:val="TableText0"/>
              <w:rPr>
                <w:szCs w:val="20"/>
              </w:rPr>
            </w:pPr>
            <w:r w:rsidRPr="00EB5379">
              <w:rPr>
                <w:szCs w:val="20"/>
              </w:rPr>
              <w:t>Number of patients treated</w:t>
            </w:r>
          </w:p>
        </w:tc>
        <w:tc>
          <w:tcPr>
            <w:tcW w:w="647" w:type="pct"/>
            <w:shd w:val="clear" w:color="auto" w:fill="auto"/>
          </w:tcPr>
          <w:p w:rsidR="001F452F" w:rsidRPr="00DF10EB" w:rsidRDefault="00DF10EB" w:rsidP="001F452F">
            <w:pPr>
              <w:pStyle w:val="TableText0"/>
              <w:jc w:val="center"/>
              <w:rPr>
                <w:color w:val="000000"/>
                <w:szCs w:val="20"/>
                <w:highlight w:val="black"/>
              </w:rPr>
            </w:pPr>
            <w:r>
              <w:rPr>
                <w:noProof/>
                <w:color w:val="000000"/>
                <w:szCs w:val="20"/>
                <w:highlight w:val="black"/>
              </w:rPr>
              <w:t>''''''''''''''''</w:t>
            </w:r>
          </w:p>
        </w:tc>
        <w:tc>
          <w:tcPr>
            <w:tcW w:w="647" w:type="pct"/>
            <w:shd w:val="clear" w:color="auto" w:fill="auto"/>
          </w:tcPr>
          <w:p w:rsidR="001F452F" w:rsidRPr="00DF10EB" w:rsidRDefault="00DF10EB" w:rsidP="001F452F">
            <w:pPr>
              <w:pStyle w:val="TableText0"/>
              <w:jc w:val="center"/>
              <w:rPr>
                <w:color w:val="000000"/>
                <w:szCs w:val="20"/>
                <w:highlight w:val="black"/>
              </w:rPr>
            </w:pPr>
            <w:r>
              <w:rPr>
                <w:noProof/>
                <w:color w:val="000000"/>
                <w:szCs w:val="20"/>
                <w:highlight w:val="black"/>
              </w:rPr>
              <w:t>''''''''''''''''''</w:t>
            </w:r>
          </w:p>
        </w:tc>
        <w:tc>
          <w:tcPr>
            <w:tcW w:w="647" w:type="pct"/>
            <w:shd w:val="clear" w:color="auto" w:fill="auto"/>
          </w:tcPr>
          <w:p w:rsidR="001F452F" w:rsidRPr="00DF10EB" w:rsidRDefault="00DF10EB" w:rsidP="001F452F">
            <w:pPr>
              <w:pStyle w:val="TableText0"/>
              <w:jc w:val="center"/>
              <w:rPr>
                <w:color w:val="000000"/>
                <w:szCs w:val="20"/>
                <w:highlight w:val="black"/>
              </w:rPr>
            </w:pPr>
            <w:r>
              <w:rPr>
                <w:noProof/>
                <w:color w:val="000000"/>
                <w:szCs w:val="20"/>
                <w:highlight w:val="black"/>
              </w:rPr>
              <w:t>'''''''''''''''''</w:t>
            </w:r>
          </w:p>
        </w:tc>
        <w:tc>
          <w:tcPr>
            <w:tcW w:w="647" w:type="pct"/>
            <w:shd w:val="clear" w:color="auto" w:fill="auto"/>
          </w:tcPr>
          <w:p w:rsidR="001F452F" w:rsidRPr="00DF10EB" w:rsidRDefault="00DF10EB" w:rsidP="001F452F">
            <w:pPr>
              <w:pStyle w:val="TableText0"/>
              <w:jc w:val="center"/>
              <w:rPr>
                <w:color w:val="000000"/>
                <w:szCs w:val="20"/>
                <w:highlight w:val="black"/>
              </w:rPr>
            </w:pPr>
            <w:r>
              <w:rPr>
                <w:noProof/>
                <w:color w:val="000000"/>
                <w:szCs w:val="20"/>
                <w:highlight w:val="black"/>
              </w:rPr>
              <w:t>''''''''''''''''</w:t>
            </w:r>
          </w:p>
        </w:tc>
        <w:tc>
          <w:tcPr>
            <w:tcW w:w="647" w:type="pct"/>
            <w:shd w:val="clear" w:color="auto" w:fill="auto"/>
          </w:tcPr>
          <w:p w:rsidR="001F452F" w:rsidRPr="00DF10EB" w:rsidRDefault="00DF10EB" w:rsidP="001F452F">
            <w:pPr>
              <w:pStyle w:val="TableText0"/>
              <w:jc w:val="center"/>
              <w:rPr>
                <w:color w:val="000000"/>
                <w:szCs w:val="20"/>
                <w:highlight w:val="black"/>
              </w:rPr>
            </w:pPr>
            <w:r>
              <w:rPr>
                <w:noProof/>
                <w:color w:val="000000"/>
                <w:szCs w:val="20"/>
                <w:highlight w:val="black"/>
              </w:rPr>
              <w:t>'''''''''''''''</w:t>
            </w:r>
          </w:p>
        </w:tc>
        <w:tc>
          <w:tcPr>
            <w:tcW w:w="650" w:type="pct"/>
          </w:tcPr>
          <w:p w:rsidR="001F452F" w:rsidRPr="00DF10EB" w:rsidRDefault="00DF10EB" w:rsidP="001F452F">
            <w:pPr>
              <w:pStyle w:val="TableText0"/>
              <w:jc w:val="center"/>
              <w:rPr>
                <w:color w:val="000000"/>
                <w:szCs w:val="20"/>
                <w:highlight w:val="black"/>
              </w:rPr>
            </w:pPr>
            <w:r>
              <w:rPr>
                <w:noProof/>
                <w:color w:val="000000"/>
                <w:szCs w:val="20"/>
                <w:highlight w:val="black"/>
              </w:rPr>
              <w:t>''''''''''''''''</w:t>
            </w:r>
          </w:p>
        </w:tc>
      </w:tr>
      <w:tr w:rsidR="0056568F" w:rsidRPr="00EB5379" w:rsidTr="00DA6B0B">
        <w:tc>
          <w:tcPr>
            <w:tcW w:w="1115" w:type="pct"/>
            <w:shd w:val="clear" w:color="auto" w:fill="auto"/>
            <w:vAlign w:val="center"/>
          </w:tcPr>
          <w:p w:rsidR="0056568F" w:rsidRPr="00EB5379" w:rsidRDefault="0056568F" w:rsidP="00470B9B">
            <w:pPr>
              <w:pStyle w:val="TableText0"/>
              <w:rPr>
                <w:szCs w:val="20"/>
                <w:vertAlign w:val="superscript"/>
              </w:rPr>
            </w:pPr>
            <w:r w:rsidRPr="00EB5379">
              <w:rPr>
                <w:szCs w:val="20"/>
              </w:rPr>
              <w:t xml:space="preserve">Number of scripts </w:t>
            </w:r>
            <w:r w:rsidR="00470B9B" w:rsidRPr="00EB5379">
              <w:rPr>
                <w:szCs w:val="20"/>
              </w:rPr>
              <w:t>(pr</w:t>
            </w:r>
            <w:r w:rsidRPr="00EB5379">
              <w:rPr>
                <w:szCs w:val="20"/>
              </w:rPr>
              <w:t>e-PBAC response</w:t>
            </w:r>
            <w:r w:rsidR="00470B9B" w:rsidRPr="00EB5379">
              <w:rPr>
                <w:szCs w:val="20"/>
              </w:rPr>
              <w:t>)</w:t>
            </w:r>
            <w:r w:rsidRPr="00EB5379">
              <w:rPr>
                <w:szCs w:val="20"/>
              </w:rPr>
              <w:t xml:space="preserve"> </w:t>
            </w:r>
            <w:r w:rsidRPr="00EB5379">
              <w:rPr>
                <w:szCs w:val="20"/>
                <w:vertAlign w:val="superscript"/>
              </w:rPr>
              <w:t>b</w:t>
            </w:r>
          </w:p>
        </w:tc>
        <w:tc>
          <w:tcPr>
            <w:tcW w:w="647" w:type="pct"/>
            <w:shd w:val="clear" w:color="auto" w:fill="auto"/>
            <w:vAlign w:val="center"/>
          </w:tcPr>
          <w:p w:rsidR="0056568F" w:rsidRPr="00DF10EB" w:rsidRDefault="00DF10EB" w:rsidP="0056568F">
            <w:pPr>
              <w:pStyle w:val="TableText0"/>
              <w:jc w:val="center"/>
              <w:rPr>
                <w:szCs w:val="20"/>
                <w:highlight w:val="black"/>
              </w:rPr>
            </w:pPr>
            <w:r>
              <w:rPr>
                <w:noProof/>
                <w:color w:val="000000"/>
                <w:szCs w:val="20"/>
                <w:highlight w:val="black"/>
              </w:rPr>
              <w:t>''''''''''''''''''</w:t>
            </w:r>
            <w:r w:rsidR="0056568F" w:rsidRPr="00DF10EB">
              <w:rPr>
                <w:szCs w:val="20"/>
                <w:highlight w:val="black"/>
              </w:rPr>
              <w:t xml:space="preserve"> </w:t>
            </w:r>
          </w:p>
        </w:tc>
        <w:tc>
          <w:tcPr>
            <w:tcW w:w="647" w:type="pct"/>
            <w:shd w:val="clear" w:color="auto" w:fill="auto"/>
            <w:vAlign w:val="center"/>
          </w:tcPr>
          <w:p w:rsidR="0056568F" w:rsidRPr="00DF10EB" w:rsidRDefault="00DF10EB" w:rsidP="0056568F">
            <w:pPr>
              <w:pStyle w:val="TableText0"/>
              <w:jc w:val="center"/>
              <w:rPr>
                <w:szCs w:val="20"/>
                <w:highlight w:val="black"/>
              </w:rPr>
            </w:pPr>
            <w:r>
              <w:rPr>
                <w:noProof/>
                <w:color w:val="000000"/>
                <w:szCs w:val="20"/>
                <w:highlight w:val="black"/>
              </w:rPr>
              <w:t>''''''''''''''''''''''</w:t>
            </w:r>
            <w:r w:rsidR="0056568F" w:rsidRPr="00DF10EB">
              <w:rPr>
                <w:szCs w:val="20"/>
                <w:highlight w:val="black"/>
              </w:rPr>
              <w:t xml:space="preserve"> </w:t>
            </w:r>
          </w:p>
        </w:tc>
        <w:tc>
          <w:tcPr>
            <w:tcW w:w="647" w:type="pct"/>
            <w:shd w:val="clear" w:color="auto" w:fill="auto"/>
            <w:vAlign w:val="center"/>
          </w:tcPr>
          <w:p w:rsidR="0056568F" w:rsidRPr="00DF10EB" w:rsidRDefault="00DF10EB" w:rsidP="0056568F">
            <w:pPr>
              <w:pStyle w:val="TableText0"/>
              <w:jc w:val="center"/>
              <w:rPr>
                <w:szCs w:val="20"/>
                <w:highlight w:val="black"/>
              </w:rPr>
            </w:pPr>
            <w:r>
              <w:rPr>
                <w:noProof/>
                <w:color w:val="000000"/>
                <w:szCs w:val="20"/>
                <w:highlight w:val="black"/>
              </w:rPr>
              <w:t>'''''''''''''''''''''</w:t>
            </w:r>
            <w:r w:rsidR="0056568F" w:rsidRPr="00DF10EB">
              <w:rPr>
                <w:szCs w:val="20"/>
                <w:highlight w:val="black"/>
              </w:rPr>
              <w:t xml:space="preserve"> </w:t>
            </w:r>
          </w:p>
        </w:tc>
        <w:tc>
          <w:tcPr>
            <w:tcW w:w="647" w:type="pct"/>
            <w:shd w:val="clear" w:color="auto" w:fill="auto"/>
            <w:vAlign w:val="center"/>
          </w:tcPr>
          <w:p w:rsidR="0056568F" w:rsidRPr="00DF10EB" w:rsidRDefault="00DF10EB" w:rsidP="0056568F">
            <w:pPr>
              <w:pStyle w:val="TableText0"/>
              <w:jc w:val="center"/>
              <w:rPr>
                <w:szCs w:val="20"/>
                <w:highlight w:val="black"/>
              </w:rPr>
            </w:pPr>
            <w:r>
              <w:rPr>
                <w:noProof/>
                <w:color w:val="000000"/>
                <w:szCs w:val="20"/>
                <w:highlight w:val="black"/>
              </w:rPr>
              <w:t>'''''''''''''''''''''</w:t>
            </w:r>
            <w:r w:rsidR="0056568F" w:rsidRPr="00DF10EB">
              <w:rPr>
                <w:szCs w:val="20"/>
                <w:highlight w:val="black"/>
              </w:rPr>
              <w:t xml:space="preserve"> </w:t>
            </w:r>
          </w:p>
        </w:tc>
        <w:tc>
          <w:tcPr>
            <w:tcW w:w="647" w:type="pct"/>
            <w:shd w:val="clear" w:color="auto" w:fill="auto"/>
            <w:vAlign w:val="center"/>
          </w:tcPr>
          <w:p w:rsidR="0056568F" w:rsidRPr="00DF10EB" w:rsidRDefault="00DF10EB" w:rsidP="0056568F">
            <w:pPr>
              <w:pStyle w:val="TableText0"/>
              <w:jc w:val="center"/>
              <w:rPr>
                <w:szCs w:val="20"/>
                <w:highlight w:val="black"/>
              </w:rPr>
            </w:pPr>
            <w:r>
              <w:rPr>
                <w:noProof/>
                <w:color w:val="000000"/>
                <w:szCs w:val="20"/>
                <w:highlight w:val="black"/>
              </w:rPr>
              <w:t>''''''''''''''''''</w:t>
            </w:r>
            <w:r w:rsidR="0056568F" w:rsidRPr="00DF10EB">
              <w:rPr>
                <w:szCs w:val="20"/>
                <w:highlight w:val="black"/>
              </w:rPr>
              <w:t xml:space="preserve"> </w:t>
            </w:r>
          </w:p>
        </w:tc>
        <w:tc>
          <w:tcPr>
            <w:tcW w:w="650" w:type="pct"/>
            <w:vAlign w:val="center"/>
          </w:tcPr>
          <w:p w:rsidR="0056568F" w:rsidRPr="00DF10EB" w:rsidRDefault="00DF10EB" w:rsidP="0056568F">
            <w:pPr>
              <w:pStyle w:val="TableText0"/>
              <w:jc w:val="center"/>
              <w:rPr>
                <w:szCs w:val="20"/>
                <w:highlight w:val="black"/>
              </w:rPr>
            </w:pPr>
            <w:r>
              <w:rPr>
                <w:noProof/>
                <w:color w:val="000000"/>
                <w:szCs w:val="20"/>
                <w:highlight w:val="black"/>
              </w:rPr>
              <w:t>'''''''''''''''''''</w:t>
            </w:r>
            <w:r w:rsidR="0056568F" w:rsidRPr="00DF10EB">
              <w:rPr>
                <w:szCs w:val="20"/>
                <w:highlight w:val="black"/>
              </w:rPr>
              <w:t xml:space="preserve"> </w:t>
            </w:r>
          </w:p>
        </w:tc>
      </w:tr>
      <w:tr w:rsidR="00C7409E" w:rsidRPr="00EB5379" w:rsidTr="0056195C">
        <w:tc>
          <w:tcPr>
            <w:tcW w:w="5000" w:type="pct"/>
            <w:gridSpan w:val="7"/>
            <w:shd w:val="clear" w:color="auto" w:fill="auto"/>
            <w:vAlign w:val="center"/>
          </w:tcPr>
          <w:p w:rsidR="00C7409E" w:rsidRPr="00EB5379" w:rsidRDefault="00C7409E" w:rsidP="007A44A0">
            <w:pPr>
              <w:pStyle w:val="TableText0"/>
              <w:rPr>
                <w:b/>
                <w:color w:val="000000"/>
                <w:szCs w:val="20"/>
              </w:rPr>
            </w:pPr>
            <w:r w:rsidRPr="00EB5379">
              <w:rPr>
                <w:b/>
                <w:color w:val="000000"/>
                <w:szCs w:val="20"/>
              </w:rPr>
              <w:t>Estim</w:t>
            </w:r>
            <w:r w:rsidR="007A44A0" w:rsidRPr="00EB5379">
              <w:rPr>
                <w:b/>
                <w:color w:val="000000"/>
                <w:szCs w:val="20"/>
              </w:rPr>
              <w:t xml:space="preserve">ated financial implications of rivaroxaban </w:t>
            </w:r>
          </w:p>
        </w:tc>
      </w:tr>
      <w:tr w:rsidR="0056568F" w:rsidRPr="00EB5379" w:rsidTr="00897C58">
        <w:tc>
          <w:tcPr>
            <w:tcW w:w="1115" w:type="pct"/>
            <w:shd w:val="clear" w:color="auto" w:fill="auto"/>
            <w:vAlign w:val="center"/>
          </w:tcPr>
          <w:p w:rsidR="0056568F" w:rsidRPr="00EB5379" w:rsidRDefault="0056568F" w:rsidP="00470B9B">
            <w:pPr>
              <w:pStyle w:val="TableText0"/>
              <w:rPr>
                <w:szCs w:val="20"/>
              </w:rPr>
            </w:pPr>
            <w:r w:rsidRPr="00EB5379">
              <w:rPr>
                <w:szCs w:val="20"/>
              </w:rPr>
              <w:t xml:space="preserve">Cost to PBS/RPBS less copayments </w:t>
            </w:r>
            <w:r w:rsidR="00470B9B" w:rsidRPr="00EB5379">
              <w:rPr>
                <w:szCs w:val="20"/>
              </w:rPr>
              <w:t>(p</w:t>
            </w:r>
            <w:r w:rsidRPr="00EB5379">
              <w:rPr>
                <w:szCs w:val="20"/>
              </w:rPr>
              <w:t>re-PBAC response</w:t>
            </w:r>
            <w:r w:rsidR="00470B9B" w:rsidRPr="00EB5379">
              <w:rPr>
                <w:szCs w:val="20"/>
              </w:rPr>
              <w:t>)</w:t>
            </w:r>
          </w:p>
        </w:tc>
        <w:tc>
          <w:tcPr>
            <w:tcW w:w="647" w:type="pct"/>
            <w:tcBorders>
              <w:bottom w:val="single" w:sz="4" w:space="0" w:color="auto"/>
            </w:tcBorders>
            <w:shd w:val="clear" w:color="auto" w:fill="auto"/>
            <w:vAlign w:val="center"/>
          </w:tcPr>
          <w:p w:rsidR="0056568F" w:rsidRPr="00EB5379" w:rsidRDefault="0056568F" w:rsidP="0056568F">
            <w:pPr>
              <w:pStyle w:val="TableText0"/>
              <w:jc w:val="center"/>
              <w:rPr>
                <w:szCs w:val="20"/>
              </w:rPr>
            </w:pPr>
            <w:r w:rsidRPr="00EB5379">
              <w:rPr>
                <w:szCs w:val="20"/>
              </w:rPr>
              <w:t>$</w:t>
            </w:r>
            <w:r w:rsidR="00DF10EB">
              <w:rPr>
                <w:noProof/>
                <w:color w:val="000000"/>
                <w:szCs w:val="20"/>
                <w:highlight w:val="black"/>
              </w:rPr>
              <w:t>'''''''''''''''''''''''''</w:t>
            </w:r>
            <w:r w:rsidRPr="00EB5379">
              <w:rPr>
                <w:szCs w:val="20"/>
              </w:rPr>
              <w:t xml:space="preserve"> </w:t>
            </w:r>
          </w:p>
        </w:tc>
        <w:tc>
          <w:tcPr>
            <w:tcW w:w="647" w:type="pct"/>
            <w:tcBorders>
              <w:bottom w:val="single" w:sz="4" w:space="0" w:color="auto"/>
            </w:tcBorders>
            <w:shd w:val="clear" w:color="auto" w:fill="auto"/>
            <w:vAlign w:val="center"/>
          </w:tcPr>
          <w:p w:rsidR="0056568F" w:rsidRPr="00EB5379" w:rsidRDefault="0056568F" w:rsidP="0056568F">
            <w:pPr>
              <w:pStyle w:val="TableText0"/>
              <w:jc w:val="center"/>
              <w:rPr>
                <w:szCs w:val="20"/>
              </w:rPr>
            </w:pPr>
            <w:r w:rsidRPr="00EB5379">
              <w:rPr>
                <w:szCs w:val="20"/>
              </w:rPr>
              <w:t>$</w:t>
            </w:r>
            <w:r w:rsidR="00DF10EB">
              <w:rPr>
                <w:noProof/>
                <w:color w:val="000000"/>
                <w:szCs w:val="20"/>
                <w:highlight w:val="black"/>
              </w:rPr>
              <w:t>'''''''''''''''''''''''''''''</w:t>
            </w:r>
            <w:r w:rsidRPr="00EB5379">
              <w:rPr>
                <w:szCs w:val="20"/>
              </w:rPr>
              <w:t xml:space="preserve"> </w:t>
            </w:r>
          </w:p>
        </w:tc>
        <w:tc>
          <w:tcPr>
            <w:tcW w:w="647" w:type="pct"/>
            <w:tcBorders>
              <w:bottom w:val="single" w:sz="4" w:space="0" w:color="auto"/>
            </w:tcBorders>
            <w:shd w:val="clear" w:color="auto" w:fill="auto"/>
            <w:vAlign w:val="center"/>
          </w:tcPr>
          <w:p w:rsidR="0056568F" w:rsidRPr="00EB5379" w:rsidRDefault="0056568F" w:rsidP="0056568F">
            <w:pPr>
              <w:pStyle w:val="TableText0"/>
              <w:jc w:val="center"/>
              <w:rPr>
                <w:szCs w:val="20"/>
              </w:rPr>
            </w:pPr>
            <w:r w:rsidRPr="00EB5379">
              <w:rPr>
                <w:szCs w:val="20"/>
              </w:rPr>
              <w:t>$</w:t>
            </w:r>
            <w:r w:rsidR="00DF10EB">
              <w:rPr>
                <w:noProof/>
                <w:color w:val="000000"/>
                <w:szCs w:val="20"/>
                <w:highlight w:val="black"/>
              </w:rPr>
              <w:t>'''''''''''''''''''''''''''</w:t>
            </w:r>
            <w:r w:rsidRPr="00EB5379">
              <w:rPr>
                <w:szCs w:val="20"/>
              </w:rPr>
              <w:t xml:space="preserve"> </w:t>
            </w:r>
          </w:p>
        </w:tc>
        <w:tc>
          <w:tcPr>
            <w:tcW w:w="647" w:type="pct"/>
            <w:tcBorders>
              <w:bottom w:val="single" w:sz="4" w:space="0" w:color="auto"/>
            </w:tcBorders>
            <w:shd w:val="clear" w:color="auto" w:fill="auto"/>
            <w:vAlign w:val="center"/>
          </w:tcPr>
          <w:p w:rsidR="0056568F" w:rsidRPr="00EB5379" w:rsidRDefault="0056568F" w:rsidP="0056568F">
            <w:pPr>
              <w:pStyle w:val="TableText0"/>
              <w:jc w:val="center"/>
              <w:rPr>
                <w:szCs w:val="20"/>
              </w:rPr>
            </w:pPr>
            <w:r w:rsidRPr="00EB5379">
              <w:rPr>
                <w:szCs w:val="20"/>
              </w:rPr>
              <w:t>$</w:t>
            </w:r>
            <w:r w:rsidR="00DF10EB">
              <w:rPr>
                <w:noProof/>
                <w:color w:val="000000"/>
                <w:szCs w:val="20"/>
                <w:highlight w:val="black"/>
              </w:rPr>
              <w:t>''''''''''''''''''''''''</w:t>
            </w:r>
          </w:p>
        </w:tc>
        <w:tc>
          <w:tcPr>
            <w:tcW w:w="647" w:type="pct"/>
            <w:tcBorders>
              <w:bottom w:val="single" w:sz="4" w:space="0" w:color="auto"/>
            </w:tcBorders>
            <w:shd w:val="clear" w:color="auto" w:fill="auto"/>
            <w:vAlign w:val="center"/>
          </w:tcPr>
          <w:p w:rsidR="0056568F" w:rsidRPr="00EB5379" w:rsidRDefault="0056568F" w:rsidP="0056568F">
            <w:pPr>
              <w:pStyle w:val="TableText0"/>
              <w:jc w:val="center"/>
              <w:rPr>
                <w:szCs w:val="20"/>
              </w:rPr>
            </w:pPr>
            <w:r w:rsidRPr="00EB5379">
              <w:t>$</w:t>
            </w:r>
            <w:r w:rsidR="00DF10EB">
              <w:rPr>
                <w:noProof/>
                <w:color w:val="000000"/>
                <w:highlight w:val="black"/>
              </w:rPr>
              <w:t>''''''''''''''''''''''''</w:t>
            </w:r>
          </w:p>
        </w:tc>
        <w:tc>
          <w:tcPr>
            <w:tcW w:w="650" w:type="pct"/>
            <w:tcBorders>
              <w:bottom w:val="single" w:sz="4" w:space="0" w:color="auto"/>
            </w:tcBorders>
            <w:vAlign w:val="center"/>
          </w:tcPr>
          <w:p w:rsidR="0056568F" w:rsidRPr="00EB5379" w:rsidRDefault="0056568F" w:rsidP="0056568F">
            <w:pPr>
              <w:pStyle w:val="TableText0"/>
              <w:jc w:val="center"/>
              <w:rPr>
                <w:szCs w:val="20"/>
              </w:rPr>
            </w:pPr>
            <w:r w:rsidRPr="00EB5379">
              <w:t>$</w:t>
            </w:r>
            <w:r w:rsidR="00DF10EB">
              <w:rPr>
                <w:noProof/>
                <w:color w:val="000000"/>
                <w:highlight w:val="black"/>
              </w:rPr>
              <w:t>''''''''''''''''''''''''</w:t>
            </w:r>
          </w:p>
        </w:tc>
      </w:tr>
      <w:tr w:rsidR="00897C58" w:rsidRPr="00EB5379" w:rsidTr="00897C58">
        <w:tc>
          <w:tcPr>
            <w:tcW w:w="1115" w:type="pct"/>
            <w:shd w:val="clear" w:color="auto" w:fill="auto"/>
            <w:vAlign w:val="center"/>
          </w:tcPr>
          <w:p w:rsidR="00897C58" w:rsidRPr="00EB5379" w:rsidRDefault="00897C58" w:rsidP="00897C58">
            <w:pPr>
              <w:pStyle w:val="TableText0"/>
              <w:rPr>
                <w:szCs w:val="20"/>
              </w:rPr>
            </w:pPr>
            <w:r w:rsidRPr="00EB5379">
              <w:rPr>
                <w:szCs w:val="20"/>
              </w:rPr>
              <w:t>Net impact after RSA rebate (pre-PBAC response)</w:t>
            </w:r>
          </w:p>
        </w:tc>
        <w:tc>
          <w:tcPr>
            <w:tcW w:w="647" w:type="pct"/>
            <w:tcBorders>
              <w:top w:val="single" w:sz="4" w:space="0" w:color="auto"/>
              <w:left w:val="single" w:sz="4" w:space="0" w:color="FFFFFF"/>
              <w:bottom w:val="single" w:sz="4" w:space="0" w:color="auto"/>
              <w:right w:val="single" w:sz="4" w:space="0" w:color="auto"/>
            </w:tcBorders>
            <w:shd w:val="clear" w:color="auto" w:fill="auto"/>
            <w:vAlign w:val="center"/>
          </w:tcPr>
          <w:p w:rsidR="00897C58" w:rsidRPr="00EB5379" w:rsidRDefault="00897C58" w:rsidP="00897C58">
            <w:pPr>
              <w:pStyle w:val="TableText0"/>
              <w:jc w:val="center"/>
              <w:rPr>
                <w:szCs w:val="20"/>
              </w:rPr>
            </w:pPr>
            <w:r w:rsidRPr="00EB5379">
              <w:rPr>
                <w:rFonts w:cs="Arial"/>
                <w:color w:val="000000"/>
                <w:szCs w:val="20"/>
              </w:rPr>
              <w:t>$</w:t>
            </w:r>
            <w:r w:rsidR="00DF10EB">
              <w:rPr>
                <w:rFonts w:cs="Arial"/>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97C58" w:rsidRPr="00EB5379" w:rsidRDefault="00897C58" w:rsidP="00897C58">
            <w:pPr>
              <w:pStyle w:val="TableText0"/>
              <w:jc w:val="center"/>
              <w:rPr>
                <w:szCs w:val="20"/>
              </w:rPr>
            </w:pPr>
            <w:r w:rsidRPr="00EB5379">
              <w:rPr>
                <w:rFonts w:cs="Arial"/>
                <w:color w:val="000000"/>
                <w:szCs w:val="20"/>
              </w:rPr>
              <w:t>$</w:t>
            </w:r>
            <w:r w:rsidR="00DF10EB">
              <w:rPr>
                <w:rFonts w:cs="Arial"/>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97C58" w:rsidRPr="00EB5379" w:rsidRDefault="00897C58" w:rsidP="00897C58">
            <w:pPr>
              <w:pStyle w:val="TableText0"/>
              <w:jc w:val="center"/>
              <w:rPr>
                <w:szCs w:val="20"/>
              </w:rPr>
            </w:pPr>
            <w:r w:rsidRPr="00EB5379">
              <w:rPr>
                <w:rFonts w:cs="Arial"/>
                <w:color w:val="000000"/>
                <w:szCs w:val="20"/>
              </w:rPr>
              <w:t>$</w:t>
            </w:r>
            <w:r w:rsidR="00DF10EB">
              <w:rPr>
                <w:rFonts w:cs="Arial"/>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97C58" w:rsidRPr="00EB5379" w:rsidRDefault="00897C58" w:rsidP="00897C58">
            <w:pPr>
              <w:pStyle w:val="TableText0"/>
              <w:jc w:val="center"/>
              <w:rPr>
                <w:szCs w:val="20"/>
              </w:rPr>
            </w:pPr>
            <w:r w:rsidRPr="00EB5379">
              <w:rPr>
                <w:rFonts w:cs="Arial"/>
                <w:color w:val="000000"/>
                <w:szCs w:val="20"/>
              </w:rPr>
              <w:t>$</w:t>
            </w:r>
            <w:r w:rsidR="00DF10EB">
              <w:rPr>
                <w:rFonts w:cs="Arial"/>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97C58" w:rsidRPr="00EB5379" w:rsidRDefault="00897C58" w:rsidP="00897C58">
            <w:pPr>
              <w:pStyle w:val="TableText0"/>
              <w:jc w:val="center"/>
            </w:pPr>
            <w:r w:rsidRPr="00EB5379">
              <w:rPr>
                <w:rFonts w:cs="Arial"/>
                <w:color w:val="000000"/>
                <w:szCs w:val="20"/>
              </w:rPr>
              <w:t>$</w:t>
            </w:r>
            <w:r w:rsidR="00DF10EB">
              <w:rPr>
                <w:rFonts w:cs="Arial"/>
                <w:noProof/>
                <w:color w:val="000000"/>
                <w:szCs w:val="20"/>
                <w:highlight w:val="black"/>
              </w:rPr>
              <w:t>''''''''''''''''''''''''''''</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897C58" w:rsidRPr="00EB5379" w:rsidRDefault="00897C58" w:rsidP="00897C58">
            <w:pPr>
              <w:pStyle w:val="TableText0"/>
              <w:jc w:val="center"/>
            </w:pPr>
            <w:r w:rsidRPr="00EB5379">
              <w:rPr>
                <w:rFonts w:cs="Arial"/>
                <w:color w:val="000000"/>
                <w:szCs w:val="20"/>
              </w:rPr>
              <w:t>$</w:t>
            </w:r>
            <w:r w:rsidR="00DF10EB">
              <w:rPr>
                <w:rFonts w:cs="Arial"/>
                <w:noProof/>
                <w:color w:val="000000"/>
                <w:szCs w:val="20"/>
                <w:highlight w:val="black"/>
              </w:rPr>
              <w:t>''''''''''''''''''''''''</w:t>
            </w:r>
          </w:p>
        </w:tc>
      </w:tr>
      <w:tr w:rsidR="001F452F" w:rsidRPr="00EB5379" w:rsidTr="00897C58">
        <w:tc>
          <w:tcPr>
            <w:tcW w:w="1115" w:type="pct"/>
            <w:shd w:val="clear" w:color="auto" w:fill="C6D9F1" w:themeFill="text2" w:themeFillTint="33"/>
            <w:vAlign w:val="center"/>
          </w:tcPr>
          <w:p w:rsidR="001F452F" w:rsidRPr="00EB5379" w:rsidRDefault="001F452F" w:rsidP="001F452F">
            <w:pPr>
              <w:pStyle w:val="TableText0"/>
              <w:rPr>
                <w:szCs w:val="20"/>
              </w:rPr>
            </w:pPr>
            <w:r w:rsidRPr="00EB5379">
              <w:rPr>
                <w:szCs w:val="20"/>
              </w:rPr>
              <w:t>March 2020 (pre-PBAC response)</w:t>
            </w: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C6D9F1" w:themeFill="text2" w:themeFillTint="33"/>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C6D9F1" w:themeFill="text2" w:themeFillTint="33"/>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C6D9F1" w:themeFill="text2" w:themeFillTint="33"/>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auto" w:fill="C6D9F1" w:themeFill="text2" w:themeFillTint="33"/>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50" w:type="pct"/>
            <w:tcBorders>
              <w:top w:val="single" w:sz="4" w:space="0" w:color="auto"/>
              <w:left w:val="nil"/>
              <w:bottom w:val="single" w:sz="4" w:space="0" w:color="auto"/>
              <w:right w:val="single" w:sz="4" w:space="0" w:color="auto"/>
            </w:tcBorders>
            <w:shd w:val="clear" w:color="auto" w:fill="C6D9F1" w:themeFill="text2" w:themeFillTint="33"/>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r>
      <w:tr w:rsidR="001F452F" w:rsidRPr="00EB5379" w:rsidTr="0056568F">
        <w:tc>
          <w:tcPr>
            <w:tcW w:w="1115" w:type="pct"/>
            <w:shd w:val="clear" w:color="auto" w:fill="C6D9F1" w:themeFill="text2" w:themeFillTint="33"/>
            <w:vAlign w:val="center"/>
          </w:tcPr>
          <w:p w:rsidR="001F452F" w:rsidRPr="00EB5379" w:rsidRDefault="001F452F" w:rsidP="001F452F">
            <w:pPr>
              <w:pStyle w:val="TableText0"/>
              <w:rPr>
                <w:szCs w:val="20"/>
              </w:rPr>
            </w:pPr>
            <w:r w:rsidRPr="00EB5379">
              <w:rPr>
                <w:szCs w:val="20"/>
              </w:rPr>
              <w:t xml:space="preserve">March 2019 </w:t>
            </w:r>
          </w:p>
        </w:tc>
        <w:tc>
          <w:tcPr>
            <w:tcW w:w="647" w:type="pct"/>
            <w:shd w:val="clear" w:color="auto" w:fill="B8CCE4" w:themeFill="accent1" w:themeFillTint="66"/>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47" w:type="pct"/>
            <w:shd w:val="clear" w:color="auto" w:fill="B8CCE4" w:themeFill="accent1" w:themeFillTint="66"/>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47" w:type="pct"/>
            <w:shd w:val="clear" w:color="auto" w:fill="B8CCE4" w:themeFill="accent1" w:themeFillTint="66"/>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47" w:type="pct"/>
            <w:shd w:val="clear" w:color="auto" w:fill="B8CCE4" w:themeFill="accent1" w:themeFillTint="66"/>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47" w:type="pct"/>
            <w:shd w:val="clear" w:color="auto" w:fill="B8CCE4" w:themeFill="accent1" w:themeFillTint="66"/>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c>
          <w:tcPr>
            <w:tcW w:w="650" w:type="pct"/>
            <w:shd w:val="clear" w:color="auto" w:fill="B8CCE4" w:themeFill="accent1" w:themeFillTint="66"/>
          </w:tcPr>
          <w:p w:rsidR="001F452F" w:rsidRPr="00EB5379" w:rsidRDefault="001F452F" w:rsidP="001F452F">
            <w:pPr>
              <w:pStyle w:val="TableText0"/>
              <w:jc w:val="center"/>
              <w:rPr>
                <w:szCs w:val="20"/>
              </w:rPr>
            </w:pPr>
            <w:r w:rsidRPr="00EB5379">
              <w:rPr>
                <w:szCs w:val="20"/>
              </w:rPr>
              <w:t>$</w:t>
            </w:r>
            <w:r w:rsidR="00DF10EB">
              <w:rPr>
                <w:noProof/>
                <w:color w:val="000000"/>
                <w:szCs w:val="20"/>
                <w:highlight w:val="black"/>
              </w:rPr>
              <w:t>'''''''''''''''''''''''''''''''</w:t>
            </w:r>
          </w:p>
        </w:tc>
      </w:tr>
    </w:tbl>
    <w:p w:rsidR="00B438B9" w:rsidRPr="00EB5379" w:rsidRDefault="00B438B9" w:rsidP="00B438B9">
      <w:pPr>
        <w:pStyle w:val="TableFigureFooter"/>
        <w:keepNext/>
      </w:pPr>
      <w:r w:rsidRPr="00EB5379">
        <w:t>Source: Table 4, p5 of the submission; Attachment 3_ Xarelto (rivaroxaban) Utilisation and Cost – revised.xlxs</w:t>
      </w:r>
    </w:p>
    <w:p w:rsidR="007A44A0" w:rsidRPr="00EB5379" w:rsidRDefault="007A44A0" w:rsidP="00F37ECA">
      <w:pPr>
        <w:pStyle w:val="TableFigureFooter"/>
        <w:keepNext/>
        <w:jc w:val="left"/>
      </w:pPr>
      <w:r w:rsidRPr="00EB5379">
        <w:rPr>
          <w:vertAlign w:val="superscript"/>
        </w:rPr>
        <w:t>a</w:t>
      </w:r>
      <w:r w:rsidRPr="00EB5379">
        <w:t xml:space="preserve"> The submission assumed loss of patent exclusivity would occur from Year 4</w:t>
      </w:r>
      <w:r w:rsidR="00B438B9" w:rsidRPr="00EB5379">
        <w:t xml:space="preserve"> and thus reduced the uptake rates to maintain PBS/RPBS expenditure at </w:t>
      </w:r>
      <w:r w:rsidR="00DF10EB">
        <w:rPr>
          <w:noProof/>
          <w:color w:val="000000"/>
          <w:highlight w:val="black"/>
        </w:rPr>
        <w:t>''''''''''''' ''''''''' ''''''''''''''' '''''''' '''''''''''</w:t>
      </w:r>
    </w:p>
    <w:p w:rsidR="001F452F" w:rsidRDefault="001F452F" w:rsidP="00946AD0">
      <w:pPr>
        <w:pStyle w:val="TableFigureFooter"/>
        <w:spacing w:after="240"/>
      </w:pPr>
      <w:r w:rsidRPr="00EB5379">
        <w:rPr>
          <w:vertAlign w:val="superscript"/>
        </w:rPr>
        <w:t>b</w:t>
      </w:r>
      <w:r w:rsidRPr="00EB5379">
        <w:t xml:space="preserve"> Assuming 9.3 scripts/patient/year based on compliance of 76.39%</w:t>
      </w:r>
      <w:r w:rsidR="00652143" w:rsidRPr="00EB5379">
        <w:t xml:space="preserve">, and assuming that patients cease rivaroxaban for 12 months if they have an event </w:t>
      </w:r>
      <w:r w:rsidR="00202DF4" w:rsidRPr="00EB5379">
        <w:t>(based on event rates from the economic model)</w:t>
      </w:r>
      <w:r w:rsidR="00951D9B" w:rsidRPr="00EB5379">
        <w:t xml:space="preserve"> which results in average of 8.8 scripts/patient/year.</w:t>
      </w:r>
    </w:p>
    <w:p w:rsidR="00F64C2B" w:rsidRDefault="00F64C2B" w:rsidP="00946AD0">
      <w:pPr>
        <w:pStyle w:val="TableFigureFooter"/>
        <w:spacing w:after="240"/>
      </w:pPr>
    </w:p>
    <w:p w:rsidR="00F64C2B" w:rsidRPr="00F64C2B" w:rsidRDefault="00F64C2B" w:rsidP="00946AD0">
      <w:pPr>
        <w:pStyle w:val="TableFigureFooter"/>
        <w:spacing w:after="240"/>
        <w:rPr>
          <w:rFonts w:asciiTheme="minorHAnsi" w:hAnsiTheme="minorHAnsi" w:cstheme="minorHAnsi"/>
          <w:i/>
          <w:sz w:val="24"/>
          <w:szCs w:val="24"/>
        </w:rPr>
      </w:pPr>
      <w:r>
        <w:rPr>
          <w:rFonts w:asciiTheme="minorHAnsi" w:hAnsiTheme="minorHAnsi" w:cstheme="minorHAnsi"/>
          <w:i/>
          <w:sz w:val="24"/>
          <w:szCs w:val="24"/>
        </w:rPr>
        <w:t>The redacted table shows that at Year 6, the estimated number of patients treated was 10,000 – 50,000.</w:t>
      </w:r>
    </w:p>
    <w:p w:rsidR="00897C58" w:rsidRPr="00EB5379" w:rsidRDefault="000E5DCE" w:rsidP="00897C58">
      <w:pPr>
        <w:pStyle w:val="3Bodytext"/>
      </w:pPr>
      <w:r w:rsidRPr="00EB5379">
        <w:t xml:space="preserve">The </w:t>
      </w:r>
      <w:r w:rsidR="0056568F" w:rsidRPr="00EB5379">
        <w:t>pre-PBAC response</w:t>
      </w:r>
      <w:r w:rsidRPr="00EB5379">
        <w:t xml:space="preserve"> estimated a net cost to the PBS/RPBS of </w:t>
      </w:r>
      <w:r w:rsidR="00631171">
        <w:t>$30 - $60</w:t>
      </w:r>
      <w:r w:rsidRPr="00EB5379">
        <w:t xml:space="preserve"> million in Year 6 of listing, with a total net cost to the PBS/RPBS of </w:t>
      </w:r>
      <w:r w:rsidR="00631171">
        <w:t xml:space="preserve">more than </w:t>
      </w:r>
      <w:r w:rsidRPr="00EB5379">
        <w:t>$</w:t>
      </w:r>
      <w:r w:rsidR="00631171">
        <w:t>100</w:t>
      </w:r>
      <w:r w:rsidRPr="00EB5379">
        <w:t xml:space="preserve"> million over the first 6 years of listing. </w:t>
      </w:r>
      <w:r w:rsidR="00470B9B" w:rsidRPr="00EB5379">
        <w:t>T</w:t>
      </w:r>
      <w:r w:rsidR="00897C58" w:rsidRPr="00EB5379">
        <w:t xml:space="preserve">he pre-PBAC response </w:t>
      </w:r>
      <w:r w:rsidR="00470B9B" w:rsidRPr="00EB5379">
        <w:t xml:space="preserve">also </w:t>
      </w:r>
      <w:r w:rsidR="00897C58" w:rsidRPr="00EB5379">
        <w:t xml:space="preserve">proposed RSA expenditure caps that would cap PBS/RPBS expenditure at </w:t>
      </w:r>
      <w:r w:rsidR="00DF10EB">
        <w:rPr>
          <w:noProof/>
          <w:color w:val="000000"/>
          <w:highlight w:val="black"/>
        </w:rPr>
        <w:t>'''''''''''''' ''''''''''''</w:t>
      </w:r>
      <w:r w:rsidR="00897C58" w:rsidRPr="00EB5379">
        <w:t xml:space="preserve"> over the first 6 years of listing. </w:t>
      </w:r>
    </w:p>
    <w:p w:rsidR="000E5DCE" w:rsidRPr="00EB5379" w:rsidRDefault="005359F9" w:rsidP="005359F9">
      <w:pPr>
        <w:pStyle w:val="3Bodytext"/>
      </w:pPr>
      <w:r w:rsidRPr="00EB5379">
        <w:t xml:space="preserve">This </w:t>
      </w:r>
      <w:r w:rsidR="003D032D" w:rsidRPr="00EB5379">
        <w:t xml:space="preserve">expenditure </w:t>
      </w:r>
      <w:r w:rsidRPr="00EB5379">
        <w:t xml:space="preserve">was lower than estimated in previous </w:t>
      </w:r>
      <w:r w:rsidR="008672C8" w:rsidRPr="00EB5379">
        <w:t>submissions, which</w:t>
      </w:r>
      <w:r w:rsidRPr="00EB5379">
        <w:t xml:space="preserve"> estimated costs over 6 years of: </w:t>
      </w:r>
      <w:r w:rsidR="00631171">
        <w:t xml:space="preserve">more than </w:t>
      </w:r>
      <w:r w:rsidRPr="00EB5379">
        <w:t>$</w:t>
      </w:r>
      <w:r w:rsidR="00631171">
        <w:t>100</w:t>
      </w:r>
      <w:r w:rsidRPr="00EB5379">
        <w:t xml:space="preserve"> million in the previous pre-PBAC response, </w:t>
      </w:r>
      <w:r w:rsidR="00631171">
        <w:t xml:space="preserve">more than </w:t>
      </w:r>
      <w:r w:rsidRPr="00EB5379">
        <w:t>$</w:t>
      </w:r>
      <w:r w:rsidR="00631171">
        <w:t>100</w:t>
      </w:r>
      <w:r w:rsidRPr="00EB5379">
        <w:t xml:space="preserve"> million in the previous submission and </w:t>
      </w:r>
      <w:r w:rsidR="00631171">
        <w:t xml:space="preserve">more than </w:t>
      </w:r>
      <w:r w:rsidRPr="00EB5379">
        <w:t>$</w:t>
      </w:r>
      <w:r w:rsidR="00631171">
        <w:t>100</w:t>
      </w:r>
      <w:r w:rsidRPr="00EB5379">
        <w:t xml:space="preserve"> million in the March 2019 submission.</w:t>
      </w:r>
    </w:p>
    <w:p w:rsidR="00953467" w:rsidRPr="00EB5379" w:rsidRDefault="00953467" w:rsidP="00953467">
      <w:pPr>
        <w:pStyle w:val="3Bodytext"/>
      </w:pPr>
      <w:r w:rsidRPr="00EB5379">
        <w:t xml:space="preserve">The submission stated that the sponsor plans to commence a special access program for rivaroxaban. There were </w:t>
      </w:r>
      <w:r w:rsidR="00631171">
        <w:t>less than 10,000</w:t>
      </w:r>
      <w:r w:rsidRPr="00EB5379">
        <w:t xml:space="preserve"> grandfather</w:t>
      </w:r>
      <w:r w:rsidR="00912C64" w:rsidRPr="00EB5379">
        <w:t xml:space="preserve"> </w:t>
      </w:r>
      <w:r w:rsidRPr="00EB5379">
        <w:t xml:space="preserve">patients included in the submission’s estimates of uptake in Year 1 of listing. </w:t>
      </w:r>
    </w:p>
    <w:p w:rsidR="00953467" w:rsidRPr="00EB5379" w:rsidRDefault="00953467" w:rsidP="00953467">
      <w:pPr>
        <w:pStyle w:val="3Bodytext"/>
      </w:pPr>
      <w:r w:rsidRPr="00EB5379">
        <w:t xml:space="preserve">The previous pre-PBAC response also estimated the impact on utilisation due to the ESC’s suggested changes to the restriction (inclusion of patients with CAD and diabetes which may increase patient numbers, and further targeting of the PAD only population which may reduce patient numbers) based on data from the Western Australia linked </w:t>
      </w:r>
      <w:r w:rsidRPr="00EB5379">
        <w:lastRenderedPageBreak/>
        <w:t xml:space="preserve">data analysis. The pre-PBAC response estimated that the restriction changes would lead to an overall increase of </w:t>
      </w:r>
      <w:r w:rsidR="00631171">
        <w:t>less than 10,000</w:t>
      </w:r>
      <w:r w:rsidRPr="00EB5379">
        <w:t xml:space="preserve"> patients, comprising an increase of </w:t>
      </w:r>
      <w:r w:rsidR="00631171">
        <w:t>less than 10,000</w:t>
      </w:r>
      <w:r w:rsidRPr="00EB5379">
        <w:t xml:space="preserve"> patients with CAD and diabetes, and a reduction of </w:t>
      </w:r>
      <w:r w:rsidR="00631171">
        <w:t>less than 10,000</w:t>
      </w:r>
      <w:r w:rsidRPr="00EB5379">
        <w:t xml:space="preserve"> patients with PAD only (i.e. without concomitant diabetes, HF, or CKD). The pre-PBAC response did not include these additional patients in the revised financial estimates nor the revised RSA caps. </w:t>
      </w:r>
      <w:r w:rsidR="00ED6D33" w:rsidRPr="00EB5379">
        <w:t>In March 2020, the PBAC considered that t</w:t>
      </w:r>
      <w:r w:rsidRPr="00EB5379">
        <w:t xml:space="preserve">his was likely conservative in the context of an RSA with </w:t>
      </w:r>
      <w:r w:rsidR="00DF10EB">
        <w:rPr>
          <w:noProof/>
          <w:color w:val="000000"/>
          <w:highlight w:val="black"/>
        </w:rPr>
        <w:t>'''''''''''</w:t>
      </w:r>
      <w:r w:rsidRPr="00EB5379">
        <w:t xml:space="preserve"> rebate above the caps. (paragraph 6.73, rivaroxaban </w:t>
      </w:r>
      <w:r w:rsidR="000D3B77">
        <w:t>PSD</w:t>
      </w:r>
      <w:r w:rsidRPr="00EB5379">
        <w:t xml:space="preserve">, March 2020). </w:t>
      </w:r>
      <w:r w:rsidR="00BC3394" w:rsidRPr="00EB5379">
        <w:t>These additional patients were also not included in the submission.</w:t>
      </w:r>
    </w:p>
    <w:p w:rsidR="009E0332" w:rsidRPr="00EB5379" w:rsidRDefault="009E0332" w:rsidP="009E0332">
      <w:pPr>
        <w:pStyle w:val="3-SubsectionHeading"/>
        <w:rPr>
          <w:lang w:eastAsia="en-US"/>
        </w:rPr>
      </w:pPr>
      <w:r w:rsidRPr="00EB5379">
        <w:rPr>
          <w:lang w:eastAsia="en-US"/>
        </w:rPr>
        <w:t>Financial Management – Risk Sharing Arrangements</w:t>
      </w:r>
    </w:p>
    <w:p w:rsidR="009E0332" w:rsidRPr="00EB5379" w:rsidRDefault="009E0332" w:rsidP="005E1067">
      <w:pPr>
        <w:widowControl w:val="0"/>
        <w:numPr>
          <w:ilvl w:val="1"/>
          <w:numId w:val="1"/>
        </w:numPr>
        <w:spacing w:after="120"/>
      </w:pPr>
      <w:r w:rsidRPr="00EB5379">
        <w:rPr>
          <w:rFonts w:eastAsiaTheme="majorEastAsia"/>
          <w:lang w:eastAsia="en-US"/>
        </w:rPr>
        <w:t>In its previous consideration, ‘</w:t>
      </w:r>
      <w:r w:rsidR="00BC3394" w:rsidRPr="00EB5379">
        <w:rPr>
          <w:rFonts w:eastAsiaTheme="majorEastAsia"/>
          <w:lang w:eastAsia="en-US"/>
        </w:rPr>
        <w:t>t</w:t>
      </w:r>
      <w:r w:rsidRPr="00EB5379">
        <w:t xml:space="preserve">he PBAC considered that a RSA with a </w:t>
      </w:r>
      <w:r w:rsidR="00DF10EB">
        <w:rPr>
          <w:noProof/>
          <w:color w:val="000000"/>
          <w:highlight w:val="black"/>
        </w:rPr>
        <w:t>'''''''''''</w:t>
      </w:r>
      <w:r w:rsidRPr="00EB5379">
        <w:t xml:space="preserve"> rebate for use above the caps would be required given the uncertain patient numbers and the potential for use outside the restriction. The PBAC emphasised that the financial estimates underpinning this RSA would need to be based on conservative assumptions to provide confidence that the utilisation estimates reflect only the intended high-risk population in ord</w:t>
      </w:r>
      <w:r w:rsidR="00A35D3A" w:rsidRPr="00EB5379">
        <w:t>er to ensure cost-effectiveness’</w:t>
      </w:r>
      <w:r w:rsidRPr="00EB5379">
        <w:t xml:space="preserve"> (paragraph 7.13, rivaroxaban </w:t>
      </w:r>
      <w:r w:rsidR="000D3B77">
        <w:t>PSD</w:t>
      </w:r>
      <w:r w:rsidRPr="00EB5379">
        <w:t xml:space="preserve">, March 2020). </w:t>
      </w:r>
    </w:p>
    <w:p w:rsidR="00897C58" w:rsidRPr="00EB5379" w:rsidRDefault="00BC3394" w:rsidP="0087256C">
      <w:pPr>
        <w:widowControl w:val="0"/>
        <w:numPr>
          <w:ilvl w:val="1"/>
          <w:numId w:val="1"/>
        </w:numPr>
        <w:spacing w:after="120"/>
      </w:pPr>
      <w:r w:rsidRPr="00EB5379">
        <w:t xml:space="preserve">The revised estimates proposed in the submission were based on the conservative assumptions as requested by the March 2020 PBAC. </w:t>
      </w:r>
    </w:p>
    <w:p w:rsidR="00BC3394" w:rsidRPr="00EB5379" w:rsidRDefault="00897C58" w:rsidP="00897C58">
      <w:pPr>
        <w:pStyle w:val="3Bodytext"/>
      </w:pPr>
      <w:r w:rsidRPr="00EB5379">
        <w:t xml:space="preserve">The pre-PBAC response proposed a RSA with cap as outlined in Table </w:t>
      </w:r>
      <w:r w:rsidR="001A7C84" w:rsidRPr="00EB5379">
        <w:t>6</w:t>
      </w:r>
      <w:r w:rsidRPr="00EB5379">
        <w:t xml:space="preserve"> above. </w:t>
      </w:r>
      <w:r w:rsidR="003D032D" w:rsidRPr="00EB5379">
        <w:t xml:space="preserve">The proposed RSA caps were </w:t>
      </w:r>
      <w:r w:rsidRPr="00EB5379">
        <w:t xml:space="preserve">set at </w:t>
      </w:r>
      <w:r w:rsidR="00DF10EB">
        <w:rPr>
          <w:noProof/>
          <w:color w:val="000000"/>
          <w:highlight w:val="black"/>
        </w:rPr>
        <w:t>''''''' '''''''' ''''''' '''''''''''''</w:t>
      </w:r>
      <w:r w:rsidRPr="00EB5379">
        <w:t xml:space="preserve"> per year from Year 3 onwards, noting this was lower than estimated expenditure, which the pre-PBAC response stated was </w:t>
      </w:r>
      <w:r w:rsidRPr="00EB5379">
        <w:rPr>
          <w:rFonts w:ascii="Calibri" w:eastAsia="Times New Roman" w:hAnsi="Calibri" w:cs="Times New Roman"/>
          <w:szCs w:val="24"/>
        </w:rPr>
        <w:t>due to rivaroxaban being anticipated to lose exclusivity late in 2023</w:t>
      </w:r>
      <w:r w:rsidR="007A5F72" w:rsidRPr="00EB5379">
        <w:rPr>
          <w:rFonts w:ascii="Calibri" w:eastAsia="Times New Roman" w:hAnsi="Calibri" w:cs="Times New Roman"/>
          <w:szCs w:val="24"/>
        </w:rPr>
        <w:t xml:space="preserve"> (Year 3 of the financial estimates)</w:t>
      </w:r>
      <w:r w:rsidRPr="00EB5379">
        <w:rPr>
          <w:rFonts w:ascii="Calibri" w:eastAsia="Times New Roman" w:hAnsi="Calibri" w:cs="Times New Roman"/>
          <w:szCs w:val="24"/>
        </w:rPr>
        <w:t>.</w:t>
      </w:r>
      <w:r w:rsidRPr="00EB5379">
        <w:t xml:space="preserve"> </w:t>
      </w:r>
      <w:r w:rsidR="007A5F72" w:rsidRPr="00EB5379">
        <w:t>The pre-PBAC response stated that the caps proposed ‘resulted in Commonwealth expenditure estimates below the current cabinet threshold’.</w:t>
      </w:r>
    </w:p>
    <w:p w:rsidR="0095221E" w:rsidRPr="00EB5379" w:rsidRDefault="0095221E" w:rsidP="0095221E">
      <w:pPr>
        <w:pStyle w:val="3Bodytext"/>
        <w:numPr>
          <w:ilvl w:val="0"/>
          <w:numId w:val="0"/>
        </w:numPr>
        <w:ind w:left="720"/>
        <w:rPr>
          <w:i/>
        </w:rPr>
      </w:pPr>
      <w:r w:rsidRPr="00EB5379">
        <w:rPr>
          <w:i/>
        </w:rPr>
        <w:t>For more detail on PBAC’s view, see section 6 PBAC outcomes.</w:t>
      </w:r>
    </w:p>
    <w:p w:rsidR="001C45ED" w:rsidRPr="00EB5379" w:rsidRDefault="001C45ED" w:rsidP="001C45ED">
      <w:pPr>
        <w:pStyle w:val="Heading1"/>
        <w:keepLines/>
        <w:numPr>
          <w:ilvl w:val="0"/>
          <w:numId w:val="3"/>
        </w:numPr>
        <w:spacing w:before="240"/>
        <w:ind w:left="709" w:hanging="709"/>
        <w:rPr>
          <w:sz w:val="32"/>
          <w:szCs w:val="32"/>
        </w:rPr>
      </w:pPr>
      <w:r w:rsidRPr="00EB5379">
        <w:rPr>
          <w:sz w:val="32"/>
          <w:szCs w:val="32"/>
        </w:rPr>
        <w:t>PBAC Outcome</w:t>
      </w:r>
    </w:p>
    <w:p w:rsidR="00AA17D1" w:rsidRPr="00EB5379" w:rsidRDefault="001C45ED" w:rsidP="008075E1">
      <w:pPr>
        <w:pStyle w:val="3Bodytext"/>
      </w:pPr>
      <w:r w:rsidRPr="00EB5379">
        <w:t xml:space="preserve">The PBAC recommended the </w:t>
      </w:r>
      <w:r w:rsidR="00AA17D1" w:rsidRPr="00EB5379">
        <w:t>Authority Required listing of rivaroxaban</w:t>
      </w:r>
      <w:r w:rsidR="002E3008" w:rsidRPr="00EB5379">
        <w:t xml:space="preserve"> for the</w:t>
      </w:r>
      <w:r w:rsidR="00AA17D1" w:rsidRPr="00EB5379">
        <w:t xml:space="preserve"> treatment of </w:t>
      </w:r>
      <w:r w:rsidR="00AA17D1" w:rsidRPr="00EB5379">
        <w:rPr>
          <w:rFonts w:cs="Arial"/>
          <w:snapToGrid w:val="0"/>
        </w:rPr>
        <w:t xml:space="preserve">patients at high risk of recurrent cardiovascular events with </w:t>
      </w:r>
      <w:r w:rsidR="00AA17D1" w:rsidRPr="00EB5379">
        <w:t>coronary artery disease (</w:t>
      </w:r>
      <w:r w:rsidR="00AA17D1" w:rsidRPr="00EB5379">
        <w:rPr>
          <w:rFonts w:cs="Arial"/>
          <w:snapToGrid w:val="0"/>
        </w:rPr>
        <w:t xml:space="preserve">CAD) or </w:t>
      </w:r>
      <w:r w:rsidR="00AA17D1" w:rsidRPr="00EB5379">
        <w:t>peripheral artery disease (</w:t>
      </w:r>
      <w:r w:rsidR="00AA17D1" w:rsidRPr="00EB5379">
        <w:rPr>
          <w:rFonts w:cs="Arial"/>
          <w:snapToGrid w:val="0"/>
        </w:rPr>
        <w:t xml:space="preserve">PAD) </w:t>
      </w:r>
      <w:r w:rsidR="008F48A5" w:rsidRPr="00EB5379">
        <w:rPr>
          <w:rFonts w:cs="Arial"/>
          <w:bCs/>
          <w:snapToGrid w:val="0"/>
        </w:rPr>
        <w:t>and additional high-risk factors.</w:t>
      </w:r>
      <w:r w:rsidR="00AA17D1" w:rsidRPr="00EB5379">
        <w:t xml:space="preserve"> </w:t>
      </w:r>
      <w:r w:rsidR="008075E1" w:rsidRPr="00EB5379">
        <w:rPr>
          <w:rFonts w:ascii="Calibri" w:eastAsia="Times New Roman" w:hAnsi="Calibri" w:cs="Times New Roman"/>
          <w:szCs w:val="24"/>
        </w:rPr>
        <w:t xml:space="preserve">The PBAC’s recommendation for listing was based on, among other matters, its assessment that the cost-effectiveness of rivaroxaban would </w:t>
      </w:r>
      <w:r w:rsidR="00E075E9" w:rsidRPr="00EB5379">
        <w:rPr>
          <w:rFonts w:ascii="Calibri" w:eastAsia="Times New Roman" w:hAnsi="Calibri" w:cs="Times New Roman"/>
          <w:szCs w:val="24"/>
        </w:rPr>
        <w:t xml:space="preserve">likely </w:t>
      </w:r>
      <w:r w:rsidR="008075E1" w:rsidRPr="00EB5379">
        <w:rPr>
          <w:rFonts w:ascii="Calibri" w:eastAsia="Times New Roman" w:hAnsi="Calibri" w:cs="Times New Roman"/>
          <w:szCs w:val="24"/>
        </w:rPr>
        <w:t xml:space="preserve">be acceptable at the price proposed in the minor submission. The PBAC </w:t>
      </w:r>
      <w:r w:rsidR="00971533" w:rsidRPr="00EB5379">
        <w:rPr>
          <w:rFonts w:ascii="Calibri" w:eastAsia="Times New Roman" w:hAnsi="Calibri" w:cs="Times New Roman"/>
          <w:szCs w:val="24"/>
        </w:rPr>
        <w:t xml:space="preserve">further </w:t>
      </w:r>
      <w:r w:rsidR="008075E1" w:rsidRPr="00EB5379">
        <w:rPr>
          <w:rFonts w:ascii="Calibri" w:eastAsia="Times New Roman" w:hAnsi="Calibri" w:cs="Times New Roman"/>
          <w:szCs w:val="24"/>
        </w:rPr>
        <w:t xml:space="preserve">considered that the financial impact estimated in the </w:t>
      </w:r>
      <w:r w:rsidR="001652D6" w:rsidRPr="00EB5379">
        <w:rPr>
          <w:rFonts w:ascii="Calibri" w:eastAsia="Times New Roman" w:hAnsi="Calibri" w:cs="Times New Roman"/>
          <w:szCs w:val="24"/>
        </w:rPr>
        <w:t>pre-PBAC response</w:t>
      </w:r>
      <w:r w:rsidR="008075E1" w:rsidRPr="00EB5379">
        <w:rPr>
          <w:rFonts w:ascii="Calibri" w:eastAsia="Times New Roman" w:hAnsi="Calibri" w:cs="Times New Roman"/>
          <w:szCs w:val="24"/>
        </w:rPr>
        <w:t xml:space="preserve"> was reasonable, </w:t>
      </w:r>
      <w:r w:rsidR="00971533" w:rsidRPr="00EB5379">
        <w:rPr>
          <w:rFonts w:ascii="Calibri" w:eastAsia="Times New Roman" w:hAnsi="Calibri" w:cs="Times New Roman"/>
          <w:szCs w:val="24"/>
        </w:rPr>
        <w:t xml:space="preserve">noting </w:t>
      </w:r>
      <w:r w:rsidR="008075E1" w:rsidRPr="00EB5379">
        <w:rPr>
          <w:rFonts w:ascii="Calibri" w:eastAsia="Times New Roman" w:hAnsi="Calibri" w:cs="Times New Roman"/>
          <w:szCs w:val="24"/>
        </w:rPr>
        <w:t xml:space="preserve">that the </w:t>
      </w:r>
      <w:r w:rsidR="00C24612">
        <w:rPr>
          <w:rFonts w:ascii="Calibri" w:eastAsia="Times New Roman" w:hAnsi="Calibri" w:cs="Times New Roman"/>
          <w:szCs w:val="24"/>
        </w:rPr>
        <w:t xml:space="preserve">Risk Sharing Arrangement (RSA) </w:t>
      </w:r>
      <w:r w:rsidR="00971533" w:rsidRPr="00EB5379">
        <w:rPr>
          <w:rFonts w:ascii="Calibri" w:eastAsia="Times New Roman" w:hAnsi="Calibri" w:cs="Times New Roman"/>
          <w:szCs w:val="24"/>
        </w:rPr>
        <w:t xml:space="preserve">proposed in the pre-PBAC response would appropriately mitigate the </w:t>
      </w:r>
      <w:r w:rsidR="008075E1" w:rsidRPr="00EB5379">
        <w:rPr>
          <w:rFonts w:ascii="Calibri" w:eastAsia="Times New Roman" w:hAnsi="Calibri" w:cs="Times New Roman"/>
          <w:szCs w:val="24"/>
        </w:rPr>
        <w:t xml:space="preserve">risk of </w:t>
      </w:r>
      <w:r w:rsidR="00C24612">
        <w:rPr>
          <w:rFonts w:ascii="Calibri" w:eastAsia="Times New Roman" w:hAnsi="Calibri" w:cs="Times New Roman"/>
          <w:szCs w:val="24"/>
        </w:rPr>
        <w:t xml:space="preserve">any </w:t>
      </w:r>
      <w:r w:rsidR="00971533" w:rsidRPr="00EB5379">
        <w:rPr>
          <w:rFonts w:ascii="Calibri" w:eastAsia="Times New Roman" w:hAnsi="Calibri" w:cs="Times New Roman"/>
          <w:szCs w:val="24"/>
        </w:rPr>
        <w:t xml:space="preserve">excess financial impact of the listing due to uncertain patient numbers, as well as potential </w:t>
      </w:r>
      <w:r w:rsidR="008075E1" w:rsidRPr="00EB5379">
        <w:rPr>
          <w:rFonts w:ascii="Calibri" w:eastAsia="Times New Roman" w:hAnsi="Calibri" w:cs="Times New Roman"/>
          <w:szCs w:val="24"/>
        </w:rPr>
        <w:t>use outside the restriction.</w:t>
      </w:r>
    </w:p>
    <w:p w:rsidR="001C45ED" w:rsidRPr="00EB5379" w:rsidRDefault="00AA17D1" w:rsidP="001C45ED">
      <w:pPr>
        <w:widowControl w:val="0"/>
        <w:numPr>
          <w:ilvl w:val="1"/>
          <w:numId w:val="1"/>
        </w:numPr>
        <w:spacing w:after="120"/>
      </w:pPr>
      <w:r w:rsidRPr="00EB5379">
        <w:t xml:space="preserve">The PBAC </w:t>
      </w:r>
      <w:r w:rsidR="003900FC" w:rsidRPr="00EB5379">
        <w:t>wa</w:t>
      </w:r>
      <w:r w:rsidRPr="00EB5379">
        <w:t xml:space="preserve">s satisfied that rivaroxaban in combination with aspirin </w:t>
      </w:r>
      <w:r w:rsidR="001C45ED" w:rsidRPr="00EB5379">
        <w:t xml:space="preserve">provides, for </w:t>
      </w:r>
      <w:r w:rsidR="001C45ED" w:rsidRPr="00EB5379">
        <w:lastRenderedPageBreak/>
        <w:t xml:space="preserve">some patients, a significant improvement in efficacy over </w:t>
      </w:r>
      <w:r w:rsidRPr="00EB5379">
        <w:t>aspirin alone</w:t>
      </w:r>
      <w:r w:rsidR="001C45ED" w:rsidRPr="00EB5379">
        <w:t>.</w:t>
      </w:r>
    </w:p>
    <w:p w:rsidR="00AA17D1" w:rsidRPr="00E075E9" w:rsidRDefault="00AA17D1" w:rsidP="00AA17D1">
      <w:pPr>
        <w:pStyle w:val="ListParagraph"/>
        <w:widowControl w:val="0"/>
        <w:numPr>
          <w:ilvl w:val="1"/>
          <w:numId w:val="1"/>
        </w:numPr>
        <w:spacing w:after="160"/>
        <w:jc w:val="both"/>
        <w:rPr>
          <w:bCs/>
        </w:rPr>
      </w:pPr>
      <w:r w:rsidRPr="00E075E9">
        <w:rPr>
          <w:bCs/>
        </w:rPr>
        <w:t xml:space="preserve">The PBAC </w:t>
      </w:r>
      <w:r w:rsidR="000F0B21" w:rsidRPr="00E075E9">
        <w:rPr>
          <w:bCs/>
        </w:rPr>
        <w:t>considered</w:t>
      </w:r>
      <w:r w:rsidRPr="00E075E9">
        <w:rPr>
          <w:bCs/>
        </w:rPr>
        <w:t xml:space="preserve"> that there is a</w:t>
      </w:r>
      <w:r w:rsidR="003D032D" w:rsidRPr="00E075E9">
        <w:rPr>
          <w:bCs/>
        </w:rPr>
        <w:t xml:space="preserve"> moderate</w:t>
      </w:r>
      <w:r w:rsidRPr="00E075E9">
        <w:rPr>
          <w:bCs/>
        </w:rPr>
        <w:t xml:space="preserve"> clinical need for effective treatments for the secondary prevention of thrombotic events in patients with a high risk of cardiovascular events. </w:t>
      </w:r>
    </w:p>
    <w:p w:rsidR="002E3008" w:rsidRPr="008652EF" w:rsidRDefault="002E3008" w:rsidP="008075E1">
      <w:pPr>
        <w:pStyle w:val="3Bodytext"/>
      </w:pPr>
      <w:r w:rsidRPr="00EB5379">
        <w:t xml:space="preserve">The PBAC considered that the restriction proposed in the submission </w:t>
      </w:r>
      <w:r w:rsidRPr="00EB5379">
        <w:rPr>
          <w:snapToGrid w:val="0"/>
          <w:lang w:eastAsia="en-US"/>
        </w:rPr>
        <w:t xml:space="preserve">adequately defined the high-risk subgroups who would derive the most benefit from treatment with rivaroxaban. </w:t>
      </w:r>
    </w:p>
    <w:p w:rsidR="00810C61" w:rsidRPr="00EB5379" w:rsidRDefault="00810C61" w:rsidP="00810C61">
      <w:pPr>
        <w:pStyle w:val="3Bodytext"/>
        <w:rPr>
          <w:snapToGrid w:val="0"/>
          <w:lang w:eastAsia="en-US"/>
        </w:rPr>
      </w:pPr>
      <w:r w:rsidRPr="00EB5379">
        <w:rPr>
          <w:snapToGrid w:val="0"/>
          <w:lang w:eastAsia="en-US"/>
        </w:rPr>
        <w:t xml:space="preserve">The PBAC considered that </w:t>
      </w:r>
      <w:r>
        <w:rPr>
          <w:snapToGrid w:val="0"/>
          <w:lang w:eastAsia="en-US"/>
        </w:rPr>
        <w:t>t</w:t>
      </w:r>
      <w:r w:rsidRPr="00CB4EDF">
        <w:rPr>
          <w:snapToGrid w:val="0"/>
          <w:lang w:eastAsia="en-US"/>
        </w:rPr>
        <w:t xml:space="preserve">reatment </w:t>
      </w:r>
      <w:r>
        <w:rPr>
          <w:snapToGrid w:val="0"/>
          <w:lang w:eastAsia="en-US"/>
        </w:rPr>
        <w:t xml:space="preserve">with rivaroxaban for this condition </w:t>
      </w:r>
      <w:r w:rsidRPr="00CB4EDF">
        <w:rPr>
          <w:snapToGrid w:val="0"/>
          <w:lang w:eastAsia="en-US"/>
        </w:rPr>
        <w:t>must be initiated by a specialist physician or in consultation with a specialist physician</w:t>
      </w:r>
      <w:r>
        <w:rPr>
          <w:snapToGrid w:val="0"/>
          <w:lang w:eastAsia="en-US"/>
        </w:rPr>
        <w:t>. The PBAC considered that treatment could be continued (after the initial PBS prescription) by non-specialist prescribers.</w:t>
      </w:r>
    </w:p>
    <w:p w:rsidR="001C45ED" w:rsidRPr="00EB5379" w:rsidRDefault="008075E1" w:rsidP="008075E1">
      <w:pPr>
        <w:pStyle w:val="3Bodytext"/>
      </w:pPr>
      <w:r w:rsidRPr="00EB5379">
        <w:rPr>
          <w:rFonts w:ascii="Calibri" w:eastAsia="Times New Roman" w:hAnsi="Calibri" w:cs="Calibri"/>
          <w:szCs w:val="24"/>
        </w:rPr>
        <w:t xml:space="preserve">The PBAC </w:t>
      </w:r>
      <w:r w:rsidRPr="00E075E9">
        <w:rPr>
          <w:bCs/>
        </w:rPr>
        <w:t>reiterated its previous advice</w:t>
      </w:r>
      <w:r w:rsidRPr="00EB5379">
        <w:rPr>
          <w:rFonts w:ascii="Calibri" w:eastAsia="Times New Roman" w:hAnsi="Calibri" w:cs="Calibri"/>
          <w:szCs w:val="24"/>
        </w:rPr>
        <w:t xml:space="preserve"> that aspirin alone, the nominated main comparator, was appropriate.</w:t>
      </w:r>
    </w:p>
    <w:p w:rsidR="008075E1" w:rsidRPr="00EB5379" w:rsidRDefault="008075E1" w:rsidP="00F36D3C">
      <w:pPr>
        <w:pStyle w:val="3Bodytext"/>
      </w:pPr>
      <w:r w:rsidRPr="00EB5379">
        <w:t>The PBAC considered that rivaroxaban is associated with important clinical benefits in the intended population</w:t>
      </w:r>
      <w:r w:rsidR="00F36D3C" w:rsidRPr="00EB5379">
        <w:t xml:space="preserve">, noting that the key trial, COMPASS, </w:t>
      </w:r>
      <w:r w:rsidR="00DB1B35" w:rsidRPr="00EB5379">
        <w:t xml:space="preserve">which comprises a broader population than requested for listing, </w:t>
      </w:r>
      <w:r w:rsidR="00F36D3C" w:rsidRPr="00EB5379">
        <w:t xml:space="preserve">found that rivaroxaban plus aspirin was associated with a statistically significant reduction in the proportion of patients who experienced myocardial infarction, stroke, or cardiovascular death (the primary outcome) compared with aspirin alone (HR: 0.76 (95% CI: 0.66, 0.86)). </w:t>
      </w:r>
    </w:p>
    <w:p w:rsidR="008075E1" w:rsidRPr="00EB5379" w:rsidRDefault="008075E1" w:rsidP="008075E1">
      <w:pPr>
        <w:pStyle w:val="3Bodytext"/>
      </w:pPr>
      <w:r w:rsidRPr="00EB5379">
        <w:t>The PBAC noted the submission had amended the economic model and adequately addressed the Committee’s previous concerns by</w:t>
      </w:r>
      <w:r w:rsidR="001923AA">
        <w:t xml:space="preserve"> proposing a</w:t>
      </w:r>
      <w:r w:rsidR="003D032D" w:rsidRPr="00EB5379">
        <w:t xml:space="preserve"> </w:t>
      </w:r>
      <w:r w:rsidR="00DF10EB">
        <w:rPr>
          <w:noProof/>
          <w:color w:val="000000"/>
          <w:highlight w:val="black"/>
        </w:rPr>
        <w:t>''</w:t>
      </w:r>
      <w:r w:rsidR="003D032D" w:rsidRPr="00EB5379">
        <w:t xml:space="preserve">% price reduction, which resulted in an incremental cost-effectiveness ratio (ICER) of </w:t>
      </w:r>
      <w:r w:rsidR="00571BD9">
        <w:t>$15,000 - $45,000</w:t>
      </w:r>
      <w:r w:rsidR="003D032D" w:rsidRPr="00571BD9">
        <w:t xml:space="preserve"> per QALY</w:t>
      </w:r>
      <w:r w:rsidR="00F36D3C" w:rsidRPr="00EB5379">
        <w:t>.</w:t>
      </w:r>
      <w:r w:rsidRPr="00EB5379">
        <w:t xml:space="preserve"> The PBAC considered that rivaroxaban was</w:t>
      </w:r>
      <w:r w:rsidR="006F6550">
        <w:t xml:space="preserve"> likely </w:t>
      </w:r>
      <w:r w:rsidRPr="00EB5379">
        <w:t xml:space="preserve">cost-effective at the proposed price in the requested population. </w:t>
      </w:r>
    </w:p>
    <w:p w:rsidR="003D032D" w:rsidRPr="00EB5379" w:rsidRDefault="006804F0" w:rsidP="006804F0">
      <w:pPr>
        <w:pStyle w:val="3Bodytext"/>
      </w:pPr>
      <w:r w:rsidRPr="00EB5379">
        <w:t xml:space="preserve">The PBAC </w:t>
      </w:r>
      <w:r w:rsidR="001652D6" w:rsidRPr="00EB5379">
        <w:t>note</w:t>
      </w:r>
      <w:r w:rsidRPr="00EB5379">
        <w:t xml:space="preserve">d that the </w:t>
      </w:r>
      <w:r w:rsidR="001652D6" w:rsidRPr="00EB5379">
        <w:t xml:space="preserve">submission’s </w:t>
      </w:r>
      <w:r w:rsidRPr="00EB5379">
        <w:t>financial estimates</w:t>
      </w:r>
      <w:r w:rsidR="003D032D" w:rsidRPr="00EB5379">
        <w:t xml:space="preserve"> </w:t>
      </w:r>
      <w:r w:rsidR="001652D6" w:rsidRPr="00EB5379">
        <w:t xml:space="preserve">had been </w:t>
      </w:r>
      <w:r w:rsidR="003D032D" w:rsidRPr="00EB5379">
        <w:t>revised to incorporate the reduced price</w:t>
      </w:r>
      <w:r w:rsidR="000F0B21" w:rsidRPr="00EB5379">
        <w:t xml:space="preserve"> </w:t>
      </w:r>
      <w:r w:rsidR="008F48A5" w:rsidRPr="00EB5379">
        <w:t>(</w:t>
      </w:r>
      <w:r w:rsidR="000F0B21" w:rsidRPr="00EB5379">
        <w:t xml:space="preserve">outlined </w:t>
      </w:r>
      <w:r w:rsidR="008F48A5" w:rsidRPr="00EB5379">
        <w:t xml:space="preserve">in the paragraph </w:t>
      </w:r>
      <w:r w:rsidR="000F0B21" w:rsidRPr="00EB5379">
        <w:t>abov</w:t>
      </w:r>
      <w:r w:rsidR="00F36D3C" w:rsidRPr="00EB5379">
        <w:t>e</w:t>
      </w:r>
      <w:r w:rsidR="008F48A5" w:rsidRPr="00EB5379">
        <w:t>)</w:t>
      </w:r>
      <w:r w:rsidR="003D032D" w:rsidRPr="00EB5379">
        <w:t xml:space="preserve"> and reduced uptake rates</w:t>
      </w:r>
      <w:r w:rsidR="001652D6" w:rsidRPr="00EB5379">
        <w:t>, with the pre-PBAC response proposing a clinically plausible steady increase in uptake over the first six years of listing. The PBAC considered that the financial estimates proposed in the pre-PBAC response were reasonable and reflected the intended population.</w:t>
      </w:r>
    </w:p>
    <w:p w:rsidR="006F6550" w:rsidRDefault="006804F0" w:rsidP="006804F0">
      <w:pPr>
        <w:pStyle w:val="3Bodytext"/>
      </w:pPr>
      <w:r w:rsidRPr="00EB5379">
        <w:t xml:space="preserve">The PBAC considered that </w:t>
      </w:r>
      <w:r w:rsidR="003D032D" w:rsidRPr="00EB5379">
        <w:t xml:space="preserve">the </w:t>
      </w:r>
      <w:r w:rsidRPr="00EB5379">
        <w:t xml:space="preserve">RSA </w:t>
      </w:r>
      <w:r w:rsidR="003D032D" w:rsidRPr="00EB5379">
        <w:t xml:space="preserve">proposed in the pre-PBAC response, which included </w:t>
      </w:r>
      <w:r w:rsidRPr="00EB5379">
        <w:t xml:space="preserve">a </w:t>
      </w:r>
      <w:r w:rsidR="00DF10EB">
        <w:rPr>
          <w:noProof/>
          <w:color w:val="000000"/>
          <w:highlight w:val="black"/>
        </w:rPr>
        <w:t>'''''''''''</w:t>
      </w:r>
      <w:r w:rsidR="00F36D3C" w:rsidRPr="00EB5379">
        <w:t xml:space="preserve"> </w:t>
      </w:r>
      <w:r w:rsidRPr="00EB5379">
        <w:t>rebate for use above the caps</w:t>
      </w:r>
      <w:r w:rsidR="00F36D3C" w:rsidRPr="00EB5379">
        <w:t xml:space="preserve"> and capped expenditure at </w:t>
      </w:r>
      <w:r w:rsidR="00DF10EB">
        <w:rPr>
          <w:noProof/>
          <w:color w:val="000000"/>
          <w:highlight w:val="black"/>
        </w:rPr>
        <w:t>''''''' '''''''' ''''''' ''''''''''''''</w:t>
      </w:r>
      <w:r w:rsidR="00F36D3C" w:rsidRPr="00EB5379">
        <w:t xml:space="preserve"> per year from Years 3 to 6</w:t>
      </w:r>
      <w:r w:rsidRPr="00EB5379">
        <w:t xml:space="preserve"> </w:t>
      </w:r>
      <w:r w:rsidR="006F6550">
        <w:t>would</w:t>
      </w:r>
      <w:r w:rsidR="003D032D" w:rsidRPr="00EB5379">
        <w:t xml:space="preserve"> </w:t>
      </w:r>
      <w:r w:rsidR="006F6550" w:rsidRPr="00EB5379">
        <w:rPr>
          <w:rFonts w:ascii="Calibri" w:eastAsia="Times New Roman" w:hAnsi="Calibri" w:cs="Times New Roman"/>
          <w:szCs w:val="24"/>
        </w:rPr>
        <w:t xml:space="preserve">appropriately mitigate the risk of </w:t>
      </w:r>
      <w:r w:rsidR="00C24612">
        <w:rPr>
          <w:rFonts w:ascii="Calibri" w:eastAsia="Times New Roman" w:hAnsi="Calibri" w:cs="Times New Roman"/>
          <w:szCs w:val="24"/>
        </w:rPr>
        <w:t xml:space="preserve">any </w:t>
      </w:r>
      <w:r w:rsidR="006F6550" w:rsidRPr="00EB5379">
        <w:rPr>
          <w:rFonts w:ascii="Calibri" w:eastAsia="Times New Roman" w:hAnsi="Calibri" w:cs="Times New Roman"/>
          <w:szCs w:val="24"/>
        </w:rPr>
        <w:t>excess financial impact of the listing due to uncertain patient numbers, as well as potential use outside the restriction</w:t>
      </w:r>
      <w:r w:rsidR="00C41CC9">
        <w:rPr>
          <w:rFonts w:ascii="Calibri" w:eastAsia="Times New Roman" w:hAnsi="Calibri" w:cs="Times New Roman"/>
          <w:szCs w:val="24"/>
        </w:rPr>
        <w:t>.</w:t>
      </w:r>
    </w:p>
    <w:p w:rsidR="001C45ED" w:rsidRPr="00EB5379" w:rsidRDefault="001C45ED" w:rsidP="008075E1">
      <w:pPr>
        <w:widowControl w:val="0"/>
        <w:numPr>
          <w:ilvl w:val="1"/>
          <w:numId w:val="1"/>
        </w:numPr>
        <w:spacing w:after="120"/>
        <w:rPr>
          <w:rFonts w:asciiTheme="minorHAnsi" w:eastAsiaTheme="minorHAnsi" w:hAnsiTheme="minorHAnsi" w:cstheme="minorBidi"/>
          <w:szCs w:val="22"/>
        </w:rPr>
      </w:pPr>
      <w:r w:rsidRPr="00EB5379">
        <w:rPr>
          <w:rFonts w:asciiTheme="minorHAnsi" w:eastAsiaTheme="minorHAnsi" w:hAnsiTheme="minorHAnsi" w:cstheme="minorBidi"/>
          <w:szCs w:val="22"/>
        </w:rPr>
        <w:t xml:space="preserve">The PBAC advised that </w:t>
      </w:r>
      <w:r w:rsidR="00AA17D1" w:rsidRPr="00EB5379">
        <w:rPr>
          <w:rFonts w:asciiTheme="minorHAnsi" w:eastAsiaTheme="minorHAnsi" w:hAnsiTheme="minorHAnsi" w:cstheme="minorBidi"/>
          <w:szCs w:val="22"/>
        </w:rPr>
        <w:t>rivaroxaban</w:t>
      </w:r>
      <w:r w:rsidRPr="00EB5379">
        <w:rPr>
          <w:rFonts w:asciiTheme="minorHAnsi" w:eastAsiaTheme="minorHAnsi" w:hAnsiTheme="minorHAnsi" w:cstheme="minorBidi"/>
          <w:szCs w:val="22"/>
        </w:rPr>
        <w:t xml:space="preserve"> is suitable for prescribing by nurse practitioners</w:t>
      </w:r>
      <w:r w:rsidR="0087443E" w:rsidRPr="00EB5379">
        <w:rPr>
          <w:rFonts w:asciiTheme="minorHAnsi" w:eastAsiaTheme="minorHAnsi" w:hAnsiTheme="minorHAnsi" w:cstheme="minorBidi"/>
          <w:szCs w:val="22"/>
        </w:rPr>
        <w:t xml:space="preserve"> (shared care model)</w:t>
      </w:r>
      <w:r w:rsidR="00AA17D1" w:rsidRPr="00EB5379">
        <w:rPr>
          <w:rFonts w:asciiTheme="minorHAnsi" w:eastAsiaTheme="minorHAnsi" w:hAnsiTheme="minorHAnsi" w:cstheme="minorBidi"/>
          <w:szCs w:val="22"/>
        </w:rPr>
        <w:t xml:space="preserve"> in the continuing </w:t>
      </w:r>
      <w:r w:rsidR="00E27AAC" w:rsidRPr="00EB5379">
        <w:rPr>
          <w:rFonts w:asciiTheme="minorHAnsi" w:eastAsiaTheme="minorHAnsi" w:hAnsiTheme="minorHAnsi" w:cstheme="minorBidi"/>
          <w:szCs w:val="22"/>
        </w:rPr>
        <w:t xml:space="preserve">listing </w:t>
      </w:r>
      <w:r w:rsidR="00AA17D1" w:rsidRPr="00EB5379">
        <w:rPr>
          <w:rFonts w:asciiTheme="minorHAnsi" w:eastAsiaTheme="minorHAnsi" w:hAnsiTheme="minorHAnsi" w:cstheme="minorBidi"/>
          <w:szCs w:val="22"/>
        </w:rPr>
        <w:t>only</w:t>
      </w:r>
      <w:r w:rsidR="00EB5379">
        <w:rPr>
          <w:rFonts w:asciiTheme="minorHAnsi" w:eastAsiaTheme="minorHAnsi" w:hAnsiTheme="minorHAnsi" w:cstheme="minorBidi"/>
          <w:szCs w:val="22"/>
        </w:rPr>
        <w:t xml:space="preserve">. </w:t>
      </w:r>
    </w:p>
    <w:p w:rsidR="00AA17D1" w:rsidRPr="00EB5379" w:rsidRDefault="001C45ED" w:rsidP="008F48A5">
      <w:pPr>
        <w:widowControl w:val="0"/>
        <w:numPr>
          <w:ilvl w:val="1"/>
          <w:numId w:val="1"/>
        </w:numPr>
        <w:spacing w:after="120"/>
        <w:rPr>
          <w:rFonts w:asciiTheme="minorHAnsi" w:hAnsiTheme="minorHAnsi" w:cs="Arial"/>
          <w:snapToGrid w:val="0"/>
          <w:lang w:eastAsia="en-US"/>
        </w:rPr>
      </w:pPr>
      <w:r w:rsidRPr="00EB5379">
        <w:rPr>
          <w:rFonts w:asciiTheme="minorHAnsi" w:eastAsiaTheme="minorHAnsi" w:hAnsiTheme="minorHAnsi" w:cstheme="minorBidi"/>
          <w:szCs w:val="22"/>
        </w:rPr>
        <w:t>The PBAC recommended that the Early Supply Rule should apply</w:t>
      </w:r>
      <w:r w:rsidR="0087443E" w:rsidRPr="00EB5379">
        <w:rPr>
          <w:rFonts w:asciiTheme="minorHAnsi" w:eastAsiaTheme="minorHAnsi" w:hAnsiTheme="minorHAnsi" w:cstheme="minorBidi"/>
          <w:szCs w:val="22"/>
        </w:rPr>
        <w:t xml:space="preserve"> as it applies to other long-</w:t>
      </w:r>
      <w:r w:rsidR="00AA17D1" w:rsidRPr="00EB5379">
        <w:rPr>
          <w:rFonts w:asciiTheme="minorHAnsi" w:eastAsiaTheme="minorHAnsi" w:hAnsiTheme="minorHAnsi" w:cstheme="minorBidi"/>
          <w:szCs w:val="22"/>
        </w:rPr>
        <w:t>term oral prophylactic antithrombotic agents.</w:t>
      </w:r>
    </w:p>
    <w:p w:rsidR="006804F0" w:rsidRPr="00EB5379" w:rsidRDefault="006804F0" w:rsidP="008F48A5">
      <w:pPr>
        <w:widowControl w:val="0"/>
        <w:numPr>
          <w:ilvl w:val="1"/>
          <w:numId w:val="1"/>
        </w:numPr>
        <w:spacing w:after="120"/>
        <w:rPr>
          <w:rFonts w:asciiTheme="minorHAnsi" w:hAnsiTheme="minorHAnsi" w:cs="Arial"/>
          <w:bCs/>
          <w:i/>
          <w:snapToGrid w:val="0"/>
        </w:rPr>
      </w:pPr>
      <w:r w:rsidRPr="00EB5379">
        <w:rPr>
          <w:rFonts w:asciiTheme="minorHAnsi" w:hAnsiTheme="minorHAnsi" w:cs="Arial"/>
          <w:bCs/>
          <w:snapToGrid w:val="0"/>
        </w:rPr>
        <w:lastRenderedPageBreak/>
        <w:t xml:space="preserve">The PBAC found that the criteria prescribed by the </w:t>
      </w:r>
      <w:r w:rsidRPr="00EB5379">
        <w:rPr>
          <w:rFonts w:asciiTheme="minorHAnsi" w:hAnsiTheme="minorHAnsi" w:cs="Arial"/>
          <w:bCs/>
          <w:i/>
          <w:snapToGrid w:val="0"/>
        </w:rPr>
        <w:t>National Health (Pharmaceuticals and Vaccines – Cost Recovery) Regulations 2009</w:t>
      </w:r>
      <w:r w:rsidRPr="00EB5379">
        <w:rPr>
          <w:rFonts w:asciiTheme="minorHAnsi" w:hAnsiTheme="minorHAnsi" w:cs="Arial"/>
          <w:bCs/>
          <w:snapToGrid w:val="0"/>
        </w:rPr>
        <w:t xml:space="preserve"> for Pricing Pathway A were not met. Specifically the PBAC found that the circumstances of its recommendation for rivaroxaban: </w:t>
      </w:r>
    </w:p>
    <w:p w:rsidR="006804F0" w:rsidRPr="00EB5379" w:rsidRDefault="006804F0" w:rsidP="008F48A5">
      <w:pPr>
        <w:widowControl w:val="0"/>
        <w:numPr>
          <w:ilvl w:val="0"/>
          <w:numId w:val="40"/>
        </w:numPr>
        <w:spacing w:after="120"/>
        <w:contextualSpacing/>
        <w:rPr>
          <w:rFonts w:asciiTheme="minorHAnsi" w:hAnsiTheme="minorHAnsi" w:cs="Arial"/>
          <w:bCs/>
          <w:snapToGrid w:val="0"/>
          <w:lang w:eastAsia="en-US"/>
        </w:rPr>
      </w:pPr>
      <w:r w:rsidRPr="00EB5379">
        <w:rPr>
          <w:rFonts w:asciiTheme="minorHAnsi" w:hAnsiTheme="minorHAnsi" w:cs="Arial"/>
          <w:bCs/>
          <w:snapToGrid w:val="0"/>
          <w:lang w:eastAsia="en-US"/>
        </w:rPr>
        <w:t xml:space="preserve">Treatment with rivaroxaban is expected to provide a substantial and clinically relevant improvement in efficacy over alternative therapies. </w:t>
      </w:r>
    </w:p>
    <w:p w:rsidR="006804F0" w:rsidRPr="00EB5379" w:rsidRDefault="006804F0" w:rsidP="008F48A5">
      <w:pPr>
        <w:widowControl w:val="0"/>
        <w:numPr>
          <w:ilvl w:val="0"/>
          <w:numId w:val="40"/>
        </w:numPr>
        <w:spacing w:after="120"/>
        <w:contextualSpacing/>
        <w:rPr>
          <w:rFonts w:asciiTheme="minorHAnsi" w:hAnsiTheme="minorHAnsi" w:cs="Arial"/>
          <w:bCs/>
          <w:snapToGrid w:val="0"/>
          <w:lang w:eastAsia="en-US"/>
        </w:rPr>
      </w:pPr>
      <w:r w:rsidRPr="00EB5379">
        <w:rPr>
          <w:rFonts w:asciiTheme="minorHAnsi" w:hAnsiTheme="minorHAnsi" w:cs="Arial"/>
          <w:bCs/>
          <w:snapToGrid w:val="0"/>
          <w:lang w:eastAsia="en-US"/>
        </w:rPr>
        <w:t>Treatment with rivaroxaban is not expected to address a high and urgent unmet clinical need</w:t>
      </w:r>
      <w:r w:rsidR="0087443E" w:rsidRPr="00EB5379">
        <w:rPr>
          <w:rFonts w:asciiTheme="minorHAnsi" w:hAnsiTheme="minorHAnsi" w:cs="Arial"/>
          <w:bCs/>
          <w:snapToGrid w:val="0"/>
          <w:lang w:eastAsia="en-US"/>
        </w:rPr>
        <w:t>.</w:t>
      </w:r>
    </w:p>
    <w:p w:rsidR="006804F0" w:rsidRPr="00EB5379" w:rsidRDefault="006804F0" w:rsidP="008F48A5">
      <w:pPr>
        <w:widowControl w:val="0"/>
        <w:numPr>
          <w:ilvl w:val="0"/>
          <w:numId w:val="40"/>
        </w:numPr>
        <w:spacing w:after="120"/>
        <w:ind w:left="1077" w:hanging="357"/>
        <w:rPr>
          <w:rFonts w:asciiTheme="minorHAnsi" w:hAnsiTheme="minorHAnsi" w:cs="Arial"/>
          <w:bCs/>
          <w:snapToGrid w:val="0"/>
          <w:lang w:eastAsia="en-US"/>
        </w:rPr>
      </w:pPr>
      <w:r w:rsidRPr="00EB5379">
        <w:rPr>
          <w:rFonts w:asciiTheme="minorHAnsi" w:hAnsiTheme="minorHAnsi" w:cs="Arial"/>
          <w:bCs/>
          <w:snapToGrid w:val="0"/>
          <w:lang w:eastAsia="en-US"/>
        </w:rPr>
        <w:t>It was not necessary to make a finding in relation to whether it would be in the public interest for the subsequent pricing application to be progressed under Pricing Pathway A because one or more of the preceding tests had failed.</w:t>
      </w:r>
    </w:p>
    <w:p w:rsidR="006804F0" w:rsidRPr="00EB5379" w:rsidRDefault="006804F0" w:rsidP="008F48A5">
      <w:pPr>
        <w:widowControl w:val="0"/>
        <w:numPr>
          <w:ilvl w:val="1"/>
          <w:numId w:val="1"/>
        </w:numPr>
        <w:spacing w:after="120"/>
        <w:rPr>
          <w:rFonts w:asciiTheme="minorHAnsi" w:hAnsiTheme="minorHAnsi" w:cs="Arial"/>
          <w:bCs/>
          <w:i/>
          <w:snapToGrid w:val="0"/>
        </w:rPr>
      </w:pPr>
      <w:r w:rsidRPr="00EB5379">
        <w:rPr>
          <w:rFonts w:asciiTheme="minorHAnsi" w:hAnsiTheme="minorHAnsi" w:cs="Arial"/>
          <w:bCs/>
          <w:snapToGrid w:val="0"/>
        </w:rPr>
        <w:t xml:space="preserve">The PBAC advised that this submission would not meet the criteria for an Independent Review as it received a positive recommendation. </w:t>
      </w:r>
    </w:p>
    <w:p w:rsidR="001C45ED" w:rsidRPr="00EB5379" w:rsidRDefault="001C45ED" w:rsidP="001C45ED">
      <w:pPr>
        <w:autoSpaceDE w:val="0"/>
        <w:autoSpaceDN w:val="0"/>
        <w:adjustRightInd w:val="0"/>
        <w:spacing w:before="240"/>
        <w:jc w:val="left"/>
        <w:rPr>
          <w:rFonts w:asciiTheme="minorHAnsi" w:hAnsiTheme="minorHAnsi" w:cs="Arial"/>
          <w:b/>
          <w:bCs/>
          <w:snapToGrid w:val="0"/>
        </w:rPr>
      </w:pPr>
      <w:r w:rsidRPr="00EB5379">
        <w:rPr>
          <w:rFonts w:asciiTheme="minorHAnsi" w:hAnsiTheme="minorHAnsi" w:cs="Arial"/>
          <w:b/>
          <w:bCs/>
          <w:snapToGrid w:val="0"/>
        </w:rPr>
        <w:t>Outcome:</w:t>
      </w:r>
    </w:p>
    <w:p w:rsidR="001C45ED" w:rsidRPr="00EB5379" w:rsidRDefault="001C45ED" w:rsidP="001C45ED">
      <w:pPr>
        <w:autoSpaceDE w:val="0"/>
        <w:autoSpaceDN w:val="0"/>
        <w:adjustRightInd w:val="0"/>
        <w:spacing w:after="120"/>
        <w:jc w:val="left"/>
        <w:rPr>
          <w:rFonts w:asciiTheme="minorHAnsi" w:hAnsiTheme="minorHAnsi" w:cs="Arial"/>
          <w:bCs/>
          <w:snapToGrid w:val="0"/>
        </w:rPr>
      </w:pPr>
      <w:r w:rsidRPr="00EB5379">
        <w:rPr>
          <w:rFonts w:asciiTheme="minorHAnsi" w:hAnsiTheme="minorHAnsi" w:cs="Arial"/>
          <w:bCs/>
          <w:snapToGrid w:val="0"/>
        </w:rPr>
        <w:t xml:space="preserve">Recommended </w:t>
      </w:r>
    </w:p>
    <w:p w:rsidR="001C45ED" w:rsidRPr="00EB5379" w:rsidRDefault="001C45ED" w:rsidP="006804F0">
      <w:pPr>
        <w:pStyle w:val="Heading1"/>
        <w:keepLines/>
        <w:numPr>
          <w:ilvl w:val="0"/>
          <w:numId w:val="3"/>
        </w:numPr>
        <w:spacing w:before="240"/>
        <w:ind w:left="709" w:hanging="709"/>
        <w:rPr>
          <w:sz w:val="32"/>
          <w:szCs w:val="32"/>
        </w:rPr>
      </w:pPr>
      <w:r w:rsidRPr="00EB5379">
        <w:rPr>
          <w:sz w:val="32"/>
          <w:szCs w:val="32"/>
        </w:rPr>
        <w:tab/>
        <w:t>Recommended listing</w:t>
      </w:r>
    </w:p>
    <w:p w:rsidR="001C45ED" w:rsidRPr="008231E9" w:rsidRDefault="004E674E" w:rsidP="001C45ED">
      <w:pPr>
        <w:autoSpaceDE w:val="0"/>
        <w:autoSpaceDN w:val="0"/>
        <w:adjustRightInd w:val="0"/>
        <w:spacing w:after="120"/>
        <w:jc w:val="left"/>
        <w:rPr>
          <w:rFonts w:asciiTheme="minorHAnsi" w:hAnsiTheme="minorHAnsi" w:cs="Arial"/>
          <w:bCs/>
          <w:i/>
          <w:snapToGrid w:val="0"/>
        </w:rPr>
      </w:pPr>
      <w:r w:rsidRPr="008231E9">
        <w:rPr>
          <w:rFonts w:asciiTheme="minorHAnsi" w:hAnsiTheme="minorHAnsi" w:cs="Arial"/>
          <w:bCs/>
          <w:snapToGrid w:val="0"/>
        </w:rPr>
        <w:t>7.</w:t>
      </w:r>
      <w:r w:rsidRPr="008231E9">
        <w:rPr>
          <w:rStyle w:val="3BodytextChar"/>
        </w:rPr>
        <w:t>1</w:t>
      </w:r>
      <w:r w:rsidRPr="008231E9">
        <w:rPr>
          <w:rStyle w:val="3BodytextChar"/>
        </w:rPr>
        <w:tab/>
      </w:r>
      <w:r w:rsidR="001C45ED" w:rsidRPr="008231E9">
        <w:rPr>
          <w:rStyle w:val="3BodytextChar"/>
          <w:i/>
        </w:rPr>
        <w:t xml:space="preserve">Add new </w:t>
      </w:r>
      <w:r w:rsidR="00220A3D" w:rsidRPr="008231E9">
        <w:rPr>
          <w:rStyle w:val="3BodytextChar"/>
          <w:i/>
        </w:rPr>
        <w:t>indication to new strength</w:t>
      </w:r>
      <w:r w:rsidRPr="008231E9">
        <w:rPr>
          <w:rStyle w:val="3BodytextChar"/>
          <w:i/>
        </w:rPr>
        <w:t xml:space="preserve"> (2.5 mg)</w:t>
      </w:r>
      <w:r w:rsidR="00220A3D" w:rsidRPr="008231E9">
        <w:rPr>
          <w:rStyle w:val="3BodytextChar"/>
          <w:i/>
        </w:rPr>
        <w:t xml:space="preserve"> only as follows</w:t>
      </w:r>
      <w:r w:rsidR="001C45ED" w:rsidRPr="008231E9">
        <w:rPr>
          <w:rStyle w:val="3BodytextCha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0"/>
        <w:gridCol w:w="1170"/>
        <w:gridCol w:w="835"/>
        <w:gridCol w:w="833"/>
        <w:gridCol w:w="669"/>
        <w:gridCol w:w="2339"/>
      </w:tblGrid>
      <w:tr w:rsidR="0087443E" w:rsidRPr="00EB5379" w:rsidTr="0087443E">
        <w:trPr>
          <w:cantSplit/>
          <w:trHeight w:val="471"/>
        </w:trPr>
        <w:tc>
          <w:tcPr>
            <w:tcW w:w="1758" w:type="pct"/>
          </w:tcPr>
          <w:p w:rsidR="0087443E" w:rsidRPr="00EB5379" w:rsidRDefault="0087443E" w:rsidP="001B3A39">
            <w:pPr>
              <w:keepNext/>
              <w:ind w:left="-108"/>
              <w:rPr>
                <w:rFonts w:ascii="Arial Narrow" w:hAnsi="Arial Narrow" w:cs="Arial"/>
                <w:b/>
                <w:sz w:val="18"/>
                <w:szCs w:val="18"/>
              </w:rPr>
            </w:pPr>
            <w:r w:rsidRPr="00EB5379">
              <w:rPr>
                <w:rFonts w:ascii="Arial Narrow" w:hAnsi="Arial Narrow" w:cs="Arial"/>
                <w:b/>
                <w:sz w:val="18"/>
                <w:szCs w:val="18"/>
              </w:rPr>
              <w:t>Name, Restriction,</w:t>
            </w:r>
          </w:p>
          <w:p w:rsidR="0087443E" w:rsidRPr="00EB5379" w:rsidRDefault="0087443E" w:rsidP="001B3A39">
            <w:pPr>
              <w:keepNext/>
              <w:ind w:left="-108"/>
              <w:rPr>
                <w:rFonts w:ascii="Arial Narrow" w:hAnsi="Arial Narrow" w:cs="Arial"/>
                <w:b/>
                <w:sz w:val="18"/>
                <w:szCs w:val="18"/>
              </w:rPr>
            </w:pPr>
            <w:r w:rsidRPr="00EB5379">
              <w:rPr>
                <w:rFonts w:ascii="Arial Narrow" w:hAnsi="Arial Narrow" w:cs="Arial"/>
                <w:b/>
                <w:sz w:val="18"/>
                <w:szCs w:val="18"/>
              </w:rPr>
              <w:t>Manner of administration and form</w:t>
            </w:r>
          </w:p>
        </w:tc>
        <w:tc>
          <w:tcPr>
            <w:tcW w:w="649" w:type="pct"/>
            <w:tcBorders>
              <w:bottom w:val="single" w:sz="4" w:space="0" w:color="auto"/>
            </w:tcBorders>
          </w:tcPr>
          <w:p w:rsidR="0087443E" w:rsidRPr="00EB5379" w:rsidRDefault="0087443E" w:rsidP="001B3A39">
            <w:pPr>
              <w:keepNext/>
              <w:ind w:left="-108"/>
              <w:jc w:val="center"/>
              <w:rPr>
                <w:rFonts w:ascii="Arial Narrow" w:hAnsi="Arial Narrow" w:cs="Arial"/>
                <w:b/>
                <w:sz w:val="18"/>
                <w:szCs w:val="18"/>
              </w:rPr>
            </w:pPr>
            <w:r w:rsidRPr="00EB5379">
              <w:rPr>
                <w:rFonts w:ascii="Arial Narrow" w:hAnsi="Arial Narrow" w:cs="Arial"/>
                <w:b/>
                <w:sz w:val="18"/>
                <w:szCs w:val="18"/>
              </w:rPr>
              <w:t>PBS item code</w:t>
            </w:r>
          </w:p>
        </w:tc>
        <w:tc>
          <w:tcPr>
            <w:tcW w:w="463" w:type="pct"/>
            <w:tcBorders>
              <w:bottom w:val="single" w:sz="4" w:space="0" w:color="auto"/>
            </w:tcBorders>
          </w:tcPr>
          <w:p w:rsidR="0087443E" w:rsidRPr="00EB5379" w:rsidRDefault="0087443E" w:rsidP="001B3A39">
            <w:pPr>
              <w:keepNext/>
              <w:ind w:left="-108"/>
              <w:jc w:val="center"/>
              <w:rPr>
                <w:rFonts w:ascii="Arial Narrow" w:hAnsi="Arial Narrow" w:cs="Arial"/>
                <w:b/>
                <w:sz w:val="18"/>
                <w:szCs w:val="18"/>
              </w:rPr>
            </w:pPr>
            <w:r w:rsidRPr="00EB5379">
              <w:rPr>
                <w:rFonts w:ascii="Arial Narrow" w:hAnsi="Arial Narrow" w:cs="Arial"/>
                <w:b/>
                <w:sz w:val="18"/>
                <w:szCs w:val="18"/>
              </w:rPr>
              <w:t>Max. qty packs</w:t>
            </w:r>
          </w:p>
        </w:tc>
        <w:tc>
          <w:tcPr>
            <w:tcW w:w="462" w:type="pct"/>
          </w:tcPr>
          <w:p w:rsidR="0087443E" w:rsidRPr="00EB5379" w:rsidRDefault="0087443E" w:rsidP="001B3A39">
            <w:pPr>
              <w:keepNext/>
              <w:ind w:left="-108"/>
              <w:jc w:val="center"/>
              <w:rPr>
                <w:rFonts w:ascii="Arial Narrow" w:hAnsi="Arial Narrow" w:cs="Arial"/>
                <w:b/>
                <w:sz w:val="18"/>
                <w:szCs w:val="18"/>
              </w:rPr>
            </w:pPr>
            <w:r w:rsidRPr="00EB5379">
              <w:rPr>
                <w:rFonts w:ascii="Arial Narrow" w:hAnsi="Arial Narrow" w:cs="Arial"/>
                <w:b/>
                <w:sz w:val="18"/>
                <w:szCs w:val="18"/>
              </w:rPr>
              <w:t>Max. qty units</w:t>
            </w:r>
          </w:p>
        </w:tc>
        <w:tc>
          <w:tcPr>
            <w:tcW w:w="371" w:type="pct"/>
          </w:tcPr>
          <w:p w:rsidR="0087443E" w:rsidRPr="00EB5379" w:rsidRDefault="0087443E" w:rsidP="001B3A39">
            <w:pPr>
              <w:keepNext/>
              <w:ind w:left="-108"/>
              <w:jc w:val="center"/>
              <w:rPr>
                <w:rFonts w:ascii="Arial Narrow" w:hAnsi="Arial Narrow" w:cs="Arial"/>
                <w:b/>
                <w:sz w:val="18"/>
                <w:szCs w:val="18"/>
              </w:rPr>
            </w:pPr>
            <w:r w:rsidRPr="00EB5379">
              <w:rPr>
                <w:rFonts w:ascii="Arial Narrow" w:hAnsi="Arial Narrow" w:cs="Arial"/>
                <w:b/>
                <w:sz w:val="18"/>
                <w:szCs w:val="18"/>
              </w:rPr>
              <w:t>№.of</w:t>
            </w:r>
          </w:p>
          <w:p w:rsidR="0087443E" w:rsidRPr="00EB5379" w:rsidRDefault="0087443E" w:rsidP="001B3A39">
            <w:pPr>
              <w:keepNext/>
              <w:ind w:left="-108"/>
              <w:jc w:val="center"/>
              <w:rPr>
                <w:rFonts w:ascii="Arial Narrow" w:hAnsi="Arial Narrow" w:cs="Arial"/>
                <w:b/>
                <w:sz w:val="18"/>
                <w:szCs w:val="18"/>
              </w:rPr>
            </w:pPr>
            <w:r w:rsidRPr="00EB5379">
              <w:rPr>
                <w:rFonts w:ascii="Arial Narrow" w:hAnsi="Arial Narrow" w:cs="Arial"/>
                <w:b/>
                <w:sz w:val="18"/>
                <w:szCs w:val="18"/>
              </w:rPr>
              <w:t>Rpts</w:t>
            </w:r>
          </w:p>
        </w:tc>
        <w:tc>
          <w:tcPr>
            <w:tcW w:w="1297" w:type="pct"/>
          </w:tcPr>
          <w:p w:rsidR="0087443E" w:rsidRPr="00E075E9" w:rsidRDefault="00220A3D" w:rsidP="001B3A39">
            <w:pPr>
              <w:keepNext/>
              <w:rPr>
                <w:rFonts w:ascii="Arial Narrow" w:hAnsi="Arial Narrow" w:cs="Arial"/>
                <w:b/>
                <w:sz w:val="18"/>
                <w:szCs w:val="18"/>
              </w:rPr>
            </w:pPr>
            <w:r w:rsidRPr="00EB5379">
              <w:rPr>
                <w:rFonts w:ascii="Arial Narrow" w:hAnsi="Arial Narrow" w:cs="Arial"/>
                <w:b/>
                <w:sz w:val="18"/>
                <w:szCs w:val="18"/>
              </w:rPr>
              <w:t xml:space="preserve"> Available brands</w:t>
            </w:r>
          </w:p>
        </w:tc>
      </w:tr>
      <w:tr w:rsidR="00220A3D" w:rsidRPr="00EB5379" w:rsidTr="00220A3D">
        <w:trPr>
          <w:cantSplit/>
          <w:trHeight w:val="761"/>
        </w:trPr>
        <w:tc>
          <w:tcPr>
            <w:tcW w:w="1758" w:type="pct"/>
          </w:tcPr>
          <w:p w:rsidR="00220A3D" w:rsidRPr="00EB5379" w:rsidRDefault="00220A3D" w:rsidP="001B3A39">
            <w:pPr>
              <w:keepNext/>
              <w:ind w:left="-108"/>
              <w:rPr>
                <w:rFonts w:ascii="Arial Narrow" w:hAnsi="Arial Narrow" w:cs="Arial"/>
                <w:sz w:val="18"/>
                <w:szCs w:val="18"/>
              </w:rPr>
            </w:pPr>
            <w:r w:rsidRPr="00EB5379">
              <w:rPr>
                <w:rFonts w:ascii="Arial Narrow" w:hAnsi="Arial Narrow" w:cs="Arial"/>
                <w:sz w:val="18"/>
                <w:szCs w:val="18"/>
              </w:rPr>
              <w:t>RIVAROXABAN</w:t>
            </w:r>
          </w:p>
          <w:p w:rsidR="00220A3D" w:rsidRPr="00EB5379" w:rsidRDefault="00220A3D" w:rsidP="001B3A39">
            <w:pPr>
              <w:keepNext/>
              <w:ind w:left="-108"/>
              <w:rPr>
                <w:rFonts w:ascii="Arial Narrow" w:hAnsi="Arial Narrow" w:cs="Arial"/>
                <w:sz w:val="18"/>
                <w:szCs w:val="18"/>
              </w:rPr>
            </w:pPr>
          </w:p>
          <w:p w:rsidR="00220A3D" w:rsidRPr="00EB5379" w:rsidRDefault="00220A3D" w:rsidP="001B3A39">
            <w:pPr>
              <w:keepNext/>
              <w:ind w:left="-108"/>
              <w:rPr>
                <w:rFonts w:ascii="Arial Narrow" w:hAnsi="Arial Narrow" w:cs="Arial"/>
                <w:sz w:val="18"/>
                <w:szCs w:val="18"/>
              </w:rPr>
            </w:pPr>
            <w:r w:rsidRPr="00EB5379">
              <w:rPr>
                <w:rFonts w:ascii="Arial Narrow" w:hAnsi="Arial Narrow" w:cs="Arial"/>
                <w:sz w:val="18"/>
                <w:szCs w:val="18"/>
              </w:rPr>
              <w:t xml:space="preserve">rivaroxaban 2.5 mg tablet, 60 </w:t>
            </w:r>
          </w:p>
        </w:tc>
        <w:tc>
          <w:tcPr>
            <w:tcW w:w="649" w:type="pct"/>
            <w:tcBorders>
              <w:top w:val="single" w:sz="4" w:space="0" w:color="auto"/>
              <w:bottom w:val="single" w:sz="4" w:space="0" w:color="auto"/>
            </w:tcBorders>
          </w:tcPr>
          <w:p w:rsidR="00220A3D" w:rsidRPr="00EB5379" w:rsidRDefault="00220A3D" w:rsidP="001B3A39">
            <w:pPr>
              <w:keepNext/>
              <w:ind w:left="-108"/>
              <w:jc w:val="center"/>
              <w:rPr>
                <w:rFonts w:ascii="Arial Narrow" w:hAnsi="Arial Narrow" w:cs="Arial"/>
                <w:sz w:val="18"/>
                <w:szCs w:val="18"/>
              </w:rPr>
            </w:pPr>
          </w:p>
          <w:p w:rsidR="00220A3D" w:rsidRPr="00EB5379" w:rsidRDefault="00220A3D" w:rsidP="001B3A39">
            <w:pPr>
              <w:keepNext/>
              <w:ind w:left="-108"/>
              <w:jc w:val="center"/>
              <w:rPr>
                <w:rFonts w:ascii="Arial Narrow" w:hAnsi="Arial Narrow" w:cs="Arial"/>
                <w:sz w:val="18"/>
                <w:szCs w:val="18"/>
              </w:rPr>
            </w:pPr>
          </w:p>
          <w:p w:rsidR="00220A3D" w:rsidRPr="00EB5379" w:rsidRDefault="00220A3D" w:rsidP="001B3A39">
            <w:pPr>
              <w:keepNext/>
              <w:ind w:left="-108"/>
              <w:jc w:val="center"/>
              <w:rPr>
                <w:rFonts w:ascii="Arial Narrow" w:hAnsi="Arial Narrow" w:cs="Arial"/>
                <w:sz w:val="18"/>
                <w:szCs w:val="18"/>
              </w:rPr>
            </w:pPr>
            <w:r w:rsidRPr="00EB5379">
              <w:rPr>
                <w:rFonts w:ascii="Arial Narrow" w:hAnsi="Arial Narrow" w:cs="Arial"/>
                <w:sz w:val="18"/>
                <w:szCs w:val="18"/>
              </w:rPr>
              <w:t>NEW</w:t>
            </w:r>
          </w:p>
        </w:tc>
        <w:tc>
          <w:tcPr>
            <w:tcW w:w="463" w:type="pct"/>
            <w:tcBorders>
              <w:top w:val="single" w:sz="4" w:space="0" w:color="auto"/>
              <w:left w:val="single" w:sz="4" w:space="0" w:color="999999"/>
              <w:bottom w:val="single" w:sz="4" w:space="0" w:color="auto"/>
              <w:right w:val="single" w:sz="4" w:space="0" w:color="auto"/>
            </w:tcBorders>
          </w:tcPr>
          <w:p w:rsidR="00220A3D" w:rsidRPr="00E075E9" w:rsidRDefault="00220A3D" w:rsidP="001B3A39">
            <w:pPr>
              <w:keepNext/>
              <w:jc w:val="center"/>
              <w:rPr>
                <w:rFonts w:ascii="Arial Narrow" w:eastAsia="Calibri" w:hAnsi="Arial Narrow"/>
                <w:sz w:val="18"/>
                <w:szCs w:val="18"/>
                <w:lang w:eastAsia="en-US"/>
              </w:rPr>
            </w:pPr>
          </w:p>
          <w:p w:rsidR="00220A3D" w:rsidRPr="00E075E9" w:rsidRDefault="00220A3D" w:rsidP="001B3A39">
            <w:pPr>
              <w:keepNext/>
              <w:jc w:val="center"/>
              <w:rPr>
                <w:rFonts w:ascii="Arial Narrow" w:eastAsia="Calibri" w:hAnsi="Arial Narrow"/>
                <w:sz w:val="18"/>
                <w:szCs w:val="18"/>
                <w:lang w:eastAsia="en-US"/>
              </w:rPr>
            </w:pPr>
          </w:p>
          <w:p w:rsidR="00220A3D" w:rsidRPr="00EB5379" w:rsidRDefault="00220A3D" w:rsidP="001B3A39">
            <w:pPr>
              <w:keepNext/>
              <w:jc w:val="center"/>
              <w:rPr>
                <w:rFonts w:ascii="Arial Narrow" w:hAnsi="Arial Narrow" w:cs="Arial"/>
                <w:sz w:val="18"/>
                <w:szCs w:val="18"/>
              </w:rPr>
            </w:pPr>
            <w:r w:rsidRPr="00E075E9">
              <w:rPr>
                <w:rFonts w:ascii="Arial Narrow" w:eastAsia="Calibri" w:hAnsi="Arial Narrow"/>
                <w:sz w:val="18"/>
                <w:szCs w:val="18"/>
                <w:lang w:eastAsia="en-US"/>
              </w:rPr>
              <w:t>1</w:t>
            </w:r>
          </w:p>
        </w:tc>
        <w:tc>
          <w:tcPr>
            <w:tcW w:w="462" w:type="pct"/>
            <w:tcBorders>
              <w:top w:val="single" w:sz="4" w:space="0" w:color="auto"/>
              <w:left w:val="single" w:sz="4" w:space="0" w:color="auto"/>
              <w:bottom w:val="single" w:sz="4" w:space="0" w:color="auto"/>
              <w:right w:val="single" w:sz="4" w:space="0" w:color="auto"/>
            </w:tcBorders>
          </w:tcPr>
          <w:p w:rsidR="00220A3D" w:rsidRPr="00E075E9" w:rsidRDefault="00220A3D" w:rsidP="001B3A39">
            <w:pPr>
              <w:keepNext/>
              <w:ind w:left="-108"/>
              <w:jc w:val="center"/>
              <w:rPr>
                <w:rFonts w:ascii="Arial Narrow" w:eastAsia="Calibri" w:hAnsi="Arial Narrow"/>
                <w:sz w:val="18"/>
                <w:szCs w:val="18"/>
                <w:lang w:eastAsia="en-US"/>
              </w:rPr>
            </w:pPr>
          </w:p>
          <w:p w:rsidR="00220A3D" w:rsidRPr="00E075E9" w:rsidRDefault="00220A3D" w:rsidP="001B3A39">
            <w:pPr>
              <w:keepNext/>
              <w:ind w:left="-108"/>
              <w:jc w:val="center"/>
              <w:rPr>
                <w:rFonts w:ascii="Arial Narrow" w:eastAsia="Calibri" w:hAnsi="Arial Narrow"/>
                <w:sz w:val="18"/>
                <w:szCs w:val="18"/>
                <w:lang w:eastAsia="en-US"/>
              </w:rPr>
            </w:pPr>
          </w:p>
          <w:p w:rsidR="00220A3D" w:rsidRPr="00EB5379" w:rsidRDefault="00220A3D" w:rsidP="001B3A39">
            <w:pPr>
              <w:keepNext/>
              <w:ind w:left="-108"/>
              <w:jc w:val="center"/>
              <w:rPr>
                <w:rFonts w:ascii="Arial Narrow" w:hAnsi="Arial Narrow" w:cs="Arial"/>
                <w:sz w:val="18"/>
                <w:szCs w:val="18"/>
              </w:rPr>
            </w:pPr>
            <w:r w:rsidRPr="00E075E9">
              <w:rPr>
                <w:rFonts w:ascii="Arial Narrow" w:eastAsia="Calibri" w:hAnsi="Arial Narrow"/>
                <w:sz w:val="18"/>
                <w:szCs w:val="18"/>
                <w:lang w:eastAsia="en-US"/>
              </w:rPr>
              <w:t>60</w:t>
            </w:r>
          </w:p>
        </w:tc>
        <w:tc>
          <w:tcPr>
            <w:tcW w:w="371" w:type="pct"/>
            <w:tcBorders>
              <w:top w:val="single" w:sz="4" w:space="0" w:color="auto"/>
              <w:left w:val="single" w:sz="4" w:space="0" w:color="auto"/>
              <w:bottom w:val="single" w:sz="4" w:space="0" w:color="auto"/>
              <w:right w:val="single" w:sz="4" w:space="0" w:color="auto"/>
            </w:tcBorders>
          </w:tcPr>
          <w:p w:rsidR="00220A3D" w:rsidRPr="00EB5379" w:rsidRDefault="00220A3D" w:rsidP="001B3A39">
            <w:pPr>
              <w:jc w:val="center"/>
              <w:rPr>
                <w:rFonts w:ascii="Arial Narrow" w:hAnsi="Arial Narrow" w:cs="Arial"/>
                <w:sz w:val="18"/>
                <w:szCs w:val="18"/>
              </w:rPr>
            </w:pPr>
          </w:p>
          <w:p w:rsidR="00220A3D" w:rsidRPr="00EB5379" w:rsidRDefault="00220A3D" w:rsidP="001B3A39">
            <w:pPr>
              <w:jc w:val="center"/>
              <w:rPr>
                <w:rFonts w:ascii="Arial Narrow" w:hAnsi="Arial Narrow" w:cs="Arial"/>
                <w:sz w:val="18"/>
                <w:szCs w:val="18"/>
              </w:rPr>
            </w:pPr>
          </w:p>
          <w:p w:rsidR="00220A3D" w:rsidRPr="00EB5379" w:rsidRDefault="00220A3D" w:rsidP="001B3A39">
            <w:pPr>
              <w:jc w:val="center"/>
              <w:rPr>
                <w:rFonts w:ascii="Arial Narrow" w:hAnsi="Arial Narrow" w:cs="Arial"/>
                <w:sz w:val="18"/>
                <w:szCs w:val="18"/>
              </w:rPr>
            </w:pPr>
            <w:r w:rsidRPr="00EB5379">
              <w:rPr>
                <w:rFonts w:ascii="Arial Narrow" w:hAnsi="Arial Narrow" w:cs="Arial"/>
                <w:sz w:val="18"/>
                <w:szCs w:val="18"/>
              </w:rPr>
              <w:t>5</w:t>
            </w:r>
          </w:p>
        </w:tc>
        <w:tc>
          <w:tcPr>
            <w:tcW w:w="1297" w:type="pct"/>
            <w:tcBorders>
              <w:top w:val="single" w:sz="4" w:space="0" w:color="auto"/>
              <w:left w:val="single" w:sz="4" w:space="0" w:color="auto"/>
              <w:bottom w:val="single" w:sz="4" w:space="0" w:color="auto"/>
              <w:right w:val="single" w:sz="4" w:space="0" w:color="auto"/>
            </w:tcBorders>
          </w:tcPr>
          <w:p w:rsidR="00220A3D" w:rsidRPr="00E075E9" w:rsidRDefault="00220A3D" w:rsidP="001B3A39">
            <w:pPr>
              <w:keepNext/>
              <w:rPr>
                <w:rFonts w:ascii="Arial Narrow" w:eastAsia="Calibri" w:hAnsi="Arial Narrow"/>
                <w:sz w:val="18"/>
                <w:szCs w:val="18"/>
                <w:lang w:eastAsia="en-US"/>
              </w:rPr>
            </w:pPr>
          </w:p>
          <w:p w:rsidR="00220A3D" w:rsidRPr="00E075E9" w:rsidRDefault="00220A3D" w:rsidP="001B3A39">
            <w:pPr>
              <w:keepNext/>
              <w:rPr>
                <w:rFonts w:ascii="Arial Narrow" w:eastAsia="Calibri" w:hAnsi="Arial Narrow"/>
                <w:sz w:val="18"/>
                <w:szCs w:val="18"/>
                <w:lang w:eastAsia="en-US"/>
              </w:rPr>
            </w:pPr>
          </w:p>
          <w:p w:rsidR="00220A3D" w:rsidRPr="00EB5379" w:rsidRDefault="00220A3D" w:rsidP="001B3A39">
            <w:pPr>
              <w:keepNext/>
              <w:rPr>
                <w:rFonts w:ascii="Arial Narrow" w:hAnsi="Arial Narrow" w:cs="Arial"/>
                <w:sz w:val="18"/>
                <w:szCs w:val="18"/>
              </w:rPr>
            </w:pPr>
            <w:r w:rsidRPr="00E075E9">
              <w:rPr>
                <w:rFonts w:ascii="Arial Narrow" w:eastAsia="Calibri" w:hAnsi="Arial Narrow"/>
                <w:sz w:val="18"/>
                <w:szCs w:val="18"/>
                <w:lang w:eastAsia="en-US"/>
              </w:rPr>
              <w:t>Xarelto</w:t>
            </w:r>
          </w:p>
        </w:tc>
      </w:tr>
    </w:tbl>
    <w:p w:rsidR="008A32F7" w:rsidRDefault="008A32F7" w:rsidP="0087443E">
      <w:pPr>
        <w:keepNext/>
        <w:keepLines/>
        <w:spacing w:before="120" w:after="240"/>
        <w:jc w:val="left"/>
        <w:outlineLvl w:val="2"/>
        <w:rPr>
          <w:rFonts w:asciiTheme="minorHAnsi" w:eastAsiaTheme="minorHAnsi" w:hAnsiTheme="minorHAnsi"/>
          <w:b/>
          <w:bCs/>
          <w:szCs w:val="22"/>
          <w:u w:val="single"/>
        </w:rPr>
      </w:pPr>
    </w:p>
    <w:p w:rsidR="008A32F7" w:rsidRDefault="008A32F7">
      <w:pPr>
        <w:jc w:val="left"/>
        <w:rPr>
          <w:rFonts w:asciiTheme="minorHAnsi" w:eastAsiaTheme="minorHAnsi" w:hAnsiTheme="minorHAnsi"/>
          <w:b/>
          <w:bCs/>
          <w:szCs w:val="22"/>
          <w:u w:val="single"/>
        </w:rPr>
      </w:pPr>
      <w:r>
        <w:rPr>
          <w:rFonts w:asciiTheme="minorHAnsi" w:eastAsiaTheme="minorHAnsi" w:hAnsiTheme="minorHAnsi"/>
          <w:b/>
          <w:bCs/>
          <w:szCs w:val="22"/>
          <w:u w:val="single"/>
        </w:rPr>
        <w:br w:type="page"/>
      </w:r>
    </w:p>
    <w:p w:rsidR="0087443E" w:rsidRPr="00EB5379" w:rsidRDefault="0087443E" w:rsidP="0087443E">
      <w:pPr>
        <w:keepNext/>
        <w:keepLines/>
        <w:spacing w:before="120" w:after="240"/>
        <w:jc w:val="left"/>
        <w:outlineLvl w:val="2"/>
        <w:rPr>
          <w:rFonts w:asciiTheme="minorHAnsi" w:eastAsiaTheme="minorHAnsi" w:hAnsiTheme="minorHAnsi"/>
          <w:b/>
          <w:bCs/>
          <w:szCs w:val="22"/>
          <w:u w:val="single"/>
        </w:rPr>
      </w:pPr>
      <w:r w:rsidRPr="00EB5379">
        <w:rPr>
          <w:rFonts w:asciiTheme="minorHAnsi" w:eastAsiaTheme="minorHAnsi" w:hAnsiTheme="minorHAnsi"/>
          <w:b/>
          <w:bCs/>
          <w:szCs w:val="22"/>
          <w:u w:val="single"/>
        </w:rPr>
        <w:lastRenderedPageBreak/>
        <w:t>Initial treatment</w:t>
      </w:r>
    </w:p>
    <w:p w:rsidR="0087443E" w:rsidRPr="00EB5379" w:rsidRDefault="0087443E" w:rsidP="0087443E">
      <w:pPr>
        <w:widowControl w:val="0"/>
        <w:rPr>
          <w:rFonts w:ascii="Arial Narrow" w:eastAsia="Calibri" w:hAnsi="Arial Narrow"/>
          <w:b/>
          <w:sz w:val="18"/>
          <w:szCs w:val="18"/>
          <w:lang w:eastAsia="en-US"/>
        </w:rPr>
      </w:pPr>
      <w:r w:rsidRPr="00EB5379">
        <w:rPr>
          <w:rFonts w:ascii="Arial Narrow" w:eastAsia="Calibri" w:hAnsi="Arial Narrow"/>
          <w:b/>
          <w:sz w:val="18"/>
          <w:szCs w:val="18"/>
          <w:lang w:eastAsia="en-US"/>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571BD9" w:rsidRPr="00EB5379" w:rsidTr="008231E9">
        <w:trPr>
          <w:trHeight w:val="43"/>
        </w:trPr>
        <w:tc>
          <w:tcPr>
            <w:tcW w:w="5000" w:type="pct"/>
            <w:tcBorders>
              <w:top w:val="single" w:sz="4" w:space="0" w:color="auto"/>
              <w:left w:val="single" w:sz="4" w:space="0" w:color="auto"/>
              <w:bottom w:val="single" w:sz="4" w:space="0" w:color="auto"/>
              <w:right w:val="single" w:sz="4" w:space="0" w:color="auto"/>
            </w:tcBorders>
          </w:tcPr>
          <w:p w:rsidR="00571BD9" w:rsidRPr="00EB5379" w:rsidRDefault="00571BD9" w:rsidP="001B3A39">
            <w:pPr>
              <w:widowControl w:val="0"/>
              <w:rPr>
                <w:rFonts w:ascii="Arial Narrow" w:eastAsia="Calibri" w:hAnsi="Arial Narrow"/>
                <w:sz w:val="18"/>
                <w:szCs w:val="18"/>
                <w:lang w:eastAsia="en-US"/>
              </w:rPr>
            </w:pPr>
            <w:r w:rsidRPr="00EB5379">
              <w:rPr>
                <w:rFonts w:ascii="Arial Narrow" w:eastAsia="Calibri" w:hAnsi="Arial Narrow"/>
                <w:b/>
                <w:sz w:val="18"/>
                <w:szCs w:val="18"/>
                <w:lang w:eastAsia="en-US"/>
              </w:rPr>
              <w:t xml:space="preserve">Category / Program: </w:t>
            </w:r>
            <w:r w:rsidRPr="00EB5379">
              <w:rPr>
                <w:rFonts w:ascii="Arial Narrow" w:eastAsia="Calibri" w:hAnsi="Arial Narrow"/>
                <w:sz w:val="18"/>
                <w:szCs w:val="18"/>
                <w:lang w:eastAsia="en-US"/>
              </w:rPr>
              <w:t>GENERAL – General Schedule (Code GE)</w:t>
            </w:r>
          </w:p>
        </w:tc>
      </w:tr>
      <w:tr w:rsidR="00571BD9" w:rsidRPr="00EB5379" w:rsidTr="008231E9">
        <w:trPr>
          <w:trHeight w:val="183"/>
        </w:trPr>
        <w:tc>
          <w:tcPr>
            <w:tcW w:w="5000" w:type="pct"/>
            <w:tcBorders>
              <w:top w:val="single" w:sz="4" w:space="0" w:color="auto"/>
              <w:left w:val="single" w:sz="4" w:space="0" w:color="auto"/>
              <w:bottom w:val="single" w:sz="4" w:space="0" w:color="auto"/>
              <w:right w:val="single" w:sz="4" w:space="0" w:color="auto"/>
            </w:tcBorders>
          </w:tcPr>
          <w:p w:rsidR="00571BD9" w:rsidRPr="00EB5379" w:rsidRDefault="00571BD9" w:rsidP="0087443E">
            <w:pPr>
              <w:widowControl w:val="0"/>
              <w:rPr>
                <w:rFonts w:ascii="Arial Narrow" w:eastAsia="Calibri" w:hAnsi="Arial Narrow"/>
                <w:sz w:val="18"/>
                <w:szCs w:val="18"/>
                <w:lang w:eastAsia="en-US"/>
              </w:rPr>
            </w:pPr>
            <w:r w:rsidRPr="00EB5379">
              <w:rPr>
                <w:rFonts w:ascii="Arial Narrow" w:eastAsia="Calibri" w:hAnsi="Arial Narrow"/>
                <w:b/>
                <w:sz w:val="18"/>
                <w:szCs w:val="18"/>
                <w:lang w:eastAsia="en-US"/>
              </w:rPr>
              <w:t xml:space="preserve">Prescriber type:  </w:t>
            </w:r>
            <w:r w:rsidRPr="00E075E9">
              <w:rPr>
                <w:rFonts w:ascii="Arial Narrow" w:eastAsia="Calibri" w:hAnsi="Arial Narrow"/>
                <w:sz w:val="18"/>
                <w:szCs w:val="18"/>
                <w:lang w:eastAsia="en-US"/>
              </w:rPr>
              <w:fldChar w:fldCharType="begin">
                <w:ffData>
                  <w:name w:val=""/>
                  <w:enabled/>
                  <w:calcOnExit w:val="0"/>
                  <w:checkBox>
                    <w:sizeAuto/>
                    <w:default w:val="1"/>
                  </w:checkBox>
                </w:ffData>
              </w:fldChar>
            </w:r>
            <w:r w:rsidRPr="00EB5379">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E075E9">
              <w:rPr>
                <w:rFonts w:ascii="Arial Narrow" w:eastAsia="Calibri" w:hAnsi="Arial Narrow"/>
                <w:sz w:val="18"/>
                <w:szCs w:val="18"/>
                <w:lang w:eastAsia="en-US"/>
              </w:rPr>
              <w:fldChar w:fldCharType="end"/>
            </w:r>
            <w:r w:rsidRPr="00EB5379">
              <w:rPr>
                <w:rFonts w:ascii="Arial Narrow" w:eastAsia="Calibri" w:hAnsi="Arial Narrow"/>
                <w:sz w:val="18"/>
                <w:szCs w:val="18"/>
                <w:lang w:eastAsia="en-US"/>
              </w:rPr>
              <w:t xml:space="preserve">Medical Practitioners  </w:t>
            </w:r>
          </w:p>
        </w:tc>
      </w:tr>
      <w:tr w:rsidR="00571BD9" w:rsidRPr="00EB5379" w:rsidTr="008231E9">
        <w:tc>
          <w:tcPr>
            <w:tcW w:w="5000" w:type="pct"/>
            <w:tcBorders>
              <w:top w:val="single" w:sz="4" w:space="0" w:color="auto"/>
              <w:left w:val="single" w:sz="4" w:space="0" w:color="auto"/>
              <w:bottom w:val="single" w:sz="4" w:space="0" w:color="auto"/>
              <w:right w:val="single" w:sz="4" w:space="0" w:color="auto"/>
            </w:tcBorders>
          </w:tcPr>
          <w:p w:rsidR="00571BD9" w:rsidRPr="00EB5379" w:rsidRDefault="00571BD9" w:rsidP="001B3A39">
            <w:pPr>
              <w:widowControl w:val="0"/>
              <w:rPr>
                <w:rFonts w:ascii="Arial Narrow" w:eastAsia="Calibri" w:hAnsi="Arial Narrow"/>
                <w:b/>
                <w:sz w:val="18"/>
                <w:szCs w:val="18"/>
                <w:lang w:eastAsia="en-US"/>
              </w:rPr>
            </w:pPr>
            <w:r w:rsidRPr="00EB5379">
              <w:rPr>
                <w:rFonts w:ascii="Arial Narrow" w:eastAsia="Calibri" w:hAnsi="Arial Narrow"/>
                <w:b/>
                <w:sz w:val="18"/>
                <w:szCs w:val="18"/>
                <w:lang w:eastAsia="en-US"/>
              </w:rPr>
              <w:t xml:space="preserve">Restriction Type / Method:  </w:t>
            </w:r>
            <w:r w:rsidRPr="00E075E9">
              <w:rPr>
                <w:rFonts w:ascii="Arial Narrow" w:eastAsia="Calibri" w:hAnsi="Arial Narrow"/>
                <w:sz w:val="18"/>
                <w:szCs w:val="18"/>
                <w:lang w:eastAsia="en-US"/>
              </w:rPr>
              <w:fldChar w:fldCharType="begin">
                <w:ffData>
                  <w:name w:val=""/>
                  <w:enabled/>
                  <w:calcOnExit w:val="0"/>
                  <w:checkBox>
                    <w:sizeAuto/>
                    <w:default w:val="1"/>
                  </w:checkBox>
                </w:ffData>
              </w:fldChar>
            </w:r>
            <w:r w:rsidRPr="00EB5379">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E075E9">
              <w:rPr>
                <w:rFonts w:ascii="Arial Narrow" w:eastAsia="Calibri" w:hAnsi="Arial Narrow"/>
                <w:sz w:val="18"/>
                <w:szCs w:val="18"/>
                <w:lang w:eastAsia="en-US"/>
              </w:rPr>
              <w:fldChar w:fldCharType="end"/>
            </w:r>
            <w:r w:rsidRPr="00EB5379">
              <w:rPr>
                <w:rFonts w:ascii="Arial Narrow" w:eastAsia="Calibri" w:hAnsi="Arial Narrow"/>
                <w:sz w:val="18"/>
                <w:szCs w:val="18"/>
                <w:lang w:eastAsia="en-US"/>
              </w:rPr>
              <w:t>Authority Required – Streamlined [new 4-digit code]</w:t>
            </w:r>
          </w:p>
        </w:tc>
      </w:tr>
      <w:tr w:rsidR="00571BD9" w:rsidRPr="00EB5379" w:rsidTr="008231E9">
        <w:tc>
          <w:tcPr>
            <w:tcW w:w="5000" w:type="pct"/>
            <w:tcBorders>
              <w:left w:val="single" w:sz="4" w:space="0" w:color="auto"/>
            </w:tcBorders>
            <w:vAlign w:val="center"/>
          </w:tcPr>
          <w:p w:rsidR="00571BD9" w:rsidRPr="00EB5379" w:rsidRDefault="00571BD9" w:rsidP="001B3A39">
            <w:pPr>
              <w:widowControl w:val="0"/>
              <w:rPr>
                <w:rFonts w:ascii="Arial Narrow" w:eastAsia="Calibri" w:hAnsi="Arial Narrow"/>
                <w:bCs/>
                <w:sz w:val="18"/>
                <w:szCs w:val="18"/>
                <w:lang w:eastAsia="en-US"/>
              </w:rPr>
            </w:pPr>
            <w:r w:rsidRPr="00EB5379">
              <w:rPr>
                <w:rFonts w:ascii="Arial Narrow" w:eastAsia="Calibri" w:hAnsi="Arial Narrow"/>
                <w:b/>
                <w:bCs/>
                <w:sz w:val="18"/>
                <w:szCs w:val="18"/>
                <w:lang w:eastAsia="en-US"/>
              </w:rPr>
              <w:t xml:space="preserve">Episodicity: </w:t>
            </w:r>
            <w:r w:rsidRPr="00EB5379">
              <w:rPr>
                <w:rFonts w:ascii="Arial Narrow" w:eastAsia="Calibri" w:hAnsi="Arial Narrow"/>
                <w:bCs/>
                <w:sz w:val="18"/>
                <w:szCs w:val="18"/>
                <w:lang w:eastAsia="en-US"/>
              </w:rPr>
              <w:t>Chronic</w:t>
            </w:r>
          </w:p>
        </w:tc>
      </w:tr>
      <w:tr w:rsidR="00571BD9" w:rsidRPr="00EB5379" w:rsidTr="008231E9">
        <w:tc>
          <w:tcPr>
            <w:tcW w:w="5000" w:type="pct"/>
            <w:tcBorders>
              <w:left w:val="single" w:sz="4" w:space="0" w:color="auto"/>
            </w:tcBorders>
            <w:vAlign w:val="center"/>
          </w:tcPr>
          <w:p w:rsidR="00571BD9" w:rsidRPr="00EB5379" w:rsidRDefault="00571BD9" w:rsidP="001B3A39">
            <w:pPr>
              <w:widowControl w:val="0"/>
              <w:rPr>
                <w:rFonts w:ascii="Arial Narrow" w:eastAsia="Calibri" w:hAnsi="Arial Narrow"/>
                <w:bCs/>
                <w:sz w:val="18"/>
                <w:szCs w:val="18"/>
                <w:lang w:eastAsia="en-US"/>
              </w:rPr>
            </w:pPr>
            <w:r w:rsidRPr="00EB5379">
              <w:rPr>
                <w:rFonts w:ascii="Arial Narrow" w:eastAsia="Calibri" w:hAnsi="Arial Narrow"/>
                <w:b/>
                <w:bCs/>
                <w:sz w:val="18"/>
                <w:szCs w:val="18"/>
                <w:lang w:eastAsia="en-US"/>
              </w:rPr>
              <w:t xml:space="preserve">Severity: </w:t>
            </w:r>
            <w:r w:rsidRPr="00EB5379">
              <w:rPr>
                <w:rFonts w:ascii="Arial Narrow" w:eastAsia="Calibri" w:hAnsi="Arial Narrow"/>
                <w:bCs/>
                <w:sz w:val="18"/>
                <w:szCs w:val="18"/>
                <w:lang w:eastAsia="en-US"/>
              </w:rPr>
              <w:t>stable</w:t>
            </w:r>
          </w:p>
        </w:tc>
      </w:tr>
      <w:tr w:rsidR="00571BD9" w:rsidRPr="00EB5379" w:rsidTr="008231E9">
        <w:tc>
          <w:tcPr>
            <w:tcW w:w="5000" w:type="pct"/>
            <w:tcBorders>
              <w:left w:val="single" w:sz="4" w:space="0" w:color="auto"/>
            </w:tcBorders>
            <w:vAlign w:val="center"/>
          </w:tcPr>
          <w:p w:rsidR="00571BD9" w:rsidRPr="00EB5379" w:rsidRDefault="00571BD9" w:rsidP="001B3A39">
            <w:pPr>
              <w:widowControl w:val="0"/>
              <w:rPr>
                <w:rFonts w:ascii="Arial Narrow" w:eastAsia="Calibri" w:hAnsi="Arial Narrow"/>
                <w:bCs/>
                <w:sz w:val="18"/>
                <w:szCs w:val="18"/>
                <w:lang w:eastAsia="en-US"/>
              </w:rPr>
            </w:pPr>
            <w:r w:rsidRPr="00EB5379">
              <w:rPr>
                <w:rFonts w:ascii="Arial Narrow" w:eastAsia="Calibri" w:hAnsi="Arial Narrow"/>
                <w:b/>
                <w:bCs/>
                <w:sz w:val="18"/>
                <w:szCs w:val="18"/>
                <w:lang w:eastAsia="en-US"/>
              </w:rPr>
              <w:t xml:space="preserve">Condition: </w:t>
            </w:r>
            <w:r w:rsidRPr="00EB5379">
              <w:rPr>
                <w:rFonts w:ascii="Arial Narrow" w:eastAsia="Calibri" w:hAnsi="Arial Narrow"/>
                <w:bCs/>
                <w:sz w:val="18"/>
                <w:szCs w:val="18"/>
                <w:lang w:eastAsia="en-US"/>
              </w:rPr>
              <w:t xml:space="preserve">atherosclerotic disease </w:t>
            </w:r>
          </w:p>
        </w:tc>
      </w:tr>
      <w:tr w:rsidR="00571BD9" w:rsidRPr="00EB5379" w:rsidTr="008231E9">
        <w:tc>
          <w:tcPr>
            <w:tcW w:w="5000" w:type="pct"/>
            <w:vAlign w:val="center"/>
            <w:hideMark/>
          </w:tcPr>
          <w:p w:rsidR="00571BD9" w:rsidRPr="00EB5379" w:rsidRDefault="00571BD9" w:rsidP="001B3A39">
            <w:pPr>
              <w:widowControl w:val="0"/>
              <w:rPr>
                <w:rFonts w:ascii="Arial Narrow" w:eastAsia="Calibri" w:hAnsi="Arial Narrow"/>
                <w:sz w:val="18"/>
                <w:szCs w:val="18"/>
                <w:lang w:eastAsia="en-US"/>
              </w:rPr>
            </w:pPr>
            <w:r w:rsidRPr="00EB5379">
              <w:rPr>
                <w:rFonts w:ascii="Arial Narrow" w:eastAsia="Calibri" w:hAnsi="Arial Narrow"/>
                <w:b/>
                <w:bCs/>
                <w:sz w:val="18"/>
                <w:szCs w:val="18"/>
                <w:lang w:eastAsia="en-US"/>
              </w:rPr>
              <w:t>Indication:</w:t>
            </w:r>
            <w:r w:rsidRPr="00EB5379">
              <w:rPr>
                <w:rFonts w:ascii="Arial Narrow" w:eastAsia="Calibri" w:hAnsi="Arial Narrow"/>
                <w:sz w:val="18"/>
                <w:szCs w:val="18"/>
                <w:lang w:eastAsia="en-US"/>
              </w:rPr>
              <w:t xml:space="preserve"> Chronic stable atherosclerotic disease</w:t>
            </w:r>
          </w:p>
        </w:tc>
      </w:tr>
      <w:tr w:rsidR="00571BD9" w:rsidRPr="00EB5379" w:rsidTr="008231E9">
        <w:tc>
          <w:tcPr>
            <w:tcW w:w="5000" w:type="pct"/>
          </w:tcPr>
          <w:p w:rsidR="00571BD9" w:rsidRPr="00EB5379" w:rsidRDefault="00571BD9" w:rsidP="001B3A39">
            <w:pPr>
              <w:widowControl w:val="0"/>
              <w:rPr>
                <w:rFonts w:ascii="Arial Narrow" w:eastAsia="Calibri" w:hAnsi="Arial Narrow"/>
                <w:b/>
                <w:bCs/>
                <w:sz w:val="18"/>
                <w:szCs w:val="18"/>
                <w:lang w:eastAsia="en-US"/>
              </w:rPr>
            </w:pPr>
            <w:r w:rsidRPr="00EB5379">
              <w:rPr>
                <w:rFonts w:ascii="Arial Narrow" w:eastAsia="Calibri" w:hAnsi="Arial Narrow"/>
                <w:b/>
                <w:sz w:val="18"/>
                <w:szCs w:val="18"/>
                <w:lang w:eastAsia="en-US"/>
              </w:rPr>
              <w:t xml:space="preserve">Treatment phase: </w:t>
            </w:r>
            <w:r w:rsidRPr="00EB5379">
              <w:rPr>
                <w:rFonts w:ascii="Arial Narrow" w:eastAsia="Calibri" w:hAnsi="Arial Narrow"/>
                <w:sz w:val="18"/>
                <w:szCs w:val="18"/>
                <w:lang w:eastAsia="en-US"/>
              </w:rPr>
              <w:t>Initial treatment</w:t>
            </w:r>
          </w:p>
        </w:tc>
      </w:tr>
      <w:tr w:rsidR="00571BD9" w:rsidRPr="00EB5379" w:rsidTr="008231E9">
        <w:tc>
          <w:tcPr>
            <w:tcW w:w="5000" w:type="pct"/>
            <w:vAlign w:val="center"/>
            <w:hideMark/>
          </w:tcPr>
          <w:p w:rsidR="00571BD9" w:rsidRPr="00EB5379" w:rsidRDefault="00571BD9" w:rsidP="001B3A39">
            <w:pPr>
              <w:widowControl w:val="0"/>
              <w:rPr>
                <w:rFonts w:ascii="Arial Narrow" w:eastAsia="Calibri" w:hAnsi="Arial Narrow"/>
                <w:sz w:val="18"/>
                <w:szCs w:val="18"/>
                <w:lang w:eastAsia="en-US"/>
              </w:rPr>
            </w:pPr>
            <w:r w:rsidRPr="00EB5379">
              <w:rPr>
                <w:rFonts w:ascii="Arial Narrow" w:eastAsia="Calibri" w:hAnsi="Arial Narrow"/>
                <w:b/>
                <w:bCs/>
                <w:sz w:val="18"/>
                <w:szCs w:val="18"/>
                <w:lang w:eastAsia="en-US"/>
              </w:rPr>
              <w:t>Clinical criteria:</w:t>
            </w:r>
          </w:p>
        </w:tc>
      </w:tr>
      <w:tr w:rsidR="00571BD9" w:rsidRPr="00EB5379" w:rsidTr="008231E9">
        <w:tc>
          <w:tcPr>
            <w:tcW w:w="5000" w:type="pct"/>
            <w:vAlign w:val="center"/>
            <w:hideMark/>
          </w:tcPr>
          <w:p w:rsidR="00571BD9" w:rsidRPr="00EB5379" w:rsidRDefault="00571BD9" w:rsidP="001B3A39">
            <w:pPr>
              <w:widowControl w:val="0"/>
              <w:rPr>
                <w:rFonts w:ascii="Arial Narrow" w:eastAsia="Calibri" w:hAnsi="Arial Narrow"/>
                <w:sz w:val="18"/>
                <w:szCs w:val="18"/>
                <w:lang w:eastAsia="en-US"/>
              </w:rPr>
            </w:pPr>
            <w:r w:rsidRPr="00EB5379">
              <w:rPr>
                <w:rFonts w:ascii="Arial Narrow" w:eastAsia="Calibri" w:hAnsi="Arial Narrow"/>
                <w:sz w:val="18"/>
                <w:szCs w:val="18"/>
                <w:lang w:eastAsia="en-US"/>
              </w:rPr>
              <w:t>The treatment must be in combination with aspirin, but not with any other anti-platelet therapy</w:t>
            </w:r>
          </w:p>
        </w:tc>
      </w:tr>
      <w:tr w:rsidR="00571BD9" w:rsidRPr="00EB5379" w:rsidTr="008231E9">
        <w:tc>
          <w:tcPr>
            <w:tcW w:w="5000" w:type="pct"/>
            <w:vAlign w:val="center"/>
            <w:hideMark/>
          </w:tcPr>
          <w:p w:rsidR="00571BD9" w:rsidRPr="00EB5379" w:rsidRDefault="00571BD9" w:rsidP="001B3A39">
            <w:pPr>
              <w:widowControl w:val="0"/>
              <w:rPr>
                <w:rFonts w:ascii="Arial Narrow" w:eastAsia="Calibri" w:hAnsi="Arial Narrow"/>
                <w:sz w:val="18"/>
                <w:szCs w:val="18"/>
                <w:lang w:eastAsia="en-US"/>
              </w:rPr>
            </w:pPr>
            <w:r w:rsidRPr="00EB5379">
              <w:rPr>
                <w:rFonts w:ascii="Arial Narrow" w:eastAsia="Calibri" w:hAnsi="Arial Narrow"/>
                <w:b/>
                <w:bCs/>
                <w:sz w:val="18"/>
                <w:szCs w:val="18"/>
                <w:lang w:eastAsia="en-US"/>
              </w:rPr>
              <w:t>AND</w:t>
            </w:r>
          </w:p>
        </w:tc>
      </w:tr>
      <w:tr w:rsidR="00571BD9" w:rsidRPr="00EB5379" w:rsidTr="008231E9">
        <w:trPr>
          <w:trHeight w:val="217"/>
        </w:trPr>
        <w:tc>
          <w:tcPr>
            <w:tcW w:w="5000" w:type="pct"/>
            <w:vAlign w:val="center"/>
            <w:hideMark/>
          </w:tcPr>
          <w:p w:rsidR="00571BD9" w:rsidRPr="00EB5379" w:rsidRDefault="00571BD9" w:rsidP="001B3A39">
            <w:pPr>
              <w:widowControl w:val="0"/>
              <w:rPr>
                <w:rFonts w:ascii="Arial Narrow" w:eastAsia="Calibri" w:hAnsi="Arial Narrow"/>
                <w:sz w:val="18"/>
                <w:szCs w:val="18"/>
                <w:lang w:eastAsia="en-US"/>
              </w:rPr>
            </w:pPr>
            <w:r w:rsidRPr="00EB5379">
              <w:rPr>
                <w:rFonts w:ascii="Arial Narrow" w:eastAsia="Calibri" w:hAnsi="Arial Narrow"/>
                <w:b/>
                <w:bCs/>
                <w:sz w:val="18"/>
                <w:szCs w:val="18"/>
                <w:lang w:eastAsia="en-US"/>
              </w:rPr>
              <w:t>Clinical criteria:</w:t>
            </w:r>
          </w:p>
        </w:tc>
      </w:tr>
      <w:tr w:rsidR="00571BD9" w:rsidRPr="00EB5379" w:rsidTr="008231E9">
        <w:trPr>
          <w:trHeight w:val="830"/>
        </w:trPr>
        <w:tc>
          <w:tcPr>
            <w:tcW w:w="5000" w:type="pct"/>
            <w:vAlign w:val="center"/>
          </w:tcPr>
          <w:p w:rsidR="00571BD9" w:rsidRPr="00EB5379" w:rsidRDefault="00571BD9" w:rsidP="0087443E">
            <w:pPr>
              <w:widowControl w:val="0"/>
              <w:rPr>
                <w:rFonts w:ascii="Arial Narrow" w:eastAsia="Calibri" w:hAnsi="Arial Narrow"/>
                <w:bCs/>
                <w:sz w:val="18"/>
                <w:szCs w:val="18"/>
                <w:lang w:eastAsia="en-US"/>
              </w:rPr>
            </w:pPr>
            <w:r w:rsidRPr="00EB5379">
              <w:rPr>
                <w:rFonts w:ascii="Arial Narrow" w:eastAsia="Calibri" w:hAnsi="Arial Narrow"/>
                <w:bCs/>
                <w:sz w:val="18"/>
                <w:szCs w:val="18"/>
                <w:lang w:eastAsia="en-US"/>
              </w:rPr>
              <w:t>Patient must have a diagnosis of coronary artery disease in addition to at least one of the following risk factors: (i) diagnosed heart failure (left ventricular ejection fraction of at least 30% but less than 50%) (ii) diagnosed kidney disease classified by an eGFR in the range of 15-60 mL/minute (iii) diabetes mellitus combined with at least one of the following: age at least 60 years / concomitant microalbuminuria / Aboriginal/Torres Strait Islander descent; OR</w:t>
            </w:r>
          </w:p>
        </w:tc>
      </w:tr>
      <w:tr w:rsidR="00571BD9" w:rsidRPr="00EB5379" w:rsidTr="008231E9">
        <w:trPr>
          <w:trHeight w:val="830"/>
        </w:trPr>
        <w:tc>
          <w:tcPr>
            <w:tcW w:w="5000" w:type="pct"/>
            <w:vAlign w:val="center"/>
          </w:tcPr>
          <w:p w:rsidR="00571BD9" w:rsidRPr="00EB5379" w:rsidRDefault="00571BD9" w:rsidP="0087443E">
            <w:pPr>
              <w:widowControl w:val="0"/>
              <w:rPr>
                <w:rFonts w:ascii="Arial Narrow" w:eastAsia="Calibri" w:hAnsi="Arial Narrow"/>
                <w:bCs/>
                <w:sz w:val="18"/>
                <w:szCs w:val="18"/>
                <w:lang w:eastAsia="en-US"/>
              </w:rPr>
            </w:pPr>
            <w:r w:rsidRPr="00EB5379">
              <w:rPr>
                <w:rFonts w:ascii="Arial Narrow" w:eastAsia="Calibri" w:hAnsi="Arial Narrow"/>
                <w:bCs/>
                <w:sz w:val="18"/>
                <w:szCs w:val="18"/>
                <w:lang w:eastAsia="en-US"/>
              </w:rPr>
              <w:t>Patients must have a diagnosis of peripheral artery disease in addition to at least one of the following risk factors: (i) concomitant coronary artery disease (ii) diagnosed heart failure (left ventricular ejection fraction of at least 30% but less than 50%) (iii) diagnosed kidney disease classified by an eGFR in the range of 15-60 mL/minute (iv) diabetes mellitus  combined with at least one of the following: age at least 60 years / concomitant microalbuminuria / Aboriginal/Torres Strait Islander descent</w:t>
            </w:r>
          </w:p>
        </w:tc>
      </w:tr>
      <w:tr w:rsidR="00571BD9" w:rsidRPr="00EB5379" w:rsidTr="008231E9">
        <w:trPr>
          <w:trHeight w:val="194"/>
        </w:trPr>
        <w:tc>
          <w:tcPr>
            <w:tcW w:w="5000" w:type="pct"/>
            <w:vAlign w:val="center"/>
          </w:tcPr>
          <w:p w:rsidR="00571BD9" w:rsidRPr="00EB5379" w:rsidRDefault="00571BD9" w:rsidP="001B3A39">
            <w:pPr>
              <w:widowControl w:val="0"/>
              <w:rPr>
                <w:rFonts w:ascii="Arial Narrow" w:eastAsia="Calibri" w:hAnsi="Arial Narrow"/>
                <w:b/>
                <w:bCs/>
                <w:sz w:val="18"/>
                <w:szCs w:val="18"/>
                <w:lang w:eastAsia="en-US"/>
              </w:rPr>
            </w:pPr>
            <w:r w:rsidRPr="00EB5379">
              <w:rPr>
                <w:rFonts w:ascii="Arial Narrow" w:eastAsia="Calibri" w:hAnsi="Arial Narrow"/>
                <w:b/>
                <w:bCs/>
                <w:sz w:val="18"/>
                <w:szCs w:val="18"/>
                <w:lang w:eastAsia="en-US"/>
              </w:rPr>
              <w:t>AND</w:t>
            </w:r>
          </w:p>
        </w:tc>
      </w:tr>
      <w:tr w:rsidR="00571BD9" w:rsidRPr="00EB5379" w:rsidTr="008231E9">
        <w:trPr>
          <w:trHeight w:val="254"/>
        </w:trPr>
        <w:tc>
          <w:tcPr>
            <w:tcW w:w="5000" w:type="pct"/>
            <w:vAlign w:val="center"/>
          </w:tcPr>
          <w:p w:rsidR="00571BD9" w:rsidRPr="00EB5379" w:rsidRDefault="00571BD9" w:rsidP="001B3A39">
            <w:pPr>
              <w:widowControl w:val="0"/>
              <w:rPr>
                <w:rFonts w:ascii="Arial Narrow" w:eastAsia="Calibri" w:hAnsi="Arial Narrow"/>
                <w:b/>
                <w:bCs/>
                <w:sz w:val="18"/>
                <w:szCs w:val="18"/>
                <w:lang w:eastAsia="en-US"/>
              </w:rPr>
            </w:pPr>
            <w:r w:rsidRPr="00EB5379">
              <w:rPr>
                <w:rFonts w:ascii="Arial Narrow" w:eastAsia="Calibri" w:hAnsi="Arial Narrow"/>
                <w:b/>
                <w:bCs/>
                <w:sz w:val="18"/>
                <w:szCs w:val="18"/>
                <w:lang w:eastAsia="en-US"/>
              </w:rPr>
              <w:t xml:space="preserve">Clinical criteria: </w:t>
            </w:r>
          </w:p>
        </w:tc>
      </w:tr>
      <w:tr w:rsidR="00571BD9" w:rsidRPr="00EB5379" w:rsidTr="008231E9">
        <w:trPr>
          <w:trHeight w:val="630"/>
        </w:trPr>
        <w:tc>
          <w:tcPr>
            <w:tcW w:w="5000" w:type="pct"/>
            <w:vAlign w:val="center"/>
          </w:tcPr>
          <w:p w:rsidR="00571BD9" w:rsidRPr="00EB5379" w:rsidRDefault="00571BD9" w:rsidP="0087443E">
            <w:pPr>
              <w:widowControl w:val="0"/>
              <w:rPr>
                <w:rFonts w:ascii="Arial Narrow" w:eastAsia="Calibri" w:hAnsi="Arial Narrow"/>
                <w:bCs/>
                <w:sz w:val="18"/>
                <w:szCs w:val="18"/>
                <w:lang w:eastAsia="en-US"/>
              </w:rPr>
            </w:pPr>
            <w:r w:rsidRPr="00EB5379">
              <w:rPr>
                <w:rFonts w:ascii="Arial Narrow" w:eastAsia="Calibri" w:hAnsi="Arial Narrow"/>
                <w:bCs/>
                <w:sz w:val="18"/>
                <w:szCs w:val="18"/>
                <w:lang w:eastAsia="en-US"/>
              </w:rPr>
              <w:t>Patient must have, if coronary artery disease is present, at least one of the following: (i) a previous multi-vessel coronary revascularisation procedure (ii) significant stenosis in at least 2 coronary arteries (iii) a previous single vessel coronary revascularisation procedure with significant stenosis in more than 1 coronary artery; OR</w:t>
            </w:r>
          </w:p>
        </w:tc>
      </w:tr>
      <w:tr w:rsidR="00571BD9" w:rsidRPr="00EB5379" w:rsidTr="008231E9">
        <w:trPr>
          <w:trHeight w:val="630"/>
        </w:trPr>
        <w:tc>
          <w:tcPr>
            <w:tcW w:w="5000" w:type="pct"/>
            <w:vAlign w:val="center"/>
          </w:tcPr>
          <w:p w:rsidR="00571BD9" w:rsidRPr="00EB5379" w:rsidRDefault="00571BD9" w:rsidP="0087443E">
            <w:pPr>
              <w:widowControl w:val="0"/>
              <w:rPr>
                <w:rFonts w:ascii="Arial Narrow" w:eastAsia="Calibri" w:hAnsi="Arial Narrow"/>
                <w:bCs/>
                <w:sz w:val="18"/>
                <w:szCs w:val="18"/>
                <w:lang w:eastAsia="en-US"/>
              </w:rPr>
            </w:pPr>
            <w:r w:rsidRPr="00EB5379">
              <w:rPr>
                <w:rFonts w:ascii="Arial Narrow" w:eastAsia="Calibri" w:hAnsi="Arial Narrow"/>
                <w:bCs/>
                <w:sz w:val="18"/>
                <w:szCs w:val="18"/>
                <w:lang w:eastAsia="en-US"/>
              </w:rPr>
              <w:t>Patient must have, if peripheral arterial disease is present, at least one of the following: (i) a previous peripheral /carotid artery revascularisation intervention (ii) intermittent claudication with an ankle-brachial index less than 0.9 (iii) asymptomatic carotid artery stenosis greater than 50%</w:t>
            </w:r>
          </w:p>
        </w:tc>
      </w:tr>
      <w:tr w:rsidR="00571BD9" w:rsidRPr="00EB5379" w:rsidTr="008231E9">
        <w:trPr>
          <w:trHeight w:val="194"/>
        </w:trPr>
        <w:tc>
          <w:tcPr>
            <w:tcW w:w="5000" w:type="pct"/>
            <w:vAlign w:val="center"/>
          </w:tcPr>
          <w:p w:rsidR="00571BD9" w:rsidRPr="00EB5379" w:rsidRDefault="00571BD9" w:rsidP="001B3A39">
            <w:pPr>
              <w:widowControl w:val="0"/>
              <w:rPr>
                <w:rFonts w:ascii="Arial Narrow" w:eastAsia="Calibri" w:hAnsi="Arial Narrow"/>
                <w:b/>
                <w:bCs/>
                <w:sz w:val="18"/>
                <w:szCs w:val="18"/>
                <w:lang w:eastAsia="en-US"/>
              </w:rPr>
            </w:pPr>
            <w:r w:rsidRPr="00EB5379">
              <w:rPr>
                <w:rFonts w:ascii="Arial Narrow" w:eastAsia="Calibri" w:hAnsi="Arial Narrow"/>
                <w:b/>
                <w:bCs/>
                <w:sz w:val="18"/>
                <w:szCs w:val="18"/>
                <w:lang w:eastAsia="en-US"/>
              </w:rPr>
              <w:t xml:space="preserve">AND </w:t>
            </w:r>
          </w:p>
        </w:tc>
      </w:tr>
      <w:tr w:rsidR="00571BD9" w:rsidRPr="00EB5379" w:rsidTr="008231E9">
        <w:trPr>
          <w:trHeight w:val="257"/>
        </w:trPr>
        <w:tc>
          <w:tcPr>
            <w:tcW w:w="5000" w:type="pct"/>
            <w:vAlign w:val="center"/>
          </w:tcPr>
          <w:p w:rsidR="00571BD9" w:rsidRPr="00EB5379" w:rsidRDefault="00571BD9" w:rsidP="001B3A39">
            <w:pPr>
              <w:widowControl w:val="0"/>
              <w:rPr>
                <w:rFonts w:ascii="Arial Narrow" w:eastAsia="Calibri" w:hAnsi="Arial Narrow"/>
                <w:b/>
                <w:bCs/>
                <w:sz w:val="18"/>
                <w:szCs w:val="18"/>
                <w:lang w:eastAsia="en-US"/>
              </w:rPr>
            </w:pPr>
            <w:r w:rsidRPr="00EB5379">
              <w:rPr>
                <w:rFonts w:ascii="Arial Narrow" w:eastAsia="Calibri" w:hAnsi="Arial Narrow"/>
                <w:b/>
                <w:bCs/>
                <w:sz w:val="18"/>
                <w:szCs w:val="18"/>
                <w:lang w:eastAsia="en-US"/>
              </w:rPr>
              <w:t>Clinical criteria:</w:t>
            </w:r>
          </w:p>
        </w:tc>
      </w:tr>
      <w:tr w:rsidR="00571BD9" w:rsidRPr="00EB5379" w:rsidTr="008231E9">
        <w:trPr>
          <w:trHeight w:val="256"/>
        </w:trPr>
        <w:tc>
          <w:tcPr>
            <w:tcW w:w="5000" w:type="pct"/>
            <w:vAlign w:val="center"/>
          </w:tcPr>
          <w:p w:rsidR="00571BD9" w:rsidRPr="00EB5379" w:rsidRDefault="00571BD9" w:rsidP="008212E7">
            <w:pPr>
              <w:widowControl w:val="0"/>
              <w:rPr>
                <w:rFonts w:ascii="Arial Narrow" w:eastAsia="Calibri" w:hAnsi="Arial Narrow"/>
                <w:b/>
                <w:bCs/>
                <w:sz w:val="18"/>
                <w:szCs w:val="18"/>
                <w:lang w:eastAsia="en-US"/>
              </w:rPr>
            </w:pPr>
            <w:r w:rsidRPr="008212E7">
              <w:rPr>
                <w:rFonts w:ascii="Arial Narrow" w:eastAsia="Calibri" w:hAnsi="Arial Narrow"/>
                <w:sz w:val="18"/>
                <w:szCs w:val="18"/>
                <w:lang w:eastAsia="en-US"/>
              </w:rPr>
              <w:t>The condition must be diagnosed by one of: (i) invasive (selective) angiography; (ii) noninvasive imaging (CT / ultrasound).</w:t>
            </w:r>
          </w:p>
        </w:tc>
      </w:tr>
      <w:tr w:rsidR="00571BD9" w:rsidRPr="00EB5379" w:rsidTr="008231E9">
        <w:trPr>
          <w:trHeight w:val="194"/>
        </w:trPr>
        <w:tc>
          <w:tcPr>
            <w:tcW w:w="5000" w:type="pct"/>
            <w:vAlign w:val="center"/>
          </w:tcPr>
          <w:p w:rsidR="00571BD9" w:rsidRPr="00EB5379" w:rsidRDefault="00571BD9" w:rsidP="001B3A39">
            <w:pPr>
              <w:widowControl w:val="0"/>
              <w:rPr>
                <w:rFonts w:ascii="Arial Narrow" w:eastAsia="Calibri" w:hAnsi="Arial Narrow"/>
                <w:b/>
                <w:bCs/>
                <w:sz w:val="18"/>
                <w:szCs w:val="18"/>
                <w:lang w:eastAsia="en-US"/>
              </w:rPr>
            </w:pPr>
            <w:r w:rsidRPr="00EB5379">
              <w:rPr>
                <w:rFonts w:ascii="Arial Narrow" w:eastAsia="Calibri" w:hAnsi="Arial Narrow"/>
                <w:b/>
                <w:bCs/>
                <w:sz w:val="18"/>
                <w:szCs w:val="18"/>
                <w:lang w:eastAsia="en-US"/>
              </w:rPr>
              <w:t>AND</w:t>
            </w:r>
          </w:p>
        </w:tc>
      </w:tr>
      <w:tr w:rsidR="00571BD9" w:rsidRPr="00EB5379" w:rsidTr="008231E9">
        <w:trPr>
          <w:trHeight w:val="166"/>
        </w:trPr>
        <w:tc>
          <w:tcPr>
            <w:tcW w:w="5000" w:type="pct"/>
            <w:vAlign w:val="center"/>
          </w:tcPr>
          <w:p w:rsidR="00571BD9" w:rsidRPr="00EB5379" w:rsidRDefault="00571BD9" w:rsidP="001B3A39">
            <w:pPr>
              <w:widowControl w:val="0"/>
              <w:jc w:val="left"/>
              <w:rPr>
                <w:rFonts w:ascii="Arial Narrow" w:eastAsia="Calibri" w:hAnsi="Arial Narrow"/>
                <w:b/>
                <w:sz w:val="18"/>
                <w:szCs w:val="18"/>
                <w:lang w:eastAsia="en-US"/>
              </w:rPr>
            </w:pPr>
            <w:r w:rsidRPr="00EB5379">
              <w:rPr>
                <w:rFonts w:ascii="Arial Narrow" w:eastAsia="Calibri" w:hAnsi="Arial Narrow"/>
                <w:b/>
                <w:sz w:val="18"/>
                <w:szCs w:val="18"/>
                <w:lang w:eastAsia="en-US"/>
              </w:rPr>
              <w:t xml:space="preserve">Clinical criteria: </w:t>
            </w:r>
          </w:p>
        </w:tc>
      </w:tr>
      <w:tr w:rsidR="00571BD9" w:rsidRPr="00EB5379" w:rsidTr="008231E9">
        <w:trPr>
          <w:trHeight w:val="776"/>
        </w:trPr>
        <w:tc>
          <w:tcPr>
            <w:tcW w:w="5000" w:type="pct"/>
            <w:vAlign w:val="center"/>
          </w:tcPr>
          <w:p w:rsidR="00571BD9" w:rsidRPr="00EB5379" w:rsidRDefault="00571BD9" w:rsidP="001B3A39">
            <w:pPr>
              <w:widowControl w:val="0"/>
              <w:jc w:val="left"/>
              <w:rPr>
                <w:rFonts w:ascii="Arial Narrow" w:eastAsia="Calibri" w:hAnsi="Arial Narrow"/>
                <w:bCs/>
                <w:sz w:val="18"/>
                <w:szCs w:val="18"/>
                <w:lang w:eastAsia="en-US"/>
              </w:rPr>
            </w:pPr>
            <w:r w:rsidRPr="00EB5379">
              <w:rPr>
                <w:rFonts w:ascii="Arial Narrow" w:eastAsia="Calibri" w:hAnsi="Arial Narrow"/>
                <w:bCs/>
                <w:sz w:val="18"/>
                <w:szCs w:val="18"/>
                <w:lang w:eastAsia="en-US"/>
              </w:rPr>
              <w:t xml:space="preserve">Patient must have evidence of an absence of each of the following: (i) high risk of bleeding (ii) prior stroke within one month of treatment initiation (iii) prior haemorrhagic / lacunar stroke (v) severe heart failure with a known ejection fraction less than 30% (vi) New York Heart Association class III / IV heart failure symptoms (vii) an estimated glomerular filtration rate less than 15 mL/minute (viii) a requirement for dual antiplatelet therapy (ix) a requirement for non-acetylsalicylic acid antiplatelet therapy (x) a requirement for a higher dose </w:t>
            </w:r>
            <w:r>
              <w:rPr>
                <w:rFonts w:ascii="Arial Narrow" w:eastAsia="Calibri" w:hAnsi="Arial Narrow"/>
                <w:bCs/>
                <w:sz w:val="18"/>
                <w:szCs w:val="18"/>
                <w:lang w:eastAsia="en-US"/>
              </w:rPr>
              <w:t xml:space="preserve">of </w:t>
            </w:r>
            <w:r w:rsidRPr="00EB5379">
              <w:rPr>
                <w:rFonts w:ascii="Arial Narrow" w:eastAsia="Calibri" w:hAnsi="Arial Narrow"/>
                <w:bCs/>
                <w:sz w:val="18"/>
                <w:szCs w:val="18"/>
                <w:lang w:eastAsia="en-US"/>
              </w:rPr>
              <w:t>oral anticoagulant therapy</w:t>
            </w:r>
          </w:p>
        </w:tc>
      </w:tr>
      <w:tr w:rsidR="00571BD9" w:rsidRPr="00EB5379" w:rsidTr="008231E9">
        <w:trPr>
          <w:trHeight w:val="188"/>
        </w:trPr>
        <w:tc>
          <w:tcPr>
            <w:tcW w:w="5000" w:type="pct"/>
            <w:vAlign w:val="center"/>
            <w:hideMark/>
          </w:tcPr>
          <w:p w:rsidR="00571BD9" w:rsidRPr="00EB5379" w:rsidRDefault="00571BD9" w:rsidP="001B3A39">
            <w:pPr>
              <w:widowControl w:val="0"/>
              <w:rPr>
                <w:rFonts w:ascii="Arial Narrow" w:eastAsia="Calibri" w:hAnsi="Arial Narrow"/>
                <w:sz w:val="18"/>
                <w:szCs w:val="18"/>
                <w:lang w:eastAsia="en-US"/>
              </w:rPr>
            </w:pPr>
            <w:r w:rsidRPr="00EB5379">
              <w:rPr>
                <w:rFonts w:ascii="Arial Narrow" w:eastAsia="Calibri" w:hAnsi="Arial Narrow"/>
                <w:b/>
                <w:bCs/>
                <w:sz w:val="18"/>
                <w:szCs w:val="18"/>
                <w:lang w:eastAsia="en-US"/>
              </w:rPr>
              <w:t>Treatment criteria:</w:t>
            </w:r>
          </w:p>
        </w:tc>
      </w:tr>
      <w:tr w:rsidR="00571BD9" w:rsidRPr="00EB5379" w:rsidTr="008231E9">
        <w:trPr>
          <w:trHeight w:val="188"/>
        </w:trPr>
        <w:tc>
          <w:tcPr>
            <w:tcW w:w="5000" w:type="pct"/>
            <w:vAlign w:val="center"/>
          </w:tcPr>
          <w:p w:rsidR="00571BD9" w:rsidRPr="00EB5379" w:rsidRDefault="00571BD9" w:rsidP="001B3A39">
            <w:pPr>
              <w:widowControl w:val="0"/>
              <w:rPr>
                <w:rFonts w:ascii="Arial Narrow" w:eastAsia="Calibri" w:hAnsi="Arial Narrow"/>
                <w:bCs/>
                <w:sz w:val="18"/>
                <w:szCs w:val="18"/>
                <w:lang w:eastAsia="en-US"/>
              </w:rPr>
            </w:pPr>
            <w:r w:rsidRPr="00EB5379">
              <w:rPr>
                <w:rFonts w:ascii="Arial Narrow" w:eastAsia="Calibri" w:hAnsi="Arial Narrow"/>
                <w:bCs/>
                <w:sz w:val="18"/>
                <w:szCs w:val="18"/>
                <w:lang w:eastAsia="en-US"/>
              </w:rPr>
              <w:t>Must be treated by a specialist physician; OR</w:t>
            </w:r>
          </w:p>
        </w:tc>
      </w:tr>
      <w:tr w:rsidR="00571BD9" w:rsidRPr="00EB5379" w:rsidTr="008231E9">
        <w:trPr>
          <w:trHeight w:val="188"/>
        </w:trPr>
        <w:tc>
          <w:tcPr>
            <w:tcW w:w="5000" w:type="pct"/>
            <w:vAlign w:val="center"/>
          </w:tcPr>
          <w:p w:rsidR="00571BD9" w:rsidRPr="00EB5379" w:rsidRDefault="00571BD9" w:rsidP="00C24612">
            <w:pPr>
              <w:widowControl w:val="0"/>
              <w:rPr>
                <w:rFonts w:ascii="Arial Narrow" w:eastAsia="Calibri" w:hAnsi="Arial Narrow"/>
                <w:bCs/>
                <w:sz w:val="18"/>
                <w:szCs w:val="18"/>
                <w:lang w:eastAsia="en-US"/>
              </w:rPr>
            </w:pPr>
            <w:r w:rsidRPr="00EB5379">
              <w:rPr>
                <w:rFonts w:ascii="Arial Narrow" w:eastAsia="Calibri" w:hAnsi="Arial Narrow"/>
                <w:bCs/>
                <w:sz w:val="18"/>
                <w:szCs w:val="18"/>
                <w:lang w:eastAsia="en-US"/>
              </w:rPr>
              <w:t>Must be treated by a physician who has consulted with a specialist physician</w:t>
            </w:r>
          </w:p>
        </w:tc>
      </w:tr>
    </w:tbl>
    <w:p w:rsidR="0087443E" w:rsidRPr="00EB5379" w:rsidRDefault="0087443E" w:rsidP="0087443E">
      <w:pPr>
        <w:widowControl w:val="0"/>
        <w:rPr>
          <w:rFonts w:eastAsia="Calibri"/>
          <w:sz w:val="22"/>
          <w:szCs w:val="22"/>
          <w:lang w:eastAsia="en-US"/>
        </w:rPr>
      </w:pPr>
    </w:p>
    <w:p w:rsidR="0087443E" w:rsidRPr="00EB5379" w:rsidRDefault="0087443E" w:rsidP="0087443E">
      <w:pPr>
        <w:keepNext/>
        <w:keepLines/>
        <w:spacing w:before="120" w:after="240"/>
        <w:jc w:val="left"/>
        <w:outlineLvl w:val="2"/>
        <w:rPr>
          <w:rFonts w:asciiTheme="minorHAnsi" w:eastAsiaTheme="minorHAnsi" w:hAnsiTheme="minorHAnsi"/>
          <w:b/>
          <w:bCs/>
          <w:szCs w:val="22"/>
          <w:u w:val="single"/>
        </w:rPr>
      </w:pPr>
      <w:r w:rsidRPr="00EB5379">
        <w:rPr>
          <w:rFonts w:asciiTheme="minorHAnsi" w:eastAsiaTheme="minorHAnsi" w:hAnsiTheme="minorHAnsi"/>
          <w:b/>
          <w:bCs/>
          <w:szCs w:val="22"/>
          <w:u w:val="single"/>
        </w:rPr>
        <w:lastRenderedPageBreak/>
        <w:t>Continuing treatment</w:t>
      </w:r>
    </w:p>
    <w:p w:rsidR="0087443E" w:rsidRPr="00EB5379" w:rsidRDefault="0087443E" w:rsidP="0087443E">
      <w:pPr>
        <w:keepNext/>
        <w:keepLines/>
        <w:spacing w:before="120"/>
        <w:jc w:val="left"/>
        <w:rPr>
          <w:rFonts w:ascii="Arial Narrow" w:eastAsia="Calibri" w:hAnsi="Arial Narrow"/>
          <w:b/>
          <w:sz w:val="18"/>
          <w:szCs w:val="18"/>
          <w:lang w:eastAsia="en-US"/>
        </w:rPr>
      </w:pPr>
      <w:r w:rsidRPr="00EB5379">
        <w:rPr>
          <w:rFonts w:ascii="Arial Narrow" w:eastAsia="Calibri" w:hAnsi="Arial Narrow"/>
          <w:b/>
          <w:sz w:val="18"/>
          <w:szCs w:val="18"/>
          <w:lang w:eastAsia="en-US"/>
        </w:rPr>
        <w:t>Restriction Summary [new] / Treatment of Concept: [new]</w:t>
      </w:r>
    </w:p>
    <w:tbl>
      <w:tblPr>
        <w:tblStyle w:val="TableGrid"/>
        <w:tblW w:w="5000" w:type="pct"/>
        <w:tblLook w:val="0020" w:firstRow="1" w:lastRow="0" w:firstColumn="0" w:lastColumn="0" w:noHBand="0" w:noVBand="0"/>
        <w:tblCaption w:val="Recommended continuing treatment restriction"/>
      </w:tblPr>
      <w:tblGrid>
        <w:gridCol w:w="9016"/>
      </w:tblGrid>
      <w:tr w:rsidR="00571BD9" w:rsidRPr="00EB5379" w:rsidTr="008231E9">
        <w:trPr>
          <w:trHeight w:val="144"/>
          <w:tblHeader/>
        </w:trPr>
        <w:tc>
          <w:tcPr>
            <w:tcW w:w="5000" w:type="pct"/>
          </w:tcPr>
          <w:p w:rsidR="00571BD9" w:rsidRPr="00EB5379" w:rsidRDefault="00571BD9" w:rsidP="001B3A39">
            <w:pPr>
              <w:keepNext/>
              <w:keepLines/>
              <w:jc w:val="left"/>
              <w:rPr>
                <w:rFonts w:ascii="Arial Narrow" w:hAnsi="Arial Narrow" w:cs="Arial"/>
                <w:sz w:val="18"/>
                <w:szCs w:val="18"/>
              </w:rPr>
            </w:pPr>
            <w:r w:rsidRPr="00EB5379">
              <w:rPr>
                <w:rFonts w:ascii="Arial Narrow" w:eastAsia="Calibri" w:hAnsi="Arial Narrow"/>
                <w:b/>
                <w:sz w:val="18"/>
                <w:szCs w:val="18"/>
                <w:lang w:eastAsia="en-US"/>
              </w:rPr>
              <w:t xml:space="preserve">Category / Program: </w:t>
            </w:r>
            <w:r w:rsidRPr="00EB5379">
              <w:rPr>
                <w:rFonts w:ascii="Arial Narrow" w:eastAsia="Calibri" w:hAnsi="Arial Narrow"/>
                <w:sz w:val="18"/>
                <w:szCs w:val="18"/>
                <w:lang w:eastAsia="en-US"/>
              </w:rPr>
              <w:t>GENERAL – General Schedule (Code GE)</w:t>
            </w:r>
          </w:p>
        </w:tc>
      </w:tr>
      <w:tr w:rsidR="00571BD9" w:rsidRPr="00EB5379" w:rsidTr="008231E9">
        <w:trPr>
          <w:trHeight w:val="203"/>
        </w:trPr>
        <w:tc>
          <w:tcPr>
            <w:tcW w:w="5000" w:type="pct"/>
          </w:tcPr>
          <w:p w:rsidR="00571BD9" w:rsidRPr="00EB5379" w:rsidRDefault="00571BD9" w:rsidP="002A6368">
            <w:pPr>
              <w:keepNext/>
              <w:keepLines/>
              <w:jc w:val="left"/>
              <w:rPr>
                <w:rFonts w:ascii="Arial Narrow" w:hAnsi="Arial Narrow" w:cs="Arial"/>
                <w:sz w:val="18"/>
                <w:szCs w:val="18"/>
              </w:rPr>
            </w:pPr>
            <w:r w:rsidRPr="00EB5379">
              <w:rPr>
                <w:rFonts w:ascii="Arial Narrow" w:eastAsia="Calibri" w:hAnsi="Arial Narrow"/>
                <w:b/>
                <w:sz w:val="18"/>
                <w:szCs w:val="18"/>
                <w:lang w:eastAsia="en-US"/>
              </w:rPr>
              <w:t xml:space="preserve">Prescriber type: </w:t>
            </w:r>
            <w:r w:rsidRPr="00E075E9">
              <w:rPr>
                <w:rFonts w:ascii="Arial Narrow" w:eastAsia="Calibri" w:hAnsi="Arial Narrow"/>
                <w:sz w:val="18"/>
                <w:szCs w:val="18"/>
                <w:lang w:eastAsia="en-US"/>
              </w:rPr>
              <w:fldChar w:fldCharType="begin">
                <w:ffData>
                  <w:name w:val=""/>
                  <w:enabled/>
                  <w:calcOnExit w:val="0"/>
                  <w:checkBox>
                    <w:sizeAuto/>
                    <w:default w:val="1"/>
                  </w:checkBox>
                </w:ffData>
              </w:fldChar>
            </w:r>
            <w:r w:rsidRPr="00EB5379">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E075E9">
              <w:rPr>
                <w:rFonts w:ascii="Arial Narrow" w:eastAsia="Calibri" w:hAnsi="Arial Narrow"/>
                <w:sz w:val="18"/>
                <w:szCs w:val="18"/>
                <w:lang w:eastAsia="en-US"/>
              </w:rPr>
              <w:fldChar w:fldCharType="end"/>
            </w:r>
            <w:r w:rsidRPr="00EB5379">
              <w:rPr>
                <w:rFonts w:ascii="Arial Narrow" w:eastAsia="Calibri" w:hAnsi="Arial Narrow"/>
                <w:sz w:val="18"/>
                <w:szCs w:val="18"/>
                <w:lang w:eastAsia="en-US"/>
              </w:rPr>
              <w:t xml:space="preserve">Medical Practitioners  </w:t>
            </w:r>
            <w:r w:rsidRPr="00E075E9">
              <w:rPr>
                <w:rFonts w:ascii="Arial Narrow" w:eastAsia="Calibri" w:hAnsi="Arial Narrow"/>
                <w:sz w:val="18"/>
                <w:szCs w:val="18"/>
                <w:lang w:eastAsia="en-US"/>
              </w:rPr>
              <w:fldChar w:fldCharType="begin">
                <w:ffData>
                  <w:name w:val="Check3"/>
                  <w:enabled/>
                  <w:calcOnExit w:val="0"/>
                  <w:checkBox>
                    <w:sizeAuto/>
                    <w:default w:val="1"/>
                  </w:checkBox>
                </w:ffData>
              </w:fldChar>
            </w:r>
            <w:r w:rsidRPr="00EB5379">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E075E9">
              <w:rPr>
                <w:rFonts w:ascii="Arial Narrow" w:eastAsia="Calibri" w:hAnsi="Arial Narrow"/>
                <w:sz w:val="18"/>
                <w:szCs w:val="18"/>
                <w:lang w:eastAsia="en-US"/>
              </w:rPr>
              <w:fldChar w:fldCharType="end"/>
            </w:r>
            <w:r w:rsidRPr="00EB5379">
              <w:rPr>
                <w:rFonts w:ascii="Arial Narrow" w:eastAsia="Calibri" w:hAnsi="Arial Narrow"/>
                <w:sz w:val="18"/>
                <w:szCs w:val="18"/>
                <w:lang w:eastAsia="en-US"/>
              </w:rPr>
              <w:t xml:space="preserve">Nurse practitioners (SCM)  </w:t>
            </w:r>
          </w:p>
        </w:tc>
      </w:tr>
      <w:tr w:rsidR="00571BD9" w:rsidRPr="00EB5379" w:rsidTr="008231E9">
        <w:trPr>
          <w:trHeight w:val="174"/>
        </w:trPr>
        <w:tc>
          <w:tcPr>
            <w:tcW w:w="5000" w:type="pct"/>
          </w:tcPr>
          <w:p w:rsidR="00571BD9" w:rsidRPr="00EB5379" w:rsidRDefault="00571BD9" w:rsidP="001B3A39">
            <w:pPr>
              <w:keepNext/>
              <w:keepLines/>
              <w:jc w:val="left"/>
              <w:rPr>
                <w:rFonts w:ascii="Arial Narrow" w:hAnsi="Arial Narrow" w:cs="Arial"/>
                <w:sz w:val="18"/>
                <w:szCs w:val="18"/>
              </w:rPr>
            </w:pPr>
            <w:r w:rsidRPr="00EB5379">
              <w:rPr>
                <w:rFonts w:ascii="Arial Narrow" w:eastAsia="Calibri" w:hAnsi="Arial Narrow"/>
                <w:b/>
                <w:sz w:val="18"/>
                <w:szCs w:val="18"/>
                <w:lang w:eastAsia="en-US"/>
              </w:rPr>
              <w:t xml:space="preserve">Restriction Type / Method:  </w:t>
            </w:r>
            <w:r w:rsidRPr="00E075E9">
              <w:rPr>
                <w:rFonts w:ascii="Arial Narrow" w:eastAsia="Calibri" w:hAnsi="Arial Narrow"/>
                <w:sz w:val="18"/>
                <w:szCs w:val="18"/>
                <w:lang w:eastAsia="en-US"/>
              </w:rPr>
              <w:fldChar w:fldCharType="begin">
                <w:ffData>
                  <w:name w:val=""/>
                  <w:enabled/>
                  <w:calcOnExit w:val="0"/>
                  <w:checkBox>
                    <w:sizeAuto/>
                    <w:default w:val="1"/>
                  </w:checkBox>
                </w:ffData>
              </w:fldChar>
            </w:r>
            <w:r w:rsidRPr="00EB5379">
              <w:rPr>
                <w:rFonts w:ascii="Arial Narrow" w:eastAsia="Calibri" w:hAnsi="Arial Narrow"/>
                <w:sz w:val="18"/>
                <w:szCs w:val="18"/>
                <w:lang w:eastAsia="en-US"/>
              </w:rPr>
              <w:instrText xml:space="preserve"> FORMCHECKBOX </w:instrText>
            </w:r>
            <w:r w:rsidR="004460D9">
              <w:rPr>
                <w:rFonts w:ascii="Arial Narrow" w:eastAsia="Calibri" w:hAnsi="Arial Narrow"/>
                <w:sz w:val="18"/>
                <w:szCs w:val="18"/>
                <w:lang w:eastAsia="en-US"/>
              </w:rPr>
            </w:r>
            <w:r w:rsidR="004460D9">
              <w:rPr>
                <w:rFonts w:ascii="Arial Narrow" w:eastAsia="Calibri" w:hAnsi="Arial Narrow"/>
                <w:sz w:val="18"/>
                <w:szCs w:val="18"/>
                <w:lang w:eastAsia="en-US"/>
              </w:rPr>
              <w:fldChar w:fldCharType="separate"/>
            </w:r>
            <w:r w:rsidRPr="00E075E9">
              <w:rPr>
                <w:rFonts w:ascii="Arial Narrow" w:eastAsia="Calibri" w:hAnsi="Arial Narrow"/>
                <w:sz w:val="18"/>
                <w:szCs w:val="18"/>
                <w:lang w:eastAsia="en-US"/>
              </w:rPr>
              <w:fldChar w:fldCharType="end"/>
            </w:r>
            <w:r w:rsidRPr="00EB5379">
              <w:rPr>
                <w:rFonts w:ascii="Arial Narrow" w:eastAsia="Calibri" w:hAnsi="Arial Narrow"/>
                <w:sz w:val="18"/>
                <w:szCs w:val="18"/>
                <w:lang w:eastAsia="en-US"/>
              </w:rPr>
              <w:t>Authority Required – Streamlined [new 4-digit code]</w:t>
            </w:r>
          </w:p>
        </w:tc>
      </w:tr>
      <w:tr w:rsidR="00571BD9" w:rsidRPr="00EB5379" w:rsidTr="008231E9">
        <w:trPr>
          <w:trHeight w:val="174"/>
        </w:trPr>
        <w:tc>
          <w:tcPr>
            <w:tcW w:w="5000" w:type="pct"/>
            <w:tcBorders>
              <w:left w:val="single" w:sz="4" w:space="0" w:color="auto"/>
            </w:tcBorders>
            <w:vAlign w:val="center"/>
          </w:tcPr>
          <w:p w:rsidR="00571BD9" w:rsidRPr="00EB5379" w:rsidRDefault="00571BD9" w:rsidP="001B3A39">
            <w:pPr>
              <w:keepNext/>
              <w:keepLines/>
              <w:jc w:val="left"/>
              <w:rPr>
                <w:rFonts w:ascii="Arial Narrow" w:hAnsi="Arial Narrow" w:cs="Arial"/>
                <w:b/>
                <w:sz w:val="18"/>
                <w:szCs w:val="18"/>
              </w:rPr>
            </w:pPr>
            <w:r w:rsidRPr="00EB5379">
              <w:rPr>
                <w:rFonts w:ascii="Arial Narrow" w:eastAsia="Calibri" w:hAnsi="Arial Narrow"/>
                <w:b/>
                <w:bCs/>
                <w:sz w:val="18"/>
                <w:szCs w:val="18"/>
                <w:lang w:eastAsia="en-US"/>
              </w:rPr>
              <w:t xml:space="preserve">Episodicity: </w:t>
            </w:r>
            <w:r w:rsidRPr="00EB5379">
              <w:rPr>
                <w:rFonts w:ascii="Arial Narrow" w:eastAsia="Calibri" w:hAnsi="Arial Narrow"/>
                <w:bCs/>
                <w:sz w:val="18"/>
                <w:szCs w:val="18"/>
                <w:lang w:eastAsia="en-US"/>
              </w:rPr>
              <w:t>Chronic</w:t>
            </w:r>
          </w:p>
        </w:tc>
      </w:tr>
      <w:tr w:rsidR="00571BD9" w:rsidRPr="00EB5379" w:rsidTr="008231E9">
        <w:trPr>
          <w:trHeight w:val="174"/>
        </w:trPr>
        <w:tc>
          <w:tcPr>
            <w:tcW w:w="5000" w:type="pct"/>
            <w:tcBorders>
              <w:left w:val="single" w:sz="4" w:space="0" w:color="auto"/>
            </w:tcBorders>
            <w:vAlign w:val="center"/>
          </w:tcPr>
          <w:p w:rsidR="00571BD9" w:rsidRPr="00EB5379" w:rsidRDefault="00571BD9" w:rsidP="001B3A39">
            <w:pPr>
              <w:keepNext/>
              <w:keepLines/>
              <w:jc w:val="left"/>
              <w:rPr>
                <w:rFonts w:ascii="Arial Narrow" w:hAnsi="Arial Narrow" w:cs="Arial"/>
                <w:b/>
                <w:sz w:val="18"/>
                <w:szCs w:val="18"/>
              </w:rPr>
            </w:pPr>
            <w:r w:rsidRPr="00EB5379">
              <w:rPr>
                <w:rFonts w:ascii="Arial Narrow" w:eastAsia="Calibri" w:hAnsi="Arial Narrow"/>
                <w:b/>
                <w:bCs/>
                <w:sz w:val="18"/>
                <w:szCs w:val="18"/>
                <w:lang w:eastAsia="en-US"/>
              </w:rPr>
              <w:t xml:space="preserve">Severity: </w:t>
            </w:r>
            <w:r w:rsidRPr="00EB5379">
              <w:rPr>
                <w:rFonts w:ascii="Arial Narrow" w:eastAsia="Calibri" w:hAnsi="Arial Narrow"/>
                <w:bCs/>
                <w:sz w:val="18"/>
                <w:szCs w:val="18"/>
                <w:lang w:eastAsia="en-US"/>
              </w:rPr>
              <w:t>stable</w:t>
            </w:r>
          </w:p>
        </w:tc>
      </w:tr>
      <w:tr w:rsidR="00571BD9" w:rsidRPr="00EB5379" w:rsidTr="008231E9">
        <w:trPr>
          <w:trHeight w:val="179"/>
        </w:trPr>
        <w:tc>
          <w:tcPr>
            <w:tcW w:w="5000" w:type="pct"/>
            <w:tcBorders>
              <w:left w:val="single" w:sz="4" w:space="0" w:color="auto"/>
            </w:tcBorders>
            <w:vAlign w:val="center"/>
          </w:tcPr>
          <w:p w:rsidR="00571BD9" w:rsidRPr="00EB5379" w:rsidRDefault="00571BD9" w:rsidP="001B3A39">
            <w:pPr>
              <w:keepNext/>
              <w:keepLines/>
              <w:jc w:val="left"/>
              <w:rPr>
                <w:rFonts w:ascii="Arial Narrow" w:hAnsi="Arial Narrow" w:cs="Arial"/>
                <w:b/>
                <w:sz w:val="18"/>
                <w:szCs w:val="18"/>
              </w:rPr>
            </w:pPr>
            <w:r w:rsidRPr="00EB5379">
              <w:rPr>
                <w:rFonts w:ascii="Arial Narrow" w:eastAsia="Calibri" w:hAnsi="Arial Narrow"/>
                <w:b/>
                <w:bCs/>
                <w:sz w:val="18"/>
                <w:szCs w:val="18"/>
                <w:lang w:eastAsia="en-US"/>
              </w:rPr>
              <w:t xml:space="preserve">Condition: </w:t>
            </w:r>
            <w:r w:rsidRPr="00EB5379">
              <w:rPr>
                <w:rFonts w:ascii="Arial Narrow" w:eastAsia="Calibri" w:hAnsi="Arial Narrow"/>
                <w:bCs/>
                <w:sz w:val="18"/>
                <w:szCs w:val="18"/>
                <w:lang w:eastAsia="en-US"/>
              </w:rPr>
              <w:t xml:space="preserve">atherosclerotic disease </w:t>
            </w:r>
          </w:p>
        </w:tc>
      </w:tr>
      <w:tr w:rsidR="00571BD9" w:rsidRPr="00EB5379" w:rsidTr="008231E9">
        <w:trPr>
          <w:trHeight w:val="98"/>
        </w:trPr>
        <w:tc>
          <w:tcPr>
            <w:tcW w:w="5000" w:type="pct"/>
          </w:tcPr>
          <w:p w:rsidR="00571BD9" w:rsidRPr="00EB5379" w:rsidRDefault="00571BD9" w:rsidP="001B3A39">
            <w:pPr>
              <w:keepNext/>
              <w:keepLines/>
              <w:jc w:val="left"/>
              <w:rPr>
                <w:rFonts w:ascii="Arial Narrow" w:hAnsi="Arial Narrow" w:cs="Arial"/>
                <w:b/>
                <w:sz w:val="18"/>
                <w:szCs w:val="18"/>
              </w:rPr>
            </w:pPr>
            <w:r w:rsidRPr="00EB5379">
              <w:rPr>
                <w:rFonts w:ascii="Arial Narrow" w:eastAsia="Calibri" w:hAnsi="Arial Narrow"/>
                <w:b/>
                <w:bCs/>
                <w:sz w:val="18"/>
                <w:szCs w:val="18"/>
                <w:lang w:eastAsia="en-US"/>
              </w:rPr>
              <w:t>Indication:</w:t>
            </w:r>
            <w:r w:rsidRPr="00EB5379">
              <w:rPr>
                <w:rFonts w:ascii="Arial Narrow" w:eastAsia="Calibri" w:hAnsi="Arial Narrow"/>
                <w:sz w:val="18"/>
                <w:szCs w:val="18"/>
                <w:lang w:eastAsia="en-US"/>
              </w:rPr>
              <w:t xml:space="preserve"> Chronic stable atherosclerotic disease</w:t>
            </w:r>
          </w:p>
        </w:tc>
      </w:tr>
      <w:tr w:rsidR="00571BD9" w:rsidRPr="00EB5379" w:rsidTr="008231E9">
        <w:trPr>
          <w:trHeight w:val="20"/>
        </w:trPr>
        <w:tc>
          <w:tcPr>
            <w:tcW w:w="5000" w:type="pct"/>
          </w:tcPr>
          <w:p w:rsidR="00571BD9" w:rsidRPr="00EB5379" w:rsidRDefault="00571BD9" w:rsidP="001B3A39">
            <w:pPr>
              <w:keepNext/>
              <w:keepLines/>
              <w:jc w:val="left"/>
              <w:rPr>
                <w:rFonts w:ascii="Arial Narrow" w:hAnsi="Arial Narrow" w:cs="Arial"/>
                <w:sz w:val="18"/>
                <w:szCs w:val="18"/>
              </w:rPr>
            </w:pPr>
            <w:r w:rsidRPr="00EB5379">
              <w:rPr>
                <w:rFonts w:ascii="Arial Narrow" w:hAnsi="Arial Narrow" w:cs="Arial"/>
                <w:b/>
                <w:sz w:val="18"/>
                <w:szCs w:val="18"/>
              </w:rPr>
              <w:t xml:space="preserve">Treatment phase: </w:t>
            </w:r>
            <w:r w:rsidRPr="00EB5379">
              <w:rPr>
                <w:rFonts w:ascii="Arial Narrow" w:hAnsi="Arial Narrow" w:cs="Arial"/>
                <w:sz w:val="18"/>
                <w:szCs w:val="18"/>
              </w:rPr>
              <w:t>Continuing treatment</w:t>
            </w:r>
          </w:p>
        </w:tc>
      </w:tr>
      <w:tr w:rsidR="00571BD9" w:rsidRPr="00EB5379" w:rsidTr="008231E9">
        <w:trPr>
          <w:trHeight w:val="20"/>
        </w:trPr>
        <w:tc>
          <w:tcPr>
            <w:tcW w:w="5000" w:type="pct"/>
          </w:tcPr>
          <w:p w:rsidR="00571BD9" w:rsidRPr="00EB5379" w:rsidRDefault="00571BD9" w:rsidP="001B3A39">
            <w:pPr>
              <w:keepNext/>
              <w:keepLines/>
              <w:jc w:val="left"/>
              <w:rPr>
                <w:rFonts w:ascii="Arial Narrow" w:hAnsi="Arial Narrow" w:cs="Arial"/>
                <w:sz w:val="18"/>
                <w:szCs w:val="18"/>
              </w:rPr>
            </w:pPr>
            <w:r w:rsidRPr="00EB5379">
              <w:rPr>
                <w:rFonts w:ascii="Arial Narrow" w:hAnsi="Arial Narrow" w:cs="Arial"/>
                <w:b/>
                <w:sz w:val="18"/>
                <w:szCs w:val="18"/>
              </w:rPr>
              <w:t xml:space="preserve">Clinical criteria: </w:t>
            </w:r>
          </w:p>
        </w:tc>
      </w:tr>
      <w:tr w:rsidR="00571BD9" w:rsidRPr="00EB5379" w:rsidTr="008231E9">
        <w:trPr>
          <w:trHeight w:val="20"/>
        </w:trPr>
        <w:tc>
          <w:tcPr>
            <w:tcW w:w="5000" w:type="pct"/>
          </w:tcPr>
          <w:p w:rsidR="00571BD9" w:rsidRPr="00EB5379" w:rsidRDefault="00571BD9" w:rsidP="001B3A39">
            <w:pPr>
              <w:keepNext/>
              <w:keepLines/>
              <w:jc w:val="left"/>
              <w:rPr>
                <w:rFonts w:ascii="Arial Narrow" w:hAnsi="Arial Narrow" w:cs="Arial"/>
                <w:b/>
                <w:sz w:val="18"/>
                <w:szCs w:val="18"/>
              </w:rPr>
            </w:pPr>
            <w:r w:rsidRPr="00EB5379">
              <w:rPr>
                <w:rFonts w:ascii="Arial Narrow" w:hAnsi="Arial Narrow" w:cs="Arial"/>
                <w:sz w:val="18"/>
                <w:szCs w:val="18"/>
              </w:rPr>
              <w:t>Patient must have received PBS-subsidised treatment with this drug for this condition</w:t>
            </w:r>
          </w:p>
        </w:tc>
      </w:tr>
      <w:tr w:rsidR="00571BD9" w:rsidRPr="00EB5379" w:rsidTr="008231E9">
        <w:trPr>
          <w:trHeight w:val="20"/>
        </w:trPr>
        <w:tc>
          <w:tcPr>
            <w:tcW w:w="5000" w:type="pct"/>
          </w:tcPr>
          <w:p w:rsidR="00571BD9" w:rsidRPr="00EB5379" w:rsidRDefault="00571BD9" w:rsidP="001B3A39">
            <w:pPr>
              <w:keepNext/>
              <w:keepLines/>
              <w:jc w:val="left"/>
              <w:rPr>
                <w:rFonts w:ascii="Arial Narrow" w:hAnsi="Arial Narrow" w:cs="Arial"/>
                <w:b/>
                <w:sz w:val="18"/>
                <w:szCs w:val="18"/>
              </w:rPr>
            </w:pPr>
            <w:r w:rsidRPr="00EB5379">
              <w:rPr>
                <w:rFonts w:ascii="Arial Narrow" w:hAnsi="Arial Narrow" w:cs="Arial"/>
                <w:b/>
                <w:sz w:val="18"/>
                <w:szCs w:val="18"/>
              </w:rPr>
              <w:t>AND</w:t>
            </w:r>
          </w:p>
        </w:tc>
      </w:tr>
      <w:tr w:rsidR="00571BD9" w:rsidRPr="00EB5379" w:rsidTr="008231E9">
        <w:trPr>
          <w:trHeight w:val="20"/>
        </w:trPr>
        <w:tc>
          <w:tcPr>
            <w:tcW w:w="5000" w:type="pct"/>
            <w:vAlign w:val="center"/>
          </w:tcPr>
          <w:p w:rsidR="00571BD9" w:rsidRPr="00EB5379" w:rsidRDefault="00571BD9" w:rsidP="001B3A39">
            <w:pPr>
              <w:keepNext/>
              <w:keepLines/>
              <w:jc w:val="left"/>
              <w:rPr>
                <w:rFonts w:ascii="Arial Narrow" w:eastAsia="Calibri" w:hAnsi="Arial Narrow"/>
                <w:sz w:val="18"/>
                <w:szCs w:val="18"/>
                <w:lang w:eastAsia="en-US"/>
              </w:rPr>
            </w:pPr>
            <w:r w:rsidRPr="00EB5379">
              <w:rPr>
                <w:rFonts w:ascii="Arial Narrow" w:hAnsi="Arial Narrow" w:cs="Arial"/>
                <w:b/>
                <w:sz w:val="18"/>
                <w:szCs w:val="18"/>
              </w:rPr>
              <w:t>Clinical criteria:</w:t>
            </w:r>
          </w:p>
        </w:tc>
      </w:tr>
      <w:tr w:rsidR="00571BD9" w:rsidRPr="00EB5379" w:rsidTr="008231E9">
        <w:trPr>
          <w:trHeight w:val="20"/>
        </w:trPr>
        <w:tc>
          <w:tcPr>
            <w:tcW w:w="5000" w:type="pct"/>
            <w:vAlign w:val="center"/>
          </w:tcPr>
          <w:p w:rsidR="00571BD9" w:rsidRPr="00EB5379" w:rsidRDefault="00571BD9" w:rsidP="001B3A39">
            <w:pPr>
              <w:keepNext/>
              <w:keepLines/>
              <w:jc w:val="left"/>
              <w:rPr>
                <w:rFonts w:ascii="Arial Narrow" w:hAnsi="Arial Narrow" w:cs="Arial"/>
                <w:b/>
                <w:sz w:val="18"/>
                <w:szCs w:val="18"/>
              </w:rPr>
            </w:pPr>
            <w:r w:rsidRPr="00EB5379">
              <w:rPr>
                <w:rFonts w:ascii="Arial Narrow" w:eastAsia="Calibri" w:hAnsi="Arial Narrow"/>
                <w:sz w:val="18"/>
                <w:szCs w:val="18"/>
                <w:lang w:eastAsia="en-US"/>
              </w:rPr>
              <w:t>The treatment must be in combination with aspirin, but not with any other anti-platelet therapy</w:t>
            </w:r>
          </w:p>
        </w:tc>
      </w:tr>
      <w:tr w:rsidR="00571BD9" w:rsidRPr="00EB5379" w:rsidTr="008231E9">
        <w:trPr>
          <w:trHeight w:val="20"/>
        </w:trPr>
        <w:tc>
          <w:tcPr>
            <w:tcW w:w="5000" w:type="pct"/>
            <w:vAlign w:val="center"/>
          </w:tcPr>
          <w:p w:rsidR="00571BD9" w:rsidRPr="00EB5379" w:rsidRDefault="00571BD9" w:rsidP="001B3A39">
            <w:pPr>
              <w:keepNext/>
              <w:keepLines/>
              <w:jc w:val="left"/>
              <w:rPr>
                <w:rFonts w:ascii="Arial Narrow" w:eastAsia="Calibri" w:hAnsi="Arial Narrow"/>
                <w:b/>
                <w:sz w:val="18"/>
                <w:szCs w:val="18"/>
                <w:lang w:eastAsia="en-US"/>
              </w:rPr>
            </w:pPr>
            <w:r w:rsidRPr="00EB5379">
              <w:rPr>
                <w:rFonts w:ascii="Arial Narrow" w:eastAsia="Calibri" w:hAnsi="Arial Narrow"/>
                <w:b/>
                <w:sz w:val="18"/>
                <w:szCs w:val="18"/>
                <w:lang w:eastAsia="en-US"/>
              </w:rPr>
              <w:t>Administrative advice</w:t>
            </w:r>
          </w:p>
          <w:p w:rsidR="00571BD9" w:rsidRPr="00EB5379" w:rsidRDefault="00571BD9" w:rsidP="001B3A39">
            <w:pPr>
              <w:keepNext/>
              <w:keepLines/>
              <w:jc w:val="left"/>
              <w:rPr>
                <w:rFonts w:ascii="Arial Narrow" w:eastAsia="Calibri" w:hAnsi="Arial Narrow"/>
                <w:sz w:val="18"/>
                <w:szCs w:val="18"/>
                <w:lang w:eastAsia="en-US"/>
              </w:rPr>
            </w:pPr>
            <w:r w:rsidRPr="00EB5379">
              <w:rPr>
                <w:rFonts w:ascii="Arial Narrow" w:eastAsia="Calibri" w:hAnsi="Arial Narrow"/>
                <w:sz w:val="18"/>
                <w:szCs w:val="18"/>
                <w:lang w:eastAsia="en-US"/>
              </w:rPr>
              <w:t>Treatment may be continued by non-specialist prescribers</w:t>
            </w:r>
          </w:p>
        </w:tc>
      </w:tr>
      <w:tr w:rsidR="00571BD9" w:rsidRPr="00EB5379" w:rsidTr="008231E9">
        <w:trPr>
          <w:trHeight w:val="20"/>
        </w:trPr>
        <w:tc>
          <w:tcPr>
            <w:tcW w:w="5000" w:type="pct"/>
            <w:vAlign w:val="center"/>
          </w:tcPr>
          <w:p w:rsidR="00571BD9" w:rsidRPr="00EB5379" w:rsidRDefault="00571BD9" w:rsidP="001B3A39">
            <w:pPr>
              <w:keepNext/>
              <w:keepLines/>
              <w:jc w:val="left"/>
              <w:rPr>
                <w:rFonts w:ascii="Arial Narrow" w:eastAsia="Calibri" w:hAnsi="Arial Narrow"/>
                <w:b/>
                <w:sz w:val="18"/>
                <w:szCs w:val="18"/>
                <w:lang w:eastAsia="en-US"/>
              </w:rPr>
            </w:pPr>
            <w:r w:rsidRPr="00EB5379">
              <w:rPr>
                <w:rFonts w:ascii="Arial Narrow" w:eastAsia="Calibri" w:hAnsi="Arial Narrow"/>
                <w:b/>
                <w:sz w:val="18"/>
                <w:szCs w:val="18"/>
                <w:lang w:eastAsia="en-US"/>
              </w:rPr>
              <w:t>Administrative advice</w:t>
            </w:r>
          </w:p>
        </w:tc>
      </w:tr>
      <w:tr w:rsidR="00571BD9" w:rsidRPr="00EB5379" w:rsidTr="008231E9">
        <w:trPr>
          <w:trHeight w:val="20"/>
        </w:trPr>
        <w:tc>
          <w:tcPr>
            <w:tcW w:w="5000" w:type="pct"/>
            <w:vAlign w:val="center"/>
          </w:tcPr>
          <w:p w:rsidR="00571BD9" w:rsidRPr="00EB5379" w:rsidRDefault="00571BD9" w:rsidP="001B3A39">
            <w:pPr>
              <w:keepNext/>
              <w:keepLines/>
              <w:jc w:val="left"/>
              <w:rPr>
                <w:rFonts w:ascii="Arial Narrow" w:eastAsia="Calibri" w:hAnsi="Arial Narrow"/>
                <w:sz w:val="18"/>
                <w:szCs w:val="18"/>
                <w:lang w:eastAsia="en-US"/>
              </w:rPr>
            </w:pPr>
            <w:r w:rsidRPr="00EB5379">
              <w:rPr>
                <w:rFonts w:ascii="Arial Narrow" w:eastAsia="Calibri" w:hAnsi="Arial Narrow"/>
                <w:sz w:val="18"/>
                <w:szCs w:val="18"/>
                <w:lang w:eastAsia="en-US"/>
              </w:rPr>
              <w:t>Shared Care Model:</w:t>
            </w:r>
          </w:p>
          <w:p w:rsidR="00571BD9" w:rsidRPr="00EB5379" w:rsidRDefault="00571BD9" w:rsidP="001B3A39">
            <w:pPr>
              <w:keepNext/>
              <w:keepLines/>
              <w:jc w:val="left"/>
              <w:rPr>
                <w:rFonts w:ascii="Arial Narrow" w:eastAsia="Calibri" w:hAnsi="Arial Narrow"/>
                <w:sz w:val="18"/>
                <w:szCs w:val="18"/>
                <w:lang w:eastAsia="en-US"/>
              </w:rPr>
            </w:pPr>
            <w:r w:rsidRPr="00EB5379">
              <w:rPr>
                <w:rFonts w:ascii="Arial Narrow" w:eastAsia="Calibri" w:hAnsi="Arial Narrow"/>
                <w:sz w:val="18"/>
                <w:szCs w:val="18"/>
                <w:lang w:eastAsia="en-US"/>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083925" w:rsidRDefault="00083925" w:rsidP="00C43666">
      <w:pPr>
        <w:spacing w:after="120"/>
        <w:rPr>
          <w:rFonts w:cs="Calibri"/>
          <w:b/>
          <w:i/>
        </w:rPr>
      </w:pPr>
    </w:p>
    <w:p w:rsidR="00571BD9" w:rsidRPr="00182338" w:rsidRDefault="00C43666" w:rsidP="00182338">
      <w:pPr>
        <w:spacing w:after="120"/>
      </w:pPr>
      <w:r w:rsidRPr="00EB5379">
        <w:rPr>
          <w:rFonts w:cs="Calibri"/>
          <w:b/>
          <w:i/>
        </w:rPr>
        <w:t>This restriction may be subject to further review. Should there be any changes made to the restriction the Sponsor will be informed.</w:t>
      </w:r>
    </w:p>
    <w:p w:rsidR="000D3B77" w:rsidRDefault="000D3B77" w:rsidP="000D3B77">
      <w:pPr>
        <w:pStyle w:val="2Sections"/>
        <w:numPr>
          <w:ilvl w:val="0"/>
          <w:numId w:val="1"/>
        </w:numPr>
        <w:rPr>
          <w:color w:val="1F497D"/>
        </w:rPr>
      </w:pPr>
      <w:r w:rsidRPr="00C07617">
        <w:t>Context for Decision</w:t>
      </w:r>
    </w:p>
    <w:p w:rsidR="000D3B77" w:rsidRDefault="000D3B77" w:rsidP="000D3B77">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D3B77" w:rsidRPr="007129F2" w:rsidRDefault="000D3B77" w:rsidP="000D3B77">
      <w:pPr>
        <w:rPr>
          <w:rFonts w:asciiTheme="minorHAnsi" w:hAnsiTheme="minorHAnsi" w:cs="Arial"/>
          <w:bCs/>
          <w:lang w:val="en-GB"/>
        </w:rPr>
      </w:pPr>
    </w:p>
    <w:p w:rsidR="000D3B77" w:rsidRPr="00C07617" w:rsidRDefault="000D3B77" w:rsidP="000D3B77">
      <w:pPr>
        <w:pStyle w:val="2Sections"/>
        <w:numPr>
          <w:ilvl w:val="0"/>
          <w:numId w:val="1"/>
        </w:numPr>
        <w:rPr>
          <w:b w:val="0"/>
        </w:rPr>
      </w:pPr>
      <w:r>
        <w:t>Sponsor’s Comment</w:t>
      </w:r>
    </w:p>
    <w:p w:rsidR="00352D6C" w:rsidRPr="00352D6C" w:rsidRDefault="00352D6C" w:rsidP="00352D6C">
      <w:pPr>
        <w:rPr>
          <w:rFonts w:asciiTheme="minorHAnsi" w:hAnsiTheme="minorHAnsi"/>
          <w:snapToGrid w:val="0"/>
          <w:lang w:val="en-GB"/>
        </w:rPr>
      </w:pPr>
      <w:r w:rsidRPr="00352D6C">
        <w:rPr>
          <w:snapToGrid w:val="0"/>
          <w:lang w:val="en-GB"/>
        </w:rPr>
        <w:t>Bayer welcomes the PBAC decision to recommend the PBS listing of Xarelto 2.5mg in combination with aspirin for the treatment of patients at high risk of recurrent cardiovascular events with coronary artery disease (CAD) or peripheral artery disease (PA</w:t>
      </w:r>
      <w:r>
        <w:rPr>
          <w:snapToGrid w:val="0"/>
          <w:lang w:val="en-GB"/>
        </w:rPr>
        <w:t>D) who meet certain conditions.</w:t>
      </w:r>
    </w:p>
    <w:p w:rsidR="000D3B77" w:rsidRPr="001179AC" w:rsidRDefault="000D3B77" w:rsidP="000D3B77">
      <w:pPr>
        <w:spacing w:after="120"/>
        <w:rPr>
          <w:rFonts w:asciiTheme="minorHAnsi" w:hAnsiTheme="minorHAnsi" w:cs="Arial"/>
          <w:bCs/>
        </w:rPr>
      </w:pPr>
    </w:p>
    <w:p w:rsidR="000D3B77" w:rsidRPr="00EB5379" w:rsidRDefault="000D3B77" w:rsidP="007A5F72">
      <w:pPr>
        <w:autoSpaceDE w:val="0"/>
        <w:autoSpaceDN w:val="0"/>
        <w:adjustRightInd w:val="0"/>
        <w:ind w:left="709" w:hanging="709"/>
        <w:jc w:val="left"/>
      </w:pPr>
    </w:p>
    <w:sectPr w:rsidR="000D3B77" w:rsidRPr="00EB537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841B1" w16cex:dateUtc="2020-07-26T07:53:00Z"/>
  <w16cex:commentExtensible w16cex:durableId="22C84370" w16cex:dateUtc="2020-07-26T08:01:00Z"/>
  <w16cex:commentExtensible w16cex:durableId="22C844B0" w16cex:dateUtc="2020-07-26T08:06:00Z"/>
  <w16cex:commentExtensible w16cex:durableId="22C8457C" w16cex:dateUtc="2020-07-26T08:10:00Z"/>
  <w16cex:commentExtensible w16cex:durableId="22C84751" w16cex:dateUtc="2020-07-26T08:17:00Z"/>
  <w16cex:commentExtensible w16cex:durableId="22C84789" w16cex:dateUtc="2020-07-26T08:18:00Z"/>
  <w16cex:commentExtensible w16cex:durableId="22C848D2" w16cex:dateUtc="2020-07-26T08:24:00Z"/>
  <w16cex:commentExtensible w16cex:durableId="22C84931" w16cex:dateUtc="2020-07-26T08:25:00Z"/>
  <w16cex:commentExtensible w16cex:durableId="22C84991" w16cex:dateUtc="2020-07-26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031E89" w16cid:durableId="22C841B1"/>
  <w16cid:commentId w16cid:paraId="791341A3" w16cid:durableId="22C84370"/>
  <w16cid:commentId w16cid:paraId="78A0B558" w16cid:durableId="22C84006"/>
  <w16cid:commentId w16cid:paraId="7DD03E2A" w16cid:durableId="22C844B0"/>
  <w16cid:commentId w16cid:paraId="5A4FC361" w16cid:durableId="22C8457C"/>
  <w16cid:commentId w16cid:paraId="20E91BA5" w16cid:durableId="22C84751"/>
  <w16cid:commentId w16cid:paraId="425CFD4C" w16cid:durableId="22C84007"/>
  <w16cid:commentId w16cid:paraId="4317F04A" w16cid:durableId="22C84789"/>
  <w16cid:commentId w16cid:paraId="13BFA5BA" w16cid:durableId="22C848D2"/>
  <w16cid:commentId w16cid:paraId="5F5FB1D0" w16cid:durableId="22C84008"/>
  <w16cid:commentId w16cid:paraId="59FD67DE" w16cid:durableId="22C84931"/>
  <w16cid:commentId w16cid:paraId="7624BEC3" w16cid:durableId="22C84009"/>
  <w16cid:commentId w16cid:paraId="17886CDA" w16cid:durableId="22C849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3AA" w:rsidRDefault="001923AA">
      <w:r>
        <w:separator/>
      </w:r>
    </w:p>
    <w:p w:rsidR="001923AA" w:rsidRDefault="001923AA"/>
  </w:endnote>
  <w:endnote w:type="continuationSeparator" w:id="0">
    <w:p w:rsidR="001923AA" w:rsidRDefault="001923AA">
      <w:r>
        <w:continuationSeparator/>
      </w:r>
    </w:p>
    <w:p w:rsidR="001923AA" w:rsidRDefault="00192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923AA" w:rsidTr="005A3173">
      <w:trPr>
        <w:trHeight w:val="151"/>
      </w:trPr>
      <w:tc>
        <w:tcPr>
          <w:tcW w:w="2250" w:type="pct"/>
          <w:tcBorders>
            <w:top w:val="nil"/>
            <w:left w:val="nil"/>
            <w:bottom w:val="single" w:sz="4" w:space="0" w:color="4F81BD"/>
            <w:right w:val="nil"/>
          </w:tcBorders>
        </w:tcPr>
        <w:p w:rsidR="001923AA" w:rsidRPr="005A3173" w:rsidRDefault="001923AA" w:rsidP="005A3173">
          <w:pPr>
            <w:pStyle w:val="Header"/>
            <w:spacing w:line="276" w:lineRule="auto"/>
            <w:rPr>
              <w:rFonts w:eastAsia="MS Gothic"/>
              <w:b/>
              <w:bCs/>
              <w:color w:val="4F81BD"/>
            </w:rPr>
          </w:pPr>
        </w:p>
      </w:tc>
      <w:tc>
        <w:tcPr>
          <w:tcW w:w="500" w:type="pct"/>
          <w:vMerge w:val="restart"/>
          <w:noWrap/>
          <w:vAlign w:val="center"/>
          <w:hideMark/>
        </w:tcPr>
        <w:p w:rsidR="001923AA" w:rsidRPr="005A3173" w:rsidRDefault="001923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23AA" w:rsidRPr="005A3173" w:rsidRDefault="001923AA" w:rsidP="005A3173">
          <w:pPr>
            <w:pStyle w:val="Header"/>
            <w:spacing w:line="276" w:lineRule="auto"/>
            <w:rPr>
              <w:rFonts w:eastAsia="MS Gothic"/>
              <w:b/>
              <w:bCs/>
              <w:color w:val="4F81BD"/>
            </w:rPr>
          </w:pPr>
        </w:p>
      </w:tc>
    </w:tr>
    <w:tr w:rsidR="001923AA" w:rsidTr="005A3173">
      <w:trPr>
        <w:trHeight w:val="150"/>
      </w:trPr>
      <w:tc>
        <w:tcPr>
          <w:tcW w:w="2250" w:type="pct"/>
          <w:tcBorders>
            <w:top w:val="single" w:sz="4" w:space="0" w:color="4F81BD"/>
            <w:left w:val="nil"/>
            <w:bottom w:val="nil"/>
            <w:right w:val="nil"/>
          </w:tcBorders>
        </w:tcPr>
        <w:p w:rsidR="001923AA" w:rsidRPr="005A3173" w:rsidRDefault="001923AA" w:rsidP="005A3173">
          <w:pPr>
            <w:pStyle w:val="Header"/>
            <w:spacing w:line="276" w:lineRule="auto"/>
            <w:rPr>
              <w:rFonts w:eastAsia="MS Gothic"/>
              <w:b/>
              <w:bCs/>
              <w:color w:val="4F81BD"/>
            </w:rPr>
          </w:pPr>
        </w:p>
      </w:tc>
      <w:tc>
        <w:tcPr>
          <w:tcW w:w="0" w:type="auto"/>
          <w:vMerge/>
          <w:vAlign w:val="center"/>
          <w:hideMark/>
        </w:tcPr>
        <w:p w:rsidR="001923AA" w:rsidRPr="005A3173" w:rsidRDefault="001923AA" w:rsidP="005A3173">
          <w:pPr>
            <w:rPr>
              <w:color w:val="365F91"/>
              <w:sz w:val="22"/>
              <w:szCs w:val="22"/>
            </w:rPr>
          </w:pPr>
        </w:p>
      </w:tc>
      <w:tc>
        <w:tcPr>
          <w:tcW w:w="2250" w:type="pct"/>
          <w:tcBorders>
            <w:top w:val="single" w:sz="4" w:space="0" w:color="4F81BD"/>
            <w:left w:val="nil"/>
            <w:bottom w:val="nil"/>
            <w:right w:val="nil"/>
          </w:tcBorders>
        </w:tcPr>
        <w:p w:rsidR="001923AA" w:rsidRPr="005A3173" w:rsidRDefault="001923AA" w:rsidP="005A3173">
          <w:pPr>
            <w:pStyle w:val="Header"/>
            <w:spacing w:line="276" w:lineRule="auto"/>
            <w:rPr>
              <w:rFonts w:eastAsia="MS Gothic"/>
              <w:b/>
              <w:bCs/>
              <w:color w:val="4F81BD"/>
            </w:rPr>
          </w:pPr>
        </w:p>
      </w:tc>
    </w:tr>
  </w:tbl>
  <w:p w:rsidR="001923AA" w:rsidRDefault="001923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23AA" w:rsidRDefault="001923AA">
    <w:pPr>
      <w:pStyle w:val="Footer"/>
    </w:pPr>
  </w:p>
  <w:p w:rsidR="001923AA" w:rsidRDefault="001923A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127377"/>
      <w:docPartObj>
        <w:docPartGallery w:val="Page Numbers (Bottom of Page)"/>
        <w:docPartUnique/>
      </w:docPartObj>
    </w:sdtPr>
    <w:sdtEndPr>
      <w:rPr>
        <w:noProof/>
      </w:rPr>
    </w:sdtEndPr>
    <w:sdtContent>
      <w:p w:rsidR="001923AA" w:rsidRDefault="001923AA" w:rsidP="00980813">
        <w:pPr>
          <w:pStyle w:val="Footer"/>
          <w:jc w:val="center"/>
        </w:pPr>
      </w:p>
      <w:p w:rsidR="001923AA" w:rsidRDefault="001923AA" w:rsidP="00980813">
        <w:pPr>
          <w:pStyle w:val="Footer"/>
          <w:jc w:val="center"/>
          <w:rPr>
            <w:rFonts w:asciiTheme="minorHAnsi" w:hAnsiTheme="minorHAnsi" w:cstheme="minorHAnsi"/>
          </w:rPr>
        </w:pPr>
        <w:r>
          <w:fldChar w:fldCharType="begin"/>
        </w:r>
        <w:r>
          <w:instrText xml:space="preserve"> PAGE   \* MERGEFORMAT </w:instrText>
        </w:r>
        <w:r>
          <w:fldChar w:fldCharType="separate"/>
        </w:r>
        <w:r w:rsidR="004460D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923AA" w:rsidTr="005A3173">
      <w:trPr>
        <w:trHeight w:val="151"/>
      </w:trPr>
      <w:tc>
        <w:tcPr>
          <w:tcW w:w="2250" w:type="pct"/>
          <w:tcBorders>
            <w:top w:val="nil"/>
            <w:left w:val="nil"/>
            <w:bottom w:val="single" w:sz="4" w:space="0" w:color="4F81BD"/>
            <w:right w:val="nil"/>
          </w:tcBorders>
        </w:tcPr>
        <w:p w:rsidR="001923AA" w:rsidRPr="005A3173" w:rsidRDefault="001923AA" w:rsidP="005A3173">
          <w:pPr>
            <w:pStyle w:val="Header"/>
            <w:spacing w:line="276" w:lineRule="auto"/>
            <w:rPr>
              <w:rFonts w:eastAsia="MS Gothic"/>
              <w:b/>
              <w:bCs/>
              <w:color w:val="4F81BD"/>
            </w:rPr>
          </w:pPr>
        </w:p>
      </w:tc>
      <w:tc>
        <w:tcPr>
          <w:tcW w:w="500" w:type="pct"/>
          <w:vMerge w:val="restart"/>
          <w:noWrap/>
          <w:vAlign w:val="center"/>
          <w:hideMark/>
        </w:tcPr>
        <w:p w:rsidR="001923AA" w:rsidRPr="005A3173" w:rsidRDefault="001923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23AA" w:rsidRPr="005A3173" w:rsidRDefault="001923AA" w:rsidP="005A3173">
          <w:pPr>
            <w:pStyle w:val="Header"/>
            <w:spacing w:line="276" w:lineRule="auto"/>
            <w:rPr>
              <w:rFonts w:eastAsia="MS Gothic"/>
              <w:b/>
              <w:bCs/>
              <w:color w:val="4F81BD"/>
            </w:rPr>
          </w:pPr>
        </w:p>
      </w:tc>
    </w:tr>
    <w:tr w:rsidR="001923AA" w:rsidTr="005A3173">
      <w:trPr>
        <w:trHeight w:val="150"/>
      </w:trPr>
      <w:tc>
        <w:tcPr>
          <w:tcW w:w="2250" w:type="pct"/>
          <w:tcBorders>
            <w:top w:val="single" w:sz="4" w:space="0" w:color="4F81BD"/>
            <w:left w:val="nil"/>
            <w:bottom w:val="nil"/>
            <w:right w:val="nil"/>
          </w:tcBorders>
        </w:tcPr>
        <w:p w:rsidR="001923AA" w:rsidRPr="005A3173" w:rsidRDefault="001923AA" w:rsidP="005A3173">
          <w:pPr>
            <w:pStyle w:val="Header"/>
            <w:spacing w:line="276" w:lineRule="auto"/>
            <w:rPr>
              <w:rFonts w:eastAsia="MS Gothic"/>
              <w:b/>
              <w:bCs/>
              <w:color w:val="4F81BD"/>
            </w:rPr>
          </w:pPr>
        </w:p>
      </w:tc>
      <w:tc>
        <w:tcPr>
          <w:tcW w:w="0" w:type="auto"/>
          <w:vMerge/>
          <w:vAlign w:val="center"/>
          <w:hideMark/>
        </w:tcPr>
        <w:p w:rsidR="001923AA" w:rsidRPr="005A3173" w:rsidRDefault="001923AA" w:rsidP="005A3173">
          <w:pPr>
            <w:rPr>
              <w:color w:val="365F91"/>
              <w:sz w:val="22"/>
              <w:szCs w:val="22"/>
            </w:rPr>
          </w:pPr>
        </w:p>
      </w:tc>
      <w:tc>
        <w:tcPr>
          <w:tcW w:w="2250" w:type="pct"/>
          <w:tcBorders>
            <w:top w:val="single" w:sz="4" w:space="0" w:color="4F81BD"/>
            <w:left w:val="nil"/>
            <w:bottom w:val="nil"/>
            <w:right w:val="nil"/>
          </w:tcBorders>
        </w:tcPr>
        <w:p w:rsidR="001923AA" w:rsidRPr="005A3173" w:rsidRDefault="001923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923AA" w:rsidTr="005A3173">
      <w:trPr>
        <w:trHeight w:val="151"/>
      </w:trPr>
      <w:tc>
        <w:tcPr>
          <w:tcW w:w="2250" w:type="pct"/>
          <w:tcBorders>
            <w:top w:val="nil"/>
            <w:left w:val="nil"/>
            <w:bottom w:val="single" w:sz="4" w:space="0" w:color="4F81BD"/>
            <w:right w:val="nil"/>
          </w:tcBorders>
        </w:tcPr>
        <w:p w:rsidR="001923AA" w:rsidRPr="005A3173" w:rsidRDefault="001923AA" w:rsidP="005A3173">
          <w:pPr>
            <w:pStyle w:val="Header"/>
            <w:spacing w:line="276" w:lineRule="auto"/>
            <w:rPr>
              <w:rFonts w:eastAsia="MS Gothic"/>
              <w:b/>
              <w:bCs/>
              <w:color w:val="4F81BD"/>
            </w:rPr>
          </w:pPr>
        </w:p>
      </w:tc>
      <w:tc>
        <w:tcPr>
          <w:tcW w:w="500" w:type="pct"/>
          <w:vMerge w:val="restart"/>
          <w:noWrap/>
          <w:vAlign w:val="center"/>
          <w:hideMark/>
        </w:tcPr>
        <w:p w:rsidR="001923AA" w:rsidRPr="005A3173" w:rsidRDefault="001923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23AA" w:rsidRPr="005A3173" w:rsidRDefault="001923AA" w:rsidP="005A3173">
          <w:pPr>
            <w:pStyle w:val="Header"/>
            <w:spacing w:line="276" w:lineRule="auto"/>
            <w:rPr>
              <w:rFonts w:eastAsia="MS Gothic"/>
              <w:b/>
              <w:bCs/>
              <w:color w:val="4F81BD"/>
            </w:rPr>
          </w:pPr>
        </w:p>
      </w:tc>
    </w:tr>
    <w:tr w:rsidR="001923AA" w:rsidTr="005A3173">
      <w:trPr>
        <w:trHeight w:val="150"/>
      </w:trPr>
      <w:tc>
        <w:tcPr>
          <w:tcW w:w="2250" w:type="pct"/>
          <w:tcBorders>
            <w:top w:val="single" w:sz="4" w:space="0" w:color="4F81BD"/>
            <w:left w:val="nil"/>
            <w:bottom w:val="nil"/>
            <w:right w:val="nil"/>
          </w:tcBorders>
        </w:tcPr>
        <w:p w:rsidR="001923AA" w:rsidRPr="005A3173" w:rsidRDefault="001923AA" w:rsidP="005A3173">
          <w:pPr>
            <w:pStyle w:val="Header"/>
            <w:spacing w:line="276" w:lineRule="auto"/>
            <w:rPr>
              <w:rFonts w:eastAsia="MS Gothic"/>
              <w:b/>
              <w:bCs/>
              <w:color w:val="4F81BD"/>
            </w:rPr>
          </w:pPr>
        </w:p>
      </w:tc>
      <w:tc>
        <w:tcPr>
          <w:tcW w:w="0" w:type="auto"/>
          <w:vMerge/>
          <w:vAlign w:val="center"/>
          <w:hideMark/>
        </w:tcPr>
        <w:p w:rsidR="001923AA" w:rsidRPr="005A3173" w:rsidRDefault="001923AA" w:rsidP="005A3173">
          <w:pPr>
            <w:rPr>
              <w:color w:val="365F91"/>
              <w:sz w:val="22"/>
              <w:szCs w:val="22"/>
            </w:rPr>
          </w:pPr>
        </w:p>
      </w:tc>
      <w:tc>
        <w:tcPr>
          <w:tcW w:w="2250" w:type="pct"/>
          <w:tcBorders>
            <w:top w:val="single" w:sz="4" w:space="0" w:color="4F81BD"/>
            <w:left w:val="nil"/>
            <w:bottom w:val="nil"/>
            <w:right w:val="nil"/>
          </w:tcBorders>
        </w:tcPr>
        <w:p w:rsidR="001923AA" w:rsidRPr="005A3173" w:rsidRDefault="001923AA" w:rsidP="005A3173">
          <w:pPr>
            <w:pStyle w:val="Header"/>
            <w:spacing w:line="276" w:lineRule="auto"/>
            <w:rPr>
              <w:rFonts w:eastAsia="MS Gothic"/>
              <w:b/>
              <w:bCs/>
              <w:color w:val="4F81BD"/>
            </w:rPr>
          </w:pPr>
        </w:p>
      </w:tc>
    </w:tr>
  </w:tbl>
  <w:p w:rsidR="001923AA" w:rsidRPr="007C0F57" w:rsidRDefault="001923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923AA" w:rsidRPr="007C0F57" w:rsidRDefault="001923AA" w:rsidP="007C0F57">
    <w:pPr>
      <w:pStyle w:val="Footer"/>
      <w:jc w:val="center"/>
      <w:rPr>
        <w:b/>
        <w:i/>
        <w:sz w:val="20"/>
        <w:szCs w:val="20"/>
      </w:rPr>
    </w:pPr>
    <w:r w:rsidRPr="007C0F57">
      <w:rPr>
        <w:b/>
        <w:i/>
        <w:sz w:val="20"/>
        <w:szCs w:val="20"/>
      </w:rPr>
      <w:t>Commercial-in-Confidence</w:t>
    </w:r>
  </w:p>
  <w:p w:rsidR="001923AA" w:rsidRDefault="001923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3AA" w:rsidRDefault="001923AA">
      <w:r>
        <w:separator/>
      </w:r>
    </w:p>
    <w:p w:rsidR="001923AA" w:rsidRDefault="001923AA"/>
  </w:footnote>
  <w:footnote w:type="continuationSeparator" w:id="0">
    <w:p w:rsidR="001923AA" w:rsidRDefault="001923AA">
      <w:r>
        <w:continuationSeparator/>
      </w:r>
    </w:p>
    <w:p w:rsidR="001923AA" w:rsidRDefault="001923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923AA" w:rsidRPr="008E0D90" w:rsidTr="00A06225">
      <w:trPr>
        <w:trHeight w:val="151"/>
      </w:trPr>
      <w:tc>
        <w:tcPr>
          <w:tcW w:w="2389" w:type="pct"/>
          <w:tcBorders>
            <w:top w:val="nil"/>
            <w:left w:val="nil"/>
            <w:bottom w:val="single" w:sz="4" w:space="0" w:color="4F81BD"/>
            <w:right w:val="nil"/>
          </w:tcBorders>
        </w:tcPr>
        <w:p w:rsidR="001923AA" w:rsidRPr="00A06225" w:rsidRDefault="001923AA">
          <w:pPr>
            <w:pStyle w:val="Header"/>
            <w:spacing w:line="276" w:lineRule="auto"/>
            <w:rPr>
              <w:rFonts w:ascii="Cambria" w:eastAsia="MS Gothic" w:hAnsi="Cambria"/>
              <w:b/>
              <w:bCs/>
              <w:color w:val="4F81BD"/>
            </w:rPr>
          </w:pPr>
        </w:p>
      </w:tc>
      <w:tc>
        <w:tcPr>
          <w:tcW w:w="333" w:type="pct"/>
          <w:vMerge w:val="restart"/>
          <w:noWrap/>
          <w:vAlign w:val="center"/>
          <w:hideMark/>
        </w:tcPr>
        <w:p w:rsidR="001923AA" w:rsidRPr="00A06225" w:rsidRDefault="001923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923AA" w:rsidRPr="00A06225" w:rsidRDefault="001923AA">
          <w:pPr>
            <w:pStyle w:val="Header"/>
            <w:spacing w:line="276" w:lineRule="auto"/>
            <w:rPr>
              <w:rFonts w:ascii="Cambria" w:eastAsia="MS Gothic" w:hAnsi="Cambria"/>
              <w:b/>
              <w:bCs/>
              <w:color w:val="4F81BD"/>
            </w:rPr>
          </w:pPr>
        </w:p>
      </w:tc>
    </w:tr>
    <w:tr w:rsidR="001923AA" w:rsidRPr="008E0D90" w:rsidTr="00A06225">
      <w:trPr>
        <w:trHeight w:val="150"/>
      </w:trPr>
      <w:tc>
        <w:tcPr>
          <w:tcW w:w="2389" w:type="pct"/>
          <w:tcBorders>
            <w:top w:val="single" w:sz="4" w:space="0" w:color="4F81BD"/>
            <w:left w:val="nil"/>
            <w:bottom w:val="nil"/>
            <w:right w:val="nil"/>
          </w:tcBorders>
        </w:tcPr>
        <w:p w:rsidR="001923AA" w:rsidRPr="00A06225" w:rsidRDefault="001923AA">
          <w:pPr>
            <w:pStyle w:val="Header"/>
            <w:spacing w:line="276" w:lineRule="auto"/>
            <w:rPr>
              <w:rFonts w:ascii="Cambria" w:eastAsia="MS Gothic" w:hAnsi="Cambria"/>
              <w:b/>
              <w:bCs/>
              <w:color w:val="4F81BD"/>
            </w:rPr>
          </w:pPr>
        </w:p>
      </w:tc>
      <w:tc>
        <w:tcPr>
          <w:tcW w:w="0" w:type="auto"/>
          <w:vMerge/>
          <w:vAlign w:val="center"/>
          <w:hideMark/>
        </w:tcPr>
        <w:p w:rsidR="001923AA" w:rsidRPr="00A06225" w:rsidRDefault="001923AA">
          <w:pPr>
            <w:rPr>
              <w:rFonts w:ascii="Cambria" w:hAnsi="Cambria"/>
              <w:color w:val="4F81BD"/>
              <w:sz w:val="22"/>
              <w:szCs w:val="22"/>
            </w:rPr>
          </w:pPr>
        </w:p>
      </w:tc>
      <w:tc>
        <w:tcPr>
          <w:tcW w:w="2278" w:type="pct"/>
          <w:tcBorders>
            <w:top w:val="single" w:sz="4" w:space="0" w:color="4F81BD"/>
            <w:left w:val="nil"/>
            <w:bottom w:val="nil"/>
            <w:right w:val="nil"/>
          </w:tcBorders>
        </w:tcPr>
        <w:p w:rsidR="001923AA" w:rsidRPr="00A06225" w:rsidRDefault="001923AA">
          <w:pPr>
            <w:pStyle w:val="Header"/>
            <w:spacing w:line="276" w:lineRule="auto"/>
            <w:rPr>
              <w:rFonts w:ascii="Cambria" w:eastAsia="MS Gothic" w:hAnsi="Cambria"/>
              <w:b/>
              <w:bCs/>
              <w:color w:val="4F81BD"/>
            </w:rPr>
          </w:pPr>
        </w:p>
      </w:tc>
    </w:tr>
  </w:tbl>
  <w:p w:rsidR="001923AA" w:rsidRDefault="001923AA">
    <w:pPr>
      <w:pStyle w:val="Header"/>
    </w:pPr>
  </w:p>
  <w:p w:rsidR="001923AA" w:rsidRDefault="001923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3AA" w:rsidRPr="00966288" w:rsidRDefault="001923AA" w:rsidP="000D3B77">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1923AA" w:rsidRDefault="001923AA"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C76" w:rsidRDefault="00E05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31E56"/>
    <w:multiLevelType w:val="hybridMultilevel"/>
    <w:tmpl w:val="E66AF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0996683"/>
    <w:multiLevelType w:val="hybridMultilevel"/>
    <w:tmpl w:val="9492516E"/>
    <w:lvl w:ilvl="0" w:tplc="7C06699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997353"/>
    <w:multiLevelType w:val="hybridMultilevel"/>
    <w:tmpl w:val="088C5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5A1B51"/>
    <w:multiLevelType w:val="hybridMultilevel"/>
    <w:tmpl w:val="476A0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D72ED7"/>
    <w:multiLevelType w:val="hybridMultilevel"/>
    <w:tmpl w:val="CFC8DBD6"/>
    <w:lvl w:ilvl="0" w:tplc="6512E728">
      <w:start w:val="1"/>
      <w:numFmt w:val="lowerRoman"/>
      <w:lvlText w:val="%1)"/>
      <w:lvlJc w:val="left"/>
      <w:pPr>
        <w:ind w:left="1080" w:hanging="72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0265D1C"/>
    <w:multiLevelType w:val="hybridMultilevel"/>
    <w:tmpl w:val="E5989420"/>
    <w:lvl w:ilvl="0" w:tplc="708044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6546A7"/>
    <w:multiLevelType w:val="hybridMultilevel"/>
    <w:tmpl w:val="61960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2376C72"/>
    <w:multiLevelType w:val="hybridMultilevel"/>
    <w:tmpl w:val="ABFEA9B0"/>
    <w:lvl w:ilvl="0" w:tplc="3DF090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0F5AB0"/>
    <w:multiLevelType w:val="hybridMultilevel"/>
    <w:tmpl w:val="2E8E434C"/>
    <w:lvl w:ilvl="0" w:tplc="2EFE4B3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3A72713"/>
    <w:multiLevelType w:val="hybridMultilevel"/>
    <w:tmpl w:val="4B0C868E"/>
    <w:lvl w:ilvl="0" w:tplc="28B4E28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85F2469"/>
    <w:multiLevelType w:val="hybridMultilevel"/>
    <w:tmpl w:val="F3F81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3A1DC3"/>
    <w:multiLevelType w:val="hybridMultilevel"/>
    <w:tmpl w:val="E48448B2"/>
    <w:lvl w:ilvl="0" w:tplc="225C7F48">
      <w:start w:val="1"/>
      <w:numFmt w:val="bullet"/>
      <w:pStyle w:val="Bulletpoin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F536CA7"/>
    <w:multiLevelType w:val="hybridMultilevel"/>
    <w:tmpl w:val="E5989420"/>
    <w:lvl w:ilvl="0" w:tplc="708044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056E25"/>
    <w:multiLevelType w:val="hybridMultilevel"/>
    <w:tmpl w:val="7AAEE5C6"/>
    <w:lvl w:ilvl="0" w:tplc="AAEA7A2C">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022270C"/>
    <w:multiLevelType w:val="hybridMultilevel"/>
    <w:tmpl w:val="9E62C63A"/>
    <w:lvl w:ilvl="0" w:tplc="45008D5E">
      <w:start w:val="1"/>
      <w:numFmt w:val="lowerLetter"/>
      <w:lvlText w:val="%1)"/>
      <w:lvlJc w:val="left"/>
      <w:pPr>
        <w:ind w:left="1080" w:hanging="360"/>
      </w:pPr>
      <w:rPr>
        <w:rFonts w:hint="default"/>
        <w:i w:val="0"/>
      </w:rPr>
    </w:lvl>
    <w:lvl w:ilvl="1" w:tplc="0C090019">
      <w:start w:val="1"/>
      <w:numFmt w:val="lowerLetter"/>
      <w:lvlText w:val="%2."/>
      <w:lvlJc w:val="left"/>
      <w:pPr>
        <w:ind w:left="1800" w:hanging="360"/>
      </w:pPr>
    </w:lvl>
    <w:lvl w:ilvl="2" w:tplc="A8207612">
      <w:numFmt w:val="bullet"/>
      <w:lvlText w:val="-"/>
      <w:lvlJc w:val="left"/>
      <w:pPr>
        <w:ind w:left="2700" w:hanging="360"/>
      </w:pPr>
      <w:rPr>
        <w:rFonts w:ascii="Calibri" w:eastAsia="Times New Roman" w:hAnsi="Calibri" w:cs="Calibri" w:hint="default"/>
      </w:rPr>
    </w:lvl>
    <w:lvl w:ilvl="3" w:tplc="2D186910">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3821436"/>
    <w:multiLevelType w:val="hybridMultilevel"/>
    <w:tmpl w:val="179E6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4D033C"/>
    <w:multiLevelType w:val="multilevel"/>
    <w:tmpl w:val="964C869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4F61C2"/>
    <w:multiLevelType w:val="hybridMultilevel"/>
    <w:tmpl w:val="43F09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7"/>
  </w:num>
  <w:num w:numId="2">
    <w:abstractNumId w:val="0"/>
  </w:num>
  <w:num w:numId="3">
    <w:abstractNumId w:val="27"/>
  </w:num>
  <w:num w:numId="4">
    <w:abstractNumId w:val="19"/>
  </w:num>
  <w:num w:numId="5">
    <w:abstractNumId w:val="30"/>
  </w:num>
  <w:num w:numId="6">
    <w:abstractNumId w:val="23"/>
  </w:num>
  <w:num w:numId="7">
    <w:abstractNumId w:val="24"/>
  </w:num>
  <w:num w:numId="8">
    <w:abstractNumId w:val="16"/>
  </w:num>
  <w:num w:numId="9">
    <w:abstractNumId w:val="3"/>
  </w:num>
  <w:num w:numId="10">
    <w:abstractNumId w:val="20"/>
  </w:num>
  <w:num w:numId="11">
    <w:abstractNumId w:val="10"/>
  </w:num>
  <w:num w:numId="12">
    <w:abstractNumId w:val="1"/>
  </w:num>
  <w:num w:numId="13">
    <w:abstractNumId w:val="27"/>
  </w:num>
  <w:num w:numId="14">
    <w:abstractNumId w:val="6"/>
  </w:num>
  <w:num w:numId="15">
    <w:abstractNumId w:val="28"/>
  </w:num>
  <w:num w:numId="16">
    <w:abstractNumId w:val="21"/>
  </w:num>
  <w:num w:numId="17">
    <w:abstractNumId w:val="15"/>
  </w:num>
  <w:num w:numId="18">
    <w:abstractNumId w:val="11"/>
  </w:num>
  <w:num w:numId="19">
    <w:abstractNumId w:val="27"/>
  </w:num>
  <w:num w:numId="20">
    <w:abstractNumId w:val="9"/>
  </w:num>
  <w:num w:numId="21">
    <w:abstractNumId w:val="26"/>
  </w:num>
  <w:num w:numId="22">
    <w:abstractNumId w:val="4"/>
  </w:num>
  <w:num w:numId="23">
    <w:abstractNumId w:val="5"/>
  </w:num>
  <w:num w:numId="24">
    <w:abstractNumId w:val="14"/>
  </w:num>
  <w:num w:numId="25">
    <w:abstractNumId w:val="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2"/>
  </w:num>
  <w:num w:numId="32">
    <w:abstractNumId w:val="7"/>
  </w:num>
  <w:num w:numId="33">
    <w:abstractNumId w:val="13"/>
  </w:num>
  <w:num w:numId="34">
    <w:abstractNumId w:val="17"/>
  </w:num>
  <w:num w:numId="35">
    <w:abstractNumId w:val="29"/>
  </w:num>
  <w:num w:numId="36">
    <w:abstractNumId w:val="27"/>
  </w:num>
  <w:num w:numId="37">
    <w:abstractNumId w:val="27"/>
  </w:num>
  <w:num w:numId="38">
    <w:abstractNumId w:val="27"/>
  </w:num>
  <w:num w:numId="39">
    <w:abstractNumId w:val="27"/>
  </w:num>
  <w:num w:numId="40">
    <w:abstractNumId w:val="25"/>
  </w:num>
  <w:num w:numId="41">
    <w:abstractNumId w:val="18"/>
  </w:num>
  <w:num w:numId="4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6B54"/>
    <w:rsid w:val="00011A59"/>
    <w:rsid w:val="00016A41"/>
    <w:rsid w:val="000214D1"/>
    <w:rsid w:val="0002464A"/>
    <w:rsid w:val="0003106B"/>
    <w:rsid w:val="00032EE8"/>
    <w:rsid w:val="000345C6"/>
    <w:rsid w:val="00034905"/>
    <w:rsid w:val="0004147E"/>
    <w:rsid w:val="000421A1"/>
    <w:rsid w:val="0004240E"/>
    <w:rsid w:val="00045E26"/>
    <w:rsid w:val="000514B5"/>
    <w:rsid w:val="00056BEF"/>
    <w:rsid w:val="00060E64"/>
    <w:rsid w:val="000653DF"/>
    <w:rsid w:val="00066755"/>
    <w:rsid w:val="000763D5"/>
    <w:rsid w:val="00077143"/>
    <w:rsid w:val="00081FD8"/>
    <w:rsid w:val="00082169"/>
    <w:rsid w:val="00083925"/>
    <w:rsid w:val="000901AB"/>
    <w:rsid w:val="000918CB"/>
    <w:rsid w:val="00091B06"/>
    <w:rsid w:val="000951C4"/>
    <w:rsid w:val="00095ADA"/>
    <w:rsid w:val="000969AD"/>
    <w:rsid w:val="00097AEA"/>
    <w:rsid w:val="000A3AA2"/>
    <w:rsid w:val="000A44B2"/>
    <w:rsid w:val="000A52F6"/>
    <w:rsid w:val="000B44C3"/>
    <w:rsid w:val="000B558D"/>
    <w:rsid w:val="000B646C"/>
    <w:rsid w:val="000C5F95"/>
    <w:rsid w:val="000C61EC"/>
    <w:rsid w:val="000C6996"/>
    <w:rsid w:val="000D09E9"/>
    <w:rsid w:val="000D113F"/>
    <w:rsid w:val="000D23BA"/>
    <w:rsid w:val="000D3B77"/>
    <w:rsid w:val="000E4C5A"/>
    <w:rsid w:val="000E5DCE"/>
    <w:rsid w:val="000E5EA1"/>
    <w:rsid w:val="000E681E"/>
    <w:rsid w:val="000F0003"/>
    <w:rsid w:val="000F0B21"/>
    <w:rsid w:val="000F0DE2"/>
    <w:rsid w:val="000F3384"/>
    <w:rsid w:val="000F4E6A"/>
    <w:rsid w:val="000F7354"/>
    <w:rsid w:val="00101ABE"/>
    <w:rsid w:val="00102202"/>
    <w:rsid w:val="00104227"/>
    <w:rsid w:val="001107BF"/>
    <w:rsid w:val="00112AD0"/>
    <w:rsid w:val="00113649"/>
    <w:rsid w:val="0012417C"/>
    <w:rsid w:val="0012749D"/>
    <w:rsid w:val="00131BA2"/>
    <w:rsid w:val="001320EF"/>
    <w:rsid w:val="00137757"/>
    <w:rsid w:val="00142395"/>
    <w:rsid w:val="00142714"/>
    <w:rsid w:val="001433A7"/>
    <w:rsid w:val="001452ED"/>
    <w:rsid w:val="00147D84"/>
    <w:rsid w:val="001529F1"/>
    <w:rsid w:val="001549C1"/>
    <w:rsid w:val="00161B81"/>
    <w:rsid w:val="00162BDD"/>
    <w:rsid w:val="00162D4E"/>
    <w:rsid w:val="00163329"/>
    <w:rsid w:val="00164623"/>
    <w:rsid w:val="001652D6"/>
    <w:rsid w:val="001652DE"/>
    <w:rsid w:val="00165B64"/>
    <w:rsid w:val="00180713"/>
    <w:rsid w:val="00180720"/>
    <w:rsid w:val="00182338"/>
    <w:rsid w:val="001830CE"/>
    <w:rsid w:val="0018643B"/>
    <w:rsid w:val="001901C9"/>
    <w:rsid w:val="001923AA"/>
    <w:rsid w:val="00196307"/>
    <w:rsid w:val="001A2276"/>
    <w:rsid w:val="001A33EA"/>
    <w:rsid w:val="001A4C4F"/>
    <w:rsid w:val="001A76FB"/>
    <w:rsid w:val="001A7C84"/>
    <w:rsid w:val="001B017F"/>
    <w:rsid w:val="001B1B56"/>
    <w:rsid w:val="001B2BBC"/>
    <w:rsid w:val="001B3A39"/>
    <w:rsid w:val="001B3A40"/>
    <w:rsid w:val="001B3FFE"/>
    <w:rsid w:val="001B5129"/>
    <w:rsid w:val="001C0B4C"/>
    <w:rsid w:val="001C1195"/>
    <w:rsid w:val="001C2E42"/>
    <w:rsid w:val="001C45ED"/>
    <w:rsid w:val="001C64D4"/>
    <w:rsid w:val="001D1F5F"/>
    <w:rsid w:val="001E06D2"/>
    <w:rsid w:val="001F005B"/>
    <w:rsid w:val="001F1850"/>
    <w:rsid w:val="001F3189"/>
    <w:rsid w:val="001F3316"/>
    <w:rsid w:val="001F452F"/>
    <w:rsid w:val="00202DF4"/>
    <w:rsid w:val="00203FAC"/>
    <w:rsid w:val="00213CFB"/>
    <w:rsid w:val="0021553C"/>
    <w:rsid w:val="0021557B"/>
    <w:rsid w:val="002174FD"/>
    <w:rsid w:val="00217BE1"/>
    <w:rsid w:val="00217F1A"/>
    <w:rsid w:val="00220A3D"/>
    <w:rsid w:val="00222E13"/>
    <w:rsid w:val="00234252"/>
    <w:rsid w:val="00236833"/>
    <w:rsid w:val="00237AC6"/>
    <w:rsid w:val="00244490"/>
    <w:rsid w:val="00245B9C"/>
    <w:rsid w:val="00253499"/>
    <w:rsid w:val="002551A4"/>
    <w:rsid w:val="00257664"/>
    <w:rsid w:val="00265151"/>
    <w:rsid w:val="00266509"/>
    <w:rsid w:val="00271BA1"/>
    <w:rsid w:val="002762FA"/>
    <w:rsid w:val="00277505"/>
    <w:rsid w:val="0028155A"/>
    <w:rsid w:val="002823B6"/>
    <w:rsid w:val="00294274"/>
    <w:rsid w:val="0029458F"/>
    <w:rsid w:val="00296F71"/>
    <w:rsid w:val="002A0E04"/>
    <w:rsid w:val="002A104C"/>
    <w:rsid w:val="002A1EF7"/>
    <w:rsid w:val="002A494D"/>
    <w:rsid w:val="002A4960"/>
    <w:rsid w:val="002A6368"/>
    <w:rsid w:val="002B0AE0"/>
    <w:rsid w:val="002B1AE6"/>
    <w:rsid w:val="002B1D51"/>
    <w:rsid w:val="002B2DE8"/>
    <w:rsid w:val="002B30F8"/>
    <w:rsid w:val="002B388A"/>
    <w:rsid w:val="002B5596"/>
    <w:rsid w:val="002C1AC8"/>
    <w:rsid w:val="002C212F"/>
    <w:rsid w:val="002C7485"/>
    <w:rsid w:val="002D283A"/>
    <w:rsid w:val="002D4543"/>
    <w:rsid w:val="002E3008"/>
    <w:rsid w:val="002E3153"/>
    <w:rsid w:val="002E5292"/>
    <w:rsid w:val="002E5DA0"/>
    <w:rsid w:val="002E72CA"/>
    <w:rsid w:val="002F600D"/>
    <w:rsid w:val="00300AD6"/>
    <w:rsid w:val="00300B1B"/>
    <w:rsid w:val="003019D0"/>
    <w:rsid w:val="003064AF"/>
    <w:rsid w:val="00310B68"/>
    <w:rsid w:val="00317C6C"/>
    <w:rsid w:val="00320CD3"/>
    <w:rsid w:val="00322769"/>
    <w:rsid w:val="00325637"/>
    <w:rsid w:val="003263B1"/>
    <w:rsid w:val="00326E79"/>
    <w:rsid w:val="003301B1"/>
    <w:rsid w:val="00331189"/>
    <w:rsid w:val="0033263D"/>
    <w:rsid w:val="0033518A"/>
    <w:rsid w:val="003367EF"/>
    <w:rsid w:val="00341AE4"/>
    <w:rsid w:val="003476EE"/>
    <w:rsid w:val="00352D6C"/>
    <w:rsid w:val="003541DD"/>
    <w:rsid w:val="00356E5B"/>
    <w:rsid w:val="003736C9"/>
    <w:rsid w:val="003832FD"/>
    <w:rsid w:val="00384988"/>
    <w:rsid w:val="003851FA"/>
    <w:rsid w:val="003872CF"/>
    <w:rsid w:val="003900FC"/>
    <w:rsid w:val="0039782C"/>
    <w:rsid w:val="003A2356"/>
    <w:rsid w:val="003A5B4A"/>
    <w:rsid w:val="003A5D95"/>
    <w:rsid w:val="003B23C5"/>
    <w:rsid w:val="003B2A75"/>
    <w:rsid w:val="003B6124"/>
    <w:rsid w:val="003C093A"/>
    <w:rsid w:val="003C1ECF"/>
    <w:rsid w:val="003C2FB5"/>
    <w:rsid w:val="003D032D"/>
    <w:rsid w:val="003D24C5"/>
    <w:rsid w:val="003D2D95"/>
    <w:rsid w:val="003D4AC4"/>
    <w:rsid w:val="003D58C6"/>
    <w:rsid w:val="003D63B7"/>
    <w:rsid w:val="003D74C5"/>
    <w:rsid w:val="003E044B"/>
    <w:rsid w:val="003E3C3C"/>
    <w:rsid w:val="003E468B"/>
    <w:rsid w:val="003E62BD"/>
    <w:rsid w:val="003F08C4"/>
    <w:rsid w:val="003F0C3A"/>
    <w:rsid w:val="003F3228"/>
    <w:rsid w:val="003F5C8C"/>
    <w:rsid w:val="003F63CE"/>
    <w:rsid w:val="003F775A"/>
    <w:rsid w:val="00400E55"/>
    <w:rsid w:val="0040128E"/>
    <w:rsid w:val="0040216B"/>
    <w:rsid w:val="004252EC"/>
    <w:rsid w:val="00430D39"/>
    <w:rsid w:val="00436E38"/>
    <w:rsid w:val="004460D9"/>
    <w:rsid w:val="004465BD"/>
    <w:rsid w:val="00446938"/>
    <w:rsid w:val="00461A44"/>
    <w:rsid w:val="0046371F"/>
    <w:rsid w:val="00464684"/>
    <w:rsid w:val="00466ADA"/>
    <w:rsid w:val="004702BB"/>
    <w:rsid w:val="00470B9B"/>
    <w:rsid w:val="0047494B"/>
    <w:rsid w:val="00476245"/>
    <w:rsid w:val="00477A9B"/>
    <w:rsid w:val="004805AD"/>
    <w:rsid w:val="00483035"/>
    <w:rsid w:val="00485940"/>
    <w:rsid w:val="004904B9"/>
    <w:rsid w:val="00493D91"/>
    <w:rsid w:val="004A2484"/>
    <w:rsid w:val="004A5A85"/>
    <w:rsid w:val="004A71D1"/>
    <w:rsid w:val="004A73A1"/>
    <w:rsid w:val="004A7C5B"/>
    <w:rsid w:val="004B1845"/>
    <w:rsid w:val="004B2E98"/>
    <w:rsid w:val="004B5640"/>
    <w:rsid w:val="004B6DAA"/>
    <w:rsid w:val="004C03D0"/>
    <w:rsid w:val="004C1857"/>
    <w:rsid w:val="004C1BD7"/>
    <w:rsid w:val="004C2430"/>
    <w:rsid w:val="004C31FE"/>
    <w:rsid w:val="004C524C"/>
    <w:rsid w:val="004C5FFA"/>
    <w:rsid w:val="004C691D"/>
    <w:rsid w:val="004C6C07"/>
    <w:rsid w:val="004D4FF6"/>
    <w:rsid w:val="004D597D"/>
    <w:rsid w:val="004E674E"/>
    <w:rsid w:val="004E692D"/>
    <w:rsid w:val="004E7D87"/>
    <w:rsid w:val="004E7DD1"/>
    <w:rsid w:val="004F2553"/>
    <w:rsid w:val="00501554"/>
    <w:rsid w:val="00502AFE"/>
    <w:rsid w:val="00503AD7"/>
    <w:rsid w:val="00504E0C"/>
    <w:rsid w:val="005109D4"/>
    <w:rsid w:val="00513F57"/>
    <w:rsid w:val="00514CD7"/>
    <w:rsid w:val="00520D6A"/>
    <w:rsid w:val="00522DB6"/>
    <w:rsid w:val="0052792D"/>
    <w:rsid w:val="005319B2"/>
    <w:rsid w:val="00532402"/>
    <w:rsid w:val="00532C74"/>
    <w:rsid w:val="00534E2E"/>
    <w:rsid w:val="005359F9"/>
    <w:rsid w:val="005440C0"/>
    <w:rsid w:val="00544552"/>
    <w:rsid w:val="00545130"/>
    <w:rsid w:val="00545E50"/>
    <w:rsid w:val="005511CE"/>
    <w:rsid w:val="0055286A"/>
    <w:rsid w:val="00555745"/>
    <w:rsid w:val="00557D4F"/>
    <w:rsid w:val="0056195C"/>
    <w:rsid w:val="00564806"/>
    <w:rsid w:val="0056484E"/>
    <w:rsid w:val="0056568F"/>
    <w:rsid w:val="00571BD9"/>
    <w:rsid w:val="00573D11"/>
    <w:rsid w:val="005764CD"/>
    <w:rsid w:val="00577C4D"/>
    <w:rsid w:val="00580532"/>
    <w:rsid w:val="00581932"/>
    <w:rsid w:val="00590063"/>
    <w:rsid w:val="00590801"/>
    <w:rsid w:val="005963BB"/>
    <w:rsid w:val="005A3173"/>
    <w:rsid w:val="005A3223"/>
    <w:rsid w:val="005A3DA3"/>
    <w:rsid w:val="005A52C4"/>
    <w:rsid w:val="005C4F73"/>
    <w:rsid w:val="005D03AB"/>
    <w:rsid w:val="005D0CC8"/>
    <w:rsid w:val="005D5017"/>
    <w:rsid w:val="005D63FA"/>
    <w:rsid w:val="005E0D82"/>
    <w:rsid w:val="005E1067"/>
    <w:rsid w:val="005E1333"/>
    <w:rsid w:val="005E3136"/>
    <w:rsid w:val="005E507D"/>
    <w:rsid w:val="005F52CE"/>
    <w:rsid w:val="00601A91"/>
    <w:rsid w:val="00602BA3"/>
    <w:rsid w:val="00605B63"/>
    <w:rsid w:val="00605F9A"/>
    <w:rsid w:val="00606EED"/>
    <w:rsid w:val="00612143"/>
    <w:rsid w:val="00612E34"/>
    <w:rsid w:val="00614159"/>
    <w:rsid w:val="00616C5F"/>
    <w:rsid w:val="00616DAC"/>
    <w:rsid w:val="00617C00"/>
    <w:rsid w:val="006263BF"/>
    <w:rsid w:val="0062748A"/>
    <w:rsid w:val="00630A2C"/>
    <w:rsid w:val="00631171"/>
    <w:rsid w:val="0063682E"/>
    <w:rsid w:val="006406BE"/>
    <w:rsid w:val="00642D6B"/>
    <w:rsid w:val="00642DA8"/>
    <w:rsid w:val="006436CD"/>
    <w:rsid w:val="00651169"/>
    <w:rsid w:val="00652143"/>
    <w:rsid w:val="00653D69"/>
    <w:rsid w:val="006552E6"/>
    <w:rsid w:val="00655794"/>
    <w:rsid w:val="00657C63"/>
    <w:rsid w:val="00661D4C"/>
    <w:rsid w:val="0066205B"/>
    <w:rsid w:val="006670BE"/>
    <w:rsid w:val="00670A76"/>
    <w:rsid w:val="006711AA"/>
    <w:rsid w:val="00672B57"/>
    <w:rsid w:val="00673F1F"/>
    <w:rsid w:val="00675622"/>
    <w:rsid w:val="0067747D"/>
    <w:rsid w:val="006804F0"/>
    <w:rsid w:val="006818D5"/>
    <w:rsid w:val="00681CA4"/>
    <w:rsid w:val="00684162"/>
    <w:rsid w:val="0069039D"/>
    <w:rsid w:val="006906DB"/>
    <w:rsid w:val="00691E6C"/>
    <w:rsid w:val="00693DFB"/>
    <w:rsid w:val="0069501D"/>
    <w:rsid w:val="00696129"/>
    <w:rsid w:val="00697CF2"/>
    <w:rsid w:val="006A12A5"/>
    <w:rsid w:val="006A5E20"/>
    <w:rsid w:val="006B0D94"/>
    <w:rsid w:val="006B151D"/>
    <w:rsid w:val="006B21EB"/>
    <w:rsid w:val="006B27B2"/>
    <w:rsid w:val="006B485D"/>
    <w:rsid w:val="006C334C"/>
    <w:rsid w:val="006C708E"/>
    <w:rsid w:val="006D14E7"/>
    <w:rsid w:val="006D3941"/>
    <w:rsid w:val="006D4444"/>
    <w:rsid w:val="006D6493"/>
    <w:rsid w:val="006D6EC7"/>
    <w:rsid w:val="006E0D95"/>
    <w:rsid w:val="006E1BCD"/>
    <w:rsid w:val="006F0A71"/>
    <w:rsid w:val="006F40C2"/>
    <w:rsid w:val="006F4E59"/>
    <w:rsid w:val="006F5125"/>
    <w:rsid w:val="006F6550"/>
    <w:rsid w:val="006F733D"/>
    <w:rsid w:val="00702B6F"/>
    <w:rsid w:val="00706A2F"/>
    <w:rsid w:val="0070718E"/>
    <w:rsid w:val="00710259"/>
    <w:rsid w:val="0071031F"/>
    <w:rsid w:val="0071340B"/>
    <w:rsid w:val="00715BBB"/>
    <w:rsid w:val="007174BB"/>
    <w:rsid w:val="0072025D"/>
    <w:rsid w:val="0073137C"/>
    <w:rsid w:val="00733690"/>
    <w:rsid w:val="00733F70"/>
    <w:rsid w:val="00734243"/>
    <w:rsid w:val="007353D3"/>
    <w:rsid w:val="0074156B"/>
    <w:rsid w:val="007456D3"/>
    <w:rsid w:val="0074611F"/>
    <w:rsid w:val="00747092"/>
    <w:rsid w:val="007555E8"/>
    <w:rsid w:val="00760C38"/>
    <w:rsid w:val="0076420C"/>
    <w:rsid w:val="00771D07"/>
    <w:rsid w:val="00773BE3"/>
    <w:rsid w:val="00774E2C"/>
    <w:rsid w:val="007753C2"/>
    <w:rsid w:val="007838B8"/>
    <w:rsid w:val="007915BA"/>
    <w:rsid w:val="007A44A0"/>
    <w:rsid w:val="007A5F72"/>
    <w:rsid w:val="007B3DDC"/>
    <w:rsid w:val="007B72A6"/>
    <w:rsid w:val="007C0F57"/>
    <w:rsid w:val="007C40B6"/>
    <w:rsid w:val="007C729F"/>
    <w:rsid w:val="007C7352"/>
    <w:rsid w:val="007D503D"/>
    <w:rsid w:val="007D6EE6"/>
    <w:rsid w:val="007E0C29"/>
    <w:rsid w:val="007E1D28"/>
    <w:rsid w:val="007F0021"/>
    <w:rsid w:val="007F2641"/>
    <w:rsid w:val="007F7C36"/>
    <w:rsid w:val="00800367"/>
    <w:rsid w:val="00801BE9"/>
    <w:rsid w:val="00806796"/>
    <w:rsid w:val="008075E1"/>
    <w:rsid w:val="00810C61"/>
    <w:rsid w:val="00811CC0"/>
    <w:rsid w:val="008151D6"/>
    <w:rsid w:val="008212E7"/>
    <w:rsid w:val="00821527"/>
    <w:rsid w:val="008231E9"/>
    <w:rsid w:val="008268BB"/>
    <w:rsid w:val="00826F6D"/>
    <w:rsid w:val="008306F3"/>
    <w:rsid w:val="00830E40"/>
    <w:rsid w:val="00835C62"/>
    <w:rsid w:val="00836633"/>
    <w:rsid w:val="00847EC0"/>
    <w:rsid w:val="00855FD6"/>
    <w:rsid w:val="00856DDD"/>
    <w:rsid w:val="0085708C"/>
    <w:rsid w:val="00863E68"/>
    <w:rsid w:val="008647B5"/>
    <w:rsid w:val="008652EF"/>
    <w:rsid w:val="008672C8"/>
    <w:rsid w:val="0087256C"/>
    <w:rsid w:val="0087443E"/>
    <w:rsid w:val="00875DCB"/>
    <w:rsid w:val="00882085"/>
    <w:rsid w:val="00883188"/>
    <w:rsid w:val="00897C58"/>
    <w:rsid w:val="00897D58"/>
    <w:rsid w:val="00897F22"/>
    <w:rsid w:val="008A0B39"/>
    <w:rsid w:val="008A1956"/>
    <w:rsid w:val="008A32F7"/>
    <w:rsid w:val="008A4937"/>
    <w:rsid w:val="008A50F1"/>
    <w:rsid w:val="008A59D9"/>
    <w:rsid w:val="008A6819"/>
    <w:rsid w:val="008B2EC0"/>
    <w:rsid w:val="008B428E"/>
    <w:rsid w:val="008C3379"/>
    <w:rsid w:val="008C5490"/>
    <w:rsid w:val="008C75E3"/>
    <w:rsid w:val="008C784C"/>
    <w:rsid w:val="008C7BF7"/>
    <w:rsid w:val="008D1B5C"/>
    <w:rsid w:val="008D2963"/>
    <w:rsid w:val="008D3C82"/>
    <w:rsid w:val="008D447E"/>
    <w:rsid w:val="008D7A41"/>
    <w:rsid w:val="008E2C72"/>
    <w:rsid w:val="008E3680"/>
    <w:rsid w:val="008E5870"/>
    <w:rsid w:val="008F0213"/>
    <w:rsid w:val="008F1434"/>
    <w:rsid w:val="008F27F4"/>
    <w:rsid w:val="008F48A5"/>
    <w:rsid w:val="008F54C3"/>
    <w:rsid w:val="008F7355"/>
    <w:rsid w:val="009023DC"/>
    <w:rsid w:val="009027C5"/>
    <w:rsid w:val="009036A7"/>
    <w:rsid w:val="009067B7"/>
    <w:rsid w:val="00912C64"/>
    <w:rsid w:val="0091549C"/>
    <w:rsid w:val="00917D69"/>
    <w:rsid w:val="00920BED"/>
    <w:rsid w:val="00926560"/>
    <w:rsid w:val="00930937"/>
    <w:rsid w:val="009324A6"/>
    <w:rsid w:val="00933E6C"/>
    <w:rsid w:val="00937958"/>
    <w:rsid w:val="00941602"/>
    <w:rsid w:val="00942160"/>
    <w:rsid w:val="00946AD0"/>
    <w:rsid w:val="0095146F"/>
    <w:rsid w:val="00951D9B"/>
    <w:rsid w:val="0095221E"/>
    <w:rsid w:val="00953467"/>
    <w:rsid w:val="00957944"/>
    <w:rsid w:val="009602C5"/>
    <w:rsid w:val="00962223"/>
    <w:rsid w:val="00966D0D"/>
    <w:rsid w:val="0096783C"/>
    <w:rsid w:val="00971533"/>
    <w:rsid w:val="009722B3"/>
    <w:rsid w:val="00974C21"/>
    <w:rsid w:val="00975948"/>
    <w:rsid w:val="00977BF3"/>
    <w:rsid w:val="009803E4"/>
    <w:rsid w:val="00980813"/>
    <w:rsid w:val="00980B0E"/>
    <w:rsid w:val="00981224"/>
    <w:rsid w:val="00981E83"/>
    <w:rsid w:val="009836A3"/>
    <w:rsid w:val="009855A8"/>
    <w:rsid w:val="00985F28"/>
    <w:rsid w:val="009913F4"/>
    <w:rsid w:val="00991448"/>
    <w:rsid w:val="0099465B"/>
    <w:rsid w:val="009A0CDD"/>
    <w:rsid w:val="009A3168"/>
    <w:rsid w:val="009A61CA"/>
    <w:rsid w:val="009B0C64"/>
    <w:rsid w:val="009B0F67"/>
    <w:rsid w:val="009C0648"/>
    <w:rsid w:val="009C703C"/>
    <w:rsid w:val="009D206E"/>
    <w:rsid w:val="009D3CAA"/>
    <w:rsid w:val="009D52F2"/>
    <w:rsid w:val="009D6532"/>
    <w:rsid w:val="009E0332"/>
    <w:rsid w:val="009E0964"/>
    <w:rsid w:val="009E2E8E"/>
    <w:rsid w:val="009E40E1"/>
    <w:rsid w:val="009F0EFA"/>
    <w:rsid w:val="009F4E46"/>
    <w:rsid w:val="009F5B65"/>
    <w:rsid w:val="009F5F2E"/>
    <w:rsid w:val="00A0098D"/>
    <w:rsid w:val="00A01432"/>
    <w:rsid w:val="00A06225"/>
    <w:rsid w:val="00A128E6"/>
    <w:rsid w:val="00A144D3"/>
    <w:rsid w:val="00A211AF"/>
    <w:rsid w:val="00A22AC3"/>
    <w:rsid w:val="00A23F3F"/>
    <w:rsid w:val="00A24067"/>
    <w:rsid w:val="00A25AFA"/>
    <w:rsid w:val="00A2744D"/>
    <w:rsid w:val="00A34E6C"/>
    <w:rsid w:val="00A35D3A"/>
    <w:rsid w:val="00A35DB0"/>
    <w:rsid w:val="00A36398"/>
    <w:rsid w:val="00A37C8D"/>
    <w:rsid w:val="00A4020E"/>
    <w:rsid w:val="00A4068F"/>
    <w:rsid w:val="00A40FB5"/>
    <w:rsid w:val="00A4158F"/>
    <w:rsid w:val="00A42826"/>
    <w:rsid w:val="00A429B3"/>
    <w:rsid w:val="00A5273B"/>
    <w:rsid w:val="00A53A9D"/>
    <w:rsid w:val="00A55FEE"/>
    <w:rsid w:val="00A57158"/>
    <w:rsid w:val="00A57422"/>
    <w:rsid w:val="00A62C1A"/>
    <w:rsid w:val="00A6426D"/>
    <w:rsid w:val="00A665C1"/>
    <w:rsid w:val="00A673A4"/>
    <w:rsid w:val="00A70622"/>
    <w:rsid w:val="00A70977"/>
    <w:rsid w:val="00A70D58"/>
    <w:rsid w:val="00A744F9"/>
    <w:rsid w:val="00A77613"/>
    <w:rsid w:val="00A81851"/>
    <w:rsid w:val="00A8390C"/>
    <w:rsid w:val="00A86AE0"/>
    <w:rsid w:val="00A928BD"/>
    <w:rsid w:val="00A97DE9"/>
    <w:rsid w:val="00A97ED1"/>
    <w:rsid w:val="00AA12CD"/>
    <w:rsid w:val="00AA17D1"/>
    <w:rsid w:val="00AA4D1C"/>
    <w:rsid w:val="00AA52FD"/>
    <w:rsid w:val="00AB0B0C"/>
    <w:rsid w:val="00AB5856"/>
    <w:rsid w:val="00AB7424"/>
    <w:rsid w:val="00AC193C"/>
    <w:rsid w:val="00AC4DE5"/>
    <w:rsid w:val="00AC5206"/>
    <w:rsid w:val="00AD4322"/>
    <w:rsid w:val="00AD5944"/>
    <w:rsid w:val="00AE084D"/>
    <w:rsid w:val="00AE11A5"/>
    <w:rsid w:val="00AE13E2"/>
    <w:rsid w:val="00AE22D3"/>
    <w:rsid w:val="00AE5A49"/>
    <w:rsid w:val="00AF3332"/>
    <w:rsid w:val="00AF62DF"/>
    <w:rsid w:val="00AF68CC"/>
    <w:rsid w:val="00AF70D7"/>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3635"/>
    <w:rsid w:val="00B42AF4"/>
    <w:rsid w:val="00B438B9"/>
    <w:rsid w:val="00B43E90"/>
    <w:rsid w:val="00B467DC"/>
    <w:rsid w:val="00B56118"/>
    <w:rsid w:val="00B664A4"/>
    <w:rsid w:val="00B6773F"/>
    <w:rsid w:val="00B70EB3"/>
    <w:rsid w:val="00B7525E"/>
    <w:rsid w:val="00B760FB"/>
    <w:rsid w:val="00B767AB"/>
    <w:rsid w:val="00B801BA"/>
    <w:rsid w:val="00B84D5C"/>
    <w:rsid w:val="00B9647E"/>
    <w:rsid w:val="00BA2DA8"/>
    <w:rsid w:val="00BA347C"/>
    <w:rsid w:val="00BB406D"/>
    <w:rsid w:val="00BB5C49"/>
    <w:rsid w:val="00BB69F5"/>
    <w:rsid w:val="00BB7EC3"/>
    <w:rsid w:val="00BC3394"/>
    <w:rsid w:val="00BC4B9A"/>
    <w:rsid w:val="00BD02C3"/>
    <w:rsid w:val="00BD7483"/>
    <w:rsid w:val="00BD784C"/>
    <w:rsid w:val="00BE020A"/>
    <w:rsid w:val="00BE0A0B"/>
    <w:rsid w:val="00BE13DF"/>
    <w:rsid w:val="00BE5986"/>
    <w:rsid w:val="00BF03C1"/>
    <w:rsid w:val="00BF092C"/>
    <w:rsid w:val="00BF27A0"/>
    <w:rsid w:val="00BF4CB6"/>
    <w:rsid w:val="00BF6782"/>
    <w:rsid w:val="00C00903"/>
    <w:rsid w:val="00C00DA7"/>
    <w:rsid w:val="00C04CDE"/>
    <w:rsid w:val="00C12768"/>
    <w:rsid w:val="00C12D70"/>
    <w:rsid w:val="00C16413"/>
    <w:rsid w:val="00C217A7"/>
    <w:rsid w:val="00C21B09"/>
    <w:rsid w:val="00C245E4"/>
    <w:rsid w:val="00C24612"/>
    <w:rsid w:val="00C2673A"/>
    <w:rsid w:val="00C27B58"/>
    <w:rsid w:val="00C35996"/>
    <w:rsid w:val="00C41CC9"/>
    <w:rsid w:val="00C43666"/>
    <w:rsid w:val="00C4747E"/>
    <w:rsid w:val="00C5151E"/>
    <w:rsid w:val="00C5342C"/>
    <w:rsid w:val="00C53B2B"/>
    <w:rsid w:val="00C53D46"/>
    <w:rsid w:val="00C55D4C"/>
    <w:rsid w:val="00C60272"/>
    <w:rsid w:val="00C603D4"/>
    <w:rsid w:val="00C60532"/>
    <w:rsid w:val="00C61A88"/>
    <w:rsid w:val="00C6256A"/>
    <w:rsid w:val="00C710E2"/>
    <w:rsid w:val="00C71C3F"/>
    <w:rsid w:val="00C7409E"/>
    <w:rsid w:val="00C74D6D"/>
    <w:rsid w:val="00C76E76"/>
    <w:rsid w:val="00C77891"/>
    <w:rsid w:val="00C91449"/>
    <w:rsid w:val="00C92D10"/>
    <w:rsid w:val="00C950A6"/>
    <w:rsid w:val="00CA1214"/>
    <w:rsid w:val="00CA48D9"/>
    <w:rsid w:val="00CB1193"/>
    <w:rsid w:val="00CB4767"/>
    <w:rsid w:val="00CB493D"/>
    <w:rsid w:val="00CB4EDF"/>
    <w:rsid w:val="00CC3B97"/>
    <w:rsid w:val="00CD25AF"/>
    <w:rsid w:val="00CE10C4"/>
    <w:rsid w:val="00CE27B5"/>
    <w:rsid w:val="00CE47EE"/>
    <w:rsid w:val="00CE6DAF"/>
    <w:rsid w:val="00CF410A"/>
    <w:rsid w:val="00CF72F8"/>
    <w:rsid w:val="00D017D6"/>
    <w:rsid w:val="00D01BE3"/>
    <w:rsid w:val="00D0321E"/>
    <w:rsid w:val="00D0477B"/>
    <w:rsid w:val="00D06482"/>
    <w:rsid w:val="00D07A8A"/>
    <w:rsid w:val="00D1455A"/>
    <w:rsid w:val="00D22093"/>
    <w:rsid w:val="00D27DC3"/>
    <w:rsid w:val="00D31150"/>
    <w:rsid w:val="00D3138B"/>
    <w:rsid w:val="00D3280C"/>
    <w:rsid w:val="00D3406A"/>
    <w:rsid w:val="00D37F9F"/>
    <w:rsid w:val="00D40B11"/>
    <w:rsid w:val="00D41582"/>
    <w:rsid w:val="00D441F1"/>
    <w:rsid w:val="00D4572C"/>
    <w:rsid w:val="00D469B2"/>
    <w:rsid w:val="00D54B09"/>
    <w:rsid w:val="00D65658"/>
    <w:rsid w:val="00D71693"/>
    <w:rsid w:val="00D72B6F"/>
    <w:rsid w:val="00D741EB"/>
    <w:rsid w:val="00D7679C"/>
    <w:rsid w:val="00D820F3"/>
    <w:rsid w:val="00D83605"/>
    <w:rsid w:val="00D84934"/>
    <w:rsid w:val="00D91271"/>
    <w:rsid w:val="00D919F5"/>
    <w:rsid w:val="00D94F03"/>
    <w:rsid w:val="00DA0D14"/>
    <w:rsid w:val="00DA1FC9"/>
    <w:rsid w:val="00DA2CB5"/>
    <w:rsid w:val="00DA3D4C"/>
    <w:rsid w:val="00DA4BAC"/>
    <w:rsid w:val="00DA6B0B"/>
    <w:rsid w:val="00DB0151"/>
    <w:rsid w:val="00DB1B35"/>
    <w:rsid w:val="00DC2C3E"/>
    <w:rsid w:val="00DC2D2A"/>
    <w:rsid w:val="00DC3A2D"/>
    <w:rsid w:val="00DC4880"/>
    <w:rsid w:val="00DD2EC2"/>
    <w:rsid w:val="00DE3CDA"/>
    <w:rsid w:val="00DE592A"/>
    <w:rsid w:val="00DE6D27"/>
    <w:rsid w:val="00DF01F8"/>
    <w:rsid w:val="00DF10EB"/>
    <w:rsid w:val="00DF217D"/>
    <w:rsid w:val="00DF26A7"/>
    <w:rsid w:val="00DF3277"/>
    <w:rsid w:val="00DF7919"/>
    <w:rsid w:val="00E0207E"/>
    <w:rsid w:val="00E02D06"/>
    <w:rsid w:val="00E03912"/>
    <w:rsid w:val="00E05C76"/>
    <w:rsid w:val="00E075E9"/>
    <w:rsid w:val="00E078D9"/>
    <w:rsid w:val="00E15627"/>
    <w:rsid w:val="00E164B3"/>
    <w:rsid w:val="00E16910"/>
    <w:rsid w:val="00E171A1"/>
    <w:rsid w:val="00E23E46"/>
    <w:rsid w:val="00E24E09"/>
    <w:rsid w:val="00E27234"/>
    <w:rsid w:val="00E27AAC"/>
    <w:rsid w:val="00E320A1"/>
    <w:rsid w:val="00E3332F"/>
    <w:rsid w:val="00E33CE0"/>
    <w:rsid w:val="00E367EA"/>
    <w:rsid w:val="00E42BDB"/>
    <w:rsid w:val="00E42F23"/>
    <w:rsid w:val="00E43E98"/>
    <w:rsid w:val="00E56041"/>
    <w:rsid w:val="00E57EEB"/>
    <w:rsid w:val="00E62D94"/>
    <w:rsid w:val="00E64F37"/>
    <w:rsid w:val="00E65E54"/>
    <w:rsid w:val="00E661C7"/>
    <w:rsid w:val="00E7095B"/>
    <w:rsid w:val="00E80155"/>
    <w:rsid w:val="00E8134B"/>
    <w:rsid w:val="00E814A2"/>
    <w:rsid w:val="00E81E0D"/>
    <w:rsid w:val="00E81F28"/>
    <w:rsid w:val="00E82F71"/>
    <w:rsid w:val="00E848C0"/>
    <w:rsid w:val="00E91B96"/>
    <w:rsid w:val="00E93D1E"/>
    <w:rsid w:val="00E941A1"/>
    <w:rsid w:val="00E95CE3"/>
    <w:rsid w:val="00EA252F"/>
    <w:rsid w:val="00EA2825"/>
    <w:rsid w:val="00EA6518"/>
    <w:rsid w:val="00EA7466"/>
    <w:rsid w:val="00EA7EDE"/>
    <w:rsid w:val="00EB065B"/>
    <w:rsid w:val="00EB0B63"/>
    <w:rsid w:val="00EB1936"/>
    <w:rsid w:val="00EB37BE"/>
    <w:rsid w:val="00EB5088"/>
    <w:rsid w:val="00EB5379"/>
    <w:rsid w:val="00EC0F83"/>
    <w:rsid w:val="00ED0AEB"/>
    <w:rsid w:val="00ED1644"/>
    <w:rsid w:val="00ED2593"/>
    <w:rsid w:val="00ED6D33"/>
    <w:rsid w:val="00ED7D55"/>
    <w:rsid w:val="00ED7D9C"/>
    <w:rsid w:val="00EE0C95"/>
    <w:rsid w:val="00EE31A2"/>
    <w:rsid w:val="00EE5881"/>
    <w:rsid w:val="00EF0069"/>
    <w:rsid w:val="00EF0B9B"/>
    <w:rsid w:val="00EF44A0"/>
    <w:rsid w:val="00EF4FED"/>
    <w:rsid w:val="00EF6FB3"/>
    <w:rsid w:val="00F007C6"/>
    <w:rsid w:val="00F0172E"/>
    <w:rsid w:val="00F03B32"/>
    <w:rsid w:val="00F050BD"/>
    <w:rsid w:val="00F05657"/>
    <w:rsid w:val="00F10BCB"/>
    <w:rsid w:val="00F17ED6"/>
    <w:rsid w:val="00F209E2"/>
    <w:rsid w:val="00F25578"/>
    <w:rsid w:val="00F258E5"/>
    <w:rsid w:val="00F25B9C"/>
    <w:rsid w:val="00F26CC6"/>
    <w:rsid w:val="00F300BC"/>
    <w:rsid w:val="00F3263C"/>
    <w:rsid w:val="00F3334E"/>
    <w:rsid w:val="00F36CCB"/>
    <w:rsid w:val="00F36D3C"/>
    <w:rsid w:val="00F374E5"/>
    <w:rsid w:val="00F3791B"/>
    <w:rsid w:val="00F37B93"/>
    <w:rsid w:val="00F37BAD"/>
    <w:rsid w:val="00F37C88"/>
    <w:rsid w:val="00F37ECA"/>
    <w:rsid w:val="00F43AF2"/>
    <w:rsid w:val="00F46052"/>
    <w:rsid w:val="00F5007E"/>
    <w:rsid w:val="00F50EC4"/>
    <w:rsid w:val="00F52232"/>
    <w:rsid w:val="00F550CF"/>
    <w:rsid w:val="00F57A6D"/>
    <w:rsid w:val="00F62B39"/>
    <w:rsid w:val="00F62CE3"/>
    <w:rsid w:val="00F638CC"/>
    <w:rsid w:val="00F64C2B"/>
    <w:rsid w:val="00F64C9E"/>
    <w:rsid w:val="00F64CC1"/>
    <w:rsid w:val="00F72317"/>
    <w:rsid w:val="00F7393A"/>
    <w:rsid w:val="00F80475"/>
    <w:rsid w:val="00F80B42"/>
    <w:rsid w:val="00F8247A"/>
    <w:rsid w:val="00F82E5C"/>
    <w:rsid w:val="00F9629A"/>
    <w:rsid w:val="00F97EFC"/>
    <w:rsid w:val="00FA1BDD"/>
    <w:rsid w:val="00FA1EEE"/>
    <w:rsid w:val="00FA305C"/>
    <w:rsid w:val="00FA4DD5"/>
    <w:rsid w:val="00FA5883"/>
    <w:rsid w:val="00FA6055"/>
    <w:rsid w:val="00FB0B39"/>
    <w:rsid w:val="00FB322F"/>
    <w:rsid w:val="00FB442F"/>
    <w:rsid w:val="00FC1929"/>
    <w:rsid w:val="00FC2517"/>
    <w:rsid w:val="00FC5B46"/>
    <w:rsid w:val="00FD0654"/>
    <w:rsid w:val="00FD6A93"/>
    <w:rsid w:val="00FD6D8E"/>
    <w:rsid w:val="00FE0663"/>
    <w:rsid w:val="00FE0E94"/>
    <w:rsid w:val="00FE1603"/>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MSD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1,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7456D3"/>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7456D3"/>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0901AB"/>
    <w:pPr>
      <w:numPr>
        <w:numId w:val="34"/>
      </w:numPr>
      <w:ind w:left="1077" w:hanging="357"/>
      <w:contextualSpacing/>
      <w:jc w:val="both"/>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1"/>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2"/>
      </w:numPr>
      <w:contextualSpacing/>
    </w:pPr>
  </w:style>
  <w:style w:type="paragraph" w:customStyle="1" w:styleId="ExecSumBodyText">
    <w:name w:val="Exec Sum Body Text"/>
    <w:basedOn w:val="Normal"/>
    <w:link w:val="ExecSumBodyTextChar"/>
    <w:qFormat/>
    <w:rsid w:val="004B6DAA"/>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4B6DAA"/>
    <w:rPr>
      <w:rFonts w:asciiTheme="minorHAnsi" w:hAnsiTheme="minorHAnsi" w:cs="Arial"/>
      <w:snapToGrid w:val="0"/>
      <w:sz w:val="24"/>
      <w:szCs w:val="24"/>
    </w:rPr>
  </w:style>
  <w:style w:type="paragraph" w:customStyle="1" w:styleId="3-SubsectionHeading">
    <w:name w:val="3-Subsection Heading"/>
    <w:basedOn w:val="Heading2"/>
    <w:next w:val="ExecSumBodyText"/>
    <w:link w:val="3-SubsectionHeadingChar"/>
    <w:qFormat/>
    <w:rsid w:val="004B6DAA"/>
    <w:pPr>
      <w:spacing w:before="120" w:after="120"/>
    </w:pPr>
    <w:rPr>
      <w:rFonts w:asciiTheme="minorHAnsi" w:eastAsiaTheme="majorEastAsia" w:hAnsiTheme="minorHAnsi" w:cstheme="majorBidi"/>
      <w:spacing w:val="5"/>
      <w:kern w:val="28"/>
      <w:sz w:val="28"/>
      <w:szCs w:val="36"/>
    </w:rPr>
  </w:style>
  <w:style w:type="character" w:customStyle="1" w:styleId="3-SubsectionHeadingChar">
    <w:name w:val="3-Subsection Heading Char"/>
    <w:basedOn w:val="Heading2Char"/>
    <w:link w:val="3-SubsectionHeading"/>
    <w:rsid w:val="004B6DAA"/>
    <w:rPr>
      <w:rFonts w:asciiTheme="minorHAnsi" w:eastAsiaTheme="majorEastAsia" w:hAnsiTheme="minorHAnsi" w:cstheme="majorBidi"/>
      <w:b/>
      <w:i/>
      <w:spacing w:val="5"/>
      <w:kern w:val="28"/>
      <w:sz w:val="28"/>
      <w:szCs w:val="36"/>
    </w:rPr>
  </w:style>
  <w:style w:type="table" w:customStyle="1" w:styleId="GridTable1Light1">
    <w:name w:val="Grid Table 1 Light1"/>
    <w:basedOn w:val="TableNormal"/>
    <w:next w:val="GridTable1Light"/>
    <w:uiPriority w:val="46"/>
    <w:rsid w:val="007456D3"/>
    <w:rPr>
      <w:rFonts w:ascii="Calibri" w:eastAsia="Calibri" w:hAnsi="Calibri"/>
      <w:sz w:val="22"/>
      <w:szCs w:val="22"/>
      <w:lang w:val="en-US" w:eastAsia="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56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Heading0">
    <w:name w:val="Table Heading"/>
    <w:basedOn w:val="Normal"/>
    <w:link w:val="TableHeadingChar"/>
    <w:qFormat/>
    <w:rsid w:val="009E0332"/>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0"/>
    <w:rsid w:val="009E0332"/>
    <w:rPr>
      <w:rFonts w:ascii="Arial Narrow" w:eastAsiaTheme="minorHAnsi" w:hAnsi="Arial Narrow" w:cstheme="minorBidi"/>
      <w:b/>
      <w:szCs w:val="22"/>
      <w:lang w:eastAsia="en-US"/>
    </w:rPr>
  </w:style>
  <w:style w:type="paragraph" w:customStyle="1" w:styleId="Tableheadingrow">
    <w:name w:val="Table heading row"/>
    <w:qFormat/>
    <w:rsid w:val="005359F9"/>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5359F9"/>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359F9"/>
    <w:rPr>
      <w:rFonts w:ascii="Arial Narrow" w:eastAsiaTheme="majorEastAsia" w:hAnsi="Arial Narrow" w:cstheme="majorBidi"/>
      <w:b/>
      <w:bCs/>
      <w:szCs w:val="24"/>
    </w:rPr>
  </w:style>
  <w:style w:type="paragraph" w:customStyle="1" w:styleId="Tabletextbold">
    <w:name w:val="Table text bold"/>
    <w:basedOn w:val="Normal"/>
    <w:qFormat/>
    <w:rsid w:val="003832FD"/>
    <w:pPr>
      <w:spacing w:before="20" w:after="20"/>
      <w:ind w:left="57" w:right="57"/>
      <w:jc w:val="left"/>
    </w:pPr>
    <w:rPr>
      <w:rFonts w:asciiTheme="minorHAnsi" w:eastAsia="Arial" w:hAnsiTheme="minorHAnsi"/>
      <w:b/>
      <w:sz w:val="18"/>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36462905">
      <w:bodyDiv w:val="1"/>
      <w:marLeft w:val="0"/>
      <w:marRight w:val="0"/>
      <w:marTop w:val="0"/>
      <w:marBottom w:val="0"/>
      <w:divBdr>
        <w:top w:val="none" w:sz="0" w:space="0" w:color="auto"/>
        <w:left w:val="none" w:sz="0" w:space="0" w:color="auto"/>
        <w:bottom w:val="none" w:sz="0" w:space="0" w:color="auto"/>
        <w:right w:val="none" w:sz="0" w:space="0" w:color="auto"/>
      </w:divBdr>
    </w:div>
    <w:div w:id="19080578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3940893">
      <w:bodyDiv w:val="1"/>
      <w:marLeft w:val="0"/>
      <w:marRight w:val="0"/>
      <w:marTop w:val="0"/>
      <w:marBottom w:val="0"/>
      <w:divBdr>
        <w:top w:val="none" w:sz="0" w:space="0" w:color="auto"/>
        <w:left w:val="none" w:sz="0" w:space="0" w:color="auto"/>
        <w:bottom w:val="none" w:sz="0" w:space="0" w:color="auto"/>
        <w:right w:val="none" w:sz="0" w:space="0" w:color="auto"/>
      </w:divBdr>
    </w:div>
    <w:div w:id="749543162">
      <w:bodyDiv w:val="1"/>
      <w:marLeft w:val="0"/>
      <w:marRight w:val="0"/>
      <w:marTop w:val="0"/>
      <w:marBottom w:val="0"/>
      <w:divBdr>
        <w:top w:val="none" w:sz="0" w:space="0" w:color="auto"/>
        <w:left w:val="none" w:sz="0" w:space="0" w:color="auto"/>
        <w:bottom w:val="none" w:sz="0" w:space="0" w:color="auto"/>
        <w:right w:val="none" w:sz="0" w:space="0" w:color="auto"/>
      </w:divBdr>
      <w:divsChild>
        <w:div w:id="735515420">
          <w:marLeft w:val="0"/>
          <w:marRight w:val="0"/>
          <w:marTop w:val="0"/>
          <w:marBottom w:val="0"/>
          <w:divBdr>
            <w:top w:val="none" w:sz="0" w:space="0" w:color="auto"/>
            <w:left w:val="none" w:sz="0" w:space="0" w:color="auto"/>
            <w:bottom w:val="none" w:sz="0" w:space="0" w:color="auto"/>
            <w:right w:val="none" w:sz="0" w:space="0" w:color="auto"/>
          </w:divBdr>
          <w:divsChild>
            <w:div w:id="342130171">
              <w:marLeft w:val="0"/>
              <w:marRight w:val="0"/>
              <w:marTop w:val="0"/>
              <w:marBottom w:val="0"/>
              <w:divBdr>
                <w:top w:val="none" w:sz="0" w:space="0" w:color="auto"/>
                <w:left w:val="none" w:sz="0" w:space="0" w:color="auto"/>
                <w:bottom w:val="none" w:sz="0" w:space="0" w:color="auto"/>
                <w:right w:val="none" w:sz="0" w:space="0" w:color="auto"/>
              </w:divBdr>
              <w:divsChild>
                <w:div w:id="817889964">
                  <w:marLeft w:val="0"/>
                  <w:marRight w:val="0"/>
                  <w:marTop w:val="0"/>
                  <w:marBottom w:val="0"/>
                  <w:divBdr>
                    <w:top w:val="none" w:sz="0" w:space="0" w:color="auto"/>
                    <w:left w:val="none" w:sz="0" w:space="0" w:color="auto"/>
                    <w:bottom w:val="none" w:sz="0" w:space="0" w:color="auto"/>
                    <w:right w:val="none" w:sz="0" w:space="0" w:color="auto"/>
                  </w:divBdr>
                  <w:divsChild>
                    <w:div w:id="1847474221">
                      <w:marLeft w:val="0"/>
                      <w:marRight w:val="0"/>
                      <w:marTop w:val="0"/>
                      <w:marBottom w:val="0"/>
                      <w:divBdr>
                        <w:top w:val="none" w:sz="0" w:space="0" w:color="auto"/>
                        <w:left w:val="none" w:sz="0" w:space="0" w:color="auto"/>
                        <w:bottom w:val="none" w:sz="0" w:space="0" w:color="auto"/>
                        <w:right w:val="none" w:sz="0" w:space="0" w:color="auto"/>
                      </w:divBdr>
                      <w:divsChild>
                        <w:div w:id="1915700524">
                          <w:marLeft w:val="0"/>
                          <w:marRight w:val="0"/>
                          <w:marTop w:val="0"/>
                          <w:marBottom w:val="0"/>
                          <w:divBdr>
                            <w:top w:val="none" w:sz="0" w:space="0" w:color="auto"/>
                            <w:left w:val="none" w:sz="0" w:space="0" w:color="auto"/>
                            <w:bottom w:val="none" w:sz="0" w:space="0" w:color="auto"/>
                            <w:right w:val="none" w:sz="0" w:space="0" w:color="auto"/>
                          </w:divBdr>
                          <w:divsChild>
                            <w:div w:id="1672834429">
                              <w:marLeft w:val="0"/>
                              <w:marRight w:val="0"/>
                              <w:marTop w:val="0"/>
                              <w:marBottom w:val="0"/>
                              <w:divBdr>
                                <w:top w:val="none" w:sz="0" w:space="0" w:color="auto"/>
                                <w:left w:val="none" w:sz="0" w:space="0" w:color="auto"/>
                                <w:bottom w:val="none" w:sz="0" w:space="0" w:color="auto"/>
                                <w:right w:val="none" w:sz="0" w:space="0" w:color="auto"/>
                              </w:divBdr>
                              <w:divsChild>
                                <w:div w:id="326520413">
                                  <w:marLeft w:val="0"/>
                                  <w:marRight w:val="0"/>
                                  <w:marTop w:val="0"/>
                                  <w:marBottom w:val="0"/>
                                  <w:divBdr>
                                    <w:top w:val="none" w:sz="0" w:space="0" w:color="auto"/>
                                    <w:left w:val="none" w:sz="0" w:space="0" w:color="auto"/>
                                    <w:bottom w:val="none" w:sz="0" w:space="0" w:color="auto"/>
                                    <w:right w:val="none" w:sz="0" w:space="0" w:color="auto"/>
                                  </w:divBdr>
                                  <w:divsChild>
                                    <w:div w:id="704333412">
                                      <w:marLeft w:val="0"/>
                                      <w:marRight w:val="0"/>
                                      <w:marTop w:val="0"/>
                                      <w:marBottom w:val="0"/>
                                      <w:divBdr>
                                        <w:top w:val="none" w:sz="0" w:space="0" w:color="auto"/>
                                        <w:left w:val="none" w:sz="0" w:space="0" w:color="auto"/>
                                        <w:bottom w:val="none" w:sz="0" w:space="0" w:color="auto"/>
                                        <w:right w:val="none" w:sz="0" w:space="0" w:color="auto"/>
                                      </w:divBdr>
                                      <w:divsChild>
                                        <w:div w:id="14855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9342329">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3">
          <w:marLeft w:val="1080"/>
          <w:marRight w:val="0"/>
          <w:marTop w:val="100"/>
          <w:marBottom w:val="0"/>
          <w:divBdr>
            <w:top w:val="none" w:sz="0" w:space="0" w:color="auto"/>
            <w:left w:val="none" w:sz="0" w:space="0" w:color="auto"/>
            <w:bottom w:val="none" w:sz="0" w:space="0" w:color="auto"/>
            <w:right w:val="none" w:sz="0" w:space="0" w:color="auto"/>
          </w:divBdr>
        </w:div>
      </w:divsChild>
    </w:div>
    <w:div w:id="950673433">
      <w:bodyDiv w:val="1"/>
      <w:marLeft w:val="0"/>
      <w:marRight w:val="0"/>
      <w:marTop w:val="0"/>
      <w:marBottom w:val="0"/>
      <w:divBdr>
        <w:top w:val="none" w:sz="0" w:space="0" w:color="auto"/>
        <w:left w:val="none" w:sz="0" w:space="0" w:color="auto"/>
        <w:bottom w:val="none" w:sz="0" w:space="0" w:color="auto"/>
        <w:right w:val="none" w:sz="0" w:space="0" w:color="auto"/>
      </w:divBdr>
      <w:divsChild>
        <w:div w:id="1693677878">
          <w:marLeft w:val="0"/>
          <w:marRight w:val="0"/>
          <w:marTop w:val="0"/>
          <w:marBottom w:val="0"/>
          <w:divBdr>
            <w:top w:val="none" w:sz="0" w:space="0" w:color="auto"/>
            <w:left w:val="none" w:sz="0" w:space="0" w:color="auto"/>
            <w:bottom w:val="none" w:sz="0" w:space="0" w:color="auto"/>
            <w:right w:val="none" w:sz="0" w:space="0" w:color="auto"/>
          </w:divBdr>
          <w:divsChild>
            <w:div w:id="763498480">
              <w:marLeft w:val="0"/>
              <w:marRight w:val="0"/>
              <w:marTop w:val="0"/>
              <w:marBottom w:val="0"/>
              <w:divBdr>
                <w:top w:val="none" w:sz="0" w:space="0" w:color="auto"/>
                <w:left w:val="none" w:sz="0" w:space="0" w:color="auto"/>
                <w:bottom w:val="none" w:sz="0" w:space="0" w:color="auto"/>
                <w:right w:val="none" w:sz="0" w:space="0" w:color="auto"/>
              </w:divBdr>
              <w:divsChild>
                <w:div w:id="24451932">
                  <w:marLeft w:val="0"/>
                  <w:marRight w:val="0"/>
                  <w:marTop w:val="0"/>
                  <w:marBottom w:val="0"/>
                  <w:divBdr>
                    <w:top w:val="none" w:sz="0" w:space="0" w:color="auto"/>
                    <w:left w:val="none" w:sz="0" w:space="0" w:color="auto"/>
                    <w:bottom w:val="none" w:sz="0" w:space="0" w:color="auto"/>
                    <w:right w:val="none" w:sz="0" w:space="0" w:color="auto"/>
                  </w:divBdr>
                  <w:divsChild>
                    <w:div w:id="617759214">
                      <w:marLeft w:val="0"/>
                      <w:marRight w:val="0"/>
                      <w:marTop w:val="0"/>
                      <w:marBottom w:val="0"/>
                      <w:divBdr>
                        <w:top w:val="none" w:sz="0" w:space="0" w:color="auto"/>
                        <w:left w:val="none" w:sz="0" w:space="0" w:color="auto"/>
                        <w:bottom w:val="none" w:sz="0" w:space="0" w:color="auto"/>
                        <w:right w:val="none" w:sz="0" w:space="0" w:color="auto"/>
                      </w:divBdr>
                      <w:divsChild>
                        <w:div w:id="824080899">
                          <w:marLeft w:val="0"/>
                          <w:marRight w:val="0"/>
                          <w:marTop w:val="0"/>
                          <w:marBottom w:val="0"/>
                          <w:divBdr>
                            <w:top w:val="none" w:sz="0" w:space="0" w:color="auto"/>
                            <w:left w:val="none" w:sz="0" w:space="0" w:color="auto"/>
                            <w:bottom w:val="none" w:sz="0" w:space="0" w:color="auto"/>
                            <w:right w:val="none" w:sz="0" w:space="0" w:color="auto"/>
                          </w:divBdr>
                          <w:divsChild>
                            <w:div w:id="1633169349">
                              <w:marLeft w:val="0"/>
                              <w:marRight w:val="0"/>
                              <w:marTop w:val="0"/>
                              <w:marBottom w:val="0"/>
                              <w:divBdr>
                                <w:top w:val="none" w:sz="0" w:space="0" w:color="auto"/>
                                <w:left w:val="none" w:sz="0" w:space="0" w:color="auto"/>
                                <w:bottom w:val="none" w:sz="0" w:space="0" w:color="auto"/>
                                <w:right w:val="none" w:sz="0" w:space="0" w:color="auto"/>
                              </w:divBdr>
                              <w:divsChild>
                                <w:div w:id="1667705895">
                                  <w:marLeft w:val="0"/>
                                  <w:marRight w:val="0"/>
                                  <w:marTop w:val="0"/>
                                  <w:marBottom w:val="0"/>
                                  <w:divBdr>
                                    <w:top w:val="none" w:sz="0" w:space="0" w:color="auto"/>
                                    <w:left w:val="none" w:sz="0" w:space="0" w:color="auto"/>
                                    <w:bottom w:val="none" w:sz="0" w:space="0" w:color="auto"/>
                                    <w:right w:val="none" w:sz="0" w:space="0" w:color="auto"/>
                                  </w:divBdr>
                                  <w:divsChild>
                                    <w:div w:id="1710565431">
                                      <w:marLeft w:val="0"/>
                                      <w:marRight w:val="0"/>
                                      <w:marTop w:val="0"/>
                                      <w:marBottom w:val="0"/>
                                      <w:divBdr>
                                        <w:top w:val="none" w:sz="0" w:space="0" w:color="auto"/>
                                        <w:left w:val="none" w:sz="0" w:space="0" w:color="auto"/>
                                        <w:bottom w:val="none" w:sz="0" w:space="0" w:color="auto"/>
                                        <w:right w:val="none" w:sz="0" w:space="0" w:color="auto"/>
                                      </w:divBdr>
                                      <w:divsChild>
                                        <w:div w:id="5237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61515">
      <w:bodyDiv w:val="1"/>
      <w:marLeft w:val="0"/>
      <w:marRight w:val="0"/>
      <w:marTop w:val="0"/>
      <w:marBottom w:val="0"/>
      <w:divBdr>
        <w:top w:val="none" w:sz="0" w:space="0" w:color="auto"/>
        <w:left w:val="none" w:sz="0" w:space="0" w:color="auto"/>
        <w:bottom w:val="none" w:sz="0" w:space="0" w:color="auto"/>
        <w:right w:val="none" w:sz="0" w:space="0" w:color="auto"/>
      </w:divBdr>
      <w:divsChild>
        <w:div w:id="1453592308">
          <w:marLeft w:val="1080"/>
          <w:marRight w:val="0"/>
          <w:marTop w:val="1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A912-DA05-4D95-B248-AA6A98DF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5411</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2020-10-28T02:16:00Z</dcterms:created>
  <dcterms:modified xsi:type="dcterms:W3CDTF">2020-10-28T02:16:00Z</dcterms:modified>
</cp:coreProperties>
</file>