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02" w:rsidRPr="00BD76BF" w:rsidRDefault="001815C4" w:rsidP="001815C4">
      <w:pPr>
        <w:pStyle w:val="1-MainHeading"/>
      </w:pPr>
      <w:r w:rsidRPr="00BD76BF">
        <w:t>6</w:t>
      </w:r>
      <w:r w:rsidR="009F3102" w:rsidRPr="00BD76BF">
        <w:t>.</w:t>
      </w:r>
      <w:r w:rsidRPr="00BD76BF">
        <w:t>1</w:t>
      </w:r>
      <w:r w:rsidR="009F3102" w:rsidRPr="00BD76BF">
        <w:t xml:space="preserve">0 </w:t>
      </w:r>
      <w:r w:rsidRPr="00BD76BF">
        <w:t>RIFAMPICIN</w:t>
      </w:r>
      <w:r w:rsidR="008801E0" w:rsidRPr="00BD76BF">
        <w:br/>
      </w:r>
      <w:r w:rsidR="00905FEF" w:rsidRPr="00BD76BF">
        <w:t>Capsule 150 mg</w:t>
      </w:r>
      <w:r w:rsidR="00305F4F" w:rsidRPr="00BD76BF">
        <w:t xml:space="preserve">, </w:t>
      </w:r>
      <w:r w:rsidR="00905FEF" w:rsidRPr="00BD76BF">
        <w:t>Capsule 300 mg</w:t>
      </w:r>
      <w:r w:rsidR="00305F4F" w:rsidRPr="00BD76BF">
        <w:t xml:space="preserve">, </w:t>
      </w:r>
      <w:r w:rsidR="00905FEF" w:rsidRPr="00BD76BF">
        <w:br/>
      </w:r>
      <w:r w:rsidRPr="00BD76BF">
        <w:t>Rimycin 150</w:t>
      </w:r>
      <w:r w:rsidR="008801E0" w:rsidRPr="00BD76BF">
        <w:t>®</w:t>
      </w:r>
      <w:r w:rsidR="00305F4F" w:rsidRPr="00BD76BF">
        <w:t xml:space="preserve">, </w:t>
      </w:r>
      <w:r w:rsidRPr="00BD76BF">
        <w:t>Rimycin 300®</w:t>
      </w:r>
      <w:r w:rsidR="00305F4F" w:rsidRPr="00BD76BF">
        <w:t xml:space="preserve">, </w:t>
      </w:r>
      <w:r w:rsidR="00905FEF" w:rsidRPr="00BD76BF">
        <w:br/>
      </w:r>
      <w:r w:rsidRPr="00BD76BF">
        <w:t>Alphapharm</w:t>
      </w:r>
      <w:r w:rsidR="008801E0" w:rsidRPr="00BD76BF">
        <w:t xml:space="preserve"> Pty Ltd</w:t>
      </w:r>
    </w:p>
    <w:p w:rsidR="009F3102" w:rsidRPr="00BD76BF" w:rsidRDefault="009F3102" w:rsidP="009F3102">
      <w:pPr>
        <w:pStyle w:val="2-SectionHeading"/>
      </w:pPr>
      <w:r w:rsidRPr="00BD76BF">
        <w:t>Purpose</w:t>
      </w:r>
      <w:r w:rsidR="0072698E" w:rsidRPr="00BD76BF">
        <w:t xml:space="preserve"> of application</w:t>
      </w:r>
    </w:p>
    <w:p w:rsidR="00C80F5D" w:rsidRPr="00BD76BF" w:rsidRDefault="000C03D2" w:rsidP="00905FEF">
      <w:pPr>
        <w:pStyle w:val="3-BodyText"/>
      </w:pPr>
      <w:r w:rsidRPr="00BD76BF">
        <w:t>T</w:t>
      </w:r>
      <w:r w:rsidR="00271DCE" w:rsidRPr="00BD76BF">
        <w:t>he</w:t>
      </w:r>
      <w:r w:rsidRPr="00BD76BF">
        <w:t xml:space="preserve"> </w:t>
      </w:r>
      <w:r w:rsidR="001329AC" w:rsidRPr="00BD76BF">
        <w:t xml:space="preserve">minor submission sought </w:t>
      </w:r>
      <w:r w:rsidR="00905FEF" w:rsidRPr="00BD76BF">
        <w:t xml:space="preserve">to extend the indication for rifampicin to include the treatment of </w:t>
      </w:r>
      <w:r w:rsidR="00905FEF" w:rsidRPr="00BD76BF">
        <w:rPr>
          <w:i/>
        </w:rPr>
        <w:t>Mycobacterium ulcerans</w:t>
      </w:r>
      <w:r w:rsidR="00905FEF" w:rsidRPr="00BD76BF">
        <w:t xml:space="preserve"> infection (Buruli ulcer)</w:t>
      </w:r>
      <w:r w:rsidRPr="00BD76BF">
        <w:t>.</w:t>
      </w:r>
    </w:p>
    <w:p w:rsidR="009F3102" w:rsidRPr="00BD76BF" w:rsidRDefault="009F3102" w:rsidP="009F3102">
      <w:pPr>
        <w:pStyle w:val="2-SectionHeading"/>
      </w:pPr>
      <w:r w:rsidRPr="00BD76BF">
        <w:t>Background</w:t>
      </w:r>
    </w:p>
    <w:p w:rsidR="00AD457F" w:rsidRPr="00BD76BF" w:rsidRDefault="00AD457F" w:rsidP="003F3CAC">
      <w:pPr>
        <w:pStyle w:val="3-BodyText"/>
      </w:pPr>
      <w:r w:rsidRPr="00BD76BF">
        <w:t>The</w:t>
      </w:r>
      <w:r w:rsidR="003F3CAC" w:rsidRPr="00BD76BF">
        <w:t xml:space="preserve"> epidemic of Buruli ulcer in Australia</w:t>
      </w:r>
      <w:r w:rsidRPr="00BD76BF">
        <w:t xml:space="preserve"> is worsening</w:t>
      </w:r>
      <w:r w:rsidR="003F3CAC" w:rsidRPr="00BD76BF">
        <w:t xml:space="preserve">, with a rapid increase in cases, new areas being affected, and an increase in the severity of the presentation. </w:t>
      </w:r>
      <w:r w:rsidRPr="00BD76BF">
        <w:t>The disease results in high direct and indirect costs to patients</w:t>
      </w:r>
      <w:r w:rsidR="00CD4B63" w:rsidRPr="00BD76BF">
        <w:t>:</w:t>
      </w:r>
      <w:r w:rsidR="00EC1DD8" w:rsidRPr="00BD76BF">
        <w:t xml:space="preserve"> </w:t>
      </w:r>
      <w:r w:rsidR="00CD4B63" w:rsidRPr="00BD76BF">
        <w:t>a</w:t>
      </w:r>
      <w:r w:rsidR="00E12A44" w:rsidRPr="00BD76BF">
        <w:t xml:space="preserve"> single 100 capsule </w:t>
      </w:r>
      <w:r w:rsidR="006734E0" w:rsidRPr="00BD76BF">
        <w:t>pack</w:t>
      </w:r>
      <w:r w:rsidR="00E12A44" w:rsidRPr="00BD76BF">
        <w:t xml:space="preserve"> of rifampicin 300 mg on the private market retails for</w:t>
      </w:r>
      <w:r w:rsidR="00CD4B63" w:rsidRPr="00BD76BF">
        <w:t xml:space="preserve"> about</w:t>
      </w:r>
      <w:r w:rsidR="00E12A44" w:rsidRPr="00BD76BF">
        <w:t xml:space="preserve"> $250</w:t>
      </w:r>
      <w:r w:rsidR="00CD4B63" w:rsidRPr="00BD76BF">
        <w:t>. T</w:t>
      </w:r>
      <w:r w:rsidR="00E12A44" w:rsidRPr="00BD76BF">
        <w:t xml:space="preserve">he average patient </w:t>
      </w:r>
      <w:r w:rsidR="00CD4B63" w:rsidRPr="00BD76BF">
        <w:t>requires</w:t>
      </w:r>
      <w:r w:rsidR="00E12A44" w:rsidRPr="00BD76BF">
        <w:t xml:space="preserve"> 2 </w:t>
      </w:r>
      <w:r w:rsidR="006734E0" w:rsidRPr="00BD76BF">
        <w:t>packs</w:t>
      </w:r>
      <w:r w:rsidR="00E12A44" w:rsidRPr="00BD76BF">
        <w:t xml:space="preserve"> and also pay</w:t>
      </w:r>
      <w:r w:rsidR="00CD4B63" w:rsidRPr="00BD76BF">
        <w:t>s</w:t>
      </w:r>
      <w:r w:rsidR="00E12A44" w:rsidRPr="00BD76BF">
        <w:t xml:space="preserve"> for diagnostics and other fees as part of their treatment.</w:t>
      </w:r>
    </w:p>
    <w:p w:rsidR="003F3CAC" w:rsidRPr="00BD76BF" w:rsidRDefault="00AD457F" w:rsidP="003F3CAC">
      <w:pPr>
        <w:pStyle w:val="3-BodyText"/>
      </w:pPr>
      <w:r w:rsidRPr="00BD76BF">
        <w:t>Rifampicin is</w:t>
      </w:r>
      <w:r w:rsidR="003F3CAC" w:rsidRPr="00BD76BF">
        <w:t xml:space="preserve"> used in combination with other antibiotics for the treatment of Buruli ulcer</w:t>
      </w:r>
      <w:r w:rsidRPr="00BD76BF">
        <w:t>, but is not TGA-registered or PBS-listed for this indication</w:t>
      </w:r>
      <w:r w:rsidR="003F3CAC" w:rsidRPr="00BD76BF">
        <w:t>.</w:t>
      </w:r>
    </w:p>
    <w:p w:rsidR="002362C9" w:rsidRPr="00BD76BF" w:rsidRDefault="002362C9" w:rsidP="002362C9">
      <w:pPr>
        <w:pStyle w:val="Heading2"/>
      </w:pPr>
      <w:r w:rsidRPr="00BD76BF">
        <w:t>Registration status</w:t>
      </w:r>
    </w:p>
    <w:p w:rsidR="00DD75E8" w:rsidRPr="00BD76BF" w:rsidRDefault="00273B04" w:rsidP="002362C9">
      <w:pPr>
        <w:pStyle w:val="3-BodyText"/>
      </w:pPr>
      <w:r w:rsidRPr="00BD76BF">
        <w:t>Rimycin</w:t>
      </w:r>
      <w:r w:rsidR="00C572CC" w:rsidRPr="00BD76BF">
        <w:t>®</w:t>
      </w:r>
      <w:r w:rsidR="00DD75E8" w:rsidRPr="00BD76BF">
        <w:t xml:space="preserve"> was TGA registered on 10 March 1994, and is indicated for:</w:t>
      </w:r>
    </w:p>
    <w:p w:rsidR="00DD75E8" w:rsidRPr="00BD76BF" w:rsidRDefault="00DD75E8" w:rsidP="006A2138">
      <w:pPr>
        <w:pStyle w:val="ListParagraph"/>
        <w:ind w:left="1077" w:hanging="357"/>
      </w:pPr>
      <w:r w:rsidRPr="00BD76BF">
        <w:t>tuberculosis,</w:t>
      </w:r>
    </w:p>
    <w:p w:rsidR="00DD75E8" w:rsidRPr="00BD76BF" w:rsidRDefault="00DD75E8" w:rsidP="006A2138">
      <w:pPr>
        <w:pStyle w:val="ListParagraph"/>
        <w:ind w:left="1077" w:hanging="357"/>
      </w:pPr>
      <w:r w:rsidRPr="00BD76BF">
        <w:t>leprosy (lepromatous leprosy and dimorphous leprosy),</w:t>
      </w:r>
    </w:p>
    <w:p w:rsidR="00DD75E8" w:rsidRPr="00BD76BF" w:rsidRDefault="00DD75E8" w:rsidP="006A2138">
      <w:pPr>
        <w:pStyle w:val="ListParagraph"/>
        <w:ind w:left="1077" w:hanging="357"/>
      </w:pPr>
      <w:r w:rsidRPr="00BD76BF">
        <w:t>lepromatous, dimorphous, indeterminate and tuberculoid leprosy resistant to sulfones and other anti-leprosy drugs,</w:t>
      </w:r>
    </w:p>
    <w:p w:rsidR="00DD75E8" w:rsidRPr="00BD76BF" w:rsidRDefault="00DD75E8" w:rsidP="006A2138">
      <w:pPr>
        <w:pStyle w:val="ListParagraph"/>
        <w:ind w:left="1077" w:hanging="357"/>
      </w:pPr>
      <w:r w:rsidRPr="00BD76BF">
        <w:t>as an alternative drug in all those patients having true drug allergy to the more commonly used anti-leprosy drugs,</w:t>
      </w:r>
    </w:p>
    <w:p w:rsidR="00DD75E8" w:rsidRPr="00BD76BF" w:rsidRDefault="00DD75E8" w:rsidP="006A2138">
      <w:pPr>
        <w:pStyle w:val="ListParagraph"/>
        <w:ind w:left="1077" w:hanging="357"/>
      </w:pPr>
      <w:r w:rsidRPr="00BD76BF">
        <w:t>prophylaxis of meningococcal disease in close contacts of known cases and in carriers (rifampicin is not indicated for the treatment of meningococcal infections), and</w:t>
      </w:r>
    </w:p>
    <w:p w:rsidR="002362C9" w:rsidRPr="00BD76BF" w:rsidRDefault="00DD75E8" w:rsidP="006A2138">
      <w:pPr>
        <w:pStyle w:val="ListParagraph"/>
        <w:ind w:left="1077" w:hanging="357"/>
      </w:pPr>
      <w:r w:rsidRPr="00BD76BF">
        <w:t xml:space="preserve">prophylaxis of household contacts of patients with </w:t>
      </w:r>
      <w:r w:rsidRPr="00BD76BF">
        <w:rPr>
          <w:i/>
        </w:rPr>
        <w:t>Haemophilus influenzae</w:t>
      </w:r>
      <w:r w:rsidRPr="00BD76BF">
        <w:t xml:space="preserve"> type B.</w:t>
      </w:r>
    </w:p>
    <w:p w:rsidR="0077071E" w:rsidRPr="00BD76BF" w:rsidRDefault="0077071E" w:rsidP="00886937">
      <w:pPr>
        <w:pStyle w:val="3-BodyText"/>
      </w:pPr>
      <w:r w:rsidRPr="00BD76BF">
        <w:t xml:space="preserve">Alphapharm </w:t>
      </w:r>
      <w:r w:rsidR="000E56B2" w:rsidRPr="00BD76BF">
        <w:t xml:space="preserve">has </w:t>
      </w:r>
      <w:r w:rsidRPr="00BD76BF">
        <w:t>submitted an application to the TGA, and was granted Orphan Status and Priority Review Designation on 21 January 2020 for the addition of the following indication</w:t>
      </w:r>
      <w:r w:rsidR="00F33825" w:rsidRPr="00BD76BF">
        <w:t xml:space="preserve"> to the TGA registration for Rimycin 150 and Rimycin 300</w:t>
      </w:r>
      <w:r w:rsidRPr="00BD76BF">
        <w:t>:</w:t>
      </w:r>
    </w:p>
    <w:p w:rsidR="0077071E" w:rsidRPr="00BD76BF" w:rsidRDefault="0077071E" w:rsidP="006A2138">
      <w:pPr>
        <w:pStyle w:val="ListParagraph"/>
        <w:ind w:left="1077" w:hanging="357"/>
      </w:pPr>
      <w:r w:rsidRPr="00BD76BF">
        <w:t xml:space="preserve">For the treatment of </w:t>
      </w:r>
      <w:r w:rsidRPr="00BD76BF">
        <w:rPr>
          <w:i/>
        </w:rPr>
        <w:t>Mycobacterium ulcerans</w:t>
      </w:r>
      <w:r w:rsidRPr="00BD76BF">
        <w:t xml:space="preserve"> infections (Buruli ulcer). Rifampicin is usually recommended to be used in combination with another antibiotic for the treatment of Buruli ulcer.</w:t>
      </w:r>
    </w:p>
    <w:p w:rsidR="007E1155" w:rsidRPr="00BD76BF" w:rsidRDefault="007E1155" w:rsidP="00B745D9">
      <w:pPr>
        <w:pStyle w:val="3-BodyText"/>
      </w:pPr>
      <w:r w:rsidRPr="00BD76BF">
        <w:lastRenderedPageBreak/>
        <w:t xml:space="preserve">The submission was made under TGA/PBAC Parallel Process. At the time of PBAC consideration, </w:t>
      </w:r>
      <w:r w:rsidR="00F71B26" w:rsidRPr="00BD76BF">
        <w:t>no</w:t>
      </w:r>
      <w:r w:rsidRPr="00BD76BF">
        <w:t xml:space="preserve"> TGA documents were available.</w:t>
      </w:r>
      <w:r w:rsidR="00FF01DC" w:rsidRPr="00BD76BF">
        <w:t xml:space="preserve"> The TGA evaluation report is expected in late July 2020.</w:t>
      </w:r>
    </w:p>
    <w:p w:rsidR="002362C9" w:rsidRPr="00BD76BF" w:rsidRDefault="002362C9" w:rsidP="00287C10">
      <w:pPr>
        <w:pStyle w:val="Heading2"/>
      </w:pPr>
      <w:r w:rsidRPr="00BD76BF">
        <w:t xml:space="preserve">Previous PBAC consideration </w:t>
      </w:r>
    </w:p>
    <w:p w:rsidR="002362C9" w:rsidRPr="00BD76BF" w:rsidRDefault="0077071E" w:rsidP="009133D8">
      <w:pPr>
        <w:pStyle w:val="3-BodyText"/>
      </w:pPr>
      <w:r w:rsidRPr="00BD76BF">
        <w:t>Rifampicin for the treatment of Buruli ulcer has not been considered by the PBAC previously.</w:t>
      </w:r>
    </w:p>
    <w:p w:rsidR="00370EDB" w:rsidRPr="00BD76BF" w:rsidRDefault="00370EDB" w:rsidP="009133D8">
      <w:pPr>
        <w:pStyle w:val="3-BodyText"/>
      </w:pPr>
      <w:r w:rsidRPr="00BD76BF">
        <w:t xml:space="preserve">The Chief Medical Officer wrote to the PBAC in mid-2018 requesting consideration of a PBS listing </w:t>
      </w:r>
      <w:r w:rsidR="00CD4B63" w:rsidRPr="00BD76BF">
        <w:t>for</w:t>
      </w:r>
      <w:r w:rsidRPr="00BD76BF">
        <w:t xml:space="preserve"> rifampicin for Buruli ulcer in response to the worsening outbreak in Victoria. At the request of the PBAC Executive, the Department then </w:t>
      </w:r>
      <w:r w:rsidR="006B6F0F" w:rsidRPr="00BD76BF">
        <w:t>contacted</w:t>
      </w:r>
      <w:r w:rsidRPr="00BD76BF">
        <w:t xml:space="preserve"> the sponsor</w:t>
      </w:r>
      <w:r w:rsidR="006B6F0F" w:rsidRPr="00BD76BF">
        <w:t xml:space="preserve"> (Alphapharm)</w:t>
      </w:r>
      <w:r w:rsidRPr="00BD76BF">
        <w:t xml:space="preserve"> </w:t>
      </w:r>
      <w:r w:rsidR="006B6F0F" w:rsidRPr="00BD76BF">
        <w:t xml:space="preserve">to encourage </w:t>
      </w:r>
      <w:r w:rsidR="00CD4B63" w:rsidRPr="00BD76BF">
        <w:t xml:space="preserve">it to </w:t>
      </w:r>
      <w:r w:rsidR="006B6F0F" w:rsidRPr="00BD76BF">
        <w:t>appl</w:t>
      </w:r>
      <w:r w:rsidR="00CD4B63" w:rsidRPr="00BD76BF">
        <w:t>y</w:t>
      </w:r>
      <w:r w:rsidR="006B6F0F" w:rsidRPr="00BD76BF">
        <w:t xml:space="preserve"> to the TGA and the PBAC to have</w:t>
      </w:r>
      <w:r w:rsidR="006734E0" w:rsidRPr="00BD76BF">
        <w:t xml:space="preserve"> the</w:t>
      </w:r>
      <w:r w:rsidR="006B6F0F" w:rsidRPr="00BD76BF">
        <w:t xml:space="preserve"> Buruli ulcer</w:t>
      </w:r>
      <w:r w:rsidR="006734E0" w:rsidRPr="00BD76BF">
        <w:t xml:space="preserve"> indication</w:t>
      </w:r>
      <w:r w:rsidR="006B6F0F" w:rsidRPr="00BD76BF">
        <w:t xml:space="preserve"> added to both the </w:t>
      </w:r>
      <w:r w:rsidR="006734E0" w:rsidRPr="00BD76BF">
        <w:t>Australian Register of Therapeutic Goods</w:t>
      </w:r>
      <w:r w:rsidR="006B6F0F" w:rsidRPr="00BD76BF">
        <w:t xml:space="preserve"> and </w:t>
      </w:r>
      <w:r w:rsidR="006734E0" w:rsidRPr="00BD76BF">
        <w:t xml:space="preserve">to </w:t>
      </w:r>
      <w:r w:rsidR="006B6F0F" w:rsidRPr="00BD76BF">
        <w:t>the PBS listings for rifampicin.</w:t>
      </w:r>
    </w:p>
    <w:p w:rsidR="0077071E" w:rsidRPr="00BD76BF" w:rsidRDefault="0077071E" w:rsidP="0077071E">
      <w:pPr>
        <w:pStyle w:val="3-BodyText"/>
      </w:pPr>
      <w:r w:rsidRPr="00BD76BF">
        <w:t>Rifampicin</w:t>
      </w:r>
      <w:r w:rsidR="001A2491" w:rsidRPr="00BD76BF">
        <w:t xml:space="preserve"> capsules are</w:t>
      </w:r>
      <w:r w:rsidRPr="00BD76BF">
        <w:t xml:space="preserve"> currently PBS listed for the treatment of leprosy, meningococcal disease, and </w:t>
      </w:r>
      <w:r w:rsidRPr="00BD76BF">
        <w:rPr>
          <w:i/>
        </w:rPr>
        <w:t>Haemophilus influenza</w:t>
      </w:r>
      <w:r w:rsidR="00554D06" w:rsidRPr="00BD76BF">
        <w:rPr>
          <w:i/>
        </w:rPr>
        <w:t>e</w:t>
      </w:r>
      <w:r w:rsidR="00AD457F" w:rsidRPr="00BD76BF">
        <w:t xml:space="preserve"> type B, as shown in Table 1.</w:t>
      </w:r>
    </w:p>
    <w:p w:rsidR="003E5C92" w:rsidRPr="00BD76BF" w:rsidRDefault="003E5C92" w:rsidP="001A2491">
      <w:pPr>
        <w:pStyle w:val="TableFigureHeading"/>
      </w:pPr>
      <w:r w:rsidRPr="00BD76BF">
        <w:t>Table 1: Current PBS indications for rifampicin</w:t>
      </w:r>
    </w:p>
    <w:tbl>
      <w:tblPr>
        <w:tblStyle w:val="TableGrid"/>
        <w:tblW w:w="0" w:type="auto"/>
        <w:tblLook w:val="04A0" w:firstRow="1" w:lastRow="0" w:firstColumn="1" w:lastColumn="0" w:noHBand="0" w:noVBand="1"/>
        <w:tblCaption w:val="Table 1: Current PBS indications for rifampicin"/>
      </w:tblPr>
      <w:tblGrid>
        <w:gridCol w:w="1271"/>
        <w:gridCol w:w="2835"/>
        <w:gridCol w:w="1843"/>
        <w:gridCol w:w="1984"/>
        <w:gridCol w:w="1083"/>
      </w:tblGrid>
      <w:tr w:rsidR="00AD457F" w:rsidRPr="00BD76BF" w:rsidTr="00ED0145">
        <w:trPr>
          <w:tblHeader/>
        </w:trPr>
        <w:tc>
          <w:tcPr>
            <w:tcW w:w="1271" w:type="dxa"/>
          </w:tcPr>
          <w:p w:rsidR="00AD457F" w:rsidRPr="0062149B" w:rsidRDefault="00AD457F">
            <w:pPr>
              <w:pStyle w:val="In-tableHeading"/>
              <w:rPr>
                <w:lang w:val="en-AU"/>
              </w:rPr>
            </w:pPr>
            <w:r w:rsidRPr="0062149B">
              <w:rPr>
                <w:lang w:val="en-AU"/>
              </w:rPr>
              <w:t>PBS item</w:t>
            </w:r>
          </w:p>
        </w:tc>
        <w:tc>
          <w:tcPr>
            <w:tcW w:w="2835" w:type="dxa"/>
          </w:tcPr>
          <w:p w:rsidR="00AD457F" w:rsidRPr="0062149B" w:rsidRDefault="00AD457F" w:rsidP="001A2491">
            <w:pPr>
              <w:pStyle w:val="In-tableHeading"/>
              <w:rPr>
                <w:lang w:val="en-AU"/>
              </w:rPr>
            </w:pPr>
            <w:r w:rsidRPr="0062149B">
              <w:rPr>
                <w:lang w:val="en-AU"/>
              </w:rPr>
              <w:t>Indication</w:t>
            </w:r>
          </w:p>
        </w:tc>
        <w:tc>
          <w:tcPr>
            <w:tcW w:w="1843" w:type="dxa"/>
          </w:tcPr>
          <w:p w:rsidR="00AD457F" w:rsidRPr="0062149B" w:rsidRDefault="00AD457F" w:rsidP="003E5C92">
            <w:pPr>
              <w:pStyle w:val="In-tableHeading"/>
              <w:rPr>
                <w:lang w:val="en-AU"/>
              </w:rPr>
            </w:pPr>
            <w:r w:rsidRPr="0062149B">
              <w:rPr>
                <w:lang w:val="en-AU"/>
              </w:rPr>
              <w:t>Authority</w:t>
            </w:r>
          </w:p>
        </w:tc>
        <w:tc>
          <w:tcPr>
            <w:tcW w:w="1984" w:type="dxa"/>
          </w:tcPr>
          <w:p w:rsidR="00AD457F" w:rsidRPr="0062149B" w:rsidRDefault="00AD457F" w:rsidP="001A2491">
            <w:pPr>
              <w:pStyle w:val="In-tableHeading"/>
              <w:rPr>
                <w:lang w:val="en-AU"/>
              </w:rPr>
            </w:pPr>
            <w:r w:rsidRPr="0062149B">
              <w:rPr>
                <w:lang w:val="en-AU"/>
              </w:rPr>
              <w:t>Strength, qty</w:t>
            </w:r>
          </w:p>
        </w:tc>
        <w:tc>
          <w:tcPr>
            <w:tcW w:w="1083" w:type="dxa"/>
          </w:tcPr>
          <w:p w:rsidR="00AD457F" w:rsidRPr="0062149B" w:rsidRDefault="00AD457F" w:rsidP="001A2491">
            <w:pPr>
              <w:pStyle w:val="In-tableHeading"/>
              <w:rPr>
                <w:lang w:val="en-AU"/>
              </w:rPr>
            </w:pPr>
            <w:r w:rsidRPr="0062149B">
              <w:rPr>
                <w:lang w:val="en-AU"/>
              </w:rPr>
              <w:t>AEMP</w:t>
            </w:r>
          </w:p>
        </w:tc>
      </w:tr>
      <w:tr w:rsidR="00AD457F" w:rsidRPr="00BD76BF" w:rsidTr="006A2138">
        <w:tc>
          <w:tcPr>
            <w:tcW w:w="1271" w:type="dxa"/>
          </w:tcPr>
          <w:p w:rsidR="00AD457F" w:rsidRPr="00BD76BF" w:rsidRDefault="00565109">
            <w:pPr>
              <w:pStyle w:val="TableText"/>
            </w:pPr>
            <w:r w:rsidRPr="00BD76BF">
              <w:t>1981G</w:t>
            </w:r>
          </w:p>
        </w:tc>
        <w:tc>
          <w:tcPr>
            <w:tcW w:w="2835" w:type="dxa"/>
          </w:tcPr>
          <w:p w:rsidR="00AD457F" w:rsidRPr="00BD76BF" w:rsidRDefault="00AD457F" w:rsidP="001A2491">
            <w:pPr>
              <w:pStyle w:val="TableText"/>
            </w:pPr>
            <w:r w:rsidRPr="00BD76BF">
              <w:t>Meningococcal disease</w:t>
            </w:r>
          </w:p>
          <w:p w:rsidR="00AD457F" w:rsidRPr="00BD76BF" w:rsidRDefault="00AD457F" w:rsidP="001A2491">
            <w:pPr>
              <w:pStyle w:val="TableText"/>
            </w:pPr>
            <w:r w:rsidRPr="00BD76BF">
              <w:rPr>
                <w:i/>
              </w:rPr>
              <w:t>Haemophilus influenzae</w:t>
            </w:r>
            <w:r w:rsidRPr="00BD76BF">
              <w:t xml:space="preserve"> type B</w:t>
            </w:r>
          </w:p>
        </w:tc>
        <w:tc>
          <w:tcPr>
            <w:tcW w:w="1843" w:type="dxa"/>
          </w:tcPr>
          <w:p w:rsidR="00AD457F" w:rsidRPr="00BD76BF" w:rsidRDefault="00AD457F" w:rsidP="003E5C92">
            <w:pPr>
              <w:pStyle w:val="TableText"/>
            </w:pPr>
            <w:r w:rsidRPr="00BD76BF">
              <w:t>Restricted Benefit</w:t>
            </w:r>
          </w:p>
        </w:tc>
        <w:tc>
          <w:tcPr>
            <w:tcW w:w="1984" w:type="dxa"/>
          </w:tcPr>
          <w:p w:rsidR="00AD457F" w:rsidRPr="00BD76BF" w:rsidRDefault="00AD457F" w:rsidP="001A2491">
            <w:pPr>
              <w:pStyle w:val="TableText"/>
            </w:pPr>
            <w:r w:rsidRPr="00BD76BF">
              <w:t>150 mg capsule, 10</w:t>
            </w:r>
          </w:p>
        </w:tc>
        <w:tc>
          <w:tcPr>
            <w:tcW w:w="1083" w:type="dxa"/>
          </w:tcPr>
          <w:p w:rsidR="00AD457F" w:rsidRPr="00BD76BF" w:rsidRDefault="00AD457F" w:rsidP="001A2491">
            <w:pPr>
              <w:pStyle w:val="TableText"/>
            </w:pPr>
            <w:r w:rsidRPr="00BD76BF">
              <w:t>$21.26</w:t>
            </w:r>
          </w:p>
        </w:tc>
      </w:tr>
      <w:tr w:rsidR="00AD457F" w:rsidRPr="00BD76BF" w:rsidTr="006A2138">
        <w:tc>
          <w:tcPr>
            <w:tcW w:w="1271" w:type="dxa"/>
          </w:tcPr>
          <w:p w:rsidR="00AD457F" w:rsidRPr="00BD76BF" w:rsidRDefault="00565109">
            <w:pPr>
              <w:pStyle w:val="TableText"/>
            </w:pPr>
            <w:r w:rsidRPr="00BD76BF">
              <w:t>1982H</w:t>
            </w:r>
          </w:p>
        </w:tc>
        <w:tc>
          <w:tcPr>
            <w:tcW w:w="2835" w:type="dxa"/>
          </w:tcPr>
          <w:p w:rsidR="00AD457F" w:rsidRPr="00BD76BF" w:rsidRDefault="00AD457F" w:rsidP="001A2491">
            <w:pPr>
              <w:pStyle w:val="TableText"/>
            </w:pPr>
            <w:r w:rsidRPr="00BD76BF">
              <w:t>Leprosy</w:t>
            </w:r>
          </w:p>
        </w:tc>
        <w:tc>
          <w:tcPr>
            <w:tcW w:w="1843" w:type="dxa"/>
          </w:tcPr>
          <w:p w:rsidR="00AD457F" w:rsidRPr="00BD76BF" w:rsidRDefault="00AD457F" w:rsidP="003E5C92">
            <w:pPr>
              <w:pStyle w:val="TableText"/>
            </w:pPr>
            <w:r w:rsidRPr="00BD76BF">
              <w:t>Authority Required</w:t>
            </w:r>
          </w:p>
        </w:tc>
        <w:tc>
          <w:tcPr>
            <w:tcW w:w="1984" w:type="dxa"/>
          </w:tcPr>
          <w:p w:rsidR="00AD457F" w:rsidRPr="00BD76BF" w:rsidRDefault="00AD457F" w:rsidP="001A2491">
            <w:pPr>
              <w:pStyle w:val="TableText"/>
            </w:pPr>
            <w:r w:rsidRPr="00BD76BF">
              <w:t>150 mg capsule, 100</w:t>
            </w:r>
          </w:p>
        </w:tc>
        <w:tc>
          <w:tcPr>
            <w:tcW w:w="1083" w:type="dxa"/>
          </w:tcPr>
          <w:p w:rsidR="00AD457F" w:rsidRPr="00BD76BF" w:rsidRDefault="00AD457F" w:rsidP="001A2491">
            <w:pPr>
              <w:pStyle w:val="TableText"/>
            </w:pPr>
            <w:r w:rsidRPr="00BD76BF">
              <w:t>$21.26</w:t>
            </w:r>
          </w:p>
        </w:tc>
      </w:tr>
      <w:tr w:rsidR="00AD457F" w:rsidRPr="00BD76BF" w:rsidTr="006A2138">
        <w:tc>
          <w:tcPr>
            <w:tcW w:w="1271" w:type="dxa"/>
          </w:tcPr>
          <w:p w:rsidR="00AD457F" w:rsidRPr="00BD76BF" w:rsidRDefault="001A2491" w:rsidP="003E5C92">
            <w:pPr>
              <w:pStyle w:val="TableText"/>
            </w:pPr>
            <w:r w:rsidRPr="00BD76BF">
              <w:t>1984K</w:t>
            </w:r>
          </w:p>
        </w:tc>
        <w:tc>
          <w:tcPr>
            <w:tcW w:w="2835" w:type="dxa"/>
          </w:tcPr>
          <w:p w:rsidR="00AD457F" w:rsidRPr="00BD76BF" w:rsidRDefault="00AD457F" w:rsidP="003E5C92">
            <w:pPr>
              <w:pStyle w:val="TableText"/>
            </w:pPr>
            <w:r w:rsidRPr="00BD76BF">
              <w:t>Meningococcal disease</w:t>
            </w:r>
          </w:p>
          <w:p w:rsidR="00AD457F" w:rsidRPr="00BD76BF" w:rsidRDefault="00AD457F" w:rsidP="001A2491">
            <w:pPr>
              <w:pStyle w:val="TableText"/>
            </w:pPr>
            <w:r w:rsidRPr="00BD76BF">
              <w:rPr>
                <w:i/>
              </w:rPr>
              <w:t>Haemophilus influenzae</w:t>
            </w:r>
            <w:r w:rsidRPr="00BD76BF">
              <w:t xml:space="preserve"> type B</w:t>
            </w:r>
          </w:p>
        </w:tc>
        <w:tc>
          <w:tcPr>
            <w:tcW w:w="1843" w:type="dxa"/>
          </w:tcPr>
          <w:p w:rsidR="00AD457F" w:rsidRPr="00BD76BF" w:rsidRDefault="00AD457F" w:rsidP="003E5C92">
            <w:pPr>
              <w:pStyle w:val="TableText"/>
            </w:pPr>
            <w:r w:rsidRPr="00BD76BF">
              <w:t>Restricted Benefit</w:t>
            </w:r>
          </w:p>
        </w:tc>
        <w:tc>
          <w:tcPr>
            <w:tcW w:w="1984" w:type="dxa"/>
          </w:tcPr>
          <w:p w:rsidR="00AD457F" w:rsidRPr="00BD76BF" w:rsidRDefault="00AD457F" w:rsidP="001A2491">
            <w:pPr>
              <w:pStyle w:val="TableText"/>
            </w:pPr>
            <w:r w:rsidRPr="00BD76BF">
              <w:t>300 mg capsule, 10</w:t>
            </w:r>
          </w:p>
        </w:tc>
        <w:tc>
          <w:tcPr>
            <w:tcW w:w="1083" w:type="dxa"/>
          </w:tcPr>
          <w:p w:rsidR="00AD457F" w:rsidRPr="00BD76BF" w:rsidRDefault="00AD457F" w:rsidP="001A2491">
            <w:pPr>
              <w:pStyle w:val="TableText"/>
            </w:pPr>
            <w:r w:rsidRPr="00BD76BF">
              <w:t>$9.70</w:t>
            </w:r>
          </w:p>
        </w:tc>
      </w:tr>
      <w:tr w:rsidR="00AD457F" w:rsidRPr="00BD76BF" w:rsidTr="006A2138">
        <w:tc>
          <w:tcPr>
            <w:tcW w:w="1271" w:type="dxa"/>
          </w:tcPr>
          <w:p w:rsidR="00AD457F" w:rsidRPr="00BD76BF" w:rsidRDefault="00565109">
            <w:pPr>
              <w:pStyle w:val="TableText"/>
            </w:pPr>
            <w:r w:rsidRPr="00BD76BF">
              <w:t>1983J</w:t>
            </w:r>
          </w:p>
        </w:tc>
        <w:tc>
          <w:tcPr>
            <w:tcW w:w="2835" w:type="dxa"/>
          </w:tcPr>
          <w:p w:rsidR="00AD457F" w:rsidRPr="00BD76BF" w:rsidRDefault="00AD457F" w:rsidP="001A2491">
            <w:pPr>
              <w:pStyle w:val="TableText"/>
            </w:pPr>
            <w:r w:rsidRPr="00BD76BF">
              <w:t>Leprosy</w:t>
            </w:r>
          </w:p>
        </w:tc>
        <w:tc>
          <w:tcPr>
            <w:tcW w:w="1843" w:type="dxa"/>
          </w:tcPr>
          <w:p w:rsidR="00AD457F" w:rsidRPr="00BD76BF" w:rsidRDefault="00AD457F" w:rsidP="003E5C92">
            <w:pPr>
              <w:pStyle w:val="TableText"/>
            </w:pPr>
            <w:r w:rsidRPr="00BD76BF">
              <w:t>Authority Required</w:t>
            </w:r>
          </w:p>
        </w:tc>
        <w:tc>
          <w:tcPr>
            <w:tcW w:w="1984" w:type="dxa"/>
          </w:tcPr>
          <w:p w:rsidR="00AD457F" w:rsidRPr="00BD76BF" w:rsidRDefault="00AD457F" w:rsidP="001A2491">
            <w:pPr>
              <w:pStyle w:val="TableText"/>
            </w:pPr>
            <w:r w:rsidRPr="00BD76BF">
              <w:t>300 mg capsule, 100</w:t>
            </w:r>
          </w:p>
        </w:tc>
        <w:tc>
          <w:tcPr>
            <w:tcW w:w="1083" w:type="dxa"/>
          </w:tcPr>
          <w:p w:rsidR="00AD457F" w:rsidRPr="00BD76BF" w:rsidRDefault="00AD457F" w:rsidP="001A2491">
            <w:pPr>
              <w:pStyle w:val="TableText"/>
            </w:pPr>
            <w:r w:rsidRPr="00BD76BF">
              <w:t>$9.70</w:t>
            </w:r>
          </w:p>
        </w:tc>
      </w:tr>
    </w:tbl>
    <w:p w:rsidR="003F3CAC" w:rsidRPr="00BD76BF" w:rsidRDefault="003E5C92" w:rsidP="001A2491">
      <w:pPr>
        <w:pStyle w:val="TableFigureFooter"/>
      </w:pPr>
      <w:r w:rsidRPr="00BD76BF">
        <w:t>Source: PBS website (sourced June 2020)</w:t>
      </w:r>
    </w:p>
    <w:p w:rsidR="00AA0D62" w:rsidRPr="00BD76BF" w:rsidRDefault="00AA0D62" w:rsidP="00AA0D62">
      <w:pPr>
        <w:pStyle w:val="Heading2"/>
      </w:pPr>
      <w:r w:rsidRPr="00BD76BF">
        <w:t>Population and Prev</w:t>
      </w:r>
      <w:r w:rsidR="00554D06" w:rsidRPr="00BD76BF">
        <w:t>ale</w:t>
      </w:r>
      <w:r w:rsidRPr="00BD76BF">
        <w:t>nce</w:t>
      </w:r>
    </w:p>
    <w:p w:rsidR="00451D06" w:rsidRPr="00BD76BF" w:rsidRDefault="00AA0D62" w:rsidP="00AA0D62">
      <w:pPr>
        <w:pStyle w:val="3-BodyText"/>
      </w:pPr>
      <w:r w:rsidRPr="00BD76BF">
        <w:t xml:space="preserve">According to </w:t>
      </w:r>
      <w:r w:rsidR="00554D06" w:rsidRPr="00BD76BF">
        <w:t xml:space="preserve">the </w:t>
      </w:r>
      <w:r w:rsidRPr="00BD76BF">
        <w:t>W</w:t>
      </w:r>
      <w:r w:rsidR="00554D06" w:rsidRPr="00BD76BF">
        <w:t xml:space="preserve">orld </w:t>
      </w:r>
      <w:r w:rsidRPr="00BD76BF">
        <w:t>H</w:t>
      </w:r>
      <w:r w:rsidR="00554D06" w:rsidRPr="00BD76BF">
        <w:t xml:space="preserve">ealth </w:t>
      </w:r>
      <w:r w:rsidRPr="00BD76BF">
        <w:t>O</w:t>
      </w:r>
      <w:r w:rsidR="00554D06" w:rsidRPr="00BD76BF">
        <w:t>rganization (WHO)</w:t>
      </w:r>
      <w:r w:rsidRPr="00BD76BF">
        <w:t>, in 2018, 358 cases of Buruli ulcer were reported in Australia, the highest number of any country that reported data to the WHO.</w:t>
      </w:r>
      <w:r w:rsidR="00554D06" w:rsidRPr="00BD76BF">
        <w:t xml:space="preserve"> Of the 358 cases,</w:t>
      </w:r>
      <w:r w:rsidRPr="00BD76BF">
        <w:t xml:space="preserve"> 340 were from Victoria</w:t>
      </w:r>
      <w:r w:rsidR="001A2491" w:rsidRPr="00BD76BF">
        <w:t xml:space="preserve">. </w:t>
      </w:r>
      <w:r w:rsidR="00C572CC" w:rsidRPr="00BD76BF">
        <w:t>There were 294 n</w:t>
      </w:r>
      <w:r w:rsidRPr="00BD76BF">
        <w:t xml:space="preserve">otified cases for Victoria </w:t>
      </w:r>
      <w:r w:rsidR="00C572CC" w:rsidRPr="00BD76BF">
        <w:t>in the 12 months to</w:t>
      </w:r>
      <w:r w:rsidRPr="00BD76BF">
        <w:t xml:space="preserve"> 20 September 2019</w:t>
      </w:r>
      <w:r w:rsidR="00C572CC" w:rsidRPr="00BD76BF">
        <w:t>.</w:t>
      </w:r>
      <w:r w:rsidRPr="00BD76BF">
        <w:rPr>
          <w:rStyle w:val="FootnoteReference"/>
        </w:rPr>
        <w:footnoteReference w:id="1"/>
      </w:r>
      <w:r w:rsidRPr="00BD76BF">
        <w:t xml:space="preserve"> </w:t>
      </w:r>
      <w:r w:rsidR="001A2491" w:rsidRPr="00BD76BF">
        <w:t xml:space="preserve">The outbreak has worsened in recent years, with annual totals for 2016, 2017 and 2018 of 182, 277 and 340, respectively. </w:t>
      </w:r>
    </w:p>
    <w:p w:rsidR="00AA0D62" w:rsidRPr="00BD76BF" w:rsidRDefault="00451D06" w:rsidP="00AA0D62">
      <w:pPr>
        <w:pStyle w:val="3-BodyText"/>
      </w:pPr>
      <w:r w:rsidRPr="00BD76BF">
        <w:t xml:space="preserve">The national </w:t>
      </w:r>
      <w:r w:rsidR="00AA0D62" w:rsidRPr="00BD76BF">
        <w:t>rate</w:t>
      </w:r>
      <w:r w:rsidR="001A2491" w:rsidRPr="00BD76BF">
        <w:t xml:space="preserve"> of infection for Buruli ulcer was</w:t>
      </w:r>
      <w:r w:rsidRPr="00BD76BF">
        <w:t xml:space="preserve"> </w:t>
      </w:r>
      <w:r w:rsidR="00331499" w:rsidRPr="00BD76BF">
        <w:t>1.58</w:t>
      </w:r>
      <w:r w:rsidR="00AA0D62" w:rsidRPr="00BD76BF">
        <w:t xml:space="preserve"> per 100,000 for the 12</w:t>
      </w:r>
      <w:r w:rsidR="00C572CC" w:rsidRPr="00BD76BF">
        <w:noBreakHyphen/>
      </w:r>
      <w:r w:rsidR="00AA0D62" w:rsidRPr="00BD76BF">
        <w:t>month period 21</w:t>
      </w:r>
      <w:r w:rsidR="00C572CC" w:rsidRPr="00BD76BF">
        <w:t> </w:t>
      </w:r>
      <w:r w:rsidR="00AA0D62" w:rsidRPr="00BD76BF">
        <w:t>Sep</w:t>
      </w:r>
      <w:r w:rsidR="00C572CC" w:rsidRPr="00BD76BF">
        <w:t>tember </w:t>
      </w:r>
      <w:r w:rsidR="00AA0D62" w:rsidRPr="00BD76BF">
        <w:t>2018 to 20</w:t>
      </w:r>
      <w:r w:rsidR="00C572CC" w:rsidRPr="00BD76BF">
        <w:t> </w:t>
      </w:r>
      <w:r w:rsidR="00AA0D62" w:rsidRPr="00BD76BF">
        <w:t>Sep</w:t>
      </w:r>
      <w:r w:rsidR="00C572CC" w:rsidRPr="00BD76BF">
        <w:t>tember </w:t>
      </w:r>
      <w:r w:rsidR="00AA0D62" w:rsidRPr="00BD76BF">
        <w:t>2019</w:t>
      </w:r>
      <w:r w:rsidR="00AA0D62" w:rsidRPr="00BD76BF">
        <w:rPr>
          <w:rStyle w:val="FootnoteReference"/>
        </w:rPr>
        <w:footnoteReference w:id="2"/>
      </w:r>
      <w:r w:rsidR="00AA0D62" w:rsidRPr="00BD76BF">
        <w:t>.</w:t>
      </w:r>
    </w:p>
    <w:p w:rsidR="00E77777" w:rsidRPr="00BD76BF" w:rsidRDefault="00E77777" w:rsidP="006A2138">
      <w:pPr>
        <w:pStyle w:val="3-BodyText"/>
        <w:numPr>
          <w:ilvl w:val="0"/>
          <w:numId w:val="0"/>
        </w:numPr>
        <w:ind w:firstLine="720"/>
        <w:rPr>
          <w:i/>
        </w:rPr>
      </w:pPr>
      <w:r w:rsidRPr="00BD76BF">
        <w:rPr>
          <w:i/>
        </w:rPr>
        <w:t>For more detail on PBAC’s view, see section 5 PBAC outcome.</w:t>
      </w:r>
    </w:p>
    <w:p w:rsidR="009F3102" w:rsidRPr="00BD76BF" w:rsidRDefault="00DC78B6" w:rsidP="0077071E">
      <w:pPr>
        <w:pStyle w:val="2-SectionHeading"/>
      </w:pPr>
      <w:r w:rsidRPr="00BD76BF">
        <w:t>Requested listing</w:t>
      </w:r>
    </w:p>
    <w:p w:rsidR="001329AC" w:rsidRPr="00BD76BF" w:rsidRDefault="001329AC" w:rsidP="001329AC">
      <w:pPr>
        <w:pStyle w:val="3Bodytext"/>
        <w:numPr>
          <w:ilvl w:val="1"/>
          <w:numId w:val="20"/>
        </w:numPr>
      </w:pPr>
      <w:r w:rsidRPr="00BD76BF">
        <w:t xml:space="preserve">The submission requested </w:t>
      </w:r>
      <w:r w:rsidR="00E77777" w:rsidRPr="00BD76BF">
        <w:t>new</w:t>
      </w:r>
      <w:r w:rsidR="0033344A" w:rsidRPr="00BD76BF">
        <w:t xml:space="preserve"> listings of rifampicin 150 mg and 300</w:t>
      </w:r>
      <w:r w:rsidR="00C572CC" w:rsidRPr="00BD76BF">
        <w:t> </w:t>
      </w:r>
      <w:r w:rsidR="0033344A" w:rsidRPr="00BD76BF">
        <w:t>mg capsule</w:t>
      </w:r>
      <w:r w:rsidR="00F33825" w:rsidRPr="00BD76BF">
        <w:t>s</w:t>
      </w:r>
      <w:r w:rsidR="0033344A" w:rsidRPr="00BD76BF">
        <w:t xml:space="preserve"> to include the new indication with clinical criteria.</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992"/>
        <w:gridCol w:w="850"/>
        <w:gridCol w:w="851"/>
        <w:gridCol w:w="709"/>
        <w:gridCol w:w="1134"/>
        <w:gridCol w:w="1700"/>
      </w:tblGrid>
      <w:tr w:rsidR="00074FF2" w:rsidRPr="00BD76BF" w:rsidTr="006A2138">
        <w:trPr>
          <w:cantSplit/>
          <w:trHeight w:val="471"/>
        </w:trPr>
        <w:tc>
          <w:tcPr>
            <w:tcW w:w="2689" w:type="dxa"/>
          </w:tcPr>
          <w:p w:rsidR="00074FF2" w:rsidRPr="00BD76BF" w:rsidRDefault="00074FF2" w:rsidP="009133D8">
            <w:pPr>
              <w:keepNext/>
              <w:ind w:left="-108"/>
              <w:rPr>
                <w:rFonts w:ascii="Arial Narrow" w:hAnsi="Arial Narrow" w:cs="Arial"/>
                <w:b/>
                <w:sz w:val="18"/>
                <w:szCs w:val="18"/>
              </w:rPr>
            </w:pPr>
            <w:r w:rsidRPr="00BD76BF">
              <w:rPr>
                <w:rFonts w:ascii="Arial Narrow" w:hAnsi="Arial Narrow" w:cs="Arial"/>
                <w:b/>
                <w:sz w:val="18"/>
                <w:szCs w:val="18"/>
              </w:rPr>
              <w:lastRenderedPageBreak/>
              <w:t>Name, Restriction,</w:t>
            </w:r>
          </w:p>
          <w:p w:rsidR="00074FF2" w:rsidRPr="00BD76BF" w:rsidRDefault="00074FF2" w:rsidP="009133D8">
            <w:pPr>
              <w:keepNext/>
              <w:ind w:left="-108"/>
              <w:rPr>
                <w:rFonts w:ascii="Arial Narrow" w:hAnsi="Arial Narrow" w:cs="Arial"/>
                <w:b/>
                <w:sz w:val="18"/>
                <w:szCs w:val="18"/>
              </w:rPr>
            </w:pPr>
            <w:r w:rsidRPr="00BD76BF">
              <w:rPr>
                <w:rFonts w:ascii="Arial Narrow" w:hAnsi="Arial Narrow" w:cs="Arial"/>
                <w:b/>
                <w:sz w:val="18"/>
                <w:szCs w:val="18"/>
              </w:rPr>
              <w:t>Manner of administration and form</w:t>
            </w:r>
          </w:p>
        </w:tc>
        <w:tc>
          <w:tcPr>
            <w:tcW w:w="992" w:type="dxa"/>
          </w:tcPr>
          <w:p w:rsidR="00074FF2" w:rsidRPr="00BD76BF" w:rsidRDefault="00074FF2" w:rsidP="009133D8">
            <w:pPr>
              <w:keepNext/>
              <w:ind w:left="-108"/>
              <w:jc w:val="center"/>
              <w:rPr>
                <w:rFonts w:ascii="Arial Narrow" w:hAnsi="Arial Narrow" w:cs="Arial"/>
                <w:b/>
                <w:sz w:val="18"/>
                <w:szCs w:val="18"/>
              </w:rPr>
            </w:pPr>
            <w:r w:rsidRPr="00BD76BF">
              <w:rPr>
                <w:rFonts w:ascii="Arial Narrow" w:hAnsi="Arial Narrow" w:cs="Arial"/>
                <w:b/>
                <w:sz w:val="18"/>
                <w:szCs w:val="18"/>
              </w:rPr>
              <w:t>PBS item code</w:t>
            </w:r>
          </w:p>
        </w:tc>
        <w:tc>
          <w:tcPr>
            <w:tcW w:w="850" w:type="dxa"/>
          </w:tcPr>
          <w:p w:rsidR="00074FF2" w:rsidRPr="00BD76BF" w:rsidRDefault="00074FF2" w:rsidP="009133D8">
            <w:pPr>
              <w:keepNext/>
              <w:ind w:left="-108"/>
              <w:jc w:val="center"/>
              <w:rPr>
                <w:rFonts w:ascii="Arial Narrow" w:hAnsi="Arial Narrow" w:cs="Arial"/>
                <w:b/>
                <w:sz w:val="18"/>
                <w:szCs w:val="18"/>
              </w:rPr>
            </w:pPr>
            <w:r w:rsidRPr="00BD76BF">
              <w:rPr>
                <w:rFonts w:ascii="Arial Narrow" w:hAnsi="Arial Narrow" w:cs="Arial"/>
                <w:b/>
                <w:sz w:val="18"/>
                <w:szCs w:val="18"/>
              </w:rPr>
              <w:t>Max. qty packs</w:t>
            </w:r>
          </w:p>
        </w:tc>
        <w:tc>
          <w:tcPr>
            <w:tcW w:w="851" w:type="dxa"/>
          </w:tcPr>
          <w:p w:rsidR="00074FF2" w:rsidRPr="00BD76BF" w:rsidRDefault="00074FF2" w:rsidP="009133D8">
            <w:pPr>
              <w:keepNext/>
              <w:ind w:left="-108"/>
              <w:jc w:val="center"/>
              <w:rPr>
                <w:rFonts w:ascii="Arial Narrow" w:hAnsi="Arial Narrow" w:cs="Arial"/>
                <w:b/>
                <w:sz w:val="18"/>
                <w:szCs w:val="18"/>
              </w:rPr>
            </w:pPr>
            <w:r w:rsidRPr="00BD76BF">
              <w:rPr>
                <w:rFonts w:ascii="Arial Narrow" w:hAnsi="Arial Narrow" w:cs="Arial"/>
                <w:b/>
                <w:sz w:val="18"/>
                <w:szCs w:val="18"/>
              </w:rPr>
              <w:t>Max. qty units</w:t>
            </w:r>
          </w:p>
        </w:tc>
        <w:tc>
          <w:tcPr>
            <w:tcW w:w="709" w:type="dxa"/>
          </w:tcPr>
          <w:p w:rsidR="00074FF2" w:rsidRPr="00BD76BF" w:rsidRDefault="00074FF2" w:rsidP="009133D8">
            <w:pPr>
              <w:keepNext/>
              <w:ind w:left="-108"/>
              <w:jc w:val="center"/>
              <w:rPr>
                <w:rFonts w:ascii="Arial Narrow" w:hAnsi="Arial Narrow" w:cs="Arial"/>
                <w:b/>
                <w:sz w:val="18"/>
                <w:szCs w:val="18"/>
              </w:rPr>
            </w:pPr>
            <w:r w:rsidRPr="00BD76BF">
              <w:rPr>
                <w:rFonts w:ascii="Arial Narrow" w:hAnsi="Arial Narrow" w:cs="Arial"/>
                <w:b/>
                <w:sz w:val="18"/>
                <w:szCs w:val="18"/>
              </w:rPr>
              <w:t>№.of</w:t>
            </w:r>
          </w:p>
          <w:p w:rsidR="00074FF2" w:rsidRPr="00BD76BF" w:rsidRDefault="00074FF2" w:rsidP="009133D8">
            <w:pPr>
              <w:keepNext/>
              <w:ind w:left="-108"/>
              <w:jc w:val="center"/>
              <w:rPr>
                <w:rFonts w:ascii="Arial Narrow" w:hAnsi="Arial Narrow" w:cs="Arial"/>
                <w:b/>
                <w:sz w:val="18"/>
                <w:szCs w:val="18"/>
              </w:rPr>
            </w:pPr>
            <w:r w:rsidRPr="00BD76BF">
              <w:rPr>
                <w:rFonts w:ascii="Arial Narrow" w:hAnsi="Arial Narrow" w:cs="Arial"/>
                <w:b/>
                <w:sz w:val="18"/>
                <w:szCs w:val="18"/>
              </w:rPr>
              <w:t>Rpts</w:t>
            </w:r>
          </w:p>
        </w:tc>
        <w:tc>
          <w:tcPr>
            <w:tcW w:w="2834" w:type="dxa"/>
            <w:gridSpan w:val="2"/>
          </w:tcPr>
          <w:p w:rsidR="00074FF2" w:rsidRPr="00BD76BF" w:rsidRDefault="00074FF2" w:rsidP="009133D8">
            <w:pPr>
              <w:keepNext/>
              <w:rPr>
                <w:rFonts w:ascii="Arial Narrow" w:hAnsi="Arial Narrow" w:cs="Arial"/>
                <w:b/>
                <w:sz w:val="18"/>
                <w:szCs w:val="18"/>
              </w:rPr>
            </w:pPr>
            <w:r w:rsidRPr="00BD76BF">
              <w:rPr>
                <w:rFonts w:ascii="Arial Narrow" w:hAnsi="Arial Narrow" w:cs="Arial"/>
                <w:b/>
                <w:sz w:val="18"/>
                <w:szCs w:val="18"/>
              </w:rPr>
              <w:t>Proprietary Name and Manufacturer</w:t>
            </w:r>
          </w:p>
        </w:tc>
      </w:tr>
      <w:tr w:rsidR="00074FF2" w:rsidRPr="00BD76BF" w:rsidTr="006A2138">
        <w:trPr>
          <w:cantSplit/>
          <w:trHeight w:val="504"/>
        </w:trPr>
        <w:tc>
          <w:tcPr>
            <w:tcW w:w="2689" w:type="dxa"/>
          </w:tcPr>
          <w:p w:rsidR="00074FF2" w:rsidRPr="00BD76BF" w:rsidRDefault="0033344A" w:rsidP="009133D8">
            <w:pPr>
              <w:keepNext/>
              <w:ind w:left="-108"/>
              <w:rPr>
                <w:rFonts w:ascii="Arial Narrow" w:hAnsi="Arial Narrow" w:cs="Arial"/>
                <w:sz w:val="18"/>
                <w:szCs w:val="18"/>
              </w:rPr>
            </w:pPr>
            <w:r w:rsidRPr="00BD76BF">
              <w:rPr>
                <w:rFonts w:ascii="Arial Narrow" w:hAnsi="Arial Narrow" w:cs="Arial"/>
                <w:sz w:val="18"/>
                <w:szCs w:val="18"/>
              </w:rPr>
              <w:t>RIFAMPICIN</w:t>
            </w:r>
          </w:p>
          <w:p w:rsidR="006734E0" w:rsidRPr="00BD76BF" w:rsidRDefault="006734E0" w:rsidP="006734E0">
            <w:pPr>
              <w:keepNext/>
              <w:ind w:left="-108"/>
              <w:rPr>
                <w:rFonts w:ascii="Arial Narrow" w:hAnsi="Arial Narrow" w:cs="Arial"/>
                <w:sz w:val="18"/>
                <w:szCs w:val="18"/>
              </w:rPr>
            </w:pPr>
            <w:r w:rsidRPr="00BD76BF">
              <w:rPr>
                <w:rFonts w:ascii="Arial Narrow" w:hAnsi="Arial Narrow" w:cs="Arial"/>
                <w:sz w:val="18"/>
                <w:szCs w:val="18"/>
              </w:rPr>
              <w:t>rifampicin 150 mg capsule, 10</w:t>
            </w:r>
          </w:p>
          <w:p w:rsidR="006734E0" w:rsidRPr="00BD76BF" w:rsidRDefault="006734E0" w:rsidP="006734E0">
            <w:pPr>
              <w:keepNext/>
              <w:ind w:left="-108"/>
              <w:rPr>
                <w:rFonts w:ascii="Arial Narrow" w:hAnsi="Arial Narrow" w:cs="Arial"/>
                <w:sz w:val="18"/>
                <w:szCs w:val="18"/>
              </w:rPr>
            </w:pPr>
          </w:p>
          <w:p w:rsidR="006734E0" w:rsidRPr="00BD76BF" w:rsidRDefault="006734E0" w:rsidP="006734E0">
            <w:pPr>
              <w:keepNext/>
              <w:ind w:left="-108"/>
              <w:rPr>
                <w:rFonts w:ascii="Arial Narrow" w:hAnsi="Arial Narrow" w:cs="Arial"/>
                <w:sz w:val="18"/>
                <w:szCs w:val="18"/>
              </w:rPr>
            </w:pPr>
            <w:r w:rsidRPr="00BD76BF">
              <w:rPr>
                <w:rFonts w:ascii="Arial Narrow" w:hAnsi="Arial Narrow" w:cs="Arial"/>
                <w:sz w:val="18"/>
                <w:szCs w:val="18"/>
              </w:rPr>
              <w:t>rifampicin 300 mg capsule, 10</w:t>
            </w:r>
          </w:p>
          <w:p w:rsidR="006734E0" w:rsidRPr="00BD76BF" w:rsidRDefault="006734E0" w:rsidP="009133D8">
            <w:pPr>
              <w:keepNext/>
              <w:ind w:left="-108"/>
              <w:rPr>
                <w:rFonts w:ascii="Arial Narrow" w:hAnsi="Arial Narrow" w:cs="Arial"/>
                <w:sz w:val="18"/>
                <w:szCs w:val="18"/>
              </w:rPr>
            </w:pPr>
          </w:p>
          <w:p w:rsidR="00074FF2" w:rsidRPr="00BD76BF" w:rsidRDefault="0033344A" w:rsidP="009133D8">
            <w:pPr>
              <w:keepNext/>
              <w:ind w:left="-108"/>
              <w:rPr>
                <w:rFonts w:ascii="Arial Narrow" w:hAnsi="Arial Narrow" w:cs="Arial"/>
                <w:sz w:val="18"/>
                <w:szCs w:val="18"/>
              </w:rPr>
            </w:pPr>
            <w:r w:rsidRPr="00BD76BF">
              <w:rPr>
                <w:rFonts w:ascii="Arial Narrow" w:hAnsi="Arial Narrow" w:cs="Arial"/>
                <w:sz w:val="18"/>
                <w:szCs w:val="18"/>
              </w:rPr>
              <w:t>rifampicin 150 mg capsule, 100</w:t>
            </w:r>
          </w:p>
          <w:p w:rsidR="0033344A" w:rsidRPr="00BD76BF" w:rsidRDefault="0033344A" w:rsidP="0033344A">
            <w:pPr>
              <w:keepNext/>
              <w:ind w:left="-108"/>
              <w:rPr>
                <w:rFonts w:ascii="Arial Narrow" w:hAnsi="Arial Narrow" w:cs="Arial"/>
                <w:sz w:val="18"/>
                <w:szCs w:val="18"/>
              </w:rPr>
            </w:pPr>
          </w:p>
          <w:p w:rsidR="0033344A" w:rsidRPr="00BD76BF" w:rsidRDefault="0033344A" w:rsidP="0033344A">
            <w:pPr>
              <w:keepNext/>
              <w:ind w:left="-108"/>
              <w:rPr>
                <w:rFonts w:ascii="Arial Narrow" w:hAnsi="Arial Narrow" w:cs="Arial"/>
                <w:sz w:val="18"/>
                <w:szCs w:val="18"/>
              </w:rPr>
            </w:pPr>
            <w:r w:rsidRPr="00BD76BF">
              <w:rPr>
                <w:rFonts w:ascii="Arial Narrow" w:hAnsi="Arial Narrow" w:cs="Arial"/>
                <w:sz w:val="18"/>
                <w:szCs w:val="18"/>
              </w:rPr>
              <w:t>rifampicin 300 mg capsule, 100</w:t>
            </w:r>
          </w:p>
        </w:tc>
        <w:tc>
          <w:tcPr>
            <w:tcW w:w="992" w:type="dxa"/>
          </w:tcPr>
          <w:p w:rsidR="00074FF2" w:rsidRPr="00BD76BF" w:rsidRDefault="00074FF2" w:rsidP="009133D8">
            <w:pPr>
              <w:keepNext/>
              <w:ind w:left="-108"/>
              <w:jc w:val="center"/>
              <w:rPr>
                <w:rFonts w:ascii="Arial Narrow" w:hAnsi="Arial Narrow" w:cs="Arial"/>
                <w:sz w:val="18"/>
                <w:szCs w:val="18"/>
              </w:rPr>
            </w:pPr>
          </w:p>
          <w:p w:rsidR="006734E0" w:rsidRPr="00BD76BF" w:rsidRDefault="006734E0" w:rsidP="009133D8">
            <w:pPr>
              <w:keepNext/>
              <w:ind w:left="-108"/>
              <w:jc w:val="center"/>
              <w:rPr>
                <w:rFonts w:ascii="Arial Narrow" w:hAnsi="Arial Narrow" w:cs="Arial"/>
                <w:sz w:val="18"/>
                <w:szCs w:val="18"/>
              </w:rPr>
            </w:pPr>
            <w:r w:rsidRPr="00BD76BF">
              <w:rPr>
                <w:rFonts w:ascii="Arial Narrow" w:hAnsi="Arial Narrow" w:cs="Arial"/>
                <w:sz w:val="18"/>
                <w:szCs w:val="18"/>
              </w:rPr>
              <w:t>NEW</w:t>
            </w:r>
          </w:p>
          <w:p w:rsidR="006734E0" w:rsidRPr="00BD76BF" w:rsidRDefault="006734E0" w:rsidP="009133D8">
            <w:pPr>
              <w:keepNext/>
              <w:ind w:left="-108"/>
              <w:jc w:val="center"/>
              <w:rPr>
                <w:rFonts w:ascii="Arial Narrow" w:hAnsi="Arial Narrow" w:cs="Arial"/>
                <w:sz w:val="18"/>
                <w:szCs w:val="18"/>
              </w:rPr>
            </w:pPr>
          </w:p>
          <w:p w:rsidR="006734E0" w:rsidRPr="00BD76BF" w:rsidRDefault="006734E0" w:rsidP="009133D8">
            <w:pPr>
              <w:keepNext/>
              <w:ind w:left="-108"/>
              <w:jc w:val="center"/>
              <w:rPr>
                <w:rFonts w:ascii="Arial Narrow" w:hAnsi="Arial Narrow" w:cs="Arial"/>
                <w:sz w:val="18"/>
                <w:szCs w:val="18"/>
              </w:rPr>
            </w:pPr>
            <w:r w:rsidRPr="00BD76BF">
              <w:rPr>
                <w:rFonts w:ascii="Arial Narrow" w:hAnsi="Arial Narrow" w:cs="Arial"/>
                <w:sz w:val="18"/>
                <w:szCs w:val="18"/>
              </w:rPr>
              <w:t>NEW</w:t>
            </w:r>
          </w:p>
          <w:p w:rsidR="006734E0" w:rsidRPr="00BD76BF" w:rsidRDefault="006734E0" w:rsidP="009133D8">
            <w:pPr>
              <w:keepNext/>
              <w:ind w:left="-108"/>
              <w:jc w:val="center"/>
              <w:rPr>
                <w:rFonts w:ascii="Arial Narrow" w:hAnsi="Arial Narrow" w:cs="Arial"/>
                <w:sz w:val="18"/>
                <w:szCs w:val="18"/>
              </w:rPr>
            </w:pPr>
          </w:p>
          <w:p w:rsidR="00074FF2" w:rsidRPr="00BD76BF" w:rsidRDefault="006734E0" w:rsidP="009133D8">
            <w:pPr>
              <w:keepNext/>
              <w:ind w:left="-108"/>
              <w:jc w:val="center"/>
              <w:rPr>
                <w:rFonts w:ascii="Arial Narrow" w:hAnsi="Arial Narrow" w:cs="Arial"/>
                <w:sz w:val="18"/>
                <w:szCs w:val="18"/>
              </w:rPr>
            </w:pPr>
            <w:r w:rsidRPr="00BD76BF">
              <w:rPr>
                <w:rFonts w:ascii="Arial Narrow" w:hAnsi="Arial Narrow" w:cs="Arial"/>
                <w:sz w:val="18"/>
                <w:szCs w:val="18"/>
              </w:rPr>
              <w:t>NEW</w:t>
            </w:r>
          </w:p>
          <w:p w:rsidR="0033344A" w:rsidRPr="00BD76BF" w:rsidRDefault="0033344A" w:rsidP="009133D8">
            <w:pPr>
              <w:keepNext/>
              <w:ind w:left="-108"/>
              <w:jc w:val="center"/>
              <w:rPr>
                <w:rFonts w:ascii="Arial Narrow" w:hAnsi="Arial Narrow" w:cs="Arial"/>
                <w:sz w:val="18"/>
                <w:szCs w:val="18"/>
              </w:rPr>
            </w:pPr>
          </w:p>
          <w:p w:rsidR="0033344A" w:rsidRPr="00BD76BF" w:rsidRDefault="006734E0" w:rsidP="009133D8">
            <w:pPr>
              <w:keepNext/>
              <w:ind w:left="-108"/>
              <w:jc w:val="center"/>
              <w:rPr>
                <w:rFonts w:ascii="Arial Narrow" w:hAnsi="Arial Narrow" w:cs="Arial"/>
                <w:sz w:val="18"/>
                <w:szCs w:val="18"/>
              </w:rPr>
            </w:pPr>
            <w:r w:rsidRPr="00BD76BF">
              <w:rPr>
                <w:rFonts w:ascii="Arial Narrow" w:hAnsi="Arial Narrow" w:cs="Arial"/>
                <w:sz w:val="18"/>
                <w:szCs w:val="18"/>
              </w:rPr>
              <w:t>NEW</w:t>
            </w:r>
          </w:p>
        </w:tc>
        <w:tc>
          <w:tcPr>
            <w:tcW w:w="850" w:type="dxa"/>
          </w:tcPr>
          <w:p w:rsidR="00074FF2" w:rsidRPr="00BD76BF" w:rsidRDefault="00074FF2" w:rsidP="009133D8">
            <w:pPr>
              <w:keepNext/>
              <w:jc w:val="center"/>
              <w:rPr>
                <w:rFonts w:ascii="Arial Narrow" w:hAnsi="Arial Narrow" w:cs="Arial"/>
                <w:sz w:val="18"/>
                <w:szCs w:val="18"/>
              </w:rPr>
            </w:pPr>
          </w:p>
          <w:p w:rsidR="00074FF2" w:rsidRPr="00BD76BF" w:rsidRDefault="006734E0" w:rsidP="009133D8">
            <w:pPr>
              <w:keepNext/>
              <w:jc w:val="center"/>
              <w:rPr>
                <w:rFonts w:ascii="Arial Narrow" w:hAnsi="Arial Narrow" w:cs="Arial"/>
                <w:sz w:val="18"/>
                <w:szCs w:val="18"/>
              </w:rPr>
            </w:pPr>
            <w:r w:rsidRPr="00BD76BF">
              <w:rPr>
                <w:rFonts w:ascii="Arial Narrow" w:hAnsi="Arial Narrow" w:cs="Arial"/>
                <w:sz w:val="18"/>
                <w:szCs w:val="18"/>
              </w:rPr>
              <w:t>12</w:t>
            </w:r>
          </w:p>
          <w:p w:rsidR="0033344A" w:rsidRPr="00BD76BF" w:rsidRDefault="0033344A" w:rsidP="009133D8">
            <w:pPr>
              <w:keepNext/>
              <w:jc w:val="center"/>
              <w:rPr>
                <w:rFonts w:ascii="Arial Narrow" w:hAnsi="Arial Narrow" w:cs="Arial"/>
                <w:sz w:val="18"/>
                <w:szCs w:val="18"/>
              </w:rPr>
            </w:pPr>
          </w:p>
          <w:p w:rsidR="0033344A" w:rsidRPr="00BD76BF" w:rsidRDefault="006734E0" w:rsidP="009133D8">
            <w:pPr>
              <w:keepNext/>
              <w:jc w:val="center"/>
              <w:rPr>
                <w:rFonts w:ascii="Arial Narrow" w:hAnsi="Arial Narrow" w:cs="Arial"/>
                <w:sz w:val="18"/>
                <w:szCs w:val="18"/>
              </w:rPr>
            </w:pPr>
            <w:r w:rsidRPr="00BD76BF">
              <w:rPr>
                <w:rFonts w:ascii="Arial Narrow" w:hAnsi="Arial Narrow" w:cs="Arial"/>
                <w:sz w:val="18"/>
                <w:szCs w:val="18"/>
              </w:rPr>
              <w:t>12</w:t>
            </w:r>
          </w:p>
          <w:p w:rsidR="006734E0" w:rsidRPr="00BD76BF" w:rsidRDefault="006734E0" w:rsidP="009133D8">
            <w:pPr>
              <w:keepNext/>
              <w:jc w:val="center"/>
              <w:rPr>
                <w:rFonts w:ascii="Arial Narrow" w:hAnsi="Arial Narrow" w:cs="Arial"/>
                <w:sz w:val="18"/>
                <w:szCs w:val="18"/>
              </w:rPr>
            </w:pPr>
          </w:p>
          <w:p w:rsidR="006734E0" w:rsidRPr="00BD76BF" w:rsidRDefault="006734E0" w:rsidP="009133D8">
            <w:pPr>
              <w:keepNext/>
              <w:jc w:val="center"/>
              <w:rPr>
                <w:rFonts w:ascii="Arial Narrow" w:hAnsi="Arial Narrow" w:cs="Arial"/>
                <w:sz w:val="18"/>
                <w:szCs w:val="18"/>
              </w:rPr>
            </w:pPr>
            <w:r w:rsidRPr="00BD76BF">
              <w:rPr>
                <w:rFonts w:ascii="Arial Narrow" w:hAnsi="Arial Narrow" w:cs="Arial"/>
                <w:sz w:val="18"/>
                <w:szCs w:val="18"/>
              </w:rPr>
              <w:t>1</w:t>
            </w:r>
          </w:p>
          <w:p w:rsidR="006734E0" w:rsidRPr="00BD76BF" w:rsidRDefault="006734E0" w:rsidP="009133D8">
            <w:pPr>
              <w:keepNext/>
              <w:jc w:val="center"/>
              <w:rPr>
                <w:rFonts w:ascii="Arial Narrow" w:hAnsi="Arial Narrow" w:cs="Arial"/>
                <w:sz w:val="18"/>
                <w:szCs w:val="18"/>
              </w:rPr>
            </w:pPr>
          </w:p>
          <w:p w:rsidR="006734E0" w:rsidRPr="00BD76BF" w:rsidRDefault="006734E0" w:rsidP="009133D8">
            <w:pPr>
              <w:keepNext/>
              <w:jc w:val="center"/>
              <w:rPr>
                <w:rFonts w:ascii="Arial Narrow" w:hAnsi="Arial Narrow" w:cs="Arial"/>
                <w:sz w:val="18"/>
                <w:szCs w:val="18"/>
              </w:rPr>
            </w:pPr>
            <w:r w:rsidRPr="00BD76BF">
              <w:rPr>
                <w:rFonts w:ascii="Arial Narrow" w:hAnsi="Arial Narrow" w:cs="Arial"/>
                <w:sz w:val="18"/>
                <w:szCs w:val="18"/>
              </w:rPr>
              <w:t>1</w:t>
            </w:r>
          </w:p>
        </w:tc>
        <w:tc>
          <w:tcPr>
            <w:tcW w:w="851" w:type="dxa"/>
          </w:tcPr>
          <w:p w:rsidR="00074FF2" w:rsidRPr="00BD76BF" w:rsidRDefault="00074FF2" w:rsidP="009133D8">
            <w:pPr>
              <w:keepNext/>
              <w:ind w:left="-108"/>
              <w:jc w:val="center"/>
              <w:rPr>
                <w:rFonts w:ascii="Arial Narrow" w:hAnsi="Arial Narrow" w:cs="Arial"/>
                <w:sz w:val="18"/>
                <w:szCs w:val="18"/>
              </w:rPr>
            </w:pPr>
          </w:p>
          <w:p w:rsidR="00074FF2" w:rsidRPr="00BD76BF" w:rsidRDefault="006734E0" w:rsidP="009133D8">
            <w:pPr>
              <w:keepNext/>
              <w:ind w:left="-108"/>
              <w:jc w:val="center"/>
              <w:rPr>
                <w:rFonts w:ascii="Arial Narrow" w:hAnsi="Arial Narrow" w:cs="Arial"/>
                <w:sz w:val="18"/>
                <w:szCs w:val="18"/>
              </w:rPr>
            </w:pPr>
            <w:r w:rsidRPr="00BD76BF">
              <w:rPr>
                <w:rFonts w:ascii="Arial Narrow" w:hAnsi="Arial Narrow" w:cs="Arial"/>
                <w:sz w:val="18"/>
                <w:szCs w:val="18"/>
              </w:rPr>
              <w:t>120</w:t>
            </w:r>
          </w:p>
          <w:p w:rsidR="0033344A" w:rsidRPr="00BD76BF" w:rsidRDefault="0033344A" w:rsidP="009133D8">
            <w:pPr>
              <w:keepNext/>
              <w:ind w:left="-108"/>
              <w:jc w:val="center"/>
              <w:rPr>
                <w:rFonts w:ascii="Arial Narrow" w:hAnsi="Arial Narrow" w:cs="Arial"/>
                <w:sz w:val="18"/>
                <w:szCs w:val="18"/>
              </w:rPr>
            </w:pPr>
          </w:p>
          <w:p w:rsidR="006734E0" w:rsidRPr="00BD76BF" w:rsidRDefault="0033344A" w:rsidP="009133D8">
            <w:pPr>
              <w:keepNext/>
              <w:ind w:left="-108"/>
              <w:jc w:val="center"/>
              <w:rPr>
                <w:rFonts w:ascii="Arial Narrow" w:hAnsi="Arial Narrow" w:cs="Arial"/>
                <w:sz w:val="18"/>
                <w:szCs w:val="18"/>
              </w:rPr>
            </w:pPr>
            <w:r w:rsidRPr="00BD76BF">
              <w:rPr>
                <w:rFonts w:ascii="Arial Narrow" w:hAnsi="Arial Narrow" w:cs="Arial"/>
                <w:sz w:val="18"/>
                <w:szCs w:val="18"/>
              </w:rPr>
              <w:t>1</w:t>
            </w:r>
            <w:r w:rsidR="006734E0" w:rsidRPr="00BD76BF">
              <w:rPr>
                <w:rFonts w:ascii="Arial Narrow" w:hAnsi="Arial Narrow" w:cs="Arial"/>
                <w:sz w:val="18"/>
                <w:szCs w:val="18"/>
              </w:rPr>
              <w:t>20</w:t>
            </w:r>
          </w:p>
          <w:p w:rsidR="006734E0" w:rsidRPr="00BD76BF" w:rsidRDefault="006734E0" w:rsidP="009133D8">
            <w:pPr>
              <w:keepNext/>
              <w:ind w:left="-108"/>
              <w:jc w:val="center"/>
              <w:rPr>
                <w:rFonts w:ascii="Arial Narrow" w:hAnsi="Arial Narrow" w:cs="Arial"/>
                <w:sz w:val="18"/>
                <w:szCs w:val="18"/>
              </w:rPr>
            </w:pPr>
          </w:p>
          <w:p w:rsidR="006734E0" w:rsidRPr="00BD76BF" w:rsidRDefault="006734E0" w:rsidP="009133D8">
            <w:pPr>
              <w:keepNext/>
              <w:ind w:left="-108"/>
              <w:jc w:val="center"/>
              <w:rPr>
                <w:rFonts w:ascii="Arial Narrow" w:hAnsi="Arial Narrow" w:cs="Arial"/>
                <w:sz w:val="18"/>
                <w:szCs w:val="18"/>
              </w:rPr>
            </w:pPr>
            <w:r w:rsidRPr="00BD76BF">
              <w:rPr>
                <w:rFonts w:ascii="Arial Narrow" w:hAnsi="Arial Narrow" w:cs="Arial"/>
                <w:sz w:val="18"/>
                <w:szCs w:val="18"/>
              </w:rPr>
              <w:t>100</w:t>
            </w:r>
          </w:p>
          <w:p w:rsidR="006734E0" w:rsidRPr="00BD76BF" w:rsidRDefault="006734E0" w:rsidP="009133D8">
            <w:pPr>
              <w:keepNext/>
              <w:ind w:left="-108"/>
              <w:jc w:val="center"/>
              <w:rPr>
                <w:rFonts w:ascii="Arial Narrow" w:hAnsi="Arial Narrow" w:cs="Arial"/>
                <w:sz w:val="18"/>
                <w:szCs w:val="18"/>
              </w:rPr>
            </w:pPr>
          </w:p>
          <w:p w:rsidR="0033344A" w:rsidRPr="00BD76BF" w:rsidRDefault="006734E0" w:rsidP="009133D8">
            <w:pPr>
              <w:keepNext/>
              <w:ind w:left="-108"/>
              <w:jc w:val="center"/>
              <w:rPr>
                <w:rFonts w:ascii="Arial Narrow" w:hAnsi="Arial Narrow" w:cs="Arial"/>
                <w:sz w:val="18"/>
                <w:szCs w:val="18"/>
              </w:rPr>
            </w:pPr>
            <w:r w:rsidRPr="00BD76BF">
              <w:rPr>
                <w:rFonts w:ascii="Arial Narrow" w:hAnsi="Arial Narrow" w:cs="Arial"/>
                <w:sz w:val="18"/>
                <w:szCs w:val="18"/>
              </w:rPr>
              <w:t>100</w:t>
            </w:r>
          </w:p>
        </w:tc>
        <w:tc>
          <w:tcPr>
            <w:tcW w:w="709" w:type="dxa"/>
          </w:tcPr>
          <w:p w:rsidR="00074FF2" w:rsidRPr="00BD76BF" w:rsidRDefault="00074FF2" w:rsidP="009133D8">
            <w:pPr>
              <w:keepNext/>
              <w:ind w:left="-108"/>
              <w:jc w:val="center"/>
              <w:rPr>
                <w:rFonts w:ascii="Arial Narrow" w:hAnsi="Arial Narrow" w:cs="Arial"/>
                <w:sz w:val="18"/>
                <w:szCs w:val="18"/>
              </w:rPr>
            </w:pPr>
          </w:p>
          <w:p w:rsidR="00074FF2" w:rsidRPr="00BD76BF" w:rsidRDefault="007B68A5" w:rsidP="009133D8">
            <w:pPr>
              <w:keepNext/>
              <w:ind w:left="-108"/>
              <w:jc w:val="center"/>
              <w:rPr>
                <w:rFonts w:ascii="Arial Narrow" w:hAnsi="Arial Narrow" w:cs="Arial"/>
                <w:sz w:val="18"/>
                <w:szCs w:val="18"/>
              </w:rPr>
            </w:pPr>
            <w:r w:rsidRPr="00BD76BF">
              <w:rPr>
                <w:rFonts w:ascii="Arial Narrow" w:hAnsi="Arial Narrow" w:cs="Arial"/>
                <w:sz w:val="18"/>
                <w:szCs w:val="18"/>
              </w:rPr>
              <w:t>0</w:t>
            </w:r>
          </w:p>
          <w:p w:rsidR="0033344A" w:rsidRPr="00BD76BF" w:rsidRDefault="0033344A" w:rsidP="009133D8">
            <w:pPr>
              <w:keepNext/>
              <w:ind w:left="-108"/>
              <w:jc w:val="center"/>
              <w:rPr>
                <w:rFonts w:ascii="Arial Narrow" w:hAnsi="Arial Narrow" w:cs="Arial"/>
                <w:sz w:val="18"/>
                <w:szCs w:val="18"/>
              </w:rPr>
            </w:pPr>
          </w:p>
          <w:p w:rsidR="0033344A" w:rsidRPr="00BD76BF" w:rsidRDefault="007B68A5" w:rsidP="009133D8">
            <w:pPr>
              <w:keepNext/>
              <w:ind w:left="-108"/>
              <w:jc w:val="center"/>
              <w:rPr>
                <w:rFonts w:ascii="Arial Narrow" w:hAnsi="Arial Narrow" w:cs="Arial"/>
                <w:sz w:val="18"/>
                <w:szCs w:val="18"/>
              </w:rPr>
            </w:pPr>
            <w:r w:rsidRPr="00BD76BF">
              <w:rPr>
                <w:rFonts w:ascii="Arial Narrow" w:hAnsi="Arial Narrow" w:cs="Arial"/>
                <w:sz w:val="18"/>
                <w:szCs w:val="18"/>
              </w:rPr>
              <w:t>0</w:t>
            </w:r>
          </w:p>
          <w:p w:rsidR="00181523" w:rsidRPr="00BD76BF" w:rsidRDefault="00181523" w:rsidP="009133D8">
            <w:pPr>
              <w:keepNext/>
              <w:ind w:left="-108"/>
              <w:jc w:val="center"/>
              <w:rPr>
                <w:rFonts w:ascii="Arial Narrow" w:hAnsi="Arial Narrow" w:cs="Arial"/>
                <w:sz w:val="18"/>
                <w:szCs w:val="18"/>
              </w:rPr>
            </w:pPr>
          </w:p>
          <w:p w:rsidR="00181523" w:rsidRPr="00BD76BF" w:rsidRDefault="00181523" w:rsidP="009133D8">
            <w:pPr>
              <w:keepNext/>
              <w:ind w:left="-108"/>
              <w:jc w:val="center"/>
              <w:rPr>
                <w:rFonts w:ascii="Arial Narrow" w:hAnsi="Arial Narrow" w:cs="Arial"/>
                <w:sz w:val="18"/>
                <w:szCs w:val="18"/>
              </w:rPr>
            </w:pPr>
            <w:r w:rsidRPr="00BD76BF">
              <w:rPr>
                <w:rFonts w:ascii="Arial Narrow" w:hAnsi="Arial Narrow" w:cs="Arial"/>
                <w:sz w:val="18"/>
                <w:szCs w:val="18"/>
              </w:rPr>
              <w:t>0</w:t>
            </w:r>
          </w:p>
          <w:p w:rsidR="00181523" w:rsidRPr="00BD76BF" w:rsidRDefault="00181523" w:rsidP="009133D8">
            <w:pPr>
              <w:keepNext/>
              <w:ind w:left="-108"/>
              <w:jc w:val="center"/>
              <w:rPr>
                <w:rFonts w:ascii="Arial Narrow" w:hAnsi="Arial Narrow" w:cs="Arial"/>
                <w:sz w:val="18"/>
                <w:szCs w:val="18"/>
              </w:rPr>
            </w:pPr>
          </w:p>
          <w:p w:rsidR="00074FF2" w:rsidRPr="00BD76BF" w:rsidRDefault="00181523" w:rsidP="00EC1DD8">
            <w:pPr>
              <w:keepNext/>
              <w:ind w:left="-108"/>
              <w:jc w:val="center"/>
              <w:rPr>
                <w:rFonts w:ascii="Arial Narrow" w:hAnsi="Arial Narrow" w:cs="Arial"/>
                <w:sz w:val="18"/>
                <w:szCs w:val="18"/>
              </w:rPr>
            </w:pPr>
            <w:r w:rsidRPr="00BD76BF">
              <w:rPr>
                <w:rFonts w:ascii="Arial Narrow" w:hAnsi="Arial Narrow" w:cs="Arial"/>
                <w:sz w:val="18"/>
                <w:szCs w:val="18"/>
              </w:rPr>
              <w:t>0</w:t>
            </w:r>
          </w:p>
        </w:tc>
        <w:tc>
          <w:tcPr>
            <w:tcW w:w="1134" w:type="dxa"/>
          </w:tcPr>
          <w:p w:rsidR="00074FF2" w:rsidRPr="00BD76BF" w:rsidRDefault="00074FF2" w:rsidP="009133D8">
            <w:pPr>
              <w:keepNext/>
              <w:rPr>
                <w:rFonts w:ascii="Arial Narrow" w:hAnsi="Arial Narrow" w:cs="Arial"/>
                <w:sz w:val="18"/>
                <w:szCs w:val="18"/>
              </w:rPr>
            </w:pPr>
          </w:p>
          <w:p w:rsidR="0033344A" w:rsidRPr="00BD76BF" w:rsidRDefault="0033344A" w:rsidP="009133D8">
            <w:pPr>
              <w:keepNext/>
              <w:rPr>
                <w:rFonts w:ascii="Arial Narrow" w:hAnsi="Arial Narrow" w:cs="Arial"/>
                <w:sz w:val="18"/>
                <w:szCs w:val="18"/>
                <w:vertAlign w:val="superscript"/>
              </w:rPr>
            </w:pPr>
            <w:r w:rsidRPr="00BD76BF">
              <w:rPr>
                <w:rFonts w:ascii="Arial Narrow" w:hAnsi="Arial Narrow" w:cs="Arial"/>
                <w:sz w:val="18"/>
                <w:szCs w:val="18"/>
              </w:rPr>
              <w:t>Rimycin 150</w:t>
            </w:r>
            <w:r w:rsidR="00074FF2" w:rsidRPr="00BD76BF">
              <w:rPr>
                <w:rFonts w:ascii="Arial Narrow" w:hAnsi="Arial Narrow" w:cs="Arial"/>
                <w:sz w:val="18"/>
                <w:szCs w:val="18"/>
                <w:vertAlign w:val="superscript"/>
              </w:rPr>
              <w:t>®</w:t>
            </w:r>
          </w:p>
          <w:p w:rsidR="00803A73" w:rsidRPr="00BD76BF" w:rsidRDefault="00803A73" w:rsidP="0033344A">
            <w:pPr>
              <w:keepNext/>
              <w:rPr>
                <w:rFonts w:ascii="Arial Narrow" w:hAnsi="Arial Narrow" w:cs="Arial"/>
                <w:sz w:val="18"/>
                <w:szCs w:val="18"/>
              </w:rPr>
            </w:pPr>
          </w:p>
          <w:p w:rsidR="0033344A" w:rsidRPr="00BD76BF" w:rsidRDefault="0033344A" w:rsidP="0033344A">
            <w:pPr>
              <w:keepNext/>
              <w:rPr>
                <w:rFonts w:ascii="Arial Narrow" w:hAnsi="Arial Narrow" w:cs="Arial"/>
                <w:sz w:val="18"/>
                <w:szCs w:val="18"/>
                <w:vertAlign w:val="superscript"/>
              </w:rPr>
            </w:pPr>
            <w:r w:rsidRPr="00BD76BF">
              <w:rPr>
                <w:rFonts w:ascii="Arial Narrow" w:hAnsi="Arial Narrow" w:cs="Arial"/>
                <w:sz w:val="18"/>
                <w:szCs w:val="18"/>
              </w:rPr>
              <w:t>Rimycin 300</w:t>
            </w:r>
            <w:r w:rsidRPr="00BD76BF">
              <w:rPr>
                <w:rFonts w:ascii="Arial Narrow" w:hAnsi="Arial Narrow" w:cs="Arial"/>
                <w:sz w:val="18"/>
                <w:szCs w:val="18"/>
                <w:vertAlign w:val="superscript"/>
              </w:rPr>
              <w:t>®</w:t>
            </w:r>
          </w:p>
          <w:p w:rsidR="00803A73" w:rsidRPr="00BD76BF" w:rsidRDefault="00803A73" w:rsidP="006734E0">
            <w:pPr>
              <w:keepNext/>
              <w:rPr>
                <w:rFonts w:ascii="Arial Narrow" w:hAnsi="Arial Narrow" w:cs="Arial"/>
                <w:sz w:val="18"/>
                <w:szCs w:val="18"/>
              </w:rPr>
            </w:pPr>
          </w:p>
          <w:p w:rsidR="006734E0" w:rsidRPr="00BD76BF" w:rsidRDefault="006734E0" w:rsidP="006734E0">
            <w:pPr>
              <w:keepNext/>
              <w:rPr>
                <w:rFonts w:ascii="Arial Narrow" w:hAnsi="Arial Narrow" w:cs="Arial"/>
                <w:sz w:val="18"/>
                <w:szCs w:val="18"/>
                <w:vertAlign w:val="superscript"/>
              </w:rPr>
            </w:pPr>
            <w:r w:rsidRPr="00BD76BF">
              <w:rPr>
                <w:rFonts w:ascii="Arial Narrow" w:hAnsi="Arial Narrow" w:cs="Arial"/>
                <w:sz w:val="18"/>
                <w:szCs w:val="18"/>
              </w:rPr>
              <w:t>Rimycin 150</w:t>
            </w:r>
            <w:r w:rsidRPr="00BD76BF">
              <w:rPr>
                <w:rFonts w:ascii="Arial Narrow" w:hAnsi="Arial Narrow" w:cs="Arial"/>
                <w:sz w:val="18"/>
                <w:szCs w:val="18"/>
                <w:vertAlign w:val="superscript"/>
              </w:rPr>
              <w:t>®</w:t>
            </w:r>
          </w:p>
          <w:p w:rsidR="00803A73" w:rsidRPr="00BD76BF" w:rsidRDefault="00803A73" w:rsidP="00803A73">
            <w:pPr>
              <w:keepNext/>
              <w:rPr>
                <w:rFonts w:ascii="Arial Narrow" w:hAnsi="Arial Narrow" w:cs="Arial"/>
                <w:sz w:val="18"/>
                <w:szCs w:val="18"/>
              </w:rPr>
            </w:pPr>
          </w:p>
          <w:p w:rsidR="006734E0" w:rsidRPr="00BD76BF" w:rsidRDefault="006734E0" w:rsidP="00803A73">
            <w:pPr>
              <w:keepNext/>
              <w:rPr>
                <w:rFonts w:ascii="Arial Narrow" w:hAnsi="Arial Narrow" w:cs="Arial"/>
                <w:sz w:val="18"/>
                <w:szCs w:val="18"/>
              </w:rPr>
            </w:pPr>
            <w:r w:rsidRPr="00BD76BF">
              <w:rPr>
                <w:rFonts w:ascii="Arial Narrow" w:hAnsi="Arial Narrow" w:cs="Arial"/>
                <w:sz w:val="18"/>
                <w:szCs w:val="18"/>
              </w:rPr>
              <w:t>Rimycin 300</w:t>
            </w:r>
            <w:r w:rsidRPr="00BD76BF">
              <w:rPr>
                <w:rFonts w:ascii="Arial Narrow" w:hAnsi="Arial Narrow" w:cs="Arial"/>
                <w:sz w:val="18"/>
                <w:szCs w:val="18"/>
                <w:vertAlign w:val="superscript"/>
              </w:rPr>
              <w:t>®</w:t>
            </w:r>
          </w:p>
        </w:tc>
        <w:tc>
          <w:tcPr>
            <w:tcW w:w="1700" w:type="dxa"/>
          </w:tcPr>
          <w:p w:rsidR="00074FF2" w:rsidRPr="00BD76BF" w:rsidRDefault="00074FF2" w:rsidP="009133D8">
            <w:pPr>
              <w:keepNext/>
              <w:rPr>
                <w:rFonts w:ascii="Arial Narrow" w:hAnsi="Arial Narrow" w:cs="Arial"/>
                <w:sz w:val="18"/>
                <w:szCs w:val="18"/>
              </w:rPr>
            </w:pPr>
          </w:p>
          <w:p w:rsidR="00074FF2" w:rsidRPr="00BD76BF" w:rsidRDefault="0033344A" w:rsidP="009133D8">
            <w:pPr>
              <w:keepNext/>
              <w:rPr>
                <w:rFonts w:ascii="Arial Narrow" w:hAnsi="Arial Narrow" w:cs="Arial"/>
                <w:sz w:val="18"/>
                <w:szCs w:val="18"/>
              </w:rPr>
            </w:pPr>
            <w:r w:rsidRPr="00BD76BF">
              <w:rPr>
                <w:rFonts w:ascii="Arial Narrow" w:hAnsi="Arial Narrow" w:cs="Arial"/>
                <w:sz w:val="18"/>
                <w:szCs w:val="18"/>
              </w:rPr>
              <w:t>Alphapharm</w:t>
            </w:r>
            <w:r w:rsidR="00074FF2" w:rsidRPr="00BD76BF">
              <w:rPr>
                <w:rFonts w:ascii="Arial Narrow" w:hAnsi="Arial Narrow" w:cs="Arial"/>
                <w:sz w:val="18"/>
                <w:szCs w:val="18"/>
              </w:rPr>
              <w:t xml:space="preserve"> Pty Ltd</w:t>
            </w:r>
          </w:p>
          <w:p w:rsidR="006A2138" w:rsidRDefault="006A2138" w:rsidP="009133D8">
            <w:pPr>
              <w:keepNext/>
              <w:rPr>
                <w:rFonts w:ascii="Arial Narrow" w:hAnsi="Arial Narrow" w:cs="Arial"/>
                <w:sz w:val="18"/>
                <w:szCs w:val="18"/>
              </w:rPr>
            </w:pPr>
          </w:p>
          <w:p w:rsidR="0033344A" w:rsidRPr="00BD76BF" w:rsidRDefault="0033344A" w:rsidP="009133D8">
            <w:pPr>
              <w:keepNext/>
              <w:rPr>
                <w:rFonts w:ascii="Arial Narrow" w:hAnsi="Arial Narrow" w:cs="Arial"/>
                <w:sz w:val="18"/>
                <w:szCs w:val="18"/>
              </w:rPr>
            </w:pPr>
            <w:r w:rsidRPr="00BD76BF">
              <w:rPr>
                <w:rFonts w:ascii="Arial Narrow" w:hAnsi="Arial Narrow" w:cs="Arial"/>
                <w:sz w:val="18"/>
                <w:szCs w:val="18"/>
              </w:rPr>
              <w:t>Alphapharm Pty Ltd</w:t>
            </w:r>
          </w:p>
          <w:p w:rsidR="006A2138" w:rsidRDefault="006A2138" w:rsidP="00181523">
            <w:pPr>
              <w:keepNext/>
              <w:rPr>
                <w:rFonts w:ascii="Arial Narrow" w:hAnsi="Arial Narrow" w:cs="Arial"/>
                <w:sz w:val="18"/>
                <w:szCs w:val="18"/>
              </w:rPr>
            </w:pPr>
          </w:p>
          <w:p w:rsidR="00181523" w:rsidRPr="00BD76BF" w:rsidRDefault="00181523" w:rsidP="00181523">
            <w:pPr>
              <w:keepNext/>
              <w:rPr>
                <w:rFonts w:ascii="Arial Narrow" w:hAnsi="Arial Narrow" w:cs="Arial"/>
                <w:sz w:val="18"/>
                <w:szCs w:val="18"/>
              </w:rPr>
            </w:pPr>
            <w:r w:rsidRPr="00BD76BF">
              <w:rPr>
                <w:rFonts w:ascii="Arial Narrow" w:hAnsi="Arial Narrow" w:cs="Arial"/>
                <w:sz w:val="18"/>
                <w:szCs w:val="18"/>
              </w:rPr>
              <w:t>Alphapharm Pty Ltd</w:t>
            </w:r>
          </w:p>
          <w:p w:rsidR="006A2138" w:rsidRDefault="006A2138" w:rsidP="00181523">
            <w:pPr>
              <w:keepNext/>
              <w:rPr>
                <w:rFonts w:ascii="Arial Narrow" w:hAnsi="Arial Narrow" w:cs="Arial"/>
                <w:sz w:val="18"/>
                <w:szCs w:val="18"/>
              </w:rPr>
            </w:pPr>
          </w:p>
          <w:p w:rsidR="00181523" w:rsidRPr="00BD76BF" w:rsidRDefault="00181523" w:rsidP="00181523">
            <w:pPr>
              <w:keepNext/>
              <w:rPr>
                <w:rFonts w:ascii="Arial Narrow" w:hAnsi="Arial Narrow" w:cs="Arial"/>
                <w:sz w:val="18"/>
                <w:szCs w:val="18"/>
              </w:rPr>
            </w:pPr>
            <w:r w:rsidRPr="00BD76BF">
              <w:rPr>
                <w:rFonts w:ascii="Arial Narrow" w:hAnsi="Arial Narrow" w:cs="Arial"/>
                <w:sz w:val="18"/>
                <w:szCs w:val="18"/>
              </w:rPr>
              <w:t>Alphapharm Pty Ltd</w:t>
            </w:r>
          </w:p>
        </w:tc>
      </w:tr>
    </w:tbl>
    <w:p w:rsidR="00187377" w:rsidRPr="00BD76BF" w:rsidRDefault="00187377" w:rsidP="00187377">
      <w:pPr>
        <w:pStyle w:val="3Bodytext"/>
        <w:ind w:left="0" w:firstLine="0"/>
      </w:pPr>
    </w:p>
    <w:p w:rsidR="001E5BAE" w:rsidRPr="00BD76BF" w:rsidRDefault="001E5BAE" w:rsidP="001E5BAE">
      <w:pPr>
        <w:pStyle w:val="TableFigureHeading"/>
      </w:pPr>
      <w:r w:rsidRPr="00BD76BF">
        <w:t xml:space="preserve">Restriction Summary </w:t>
      </w:r>
      <w:r w:rsidR="006734E0" w:rsidRPr="00BD76BF">
        <w:t xml:space="preserve">NEW </w:t>
      </w:r>
      <w:r w:rsidRPr="00BD76BF">
        <w:t xml:space="preserve">/ Treatment of Concept: </w:t>
      </w:r>
      <w:r w:rsidR="006734E0" w:rsidRPr="00BD76BF">
        <w:t>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E90AA4" w:rsidRPr="00BD76BF" w:rsidTr="00BE41BC">
        <w:tc>
          <w:tcPr>
            <w:tcW w:w="5000" w:type="pct"/>
            <w:tcBorders>
              <w:top w:val="single" w:sz="4" w:space="0" w:color="auto"/>
              <w:left w:val="single" w:sz="4" w:space="0" w:color="auto"/>
              <w:bottom w:val="single" w:sz="4" w:space="0" w:color="auto"/>
              <w:right w:val="single" w:sz="4" w:space="0" w:color="auto"/>
            </w:tcBorders>
          </w:tcPr>
          <w:p w:rsidR="00E90AA4" w:rsidRPr="00BD76BF" w:rsidRDefault="00E90AA4" w:rsidP="009133D8">
            <w:pPr>
              <w:rPr>
                <w:rFonts w:ascii="Arial Narrow" w:hAnsi="Arial Narrow" w:cs="Arial"/>
                <w:sz w:val="18"/>
                <w:szCs w:val="18"/>
              </w:rPr>
            </w:pPr>
            <w:r w:rsidRPr="00BD76BF">
              <w:rPr>
                <w:rFonts w:ascii="Arial Narrow" w:hAnsi="Arial Narrow" w:cs="Arial"/>
                <w:b/>
                <w:sz w:val="18"/>
                <w:szCs w:val="18"/>
              </w:rPr>
              <w:t>Category / Program:</w:t>
            </w:r>
          </w:p>
          <w:p w:rsidR="00E90AA4" w:rsidRPr="00BD76BF" w:rsidRDefault="00E90AA4" w:rsidP="009133D8">
            <w:pPr>
              <w:rPr>
                <w:rFonts w:ascii="Arial Narrow" w:hAnsi="Arial Narrow" w:cs="Arial"/>
                <w:sz w:val="18"/>
                <w:szCs w:val="18"/>
              </w:rPr>
            </w:pPr>
            <w:r w:rsidRPr="00BD76BF">
              <w:rPr>
                <w:rFonts w:ascii="Arial Narrow" w:hAnsi="Arial Narrow" w:cs="Arial"/>
                <w:sz w:val="18"/>
                <w:szCs w:val="18"/>
              </w:rPr>
              <w:t xml:space="preserve">GENERAL – General Schedule (Code GE) </w:t>
            </w:r>
          </w:p>
        </w:tc>
      </w:tr>
      <w:tr w:rsidR="00E90AA4" w:rsidRPr="00BD76BF" w:rsidTr="00BE41BC">
        <w:trPr>
          <w:trHeight w:val="240"/>
        </w:trPr>
        <w:tc>
          <w:tcPr>
            <w:tcW w:w="5000" w:type="pct"/>
            <w:tcBorders>
              <w:top w:val="single" w:sz="4" w:space="0" w:color="auto"/>
              <w:left w:val="single" w:sz="4" w:space="0" w:color="auto"/>
              <w:bottom w:val="single" w:sz="4" w:space="0" w:color="auto"/>
              <w:right w:val="single" w:sz="4" w:space="0" w:color="auto"/>
            </w:tcBorders>
          </w:tcPr>
          <w:p w:rsidR="00E90AA4" w:rsidRPr="00BD76BF" w:rsidRDefault="00E90AA4" w:rsidP="00C25758">
            <w:pPr>
              <w:rPr>
                <w:rFonts w:ascii="Arial Narrow" w:hAnsi="Arial Narrow" w:cs="Arial"/>
                <w:b/>
                <w:sz w:val="18"/>
                <w:szCs w:val="18"/>
              </w:rPr>
            </w:pPr>
            <w:r w:rsidRPr="00BD76BF">
              <w:rPr>
                <w:rFonts w:ascii="Arial Narrow" w:hAnsi="Arial Narrow" w:cs="Arial"/>
                <w:b/>
                <w:sz w:val="18"/>
                <w:szCs w:val="18"/>
              </w:rPr>
              <w:t xml:space="preserve">Prescriber type:   </w:t>
            </w:r>
            <w:r w:rsidRPr="0062149B">
              <w:rPr>
                <w:rFonts w:ascii="Arial Narrow" w:hAnsi="Arial Narrow" w:cs="Arial"/>
                <w:sz w:val="18"/>
                <w:szCs w:val="18"/>
              </w:rPr>
              <w:fldChar w:fldCharType="begin">
                <w:ffData>
                  <w:name w:val="Check1"/>
                  <w:enabled/>
                  <w:calcOnExit w:val="0"/>
                  <w:checkBox>
                    <w:sizeAuto/>
                    <w:default w:val="0"/>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Dental</w:t>
            </w:r>
            <w:r w:rsidR="00ED0145">
              <w:rPr>
                <w:rFonts w:ascii="Arial Narrow" w:hAnsi="Arial Narrow" w:cs="Arial"/>
                <w:sz w:val="18"/>
                <w:szCs w:val="18"/>
              </w:rPr>
              <w:t xml:space="preserve"> </w:t>
            </w:r>
            <w:r w:rsidRPr="00BD76BF">
              <w:rPr>
                <w:rFonts w:ascii="Arial Narrow" w:hAnsi="Arial Narrow" w:cs="Arial"/>
                <w:sz w:val="18"/>
                <w:szCs w:val="18"/>
              </w:rPr>
              <w:t xml:space="preserve">  </w:t>
            </w:r>
            <w:r w:rsidRPr="0062149B">
              <w:rPr>
                <w:rFonts w:ascii="Arial Narrow" w:hAnsi="Arial Narrow" w:cs="Arial"/>
                <w:sz w:val="18"/>
                <w:szCs w:val="18"/>
              </w:rPr>
              <w:fldChar w:fldCharType="begin">
                <w:ffData>
                  <w:name w:val=""/>
                  <w:enabled/>
                  <w:calcOnExit w:val="0"/>
                  <w:checkBox>
                    <w:sizeAuto/>
                    <w:default w:val="1"/>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 xml:space="preserve">Medical Practitioners   </w:t>
            </w:r>
            <w:r w:rsidRPr="0062149B">
              <w:rPr>
                <w:rFonts w:ascii="Arial Narrow" w:hAnsi="Arial Narrow" w:cs="Arial"/>
                <w:sz w:val="18"/>
                <w:szCs w:val="18"/>
              </w:rPr>
              <w:fldChar w:fldCharType="begin">
                <w:ffData>
                  <w:name w:val="Check3"/>
                  <w:enabled/>
                  <w:calcOnExit w:val="0"/>
                  <w:checkBox>
                    <w:sizeAuto/>
                    <w:default w:val="1"/>
                  </w:checkBox>
                </w:ffData>
              </w:fldChar>
            </w:r>
            <w:bookmarkStart w:id="0" w:name="Check3"/>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bookmarkEnd w:id="0"/>
            <w:r w:rsidRPr="00BD76BF">
              <w:rPr>
                <w:rFonts w:ascii="Arial Narrow" w:hAnsi="Arial Narrow" w:cs="Arial"/>
                <w:sz w:val="18"/>
                <w:szCs w:val="18"/>
              </w:rPr>
              <w:t>Nurse practitioners</w:t>
            </w:r>
            <w:r w:rsidR="00ED0145">
              <w:rPr>
                <w:rFonts w:ascii="Arial Narrow" w:hAnsi="Arial Narrow" w:cs="Arial"/>
                <w:sz w:val="18"/>
                <w:szCs w:val="18"/>
              </w:rPr>
              <w:t xml:space="preserve">   </w:t>
            </w:r>
            <w:r w:rsidRPr="0062149B">
              <w:rPr>
                <w:rFonts w:ascii="Arial Narrow" w:hAnsi="Arial Narrow" w:cs="Arial"/>
                <w:sz w:val="18"/>
                <w:szCs w:val="18"/>
              </w:rPr>
              <w:fldChar w:fldCharType="begin">
                <w:ffData>
                  <w:name w:val=""/>
                  <w:enabled/>
                  <w:calcOnExit w:val="0"/>
                  <w:checkBox>
                    <w:sizeAuto/>
                    <w:default w:val="0"/>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Optometrists</w:t>
            </w:r>
            <w:r w:rsidR="00ED0145">
              <w:rPr>
                <w:rFonts w:ascii="Arial Narrow" w:hAnsi="Arial Narrow" w:cs="Arial"/>
                <w:sz w:val="18"/>
                <w:szCs w:val="18"/>
              </w:rPr>
              <w:t xml:space="preserve"> </w:t>
            </w:r>
            <w:r w:rsidRPr="00BD76BF">
              <w:rPr>
                <w:rFonts w:ascii="Arial Narrow" w:hAnsi="Arial Narrow" w:cs="Arial"/>
                <w:sz w:val="18"/>
                <w:szCs w:val="18"/>
              </w:rPr>
              <w:t xml:space="preserve">  </w:t>
            </w:r>
            <w:r w:rsidRPr="0062149B">
              <w:rPr>
                <w:rFonts w:ascii="Arial Narrow" w:hAnsi="Arial Narrow" w:cs="Arial"/>
                <w:sz w:val="18"/>
                <w:szCs w:val="18"/>
              </w:rPr>
              <w:fldChar w:fldCharType="begin">
                <w:ffData>
                  <w:name w:val="Check5"/>
                  <w:enabled/>
                  <w:calcOnExit w:val="0"/>
                  <w:checkBox>
                    <w:sizeAuto/>
                    <w:default w:val="0"/>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Midwives</w:t>
            </w:r>
          </w:p>
        </w:tc>
      </w:tr>
      <w:tr w:rsidR="00E90AA4" w:rsidRPr="00BD76BF" w:rsidTr="00BE41BC">
        <w:tc>
          <w:tcPr>
            <w:tcW w:w="5000" w:type="pct"/>
            <w:tcBorders>
              <w:top w:val="single" w:sz="4" w:space="0" w:color="auto"/>
              <w:left w:val="single" w:sz="4" w:space="0" w:color="auto"/>
              <w:bottom w:val="single" w:sz="4" w:space="0" w:color="auto"/>
              <w:right w:val="single" w:sz="4" w:space="0" w:color="auto"/>
            </w:tcBorders>
          </w:tcPr>
          <w:p w:rsidR="00E90AA4" w:rsidRPr="00BD76BF" w:rsidRDefault="00E90AA4" w:rsidP="009133D8">
            <w:pPr>
              <w:rPr>
                <w:rFonts w:ascii="Arial Narrow" w:hAnsi="Arial Narrow" w:cs="Arial"/>
                <w:b/>
                <w:sz w:val="18"/>
                <w:szCs w:val="18"/>
              </w:rPr>
            </w:pPr>
            <w:r w:rsidRPr="00BD76BF">
              <w:rPr>
                <w:rFonts w:ascii="Arial Narrow" w:hAnsi="Arial Narrow" w:cs="Arial"/>
                <w:b/>
                <w:sz w:val="18"/>
                <w:szCs w:val="18"/>
              </w:rPr>
              <w:t xml:space="preserve">Restriction </w:t>
            </w:r>
            <w:r>
              <w:rPr>
                <w:rFonts w:ascii="Arial Narrow" w:hAnsi="Arial Narrow" w:cs="Arial"/>
                <w:b/>
                <w:sz w:val="18"/>
                <w:szCs w:val="18"/>
              </w:rPr>
              <w:t>Type</w:t>
            </w:r>
            <w:r w:rsidRPr="00BD76BF">
              <w:rPr>
                <w:rFonts w:ascii="Arial Narrow" w:hAnsi="Arial Narrow" w:cs="Arial"/>
                <w:b/>
                <w:sz w:val="18"/>
                <w:szCs w:val="18"/>
              </w:rPr>
              <w:t xml:space="preserve"> / Method:</w:t>
            </w:r>
          </w:p>
          <w:p w:rsidR="00E90AA4" w:rsidRPr="00BD76BF" w:rsidRDefault="00E90AA4" w:rsidP="009133D8">
            <w:pPr>
              <w:rPr>
                <w:rFonts w:ascii="Arial Narrow" w:hAnsi="Arial Narrow" w:cs="Arial"/>
                <w:sz w:val="18"/>
                <w:szCs w:val="18"/>
              </w:rPr>
            </w:pPr>
            <w:r w:rsidRPr="0062149B">
              <w:rPr>
                <w:rFonts w:ascii="Arial Narrow" w:hAnsi="Arial Narrow" w:cs="Arial"/>
                <w:sz w:val="18"/>
                <w:szCs w:val="18"/>
              </w:rPr>
              <w:fldChar w:fldCharType="begin">
                <w:ffData>
                  <w:name w:val="Check1"/>
                  <w:enabled/>
                  <w:calcOnExit w:val="0"/>
                  <w:checkBox>
                    <w:sizeAuto/>
                    <w:default w:val="0"/>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Unrestricted benefit</w:t>
            </w:r>
          </w:p>
          <w:p w:rsidR="00E90AA4" w:rsidRPr="00BD76BF" w:rsidRDefault="00E90AA4" w:rsidP="009133D8">
            <w:pPr>
              <w:rPr>
                <w:rFonts w:ascii="Arial Narrow" w:hAnsi="Arial Narrow" w:cs="Arial"/>
                <w:sz w:val="18"/>
                <w:szCs w:val="18"/>
              </w:rPr>
            </w:pPr>
            <w:r w:rsidRPr="0062149B">
              <w:rPr>
                <w:rFonts w:ascii="Arial Narrow" w:hAnsi="Arial Narrow" w:cs="Arial"/>
                <w:sz w:val="18"/>
                <w:szCs w:val="18"/>
              </w:rPr>
              <w:fldChar w:fldCharType="begin">
                <w:ffData>
                  <w:name w:val="Check1"/>
                  <w:enabled/>
                  <w:calcOnExit w:val="0"/>
                  <w:checkBox>
                    <w:sizeAuto/>
                    <w:default w:val="0"/>
                  </w:checkBox>
                </w:ffData>
              </w:fldChar>
            </w:r>
            <w:r w:rsidRPr="00BD76BF">
              <w:rPr>
                <w:rFonts w:ascii="Arial Narrow" w:hAnsi="Arial Narrow" w:cs="Arial"/>
                <w:sz w:val="18"/>
                <w:szCs w:val="18"/>
              </w:rPr>
              <w:instrText xml:space="preserve"> </w:instrText>
            </w:r>
            <w:bookmarkStart w:id="1" w:name="Check1"/>
            <w:r w:rsidRPr="00BD76BF">
              <w:rPr>
                <w:rFonts w:ascii="Arial Narrow" w:hAnsi="Arial Narrow" w:cs="Arial"/>
                <w:sz w:val="18"/>
                <w:szCs w:val="18"/>
              </w:rPr>
              <w:instrText xml:space="preserve">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bookmarkEnd w:id="1"/>
            <w:r w:rsidRPr="00BD76BF">
              <w:rPr>
                <w:rFonts w:ascii="Arial Narrow" w:hAnsi="Arial Narrow" w:cs="Arial"/>
                <w:sz w:val="18"/>
                <w:szCs w:val="18"/>
              </w:rPr>
              <w:t>Restricted benefit</w:t>
            </w:r>
          </w:p>
          <w:p w:rsidR="00E90AA4" w:rsidRPr="00BD76BF" w:rsidRDefault="00E90AA4" w:rsidP="009133D8">
            <w:pPr>
              <w:rPr>
                <w:rFonts w:ascii="Arial Narrow" w:hAnsi="Arial Narrow" w:cs="Arial"/>
                <w:sz w:val="18"/>
                <w:szCs w:val="18"/>
              </w:rPr>
            </w:pPr>
            <w:r w:rsidRPr="0062149B">
              <w:rPr>
                <w:rFonts w:ascii="Arial Narrow" w:hAnsi="Arial Narrow" w:cs="Arial"/>
                <w:sz w:val="18"/>
                <w:szCs w:val="18"/>
              </w:rPr>
              <w:fldChar w:fldCharType="begin">
                <w:ffData>
                  <w:name w:val=""/>
                  <w:enabled/>
                  <w:calcOnExit w:val="0"/>
                  <w:checkBox>
                    <w:sizeAuto/>
                    <w:default w:val="0"/>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Authority Required – In Writing</w:t>
            </w:r>
          </w:p>
          <w:p w:rsidR="00E90AA4" w:rsidRPr="00BD76BF" w:rsidRDefault="00E90AA4" w:rsidP="009133D8">
            <w:pPr>
              <w:rPr>
                <w:rFonts w:ascii="Arial Narrow" w:hAnsi="Arial Narrow" w:cs="Arial"/>
                <w:sz w:val="18"/>
                <w:szCs w:val="18"/>
              </w:rPr>
            </w:pPr>
            <w:r w:rsidRPr="0062149B">
              <w:rPr>
                <w:rFonts w:ascii="Arial Narrow" w:hAnsi="Arial Narrow" w:cs="Arial"/>
                <w:sz w:val="18"/>
                <w:szCs w:val="18"/>
              </w:rPr>
              <w:fldChar w:fldCharType="begin">
                <w:ffData>
                  <w:name w:val=""/>
                  <w:enabled/>
                  <w:calcOnExit w:val="0"/>
                  <w:checkBox>
                    <w:sizeAuto/>
                    <w:default w:val="1"/>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Authority Required – Telephone/Electronic/Emergency</w:t>
            </w:r>
          </w:p>
          <w:p w:rsidR="00E90AA4" w:rsidRPr="00BD76BF" w:rsidRDefault="00E90AA4" w:rsidP="009133D8">
            <w:pPr>
              <w:rPr>
                <w:rFonts w:ascii="Arial Narrow" w:hAnsi="Arial Narrow" w:cs="Arial"/>
                <w:sz w:val="18"/>
                <w:szCs w:val="18"/>
              </w:rPr>
            </w:pPr>
            <w:r w:rsidRPr="0062149B">
              <w:rPr>
                <w:rFonts w:ascii="Arial Narrow" w:hAnsi="Arial Narrow" w:cs="Arial"/>
                <w:sz w:val="18"/>
                <w:szCs w:val="18"/>
              </w:rPr>
              <w:fldChar w:fldCharType="begin">
                <w:ffData>
                  <w:name w:val=""/>
                  <w:enabled/>
                  <w:calcOnExit w:val="0"/>
                  <w:checkBox>
                    <w:sizeAuto/>
                    <w:default w:val="0"/>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Authority Required - Streamlined</w:t>
            </w:r>
          </w:p>
        </w:tc>
      </w:tr>
      <w:tr w:rsidR="00E90AA4" w:rsidRPr="00BD76BF" w:rsidTr="00BE41BC">
        <w:tc>
          <w:tcPr>
            <w:tcW w:w="5000" w:type="pct"/>
            <w:vAlign w:val="center"/>
            <w:hideMark/>
          </w:tcPr>
          <w:p w:rsidR="00E90AA4" w:rsidRPr="00BD76BF" w:rsidRDefault="00E90AA4" w:rsidP="00C25758">
            <w:pPr>
              <w:rPr>
                <w:rFonts w:ascii="Arial Narrow" w:hAnsi="Arial Narrow"/>
                <w:color w:val="333333"/>
                <w:sz w:val="18"/>
                <w:szCs w:val="18"/>
              </w:rPr>
            </w:pPr>
            <w:r w:rsidRPr="00BD76BF">
              <w:rPr>
                <w:rFonts w:ascii="Arial Narrow" w:hAnsi="Arial Narrow"/>
                <w:b/>
                <w:bCs/>
                <w:color w:val="333333"/>
                <w:sz w:val="18"/>
                <w:szCs w:val="18"/>
              </w:rPr>
              <w:t xml:space="preserve">Indication: </w:t>
            </w:r>
            <w:r w:rsidRPr="00BD76BF">
              <w:rPr>
                <w:rFonts w:ascii="Arial Narrow" w:hAnsi="Arial Narrow"/>
                <w:bCs/>
                <w:color w:val="333333"/>
                <w:sz w:val="18"/>
                <w:szCs w:val="18"/>
              </w:rPr>
              <w:t>Mycobacterium ulcerans infections (Buruli ulcer)</w:t>
            </w:r>
          </w:p>
        </w:tc>
      </w:tr>
      <w:tr w:rsidR="00E90AA4" w:rsidRPr="00BD76BF" w:rsidTr="00BE41BC">
        <w:tc>
          <w:tcPr>
            <w:tcW w:w="5000" w:type="pct"/>
            <w:vAlign w:val="center"/>
          </w:tcPr>
          <w:p w:rsidR="00E90AA4" w:rsidRPr="00BD76BF" w:rsidRDefault="00E90AA4" w:rsidP="00C25758">
            <w:pPr>
              <w:rPr>
                <w:rFonts w:ascii="Arial Narrow" w:hAnsi="Arial Narrow"/>
                <w:b/>
                <w:bCs/>
                <w:color w:val="333333"/>
                <w:sz w:val="18"/>
                <w:szCs w:val="18"/>
              </w:rPr>
            </w:pPr>
            <w:r w:rsidRPr="00BD76BF">
              <w:rPr>
                <w:rFonts w:ascii="Arial Narrow" w:hAnsi="Arial Narrow"/>
                <w:b/>
                <w:bCs/>
                <w:color w:val="333333"/>
                <w:sz w:val="18"/>
                <w:szCs w:val="18"/>
              </w:rPr>
              <w:t xml:space="preserve">Clinical criteria: </w:t>
            </w:r>
            <w:r w:rsidRPr="00BD76BF">
              <w:rPr>
                <w:rFonts w:ascii="Arial Narrow" w:hAnsi="Arial Narrow"/>
                <w:bCs/>
                <w:color w:val="333333"/>
                <w:sz w:val="18"/>
                <w:szCs w:val="18"/>
              </w:rPr>
              <w:t>Treatment must be used in combination with another antibiotic for the treatment of Buruli ulcer.</w:t>
            </w:r>
          </w:p>
        </w:tc>
      </w:tr>
    </w:tbl>
    <w:p w:rsidR="009F3102" w:rsidRPr="00BD76BF" w:rsidRDefault="009F3102" w:rsidP="009F3102">
      <w:pPr>
        <w:pStyle w:val="2-SectionHeading"/>
      </w:pPr>
      <w:r w:rsidRPr="00BD76BF">
        <w:t>Consideration of evidence</w:t>
      </w:r>
    </w:p>
    <w:p w:rsidR="00AF5789" w:rsidRPr="00BD76BF" w:rsidRDefault="00AF5789" w:rsidP="00AF5789">
      <w:pPr>
        <w:pStyle w:val="Heading2"/>
        <w:keepLines/>
        <w:spacing w:before="240"/>
        <w:rPr>
          <w:szCs w:val="28"/>
        </w:rPr>
      </w:pPr>
      <w:r w:rsidRPr="00BD76BF">
        <w:rPr>
          <w:szCs w:val="28"/>
        </w:rPr>
        <w:t>Sponsor hearing</w:t>
      </w:r>
    </w:p>
    <w:p w:rsidR="00AF5789" w:rsidRPr="00BD76BF" w:rsidRDefault="00AF5789" w:rsidP="00AF5789">
      <w:pPr>
        <w:pStyle w:val="3-BodyText"/>
        <w:numPr>
          <w:ilvl w:val="1"/>
          <w:numId w:val="2"/>
        </w:numPr>
      </w:pPr>
      <w:r w:rsidRPr="00BD76BF">
        <w:rPr>
          <w:rFonts w:cs="Arial"/>
          <w:bCs/>
          <w:snapToGrid w:val="0"/>
        </w:rPr>
        <w:t>There was no hearing for this item as it was a minor submission.</w:t>
      </w:r>
    </w:p>
    <w:p w:rsidR="00AF5789" w:rsidRPr="00BD76BF" w:rsidRDefault="00AF5789" w:rsidP="00AF5789">
      <w:pPr>
        <w:pStyle w:val="Heading2"/>
        <w:keepLines/>
        <w:spacing w:before="240"/>
        <w:rPr>
          <w:szCs w:val="28"/>
        </w:rPr>
      </w:pPr>
      <w:r w:rsidRPr="00BD76BF">
        <w:rPr>
          <w:szCs w:val="28"/>
        </w:rPr>
        <w:t>Consumer comments</w:t>
      </w:r>
    </w:p>
    <w:p w:rsidR="00AF5789" w:rsidRPr="00BD76BF" w:rsidRDefault="00AF5789" w:rsidP="00AF5789">
      <w:pPr>
        <w:pStyle w:val="3-BodyText"/>
        <w:numPr>
          <w:ilvl w:val="1"/>
          <w:numId w:val="2"/>
        </w:numPr>
      </w:pPr>
      <w:r w:rsidRPr="00BD76BF">
        <w:rPr>
          <w:rFonts w:cs="Arial"/>
          <w:bCs/>
          <w:snapToGrid w:val="0"/>
        </w:rPr>
        <w:t>The PBAC noted that no consumer comments were received for this item</w:t>
      </w:r>
      <w:r w:rsidR="007D5155" w:rsidRPr="00BD76BF">
        <w:rPr>
          <w:rFonts w:cs="Arial"/>
          <w:bCs/>
          <w:snapToGrid w:val="0"/>
        </w:rPr>
        <w:t>.</w:t>
      </w:r>
    </w:p>
    <w:p w:rsidR="005A7C78" w:rsidRPr="00BD76BF" w:rsidRDefault="005A7C78" w:rsidP="005A7C78">
      <w:pPr>
        <w:pStyle w:val="Heading2"/>
        <w:keepLines/>
        <w:spacing w:before="240"/>
        <w:rPr>
          <w:szCs w:val="28"/>
        </w:rPr>
      </w:pPr>
      <w:r w:rsidRPr="00BD76BF">
        <w:rPr>
          <w:szCs w:val="28"/>
        </w:rPr>
        <w:t xml:space="preserve">Clinical </w:t>
      </w:r>
      <w:r w:rsidR="00CE3739" w:rsidRPr="00BD76BF">
        <w:rPr>
          <w:szCs w:val="28"/>
        </w:rPr>
        <w:t>evidence</w:t>
      </w:r>
    </w:p>
    <w:p w:rsidR="005A7C78" w:rsidRPr="00BD76BF" w:rsidRDefault="005A7C78" w:rsidP="00CE3739">
      <w:pPr>
        <w:pStyle w:val="3-BodyText"/>
      </w:pPr>
      <w:r w:rsidRPr="00BD76BF">
        <w:t>Th</w:t>
      </w:r>
      <w:r w:rsidR="00995A1E" w:rsidRPr="00BD76BF">
        <w:t>e</w:t>
      </w:r>
      <w:r w:rsidRPr="00BD76BF">
        <w:t xml:space="preserve"> minor submission</w:t>
      </w:r>
      <w:r w:rsidR="00995A1E" w:rsidRPr="00BD76BF">
        <w:t xml:space="preserve"> </w:t>
      </w:r>
      <w:r w:rsidR="00CE3739" w:rsidRPr="00BD76BF">
        <w:t>presented a Clinical Review that was written by an infectious diseases physician. The report</w:t>
      </w:r>
      <w:r w:rsidR="004F3F74" w:rsidRPr="00BD76BF">
        <w:t xml:space="preserve"> </w:t>
      </w:r>
      <w:r w:rsidR="00D93110" w:rsidRPr="00BD76BF">
        <w:t>was completed</w:t>
      </w:r>
      <w:r w:rsidR="00CE3739" w:rsidRPr="00BD76BF">
        <w:t xml:space="preserve"> on 29 October 2019 and provided to Alphapharm Pty Ltd to facilitate that sponsor’s development of a submission to the </w:t>
      </w:r>
      <w:r w:rsidR="00A62420" w:rsidRPr="00BD76BF">
        <w:t>TGA</w:t>
      </w:r>
      <w:r w:rsidR="00CE3739" w:rsidRPr="00BD76BF">
        <w:t xml:space="preserve"> to extend the indication of </w:t>
      </w:r>
      <w:r w:rsidR="00415E63" w:rsidRPr="00BD76BF">
        <w:t xml:space="preserve">rifampicin </w:t>
      </w:r>
      <w:r w:rsidR="00CE3739" w:rsidRPr="00BD76BF">
        <w:t>to include treatment of patients with Buruli ulcer.</w:t>
      </w:r>
    </w:p>
    <w:p w:rsidR="006D3954" w:rsidRPr="00BD76BF" w:rsidRDefault="006D3954" w:rsidP="00886937">
      <w:pPr>
        <w:pStyle w:val="3-BodyText"/>
      </w:pPr>
      <w:r w:rsidRPr="00BD76BF">
        <w:t>The report conclude</w:t>
      </w:r>
      <w:r w:rsidR="00255C84" w:rsidRPr="00BD76BF">
        <w:t>d</w:t>
      </w:r>
      <w:r w:rsidRPr="00BD76BF">
        <w:t xml:space="preserve"> that the efficacy and safety profile of rifampicin for Buruli ulcer is favourable. The clinical reviewer recommended</w:t>
      </w:r>
      <w:r w:rsidR="007B68A5" w:rsidRPr="00BD76BF">
        <w:t xml:space="preserve"> that the TGA indication of rifampicin should be extended to include Buruli ulcer and that the treatment be</w:t>
      </w:r>
      <w:r w:rsidRPr="00BD76BF">
        <w:t xml:space="preserve"> rifampicin 10</w:t>
      </w:r>
      <w:r w:rsidR="00415E63" w:rsidRPr="00BD76BF">
        <w:t xml:space="preserve"> </w:t>
      </w:r>
      <w:r w:rsidRPr="00BD76BF">
        <w:t>mg/kg/day to a maximum of 600</w:t>
      </w:r>
      <w:r w:rsidR="00415E63" w:rsidRPr="00BD76BF">
        <w:t xml:space="preserve"> </w:t>
      </w:r>
      <w:r w:rsidRPr="00BD76BF">
        <w:t>mg/day plus a second oral agent  consisting of:</w:t>
      </w:r>
    </w:p>
    <w:p w:rsidR="006D3954" w:rsidRPr="00BD76BF" w:rsidRDefault="006D3954" w:rsidP="006A2138">
      <w:pPr>
        <w:pStyle w:val="ListParagraph"/>
        <w:ind w:left="1077" w:hanging="357"/>
      </w:pPr>
      <w:r w:rsidRPr="00BD76BF">
        <w:t>clarithromycin 7.5</w:t>
      </w:r>
      <w:r w:rsidR="00415E63" w:rsidRPr="00BD76BF">
        <w:t xml:space="preserve"> </w:t>
      </w:r>
      <w:r w:rsidRPr="00BD76BF">
        <w:t>mg/kg twice a day – up to 500</w:t>
      </w:r>
      <w:r w:rsidR="00415E63" w:rsidRPr="00BD76BF">
        <w:t xml:space="preserve"> </w:t>
      </w:r>
      <w:r w:rsidRPr="00BD76BF">
        <w:t>mg per dose i.e. maximum of 1000</w:t>
      </w:r>
      <w:r w:rsidR="00415E63" w:rsidRPr="00BD76BF">
        <w:t xml:space="preserve"> </w:t>
      </w:r>
      <w:r w:rsidRPr="00BD76BF">
        <w:t>mg/day</w:t>
      </w:r>
      <w:r w:rsidR="00255C84" w:rsidRPr="00BD76BF">
        <w:t>;</w:t>
      </w:r>
      <w:r w:rsidRPr="00BD76BF">
        <w:t xml:space="preserve"> or</w:t>
      </w:r>
    </w:p>
    <w:p w:rsidR="006D3954" w:rsidRPr="00BD76BF" w:rsidRDefault="006D3954" w:rsidP="006A2138">
      <w:pPr>
        <w:pStyle w:val="ListParagraph"/>
        <w:ind w:left="1077" w:hanging="357"/>
      </w:pPr>
      <w:r w:rsidRPr="00BD76BF">
        <w:t>moxifloxacin 400</w:t>
      </w:r>
      <w:r w:rsidR="00415E63" w:rsidRPr="00BD76BF">
        <w:t xml:space="preserve"> </w:t>
      </w:r>
      <w:r w:rsidRPr="00BD76BF">
        <w:t>mg four times a day (adults only)</w:t>
      </w:r>
      <w:r w:rsidR="00255C84" w:rsidRPr="00BD76BF">
        <w:t>;</w:t>
      </w:r>
      <w:r w:rsidRPr="00BD76BF">
        <w:t xml:space="preserve"> or</w:t>
      </w:r>
    </w:p>
    <w:p w:rsidR="006D3954" w:rsidRPr="00BD76BF" w:rsidRDefault="006D3954" w:rsidP="006A2138">
      <w:pPr>
        <w:pStyle w:val="ListParagraph"/>
        <w:ind w:left="1077" w:hanging="357"/>
      </w:pPr>
      <w:r w:rsidRPr="00BD76BF">
        <w:t>ciprofloxacin 500</w:t>
      </w:r>
      <w:r w:rsidR="00415E63" w:rsidRPr="00BD76BF">
        <w:t xml:space="preserve"> </w:t>
      </w:r>
      <w:r w:rsidRPr="00BD76BF">
        <w:t>mg twice a day (adults only).</w:t>
      </w:r>
    </w:p>
    <w:p w:rsidR="004F3F74" w:rsidRPr="00BD76BF" w:rsidRDefault="004F3F74" w:rsidP="006D3954">
      <w:pPr>
        <w:pStyle w:val="3-BodyText"/>
      </w:pPr>
      <w:r w:rsidRPr="00BD76BF">
        <w:lastRenderedPageBreak/>
        <w:t>Clarithromycin has Unrestricted PBS listings. Ciprofloxacin is listed on the PBS but is not able to be used for Buruli ulcer, and moxifloxacin is not PBS listed.</w:t>
      </w:r>
    </w:p>
    <w:p w:rsidR="00CE3739" w:rsidRPr="00BD76BF" w:rsidRDefault="006D3954" w:rsidP="006D3954">
      <w:pPr>
        <w:pStyle w:val="3-BodyText"/>
      </w:pPr>
      <w:r w:rsidRPr="00BD76BF">
        <w:t>The clinical reviewer recommend</w:t>
      </w:r>
      <w:r w:rsidR="00415E63" w:rsidRPr="00BD76BF">
        <w:t>ed</w:t>
      </w:r>
      <w:r w:rsidRPr="00BD76BF">
        <w:t xml:space="preserve"> the usual treatment duration of 8 weeks, but </w:t>
      </w:r>
      <w:r w:rsidR="00415E63" w:rsidRPr="00BD76BF">
        <w:t xml:space="preserve">noted that </w:t>
      </w:r>
      <w:r w:rsidRPr="00BD76BF">
        <w:t>longer courses may be needed for more complicated</w:t>
      </w:r>
      <w:r w:rsidR="00415E63" w:rsidRPr="00BD76BF">
        <w:t xml:space="preserve"> cases of</w:t>
      </w:r>
      <w:r w:rsidR="0022520B" w:rsidRPr="00BD76BF">
        <w:t xml:space="preserve"> Buruli ulcer</w:t>
      </w:r>
      <w:r w:rsidRPr="00BD76BF">
        <w:t xml:space="preserve">, including </w:t>
      </w:r>
      <w:r w:rsidR="00415E63" w:rsidRPr="00BD76BF">
        <w:t xml:space="preserve">those with </w:t>
      </w:r>
      <w:r w:rsidRPr="00BD76BF">
        <w:t>related osteomyelitis.</w:t>
      </w:r>
    </w:p>
    <w:p w:rsidR="009F3102" w:rsidRPr="00BD76BF" w:rsidRDefault="00CE3739" w:rsidP="005A7C78">
      <w:pPr>
        <w:pStyle w:val="Heading2"/>
      </w:pPr>
      <w:r w:rsidRPr="00BD76BF">
        <w:t>Drug</w:t>
      </w:r>
      <w:r w:rsidR="005A7C78" w:rsidRPr="00BD76BF">
        <w:t xml:space="preserve"> cost/patient/</w:t>
      </w:r>
      <w:r w:rsidR="00C56017" w:rsidRPr="00BD76BF">
        <w:t>course</w:t>
      </w:r>
      <w:r w:rsidR="005A7C78" w:rsidRPr="00BD76BF">
        <w:t>: $</w:t>
      </w:r>
      <w:r w:rsidR="008C5C7C" w:rsidRPr="00BD76BF">
        <w:t>262</w:t>
      </w:r>
      <w:r w:rsidR="00C56017" w:rsidRPr="00BD76BF">
        <w:t>.</w:t>
      </w:r>
      <w:r w:rsidR="008C5C7C" w:rsidRPr="00BD76BF">
        <w:t>92</w:t>
      </w:r>
    </w:p>
    <w:p w:rsidR="00211A55" w:rsidRPr="00BD76BF" w:rsidRDefault="00C56017" w:rsidP="00886937">
      <w:pPr>
        <w:pStyle w:val="3-BodyText"/>
      </w:pPr>
      <w:r w:rsidRPr="00BD76BF">
        <w:t xml:space="preserve">The above calculation </w:t>
      </w:r>
      <w:r w:rsidR="004F7DB6" w:rsidRPr="00BD76BF">
        <w:t>assumed a</w:t>
      </w:r>
      <w:r w:rsidRPr="00BD76BF">
        <w:t xml:space="preserve"> max</w:t>
      </w:r>
      <w:r w:rsidR="00D2681B" w:rsidRPr="00BD76BF">
        <w:t>imum</w:t>
      </w:r>
      <w:r w:rsidRPr="00BD76BF">
        <w:t xml:space="preserve"> dose of 600 mg/day and a DPMQ of $</w:t>
      </w:r>
      <w:r w:rsidR="008C5C7C" w:rsidRPr="00BD76BF">
        <w:t xml:space="preserve">21.91 </w:t>
      </w:r>
      <w:r w:rsidRPr="00BD76BF">
        <w:t xml:space="preserve">for 10 </w:t>
      </w:r>
      <w:r w:rsidR="00AB7ADB" w:rsidRPr="00BD76BF">
        <w:t xml:space="preserve">capsules of </w:t>
      </w:r>
      <w:r w:rsidR="008F548E" w:rsidRPr="00BD76BF">
        <w:t>rifampicin 300 mg</w:t>
      </w:r>
      <w:r w:rsidR="00AB7ADB" w:rsidRPr="00BD76BF">
        <w:t>, for a course of 8 week</w:t>
      </w:r>
      <w:r w:rsidR="00303F72" w:rsidRPr="00BD76BF">
        <w:t>s</w:t>
      </w:r>
      <w:r w:rsidR="00AB7ADB" w:rsidRPr="00BD76BF">
        <w:t xml:space="preserve"> i.e. a total of </w:t>
      </w:r>
      <w:r w:rsidR="008C5C7C" w:rsidRPr="00BD76BF">
        <w:t xml:space="preserve">112 </w:t>
      </w:r>
      <w:r w:rsidR="00AB7ADB" w:rsidRPr="00BD76BF">
        <w:t>capsules (</w:t>
      </w:r>
      <w:r w:rsidR="00303F72" w:rsidRPr="00BD76BF">
        <w:t xml:space="preserve">for which </w:t>
      </w:r>
      <w:r w:rsidR="008C5C7C" w:rsidRPr="00BD76BF">
        <w:t>1</w:t>
      </w:r>
      <w:r w:rsidR="00AB7ADB" w:rsidRPr="00BD76BF">
        <w:t>2 packs</w:t>
      </w:r>
      <w:r w:rsidR="00303F72" w:rsidRPr="00BD76BF">
        <w:t xml:space="preserve"> would be required</w:t>
      </w:r>
      <w:r w:rsidR="00AB7ADB" w:rsidRPr="00BD76BF">
        <w:t>)</w:t>
      </w:r>
      <w:r w:rsidR="00303F72" w:rsidRPr="00BD76BF">
        <w:t xml:space="preserve">. However, the actual cost may differ in practice </w:t>
      </w:r>
      <w:r w:rsidR="005A7C78" w:rsidRPr="00BD76BF">
        <w:t xml:space="preserve">due to </w:t>
      </w:r>
      <w:r w:rsidR="00303F72" w:rsidRPr="00BD76BF">
        <w:t xml:space="preserve">weight-based dosing and other </w:t>
      </w:r>
      <w:r w:rsidR="005A7C78" w:rsidRPr="00BD76BF">
        <w:t>variations in individual patient needs.</w:t>
      </w:r>
      <w:r w:rsidR="008C5C7C" w:rsidRPr="00BD76BF">
        <w:t xml:space="preserve"> </w:t>
      </w:r>
      <w:r w:rsidR="00C53A44" w:rsidRPr="00BD76BF">
        <w:t xml:space="preserve">For example, for a child requiring </w:t>
      </w:r>
      <w:r w:rsidR="008C5C7C" w:rsidRPr="00BD76BF">
        <w:t>a 450 mg/day dose</w:t>
      </w:r>
      <w:r w:rsidR="006D65E1" w:rsidRPr="00BD76BF">
        <w:t>, the child would require</w:t>
      </w:r>
      <w:r w:rsidR="008C5C7C" w:rsidRPr="00BD76BF">
        <w:t xml:space="preserve"> </w:t>
      </w:r>
      <w:r w:rsidR="0018551A" w:rsidRPr="00BD76BF">
        <w:t>6 packs each</w:t>
      </w:r>
      <w:r w:rsidR="008C5C7C" w:rsidRPr="00BD76BF">
        <w:t xml:space="preserve"> of the 150 mg and 300 mg 10 capsule packs, </w:t>
      </w:r>
      <w:r w:rsidR="006D65E1" w:rsidRPr="00BD76BF">
        <w:t xml:space="preserve">and </w:t>
      </w:r>
      <w:r w:rsidR="008C5C7C" w:rsidRPr="00BD76BF">
        <w:t>the treatment w</w:t>
      </w:r>
      <w:r w:rsidR="0018551A" w:rsidRPr="00BD76BF">
        <w:t>ould</w:t>
      </w:r>
      <w:r w:rsidR="008C5C7C" w:rsidRPr="00BD76BF">
        <w:t xml:space="preserve"> cost $675.</w:t>
      </w:r>
    </w:p>
    <w:p w:rsidR="00487921" w:rsidRPr="00BD76BF" w:rsidRDefault="00487921" w:rsidP="00487921">
      <w:pPr>
        <w:pStyle w:val="Heading2"/>
        <w:keepLines/>
        <w:spacing w:before="240"/>
        <w:rPr>
          <w:szCs w:val="28"/>
        </w:rPr>
      </w:pPr>
      <w:r w:rsidRPr="00BD76BF">
        <w:rPr>
          <w:szCs w:val="28"/>
        </w:rPr>
        <w:t>Estimated PBS usage &amp; financial implications</w:t>
      </w:r>
    </w:p>
    <w:p w:rsidR="00F33725" w:rsidRPr="00BD76BF" w:rsidRDefault="00487921" w:rsidP="00886937">
      <w:pPr>
        <w:pStyle w:val="ListParagraph"/>
        <w:numPr>
          <w:ilvl w:val="1"/>
          <w:numId w:val="2"/>
        </w:numPr>
        <w:jc w:val="both"/>
        <w:rPr>
          <w:rFonts w:eastAsiaTheme="minorHAnsi"/>
        </w:rPr>
      </w:pPr>
      <w:r w:rsidRPr="00BD76BF">
        <w:rPr>
          <w:rFonts w:eastAsiaTheme="minorHAnsi" w:cstheme="minorBidi"/>
          <w:snapToGrid/>
          <w:szCs w:val="22"/>
        </w:rPr>
        <w:t xml:space="preserve">The </w:t>
      </w:r>
      <w:r w:rsidR="00FE4398" w:rsidRPr="00BD76BF">
        <w:rPr>
          <w:rFonts w:eastAsiaTheme="minorHAnsi" w:cstheme="minorBidi"/>
          <w:snapToGrid/>
          <w:szCs w:val="22"/>
        </w:rPr>
        <w:t xml:space="preserve">minor </w:t>
      </w:r>
      <w:r w:rsidRPr="00BD76BF">
        <w:rPr>
          <w:rFonts w:eastAsiaTheme="minorHAnsi" w:cstheme="minorBidi"/>
          <w:snapToGrid/>
          <w:szCs w:val="22"/>
        </w:rPr>
        <w:t>submission</w:t>
      </w:r>
      <w:r w:rsidR="00FE4398" w:rsidRPr="00BD76BF">
        <w:rPr>
          <w:rFonts w:eastAsiaTheme="minorHAnsi" w:cstheme="minorBidi"/>
          <w:snapToGrid/>
          <w:szCs w:val="22"/>
        </w:rPr>
        <w:t xml:space="preserve"> requested that there be no change to the current pricing structure of the product. </w:t>
      </w:r>
      <w:r w:rsidR="008F548E" w:rsidRPr="00BD76BF">
        <w:t>T</w:t>
      </w:r>
      <w:r w:rsidR="00F33725" w:rsidRPr="00BD76BF">
        <w:t xml:space="preserve">he AEMP of </w:t>
      </w:r>
      <w:r w:rsidR="008F548E" w:rsidRPr="00BD76BF">
        <w:t>rifampicin 150 mg</w:t>
      </w:r>
      <w:r w:rsidR="00F33725" w:rsidRPr="00BD76BF">
        <w:t xml:space="preserve"> is $21.26 </w:t>
      </w:r>
      <w:r w:rsidR="008F548E" w:rsidRPr="00BD76BF">
        <w:t xml:space="preserve">and </w:t>
      </w:r>
      <w:r w:rsidR="00F33725" w:rsidRPr="00BD76BF">
        <w:t xml:space="preserve">the AEMP </w:t>
      </w:r>
      <w:r w:rsidR="0000598C" w:rsidRPr="00BD76BF">
        <w:t>f</w:t>
      </w:r>
      <w:r w:rsidR="00F33725" w:rsidRPr="00BD76BF">
        <w:t xml:space="preserve">or </w:t>
      </w:r>
      <w:r w:rsidR="008F548E" w:rsidRPr="00BD76BF">
        <w:t xml:space="preserve">rifampicin </w:t>
      </w:r>
      <w:r w:rsidR="00F33725" w:rsidRPr="00BD76BF">
        <w:t>300</w:t>
      </w:r>
      <w:r w:rsidR="008F548E" w:rsidRPr="00BD76BF">
        <w:t xml:space="preserve"> mg</w:t>
      </w:r>
      <w:r w:rsidR="00F33725" w:rsidRPr="00BD76BF">
        <w:t xml:space="preserve"> is $9.70.</w:t>
      </w:r>
    </w:p>
    <w:p w:rsidR="003A6159" w:rsidRPr="00BD76BF" w:rsidRDefault="003A6159" w:rsidP="00487921">
      <w:pPr>
        <w:pStyle w:val="ListParagraph"/>
        <w:numPr>
          <w:ilvl w:val="1"/>
          <w:numId w:val="2"/>
        </w:numPr>
        <w:jc w:val="both"/>
        <w:rPr>
          <w:rFonts w:eastAsiaTheme="minorHAnsi" w:cstheme="minorBidi"/>
          <w:snapToGrid/>
          <w:szCs w:val="22"/>
        </w:rPr>
      </w:pPr>
      <w:r w:rsidRPr="00BD76BF">
        <w:rPr>
          <w:rFonts w:eastAsiaTheme="minorHAnsi" w:cstheme="minorBidi"/>
          <w:snapToGrid/>
          <w:szCs w:val="22"/>
        </w:rPr>
        <w:t xml:space="preserve">The minor submission </w:t>
      </w:r>
      <w:r w:rsidR="003B7721" w:rsidRPr="00BD76BF">
        <w:rPr>
          <w:rFonts w:eastAsiaTheme="minorHAnsi" w:cstheme="minorBidi"/>
          <w:snapToGrid/>
          <w:szCs w:val="22"/>
        </w:rPr>
        <w:t xml:space="preserve">did not provide any </w:t>
      </w:r>
      <w:r w:rsidR="00B44E06" w:rsidRPr="00BD76BF">
        <w:rPr>
          <w:rFonts w:eastAsiaTheme="minorHAnsi" w:cstheme="minorBidi"/>
          <w:snapToGrid/>
          <w:szCs w:val="22"/>
        </w:rPr>
        <w:t xml:space="preserve">estimates of PBS usage or </w:t>
      </w:r>
      <w:r w:rsidR="003B7721" w:rsidRPr="00BD76BF">
        <w:rPr>
          <w:rFonts w:eastAsiaTheme="minorHAnsi" w:cstheme="minorBidi"/>
          <w:snapToGrid/>
          <w:szCs w:val="22"/>
        </w:rPr>
        <w:t>financial esti</w:t>
      </w:r>
      <w:r w:rsidR="00B44E06" w:rsidRPr="00BD76BF">
        <w:rPr>
          <w:rFonts w:eastAsiaTheme="minorHAnsi" w:cstheme="minorBidi"/>
          <w:snapToGrid/>
          <w:szCs w:val="22"/>
        </w:rPr>
        <w:t>mates or implications to the PBS outside of what was presented in the Clinical Review.</w:t>
      </w:r>
    </w:p>
    <w:p w:rsidR="00235D40" w:rsidRPr="00BD76BF" w:rsidRDefault="002D09EE" w:rsidP="00235D40">
      <w:pPr>
        <w:pStyle w:val="ListParagraph"/>
        <w:numPr>
          <w:ilvl w:val="1"/>
          <w:numId w:val="2"/>
        </w:numPr>
        <w:jc w:val="both"/>
        <w:rPr>
          <w:rFonts w:eastAsiaTheme="minorHAnsi" w:cstheme="minorBidi"/>
          <w:snapToGrid/>
          <w:szCs w:val="22"/>
        </w:rPr>
      </w:pPr>
      <w:r w:rsidRPr="00BD76BF">
        <w:rPr>
          <w:rFonts w:eastAsiaTheme="minorHAnsi" w:cstheme="minorBidi"/>
          <w:snapToGrid/>
          <w:szCs w:val="22"/>
        </w:rPr>
        <w:t>The</w:t>
      </w:r>
      <w:r w:rsidR="00B44E06" w:rsidRPr="00BD76BF">
        <w:rPr>
          <w:rFonts w:eastAsiaTheme="minorHAnsi" w:cstheme="minorBidi"/>
          <w:snapToGrid/>
          <w:szCs w:val="22"/>
        </w:rPr>
        <w:t xml:space="preserve"> Secretariat noted that </w:t>
      </w:r>
      <w:r w:rsidR="00487921" w:rsidRPr="00BD76BF">
        <w:rPr>
          <w:rFonts w:eastAsiaTheme="minorHAnsi" w:cstheme="minorBidi"/>
          <w:snapToGrid/>
          <w:szCs w:val="22"/>
        </w:rPr>
        <w:t>it was difficult to estimate the number of patients based on PBS utilisation data</w:t>
      </w:r>
      <w:r w:rsidR="00B44E06" w:rsidRPr="00BD76BF">
        <w:rPr>
          <w:rFonts w:eastAsiaTheme="minorHAnsi" w:cstheme="minorBidi"/>
          <w:snapToGrid/>
          <w:szCs w:val="22"/>
        </w:rPr>
        <w:t xml:space="preserve"> as there are currently no PBS treatments for Buruli ulcer. Furthermore, the dosing for rifampicin in Buruli ulcer is weight base</w:t>
      </w:r>
      <w:r w:rsidR="00C53A44" w:rsidRPr="00BD76BF">
        <w:rPr>
          <w:rFonts w:eastAsiaTheme="minorHAnsi" w:cstheme="minorBidi"/>
          <w:snapToGrid/>
          <w:szCs w:val="22"/>
        </w:rPr>
        <w:t>d</w:t>
      </w:r>
      <w:r w:rsidR="00B44E06" w:rsidRPr="00BD76BF">
        <w:rPr>
          <w:rFonts w:eastAsiaTheme="minorHAnsi" w:cstheme="minorBidi"/>
          <w:snapToGrid/>
          <w:szCs w:val="22"/>
        </w:rPr>
        <w:t xml:space="preserve"> and</w:t>
      </w:r>
      <w:r w:rsidR="00487921" w:rsidRPr="00BD76BF">
        <w:rPr>
          <w:rFonts w:eastAsiaTheme="minorHAnsi" w:cstheme="minorBidi"/>
          <w:snapToGrid/>
          <w:szCs w:val="22"/>
        </w:rPr>
        <w:t xml:space="preserve"> </w:t>
      </w:r>
      <w:r w:rsidR="00B44E06" w:rsidRPr="00BD76BF">
        <w:rPr>
          <w:rFonts w:eastAsiaTheme="minorHAnsi" w:cstheme="minorBidi"/>
          <w:snapToGrid/>
          <w:szCs w:val="22"/>
        </w:rPr>
        <w:t xml:space="preserve">the treatment duration can </w:t>
      </w:r>
      <w:r w:rsidR="007E0C24" w:rsidRPr="00BD76BF">
        <w:rPr>
          <w:rFonts w:eastAsiaTheme="minorHAnsi" w:cstheme="minorBidi"/>
          <w:snapToGrid/>
          <w:szCs w:val="22"/>
        </w:rPr>
        <w:t>vary</w:t>
      </w:r>
      <w:r w:rsidR="00B44E06" w:rsidRPr="00BD76BF">
        <w:rPr>
          <w:rFonts w:eastAsiaTheme="minorHAnsi" w:cstheme="minorBidi"/>
          <w:snapToGrid/>
          <w:szCs w:val="22"/>
        </w:rPr>
        <w:t xml:space="preserve"> more depending on the severity of the condition.</w:t>
      </w:r>
    </w:p>
    <w:p w:rsidR="00487921" w:rsidRPr="00BD76BF" w:rsidRDefault="00487921" w:rsidP="00487921">
      <w:pPr>
        <w:pStyle w:val="ListParagraph"/>
        <w:numPr>
          <w:ilvl w:val="1"/>
          <w:numId w:val="2"/>
        </w:numPr>
        <w:jc w:val="both"/>
        <w:rPr>
          <w:rFonts w:eastAsiaTheme="minorHAnsi" w:cstheme="minorBidi"/>
          <w:snapToGrid/>
          <w:szCs w:val="22"/>
        </w:rPr>
      </w:pPr>
      <w:r w:rsidRPr="00BD76BF">
        <w:rPr>
          <w:rFonts w:eastAsiaTheme="minorHAnsi" w:cstheme="minorBidi"/>
          <w:snapToGrid/>
          <w:szCs w:val="22"/>
        </w:rPr>
        <w:t xml:space="preserve">The </w:t>
      </w:r>
      <w:r w:rsidR="00B44E06" w:rsidRPr="00BD76BF">
        <w:rPr>
          <w:rFonts w:eastAsiaTheme="minorHAnsi" w:cstheme="minorBidi"/>
          <w:snapToGrid/>
          <w:szCs w:val="22"/>
        </w:rPr>
        <w:t>Secretariat</w:t>
      </w:r>
      <w:r w:rsidRPr="00BD76BF">
        <w:rPr>
          <w:rFonts w:eastAsiaTheme="minorHAnsi" w:cstheme="minorBidi"/>
          <w:snapToGrid/>
          <w:szCs w:val="22"/>
        </w:rPr>
        <w:t xml:space="preserve"> </w:t>
      </w:r>
      <w:r w:rsidR="00B44E06" w:rsidRPr="00BD76BF">
        <w:rPr>
          <w:rFonts w:eastAsiaTheme="minorHAnsi" w:cstheme="minorBidi"/>
          <w:snapToGrid/>
          <w:szCs w:val="22"/>
        </w:rPr>
        <w:t>has</w:t>
      </w:r>
      <w:r w:rsidRPr="00BD76BF">
        <w:rPr>
          <w:rFonts w:eastAsiaTheme="minorHAnsi" w:cstheme="minorBidi"/>
          <w:snapToGrid/>
          <w:szCs w:val="22"/>
        </w:rPr>
        <w:t xml:space="preserve"> provided estimates of prescriptions over six years, as outlined in Table </w:t>
      </w:r>
      <w:r w:rsidR="00611382" w:rsidRPr="00BD76BF">
        <w:rPr>
          <w:rFonts w:eastAsiaTheme="minorHAnsi" w:cstheme="minorBidi"/>
          <w:snapToGrid/>
          <w:szCs w:val="22"/>
        </w:rPr>
        <w:t>2</w:t>
      </w:r>
      <w:r w:rsidRPr="00BD76BF">
        <w:rPr>
          <w:rFonts w:eastAsiaTheme="minorHAnsi" w:cstheme="minorBidi"/>
          <w:snapToGrid/>
          <w:szCs w:val="22"/>
        </w:rPr>
        <w:t>.</w:t>
      </w:r>
      <w:r w:rsidR="007E0C24" w:rsidRPr="00BD76BF">
        <w:rPr>
          <w:rFonts w:eastAsiaTheme="minorHAnsi" w:cstheme="minorBidi"/>
          <w:snapToGrid/>
          <w:szCs w:val="22"/>
        </w:rPr>
        <w:t xml:space="preserve"> The estimated net cost to the PBS is </w:t>
      </w:r>
      <w:r w:rsidR="00F977E5">
        <w:rPr>
          <w:rFonts w:eastAsiaTheme="minorHAnsi" w:cstheme="minorBidi"/>
          <w:snapToGrid/>
          <w:szCs w:val="22"/>
        </w:rPr>
        <w:t>less than $10 million</w:t>
      </w:r>
      <w:r w:rsidR="003266DF" w:rsidRPr="00BD76BF">
        <w:rPr>
          <w:rFonts w:eastAsiaTheme="minorHAnsi" w:cstheme="minorBidi"/>
          <w:snapToGrid/>
          <w:szCs w:val="22"/>
        </w:rPr>
        <w:t xml:space="preserve"> over the first 6</w:t>
      </w:r>
      <w:r w:rsidR="00A62420" w:rsidRPr="00BD76BF">
        <w:rPr>
          <w:rFonts w:eastAsiaTheme="minorHAnsi" w:cstheme="minorBidi"/>
          <w:snapToGrid/>
          <w:szCs w:val="22"/>
        </w:rPr>
        <w:t> </w:t>
      </w:r>
      <w:r w:rsidR="003266DF" w:rsidRPr="00BD76BF">
        <w:rPr>
          <w:rFonts w:eastAsiaTheme="minorHAnsi" w:cstheme="minorBidi"/>
          <w:snapToGrid/>
          <w:szCs w:val="22"/>
        </w:rPr>
        <w:t>years of listing.</w:t>
      </w:r>
    </w:p>
    <w:p w:rsidR="00162742" w:rsidRPr="00BD76BF" w:rsidRDefault="00162742" w:rsidP="002000FF">
      <w:pPr>
        <w:pStyle w:val="TableFigureHeading"/>
      </w:pPr>
      <w:r w:rsidRPr="00BD76BF">
        <w:t xml:space="preserve">Table </w:t>
      </w:r>
      <w:r w:rsidR="0068040A" w:rsidRPr="0062149B">
        <w:t>2</w:t>
      </w:r>
      <w:r w:rsidRPr="00BD76BF">
        <w:t>: Estimated PBS utilisation and financial estimates</w:t>
      </w:r>
    </w:p>
    <w:tbl>
      <w:tblPr>
        <w:tblStyle w:val="TableGrid"/>
        <w:tblW w:w="5000" w:type="pct"/>
        <w:tblLayout w:type="fixed"/>
        <w:tblLook w:val="04A0" w:firstRow="1" w:lastRow="0" w:firstColumn="1" w:lastColumn="0" w:noHBand="0" w:noVBand="1"/>
        <w:tblCaption w:val="Estimated PBS utilisation and financial estimates"/>
        <w:tblDescription w:val="Estimated PBS utilisation and financial estimates"/>
      </w:tblPr>
      <w:tblGrid>
        <w:gridCol w:w="2269"/>
        <w:gridCol w:w="1125"/>
        <w:gridCol w:w="1125"/>
        <w:gridCol w:w="1147"/>
        <w:gridCol w:w="1134"/>
        <w:gridCol w:w="1134"/>
        <w:gridCol w:w="1082"/>
      </w:tblGrid>
      <w:tr w:rsidR="00487921" w:rsidRPr="00BD76BF" w:rsidTr="00ED0145">
        <w:trPr>
          <w:tblHeader/>
        </w:trPr>
        <w:tc>
          <w:tcPr>
            <w:tcW w:w="1258" w:type="pct"/>
          </w:tcPr>
          <w:p w:rsidR="00487921" w:rsidRPr="00BD76BF" w:rsidRDefault="00487921" w:rsidP="00487921">
            <w:pPr>
              <w:pStyle w:val="In-tableHeading"/>
              <w:rPr>
                <w:szCs w:val="20"/>
                <w:lang w:val="en-AU"/>
              </w:rPr>
            </w:pPr>
            <w:bookmarkStart w:id="2" w:name="_GoBack"/>
            <w:bookmarkEnd w:id="2"/>
          </w:p>
        </w:tc>
        <w:tc>
          <w:tcPr>
            <w:tcW w:w="624" w:type="pct"/>
          </w:tcPr>
          <w:p w:rsidR="00487921" w:rsidRPr="00BD76BF" w:rsidRDefault="00487921" w:rsidP="00487921">
            <w:pPr>
              <w:pStyle w:val="In-tableHeading"/>
              <w:rPr>
                <w:szCs w:val="20"/>
                <w:lang w:val="en-AU"/>
              </w:rPr>
            </w:pPr>
            <w:r w:rsidRPr="00BD76BF">
              <w:rPr>
                <w:szCs w:val="20"/>
                <w:lang w:val="en-AU"/>
              </w:rPr>
              <w:t>Year 1</w:t>
            </w:r>
          </w:p>
        </w:tc>
        <w:tc>
          <w:tcPr>
            <w:tcW w:w="624" w:type="pct"/>
          </w:tcPr>
          <w:p w:rsidR="00487921" w:rsidRPr="00BD76BF" w:rsidRDefault="00487921" w:rsidP="00487921">
            <w:pPr>
              <w:pStyle w:val="In-tableHeading"/>
              <w:rPr>
                <w:szCs w:val="20"/>
                <w:lang w:val="en-AU"/>
              </w:rPr>
            </w:pPr>
            <w:r w:rsidRPr="00BD76BF">
              <w:rPr>
                <w:szCs w:val="20"/>
                <w:lang w:val="en-AU"/>
              </w:rPr>
              <w:t>Year 2</w:t>
            </w:r>
          </w:p>
        </w:tc>
        <w:tc>
          <w:tcPr>
            <w:tcW w:w="636" w:type="pct"/>
          </w:tcPr>
          <w:p w:rsidR="00487921" w:rsidRPr="00BD76BF" w:rsidRDefault="00487921" w:rsidP="00487921">
            <w:pPr>
              <w:pStyle w:val="In-tableHeading"/>
              <w:rPr>
                <w:szCs w:val="20"/>
                <w:lang w:val="en-AU"/>
              </w:rPr>
            </w:pPr>
            <w:r w:rsidRPr="00BD76BF">
              <w:rPr>
                <w:szCs w:val="20"/>
                <w:lang w:val="en-AU"/>
              </w:rPr>
              <w:t>Year 3</w:t>
            </w:r>
          </w:p>
        </w:tc>
        <w:tc>
          <w:tcPr>
            <w:tcW w:w="629" w:type="pct"/>
          </w:tcPr>
          <w:p w:rsidR="00487921" w:rsidRPr="00BD76BF" w:rsidRDefault="00487921" w:rsidP="00487921">
            <w:pPr>
              <w:pStyle w:val="In-tableHeading"/>
              <w:rPr>
                <w:szCs w:val="20"/>
                <w:lang w:val="en-AU"/>
              </w:rPr>
            </w:pPr>
            <w:r w:rsidRPr="00BD76BF">
              <w:rPr>
                <w:szCs w:val="20"/>
                <w:lang w:val="en-AU"/>
              </w:rPr>
              <w:t>Year 4</w:t>
            </w:r>
          </w:p>
        </w:tc>
        <w:tc>
          <w:tcPr>
            <w:tcW w:w="629" w:type="pct"/>
          </w:tcPr>
          <w:p w:rsidR="00487921" w:rsidRPr="00BD76BF" w:rsidRDefault="00487921" w:rsidP="00487921">
            <w:pPr>
              <w:pStyle w:val="In-tableHeading"/>
              <w:rPr>
                <w:szCs w:val="20"/>
                <w:lang w:val="en-AU"/>
              </w:rPr>
            </w:pPr>
            <w:r w:rsidRPr="00BD76BF">
              <w:rPr>
                <w:szCs w:val="20"/>
                <w:lang w:val="en-AU"/>
              </w:rPr>
              <w:t>Year 5</w:t>
            </w:r>
          </w:p>
        </w:tc>
        <w:tc>
          <w:tcPr>
            <w:tcW w:w="600" w:type="pct"/>
          </w:tcPr>
          <w:p w:rsidR="00487921" w:rsidRPr="00BD76BF" w:rsidRDefault="00487921" w:rsidP="00487921">
            <w:pPr>
              <w:pStyle w:val="In-tableHeading"/>
              <w:rPr>
                <w:szCs w:val="20"/>
                <w:lang w:val="en-AU"/>
              </w:rPr>
            </w:pPr>
            <w:r w:rsidRPr="00BD76BF">
              <w:rPr>
                <w:szCs w:val="20"/>
                <w:lang w:val="en-AU"/>
              </w:rPr>
              <w:t>Year 6</w:t>
            </w:r>
          </w:p>
        </w:tc>
      </w:tr>
      <w:tr w:rsidR="0070497B" w:rsidRPr="00BD76BF" w:rsidTr="005708A1">
        <w:tc>
          <w:tcPr>
            <w:tcW w:w="1258" w:type="pct"/>
            <w:tcBorders>
              <w:bottom w:val="single" w:sz="4" w:space="0" w:color="auto"/>
            </w:tcBorders>
          </w:tcPr>
          <w:p w:rsidR="0070497B" w:rsidRPr="00BD76BF" w:rsidRDefault="0070497B" w:rsidP="0070497B">
            <w:pPr>
              <w:pStyle w:val="In-tableHeading"/>
              <w:rPr>
                <w:b w:val="0"/>
                <w:szCs w:val="20"/>
                <w:lang w:val="en-AU"/>
              </w:rPr>
            </w:pPr>
            <w:r w:rsidRPr="0062149B">
              <w:rPr>
                <w:b w:val="0"/>
                <w:lang w:val="en-AU"/>
              </w:rPr>
              <w:t>Buruli ulcer case rate</w:t>
            </w:r>
            <w:r w:rsidRPr="0062149B">
              <w:rPr>
                <w:lang w:val="en-AU"/>
              </w:rPr>
              <w:t xml:space="preserve"> </w:t>
            </w:r>
            <w:r w:rsidRPr="00BD76BF">
              <w:rPr>
                <w:b w:val="0"/>
                <w:szCs w:val="20"/>
                <w:lang w:val="en-AU"/>
              </w:rPr>
              <w:t>(1.58 per 100,000)</w:t>
            </w:r>
            <w:r w:rsidRPr="00BD76BF">
              <w:rPr>
                <w:b w:val="0"/>
                <w:szCs w:val="20"/>
                <w:vertAlign w:val="superscript"/>
                <w:lang w:val="en-AU"/>
              </w:rPr>
              <w:t>a</w:t>
            </w:r>
          </w:p>
        </w:tc>
        <w:tc>
          <w:tcPr>
            <w:tcW w:w="624" w:type="pct"/>
            <w:tcBorders>
              <w:bottom w:val="single" w:sz="4" w:space="0" w:color="auto"/>
            </w:tcBorders>
          </w:tcPr>
          <w:p w:rsidR="0070497B" w:rsidRPr="00BD76BF" w:rsidRDefault="0070497B" w:rsidP="005708A1">
            <w:pPr>
              <w:pStyle w:val="TableText"/>
              <w:rPr>
                <w:szCs w:val="20"/>
              </w:rPr>
            </w:pPr>
            <w:r w:rsidRPr="00BD76BF">
              <w:rPr>
                <w:szCs w:val="20"/>
              </w:rPr>
              <w:t>0.000016</w:t>
            </w:r>
          </w:p>
        </w:tc>
        <w:tc>
          <w:tcPr>
            <w:tcW w:w="624" w:type="pct"/>
            <w:tcBorders>
              <w:bottom w:val="single" w:sz="4" w:space="0" w:color="auto"/>
            </w:tcBorders>
          </w:tcPr>
          <w:p w:rsidR="0070497B" w:rsidRPr="00BD76BF" w:rsidRDefault="0070497B" w:rsidP="005708A1">
            <w:pPr>
              <w:pStyle w:val="TableText"/>
              <w:rPr>
                <w:szCs w:val="20"/>
              </w:rPr>
            </w:pPr>
            <w:r w:rsidRPr="00BD76BF">
              <w:rPr>
                <w:szCs w:val="20"/>
              </w:rPr>
              <w:t>0.000016</w:t>
            </w:r>
          </w:p>
        </w:tc>
        <w:tc>
          <w:tcPr>
            <w:tcW w:w="636" w:type="pct"/>
            <w:tcBorders>
              <w:bottom w:val="single" w:sz="4" w:space="0" w:color="auto"/>
            </w:tcBorders>
          </w:tcPr>
          <w:p w:rsidR="0070497B" w:rsidRPr="00BD76BF" w:rsidRDefault="0070497B" w:rsidP="005708A1">
            <w:pPr>
              <w:pStyle w:val="TableText"/>
              <w:rPr>
                <w:szCs w:val="20"/>
              </w:rPr>
            </w:pPr>
            <w:r w:rsidRPr="00BD76BF">
              <w:rPr>
                <w:szCs w:val="20"/>
              </w:rPr>
              <w:t>0.000016</w:t>
            </w:r>
          </w:p>
        </w:tc>
        <w:tc>
          <w:tcPr>
            <w:tcW w:w="629" w:type="pct"/>
            <w:tcBorders>
              <w:bottom w:val="single" w:sz="4" w:space="0" w:color="auto"/>
            </w:tcBorders>
          </w:tcPr>
          <w:p w:rsidR="0070497B" w:rsidRPr="00BD76BF" w:rsidRDefault="0070497B" w:rsidP="005708A1">
            <w:pPr>
              <w:pStyle w:val="TableText"/>
              <w:rPr>
                <w:szCs w:val="20"/>
              </w:rPr>
            </w:pPr>
            <w:r w:rsidRPr="00BD76BF">
              <w:rPr>
                <w:szCs w:val="20"/>
              </w:rPr>
              <w:t>0.000016</w:t>
            </w:r>
          </w:p>
        </w:tc>
        <w:tc>
          <w:tcPr>
            <w:tcW w:w="629" w:type="pct"/>
            <w:tcBorders>
              <w:bottom w:val="single" w:sz="4" w:space="0" w:color="auto"/>
            </w:tcBorders>
          </w:tcPr>
          <w:p w:rsidR="0070497B" w:rsidRPr="00BD76BF" w:rsidRDefault="0070497B" w:rsidP="005708A1">
            <w:pPr>
              <w:pStyle w:val="TableText"/>
              <w:rPr>
                <w:szCs w:val="20"/>
              </w:rPr>
            </w:pPr>
            <w:r w:rsidRPr="00BD76BF">
              <w:rPr>
                <w:szCs w:val="20"/>
              </w:rPr>
              <w:t>0.000016</w:t>
            </w:r>
          </w:p>
        </w:tc>
        <w:tc>
          <w:tcPr>
            <w:tcW w:w="600" w:type="pct"/>
            <w:tcBorders>
              <w:bottom w:val="single" w:sz="4" w:space="0" w:color="auto"/>
            </w:tcBorders>
          </w:tcPr>
          <w:p w:rsidR="0070497B" w:rsidRPr="00BD76BF" w:rsidRDefault="0070497B" w:rsidP="005708A1">
            <w:pPr>
              <w:pStyle w:val="TableText"/>
              <w:rPr>
                <w:szCs w:val="20"/>
              </w:rPr>
            </w:pPr>
            <w:r w:rsidRPr="00BD76BF">
              <w:rPr>
                <w:szCs w:val="20"/>
              </w:rPr>
              <w:t>0.000016</w:t>
            </w:r>
          </w:p>
        </w:tc>
      </w:tr>
      <w:tr w:rsidR="00F93CFD" w:rsidRPr="00BD76BF" w:rsidTr="005708A1">
        <w:tc>
          <w:tcPr>
            <w:tcW w:w="1258" w:type="pct"/>
            <w:tcBorders>
              <w:top w:val="single" w:sz="4" w:space="0" w:color="auto"/>
              <w:bottom w:val="single" w:sz="4" w:space="0" w:color="auto"/>
              <w:right w:val="single" w:sz="4" w:space="0" w:color="auto"/>
            </w:tcBorders>
            <w:vAlign w:val="center"/>
          </w:tcPr>
          <w:p w:rsidR="00032F23" w:rsidRPr="00BD76BF" w:rsidRDefault="00032F23" w:rsidP="006A2138">
            <w:pPr>
              <w:pStyle w:val="In-tableHeading"/>
              <w:rPr>
                <w:b w:val="0"/>
                <w:szCs w:val="20"/>
                <w:vertAlign w:val="superscript"/>
                <w:lang w:val="en-AU"/>
              </w:rPr>
            </w:pPr>
            <w:r w:rsidRPr="00BD76BF">
              <w:rPr>
                <w:b w:val="0"/>
                <w:szCs w:val="20"/>
                <w:lang w:val="en-AU"/>
              </w:rPr>
              <w:t>Australian population</w:t>
            </w:r>
            <w:r w:rsidRPr="00BD76BF">
              <w:rPr>
                <w:b w:val="0"/>
                <w:szCs w:val="20"/>
                <w:vertAlign w:val="superscript"/>
                <w:lang w:val="en-AU"/>
              </w:rPr>
              <w:t>b</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032F23" w:rsidRPr="00BD76BF" w:rsidRDefault="006A2138" w:rsidP="006A2138">
            <w:pPr>
              <w:pStyle w:val="TableText"/>
              <w:rPr>
                <w:i/>
                <w:szCs w:val="20"/>
              </w:rPr>
            </w:pPr>
            <w:r w:rsidRPr="00B13548">
              <w:rPr>
                <w:rFonts w:cs="Calibri"/>
                <w:color w:val="000000"/>
                <w:szCs w:val="20"/>
              </w:rPr>
              <w:t>2</w:t>
            </w:r>
            <w:r w:rsidR="00032F23" w:rsidRPr="00B13548">
              <w:rPr>
                <w:rFonts w:cs="Calibri"/>
                <w:color w:val="000000"/>
                <w:szCs w:val="20"/>
              </w:rPr>
              <w:t>5,873,480</w:t>
            </w:r>
            <w:r w:rsidR="00032F23" w:rsidRPr="00BD76BF">
              <w:rPr>
                <w:rFonts w:cs="Calibri"/>
                <w:color w:val="000000"/>
                <w:szCs w:val="20"/>
              </w:rPr>
              <w:t xml:space="preserve"> </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032F23" w:rsidRPr="00BD76BF" w:rsidRDefault="00032F23" w:rsidP="006A2138">
            <w:pPr>
              <w:pStyle w:val="TableText"/>
              <w:rPr>
                <w:i/>
                <w:szCs w:val="20"/>
              </w:rPr>
            </w:pPr>
            <w:r w:rsidRPr="00B13548">
              <w:rPr>
                <w:rFonts w:cs="Calibri"/>
                <w:color w:val="000000"/>
                <w:szCs w:val="20"/>
              </w:rPr>
              <w:t>26,301,274</w:t>
            </w:r>
            <w:r w:rsidRPr="00BD76BF">
              <w:rPr>
                <w:rFonts w:cs="Calibri"/>
                <w:color w:val="000000"/>
                <w:szCs w:val="20"/>
              </w:rPr>
              <w:t xml:space="preserve"> </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032F23" w:rsidRPr="00BD76BF" w:rsidRDefault="00032F23" w:rsidP="006A2138">
            <w:pPr>
              <w:pStyle w:val="TableText"/>
              <w:rPr>
                <w:i/>
                <w:szCs w:val="20"/>
              </w:rPr>
            </w:pPr>
            <w:r w:rsidRPr="00B13548">
              <w:rPr>
                <w:rFonts w:cs="Calibri"/>
                <w:color w:val="000000"/>
                <w:szCs w:val="20"/>
              </w:rPr>
              <w:t>26,727,025</w:t>
            </w:r>
            <w:r w:rsidRPr="00BD76BF">
              <w:rPr>
                <w:rFonts w:cs="Calibri"/>
                <w:color w:val="000000"/>
                <w:szCs w:val="20"/>
              </w:rPr>
              <w:t xml:space="preserve"> </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32F23" w:rsidRPr="00BD76BF" w:rsidRDefault="00032F23" w:rsidP="006A2138">
            <w:pPr>
              <w:pStyle w:val="TableText"/>
              <w:rPr>
                <w:i/>
                <w:szCs w:val="20"/>
              </w:rPr>
            </w:pPr>
            <w:r w:rsidRPr="00B13548">
              <w:rPr>
                <w:rFonts w:cs="Calibri"/>
                <w:color w:val="000000"/>
                <w:szCs w:val="20"/>
              </w:rPr>
              <w:t>27,147,199</w:t>
            </w:r>
            <w:r w:rsidRPr="00BD76BF">
              <w:rPr>
                <w:rFonts w:cs="Calibri"/>
                <w:color w:val="000000"/>
                <w:szCs w:val="20"/>
              </w:rPr>
              <w:t xml:space="preserve"> </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32F23" w:rsidRPr="00BD76BF" w:rsidRDefault="00032F23" w:rsidP="006A2138">
            <w:pPr>
              <w:pStyle w:val="TableText"/>
              <w:rPr>
                <w:i/>
                <w:szCs w:val="20"/>
              </w:rPr>
            </w:pPr>
            <w:r w:rsidRPr="00B13548">
              <w:rPr>
                <w:rFonts w:cs="Calibri"/>
                <w:color w:val="000000"/>
                <w:szCs w:val="20"/>
              </w:rPr>
              <w:t>27,562,195</w:t>
            </w:r>
            <w:r w:rsidRPr="00BD76BF">
              <w:rPr>
                <w:rFonts w:cs="Calibri"/>
                <w:color w:val="000000"/>
                <w:szCs w:val="20"/>
              </w:rPr>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032F23" w:rsidRPr="00BD76BF" w:rsidRDefault="00032F23" w:rsidP="006A2138">
            <w:pPr>
              <w:pStyle w:val="TableText"/>
              <w:rPr>
                <w:i/>
                <w:szCs w:val="20"/>
              </w:rPr>
            </w:pPr>
            <w:r w:rsidRPr="00B13548">
              <w:rPr>
                <w:rFonts w:cs="Calibri"/>
                <w:color w:val="000000"/>
                <w:szCs w:val="20"/>
              </w:rPr>
              <w:t>27,970,435</w:t>
            </w:r>
            <w:r w:rsidRPr="00BD76BF">
              <w:rPr>
                <w:rFonts w:cs="Calibri"/>
                <w:color w:val="000000"/>
                <w:szCs w:val="20"/>
              </w:rPr>
              <w:t xml:space="preserve"> </w:t>
            </w:r>
          </w:p>
        </w:tc>
      </w:tr>
      <w:tr w:rsidR="00F93CFD" w:rsidRPr="00BD76BF" w:rsidTr="005708A1">
        <w:tc>
          <w:tcPr>
            <w:tcW w:w="1258" w:type="pct"/>
            <w:tcBorders>
              <w:top w:val="single" w:sz="4" w:space="0" w:color="auto"/>
              <w:bottom w:val="single" w:sz="4" w:space="0" w:color="auto"/>
              <w:right w:val="single" w:sz="4" w:space="0" w:color="auto"/>
            </w:tcBorders>
            <w:vAlign w:val="center"/>
          </w:tcPr>
          <w:p w:rsidR="00136B86" w:rsidRPr="00BD76BF" w:rsidRDefault="00136B86" w:rsidP="006A2138">
            <w:pPr>
              <w:pStyle w:val="In-tableHeading"/>
              <w:rPr>
                <w:b w:val="0"/>
                <w:szCs w:val="20"/>
                <w:vertAlign w:val="superscript"/>
                <w:lang w:val="en-AU"/>
              </w:rPr>
            </w:pPr>
            <w:r w:rsidRPr="00BD76BF">
              <w:rPr>
                <w:b w:val="0"/>
                <w:szCs w:val="20"/>
                <w:lang w:val="en-AU"/>
              </w:rPr>
              <w:t>Incident patients</w:t>
            </w:r>
            <w:r w:rsidRPr="00BD76BF">
              <w:rPr>
                <w:b w:val="0"/>
                <w:szCs w:val="20"/>
                <w:vertAlign w:val="superscript"/>
                <w:lang w:val="en-AU"/>
              </w:rPr>
              <w:t>c</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136B86" w:rsidRPr="00BD76BF" w:rsidRDefault="00136B86" w:rsidP="006A2138">
            <w:pPr>
              <w:pStyle w:val="TableText"/>
              <w:rPr>
                <w:i/>
                <w:szCs w:val="20"/>
              </w:rPr>
            </w:pPr>
            <w:r w:rsidRPr="00B13548">
              <w:rPr>
                <w:rFonts w:cs="Calibri"/>
                <w:color w:val="000000"/>
                <w:szCs w:val="20"/>
              </w:rPr>
              <w:t>409</w:t>
            </w:r>
            <w:r w:rsidRPr="00BD76BF">
              <w:rPr>
                <w:rFonts w:cs="Calibri"/>
                <w:color w:val="000000"/>
                <w:szCs w:val="20"/>
              </w:rPr>
              <w:t xml:space="preserve"> </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136B86" w:rsidRPr="00BD76BF" w:rsidRDefault="00136B86" w:rsidP="006A2138">
            <w:pPr>
              <w:pStyle w:val="TableText"/>
              <w:rPr>
                <w:i/>
                <w:szCs w:val="20"/>
              </w:rPr>
            </w:pPr>
            <w:r w:rsidRPr="00B13548">
              <w:rPr>
                <w:rFonts w:cs="Calibri"/>
                <w:color w:val="000000"/>
                <w:szCs w:val="20"/>
              </w:rPr>
              <w:t xml:space="preserve">416 </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136B86" w:rsidRPr="00BD76BF" w:rsidRDefault="00136B86" w:rsidP="006A2138">
            <w:pPr>
              <w:pStyle w:val="TableText"/>
              <w:rPr>
                <w:i/>
                <w:szCs w:val="20"/>
              </w:rPr>
            </w:pPr>
            <w:r w:rsidRPr="00B13548">
              <w:rPr>
                <w:rFonts w:cs="Calibri"/>
                <w:color w:val="000000"/>
                <w:szCs w:val="20"/>
              </w:rPr>
              <w:t>422</w:t>
            </w:r>
            <w:r w:rsidR="00C45892">
              <w:rPr>
                <w:rFonts w:cs="Calibri"/>
                <w:noProof/>
                <w:color w:val="000000"/>
                <w:szCs w:val="20"/>
                <w:highlight w:val="black"/>
              </w:rPr>
              <w:t xml:space="preserve"> </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136B86" w:rsidRPr="00BD76BF" w:rsidRDefault="00136B86" w:rsidP="006A2138">
            <w:pPr>
              <w:pStyle w:val="TableText"/>
              <w:rPr>
                <w:i/>
                <w:szCs w:val="20"/>
              </w:rPr>
            </w:pPr>
            <w:r w:rsidRPr="00B13548">
              <w:rPr>
                <w:rFonts w:cs="Calibri"/>
                <w:color w:val="000000"/>
                <w:szCs w:val="20"/>
              </w:rPr>
              <w:t>429</w:t>
            </w:r>
            <w:r w:rsidRPr="00BD76BF">
              <w:rPr>
                <w:rFonts w:cs="Calibri"/>
                <w:color w:val="000000"/>
                <w:szCs w:val="20"/>
              </w:rPr>
              <w:t xml:space="preserve"> </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136B86" w:rsidRPr="00BD76BF" w:rsidRDefault="00136B86" w:rsidP="006A2138">
            <w:pPr>
              <w:pStyle w:val="TableText"/>
              <w:rPr>
                <w:i/>
                <w:szCs w:val="20"/>
              </w:rPr>
            </w:pPr>
            <w:r w:rsidRPr="00B13548">
              <w:rPr>
                <w:rFonts w:cs="Calibri"/>
                <w:color w:val="000000"/>
                <w:szCs w:val="20"/>
              </w:rPr>
              <w:t>435</w:t>
            </w:r>
            <w:r w:rsidRPr="00BD76BF">
              <w:rPr>
                <w:rFonts w:cs="Calibri"/>
                <w:color w:val="000000"/>
                <w:szCs w:val="20"/>
              </w:rPr>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136B86" w:rsidRPr="00BD76BF" w:rsidRDefault="00136B86" w:rsidP="006A2138">
            <w:pPr>
              <w:pStyle w:val="TableText"/>
              <w:rPr>
                <w:i/>
                <w:szCs w:val="20"/>
              </w:rPr>
            </w:pPr>
            <w:r w:rsidRPr="00B13548">
              <w:rPr>
                <w:rFonts w:cs="Calibri"/>
                <w:color w:val="000000"/>
                <w:szCs w:val="20"/>
              </w:rPr>
              <w:t>442</w:t>
            </w:r>
            <w:r w:rsidRPr="00BD76BF">
              <w:rPr>
                <w:rFonts w:cs="Calibri"/>
                <w:color w:val="000000"/>
                <w:szCs w:val="20"/>
              </w:rPr>
              <w:t xml:space="preserve"> </w:t>
            </w:r>
          </w:p>
        </w:tc>
      </w:tr>
      <w:tr w:rsidR="00F37D3D" w:rsidRPr="00BD76BF" w:rsidTr="005708A1">
        <w:tc>
          <w:tcPr>
            <w:tcW w:w="1258" w:type="pct"/>
            <w:tcBorders>
              <w:top w:val="single" w:sz="4" w:space="0" w:color="auto"/>
              <w:bottom w:val="single" w:sz="4" w:space="0" w:color="auto"/>
              <w:right w:val="single" w:sz="4" w:space="0" w:color="auto"/>
            </w:tcBorders>
            <w:vAlign w:val="center"/>
          </w:tcPr>
          <w:p w:rsidR="00F37D3D" w:rsidRPr="00BD76BF" w:rsidRDefault="00F37D3D" w:rsidP="006A2138">
            <w:pPr>
              <w:pStyle w:val="In-tableHeading"/>
              <w:rPr>
                <w:b w:val="0"/>
                <w:szCs w:val="20"/>
                <w:vertAlign w:val="superscript"/>
                <w:lang w:val="en-AU"/>
              </w:rPr>
            </w:pPr>
            <w:r w:rsidRPr="00BD76BF">
              <w:rPr>
                <w:b w:val="0"/>
                <w:szCs w:val="20"/>
                <w:lang w:val="en-AU"/>
              </w:rPr>
              <w:t>Number of packs</w:t>
            </w:r>
            <w:r w:rsidRPr="00BD76BF">
              <w:rPr>
                <w:b w:val="0"/>
                <w:szCs w:val="20"/>
                <w:vertAlign w:val="superscript"/>
                <w:lang w:val="en-AU"/>
              </w:rPr>
              <w:t>d</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F37D3D" w:rsidRPr="00C45892" w:rsidRDefault="00C45892" w:rsidP="006A2138">
            <w:pPr>
              <w:pStyle w:val="TableText"/>
              <w:rPr>
                <w:rFonts w:cs="Calibri"/>
                <w:color w:val="000000"/>
                <w:szCs w:val="20"/>
                <w:highlight w:val="black"/>
              </w:rPr>
            </w:pPr>
            <w:r>
              <w:rPr>
                <w:rFonts w:cs="Calibri"/>
                <w:noProof/>
                <w:color w:val="00000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F37D3D" w:rsidRPr="00C45892" w:rsidRDefault="00C45892" w:rsidP="006A2138">
            <w:pPr>
              <w:pStyle w:val="TableText"/>
              <w:rPr>
                <w:rFonts w:cs="Calibri"/>
                <w:color w:val="000000"/>
                <w:szCs w:val="20"/>
                <w:highlight w:val="black"/>
              </w:rPr>
            </w:pPr>
            <w:r>
              <w:rPr>
                <w:rFonts w:cs="Calibri"/>
                <w:noProof/>
                <w:color w:val="000000"/>
                <w:szCs w:val="20"/>
                <w:highlight w:val="black"/>
              </w:rPr>
              <w:t>'''''''''''''</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F37D3D" w:rsidRPr="00C45892" w:rsidRDefault="00C45892" w:rsidP="005708A1">
            <w:pPr>
              <w:pStyle w:val="TableText"/>
              <w:rPr>
                <w:rFonts w:cs="Calibri"/>
                <w:color w:val="000000"/>
                <w:szCs w:val="20"/>
                <w:highlight w:val="black"/>
              </w:rPr>
            </w:pPr>
            <w:r>
              <w:rPr>
                <w:rFonts w:cs="Calibri"/>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F37D3D" w:rsidRPr="00C45892" w:rsidRDefault="00C45892" w:rsidP="005708A1">
            <w:pPr>
              <w:pStyle w:val="TableText"/>
              <w:rPr>
                <w:rFonts w:cs="Calibri"/>
                <w:color w:val="000000"/>
                <w:szCs w:val="20"/>
                <w:highlight w:val="black"/>
              </w:rPr>
            </w:pPr>
            <w:r>
              <w:rPr>
                <w:rFonts w:cs="Calibri"/>
                <w:noProof/>
                <w:color w:val="000000"/>
                <w:szCs w:val="20"/>
                <w:highlight w:val="black"/>
              </w:rPr>
              <w:t>'''''''''''''</w:t>
            </w:r>
            <w:r w:rsidR="00C64C9E" w:rsidRPr="00C45892">
              <w:rPr>
                <w:rFonts w:cs="Calibri"/>
                <w:color w:val="000000"/>
                <w:szCs w:val="20"/>
                <w:highlight w:val="black"/>
              </w:rPr>
              <w:t xml:space="preserve"> </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F37D3D" w:rsidRPr="00C45892" w:rsidRDefault="00C45892" w:rsidP="006A2138">
            <w:pPr>
              <w:pStyle w:val="TableText"/>
              <w:rPr>
                <w:rFonts w:cs="Calibri"/>
                <w:color w:val="000000"/>
                <w:szCs w:val="20"/>
                <w:highlight w:val="black"/>
              </w:rPr>
            </w:pPr>
            <w:r>
              <w:rPr>
                <w:rFonts w:cs="Calibri"/>
                <w:noProof/>
                <w:color w:val="000000"/>
                <w:szCs w:val="2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F37D3D" w:rsidRPr="00C45892" w:rsidRDefault="00C45892" w:rsidP="006A2138">
            <w:pPr>
              <w:pStyle w:val="TableText"/>
              <w:rPr>
                <w:rFonts w:cs="Calibri"/>
                <w:color w:val="000000"/>
                <w:szCs w:val="20"/>
                <w:highlight w:val="black"/>
              </w:rPr>
            </w:pPr>
            <w:r>
              <w:rPr>
                <w:rFonts w:cs="Calibri"/>
                <w:noProof/>
                <w:color w:val="000000"/>
                <w:szCs w:val="20"/>
                <w:highlight w:val="black"/>
              </w:rPr>
              <w:t>'''''''''''''''</w:t>
            </w:r>
          </w:p>
        </w:tc>
      </w:tr>
      <w:tr w:rsidR="00653B57" w:rsidRPr="00BD76BF" w:rsidTr="005708A1">
        <w:tc>
          <w:tcPr>
            <w:tcW w:w="1258" w:type="pct"/>
            <w:tcBorders>
              <w:top w:val="single" w:sz="4" w:space="0" w:color="auto"/>
              <w:bottom w:val="single" w:sz="4" w:space="0" w:color="auto"/>
              <w:right w:val="single" w:sz="4" w:space="0" w:color="auto"/>
            </w:tcBorders>
          </w:tcPr>
          <w:p w:rsidR="00653B57" w:rsidRPr="00BD76BF" w:rsidRDefault="00653B57">
            <w:pPr>
              <w:pStyle w:val="In-tableHeading"/>
              <w:rPr>
                <w:szCs w:val="20"/>
                <w:lang w:val="en-AU"/>
              </w:rPr>
            </w:pPr>
            <w:r w:rsidRPr="00BD76BF">
              <w:rPr>
                <w:szCs w:val="20"/>
                <w:lang w:val="en-AU"/>
              </w:rPr>
              <w:t>Cost at DPMQ ($21.91)</w:t>
            </w:r>
            <w:r w:rsidRPr="00BD76BF">
              <w:rPr>
                <w:szCs w:val="20"/>
                <w:vertAlign w:val="superscript"/>
                <w:lang w:val="en-AU"/>
              </w:rPr>
              <w:t xml:space="preserve">c </w:t>
            </w:r>
            <w:r w:rsidRPr="00BD76BF">
              <w:rPr>
                <w:szCs w:val="20"/>
                <w:lang w:val="en-AU"/>
              </w:rPr>
              <w:t>/ Net cost to PBS/RPBS (assuming no co-pay)</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653B57" w:rsidRPr="00BD76BF" w:rsidRDefault="00653B57">
            <w:pPr>
              <w:pStyle w:val="TableText"/>
              <w:rPr>
                <w:i/>
                <w:szCs w:val="20"/>
              </w:rPr>
            </w:pPr>
            <w:r w:rsidRPr="00BD76BF">
              <w:t>$</w:t>
            </w:r>
            <w:r w:rsidR="00C45892">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653B57" w:rsidRPr="00BD76BF" w:rsidRDefault="00653B57">
            <w:pPr>
              <w:pStyle w:val="TableText"/>
              <w:rPr>
                <w:i/>
                <w:szCs w:val="20"/>
              </w:rPr>
            </w:pPr>
            <w:r w:rsidRPr="00BD76BF">
              <w:t>$</w:t>
            </w:r>
            <w:r w:rsidR="00C45892">
              <w:rPr>
                <w:noProof/>
                <w:color w:val="000000"/>
                <w:highlight w:val="black"/>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653B57" w:rsidRPr="00BD76BF" w:rsidRDefault="00653B57">
            <w:pPr>
              <w:pStyle w:val="TableText"/>
              <w:rPr>
                <w:i/>
                <w:szCs w:val="20"/>
              </w:rPr>
            </w:pPr>
            <w:r w:rsidRPr="00BD76BF">
              <w:t>$</w:t>
            </w:r>
            <w:r w:rsidR="00C45892">
              <w:rPr>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53B57" w:rsidRPr="00BD76BF" w:rsidRDefault="00653B57">
            <w:pPr>
              <w:pStyle w:val="TableText"/>
              <w:rPr>
                <w:i/>
                <w:szCs w:val="20"/>
              </w:rPr>
            </w:pPr>
            <w:r w:rsidRPr="00BD76BF">
              <w:t>$</w:t>
            </w:r>
            <w:r w:rsidR="00C45892">
              <w:rPr>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53B57" w:rsidRPr="00BD76BF" w:rsidRDefault="00653B57">
            <w:pPr>
              <w:pStyle w:val="TableText"/>
              <w:rPr>
                <w:i/>
                <w:szCs w:val="20"/>
              </w:rPr>
            </w:pPr>
            <w:r w:rsidRPr="00BD76BF">
              <w:t>$</w:t>
            </w:r>
            <w:r w:rsidR="00C45892">
              <w:rPr>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653B57" w:rsidRPr="00BD76BF" w:rsidRDefault="00653B57">
            <w:pPr>
              <w:pStyle w:val="TableText"/>
              <w:rPr>
                <w:i/>
                <w:szCs w:val="20"/>
              </w:rPr>
            </w:pPr>
            <w:r w:rsidRPr="00BD76BF">
              <w:t>$</w:t>
            </w:r>
            <w:r w:rsidR="00C45892">
              <w:rPr>
                <w:noProof/>
                <w:color w:val="000000"/>
                <w:highlight w:val="black"/>
              </w:rPr>
              <w:t>''''''''''''''''''''</w:t>
            </w:r>
          </w:p>
        </w:tc>
      </w:tr>
      <w:tr w:rsidR="00653B57" w:rsidRPr="00BD76BF" w:rsidTr="005708A1">
        <w:tc>
          <w:tcPr>
            <w:tcW w:w="1258" w:type="pct"/>
            <w:tcBorders>
              <w:top w:val="single" w:sz="4" w:space="0" w:color="auto"/>
              <w:bottom w:val="single" w:sz="4" w:space="0" w:color="auto"/>
              <w:right w:val="single" w:sz="4" w:space="0" w:color="auto"/>
            </w:tcBorders>
          </w:tcPr>
          <w:p w:rsidR="00653B57" w:rsidRPr="00BD76BF" w:rsidRDefault="00653B57" w:rsidP="00653B57">
            <w:pPr>
              <w:pStyle w:val="In-tableHeading"/>
              <w:rPr>
                <w:szCs w:val="20"/>
                <w:lang w:val="en-AU"/>
              </w:rPr>
            </w:pPr>
            <w:r w:rsidRPr="00BD76BF">
              <w:rPr>
                <w:szCs w:val="20"/>
                <w:lang w:val="en-AU"/>
              </w:rPr>
              <w:t xml:space="preserve">Co-pays </w:t>
            </w:r>
          </w:p>
          <w:p w:rsidR="00653B57" w:rsidRPr="00BD76BF" w:rsidRDefault="00653B57" w:rsidP="00653B57">
            <w:pPr>
              <w:pStyle w:val="In-tableHeading"/>
              <w:rPr>
                <w:szCs w:val="20"/>
                <w:lang w:val="en-AU"/>
              </w:rPr>
            </w:pPr>
            <w:r w:rsidRPr="00BD76BF">
              <w:rPr>
                <w:szCs w:val="20"/>
                <w:lang w:val="en-AU"/>
              </w:rPr>
              <w:t>(assuming full co-pay)</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szCs w:val="20"/>
              </w:rPr>
            </w:pPr>
            <w:r w:rsidRPr="00BD76BF">
              <w:t>$</w:t>
            </w:r>
            <w:r w:rsidR="00C45892">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szCs w:val="20"/>
              </w:rPr>
            </w:pPr>
            <w:r w:rsidRPr="00BD76BF">
              <w:t>$</w:t>
            </w:r>
            <w:r w:rsidR="00C45892">
              <w:rPr>
                <w:noProof/>
                <w:color w:val="000000"/>
                <w:highlight w:val="black"/>
              </w:rPr>
              <w:t>'''''''''''''''''</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szCs w:val="20"/>
              </w:rPr>
            </w:pPr>
            <w:r w:rsidRPr="00BD76BF">
              <w:t>$</w:t>
            </w:r>
            <w:r w:rsidR="00C45892">
              <w:rPr>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szCs w:val="20"/>
              </w:rPr>
            </w:pPr>
            <w:r w:rsidRPr="00BD76BF">
              <w:t>$</w:t>
            </w:r>
            <w:r w:rsidR="00C45892">
              <w:rPr>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szCs w:val="20"/>
              </w:rPr>
            </w:pPr>
            <w:r w:rsidRPr="00BD76BF">
              <w:t>$</w:t>
            </w:r>
            <w:r w:rsidR="00C45892">
              <w:rPr>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szCs w:val="20"/>
              </w:rPr>
            </w:pPr>
            <w:r w:rsidRPr="00BD76BF">
              <w:t>$</w:t>
            </w:r>
            <w:r w:rsidR="00C45892">
              <w:rPr>
                <w:noProof/>
                <w:color w:val="000000"/>
                <w:highlight w:val="black"/>
              </w:rPr>
              <w:t>'''''''''''''''</w:t>
            </w:r>
          </w:p>
        </w:tc>
      </w:tr>
      <w:tr w:rsidR="00653B57" w:rsidRPr="00BD76BF" w:rsidTr="005708A1">
        <w:tc>
          <w:tcPr>
            <w:tcW w:w="1258" w:type="pct"/>
            <w:tcBorders>
              <w:top w:val="single" w:sz="4" w:space="0" w:color="auto"/>
              <w:bottom w:val="single" w:sz="4" w:space="0" w:color="auto"/>
              <w:right w:val="single" w:sz="4" w:space="0" w:color="auto"/>
            </w:tcBorders>
          </w:tcPr>
          <w:p w:rsidR="00653B57" w:rsidRPr="00BD76BF" w:rsidRDefault="00653B57" w:rsidP="00653B57">
            <w:pPr>
              <w:pStyle w:val="In-tableHeading"/>
              <w:rPr>
                <w:szCs w:val="20"/>
                <w:lang w:val="en-AU"/>
              </w:rPr>
            </w:pPr>
            <w:r w:rsidRPr="00BD76BF">
              <w:rPr>
                <w:szCs w:val="20"/>
                <w:lang w:val="en-AU"/>
              </w:rPr>
              <w:t>Net cost to PBS/RPBS (assuming full co-pay)</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rFonts w:cs="Calibri"/>
                <w:color w:val="000000"/>
                <w:szCs w:val="20"/>
              </w:rPr>
            </w:pPr>
            <w:r w:rsidRPr="00BD76BF">
              <w:t>$</w:t>
            </w:r>
            <w:r w:rsidR="00C45892">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rFonts w:cs="Calibri"/>
                <w:color w:val="000000"/>
                <w:szCs w:val="20"/>
              </w:rPr>
            </w:pPr>
            <w:r w:rsidRPr="00BD76BF">
              <w:t>$</w:t>
            </w:r>
            <w:r w:rsidR="00C45892">
              <w:rPr>
                <w:noProof/>
                <w:color w:val="000000"/>
                <w:highlight w:val="black"/>
              </w:rPr>
              <w:t>''''''''''''''''</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rFonts w:cs="Calibri"/>
                <w:color w:val="000000"/>
                <w:szCs w:val="20"/>
              </w:rPr>
            </w:pPr>
            <w:r w:rsidRPr="00BD76BF">
              <w:t>$</w:t>
            </w:r>
            <w:r w:rsidR="00C45892">
              <w:rPr>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rFonts w:cs="Calibri"/>
                <w:color w:val="000000"/>
                <w:szCs w:val="20"/>
              </w:rPr>
            </w:pPr>
            <w:r w:rsidRPr="00BD76BF">
              <w:t>$</w:t>
            </w:r>
            <w:r w:rsidR="00C45892">
              <w:rPr>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rFonts w:cs="Calibri"/>
                <w:color w:val="000000"/>
                <w:szCs w:val="20"/>
              </w:rPr>
            </w:pPr>
            <w:r w:rsidRPr="00BD76BF">
              <w:t>$</w:t>
            </w:r>
            <w:r w:rsidR="00C45892">
              <w:rPr>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653B57" w:rsidRPr="00BD76BF" w:rsidRDefault="00653B57" w:rsidP="00653B57">
            <w:pPr>
              <w:pStyle w:val="TableText"/>
              <w:rPr>
                <w:rFonts w:cs="Calibri"/>
                <w:color w:val="000000"/>
                <w:szCs w:val="20"/>
              </w:rPr>
            </w:pPr>
            <w:r w:rsidRPr="00BD76BF">
              <w:t>$</w:t>
            </w:r>
            <w:r w:rsidR="00C45892">
              <w:rPr>
                <w:noProof/>
                <w:color w:val="000000"/>
                <w:highlight w:val="black"/>
              </w:rPr>
              <w:t>''''''''''''''''''</w:t>
            </w:r>
          </w:p>
        </w:tc>
      </w:tr>
    </w:tbl>
    <w:p w:rsidR="00995A1E" w:rsidRPr="00BD76BF" w:rsidRDefault="00487921" w:rsidP="0068040A">
      <w:pPr>
        <w:pStyle w:val="TableFigureFooter"/>
        <w:rPr>
          <w:rFonts w:eastAsiaTheme="minorHAnsi"/>
        </w:rPr>
      </w:pPr>
      <w:r w:rsidRPr="00BD76BF">
        <w:rPr>
          <w:rFonts w:eastAsiaTheme="minorHAnsi"/>
        </w:rPr>
        <w:t xml:space="preserve">Source: </w:t>
      </w:r>
      <w:r w:rsidR="0068040A" w:rsidRPr="00BD76BF">
        <w:rPr>
          <w:rFonts w:eastAsiaTheme="minorHAnsi"/>
        </w:rPr>
        <w:t xml:space="preserve">Compiled by the </w:t>
      </w:r>
      <w:r w:rsidR="00032B54" w:rsidRPr="00BD76BF">
        <w:rPr>
          <w:rFonts w:eastAsiaTheme="minorHAnsi"/>
        </w:rPr>
        <w:t xml:space="preserve">DUSC </w:t>
      </w:r>
      <w:r w:rsidR="0068040A" w:rsidRPr="00BD76BF">
        <w:rPr>
          <w:rFonts w:eastAsiaTheme="minorHAnsi"/>
        </w:rPr>
        <w:t>Secretariat.</w:t>
      </w:r>
    </w:p>
    <w:p w:rsidR="00235D40" w:rsidRPr="00BD76BF" w:rsidRDefault="00235D40" w:rsidP="0068040A">
      <w:pPr>
        <w:pStyle w:val="TableFigureFooter"/>
        <w:rPr>
          <w:rFonts w:eastAsiaTheme="minorHAnsi"/>
        </w:rPr>
      </w:pPr>
      <w:r w:rsidRPr="00BD76BF">
        <w:rPr>
          <w:rFonts w:eastAsiaTheme="minorHAnsi"/>
        </w:rPr>
        <w:t>Note:</w:t>
      </w:r>
    </w:p>
    <w:p w:rsidR="00235D40" w:rsidRPr="00BD76BF" w:rsidRDefault="00032F23" w:rsidP="0068040A">
      <w:pPr>
        <w:pStyle w:val="TableFigureFooter"/>
        <w:rPr>
          <w:rFonts w:eastAsiaTheme="minorHAnsi"/>
        </w:rPr>
      </w:pPr>
      <w:r w:rsidRPr="00BD76BF">
        <w:rPr>
          <w:rFonts w:eastAsiaTheme="minorHAnsi"/>
          <w:vertAlign w:val="superscript"/>
        </w:rPr>
        <w:t xml:space="preserve">a </w:t>
      </w:r>
      <w:r w:rsidR="00A14F37" w:rsidRPr="00BD76BF">
        <w:rPr>
          <w:rFonts w:eastAsiaTheme="minorHAnsi"/>
        </w:rPr>
        <w:t>Derived from the number WHO reported cases (n=358) relative to the estimated resident population (n=22,620,600).</w:t>
      </w:r>
    </w:p>
    <w:p w:rsidR="00032F23" w:rsidRPr="00BD76BF" w:rsidRDefault="00032F23" w:rsidP="0068040A">
      <w:pPr>
        <w:pStyle w:val="TableFigureFooter"/>
        <w:rPr>
          <w:rFonts w:eastAsiaTheme="minorHAnsi"/>
        </w:rPr>
      </w:pPr>
      <w:r w:rsidRPr="00BD76BF">
        <w:rPr>
          <w:rFonts w:eastAsiaTheme="minorHAnsi"/>
          <w:vertAlign w:val="superscript"/>
        </w:rPr>
        <w:t xml:space="preserve">b </w:t>
      </w:r>
      <w:r w:rsidRPr="00BD76BF">
        <w:rPr>
          <w:rFonts w:eastAsiaTheme="minorHAnsi"/>
        </w:rPr>
        <w:t xml:space="preserve">3222.0 Population Projections, Australia. Table B9. Population projections, </w:t>
      </w:r>
      <w:r w:rsidR="00803A73" w:rsidRPr="00BD76BF">
        <w:rPr>
          <w:rFonts w:eastAsiaTheme="minorHAnsi"/>
        </w:rPr>
        <w:t>by</w:t>
      </w:r>
      <w:r w:rsidRPr="00BD76BF">
        <w:rPr>
          <w:rFonts w:eastAsiaTheme="minorHAnsi"/>
        </w:rPr>
        <w:t xml:space="preserve"> age and sex, Australia - Series B.</w:t>
      </w:r>
    </w:p>
    <w:p w:rsidR="00032F23" w:rsidRPr="00BD76BF" w:rsidRDefault="00032F23" w:rsidP="0068040A">
      <w:pPr>
        <w:pStyle w:val="TableFigureFooter"/>
        <w:rPr>
          <w:rFonts w:eastAsiaTheme="minorHAnsi"/>
        </w:rPr>
      </w:pPr>
      <w:r w:rsidRPr="00BD76BF">
        <w:rPr>
          <w:rFonts w:eastAsiaTheme="minorHAnsi"/>
          <w:vertAlign w:val="superscript"/>
        </w:rPr>
        <w:t xml:space="preserve">c </w:t>
      </w:r>
      <w:r w:rsidRPr="00BD76BF">
        <w:rPr>
          <w:rFonts w:eastAsiaTheme="minorHAnsi"/>
        </w:rPr>
        <w:t>Calculated as incidence applied to total Australian population.</w:t>
      </w:r>
    </w:p>
    <w:p w:rsidR="00032F23" w:rsidRDefault="00032F23" w:rsidP="0068040A">
      <w:pPr>
        <w:pStyle w:val="TableFigureFooter"/>
        <w:rPr>
          <w:rFonts w:eastAsiaTheme="minorHAnsi"/>
        </w:rPr>
      </w:pPr>
      <w:r w:rsidRPr="00BD76BF">
        <w:rPr>
          <w:rFonts w:eastAsiaTheme="minorHAnsi"/>
          <w:vertAlign w:val="superscript"/>
        </w:rPr>
        <w:t>d</w:t>
      </w:r>
      <w:r w:rsidRPr="00BD76BF">
        <w:rPr>
          <w:rFonts w:eastAsiaTheme="minorHAnsi"/>
        </w:rPr>
        <w:t xml:space="preserve"> Assume </w:t>
      </w:r>
      <w:r w:rsidR="00C45892">
        <w:rPr>
          <w:rFonts w:eastAsiaTheme="minorHAnsi"/>
          <w:noProof/>
          <w:color w:val="000000"/>
          <w:highlight w:val="black"/>
        </w:rPr>
        <w:t>'''''''</w:t>
      </w:r>
      <w:r w:rsidR="00C64C9E" w:rsidRPr="00BD76BF">
        <w:rPr>
          <w:rFonts w:eastAsiaTheme="minorHAnsi"/>
        </w:rPr>
        <w:t xml:space="preserve"> packs of rifampicin</w:t>
      </w:r>
      <w:r w:rsidR="00F37D3D" w:rsidRPr="00BD76BF">
        <w:rPr>
          <w:rFonts w:eastAsiaTheme="minorHAnsi"/>
        </w:rPr>
        <w:t xml:space="preserve"> </w:t>
      </w:r>
      <w:r w:rsidR="008C5C7C" w:rsidRPr="00BD76BF">
        <w:rPr>
          <w:rFonts w:eastAsiaTheme="minorHAnsi"/>
        </w:rPr>
        <w:t xml:space="preserve">300mg </w:t>
      </w:r>
      <w:r w:rsidR="00C64C9E" w:rsidRPr="00BD76BF">
        <w:rPr>
          <w:rFonts w:eastAsiaTheme="minorHAnsi"/>
        </w:rPr>
        <w:t>(</w:t>
      </w:r>
      <w:r w:rsidR="008C5C7C" w:rsidRPr="00BD76BF">
        <w:rPr>
          <w:rFonts w:eastAsiaTheme="minorHAnsi"/>
        </w:rPr>
        <w:t xml:space="preserve">10 </w:t>
      </w:r>
      <w:r w:rsidR="00F37D3D" w:rsidRPr="00BD76BF">
        <w:rPr>
          <w:rFonts w:eastAsiaTheme="minorHAnsi"/>
        </w:rPr>
        <w:t>pack</w:t>
      </w:r>
      <w:r w:rsidR="00C64C9E" w:rsidRPr="00BD76BF">
        <w:rPr>
          <w:rFonts w:eastAsiaTheme="minorHAnsi"/>
        </w:rPr>
        <w:t>)</w:t>
      </w:r>
      <w:r w:rsidR="00F37D3D" w:rsidRPr="00BD76BF">
        <w:rPr>
          <w:rFonts w:eastAsiaTheme="minorHAnsi"/>
        </w:rPr>
        <w:t xml:space="preserve"> per patient</w:t>
      </w:r>
    </w:p>
    <w:p w:rsidR="00880D1D" w:rsidRDefault="00880D1D" w:rsidP="0068040A">
      <w:pPr>
        <w:pStyle w:val="TableFigureFooter"/>
        <w:rPr>
          <w:rFonts w:eastAsiaTheme="minorHAnsi"/>
        </w:rPr>
      </w:pPr>
    </w:p>
    <w:p w:rsidR="00880D1D" w:rsidRPr="00195845" w:rsidRDefault="00880D1D" w:rsidP="00880D1D">
      <w:pPr>
        <w:rPr>
          <w:rFonts w:asciiTheme="minorHAnsi" w:hAnsiTheme="minorHAnsi"/>
          <w:i/>
          <w:szCs w:val="22"/>
        </w:rPr>
      </w:pPr>
      <w:r w:rsidRPr="00195845">
        <w:rPr>
          <w:rFonts w:asciiTheme="minorHAnsi" w:hAnsiTheme="minorHAnsi"/>
          <w:i/>
          <w:szCs w:val="22"/>
        </w:rPr>
        <w:lastRenderedPageBreak/>
        <w:t>The redacted table shows that at Year 6, the estim</w:t>
      </w:r>
      <w:r>
        <w:rPr>
          <w:rFonts w:asciiTheme="minorHAnsi" w:hAnsiTheme="minorHAnsi"/>
          <w:i/>
          <w:szCs w:val="22"/>
        </w:rPr>
        <w:t>ated number of packs</w:t>
      </w:r>
      <w:r w:rsidRPr="00195845">
        <w:rPr>
          <w:rFonts w:asciiTheme="minorHAnsi" w:hAnsiTheme="minorHAnsi"/>
          <w:i/>
          <w:szCs w:val="22"/>
        </w:rPr>
        <w:t xml:space="preserve"> was less than 10,000 and the net cost to the PBS would be less than $10 million.</w:t>
      </w:r>
    </w:p>
    <w:p w:rsidR="00880D1D" w:rsidRPr="00BD76BF" w:rsidRDefault="00880D1D" w:rsidP="0068040A">
      <w:pPr>
        <w:pStyle w:val="TableFigureFooter"/>
        <w:rPr>
          <w:rFonts w:eastAsiaTheme="minorHAnsi"/>
        </w:rPr>
      </w:pPr>
    </w:p>
    <w:p w:rsidR="0078125E" w:rsidRPr="00BD76BF" w:rsidRDefault="00FA34D3" w:rsidP="00886937">
      <w:pPr>
        <w:pStyle w:val="3-BodyText"/>
      </w:pPr>
      <w:r w:rsidRPr="00BD76BF">
        <w:t xml:space="preserve">Given that there are no PBS listed items specifically indicated for Buruli ulcer, it was difficult to estimate the different co-payment populations. The net cost to the PBS/RPBS was calculated </w:t>
      </w:r>
      <w:r w:rsidR="0071204F" w:rsidRPr="00BD76BF">
        <w:t>for lower (</w:t>
      </w:r>
      <w:r w:rsidRPr="00BD76BF">
        <w:t>assuming full co-payment</w:t>
      </w:r>
      <w:r w:rsidR="0071204F" w:rsidRPr="00BD76BF">
        <w:t>) and upper (</w:t>
      </w:r>
      <w:r w:rsidR="00ED2B55" w:rsidRPr="00BD76BF">
        <w:t xml:space="preserve">assuming </w:t>
      </w:r>
      <w:r w:rsidRPr="00BD76BF">
        <w:t>no co-payment</w:t>
      </w:r>
      <w:r w:rsidR="0071204F" w:rsidRPr="00BD76BF">
        <w:t>) bounds</w:t>
      </w:r>
      <w:r w:rsidRPr="00BD76BF">
        <w:t xml:space="preserve">, </w:t>
      </w:r>
      <w:r w:rsidR="0071204F" w:rsidRPr="00BD76BF">
        <w:t>resulting in</w:t>
      </w:r>
      <w:r w:rsidRPr="00BD76BF">
        <w:t xml:space="preserve"> a total over 6 years </w:t>
      </w:r>
      <w:r w:rsidR="0071204F" w:rsidRPr="00BD76BF">
        <w:t>between</w:t>
      </w:r>
      <w:r w:rsidRPr="00BD76BF">
        <w:t xml:space="preserve"> </w:t>
      </w:r>
      <w:r w:rsidR="00F977E5">
        <w:t>less than $10 million</w:t>
      </w:r>
      <w:r w:rsidRPr="00BD76BF">
        <w:t xml:space="preserve"> and </w:t>
      </w:r>
      <w:r w:rsidR="00F977E5">
        <w:t>less than $10 million</w:t>
      </w:r>
      <w:r w:rsidRPr="00BD76BF">
        <w:t>.</w:t>
      </w:r>
    </w:p>
    <w:p w:rsidR="00E77777" w:rsidRPr="00BD76BF" w:rsidRDefault="00E77777" w:rsidP="005708A1">
      <w:pPr>
        <w:pStyle w:val="3-BodyText"/>
        <w:numPr>
          <w:ilvl w:val="0"/>
          <w:numId w:val="0"/>
        </w:numPr>
        <w:ind w:firstLine="720"/>
        <w:rPr>
          <w:i/>
        </w:rPr>
      </w:pPr>
      <w:r w:rsidRPr="00BD76BF">
        <w:rPr>
          <w:i/>
        </w:rPr>
        <w:t>For more detail on PBAC’s view, see section 5 PBAC outcome.</w:t>
      </w:r>
    </w:p>
    <w:p w:rsidR="00E77777" w:rsidRPr="00BD76BF" w:rsidRDefault="00E77777" w:rsidP="00E77777">
      <w:pPr>
        <w:pStyle w:val="2-SectionHeading"/>
      </w:pPr>
      <w:r w:rsidRPr="00BD76BF">
        <w:t>PBAC Outcome</w:t>
      </w:r>
    </w:p>
    <w:p w:rsidR="00F8668A" w:rsidRPr="0062149B" w:rsidRDefault="002F1C7C" w:rsidP="00B745D9">
      <w:pPr>
        <w:pStyle w:val="3-BodyText"/>
      </w:pPr>
      <w:r w:rsidRPr="0062149B">
        <w:t xml:space="preserve">The PBAC deferred making a recommendation </w:t>
      </w:r>
      <w:r w:rsidR="00213495" w:rsidRPr="0062149B">
        <w:t>to</w:t>
      </w:r>
      <w:r w:rsidRPr="0062149B">
        <w:t xml:space="preserve"> </w:t>
      </w:r>
      <w:r w:rsidR="00213495" w:rsidRPr="0062149B">
        <w:t xml:space="preserve">change </w:t>
      </w:r>
      <w:r w:rsidRPr="0062149B">
        <w:t xml:space="preserve">the listing of </w:t>
      </w:r>
      <w:r w:rsidR="00213495" w:rsidRPr="0062149B">
        <w:t>rifampicin</w:t>
      </w:r>
      <w:r w:rsidRPr="0062149B">
        <w:t xml:space="preserve"> on the PBS as the TGA Delegate’s Overview was not available at the time of consideration. However, the PBAC was of a mind to re</w:t>
      </w:r>
      <w:r w:rsidR="00213495" w:rsidRPr="0062149B">
        <w:t>commend the Authority Required</w:t>
      </w:r>
      <w:r w:rsidR="00BD1F62" w:rsidRPr="0062149B">
        <w:t xml:space="preserve"> (</w:t>
      </w:r>
      <w:r w:rsidR="00BD1F62" w:rsidRPr="00BD76BF">
        <w:t>Telephone/Electronic/Emergency)</w:t>
      </w:r>
      <w:r w:rsidR="00213495" w:rsidRPr="0062149B">
        <w:t xml:space="preserve"> </w:t>
      </w:r>
      <w:r w:rsidRPr="0062149B">
        <w:t xml:space="preserve">listing of </w:t>
      </w:r>
      <w:r w:rsidR="00213495" w:rsidRPr="0062149B">
        <w:t xml:space="preserve">rifampicin for the </w:t>
      </w:r>
      <w:r w:rsidR="00213495" w:rsidRPr="00BD76BF">
        <w:t xml:space="preserve">treatment of </w:t>
      </w:r>
      <w:r w:rsidR="00213495" w:rsidRPr="00BD76BF">
        <w:rPr>
          <w:i/>
        </w:rPr>
        <w:t>Mycobacterium ulcerans</w:t>
      </w:r>
      <w:r w:rsidR="00213495" w:rsidRPr="00BD76BF">
        <w:t xml:space="preserve"> infection (Buruli ulcer)</w:t>
      </w:r>
      <w:r w:rsidR="00F71B26" w:rsidRPr="00BD76BF">
        <w:t xml:space="preserve"> if the TGA approves the new indication</w:t>
      </w:r>
      <w:r w:rsidR="00213495" w:rsidRPr="00BD76BF">
        <w:t>.</w:t>
      </w:r>
    </w:p>
    <w:p w:rsidR="00190C01" w:rsidRPr="00BD76BF" w:rsidRDefault="00190C01" w:rsidP="00B745D9">
      <w:pPr>
        <w:pStyle w:val="3-BodyText"/>
      </w:pPr>
      <w:r w:rsidRPr="00BD76BF">
        <w:t xml:space="preserve">The PBAC noted that there is a worsening epidemic of Buruli ulcer in Australia and that </w:t>
      </w:r>
      <w:r w:rsidR="00F71B26" w:rsidRPr="00BD76BF">
        <w:t>r</w:t>
      </w:r>
      <w:r w:rsidRPr="00BD76BF">
        <w:t>ifampicin</w:t>
      </w:r>
      <w:r w:rsidR="00F71B26" w:rsidRPr="00BD76BF">
        <w:t>, one of the key treatments for</w:t>
      </w:r>
      <w:r w:rsidRPr="00BD76BF">
        <w:t xml:space="preserve"> Buruli ulcer, is not TGA-registered or PBS-listed for this indication.</w:t>
      </w:r>
    </w:p>
    <w:p w:rsidR="00190C01" w:rsidRPr="00BD76BF" w:rsidRDefault="00190C01" w:rsidP="00B745D9">
      <w:pPr>
        <w:pStyle w:val="3-BodyText"/>
      </w:pPr>
      <w:r w:rsidRPr="00BD76BF">
        <w:t xml:space="preserve">The PBAC noted the clinical evidence provided and that the </w:t>
      </w:r>
      <w:r w:rsidR="00F71B26" w:rsidRPr="00BD76BF">
        <w:t xml:space="preserve">clinical reviewer had considered that the </w:t>
      </w:r>
      <w:r w:rsidRPr="00BD76BF">
        <w:t>efficacy and safety profile of rifampicin for Buruli ulcer was favourable.</w:t>
      </w:r>
    </w:p>
    <w:p w:rsidR="00BD1F62" w:rsidRPr="00BD76BF" w:rsidRDefault="00BD1F62" w:rsidP="00B745D9">
      <w:pPr>
        <w:pStyle w:val="3-BodyText"/>
      </w:pPr>
      <w:r w:rsidRPr="00BD76BF">
        <w:t xml:space="preserve">The PBAC noted that </w:t>
      </w:r>
      <w:r w:rsidR="00884F33" w:rsidRPr="00BD76BF">
        <w:t>r</w:t>
      </w:r>
      <w:r w:rsidRPr="00BD76BF">
        <w:t>ifampicin is able to be prescribed by nurse practitioners.</w:t>
      </w:r>
    </w:p>
    <w:p w:rsidR="00BD1F62" w:rsidRPr="00BD76BF" w:rsidRDefault="00BD1F62" w:rsidP="00B745D9">
      <w:pPr>
        <w:pStyle w:val="3-BodyText"/>
      </w:pPr>
      <w:r w:rsidRPr="00BD76BF">
        <w:t>The PBAC noted that the Early Supply Rule does not apply to other rifampicin</w:t>
      </w:r>
      <w:r w:rsidRPr="00BD76BF">
        <w:rPr>
          <w:rFonts w:cs="Arial"/>
          <w:snapToGrid w:val="0"/>
        </w:rPr>
        <w:t xml:space="preserve"> listings and advised that the rule should not apply</w:t>
      </w:r>
      <w:r w:rsidRPr="00BD76BF">
        <w:t>.</w:t>
      </w:r>
    </w:p>
    <w:p w:rsidR="00213495" w:rsidRPr="00BD76BF" w:rsidRDefault="00BD1F62" w:rsidP="00B745D9">
      <w:pPr>
        <w:pStyle w:val="3Bodytext"/>
        <w:numPr>
          <w:ilvl w:val="1"/>
          <w:numId w:val="3"/>
        </w:numPr>
      </w:pPr>
      <w:r w:rsidRPr="00BD76BF">
        <w:t xml:space="preserve">The PBAC advised that if recommended for listing, under Section 101(3BA) of the </w:t>
      </w:r>
      <w:r w:rsidRPr="00BD76BF">
        <w:rPr>
          <w:i/>
        </w:rPr>
        <w:t>National Health Act 1953</w:t>
      </w:r>
      <w:r w:rsidRPr="00BD76BF">
        <w:t>, rifampicin should not be treated as interchangeable with any other drugs on an individual basis.</w:t>
      </w:r>
    </w:p>
    <w:p w:rsidR="00B50553" w:rsidRPr="00BD76BF" w:rsidRDefault="00B50553" w:rsidP="00B50553">
      <w:pPr>
        <w:pStyle w:val="3-BodyText"/>
        <w:numPr>
          <w:ilvl w:val="0"/>
          <w:numId w:val="0"/>
        </w:numPr>
      </w:pPr>
      <w:r w:rsidRPr="00BD76BF">
        <w:rPr>
          <w:b/>
        </w:rPr>
        <w:t>Outcome</w:t>
      </w:r>
      <w:r w:rsidR="00E745C1" w:rsidRPr="00BD76BF">
        <w:rPr>
          <w:b/>
        </w:rPr>
        <w:t xml:space="preserve">: </w:t>
      </w:r>
      <w:r w:rsidRPr="00BD76BF">
        <w:rPr>
          <w:b/>
        </w:rPr>
        <w:br/>
      </w:r>
      <w:r w:rsidR="00884F33" w:rsidRPr="00BD76BF">
        <w:t>Deferred</w:t>
      </w:r>
    </w:p>
    <w:p w:rsidR="00B50553" w:rsidRPr="00BD76BF" w:rsidRDefault="00B50553" w:rsidP="00B50553">
      <w:pPr>
        <w:pStyle w:val="2-SectionHeading"/>
      </w:pPr>
      <w:r w:rsidRPr="00BD76BF">
        <w:t>Recommended listing</w:t>
      </w:r>
    </w:p>
    <w:p w:rsidR="00B50553" w:rsidRPr="00BD76BF" w:rsidRDefault="00B50553" w:rsidP="00B50553">
      <w:pPr>
        <w:pStyle w:val="3-BodyText"/>
      </w:pPr>
      <w:r w:rsidRPr="00BD76BF">
        <w:t xml:space="preserve">Add new </w:t>
      </w:r>
      <w:r w:rsidR="00E90AA4">
        <w:t>PBS indication/listing</w:t>
      </w:r>
      <w:r w:rsidRPr="00BD76BF">
        <w:t>:</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B50553" w:rsidRPr="00BD76BF" w:rsidTr="00886937">
        <w:trPr>
          <w:cantSplit/>
          <w:trHeight w:val="471"/>
        </w:trPr>
        <w:tc>
          <w:tcPr>
            <w:tcW w:w="2689" w:type="dxa"/>
          </w:tcPr>
          <w:p w:rsidR="00B50553" w:rsidRPr="00BD76BF" w:rsidRDefault="00B50553" w:rsidP="00886937">
            <w:pPr>
              <w:keepNext/>
              <w:ind w:left="-108"/>
              <w:rPr>
                <w:rFonts w:ascii="Arial Narrow" w:hAnsi="Arial Narrow" w:cs="Arial"/>
                <w:b/>
                <w:sz w:val="18"/>
                <w:szCs w:val="18"/>
              </w:rPr>
            </w:pPr>
            <w:r w:rsidRPr="00BD76BF">
              <w:rPr>
                <w:rFonts w:ascii="Arial Narrow" w:hAnsi="Arial Narrow" w:cs="Arial"/>
                <w:b/>
                <w:sz w:val="18"/>
                <w:szCs w:val="18"/>
              </w:rPr>
              <w:t>Name, Restriction,</w:t>
            </w:r>
          </w:p>
          <w:p w:rsidR="00B50553" w:rsidRPr="00BD76BF" w:rsidRDefault="00B50553" w:rsidP="00886937">
            <w:pPr>
              <w:keepNext/>
              <w:ind w:left="-108"/>
              <w:rPr>
                <w:rFonts w:ascii="Arial Narrow" w:hAnsi="Arial Narrow" w:cs="Arial"/>
                <w:b/>
                <w:sz w:val="18"/>
                <w:szCs w:val="18"/>
              </w:rPr>
            </w:pPr>
            <w:r w:rsidRPr="00BD76BF">
              <w:rPr>
                <w:rFonts w:ascii="Arial Narrow" w:hAnsi="Arial Narrow" w:cs="Arial"/>
                <w:b/>
                <w:sz w:val="18"/>
                <w:szCs w:val="18"/>
              </w:rPr>
              <w:t>Manner of administration and form</w:t>
            </w:r>
          </w:p>
        </w:tc>
        <w:tc>
          <w:tcPr>
            <w:tcW w:w="1275" w:type="dxa"/>
          </w:tcPr>
          <w:p w:rsidR="00B50553" w:rsidRPr="00BD76BF" w:rsidRDefault="00B50553" w:rsidP="00886937">
            <w:pPr>
              <w:keepNext/>
              <w:ind w:left="-108"/>
              <w:jc w:val="center"/>
              <w:rPr>
                <w:rFonts w:ascii="Arial Narrow" w:hAnsi="Arial Narrow" w:cs="Arial"/>
                <w:b/>
                <w:sz w:val="18"/>
                <w:szCs w:val="18"/>
              </w:rPr>
            </w:pPr>
            <w:r w:rsidRPr="00BD76BF">
              <w:rPr>
                <w:rFonts w:ascii="Arial Narrow" w:hAnsi="Arial Narrow" w:cs="Arial"/>
                <w:b/>
                <w:sz w:val="18"/>
                <w:szCs w:val="18"/>
              </w:rPr>
              <w:t>PBS item code</w:t>
            </w:r>
          </w:p>
        </w:tc>
        <w:tc>
          <w:tcPr>
            <w:tcW w:w="851" w:type="dxa"/>
          </w:tcPr>
          <w:p w:rsidR="00B50553" w:rsidRPr="00BD76BF" w:rsidRDefault="00B50553" w:rsidP="00886937">
            <w:pPr>
              <w:keepNext/>
              <w:ind w:left="-108"/>
              <w:jc w:val="center"/>
              <w:rPr>
                <w:rFonts w:ascii="Arial Narrow" w:hAnsi="Arial Narrow" w:cs="Arial"/>
                <w:b/>
                <w:sz w:val="18"/>
                <w:szCs w:val="18"/>
              </w:rPr>
            </w:pPr>
            <w:r w:rsidRPr="00BD76BF">
              <w:rPr>
                <w:rFonts w:ascii="Arial Narrow" w:hAnsi="Arial Narrow" w:cs="Arial"/>
                <w:b/>
                <w:sz w:val="18"/>
                <w:szCs w:val="18"/>
              </w:rPr>
              <w:t>Max. qty packs</w:t>
            </w:r>
          </w:p>
        </w:tc>
        <w:tc>
          <w:tcPr>
            <w:tcW w:w="850" w:type="dxa"/>
          </w:tcPr>
          <w:p w:rsidR="00B50553" w:rsidRPr="00BD76BF" w:rsidRDefault="00B50553" w:rsidP="00886937">
            <w:pPr>
              <w:keepNext/>
              <w:ind w:left="-108"/>
              <w:jc w:val="center"/>
              <w:rPr>
                <w:rFonts w:ascii="Arial Narrow" w:hAnsi="Arial Narrow" w:cs="Arial"/>
                <w:b/>
                <w:sz w:val="18"/>
                <w:szCs w:val="18"/>
              </w:rPr>
            </w:pPr>
            <w:r w:rsidRPr="00BD76BF">
              <w:rPr>
                <w:rFonts w:ascii="Arial Narrow" w:hAnsi="Arial Narrow" w:cs="Arial"/>
                <w:b/>
                <w:sz w:val="18"/>
                <w:szCs w:val="18"/>
              </w:rPr>
              <w:t>Max. qty units</w:t>
            </w:r>
          </w:p>
        </w:tc>
        <w:tc>
          <w:tcPr>
            <w:tcW w:w="709" w:type="dxa"/>
          </w:tcPr>
          <w:p w:rsidR="00B50553" w:rsidRPr="00BD76BF" w:rsidRDefault="00B50553" w:rsidP="00886937">
            <w:pPr>
              <w:keepNext/>
              <w:ind w:left="-108"/>
              <w:jc w:val="center"/>
              <w:rPr>
                <w:rFonts w:ascii="Arial Narrow" w:hAnsi="Arial Narrow" w:cs="Arial"/>
                <w:b/>
                <w:sz w:val="18"/>
                <w:szCs w:val="18"/>
              </w:rPr>
            </w:pPr>
            <w:r w:rsidRPr="00BD76BF">
              <w:rPr>
                <w:rFonts w:ascii="Arial Narrow" w:hAnsi="Arial Narrow" w:cs="Arial"/>
                <w:b/>
                <w:sz w:val="18"/>
                <w:szCs w:val="18"/>
              </w:rPr>
              <w:t>№.of</w:t>
            </w:r>
          </w:p>
          <w:p w:rsidR="00B50553" w:rsidRPr="00BD76BF" w:rsidRDefault="00B50553" w:rsidP="00886937">
            <w:pPr>
              <w:keepNext/>
              <w:ind w:left="-108"/>
              <w:jc w:val="center"/>
              <w:rPr>
                <w:rFonts w:ascii="Arial Narrow" w:hAnsi="Arial Narrow" w:cs="Arial"/>
                <w:b/>
                <w:sz w:val="18"/>
                <w:szCs w:val="18"/>
              </w:rPr>
            </w:pPr>
            <w:r w:rsidRPr="00BD76BF">
              <w:rPr>
                <w:rFonts w:ascii="Arial Narrow" w:hAnsi="Arial Narrow" w:cs="Arial"/>
                <w:b/>
                <w:sz w:val="18"/>
                <w:szCs w:val="18"/>
              </w:rPr>
              <w:t>Rpts</w:t>
            </w:r>
          </w:p>
        </w:tc>
        <w:tc>
          <w:tcPr>
            <w:tcW w:w="2551" w:type="dxa"/>
            <w:gridSpan w:val="2"/>
          </w:tcPr>
          <w:p w:rsidR="00B50553" w:rsidRPr="00BD76BF" w:rsidRDefault="00B50553" w:rsidP="00886937">
            <w:pPr>
              <w:keepNext/>
              <w:rPr>
                <w:rFonts w:ascii="Arial Narrow" w:hAnsi="Arial Narrow" w:cs="Arial"/>
                <w:b/>
                <w:sz w:val="18"/>
                <w:szCs w:val="18"/>
              </w:rPr>
            </w:pPr>
            <w:r w:rsidRPr="00BD76BF">
              <w:rPr>
                <w:rFonts w:ascii="Arial Narrow" w:hAnsi="Arial Narrow" w:cs="Arial"/>
                <w:b/>
                <w:sz w:val="18"/>
                <w:szCs w:val="18"/>
              </w:rPr>
              <w:t>Proprietary Name and Manufacturer</w:t>
            </w:r>
          </w:p>
        </w:tc>
      </w:tr>
      <w:tr w:rsidR="00B50553" w:rsidRPr="00BD76BF" w:rsidTr="00886937">
        <w:trPr>
          <w:cantSplit/>
          <w:trHeight w:val="504"/>
        </w:trPr>
        <w:tc>
          <w:tcPr>
            <w:tcW w:w="2689" w:type="dxa"/>
          </w:tcPr>
          <w:p w:rsidR="00B50553" w:rsidRPr="00BD76BF" w:rsidRDefault="00B50553" w:rsidP="00886937">
            <w:pPr>
              <w:keepNext/>
              <w:ind w:left="-108"/>
              <w:rPr>
                <w:rFonts w:ascii="Arial Narrow" w:hAnsi="Arial Narrow" w:cs="Arial"/>
                <w:sz w:val="18"/>
                <w:szCs w:val="18"/>
              </w:rPr>
            </w:pPr>
            <w:r w:rsidRPr="00BD76BF">
              <w:rPr>
                <w:rFonts w:ascii="Arial Narrow" w:hAnsi="Arial Narrow" w:cs="Arial"/>
                <w:sz w:val="18"/>
                <w:szCs w:val="18"/>
              </w:rPr>
              <w:t>RIFAMPICIN</w:t>
            </w:r>
          </w:p>
          <w:p w:rsidR="00B50553" w:rsidRPr="00BD76BF" w:rsidRDefault="00B50553" w:rsidP="00886937">
            <w:pPr>
              <w:keepNext/>
              <w:ind w:left="-108"/>
              <w:rPr>
                <w:rFonts w:ascii="Arial Narrow" w:hAnsi="Arial Narrow" w:cs="Arial"/>
                <w:sz w:val="18"/>
                <w:szCs w:val="18"/>
              </w:rPr>
            </w:pPr>
            <w:r w:rsidRPr="00BD76BF">
              <w:rPr>
                <w:rFonts w:ascii="Arial Narrow" w:hAnsi="Arial Narrow" w:cs="Arial"/>
                <w:sz w:val="18"/>
                <w:szCs w:val="18"/>
              </w:rPr>
              <w:t>rifampicin 150 mg capsule, 10</w:t>
            </w:r>
          </w:p>
          <w:p w:rsidR="00B50553" w:rsidRPr="00BD76BF" w:rsidRDefault="00B50553" w:rsidP="00886937">
            <w:pPr>
              <w:keepNext/>
              <w:ind w:left="-108"/>
              <w:rPr>
                <w:rFonts w:ascii="Arial Narrow" w:hAnsi="Arial Narrow" w:cs="Arial"/>
                <w:sz w:val="18"/>
                <w:szCs w:val="18"/>
              </w:rPr>
            </w:pPr>
          </w:p>
          <w:p w:rsidR="00B50553" w:rsidRPr="00BD76BF" w:rsidRDefault="00B50553" w:rsidP="00886937">
            <w:pPr>
              <w:keepNext/>
              <w:ind w:left="-108"/>
              <w:rPr>
                <w:rFonts w:ascii="Arial Narrow" w:hAnsi="Arial Narrow" w:cs="Arial"/>
                <w:sz w:val="18"/>
                <w:szCs w:val="18"/>
              </w:rPr>
            </w:pPr>
            <w:r w:rsidRPr="00BD76BF">
              <w:rPr>
                <w:rFonts w:ascii="Arial Narrow" w:hAnsi="Arial Narrow" w:cs="Arial"/>
                <w:sz w:val="18"/>
                <w:szCs w:val="18"/>
              </w:rPr>
              <w:t>rifampicin 300 mg capsule, 10</w:t>
            </w:r>
          </w:p>
          <w:p w:rsidR="00B50553" w:rsidRPr="00BD76BF" w:rsidRDefault="00B50553" w:rsidP="00886937">
            <w:pPr>
              <w:keepNext/>
              <w:ind w:left="-108"/>
              <w:rPr>
                <w:rFonts w:ascii="Arial Narrow" w:hAnsi="Arial Narrow" w:cs="Arial"/>
                <w:sz w:val="18"/>
                <w:szCs w:val="18"/>
              </w:rPr>
            </w:pPr>
          </w:p>
          <w:p w:rsidR="00B50553" w:rsidRPr="00BD76BF" w:rsidRDefault="00B50553" w:rsidP="00886937">
            <w:pPr>
              <w:keepNext/>
              <w:ind w:left="-108"/>
              <w:rPr>
                <w:rFonts w:ascii="Arial Narrow" w:hAnsi="Arial Narrow" w:cs="Arial"/>
                <w:sz w:val="18"/>
                <w:szCs w:val="18"/>
              </w:rPr>
            </w:pPr>
            <w:r w:rsidRPr="00BD76BF">
              <w:rPr>
                <w:rFonts w:ascii="Arial Narrow" w:hAnsi="Arial Narrow" w:cs="Arial"/>
                <w:sz w:val="18"/>
                <w:szCs w:val="18"/>
              </w:rPr>
              <w:t>rifampicin 150 mg capsule, 100</w:t>
            </w:r>
          </w:p>
          <w:p w:rsidR="00B50553" w:rsidRPr="00BD76BF" w:rsidRDefault="00B50553" w:rsidP="00886937">
            <w:pPr>
              <w:keepNext/>
              <w:ind w:left="-108"/>
              <w:rPr>
                <w:rFonts w:ascii="Arial Narrow" w:hAnsi="Arial Narrow" w:cs="Arial"/>
                <w:sz w:val="18"/>
                <w:szCs w:val="18"/>
              </w:rPr>
            </w:pPr>
          </w:p>
          <w:p w:rsidR="00B50553" w:rsidRPr="00BD76BF" w:rsidRDefault="00B50553" w:rsidP="00886937">
            <w:pPr>
              <w:keepNext/>
              <w:ind w:left="-108"/>
              <w:rPr>
                <w:rFonts w:ascii="Arial Narrow" w:hAnsi="Arial Narrow" w:cs="Arial"/>
                <w:sz w:val="18"/>
                <w:szCs w:val="18"/>
              </w:rPr>
            </w:pPr>
            <w:r w:rsidRPr="00BD76BF">
              <w:rPr>
                <w:rFonts w:ascii="Arial Narrow" w:hAnsi="Arial Narrow" w:cs="Arial"/>
                <w:sz w:val="18"/>
                <w:szCs w:val="18"/>
              </w:rPr>
              <w:t>rifampicin 300 mg capsule, 100</w:t>
            </w:r>
          </w:p>
        </w:tc>
        <w:tc>
          <w:tcPr>
            <w:tcW w:w="1275" w:type="dxa"/>
          </w:tcPr>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NEW</w:t>
            </w:r>
          </w:p>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NEW</w:t>
            </w:r>
          </w:p>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NEW</w:t>
            </w:r>
          </w:p>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NEW</w:t>
            </w:r>
          </w:p>
        </w:tc>
        <w:tc>
          <w:tcPr>
            <w:tcW w:w="851" w:type="dxa"/>
          </w:tcPr>
          <w:p w:rsidR="00B50553" w:rsidRPr="00BD76BF" w:rsidRDefault="00B50553" w:rsidP="00886937">
            <w:pPr>
              <w:keepNext/>
              <w:jc w:val="center"/>
              <w:rPr>
                <w:rFonts w:ascii="Arial Narrow" w:hAnsi="Arial Narrow" w:cs="Arial"/>
                <w:sz w:val="18"/>
                <w:szCs w:val="18"/>
              </w:rPr>
            </w:pPr>
          </w:p>
          <w:p w:rsidR="00B50553" w:rsidRPr="00BD76BF" w:rsidRDefault="00B50553" w:rsidP="00886937">
            <w:pPr>
              <w:keepNext/>
              <w:jc w:val="center"/>
              <w:rPr>
                <w:rFonts w:ascii="Arial Narrow" w:hAnsi="Arial Narrow" w:cs="Arial"/>
                <w:sz w:val="18"/>
                <w:szCs w:val="18"/>
              </w:rPr>
            </w:pPr>
            <w:r w:rsidRPr="00BD76BF">
              <w:rPr>
                <w:rFonts w:ascii="Arial Narrow" w:hAnsi="Arial Narrow" w:cs="Arial"/>
                <w:sz w:val="18"/>
                <w:szCs w:val="18"/>
              </w:rPr>
              <w:t>12</w:t>
            </w:r>
          </w:p>
          <w:p w:rsidR="00B50553" w:rsidRPr="00BD76BF" w:rsidRDefault="00B50553" w:rsidP="00886937">
            <w:pPr>
              <w:keepNext/>
              <w:jc w:val="center"/>
              <w:rPr>
                <w:rFonts w:ascii="Arial Narrow" w:hAnsi="Arial Narrow" w:cs="Arial"/>
                <w:sz w:val="18"/>
                <w:szCs w:val="18"/>
              </w:rPr>
            </w:pPr>
          </w:p>
          <w:p w:rsidR="00B50553" w:rsidRPr="00BD76BF" w:rsidRDefault="00B50553" w:rsidP="00886937">
            <w:pPr>
              <w:keepNext/>
              <w:jc w:val="center"/>
              <w:rPr>
                <w:rFonts w:ascii="Arial Narrow" w:hAnsi="Arial Narrow" w:cs="Arial"/>
                <w:sz w:val="18"/>
                <w:szCs w:val="18"/>
              </w:rPr>
            </w:pPr>
            <w:r w:rsidRPr="00BD76BF">
              <w:rPr>
                <w:rFonts w:ascii="Arial Narrow" w:hAnsi="Arial Narrow" w:cs="Arial"/>
                <w:sz w:val="18"/>
                <w:szCs w:val="18"/>
              </w:rPr>
              <w:t>12</w:t>
            </w:r>
          </w:p>
          <w:p w:rsidR="00B50553" w:rsidRPr="00BD76BF" w:rsidRDefault="00B50553" w:rsidP="00886937">
            <w:pPr>
              <w:keepNext/>
              <w:jc w:val="center"/>
              <w:rPr>
                <w:rFonts w:ascii="Arial Narrow" w:hAnsi="Arial Narrow" w:cs="Arial"/>
                <w:sz w:val="18"/>
                <w:szCs w:val="18"/>
              </w:rPr>
            </w:pPr>
          </w:p>
          <w:p w:rsidR="00B50553" w:rsidRPr="00BD76BF" w:rsidRDefault="00B50553" w:rsidP="00886937">
            <w:pPr>
              <w:keepNext/>
              <w:jc w:val="center"/>
              <w:rPr>
                <w:rFonts w:ascii="Arial Narrow" w:hAnsi="Arial Narrow" w:cs="Arial"/>
                <w:sz w:val="18"/>
                <w:szCs w:val="18"/>
              </w:rPr>
            </w:pPr>
            <w:r w:rsidRPr="00BD76BF">
              <w:rPr>
                <w:rFonts w:ascii="Arial Narrow" w:hAnsi="Arial Narrow" w:cs="Arial"/>
                <w:sz w:val="18"/>
                <w:szCs w:val="18"/>
              </w:rPr>
              <w:t>1</w:t>
            </w:r>
          </w:p>
          <w:p w:rsidR="00B50553" w:rsidRPr="00BD76BF" w:rsidRDefault="00B50553" w:rsidP="00886937">
            <w:pPr>
              <w:keepNext/>
              <w:jc w:val="center"/>
              <w:rPr>
                <w:rFonts w:ascii="Arial Narrow" w:hAnsi="Arial Narrow" w:cs="Arial"/>
                <w:sz w:val="18"/>
                <w:szCs w:val="18"/>
              </w:rPr>
            </w:pPr>
          </w:p>
          <w:p w:rsidR="00B50553" w:rsidRPr="00BD76BF" w:rsidRDefault="00B50553" w:rsidP="00886937">
            <w:pPr>
              <w:keepNext/>
              <w:jc w:val="center"/>
              <w:rPr>
                <w:rFonts w:ascii="Arial Narrow" w:hAnsi="Arial Narrow" w:cs="Arial"/>
                <w:sz w:val="18"/>
                <w:szCs w:val="18"/>
              </w:rPr>
            </w:pPr>
            <w:r w:rsidRPr="00BD76BF">
              <w:rPr>
                <w:rFonts w:ascii="Arial Narrow" w:hAnsi="Arial Narrow" w:cs="Arial"/>
                <w:sz w:val="18"/>
                <w:szCs w:val="18"/>
              </w:rPr>
              <w:t>1</w:t>
            </w:r>
          </w:p>
        </w:tc>
        <w:tc>
          <w:tcPr>
            <w:tcW w:w="850" w:type="dxa"/>
          </w:tcPr>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120</w:t>
            </w:r>
          </w:p>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120</w:t>
            </w:r>
          </w:p>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100</w:t>
            </w:r>
          </w:p>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100</w:t>
            </w:r>
          </w:p>
        </w:tc>
        <w:tc>
          <w:tcPr>
            <w:tcW w:w="709" w:type="dxa"/>
          </w:tcPr>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0</w:t>
            </w:r>
          </w:p>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0</w:t>
            </w:r>
          </w:p>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0</w:t>
            </w:r>
          </w:p>
          <w:p w:rsidR="00B50553" w:rsidRPr="00BD76BF" w:rsidRDefault="00B50553" w:rsidP="00886937">
            <w:pPr>
              <w:keepNext/>
              <w:ind w:left="-108"/>
              <w:jc w:val="center"/>
              <w:rPr>
                <w:rFonts w:ascii="Arial Narrow" w:hAnsi="Arial Narrow" w:cs="Arial"/>
                <w:sz w:val="18"/>
                <w:szCs w:val="18"/>
              </w:rPr>
            </w:pPr>
          </w:p>
          <w:p w:rsidR="00B50553" w:rsidRPr="00BD76BF" w:rsidRDefault="00B50553" w:rsidP="00886937">
            <w:pPr>
              <w:keepNext/>
              <w:ind w:left="-108"/>
              <w:jc w:val="center"/>
              <w:rPr>
                <w:rFonts w:ascii="Arial Narrow" w:hAnsi="Arial Narrow" w:cs="Arial"/>
                <w:sz w:val="18"/>
                <w:szCs w:val="18"/>
              </w:rPr>
            </w:pPr>
            <w:r w:rsidRPr="00BD76BF">
              <w:rPr>
                <w:rFonts w:ascii="Arial Narrow" w:hAnsi="Arial Narrow" w:cs="Arial"/>
                <w:sz w:val="18"/>
                <w:szCs w:val="18"/>
              </w:rPr>
              <w:t>0</w:t>
            </w:r>
          </w:p>
        </w:tc>
        <w:tc>
          <w:tcPr>
            <w:tcW w:w="1134" w:type="dxa"/>
          </w:tcPr>
          <w:p w:rsidR="00B50553" w:rsidRPr="00BD76BF" w:rsidRDefault="00B50553" w:rsidP="00886937">
            <w:pPr>
              <w:keepNext/>
              <w:rPr>
                <w:rFonts w:ascii="Arial Narrow" w:hAnsi="Arial Narrow" w:cs="Arial"/>
                <w:sz w:val="18"/>
                <w:szCs w:val="18"/>
              </w:rPr>
            </w:pPr>
          </w:p>
          <w:p w:rsidR="00B50553" w:rsidRPr="00BD76BF" w:rsidRDefault="00B50553" w:rsidP="00886937">
            <w:pPr>
              <w:keepNext/>
              <w:rPr>
                <w:rFonts w:ascii="Arial Narrow" w:hAnsi="Arial Narrow" w:cs="Arial"/>
                <w:sz w:val="18"/>
                <w:szCs w:val="18"/>
                <w:vertAlign w:val="superscript"/>
              </w:rPr>
            </w:pPr>
            <w:r w:rsidRPr="00BD76BF">
              <w:rPr>
                <w:rFonts w:ascii="Arial Narrow" w:hAnsi="Arial Narrow" w:cs="Arial"/>
                <w:sz w:val="18"/>
                <w:szCs w:val="18"/>
              </w:rPr>
              <w:t>Rimycin 150</w:t>
            </w:r>
            <w:r w:rsidRPr="00BD76BF">
              <w:rPr>
                <w:rFonts w:ascii="Arial Narrow" w:hAnsi="Arial Narrow" w:cs="Arial"/>
                <w:sz w:val="18"/>
                <w:szCs w:val="18"/>
                <w:vertAlign w:val="superscript"/>
              </w:rPr>
              <w:t>®</w:t>
            </w:r>
          </w:p>
          <w:p w:rsidR="00B50553" w:rsidRPr="00BD76BF" w:rsidRDefault="00B50553" w:rsidP="00886937">
            <w:pPr>
              <w:keepNext/>
              <w:rPr>
                <w:rFonts w:ascii="Arial Narrow" w:hAnsi="Arial Narrow" w:cs="Arial"/>
                <w:sz w:val="18"/>
                <w:szCs w:val="18"/>
              </w:rPr>
            </w:pPr>
          </w:p>
          <w:p w:rsidR="00B50553" w:rsidRPr="00BD76BF" w:rsidRDefault="00B50553" w:rsidP="00886937">
            <w:pPr>
              <w:keepNext/>
              <w:rPr>
                <w:rFonts w:ascii="Arial Narrow" w:hAnsi="Arial Narrow" w:cs="Arial"/>
                <w:sz w:val="18"/>
                <w:szCs w:val="18"/>
                <w:vertAlign w:val="superscript"/>
              </w:rPr>
            </w:pPr>
            <w:r w:rsidRPr="00BD76BF">
              <w:rPr>
                <w:rFonts w:ascii="Arial Narrow" w:hAnsi="Arial Narrow" w:cs="Arial"/>
                <w:sz w:val="18"/>
                <w:szCs w:val="18"/>
              </w:rPr>
              <w:t>Rimycin 300</w:t>
            </w:r>
            <w:r w:rsidRPr="00BD76BF">
              <w:rPr>
                <w:rFonts w:ascii="Arial Narrow" w:hAnsi="Arial Narrow" w:cs="Arial"/>
                <w:sz w:val="18"/>
                <w:szCs w:val="18"/>
                <w:vertAlign w:val="superscript"/>
              </w:rPr>
              <w:t>®</w:t>
            </w:r>
          </w:p>
          <w:p w:rsidR="00B50553" w:rsidRPr="00BD76BF" w:rsidRDefault="00B50553" w:rsidP="00886937">
            <w:pPr>
              <w:keepNext/>
              <w:rPr>
                <w:rFonts w:ascii="Arial Narrow" w:hAnsi="Arial Narrow" w:cs="Arial"/>
                <w:sz w:val="18"/>
                <w:szCs w:val="18"/>
              </w:rPr>
            </w:pPr>
          </w:p>
          <w:p w:rsidR="00B50553" w:rsidRPr="00BD76BF" w:rsidRDefault="00B50553" w:rsidP="00886937">
            <w:pPr>
              <w:keepNext/>
              <w:rPr>
                <w:rFonts w:ascii="Arial Narrow" w:hAnsi="Arial Narrow" w:cs="Arial"/>
                <w:sz w:val="18"/>
                <w:szCs w:val="18"/>
                <w:vertAlign w:val="superscript"/>
              </w:rPr>
            </w:pPr>
            <w:r w:rsidRPr="00BD76BF">
              <w:rPr>
                <w:rFonts w:ascii="Arial Narrow" w:hAnsi="Arial Narrow" w:cs="Arial"/>
                <w:sz w:val="18"/>
                <w:szCs w:val="18"/>
              </w:rPr>
              <w:t>Rimycin 150</w:t>
            </w:r>
            <w:r w:rsidRPr="00BD76BF">
              <w:rPr>
                <w:rFonts w:ascii="Arial Narrow" w:hAnsi="Arial Narrow" w:cs="Arial"/>
                <w:sz w:val="18"/>
                <w:szCs w:val="18"/>
                <w:vertAlign w:val="superscript"/>
              </w:rPr>
              <w:t>®</w:t>
            </w:r>
          </w:p>
          <w:p w:rsidR="00B50553" w:rsidRPr="00BD76BF" w:rsidRDefault="00B50553" w:rsidP="00886937">
            <w:pPr>
              <w:keepNext/>
              <w:rPr>
                <w:rFonts w:ascii="Arial Narrow" w:hAnsi="Arial Narrow" w:cs="Arial"/>
                <w:sz w:val="18"/>
                <w:szCs w:val="18"/>
              </w:rPr>
            </w:pPr>
          </w:p>
          <w:p w:rsidR="00B50553" w:rsidRPr="00BD76BF" w:rsidRDefault="00B50553" w:rsidP="00886937">
            <w:pPr>
              <w:keepNext/>
              <w:rPr>
                <w:rFonts w:ascii="Arial Narrow" w:hAnsi="Arial Narrow" w:cs="Arial"/>
                <w:sz w:val="18"/>
                <w:szCs w:val="18"/>
              </w:rPr>
            </w:pPr>
            <w:r w:rsidRPr="00BD76BF">
              <w:rPr>
                <w:rFonts w:ascii="Arial Narrow" w:hAnsi="Arial Narrow" w:cs="Arial"/>
                <w:sz w:val="18"/>
                <w:szCs w:val="18"/>
              </w:rPr>
              <w:t>Rimycin 300</w:t>
            </w:r>
            <w:r w:rsidRPr="00BD76BF">
              <w:rPr>
                <w:rFonts w:ascii="Arial Narrow" w:hAnsi="Arial Narrow" w:cs="Arial"/>
                <w:sz w:val="18"/>
                <w:szCs w:val="18"/>
                <w:vertAlign w:val="superscript"/>
              </w:rPr>
              <w:t>®</w:t>
            </w:r>
          </w:p>
        </w:tc>
        <w:tc>
          <w:tcPr>
            <w:tcW w:w="1417" w:type="dxa"/>
          </w:tcPr>
          <w:p w:rsidR="00B50553" w:rsidRPr="00BD76BF" w:rsidRDefault="00B50553" w:rsidP="00886937">
            <w:pPr>
              <w:keepNext/>
              <w:rPr>
                <w:rFonts w:ascii="Arial Narrow" w:hAnsi="Arial Narrow" w:cs="Arial"/>
                <w:sz w:val="18"/>
                <w:szCs w:val="18"/>
              </w:rPr>
            </w:pPr>
          </w:p>
          <w:p w:rsidR="00B50553" w:rsidRPr="00BD76BF" w:rsidRDefault="00B50553" w:rsidP="00886937">
            <w:pPr>
              <w:keepNext/>
              <w:rPr>
                <w:rFonts w:ascii="Arial Narrow" w:hAnsi="Arial Narrow" w:cs="Arial"/>
                <w:sz w:val="18"/>
                <w:szCs w:val="18"/>
              </w:rPr>
            </w:pPr>
            <w:r w:rsidRPr="00BD76BF">
              <w:rPr>
                <w:rFonts w:ascii="Arial Narrow" w:hAnsi="Arial Narrow" w:cs="Arial"/>
                <w:sz w:val="18"/>
                <w:szCs w:val="18"/>
              </w:rPr>
              <w:t>Alphapharm Pty Ltd</w:t>
            </w:r>
          </w:p>
          <w:p w:rsidR="00B50553" w:rsidRPr="00BD76BF" w:rsidRDefault="00B50553" w:rsidP="00886937">
            <w:pPr>
              <w:keepNext/>
              <w:rPr>
                <w:rFonts w:ascii="Arial Narrow" w:hAnsi="Arial Narrow" w:cs="Arial"/>
                <w:sz w:val="18"/>
                <w:szCs w:val="18"/>
              </w:rPr>
            </w:pPr>
            <w:r w:rsidRPr="00BD76BF">
              <w:rPr>
                <w:rFonts w:ascii="Arial Narrow" w:hAnsi="Arial Narrow" w:cs="Arial"/>
                <w:sz w:val="18"/>
                <w:szCs w:val="18"/>
              </w:rPr>
              <w:t>Alphapharm Pty Ltd</w:t>
            </w:r>
          </w:p>
          <w:p w:rsidR="00B50553" w:rsidRPr="00BD76BF" w:rsidRDefault="00B50553" w:rsidP="00886937">
            <w:pPr>
              <w:keepNext/>
              <w:rPr>
                <w:rFonts w:ascii="Arial Narrow" w:hAnsi="Arial Narrow" w:cs="Arial"/>
                <w:sz w:val="18"/>
                <w:szCs w:val="18"/>
              </w:rPr>
            </w:pPr>
            <w:r w:rsidRPr="00BD76BF">
              <w:rPr>
                <w:rFonts w:ascii="Arial Narrow" w:hAnsi="Arial Narrow" w:cs="Arial"/>
                <w:sz w:val="18"/>
                <w:szCs w:val="18"/>
              </w:rPr>
              <w:t>Alphapharm Pty Ltd</w:t>
            </w:r>
          </w:p>
          <w:p w:rsidR="00B50553" w:rsidRPr="00BD76BF" w:rsidRDefault="00B50553" w:rsidP="00886937">
            <w:pPr>
              <w:keepNext/>
              <w:rPr>
                <w:rFonts w:ascii="Arial Narrow" w:hAnsi="Arial Narrow" w:cs="Arial"/>
                <w:sz w:val="18"/>
                <w:szCs w:val="18"/>
              </w:rPr>
            </w:pPr>
            <w:r w:rsidRPr="00BD76BF">
              <w:rPr>
                <w:rFonts w:ascii="Arial Narrow" w:hAnsi="Arial Narrow" w:cs="Arial"/>
                <w:sz w:val="18"/>
                <w:szCs w:val="18"/>
              </w:rPr>
              <w:t>Alphapharm Pty Ltd</w:t>
            </w:r>
          </w:p>
        </w:tc>
      </w:tr>
    </w:tbl>
    <w:p w:rsidR="00B50553" w:rsidRPr="00BD76BF" w:rsidRDefault="00B50553" w:rsidP="00B50553">
      <w:pPr>
        <w:pStyle w:val="3Bodytext"/>
        <w:ind w:left="0" w:firstLine="0"/>
      </w:pPr>
    </w:p>
    <w:p w:rsidR="00B50553" w:rsidRPr="00BD76BF" w:rsidRDefault="00B50553" w:rsidP="00B50553">
      <w:pPr>
        <w:pStyle w:val="TableFigureHeading"/>
      </w:pPr>
      <w:r w:rsidRPr="00BD76BF">
        <w:t>Restriction Summary NEW / Treatment of Concept: NEW</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9"/>
      </w:tblGrid>
      <w:tr w:rsidR="00B85F43" w:rsidRPr="00BD76BF" w:rsidTr="00B85F43">
        <w:tc>
          <w:tcPr>
            <w:tcW w:w="5000" w:type="pct"/>
            <w:tcBorders>
              <w:top w:val="single" w:sz="4" w:space="0" w:color="auto"/>
              <w:left w:val="single" w:sz="4" w:space="0" w:color="auto"/>
              <w:bottom w:val="single" w:sz="4" w:space="0" w:color="auto"/>
              <w:right w:val="single" w:sz="4" w:space="0" w:color="auto"/>
            </w:tcBorders>
          </w:tcPr>
          <w:p w:rsidR="00B85F43" w:rsidRPr="00BD76BF" w:rsidRDefault="00B85F43" w:rsidP="00886937">
            <w:pPr>
              <w:rPr>
                <w:rFonts w:ascii="Arial Narrow" w:hAnsi="Arial Narrow" w:cs="Arial"/>
                <w:sz w:val="18"/>
                <w:szCs w:val="18"/>
              </w:rPr>
            </w:pPr>
            <w:r w:rsidRPr="00BD76BF">
              <w:rPr>
                <w:rFonts w:ascii="Arial Narrow" w:hAnsi="Arial Narrow" w:cs="Arial"/>
                <w:b/>
                <w:sz w:val="18"/>
                <w:szCs w:val="18"/>
              </w:rPr>
              <w:t>Category / Program:</w:t>
            </w:r>
            <w:r w:rsidR="00ED0145">
              <w:rPr>
                <w:rFonts w:ascii="Arial Narrow" w:hAnsi="Arial Narrow" w:cs="Arial"/>
                <w:b/>
                <w:sz w:val="18"/>
                <w:szCs w:val="18"/>
              </w:rPr>
              <w:t xml:space="preserve"> </w:t>
            </w:r>
          </w:p>
          <w:p w:rsidR="00B85F43" w:rsidRPr="00BD76BF" w:rsidRDefault="00B85F43" w:rsidP="00886937">
            <w:pPr>
              <w:rPr>
                <w:rFonts w:ascii="Arial Narrow" w:hAnsi="Arial Narrow" w:cs="Arial"/>
                <w:sz w:val="18"/>
                <w:szCs w:val="18"/>
              </w:rPr>
            </w:pPr>
            <w:r w:rsidRPr="00BD76BF">
              <w:rPr>
                <w:rFonts w:ascii="Arial Narrow" w:hAnsi="Arial Narrow" w:cs="Arial"/>
                <w:sz w:val="18"/>
                <w:szCs w:val="18"/>
              </w:rPr>
              <w:t xml:space="preserve">GENERAL – General Schedule (Code GE) </w:t>
            </w:r>
          </w:p>
        </w:tc>
      </w:tr>
      <w:tr w:rsidR="00B85F43" w:rsidRPr="00BD76BF" w:rsidTr="00B85F43">
        <w:trPr>
          <w:trHeight w:val="49"/>
        </w:trPr>
        <w:tc>
          <w:tcPr>
            <w:tcW w:w="5000" w:type="pct"/>
            <w:tcBorders>
              <w:top w:val="single" w:sz="4" w:space="0" w:color="auto"/>
              <w:left w:val="single" w:sz="4" w:space="0" w:color="auto"/>
              <w:bottom w:val="single" w:sz="4" w:space="0" w:color="auto"/>
              <w:right w:val="single" w:sz="4" w:space="0" w:color="auto"/>
            </w:tcBorders>
          </w:tcPr>
          <w:p w:rsidR="00B85F43" w:rsidRPr="00BD76BF" w:rsidRDefault="00B85F43" w:rsidP="00AB3C10">
            <w:pPr>
              <w:rPr>
                <w:rFonts w:ascii="Arial Narrow" w:hAnsi="Arial Narrow" w:cs="Arial"/>
                <w:b/>
                <w:sz w:val="18"/>
                <w:szCs w:val="18"/>
              </w:rPr>
            </w:pPr>
            <w:r w:rsidRPr="00BD76BF">
              <w:rPr>
                <w:rFonts w:ascii="Arial Narrow" w:hAnsi="Arial Narrow" w:cs="Arial"/>
                <w:b/>
                <w:sz w:val="18"/>
                <w:szCs w:val="18"/>
              </w:rPr>
              <w:t xml:space="preserve">Prescriber type:  </w:t>
            </w:r>
            <w:r w:rsidRPr="00BD76BF">
              <w:rPr>
                <w:rFonts w:ascii="Arial Narrow" w:hAnsi="Arial Narrow" w:cs="Arial"/>
                <w:sz w:val="18"/>
                <w:szCs w:val="18"/>
              </w:rPr>
              <w:t xml:space="preserve"> </w:t>
            </w:r>
            <w:r w:rsidRPr="0062149B">
              <w:rPr>
                <w:rFonts w:ascii="Arial Narrow" w:hAnsi="Arial Narrow" w:cs="Arial"/>
                <w:sz w:val="18"/>
                <w:szCs w:val="18"/>
              </w:rPr>
              <w:fldChar w:fldCharType="begin">
                <w:ffData>
                  <w:name w:val=""/>
                  <w:enabled/>
                  <w:calcOnExit w:val="0"/>
                  <w:checkBox>
                    <w:sizeAuto/>
                    <w:default w:val="1"/>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 xml:space="preserve">Medical Practitioners   </w:t>
            </w:r>
            <w:r w:rsidRPr="0062149B">
              <w:rPr>
                <w:rFonts w:ascii="Arial Narrow" w:hAnsi="Arial Narrow" w:cs="Arial"/>
                <w:sz w:val="18"/>
                <w:szCs w:val="18"/>
              </w:rPr>
              <w:fldChar w:fldCharType="begin">
                <w:ffData>
                  <w:name w:val="Check3"/>
                  <w:enabled/>
                  <w:calcOnExit w:val="0"/>
                  <w:checkBox>
                    <w:sizeAuto/>
                    <w:default w:val="1"/>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Nurse practitioners</w:t>
            </w:r>
            <w:r w:rsidR="00ED0145">
              <w:rPr>
                <w:rFonts w:ascii="Arial Narrow" w:hAnsi="Arial Narrow" w:cs="Arial"/>
                <w:sz w:val="18"/>
                <w:szCs w:val="18"/>
              </w:rPr>
              <w:t xml:space="preserve">  </w:t>
            </w:r>
          </w:p>
        </w:tc>
      </w:tr>
      <w:tr w:rsidR="00B85F43" w:rsidRPr="00BD76BF" w:rsidTr="00B85F43">
        <w:trPr>
          <w:trHeight w:val="302"/>
        </w:trPr>
        <w:tc>
          <w:tcPr>
            <w:tcW w:w="5000" w:type="pct"/>
            <w:tcBorders>
              <w:top w:val="single" w:sz="4" w:space="0" w:color="auto"/>
              <w:left w:val="single" w:sz="4" w:space="0" w:color="auto"/>
              <w:bottom w:val="single" w:sz="4" w:space="0" w:color="auto"/>
              <w:right w:val="single" w:sz="4" w:space="0" w:color="auto"/>
            </w:tcBorders>
          </w:tcPr>
          <w:p w:rsidR="00B85F43" w:rsidRPr="00BD76BF" w:rsidRDefault="00B85F43" w:rsidP="00886937">
            <w:pPr>
              <w:rPr>
                <w:rFonts w:ascii="Arial Narrow" w:hAnsi="Arial Narrow" w:cs="Arial"/>
                <w:b/>
                <w:sz w:val="18"/>
                <w:szCs w:val="18"/>
              </w:rPr>
            </w:pPr>
            <w:r w:rsidRPr="00BD76BF">
              <w:rPr>
                <w:rFonts w:ascii="Arial Narrow" w:hAnsi="Arial Narrow" w:cs="Arial"/>
                <w:b/>
                <w:sz w:val="18"/>
                <w:szCs w:val="18"/>
              </w:rPr>
              <w:t xml:space="preserve">Restriction </w:t>
            </w:r>
            <w:r>
              <w:rPr>
                <w:rFonts w:ascii="Arial Narrow" w:hAnsi="Arial Narrow" w:cs="Arial"/>
                <w:b/>
                <w:sz w:val="18"/>
                <w:szCs w:val="18"/>
              </w:rPr>
              <w:t>Type</w:t>
            </w:r>
            <w:r w:rsidRPr="00BD76BF">
              <w:rPr>
                <w:rFonts w:ascii="Arial Narrow" w:hAnsi="Arial Narrow" w:cs="Arial"/>
                <w:b/>
                <w:sz w:val="18"/>
                <w:szCs w:val="18"/>
              </w:rPr>
              <w:t xml:space="preserve"> / Method:</w:t>
            </w:r>
          </w:p>
          <w:p w:rsidR="00B85F43" w:rsidRPr="00BD76BF" w:rsidRDefault="00B85F43" w:rsidP="00E90AA4">
            <w:pPr>
              <w:rPr>
                <w:rFonts w:ascii="Arial Narrow" w:hAnsi="Arial Narrow" w:cs="Arial"/>
                <w:sz w:val="18"/>
                <w:szCs w:val="18"/>
              </w:rPr>
            </w:pPr>
            <w:r w:rsidRPr="0062149B">
              <w:rPr>
                <w:rFonts w:ascii="Arial Narrow" w:hAnsi="Arial Narrow" w:cs="Arial"/>
                <w:sz w:val="18"/>
                <w:szCs w:val="18"/>
              </w:rPr>
              <w:fldChar w:fldCharType="begin">
                <w:ffData>
                  <w:name w:val=""/>
                  <w:enabled/>
                  <w:calcOnExit w:val="0"/>
                  <w:checkBox>
                    <w:sizeAuto/>
                    <w:default w:val="1"/>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Authority Required – Telephone/Electronic/Emergency</w:t>
            </w:r>
          </w:p>
        </w:tc>
      </w:tr>
      <w:tr w:rsidR="00B85F43" w:rsidRPr="00BD76BF" w:rsidTr="00B85F43">
        <w:tc>
          <w:tcPr>
            <w:tcW w:w="5000" w:type="pct"/>
            <w:vAlign w:val="center"/>
            <w:hideMark/>
          </w:tcPr>
          <w:p w:rsidR="00B85F43" w:rsidRPr="00BD76BF" w:rsidRDefault="00B85F43" w:rsidP="00886937">
            <w:pPr>
              <w:rPr>
                <w:rFonts w:ascii="Arial Narrow" w:hAnsi="Arial Narrow"/>
                <w:color w:val="333333"/>
                <w:sz w:val="18"/>
                <w:szCs w:val="18"/>
              </w:rPr>
            </w:pPr>
            <w:r w:rsidRPr="00BD76BF">
              <w:rPr>
                <w:rFonts w:ascii="Arial Narrow" w:hAnsi="Arial Narrow"/>
                <w:b/>
                <w:bCs/>
                <w:color w:val="333333"/>
                <w:sz w:val="18"/>
                <w:szCs w:val="18"/>
              </w:rPr>
              <w:t xml:space="preserve">Indication: </w:t>
            </w:r>
            <w:r w:rsidRPr="00BD76BF">
              <w:rPr>
                <w:rFonts w:ascii="Arial Narrow" w:hAnsi="Arial Narrow"/>
                <w:bCs/>
                <w:color w:val="333333"/>
                <w:sz w:val="18"/>
                <w:szCs w:val="18"/>
              </w:rPr>
              <w:t>Mycobacterium ulcerans infections (Buruli ulcer)</w:t>
            </w:r>
          </w:p>
        </w:tc>
      </w:tr>
      <w:tr w:rsidR="00B85F43" w:rsidRPr="00BD76BF" w:rsidTr="00B85F43">
        <w:tc>
          <w:tcPr>
            <w:tcW w:w="5000" w:type="pct"/>
            <w:vAlign w:val="center"/>
          </w:tcPr>
          <w:p w:rsidR="00B85F43" w:rsidRPr="00BD76BF" w:rsidRDefault="00B85F43" w:rsidP="00886937">
            <w:pPr>
              <w:rPr>
                <w:rFonts w:ascii="Arial Narrow" w:hAnsi="Arial Narrow"/>
                <w:b/>
                <w:bCs/>
                <w:color w:val="333333"/>
                <w:sz w:val="18"/>
                <w:szCs w:val="18"/>
              </w:rPr>
            </w:pPr>
            <w:r w:rsidRPr="00BD76BF">
              <w:rPr>
                <w:rFonts w:ascii="Arial Narrow" w:hAnsi="Arial Narrow"/>
                <w:b/>
                <w:bCs/>
                <w:color w:val="333333"/>
                <w:sz w:val="18"/>
                <w:szCs w:val="18"/>
              </w:rPr>
              <w:t xml:space="preserve">Clinical criteria: </w:t>
            </w:r>
            <w:r w:rsidRPr="00BD76BF">
              <w:rPr>
                <w:rFonts w:ascii="Arial Narrow" w:hAnsi="Arial Narrow"/>
                <w:bCs/>
                <w:color w:val="333333"/>
                <w:sz w:val="18"/>
                <w:szCs w:val="18"/>
              </w:rPr>
              <w:t>Treatment must be used in combination with another antibiotic for the treatment of Buruli ulcer.</w:t>
            </w:r>
          </w:p>
        </w:tc>
      </w:tr>
    </w:tbl>
    <w:p w:rsidR="00235564" w:rsidRDefault="00235564" w:rsidP="00B50553">
      <w:pPr>
        <w:pStyle w:val="3-BodyText"/>
        <w:numPr>
          <w:ilvl w:val="0"/>
          <w:numId w:val="0"/>
        </w:numPr>
      </w:pPr>
    </w:p>
    <w:p w:rsidR="006A2138" w:rsidRDefault="006A2138" w:rsidP="00B50553">
      <w:pPr>
        <w:pStyle w:val="3-BodyText"/>
        <w:numPr>
          <w:ilvl w:val="0"/>
          <w:numId w:val="0"/>
        </w:numPr>
        <w:rPr>
          <w:b/>
          <w:i/>
        </w:rPr>
      </w:pPr>
      <w:r w:rsidRPr="006A2138">
        <w:rPr>
          <w:b/>
          <w:i/>
        </w:rPr>
        <w:t>This restriction may be subject to further review. Should there be any changes made to the restriction the Sponsor will be informed.</w:t>
      </w:r>
    </w:p>
    <w:p w:rsidR="00B85F43" w:rsidRDefault="00B85F43" w:rsidP="00B50553">
      <w:pPr>
        <w:pStyle w:val="3-BodyText"/>
        <w:numPr>
          <w:ilvl w:val="0"/>
          <w:numId w:val="0"/>
        </w:numPr>
        <w:rPr>
          <w:b/>
          <w:i/>
        </w:rPr>
      </w:pPr>
    </w:p>
    <w:p w:rsidR="00B85F43" w:rsidRDefault="00B85F43" w:rsidP="00B85F43">
      <w:pPr>
        <w:pStyle w:val="2Sections"/>
        <w:numPr>
          <w:ilvl w:val="0"/>
          <w:numId w:val="2"/>
        </w:numPr>
        <w:rPr>
          <w:color w:val="1F497D"/>
        </w:rPr>
      </w:pPr>
      <w:r w:rsidRPr="00C07617">
        <w:t>Context for Decision</w:t>
      </w:r>
    </w:p>
    <w:p w:rsidR="00B85F43" w:rsidRDefault="00B85F43" w:rsidP="00B85F43">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85F43" w:rsidRPr="007129F2" w:rsidRDefault="00B85F43" w:rsidP="00B85F43">
      <w:pPr>
        <w:rPr>
          <w:rFonts w:asciiTheme="minorHAnsi" w:hAnsiTheme="minorHAnsi" w:cs="Arial"/>
          <w:bCs/>
          <w:lang w:val="en-GB"/>
        </w:rPr>
      </w:pPr>
    </w:p>
    <w:p w:rsidR="00B85F43" w:rsidRPr="00C07617" w:rsidRDefault="00B85F43" w:rsidP="00B85F43">
      <w:pPr>
        <w:pStyle w:val="2Sections"/>
        <w:numPr>
          <w:ilvl w:val="0"/>
          <w:numId w:val="2"/>
        </w:numPr>
        <w:rPr>
          <w:b w:val="0"/>
        </w:rPr>
      </w:pPr>
      <w:r>
        <w:t>Sponsor’s Comment</w:t>
      </w:r>
    </w:p>
    <w:p w:rsidR="00831B05" w:rsidRPr="00ED0145" w:rsidRDefault="00B85F43" w:rsidP="00ED0145">
      <w:pPr>
        <w:spacing w:after="120"/>
        <w:rPr>
          <w:rFonts w:asciiTheme="minorHAnsi" w:hAnsiTheme="minorHAnsi" w:cs="Arial"/>
          <w:bCs/>
        </w:rPr>
      </w:pPr>
      <w:r w:rsidRPr="00C07617">
        <w:rPr>
          <w:rFonts w:asciiTheme="minorHAnsi" w:hAnsiTheme="minorHAnsi" w:cs="Arial"/>
          <w:bCs/>
        </w:rPr>
        <w:t>The sponsor had no comment.</w:t>
      </w:r>
    </w:p>
    <w:p w:rsidR="00ED0145" w:rsidRDefault="00ED0145">
      <w:pPr>
        <w:jc w:val="left"/>
        <w:rPr>
          <w:rFonts w:cs="Arial"/>
          <w:b/>
          <w:snapToGrid w:val="0"/>
          <w:color w:val="FF0000"/>
          <w:sz w:val="28"/>
          <w:szCs w:val="22"/>
        </w:rPr>
      </w:pPr>
      <w:r>
        <w:rPr>
          <w:color w:val="FF0000"/>
        </w:rPr>
        <w:br w:type="page"/>
      </w:r>
    </w:p>
    <w:p w:rsidR="00831B05" w:rsidRPr="00831B05" w:rsidRDefault="00831B05" w:rsidP="00831B05">
      <w:pPr>
        <w:pStyle w:val="GeneralHeading"/>
        <w:rPr>
          <w:color w:val="FF0000"/>
        </w:rPr>
      </w:pPr>
      <w:r w:rsidRPr="00831B05">
        <w:rPr>
          <w:color w:val="FF0000"/>
        </w:rPr>
        <w:t>Addendum to the July 2020 PBAC Minutes:</w:t>
      </w:r>
    </w:p>
    <w:p w:rsidR="00831B05" w:rsidRDefault="00831B05" w:rsidP="00831B05">
      <w:pPr>
        <w:rPr>
          <w:rFonts w:cs="Calibri"/>
        </w:rPr>
      </w:pPr>
    </w:p>
    <w:p w:rsidR="00831B05" w:rsidRPr="00102E27" w:rsidRDefault="00831B05" w:rsidP="00831B05">
      <w:pPr>
        <w:pStyle w:val="1-MainHeading"/>
      </w:pPr>
      <w:r>
        <w:t>4</w:t>
      </w:r>
      <w:r w:rsidRPr="00BD76BF">
        <w:t>.</w:t>
      </w:r>
      <w:r>
        <w:t>01</w:t>
      </w:r>
      <w:r w:rsidRPr="00BD76BF">
        <w:t xml:space="preserve"> RIFAMPICIN</w:t>
      </w:r>
      <w:r w:rsidRPr="00BD76BF">
        <w:br/>
        <w:t xml:space="preserve">Capsule 150 mg, Capsule 300 mg, </w:t>
      </w:r>
      <w:r w:rsidRPr="00BD76BF">
        <w:br/>
        <w:t xml:space="preserve">Rimycin 150®, Rimycin 300®, </w:t>
      </w:r>
      <w:r w:rsidRPr="00BD76BF">
        <w:br/>
        <w:t>Alphapharm Pty Ltd</w:t>
      </w:r>
    </w:p>
    <w:p w:rsidR="00831B05" w:rsidRPr="00BD76BF" w:rsidRDefault="00831B05" w:rsidP="00831B05">
      <w:pPr>
        <w:pStyle w:val="2-SectionHeading"/>
        <w:numPr>
          <w:ilvl w:val="0"/>
          <w:numId w:val="2"/>
        </w:numPr>
      </w:pPr>
      <w:r w:rsidRPr="00BD76BF">
        <w:t>Background</w:t>
      </w:r>
    </w:p>
    <w:p w:rsidR="00831B05" w:rsidRDefault="00A25A30" w:rsidP="00831B05">
      <w:pPr>
        <w:pStyle w:val="3-BodyText"/>
        <w:numPr>
          <w:ilvl w:val="0"/>
          <w:numId w:val="0"/>
        </w:numPr>
        <w:ind w:left="709" w:hanging="709"/>
      </w:pPr>
      <w:r>
        <w:t>9</w:t>
      </w:r>
      <w:r w:rsidR="00831B05">
        <w:t>.1</w:t>
      </w:r>
      <w:r w:rsidR="00831B05">
        <w:tab/>
        <w:t xml:space="preserve">At its July 2020 meeting, the PBAC deferred making a recommendation </w:t>
      </w:r>
      <w:r w:rsidR="00831B05" w:rsidRPr="00BD76BF">
        <w:t xml:space="preserve">to extend the indication for rifampicin to include the treatment of </w:t>
      </w:r>
      <w:r w:rsidR="00831B05" w:rsidRPr="007B4B25">
        <w:rPr>
          <w:i/>
        </w:rPr>
        <w:t>Mycobacterium ulcerans</w:t>
      </w:r>
      <w:r w:rsidR="00831B05" w:rsidRPr="00BD76BF">
        <w:t xml:space="preserve"> infection (Buruli ulcer)</w:t>
      </w:r>
      <w:r w:rsidR="00831B05">
        <w:t xml:space="preserve"> until the TGA Delegate’s Overview was available. </w:t>
      </w:r>
      <w:r w:rsidR="00831B05" w:rsidRPr="0062149B">
        <w:t>However, the PBAC was of a mind to recommend the Authority Required (</w:t>
      </w:r>
      <w:r w:rsidR="00831B05" w:rsidRPr="00BD76BF">
        <w:t>Telephone/Electronic/Emergency)</w:t>
      </w:r>
      <w:r w:rsidR="00831B05" w:rsidRPr="0062149B">
        <w:t xml:space="preserve"> listing of rifampicin for the </w:t>
      </w:r>
      <w:r w:rsidR="00831B05" w:rsidRPr="00BD76BF">
        <w:t xml:space="preserve">treatment of </w:t>
      </w:r>
      <w:r w:rsidR="00831B05" w:rsidRPr="00BD76BF">
        <w:rPr>
          <w:i/>
        </w:rPr>
        <w:t>Mycobacterium ulcerans</w:t>
      </w:r>
      <w:r w:rsidR="00831B05" w:rsidRPr="00BD76BF">
        <w:t xml:space="preserve"> infection (Buruli ulcer) if the TGA approves the new indication.</w:t>
      </w:r>
    </w:p>
    <w:p w:rsidR="00831B05" w:rsidRDefault="00831B05" w:rsidP="00831B05">
      <w:pPr>
        <w:pStyle w:val="3-BodyText"/>
        <w:numPr>
          <w:ilvl w:val="1"/>
          <w:numId w:val="29"/>
        </w:numPr>
      </w:pPr>
      <w:r>
        <w:t xml:space="preserve">The TGA Delegate’s Overview was provided on 2 September 2020. </w:t>
      </w:r>
    </w:p>
    <w:p w:rsidR="00831B05" w:rsidRDefault="00831B05" w:rsidP="00831B05">
      <w:pPr>
        <w:pStyle w:val="3-BodyText"/>
        <w:numPr>
          <w:ilvl w:val="1"/>
          <w:numId w:val="2"/>
        </w:numPr>
      </w:pPr>
      <w:r>
        <w:t xml:space="preserve">The TGA Delegate’s Overview stated that consideration by the Advisory Committee on Medicines (ACM) was not required and that the ARTG indication of rifampicin would be extended to include </w:t>
      </w:r>
      <w:r w:rsidRPr="00BD76BF">
        <w:t xml:space="preserve">the treatment of </w:t>
      </w:r>
      <w:r w:rsidRPr="00BD76BF">
        <w:rPr>
          <w:i/>
        </w:rPr>
        <w:t>Mycobacterium ulcerans</w:t>
      </w:r>
      <w:r w:rsidRPr="00BD76BF">
        <w:t xml:space="preserve"> infection (Buruli ulcer)</w:t>
      </w:r>
      <w:r>
        <w:t>.</w:t>
      </w:r>
    </w:p>
    <w:p w:rsidR="00831B05" w:rsidRPr="00195C3C" w:rsidRDefault="00831B05" w:rsidP="00831B05">
      <w:pPr>
        <w:pStyle w:val="3-BodyText"/>
        <w:numPr>
          <w:ilvl w:val="1"/>
          <w:numId w:val="2"/>
        </w:numPr>
      </w:pPr>
      <w:r>
        <w:t>The TGA Delegate considered that the indication on the product information (PI) should state that “rifampicin must be used in combination with another anti-</w:t>
      </w:r>
      <w:r w:rsidRPr="004E6F76">
        <w:rPr>
          <w:i/>
        </w:rPr>
        <w:t>Mycobacterium ulcerans</w:t>
      </w:r>
      <w:r>
        <w:t xml:space="preserve"> antibiotic.”</w:t>
      </w:r>
    </w:p>
    <w:p w:rsidR="00831B05" w:rsidRDefault="00831B05" w:rsidP="00831B05">
      <w:pPr>
        <w:pStyle w:val="2-SectionHeading"/>
        <w:numPr>
          <w:ilvl w:val="0"/>
          <w:numId w:val="2"/>
        </w:numPr>
      </w:pPr>
      <w:r>
        <w:t>PBAC Outcome</w:t>
      </w:r>
    </w:p>
    <w:p w:rsidR="00831B05" w:rsidRDefault="00831B05" w:rsidP="00831B05">
      <w:pPr>
        <w:pStyle w:val="3-BodyText"/>
        <w:numPr>
          <w:ilvl w:val="1"/>
          <w:numId w:val="2"/>
        </w:numPr>
      </w:pPr>
      <w:r>
        <w:t xml:space="preserve">The </w:t>
      </w:r>
      <w:r w:rsidRPr="0062149B">
        <w:t>PBAC recommend</w:t>
      </w:r>
      <w:r>
        <w:t>ed</w:t>
      </w:r>
      <w:r w:rsidRPr="0062149B">
        <w:t xml:space="preserve"> the Authority Required (</w:t>
      </w:r>
      <w:r w:rsidRPr="00BD76BF">
        <w:t>Telephone/Electronic/Emergency)</w:t>
      </w:r>
      <w:r w:rsidRPr="0062149B">
        <w:t xml:space="preserve"> listing of rifampicin for the </w:t>
      </w:r>
      <w:r w:rsidRPr="00BD76BF">
        <w:t xml:space="preserve">treatment of </w:t>
      </w:r>
      <w:r w:rsidRPr="00BD76BF">
        <w:rPr>
          <w:i/>
        </w:rPr>
        <w:t>Mycobacterium ulcerans</w:t>
      </w:r>
      <w:r w:rsidRPr="00BD76BF">
        <w:t xml:space="preserve"> infection (Buruli ulcer).</w:t>
      </w:r>
    </w:p>
    <w:p w:rsidR="00831B05" w:rsidRDefault="00831B05" w:rsidP="00831B05">
      <w:pPr>
        <w:pStyle w:val="3-BodyText"/>
        <w:numPr>
          <w:ilvl w:val="1"/>
          <w:numId w:val="2"/>
        </w:numPr>
      </w:pPr>
      <w:r>
        <w:t>The PBAC noted that the requested clinical criteria for the PBS listing was in line with the TGA Delegate’s recommendation for the indication on the PI, that the “t</w:t>
      </w:r>
      <w:r w:rsidRPr="00880074">
        <w:t>reatment must be used in combination with another antibiotic for the treatment of Buruli ulcer.</w:t>
      </w:r>
      <w:r>
        <w:t>”</w:t>
      </w:r>
    </w:p>
    <w:p w:rsidR="00831B05" w:rsidRDefault="00831B05" w:rsidP="00831B05">
      <w:pPr>
        <w:pStyle w:val="3-BodyText"/>
        <w:numPr>
          <w:ilvl w:val="0"/>
          <w:numId w:val="0"/>
        </w:numPr>
        <w:spacing w:after="0"/>
        <w:rPr>
          <w:b/>
        </w:rPr>
      </w:pPr>
      <w:r>
        <w:br/>
      </w:r>
      <w:r w:rsidRPr="009A044E">
        <w:rPr>
          <w:b/>
        </w:rPr>
        <w:t xml:space="preserve">Outcome: </w:t>
      </w:r>
    </w:p>
    <w:p w:rsidR="00831B05" w:rsidRDefault="00831B05" w:rsidP="00831B05">
      <w:pPr>
        <w:pStyle w:val="3-BodyText"/>
        <w:numPr>
          <w:ilvl w:val="0"/>
          <w:numId w:val="0"/>
        </w:numPr>
        <w:spacing w:after="0"/>
      </w:pPr>
      <w:r>
        <w:t>Recommended</w:t>
      </w:r>
      <w:r>
        <w:br/>
      </w:r>
    </w:p>
    <w:p w:rsidR="00831B05" w:rsidRPr="00BD76BF" w:rsidRDefault="00831B05" w:rsidP="00831B05">
      <w:pPr>
        <w:pStyle w:val="2-SectionHeading"/>
        <w:numPr>
          <w:ilvl w:val="0"/>
          <w:numId w:val="2"/>
        </w:numPr>
      </w:pPr>
      <w:r w:rsidRPr="00BD76BF">
        <w:t>Recommended listing</w:t>
      </w:r>
    </w:p>
    <w:p w:rsidR="00831B05" w:rsidRPr="00BD76BF" w:rsidRDefault="00831B05" w:rsidP="00831B05">
      <w:pPr>
        <w:pStyle w:val="3-BodyText"/>
        <w:numPr>
          <w:ilvl w:val="1"/>
          <w:numId w:val="2"/>
        </w:numPr>
      </w:pPr>
      <w:r w:rsidRPr="00BD76BF">
        <w:t xml:space="preserve">Add new </w:t>
      </w:r>
      <w:r>
        <w:t>PBS indication/listing</w:t>
      </w:r>
      <w:r w:rsidRPr="00BD76BF">
        <w:t>:</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831B05" w:rsidRPr="00BD76BF" w:rsidTr="005D6EBC">
        <w:trPr>
          <w:cantSplit/>
          <w:trHeight w:val="471"/>
        </w:trPr>
        <w:tc>
          <w:tcPr>
            <w:tcW w:w="2689" w:type="dxa"/>
          </w:tcPr>
          <w:p w:rsidR="00831B05" w:rsidRPr="00BD76BF" w:rsidRDefault="00831B05" w:rsidP="005D6EBC">
            <w:pPr>
              <w:keepNext/>
              <w:ind w:left="-108"/>
              <w:rPr>
                <w:rFonts w:ascii="Arial Narrow" w:hAnsi="Arial Narrow" w:cs="Arial"/>
                <w:b/>
                <w:sz w:val="18"/>
                <w:szCs w:val="18"/>
              </w:rPr>
            </w:pPr>
            <w:r w:rsidRPr="00BD76BF">
              <w:rPr>
                <w:rFonts w:ascii="Arial Narrow" w:hAnsi="Arial Narrow" w:cs="Arial"/>
                <w:b/>
                <w:sz w:val="18"/>
                <w:szCs w:val="18"/>
              </w:rPr>
              <w:t>Name, Restriction,</w:t>
            </w:r>
          </w:p>
          <w:p w:rsidR="00831B05" w:rsidRPr="00BD76BF" w:rsidRDefault="00831B05" w:rsidP="005D6EBC">
            <w:pPr>
              <w:keepNext/>
              <w:ind w:left="-108"/>
              <w:rPr>
                <w:rFonts w:ascii="Arial Narrow" w:hAnsi="Arial Narrow" w:cs="Arial"/>
                <w:b/>
                <w:sz w:val="18"/>
                <w:szCs w:val="18"/>
              </w:rPr>
            </w:pPr>
            <w:r w:rsidRPr="00BD76BF">
              <w:rPr>
                <w:rFonts w:ascii="Arial Narrow" w:hAnsi="Arial Narrow" w:cs="Arial"/>
                <w:b/>
                <w:sz w:val="18"/>
                <w:szCs w:val="18"/>
              </w:rPr>
              <w:t>Manner of administration and form</w:t>
            </w:r>
          </w:p>
        </w:tc>
        <w:tc>
          <w:tcPr>
            <w:tcW w:w="1275" w:type="dxa"/>
          </w:tcPr>
          <w:p w:rsidR="00831B05" w:rsidRPr="00BD76BF" w:rsidRDefault="00831B05" w:rsidP="005D6EBC">
            <w:pPr>
              <w:keepNext/>
              <w:ind w:left="-108"/>
              <w:jc w:val="center"/>
              <w:rPr>
                <w:rFonts w:ascii="Arial Narrow" w:hAnsi="Arial Narrow" w:cs="Arial"/>
                <w:b/>
                <w:sz w:val="18"/>
                <w:szCs w:val="18"/>
              </w:rPr>
            </w:pPr>
            <w:r w:rsidRPr="00BD76BF">
              <w:rPr>
                <w:rFonts w:ascii="Arial Narrow" w:hAnsi="Arial Narrow" w:cs="Arial"/>
                <w:b/>
                <w:sz w:val="18"/>
                <w:szCs w:val="18"/>
              </w:rPr>
              <w:t>PBS item code</w:t>
            </w:r>
          </w:p>
        </w:tc>
        <w:tc>
          <w:tcPr>
            <w:tcW w:w="851" w:type="dxa"/>
          </w:tcPr>
          <w:p w:rsidR="00831B05" w:rsidRPr="00BD76BF" w:rsidRDefault="00831B05" w:rsidP="005D6EBC">
            <w:pPr>
              <w:keepNext/>
              <w:ind w:left="-108"/>
              <w:jc w:val="center"/>
              <w:rPr>
                <w:rFonts w:ascii="Arial Narrow" w:hAnsi="Arial Narrow" w:cs="Arial"/>
                <w:b/>
                <w:sz w:val="18"/>
                <w:szCs w:val="18"/>
              </w:rPr>
            </w:pPr>
            <w:r w:rsidRPr="00BD76BF">
              <w:rPr>
                <w:rFonts w:ascii="Arial Narrow" w:hAnsi="Arial Narrow" w:cs="Arial"/>
                <w:b/>
                <w:sz w:val="18"/>
                <w:szCs w:val="18"/>
              </w:rPr>
              <w:t>Max. qty packs</w:t>
            </w:r>
          </w:p>
        </w:tc>
        <w:tc>
          <w:tcPr>
            <w:tcW w:w="850" w:type="dxa"/>
          </w:tcPr>
          <w:p w:rsidR="00831B05" w:rsidRPr="00BD76BF" w:rsidRDefault="00831B05" w:rsidP="005D6EBC">
            <w:pPr>
              <w:keepNext/>
              <w:ind w:left="-108"/>
              <w:jc w:val="center"/>
              <w:rPr>
                <w:rFonts w:ascii="Arial Narrow" w:hAnsi="Arial Narrow" w:cs="Arial"/>
                <w:b/>
                <w:sz w:val="18"/>
                <w:szCs w:val="18"/>
              </w:rPr>
            </w:pPr>
            <w:r w:rsidRPr="00BD76BF">
              <w:rPr>
                <w:rFonts w:ascii="Arial Narrow" w:hAnsi="Arial Narrow" w:cs="Arial"/>
                <w:b/>
                <w:sz w:val="18"/>
                <w:szCs w:val="18"/>
              </w:rPr>
              <w:t>Max. qty units</w:t>
            </w:r>
          </w:p>
        </w:tc>
        <w:tc>
          <w:tcPr>
            <w:tcW w:w="709" w:type="dxa"/>
          </w:tcPr>
          <w:p w:rsidR="00831B05" w:rsidRPr="00BD76BF" w:rsidRDefault="00831B05" w:rsidP="005D6EBC">
            <w:pPr>
              <w:keepNext/>
              <w:ind w:left="-108"/>
              <w:jc w:val="center"/>
              <w:rPr>
                <w:rFonts w:ascii="Arial Narrow" w:hAnsi="Arial Narrow" w:cs="Arial"/>
                <w:b/>
                <w:sz w:val="18"/>
                <w:szCs w:val="18"/>
              </w:rPr>
            </w:pPr>
            <w:r w:rsidRPr="00BD76BF">
              <w:rPr>
                <w:rFonts w:ascii="Arial Narrow" w:hAnsi="Arial Narrow" w:cs="Arial"/>
                <w:b/>
                <w:sz w:val="18"/>
                <w:szCs w:val="18"/>
              </w:rPr>
              <w:t>№.of</w:t>
            </w:r>
          </w:p>
          <w:p w:rsidR="00831B05" w:rsidRPr="00BD76BF" w:rsidRDefault="00831B05" w:rsidP="005D6EBC">
            <w:pPr>
              <w:keepNext/>
              <w:ind w:left="-108"/>
              <w:jc w:val="center"/>
              <w:rPr>
                <w:rFonts w:ascii="Arial Narrow" w:hAnsi="Arial Narrow" w:cs="Arial"/>
                <w:b/>
                <w:sz w:val="18"/>
                <w:szCs w:val="18"/>
              </w:rPr>
            </w:pPr>
            <w:r w:rsidRPr="00BD76BF">
              <w:rPr>
                <w:rFonts w:ascii="Arial Narrow" w:hAnsi="Arial Narrow" w:cs="Arial"/>
                <w:b/>
                <w:sz w:val="18"/>
                <w:szCs w:val="18"/>
              </w:rPr>
              <w:t>Rpts</w:t>
            </w:r>
          </w:p>
        </w:tc>
        <w:tc>
          <w:tcPr>
            <w:tcW w:w="2551" w:type="dxa"/>
            <w:gridSpan w:val="2"/>
          </w:tcPr>
          <w:p w:rsidR="00831B05" w:rsidRPr="00BD76BF" w:rsidRDefault="00831B05" w:rsidP="005D6EBC">
            <w:pPr>
              <w:keepNext/>
              <w:rPr>
                <w:rFonts w:ascii="Arial Narrow" w:hAnsi="Arial Narrow" w:cs="Arial"/>
                <w:b/>
                <w:sz w:val="18"/>
                <w:szCs w:val="18"/>
              </w:rPr>
            </w:pPr>
            <w:r w:rsidRPr="00BD76BF">
              <w:rPr>
                <w:rFonts w:ascii="Arial Narrow" w:hAnsi="Arial Narrow" w:cs="Arial"/>
                <w:b/>
                <w:sz w:val="18"/>
                <w:szCs w:val="18"/>
              </w:rPr>
              <w:t>Proprietary Name and Manufacturer</w:t>
            </w:r>
          </w:p>
        </w:tc>
      </w:tr>
      <w:tr w:rsidR="00831B05" w:rsidRPr="00BD76BF" w:rsidTr="005D6EBC">
        <w:trPr>
          <w:cantSplit/>
          <w:trHeight w:val="504"/>
        </w:trPr>
        <w:tc>
          <w:tcPr>
            <w:tcW w:w="2689" w:type="dxa"/>
          </w:tcPr>
          <w:p w:rsidR="00831B05" w:rsidRPr="00BD76BF" w:rsidRDefault="00831B05" w:rsidP="005D6EBC">
            <w:pPr>
              <w:keepNext/>
              <w:ind w:left="-108"/>
              <w:rPr>
                <w:rFonts w:ascii="Arial Narrow" w:hAnsi="Arial Narrow" w:cs="Arial"/>
                <w:sz w:val="18"/>
                <w:szCs w:val="18"/>
              </w:rPr>
            </w:pPr>
            <w:r w:rsidRPr="00BD76BF">
              <w:rPr>
                <w:rFonts w:ascii="Arial Narrow" w:hAnsi="Arial Narrow" w:cs="Arial"/>
                <w:sz w:val="18"/>
                <w:szCs w:val="18"/>
              </w:rPr>
              <w:t>RIFAMPICIN</w:t>
            </w:r>
          </w:p>
          <w:p w:rsidR="00831B05" w:rsidRPr="00BD76BF" w:rsidRDefault="00831B05" w:rsidP="005D6EBC">
            <w:pPr>
              <w:keepNext/>
              <w:ind w:left="-108"/>
              <w:rPr>
                <w:rFonts w:ascii="Arial Narrow" w:hAnsi="Arial Narrow" w:cs="Arial"/>
                <w:sz w:val="18"/>
                <w:szCs w:val="18"/>
              </w:rPr>
            </w:pPr>
            <w:r w:rsidRPr="00BD76BF">
              <w:rPr>
                <w:rFonts w:ascii="Arial Narrow" w:hAnsi="Arial Narrow" w:cs="Arial"/>
                <w:sz w:val="18"/>
                <w:szCs w:val="18"/>
              </w:rPr>
              <w:t>rifampicin 150 mg capsule, 10</w:t>
            </w:r>
          </w:p>
          <w:p w:rsidR="00831B05" w:rsidRPr="00BD76BF" w:rsidRDefault="00831B05" w:rsidP="005D6EBC">
            <w:pPr>
              <w:keepNext/>
              <w:ind w:left="-108"/>
              <w:rPr>
                <w:rFonts w:ascii="Arial Narrow" w:hAnsi="Arial Narrow" w:cs="Arial"/>
                <w:sz w:val="18"/>
                <w:szCs w:val="18"/>
              </w:rPr>
            </w:pPr>
          </w:p>
          <w:p w:rsidR="00831B05" w:rsidRPr="00BD76BF" w:rsidRDefault="00831B05" w:rsidP="005D6EBC">
            <w:pPr>
              <w:keepNext/>
              <w:ind w:left="-108"/>
              <w:rPr>
                <w:rFonts w:ascii="Arial Narrow" w:hAnsi="Arial Narrow" w:cs="Arial"/>
                <w:sz w:val="18"/>
                <w:szCs w:val="18"/>
              </w:rPr>
            </w:pPr>
            <w:r w:rsidRPr="00BD76BF">
              <w:rPr>
                <w:rFonts w:ascii="Arial Narrow" w:hAnsi="Arial Narrow" w:cs="Arial"/>
                <w:sz w:val="18"/>
                <w:szCs w:val="18"/>
              </w:rPr>
              <w:t>rifampicin 300 mg capsule, 10</w:t>
            </w:r>
          </w:p>
          <w:p w:rsidR="00831B05" w:rsidRPr="00BD76BF" w:rsidRDefault="00831B05" w:rsidP="005D6EBC">
            <w:pPr>
              <w:keepNext/>
              <w:ind w:left="-108"/>
              <w:rPr>
                <w:rFonts w:ascii="Arial Narrow" w:hAnsi="Arial Narrow" w:cs="Arial"/>
                <w:sz w:val="18"/>
                <w:szCs w:val="18"/>
              </w:rPr>
            </w:pPr>
          </w:p>
          <w:p w:rsidR="00831B05" w:rsidRPr="00BD76BF" w:rsidRDefault="00831B05" w:rsidP="005D6EBC">
            <w:pPr>
              <w:keepNext/>
              <w:ind w:left="-108"/>
              <w:rPr>
                <w:rFonts w:ascii="Arial Narrow" w:hAnsi="Arial Narrow" w:cs="Arial"/>
                <w:sz w:val="18"/>
                <w:szCs w:val="18"/>
              </w:rPr>
            </w:pPr>
            <w:r w:rsidRPr="00BD76BF">
              <w:rPr>
                <w:rFonts w:ascii="Arial Narrow" w:hAnsi="Arial Narrow" w:cs="Arial"/>
                <w:sz w:val="18"/>
                <w:szCs w:val="18"/>
              </w:rPr>
              <w:t>rifampicin 150 mg capsule, 100</w:t>
            </w:r>
          </w:p>
          <w:p w:rsidR="00831B05" w:rsidRPr="00BD76BF" w:rsidRDefault="00831B05" w:rsidP="005D6EBC">
            <w:pPr>
              <w:keepNext/>
              <w:ind w:left="-108"/>
              <w:rPr>
                <w:rFonts w:ascii="Arial Narrow" w:hAnsi="Arial Narrow" w:cs="Arial"/>
                <w:sz w:val="18"/>
                <w:szCs w:val="18"/>
              </w:rPr>
            </w:pPr>
          </w:p>
          <w:p w:rsidR="00831B05" w:rsidRPr="00BD76BF" w:rsidRDefault="00831B05" w:rsidP="005D6EBC">
            <w:pPr>
              <w:keepNext/>
              <w:ind w:left="-108"/>
              <w:rPr>
                <w:rFonts w:ascii="Arial Narrow" w:hAnsi="Arial Narrow" w:cs="Arial"/>
                <w:sz w:val="18"/>
                <w:szCs w:val="18"/>
              </w:rPr>
            </w:pPr>
            <w:r w:rsidRPr="00BD76BF">
              <w:rPr>
                <w:rFonts w:ascii="Arial Narrow" w:hAnsi="Arial Narrow" w:cs="Arial"/>
                <w:sz w:val="18"/>
                <w:szCs w:val="18"/>
              </w:rPr>
              <w:t>rifampicin 300 mg capsule, 100</w:t>
            </w:r>
          </w:p>
        </w:tc>
        <w:tc>
          <w:tcPr>
            <w:tcW w:w="1275" w:type="dxa"/>
          </w:tcPr>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NEW</w:t>
            </w:r>
          </w:p>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NEW</w:t>
            </w:r>
          </w:p>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NEW</w:t>
            </w:r>
          </w:p>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NEW</w:t>
            </w:r>
          </w:p>
        </w:tc>
        <w:tc>
          <w:tcPr>
            <w:tcW w:w="851" w:type="dxa"/>
          </w:tcPr>
          <w:p w:rsidR="00831B05" w:rsidRPr="00BD76BF" w:rsidRDefault="00831B05" w:rsidP="005D6EBC">
            <w:pPr>
              <w:keepNext/>
              <w:jc w:val="center"/>
              <w:rPr>
                <w:rFonts w:ascii="Arial Narrow" w:hAnsi="Arial Narrow" w:cs="Arial"/>
                <w:sz w:val="18"/>
                <w:szCs w:val="18"/>
              </w:rPr>
            </w:pPr>
          </w:p>
          <w:p w:rsidR="00831B05" w:rsidRPr="00BD76BF" w:rsidRDefault="00831B05" w:rsidP="005D6EBC">
            <w:pPr>
              <w:keepNext/>
              <w:jc w:val="center"/>
              <w:rPr>
                <w:rFonts w:ascii="Arial Narrow" w:hAnsi="Arial Narrow" w:cs="Arial"/>
                <w:sz w:val="18"/>
                <w:szCs w:val="18"/>
              </w:rPr>
            </w:pPr>
            <w:r w:rsidRPr="00BD76BF">
              <w:rPr>
                <w:rFonts w:ascii="Arial Narrow" w:hAnsi="Arial Narrow" w:cs="Arial"/>
                <w:sz w:val="18"/>
                <w:szCs w:val="18"/>
              </w:rPr>
              <w:t>12</w:t>
            </w:r>
          </w:p>
          <w:p w:rsidR="00831B05" w:rsidRPr="00BD76BF" w:rsidRDefault="00831B05" w:rsidP="005D6EBC">
            <w:pPr>
              <w:keepNext/>
              <w:jc w:val="center"/>
              <w:rPr>
                <w:rFonts w:ascii="Arial Narrow" w:hAnsi="Arial Narrow" w:cs="Arial"/>
                <w:sz w:val="18"/>
                <w:szCs w:val="18"/>
              </w:rPr>
            </w:pPr>
          </w:p>
          <w:p w:rsidR="00831B05" w:rsidRPr="00BD76BF" w:rsidRDefault="00831B05" w:rsidP="005D6EBC">
            <w:pPr>
              <w:keepNext/>
              <w:jc w:val="center"/>
              <w:rPr>
                <w:rFonts w:ascii="Arial Narrow" w:hAnsi="Arial Narrow" w:cs="Arial"/>
                <w:sz w:val="18"/>
                <w:szCs w:val="18"/>
              </w:rPr>
            </w:pPr>
            <w:r w:rsidRPr="00BD76BF">
              <w:rPr>
                <w:rFonts w:ascii="Arial Narrow" w:hAnsi="Arial Narrow" w:cs="Arial"/>
                <w:sz w:val="18"/>
                <w:szCs w:val="18"/>
              </w:rPr>
              <w:t>12</w:t>
            </w:r>
          </w:p>
          <w:p w:rsidR="00831B05" w:rsidRPr="00BD76BF" w:rsidRDefault="00831B05" w:rsidP="005D6EBC">
            <w:pPr>
              <w:keepNext/>
              <w:jc w:val="center"/>
              <w:rPr>
                <w:rFonts w:ascii="Arial Narrow" w:hAnsi="Arial Narrow" w:cs="Arial"/>
                <w:sz w:val="18"/>
                <w:szCs w:val="18"/>
              </w:rPr>
            </w:pPr>
          </w:p>
          <w:p w:rsidR="00831B05" w:rsidRPr="00BD76BF" w:rsidRDefault="00831B05" w:rsidP="005D6EBC">
            <w:pPr>
              <w:keepNext/>
              <w:jc w:val="center"/>
              <w:rPr>
                <w:rFonts w:ascii="Arial Narrow" w:hAnsi="Arial Narrow" w:cs="Arial"/>
                <w:sz w:val="18"/>
                <w:szCs w:val="18"/>
              </w:rPr>
            </w:pPr>
            <w:r w:rsidRPr="00BD76BF">
              <w:rPr>
                <w:rFonts w:ascii="Arial Narrow" w:hAnsi="Arial Narrow" w:cs="Arial"/>
                <w:sz w:val="18"/>
                <w:szCs w:val="18"/>
              </w:rPr>
              <w:t>1</w:t>
            </w:r>
          </w:p>
          <w:p w:rsidR="00831B05" w:rsidRPr="00BD76BF" w:rsidRDefault="00831B05" w:rsidP="005D6EBC">
            <w:pPr>
              <w:keepNext/>
              <w:jc w:val="center"/>
              <w:rPr>
                <w:rFonts w:ascii="Arial Narrow" w:hAnsi="Arial Narrow" w:cs="Arial"/>
                <w:sz w:val="18"/>
                <w:szCs w:val="18"/>
              </w:rPr>
            </w:pPr>
          </w:p>
          <w:p w:rsidR="00831B05" w:rsidRPr="00BD76BF" w:rsidRDefault="00831B05" w:rsidP="005D6EBC">
            <w:pPr>
              <w:keepNext/>
              <w:jc w:val="center"/>
              <w:rPr>
                <w:rFonts w:ascii="Arial Narrow" w:hAnsi="Arial Narrow" w:cs="Arial"/>
                <w:sz w:val="18"/>
                <w:szCs w:val="18"/>
              </w:rPr>
            </w:pPr>
            <w:r w:rsidRPr="00BD76BF">
              <w:rPr>
                <w:rFonts w:ascii="Arial Narrow" w:hAnsi="Arial Narrow" w:cs="Arial"/>
                <w:sz w:val="18"/>
                <w:szCs w:val="18"/>
              </w:rPr>
              <w:t>1</w:t>
            </w:r>
          </w:p>
        </w:tc>
        <w:tc>
          <w:tcPr>
            <w:tcW w:w="850" w:type="dxa"/>
          </w:tcPr>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120</w:t>
            </w:r>
          </w:p>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120</w:t>
            </w:r>
          </w:p>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100</w:t>
            </w:r>
          </w:p>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100</w:t>
            </w:r>
          </w:p>
        </w:tc>
        <w:tc>
          <w:tcPr>
            <w:tcW w:w="709" w:type="dxa"/>
          </w:tcPr>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0</w:t>
            </w:r>
          </w:p>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0</w:t>
            </w:r>
          </w:p>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0</w:t>
            </w:r>
          </w:p>
          <w:p w:rsidR="00831B05" w:rsidRPr="00BD76BF" w:rsidRDefault="00831B05" w:rsidP="005D6EBC">
            <w:pPr>
              <w:keepNext/>
              <w:ind w:left="-108"/>
              <w:jc w:val="center"/>
              <w:rPr>
                <w:rFonts w:ascii="Arial Narrow" w:hAnsi="Arial Narrow" w:cs="Arial"/>
                <w:sz w:val="18"/>
                <w:szCs w:val="18"/>
              </w:rPr>
            </w:pPr>
          </w:p>
          <w:p w:rsidR="00831B05" w:rsidRPr="00BD76BF" w:rsidRDefault="00831B05" w:rsidP="005D6EBC">
            <w:pPr>
              <w:keepNext/>
              <w:ind w:left="-108"/>
              <w:jc w:val="center"/>
              <w:rPr>
                <w:rFonts w:ascii="Arial Narrow" w:hAnsi="Arial Narrow" w:cs="Arial"/>
                <w:sz w:val="18"/>
                <w:szCs w:val="18"/>
              </w:rPr>
            </w:pPr>
            <w:r w:rsidRPr="00BD76BF">
              <w:rPr>
                <w:rFonts w:ascii="Arial Narrow" w:hAnsi="Arial Narrow" w:cs="Arial"/>
                <w:sz w:val="18"/>
                <w:szCs w:val="18"/>
              </w:rPr>
              <w:t>0</w:t>
            </w:r>
          </w:p>
        </w:tc>
        <w:tc>
          <w:tcPr>
            <w:tcW w:w="1134" w:type="dxa"/>
          </w:tcPr>
          <w:p w:rsidR="00831B05" w:rsidRPr="00BD76BF" w:rsidRDefault="00831B05" w:rsidP="005D6EBC">
            <w:pPr>
              <w:keepNext/>
              <w:rPr>
                <w:rFonts w:ascii="Arial Narrow" w:hAnsi="Arial Narrow" w:cs="Arial"/>
                <w:sz w:val="18"/>
                <w:szCs w:val="18"/>
              </w:rPr>
            </w:pPr>
          </w:p>
          <w:p w:rsidR="00831B05" w:rsidRPr="00BD76BF" w:rsidRDefault="00831B05" w:rsidP="005D6EBC">
            <w:pPr>
              <w:keepNext/>
              <w:rPr>
                <w:rFonts w:ascii="Arial Narrow" w:hAnsi="Arial Narrow" w:cs="Arial"/>
                <w:sz w:val="18"/>
                <w:szCs w:val="18"/>
                <w:vertAlign w:val="superscript"/>
              </w:rPr>
            </w:pPr>
            <w:r w:rsidRPr="00BD76BF">
              <w:rPr>
                <w:rFonts w:ascii="Arial Narrow" w:hAnsi="Arial Narrow" w:cs="Arial"/>
                <w:sz w:val="18"/>
                <w:szCs w:val="18"/>
              </w:rPr>
              <w:t>Rimycin 150</w:t>
            </w:r>
            <w:r w:rsidRPr="00BD76BF">
              <w:rPr>
                <w:rFonts w:ascii="Arial Narrow" w:hAnsi="Arial Narrow" w:cs="Arial"/>
                <w:sz w:val="18"/>
                <w:szCs w:val="18"/>
                <w:vertAlign w:val="superscript"/>
              </w:rPr>
              <w:t>®</w:t>
            </w:r>
          </w:p>
          <w:p w:rsidR="00831B05" w:rsidRPr="00BD76BF" w:rsidRDefault="00831B05" w:rsidP="005D6EBC">
            <w:pPr>
              <w:keepNext/>
              <w:rPr>
                <w:rFonts w:ascii="Arial Narrow" w:hAnsi="Arial Narrow" w:cs="Arial"/>
                <w:sz w:val="18"/>
                <w:szCs w:val="18"/>
              </w:rPr>
            </w:pPr>
          </w:p>
          <w:p w:rsidR="00831B05" w:rsidRPr="00BD76BF" w:rsidRDefault="00831B05" w:rsidP="005D6EBC">
            <w:pPr>
              <w:keepNext/>
              <w:rPr>
                <w:rFonts w:ascii="Arial Narrow" w:hAnsi="Arial Narrow" w:cs="Arial"/>
                <w:sz w:val="18"/>
                <w:szCs w:val="18"/>
                <w:vertAlign w:val="superscript"/>
              </w:rPr>
            </w:pPr>
            <w:r w:rsidRPr="00BD76BF">
              <w:rPr>
                <w:rFonts w:ascii="Arial Narrow" w:hAnsi="Arial Narrow" w:cs="Arial"/>
                <w:sz w:val="18"/>
                <w:szCs w:val="18"/>
              </w:rPr>
              <w:t>Rimycin 300</w:t>
            </w:r>
            <w:r w:rsidRPr="00BD76BF">
              <w:rPr>
                <w:rFonts w:ascii="Arial Narrow" w:hAnsi="Arial Narrow" w:cs="Arial"/>
                <w:sz w:val="18"/>
                <w:szCs w:val="18"/>
                <w:vertAlign w:val="superscript"/>
              </w:rPr>
              <w:t>®</w:t>
            </w:r>
          </w:p>
          <w:p w:rsidR="00831B05" w:rsidRPr="00BD76BF" w:rsidRDefault="00831B05" w:rsidP="005D6EBC">
            <w:pPr>
              <w:keepNext/>
              <w:rPr>
                <w:rFonts w:ascii="Arial Narrow" w:hAnsi="Arial Narrow" w:cs="Arial"/>
                <w:sz w:val="18"/>
                <w:szCs w:val="18"/>
              </w:rPr>
            </w:pPr>
          </w:p>
          <w:p w:rsidR="00831B05" w:rsidRPr="00BD76BF" w:rsidRDefault="00831B05" w:rsidP="005D6EBC">
            <w:pPr>
              <w:keepNext/>
              <w:rPr>
                <w:rFonts w:ascii="Arial Narrow" w:hAnsi="Arial Narrow" w:cs="Arial"/>
                <w:sz w:val="18"/>
                <w:szCs w:val="18"/>
                <w:vertAlign w:val="superscript"/>
              </w:rPr>
            </w:pPr>
            <w:r w:rsidRPr="00BD76BF">
              <w:rPr>
                <w:rFonts w:ascii="Arial Narrow" w:hAnsi="Arial Narrow" w:cs="Arial"/>
                <w:sz w:val="18"/>
                <w:szCs w:val="18"/>
              </w:rPr>
              <w:t>Rimycin 150</w:t>
            </w:r>
            <w:r w:rsidRPr="00BD76BF">
              <w:rPr>
                <w:rFonts w:ascii="Arial Narrow" w:hAnsi="Arial Narrow" w:cs="Arial"/>
                <w:sz w:val="18"/>
                <w:szCs w:val="18"/>
                <w:vertAlign w:val="superscript"/>
              </w:rPr>
              <w:t>®</w:t>
            </w:r>
          </w:p>
          <w:p w:rsidR="00831B05" w:rsidRPr="00BD76BF" w:rsidRDefault="00831B05" w:rsidP="005D6EBC">
            <w:pPr>
              <w:keepNext/>
              <w:rPr>
                <w:rFonts w:ascii="Arial Narrow" w:hAnsi="Arial Narrow" w:cs="Arial"/>
                <w:sz w:val="18"/>
                <w:szCs w:val="18"/>
              </w:rPr>
            </w:pPr>
          </w:p>
          <w:p w:rsidR="00831B05" w:rsidRPr="00BD76BF" w:rsidRDefault="00831B05" w:rsidP="005D6EBC">
            <w:pPr>
              <w:keepNext/>
              <w:rPr>
                <w:rFonts w:ascii="Arial Narrow" w:hAnsi="Arial Narrow" w:cs="Arial"/>
                <w:sz w:val="18"/>
                <w:szCs w:val="18"/>
              </w:rPr>
            </w:pPr>
            <w:r w:rsidRPr="00BD76BF">
              <w:rPr>
                <w:rFonts w:ascii="Arial Narrow" w:hAnsi="Arial Narrow" w:cs="Arial"/>
                <w:sz w:val="18"/>
                <w:szCs w:val="18"/>
              </w:rPr>
              <w:t>Rimycin 300</w:t>
            </w:r>
            <w:r w:rsidRPr="00BD76BF">
              <w:rPr>
                <w:rFonts w:ascii="Arial Narrow" w:hAnsi="Arial Narrow" w:cs="Arial"/>
                <w:sz w:val="18"/>
                <w:szCs w:val="18"/>
                <w:vertAlign w:val="superscript"/>
              </w:rPr>
              <w:t>®</w:t>
            </w:r>
          </w:p>
        </w:tc>
        <w:tc>
          <w:tcPr>
            <w:tcW w:w="1417" w:type="dxa"/>
          </w:tcPr>
          <w:p w:rsidR="00831B05" w:rsidRPr="00BD76BF" w:rsidRDefault="00831B05" w:rsidP="005D6EBC">
            <w:pPr>
              <w:keepNext/>
              <w:rPr>
                <w:rFonts w:ascii="Arial Narrow" w:hAnsi="Arial Narrow" w:cs="Arial"/>
                <w:sz w:val="18"/>
                <w:szCs w:val="18"/>
              </w:rPr>
            </w:pPr>
          </w:p>
          <w:p w:rsidR="00831B05" w:rsidRPr="00BD76BF" w:rsidRDefault="00831B05" w:rsidP="005D6EBC">
            <w:pPr>
              <w:keepNext/>
              <w:rPr>
                <w:rFonts w:ascii="Arial Narrow" w:hAnsi="Arial Narrow" w:cs="Arial"/>
                <w:sz w:val="18"/>
                <w:szCs w:val="18"/>
              </w:rPr>
            </w:pPr>
            <w:r w:rsidRPr="00BD76BF">
              <w:rPr>
                <w:rFonts w:ascii="Arial Narrow" w:hAnsi="Arial Narrow" w:cs="Arial"/>
                <w:sz w:val="18"/>
                <w:szCs w:val="18"/>
              </w:rPr>
              <w:t>Alphapharm Pty Ltd</w:t>
            </w:r>
          </w:p>
          <w:p w:rsidR="00831B05" w:rsidRPr="00BD76BF" w:rsidRDefault="00831B05" w:rsidP="005D6EBC">
            <w:pPr>
              <w:keepNext/>
              <w:rPr>
                <w:rFonts w:ascii="Arial Narrow" w:hAnsi="Arial Narrow" w:cs="Arial"/>
                <w:sz w:val="18"/>
                <w:szCs w:val="18"/>
              </w:rPr>
            </w:pPr>
            <w:r w:rsidRPr="00BD76BF">
              <w:rPr>
                <w:rFonts w:ascii="Arial Narrow" w:hAnsi="Arial Narrow" w:cs="Arial"/>
                <w:sz w:val="18"/>
                <w:szCs w:val="18"/>
              </w:rPr>
              <w:t>Alphapharm Pty Ltd</w:t>
            </w:r>
          </w:p>
          <w:p w:rsidR="00831B05" w:rsidRPr="00BD76BF" w:rsidRDefault="00831B05" w:rsidP="005D6EBC">
            <w:pPr>
              <w:keepNext/>
              <w:rPr>
                <w:rFonts w:ascii="Arial Narrow" w:hAnsi="Arial Narrow" w:cs="Arial"/>
                <w:sz w:val="18"/>
                <w:szCs w:val="18"/>
              </w:rPr>
            </w:pPr>
            <w:r w:rsidRPr="00BD76BF">
              <w:rPr>
                <w:rFonts w:ascii="Arial Narrow" w:hAnsi="Arial Narrow" w:cs="Arial"/>
                <w:sz w:val="18"/>
                <w:szCs w:val="18"/>
              </w:rPr>
              <w:t>Alphapharm Pty Ltd</w:t>
            </w:r>
          </w:p>
          <w:p w:rsidR="00831B05" w:rsidRPr="00BD76BF" w:rsidRDefault="00831B05" w:rsidP="005D6EBC">
            <w:pPr>
              <w:keepNext/>
              <w:rPr>
                <w:rFonts w:ascii="Arial Narrow" w:hAnsi="Arial Narrow" w:cs="Arial"/>
                <w:sz w:val="18"/>
                <w:szCs w:val="18"/>
              </w:rPr>
            </w:pPr>
            <w:r w:rsidRPr="00BD76BF">
              <w:rPr>
                <w:rFonts w:ascii="Arial Narrow" w:hAnsi="Arial Narrow" w:cs="Arial"/>
                <w:sz w:val="18"/>
                <w:szCs w:val="18"/>
              </w:rPr>
              <w:t>Alphapharm Pty Ltd</w:t>
            </w:r>
          </w:p>
        </w:tc>
      </w:tr>
    </w:tbl>
    <w:p w:rsidR="00831B05" w:rsidRPr="00BD76BF" w:rsidRDefault="00831B05" w:rsidP="00831B05">
      <w:pPr>
        <w:pStyle w:val="3Bodytext"/>
        <w:ind w:left="0" w:firstLine="0"/>
      </w:pPr>
    </w:p>
    <w:p w:rsidR="00831B05" w:rsidRPr="00BD76BF" w:rsidRDefault="00831B05" w:rsidP="00831B05">
      <w:pPr>
        <w:pStyle w:val="TableFigureHeading"/>
      </w:pPr>
      <w:r w:rsidRPr="00BD76BF">
        <w:t>Restriction Summary NEW / Treatment of Concept: NEW</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9"/>
      </w:tblGrid>
      <w:tr w:rsidR="00831B05" w:rsidRPr="00BD76BF" w:rsidTr="00831B05">
        <w:tc>
          <w:tcPr>
            <w:tcW w:w="5000" w:type="pct"/>
            <w:tcBorders>
              <w:top w:val="single" w:sz="4" w:space="0" w:color="auto"/>
              <w:left w:val="single" w:sz="4" w:space="0" w:color="auto"/>
              <w:bottom w:val="single" w:sz="4" w:space="0" w:color="auto"/>
              <w:right w:val="single" w:sz="4" w:space="0" w:color="auto"/>
            </w:tcBorders>
          </w:tcPr>
          <w:p w:rsidR="00831B05" w:rsidRPr="00BD76BF" w:rsidRDefault="00831B05" w:rsidP="005D6EBC">
            <w:pPr>
              <w:rPr>
                <w:rFonts w:ascii="Arial Narrow" w:hAnsi="Arial Narrow" w:cs="Arial"/>
                <w:sz w:val="18"/>
                <w:szCs w:val="18"/>
              </w:rPr>
            </w:pPr>
            <w:r w:rsidRPr="00BD76BF">
              <w:rPr>
                <w:rFonts w:ascii="Arial Narrow" w:hAnsi="Arial Narrow" w:cs="Arial"/>
                <w:b/>
                <w:sz w:val="18"/>
                <w:szCs w:val="18"/>
              </w:rPr>
              <w:t>Category / Program:</w:t>
            </w:r>
            <w:r w:rsidR="00ED0145">
              <w:rPr>
                <w:rFonts w:ascii="Arial Narrow" w:hAnsi="Arial Narrow" w:cs="Arial"/>
                <w:b/>
                <w:sz w:val="18"/>
                <w:szCs w:val="18"/>
              </w:rPr>
              <w:t xml:space="preserve"> </w:t>
            </w:r>
          </w:p>
          <w:p w:rsidR="00831B05" w:rsidRPr="00BD76BF" w:rsidRDefault="00831B05" w:rsidP="005D6EBC">
            <w:pPr>
              <w:rPr>
                <w:rFonts w:ascii="Arial Narrow" w:hAnsi="Arial Narrow" w:cs="Arial"/>
                <w:sz w:val="18"/>
                <w:szCs w:val="18"/>
              </w:rPr>
            </w:pPr>
            <w:r w:rsidRPr="00BD76BF">
              <w:rPr>
                <w:rFonts w:ascii="Arial Narrow" w:hAnsi="Arial Narrow" w:cs="Arial"/>
                <w:sz w:val="18"/>
                <w:szCs w:val="18"/>
              </w:rPr>
              <w:t xml:space="preserve">GENERAL – General Schedule (Code GE) </w:t>
            </w:r>
          </w:p>
        </w:tc>
      </w:tr>
      <w:tr w:rsidR="00831B05" w:rsidRPr="00BD76BF" w:rsidTr="00831B05">
        <w:trPr>
          <w:trHeight w:val="49"/>
        </w:trPr>
        <w:tc>
          <w:tcPr>
            <w:tcW w:w="5000" w:type="pct"/>
            <w:tcBorders>
              <w:top w:val="single" w:sz="4" w:space="0" w:color="auto"/>
              <w:left w:val="single" w:sz="4" w:space="0" w:color="auto"/>
              <w:bottom w:val="single" w:sz="4" w:space="0" w:color="auto"/>
              <w:right w:val="single" w:sz="4" w:space="0" w:color="auto"/>
            </w:tcBorders>
          </w:tcPr>
          <w:p w:rsidR="00831B05" w:rsidRPr="00BD76BF" w:rsidRDefault="00831B05" w:rsidP="005D6EBC">
            <w:pPr>
              <w:rPr>
                <w:rFonts w:ascii="Arial Narrow" w:hAnsi="Arial Narrow" w:cs="Arial"/>
                <w:b/>
                <w:sz w:val="18"/>
                <w:szCs w:val="18"/>
              </w:rPr>
            </w:pPr>
            <w:r w:rsidRPr="00BD76BF">
              <w:rPr>
                <w:rFonts w:ascii="Arial Narrow" w:hAnsi="Arial Narrow" w:cs="Arial"/>
                <w:b/>
                <w:sz w:val="18"/>
                <w:szCs w:val="18"/>
              </w:rPr>
              <w:t xml:space="preserve">Prescriber type:  </w:t>
            </w:r>
            <w:r w:rsidRPr="00BD76BF">
              <w:rPr>
                <w:rFonts w:ascii="Arial Narrow" w:hAnsi="Arial Narrow" w:cs="Arial"/>
                <w:sz w:val="18"/>
                <w:szCs w:val="18"/>
              </w:rPr>
              <w:t xml:space="preserve"> </w:t>
            </w:r>
            <w:r w:rsidRPr="0062149B">
              <w:rPr>
                <w:rFonts w:ascii="Arial Narrow" w:hAnsi="Arial Narrow" w:cs="Arial"/>
                <w:sz w:val="18"/>
                <w:szCs w:val="18"/>
              </w:rPr>
              <w:fldChar w:fldCharType="begin">
                <w:ffData>
                  <w:name w:val=""/>
                  <w:enabled/>
                  <w:calcOnExit w:val="0"/>
                  <w:checkBox>
                    <w:sizeAuto/>
                    <w:default w:val="1"/>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Medical Practitioners</w:t>
            </w:r>
            <w:r w:rsidR="00ED0145">
              <w:rPr>
                <w:rFonts w:ascii="Arial Narrow" w:hAnsi="Arial Narrow" w:cs="Arial"/>
                <w:sz w:val="18"/>
                <w:szCs w:val="18"/>
              </w:rPr>
              <w:t xml:space="preserve"> </w:t>
            </w:r>
            <w:r w:rsidRPr="00BD76BF">
              <w:rPr>
                <w:rFonts w:ascii="Arial Narrow" w:hAnsi="Arial Narrow" w:cs="Arial"/>
                <w:sz w:val="18"/>
                <w:szCs w:val="18"/>
              </w:rPr>
              <w:t xml:space="preserve">  </w:t>
            </w:r>
            <w:r w:rsidRPr="0062149B">
              <w:rPr>
                <w:rFonts w:ascii="Arial Narrow" w:hAnsi="Arial Narrow" w:cs="Arial"/>
                <w:sz w:val="18"/>
                <w:szCs w:val="18"/>
              </w:rPr>
              <w:fldChar w:fldCharType="begin">
                <w:ffData>
                  <w:name w:val="Check3"/>
                  <w:enabled/>
                  <w:calcOnExit w:val="0"/>
                  <w:checkBox>
                    <w:sizeAuto/>
                    <w:default w:val="1"/>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Nurse practitioners</w:t>
            </w:r>
            <w:r w:rsidR="00ED0145">
              <w:rPr>
                <w:rFonts w:ascii="Arial Narrow" w:hAnsi="Arial Narrow" w:cs="Arial"/>
                <w:sz w:val="18"/>
                <w:szCs w:val="18"/>
              </w:rPr>
              <w:t xml:space="preserve">   </w:t>
            </w:r>
          </w:p>
        </w:tc>
      </w:tr>
      <w:tr w:rsidR="00831B05" w:rsidRPr="00BD76BF" w:rsidTr="00831B05">
        <w:trPr>
          <w:trHeight w:val="302"/>
        </w:trPr>
        <w:tc>
          <w:tcPr>
            <w:tcW w:w="5000" w:type="pct"/>
            <w:tcBorders>
              <w:top w:val="single" w:sz="4" w:space="0" w:color="auto"/>
              <w:left w:val="single" w:sz="4" w:space="0" w:color="auto"/>
              <w:bottom w:val="single" w:sz="4" w:space="0" w:color="auto"/>
              <w:right w:val="single" w:sz="4" w:space="0" w:color="auto"/>
            </w:tcBorders>
          </w:tcPr>
          <w:p w:rsidR="00831B05" w:rsidRPr="00BD76BF" w:rsidRDefault="00831B05" w:rsidP="005D6EBC">
            <w:pPr>
              <w:rPr>
                <w:rFonts w:ascii="Arial Narrow" w:hAnsi="Arial Narrow" w:cs="Arial"/>
                <w:b/>
                <w:sz w:val="18"/>
                <w:szCs w:val="18"/>
              </w:rPr>
            </w:pPr>
            <w:r w:rsidRPr="00BD76BF">
              <w:rPr>
                <w:rFonts w:ascii="Arial Narrow" w:hAnsi="Arial Narrow" w:cs="Arial"/>
                <w:b/>
                <w:sz w:val="18"/>
                <w:szCs w:val="18"/>
              </w:rPr>
              <w:t xml:space="preserve">Restriction </w:t>
            </w:r>
            <w:r>
              <w:rPr>
                <w:rFonts w:ascii="Arial Narrow" w:hAnsi="Arial Narrow" w:cs="Arial"/>
                <w:b/>
                <w:sz w:val="18"/>
                <w:szCs w:val="18"/>
              </w:rPr>
              <w:t>Type</w:t>
            </w:r>
            <w:r w:rsidRPr="00BD76BF">
              <w:rPr>
                <w:rFonts w:ascii="Arial Narrow" w:hAnsi="Arial Narrow" w:cs="Arial"/>
                <w:b/>
                <w:sz w:val="18"/>
                <w:szCs w:val="18"/>
              </w:rPr>
              <w:t xml:space="preserve"> / Method:</w:t>
            </w:r>
          </w:p>
          <w:p w:rsidR="00831B05" w:rsidRPr="00BD76BF" w:rsidRDefault="00831B05" w:rsidP="005D6EBC">
            <w:pPr>
              <w:rPr>
                <w:rFonts w:ascii="Arial Narrow" w:hAnsi="Arial Narrow" w:cs="Arial"/>
                <w:sz w:val="18"/>
                <w:szCs w:val="18"/>
              </w:rPr>
            </w:pPr>
            <w:r w:rsidRPr="0062149B">
              <w:rPr>
                <w:rFonts w:ascii="Arial Narrow" w:hAnsi="Arial Narrow" w:cs="Arial"/>
                <w:sz w:val="18"/>
                <w:szCs w:val="18"/>
              </w:rPr>
              <w:fldChar w:fldCharType="begin">
                <w:ffData>
                  <w:name w:val=""/>
                  <w:enabled/>
                  <w:calcOnExit w:val="0"/>
                  <w:checkBox>
                    <w:sizeAuto/>
                    <w:default w:val="1"/>
                  </w:checkBox>
                </w:ffData>
              </w:fldChar>
            </w:r>
            <w:r w:rsidRPr="00BD76BF">
              <w:rPr>
                <w:rFonts w:ascii="Arial Narrow" w:hAnsi="Arial Narrow" w:cs="Arial"/>
                <w:sz w:val="18"/>
                <w:szCs w:val="18"/>
              </w:rPr>
              <w:instrText xml:space="preserve"> FORMCHECKBOX </w:instrText>
            </w:r>
            <w:r w:rsidR="00ED0145">
              <w:rPr>
                <w:rFonts w:ascii="Arial Narrow" w:hAnsi="Arial Narrow" w:cs="Arial"/>
                <w:sz w:val="18"/>
                <w:szCs w:val="18"/>
              </w:rPr>
            </w:r>
            <w:r w:rsidR="00ED0145">
              <w:rPr>
                <w:rFonts w:ascii="Arial Narrow" w:hAnsi="Arial Narrow" w:cs="Arial"/>
                <w:sz w:val="18"/>
                <w:szCs w:val="18"/>
              </w:rPr>
              <w:fldChar w:fldCharType="separate"/>
            </w:r>
            <w:r w:rsidRPr="0062149B">
              <w:rPr>
                <w:rFonts w:ascii="Arial Narrow" w:hAnsi="Arial Narrow" w:cs="Arial"/>
                <w:sz w:val="18"/>
                <w:szCs w:val="18"/>
              </w:rPr>
              <w:fldChar w:fldCharType="end"/>
            </w:r>
            <w:r w:rsidRPr="00BD76BF">
              <w:rPr>
                <w:rFonts w:ascii="Arial Narrow" w:hAnsi="Arial Narrow" w:cs="Arial"/>
                <w:sz w:val="18"/>
                <w:szCs w:val="18"/>
              </w:rPr>
              <w:t>Authority Required – Telephone/Electronic/Emergency</w:t>
            </w:r>
          </w:p>
        </w:tc>
      </w:tr>
      <w:tr w:rsidR="00831B05" w:rsidRPr="00BD76BF" w:rsidTr="00831B05">
        <w:tc>
          <w:tcPr>
            <w:tcW w:w="5000" w:type="pct"/>
            <w:vAlign w:val="center"/>
            <w:hideMark/>
          </w:tcPr>
          <w:p w:rsidR="00831B05" w:rsidRPr="00BD76BF" w:rsidRDefault="00831B05" w:rsidP="005D6EBC">
            <w:pPr>
              <w:rPr>
                <w:rFonts w:ascii="Arial Narrow" w:hAnsi="Arial Narrow"/>
                <w:color w:val="333333"/>
                <w:sz w:val="18"/>
                <w:szCs w:val="18"/>
              </w:rPr>
            </w:pPr>
            <w:r w:rsidRPr="00BD76BF">
              <w:rPr>
                <w:rFonts w:ascii="Arial Narrow" w:hAnsi="Arial Narrow"/>
                <w:b/>
                <w:bCs/>
                <w:color w:val="333333"/>
                <w:sz w:val="18"/>
                <w:szCs w:val="18"/>
              </w:rPr>
              <w:t xml:space="preserve">Indication: </w:t>
            </w:r>
            <w:r w:rsidRPr="00BD76BF">
              <w:rPr>
                <w:rFonts w:ascii="Arial Narrow" w:hAnsi="Arial Narrow"/>
                <w:bCs/>
                <w:color w:val="333333"/>
                <w:sz w:val="18"/>
                <w:szCs w:val="18"/>
              </w:rPr>
              <w:t>Mycobacterium ulcerans infections (Buruli ulcer)</w:t>
            </w:r>
          </w:p>
        </w:tc>
      </w:tr>
      <w:tr w:rsidR="00831B05" w:rsidRPr="00BD76BF" w:rsidTr="00831B05">
        <w:tc>
          <w:tcPr>
            <w:tcW w:w="5000" w:type="pct"/>
            <w:vAlign w:val="center"/>
          </w:tcPr>
          <w:p w:rsidR="00831B05" w:rsidRPr="00BD76BF" w:rsidRDefault="00831B05" w:rsidP="005D6EBC">
            <w:pPr>
              <w:rPr>
                <w:rFonts w:ascii="Arial Narrow" w:hAnsi="Arial Narrow"/>
                <w:b/>
                <w:bCs/>
                <w:color w:val="333333"/>
                <w:sz w:val="18"/>
                <w:szCs w:val="18"/>
              </w:rPr>
            </w:pPr>
            <w:r w:rsidRPr="00BD76BF">
              <w:rPr>
                <w:rFonts w:ascii="Arial Narrow" w:hAnsi="Arial Narrow"/>
                <w:b/>
                <w:bCs/>
                <w:color w:val="333333"/>
                <w:sz w:val="18"/>
                <w:szCs w:val="18"/>
              </w:rPr>
              <w:t xml:space="preserve">Clinical criteria: </w:t>
            </w:r>
            <w:r w:rsidRPr="00BD76BF">
              <w:rPr>
                <w:rFonts w:ascii="Arial Narrow" w:hAnsi="Arial Narrow"/>
                <w:bCs/>
                <w:color w:val="333333"/>
                <w:sz w:val="18"/>
                <w:szCs w:val="18"/>
              </w:rPr>
              <w:t>Treatment must be used in combination with another antibiotic for the treatment of Buruli ulcer.</w:t>
            </w:r>
          </w:p>
        </w:tc>
      </w:tr>
    </w:tbl>
    <w:p w:rsidR="00831B05" w:rsidRDefault="00831B05" w:rsidP="00831B05">
      <w:pPr>
        <w:pStyle w:val="3-BodyText"/>
        <w:numPr>
          <w:ilvl w:val="0"/>
          <w:numId w:val="0"/>
        </w:numPr>
      </w:pPr>
    </w:p>
    <w:p w:rsidR="00831B05" w:rsidRPr="006A2138" w:rsidRDefault="00831B05" w:rsidP="00831B05">
      <w:pPr>
        <w:pStyle w:val="3-BodyText"/>
        <w:numPr>
          <w:ilvl w:val="0"/>
          <w:numId w:val="0"/>
        </w:numPr>
        <w:rPr>
          <w:b/>
          <w:i/>
        </w:rPr>
      </w:pPr>
      <w:r w:rsidRPr="006A2138">
        <w:rPr>
          <w:b/>
          <w:i/>
        </w:rPr>
        <w:t>This restriction may be subject to further review. Should there be any changes made to the restriction the Sponsor will be informed.</w:t>
      </w:r>
    </w:p>
    <w:p w:rsidR="00831B05" w:rsidRDefault="00831B05" w:rsidP="00B50553">
      <w:pPr>
        <w:pStyle w:val="3-BodyText"/>
        <w:numPr>
          <w:ilvl w:val="0"/>
          <w:numId w:val="0"/>
        </w:numPr>
        <w:rPr>
          <w:b/>
          <w:i/>
        </w:rPr>
      </w:pPr>
    </w:p>
    <w:p w:rsidR="00831B05" w:rsidRDefault="00831B05" w:rsidP="00831B05">
      <w:pPr>
        <w:pStyle w:val="2Sections"/>
        <w:numPr>
          <w:ilvl w:val="0"/>
          <w:numId w:val="2"/>
        </w:numPr>
        <w:rPr>
          <w:color w:val="1F497D"/>
        </w:rPr>
      </w:pPr>
      <w:r w:rsidRPr="00C07617">
        <w:t>Context for Decision</w:t>
      </w:r>
    </w:p>
    <w:p w:rsidR="00831B05" w:rsidRDefault="00831B05" w:rsidP="00831B05">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31B05" w:rsidRPr="007129F2" w:rsidRDefault="00831B05" w:rsidP="00831B05">
      <w:pPr>
        <w:rPr>
          <w:rFonts w:asciiTheme="minorHAnsi" w:hAnsiTheme="minorHAnsi" w:cs="Arial"/>
          <w:bCs/>
          <w:lang w:val="en-GB"/>
        </w:rPr>
      </w:pPr>
    </w:p>
    <w:p w:rsidR="00831B05" w:rsidRPr="00C07617" w:rsidRDefault="00831B05" w:rsidP="00831B05">
      <w:pPr>
        <w:pStyle w:val="2Sections"/>
        <w:numPr>
          <w:ilvl w:val="0"/>
          <w:numId w:val="2"/>
        </w:numPr>
        <w:rPr>
          <w:b w:val="0"/>
        </w:rPr>
      </w:pPr>
      <w:r>
        <w:t>Sponsor’s Comment</w:t>
      </w:r>
    </w:p>
    <w:p w:rsidR="00831B05" w:rsidRPr="001179AC" w:rsidRDefault="00831B05" w:rsidP="00831B05">
      <w:pPr>
        <w:spacing w:after="120"/>
        <w:rPr>
          <w:rFonts w:asciiTheme="minorHAnsi" w:hAnsiTheme="minorHAnsi" w:cs="Arial"/>
          <w:bCs/>
        </w:rPr>
      </w:pPr>
      <w:r w:rsidRPr="00C07617">
        <w:rPr>
          <w:rFonts w:asciiTheme="minorHAnsi" w:hAnsiTheme="minorHAnsi" w:cs="Arial"/>
          <w:bCs/>
        </w:rPr>
        <w:t>The sponsor had no comment.</w:t>
      </w:r>
    </w:p>
    <w:p w:rsidR="00831B05" w:rsidRPr="006A2138" w:rsidRDefault="00831B05" w:rsidP="00B50553">
      <w:pPr>
        <w:pStyle w:val="3-BodyText"/>
        <w:numPr>
          <w:ilvl w:val="0"/>
          <w:numId w:val="0"/>
        </w:numPr>
        <w:rPr>
          <w:b/>
          <w:i/>
        </w:rPr>
      </w:pPr>
    </w:p>
    <w:sectPr w:rsidR="00831B05" w:rsidRPr="006A21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892" w:rsidRDefault="00C45892" w:rsidP="00487921">
      <w:r>
        <w:separator/>
      </w:r>
    </w:p>
  </w:endnote>
  <w:endnote w:type="continuationSeparator" w:id="0">
    <w:p w:rsidR="00C45892" w:rsidRDefault="00C45892" w:rsidP="0048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45" w:rsidRDefault="00ED0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37" w:rsidRDefault="00886937" w:rsidP="00A65886">
    <w:pPr>
      <w:pStyle w:val="PBACFoo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sidR="00ED0145">
      <w:rPr>
        <w:rFonts w:asciiTheme="minorHAnsi" w:hAnsiTheme="minorHAnsi" w:cstheme="minorHAnsi"/>
        <w:noProof/>
      </w:rPr>
      <w:t>1</w:t>
    </w:r>
    <w:r>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45" w:rsidRDefault="00ED0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892" w:rsidRDefault="00C45892" w:rsidP="00487921">
      <w:r>
        <w:separator/>
      </w:r>
    </w:p>
  </w:footnote>
  <w:footnote w:type="continuationSeparator" w:id="0">
    <w:p w:rsidR="00C45892" w:rsidRDefault="00C45892" w:rsidP="00487921">
      <w:r>
        <w:continuationSeparator/>
      </w:r>
    </w:p>
  </w:footnote>
  <w:footnote w:id="1">
    <w:p w:rsidR="00886937" w:rsidRPr="0054070D" w:rsidRDefault="00886937">
      <w:pPr>
        <w:pStyle w:val="FootnoteText"/>
        <w:rPr>
          <w:rFonts w:asciiTheme="minorHAnsi" w:hAnsiTheme="minorHAnsi" w:cstheme="minorHAnsi"/>
        </w:rPr>
      </w:pPr>
      <w:r w:rsidRPr="0054070D">
        <w:rPr>
          <w:rStyle w:val="FootnoteReference"/>
          <w:rFonts w:asciiTheme="minorHAnsi" w:hAnsiTheme="minorHAnsi" w:cstheme="minorHAnsi"/>
        </w:rPr>
        <w:footnoteRef/>
      </w:r>
      <w:r w:rsidRPr="0054070D">
        <w:rPr>
          <w:rFonts w:asciiTheme="minorHAnsi" w:hAnsiTheme="minorHAnsi" w:cstheme="minorHAnsi"/>
        </w:rPr>
        <w:t xml:space="preserve"> www.health.vic.gov.au/ideas/downloads/daily_reports/rptVS_SNIDSVictorianSummary_GR.pdf</w:t>
      </w:r>
    </w:p>
  </w:footnote>
  <w:footnote w:id="2">
    <w:p w:rsidR="00886937" w:rsidRDefault="00886937">
      <w:pPr>
        <w:pStyle w:val="FootnoteText"/>
      </w:pPr>
      <w:r w:rsidRPr="0054070D">
        <w:rPr>
          <w:rStyle w:val="FootnoteReference"/>
          <w:rFonts w:asciiTheme="minorHAnsi" w:hAnsiTheme="minorHAnsi" w:cstheme="minorHAnsi"/>
        </w:rPr>
        <w:footnoteRef/>
      </w:r>
      <w:r w:rsidRPr="0054070D">
        <w:rPr>
          <w:rFonts w:asciiTheme="minorHAnsi" w:hAnsiTheme="minorHAnsi" w:cstheme="minorHAnsi"/>
        </w:rPr>
        <w:t xml:space="preserve"> Calculated using ABS 2011 estimated resident population (total 22,620,600)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45" w:rsidRDefault="00ED0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F43" w:rsidRPr="00966288" w:rsidRDefault="00B85F43" w:rsidP="00B85F43">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rsidR="00886937" w:rsidRPr="00887D41" w:rsidRDefault="00886937" w:rsidP="00887D41">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45" w:rsidRDefault="00ED0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2C8E8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EA6A90"/>
    <w:multiLevelType w:val="hybridMultilevel"/>
    <w:tmpl w:val="AA7498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E83A6C"/>
    <w:multiLevelType w:val="hybridMultilevel"/>
    <w:tmpl w:val="1EA4E69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257C2E"/>
    <w:multiLevelType w:val="multilevel"/>
    <w:tmpl w:val="AD5C492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346AD7"/>
    <w:multiLevelType w:val="hybridMultilevel"/>
    <w:tmpl w:val="1C72B826"/>
    <w:lvl w:ilvl="0" w:tplc="3994551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57F7674"/>
    <w:multiLevelType w:val="hybridMultilevel"/>
    <w:tmpl w:val="41E42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4D033C"/>
    <w:multiLevelType w:val="multilevel"/>
    <w:tmpl w:val="4E7AEC3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CE3801"/>
    <w:multiLevelType w:val="multilevel"/>
    <w:tmpl w:val="2974C158"/>
    <w:lvl w:ilvl="0">
      <w:start w:val="1"/>
      <w:numFmt w:val="upperRoman"/>
      <w:lvlText w:val="Article %1."/>
      <w:lvlJc w:val="left"/>
      <w:pPr>
        <w:ind w:left="0" w:firstLine="0"/>
      </w:pPr>
    </w:lvl>
    <w:lvl w:ilvl="1">
      <w:start w:val="1"/>
      <w:numFmt w:val="decimalZero"/>
      <w:isLgl/>
      <w:lvlText w:val="Section %1.%2"/>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7"/>
  </w:num>
  <w:num w:numId="2">
    <w:abstractNumId w:val="6"/>
  </w:num>
  <w:num w:numId="3">
    <w:abstractNumId w:val="6"/>
  </w:num>
  <w:num w:numId="4">
    <w:abstractNumId w:val="7"/>
  </w:num>
  <w:num w:numId="5">
    <w:abstractNumId w:val="4"/>
  </w:num>
  <w:num w:numId="6">
    <w:abstractNumId w:val="4"/>
  </w:num>
  <w:num w:numId="7">
    <w:abstractNumId w:val="0"/>
  </w:num>
  <w:num w:numId="8">
    <w:abstractNumId w:val="4"/>
  </w:num>
  <w:num w:numId="9">
    <w:abstractNumId w:val="4"/>
  </w:num>
  <w:num w:numId="10">
    <w:abstractNumId w:val="6"/>
  </w:num>
  <w:num w:numId="11">
    <w:abstractNumId w:val="6"/>
  </w:num>
  <w:num w:numId="12">
    <w:abstractNumId w:val="6"/>
  </w:num>
  <w:num w:numId="13">
    <w:abstractNumId w:val="6"/>
  </w:num>
  <w:num w:numId="14">
    <w:abstractNumId w:val="4"/>
  </w:num>
  <w:num w:numId="15">
    <w:abstractNumId w:val="4"/>
  </w:num>
  <w:num w:numId="16">
    <w:abstractNumId w:val="4"/>
  </w:num>
  <w:num w:numId="17">
    <w:abstractNumId w:val="4"/>
  </w:num>
  <w:num w:numId="18">
    <w:abstractNumId w:val="4"/>
  </w:num>
  <w:num w:numId="19">
    <w:abstractNumId w:val="6"/>
  </w:num>
  <w:num w:numId="20">
    <w:abstractNumId w:val="6"/>
  </w:num>
  <w:num w:numId="21">
    <w:abstractNumId w:val="8"/>
  </w:num>
  <w:num w:numId="22">
    <w:abstractNumId w:val="3"/>
  </w:num>
  <w:num w:numId="23">
    <w:abstractNumId w:val="4"/>
  </w:num>
  <w:num w:numId="24">
    <w:abstractNumId w:val="4"/>
  </w:num>
  <w:num w:numId="25">
    <w:abstractNumId w:val="2"/>
  </w:num>
  <w:num w:numId="26">
    <w:abstractNumId w:val="5"/>
  </w:num>
  <w:num w:numId="27">
    <w:abstractNumId w:val="1"/>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6"/>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A6"/>
    <w:rsid w:val="0000598C"/>
    <w:rsid w:val="00032B54"/>
    <w:rsid w:val="00032F23"/>
    <w:rsid w:val="00036258"/>
    <w:rsid w:val="00041D84"/>
    <w:rsid w:val="00051037"/>
    <w:rsid w:val="00051551"/>
    <w:rsid w:val="00053A09"/>
    <w:rsid w:val="00062471"/>
    <w:rsid w:val="00074FF2"/>
    <w:rsid w:val="00075AAD"/>
    <w:rsid w:val="000C03D2"/>
    <w:rsid w:val="000C0481"/>
    <w:rsid w:val="000D6674"/>
    <w:rsid w:val="000D68B7"/>
    <w:rsid w:val="000E56B2"/>
    <w:rsid w:val="00102244"/>
    <w:rsid w:val="00102926"/>
    <w:rsid w:val="001049AE"/>
    <w:rsid w:val="001246F2"/>
    <w:rsid w:val="001329AC"/>
    <w:rsid w:val="00136B86"/>
    <w:rsid w:val="00140D79"/>
    <w:rsid w:val="00153D12"/>
    <w:rsid w:val="001562BF"/>
    <w:rsid w:val="00162742"/>
    <w:rsid w:val="00181523"/>
    <w:rsid w:val="001815C4"/>
    <w:rsid w:val="00183C03"/>
    <w:rsid w:val="0018551A"/>
    <w:rsid w:val="001855B8"/>
    <w:rsid w:val="00187377"/>
    <w:rsid w:val="001908FE"/>
    <w:rsid w:val="00190C01"/>
    <w:rsid w:val="00190C66"/>
    <w:rsid w:val="00190F67"/>
    <w:rsid w:val="001A2491"/>
    <w:rsid w:val="001A4F30"/>
    <w:rsid w:val="001D2A50"/>
    <w:rsid w:val="001D2FA4"/>
    <w:rsid w:val="001D78E7"/>
    <w:rsid w:val="001E5BAE"/>
    <w:rsid w:val="001F5701"/>
    <w:rsid w:val="002000FF"/>
    <w:rsid w:val="00201102"/>
    <w:rsid w:val="00201F08"/>
    <w:rsid w:val="00211A55"/>
    <w:rsid w:val="00213495"/>
    <w:rsid w:val="00213C01"/>
    <w:rsid w:val="00215395"/>
    <w:rsid w:val="00221564"/>
    <w:rsid w:val="0022520B"/>
    <w:rsid w:val="00234060"/>
    <w:rsid w:val="00235564"/>
    <w:rsid w:val="00235D40"/>
    <w:rsid w:val="00235EF2"/>
    <w:rsid w:val="002362C9"/>
    <w:rsid w:val="00241A51"/>
    <w:rsid w:val="00255C84"/>
    <w:rsid w:val="00271DCE"/>
    <w:rsid w:val="00273B04"/>
    <w:rsid w:val="00274575"/>
    <w:rsid w:val="00280050"/>
    <w:rsid w:val="00282A80"/>
    <w:rsid w:val="0028604B"/>
    <w:rsid w:val="00287C10"/>
    <w:rsid w:val="002C2D6E"/>
    <w:rsid w:val="002D09EE"/>
    <w:rsid w:val="002F1C7C"/>
    <w:rsid w:val="00303F72"/>
    <w:rsid w:val="003059CD"/>
    <w:rsid w:val="00305F4F"/>
    <w:rsid w:val="00316803"/>
    <w:rsid w:val="003266DF"/>
    <w:rsid w:val="00326B4A"/>
    <w:rsid w:val="00331499"/>
    <w:rsid w:val="0033344A"/>
    <w:rsid w:val="00370EDB"/>
    <w:rsid w:val="003741A2"/>
    <w:rsid w:val="0037557C"/>
    <w:rsid w:val="00377C39"/>
    <w:rsid w:val="00382645"/>
    <w:rsid w:val="00397956"/>
    <w:rsid w:val="003A6159"/>
    <w:rsid w:val="003B7721"/>
    <w:rsid w:val="003C2894"/>
    <w:rsid w:val="003D59E9"/>
    <w:rsid w:val="003E5C92"/>
    <w:rsid w:val="003E71E5"/>
    <w:rsid w:val="003F3CAC"/>
    <w:rsid w:val="00402A5C"/>
    <w:rsid w:val="004101DD"/>
    <w:rsid w:val="00414488"/>
    <w:rsid w:val="00415E63"/>
    <w:rsid w:val="0042346D"/>
    <w:rsid w:val="00441466"/>
    <w:rsid w:val="0045033E"/>
    <w:rsid w:val="00451D06"/>
    <w:rsid w:val="0045219F"/>
    <w:rsid w:val="00462C9D"/>
    <w:rsid w:val="00474DA6"/>
    <w:rsid w:val="00482F5A"/>
    <w:rsid w:val="00487921"/>
    <w:rsid w:val="004B15FA"/>
    <w:rsid w:val="004B3098"/>
    <w:rsid w:val="004D4B72"/>
    <w:rsid w:val="004D7293"/>
    <w:rsid w:val="004E308D"/>
    <w:rsid w:val="004F3F74"/>
    <w:rsid w:val="004F7DB6"/>
    <w:rsid w:val="00527677"/>
    <w:rsid w:val="0054070D"/>
    <w:rsid w:val="00554D06"/>
    <w:rsid w:val="0055793A"/>
    <w:rsid w:val="00560185"/>
    <w:rsid w:val="00565109"/>
    <w:rsid w:val="005708A1"/>
    <w:rsid w:val="005977A1"/>
    <w:rsid w:val="005A7C78"/>
    <w:rsid w:val="005C3E01"/>
    <w:rsid w:val="005D33B9"/>
    <w:rsid w:val="005D5C71"/>
    <w:rsid w:val="005F31C4"/>
    <w:rsid w:val="00611382"/>
    <w:rsid w:val="006123A5"/>
    <w:rsid w:val="006139B6"/>
    <w:rsid w:val="00620BB4"/>
    <w:rsid w:val="0062149B"/>
    <w:rsid w:val="0063546A"/>
    <w:rsid w:val="006366B2"/>
    <w:rsid w:val="00653B57"/>
    <w:rsid w:val="0066363A"/>
    <w:rsid w:val="006678B6"/>
    <w:rsid w:val="006734E0"/>
    <w:rsid w:val="0068040A"/>
    <w:rsid w:val="0068717F"/>
    <w:rsid w:val="006A2138"/>
    <w:rsid w:val="006B4A76"/>
    <w:rsid w:val="006B6F0F"/>
    <w:rsid w:val="006C3CBC"/>
    <w:rsid w:val="006D3954"/>
    <w:rsid w:val="006D487D"/>
    <w:rsid w:val="006D65E1"/>
    <w:rsid w:val="006F6204"/>
    <w:rsid w:val="00700C3C"/>
    <w:rsid w:val="0070497B"/>
    <w:rsid w:val="00710C32"/>
    <w:rsid w:val="0071204F"/>
    <w:rsid w:val="0072698E"/>
    <w:rsid w:val="0073282E"/>
    <w:rsid w:val="00756357"/>
    <w:rsid w:val="007671CA"/>
    <w:rsid w:val="0077071E"/>
    <w:rsid w:val="0078125E"/>
    <w:rsid w:val="0078259E"/>
    <w:rsid w:val="00785B6B"/>
    <w:rsid w:val="007B044E"/>
    <w:rsid w:val="007B68A5"/>
    <w:rsid w:val="007D1D54"/>
    <w:rsid w:val="007D5155"/>
    <w:rsid w:val="007E0C24"/>
    <w:rsid w:val="007E1155"/>
    <w:rsid w:val="007E53F1"/>
    <w:rsid w:val="007E60F7"/>
    <w:rsid w:val="00801F0B"/>
    <w:rsid w:val="00803A73"/>
    <w:rsid w:val="00831B05"/>
    <w:rsid w:val="008429A8"/>
    <w:rsid w:val="00864749"/>
    <w:rsid w:val="00870DBC"/>
    <w:rsid w:val="008801E0"/>
    <w:rsid w:val="00880D1D"/>
    <w:rsid w:val="00884F33"/>
    <w:rsid w:val="00886937"/>
    <w:rsid w:val="00887D41"/>
    <w:rsid w:val="008A39C0"/>
    <w:rsid w:val="008C259C"/>
    <w:rsid w:val="008C5C7C"/>
    <w:rsid w:val="008D02B1"/>
    <w:rsid w:val="008E2ABE"/>
    <w:rsid w:val="008F548E"/>
    <w:rsid w:val="00905FEF"/>
    <w:rsid w:val="00906DA7"/>
    <w:rsid w:val="009133D8"/>
    <w:rsid w:val="00915D2D"/>
    <w:rsid w:val="00926740"/>
    <w:rsid w:val="00926949"/>
    <w:rsid w:val="009358BB"/>
    <w:rsid w:val="00947AEA"/>
    <w:rsid w:val="00953098"/>
    <w:rsid w:val="00957FA3"/>
    <w:rsid w:val="009602F7"/>
    <w:rsid w:val="00962B98"/>
    <w:rsid w:val="00966DB4"/>
    <w:rsid w:val="009710FE"/>
    <w:rsid w:val="00972948"/>
    <w:rsid w:val="009942FD"/>
    <w:rsid w:val="00995A1E"/>
    <w:rsid w:val="0099782E"/>
    <w:rsid w:val="009B1F8D"/>
    <w:rsid w:val="009D1D30"/>
    <w:rsid w:val="009E2E6F"/>
    <w:rsid w:val="009F3102"/>
    <w:rsid w:val="00A12911"/>
    <w:rsid w:val="00A14F37"/>
    <w:rsid w:val="00A25A30"/>
    <w:rsid w:val="00A505A1"/>
    <w:rsid w:val="00A556F4"/>
    <w:rsid w:val="00A62420"/>
    <w:rsid w:val="00A64052"/>
    <w:rsid w:val="00A65886"/>
    <w:rsid w:val="00A84BF9"/>
    <w:rsid w:val="00A92829"/>
    <w:rsid w:val="00AA0D62"/>
    <w:rsid w:val="00AB0F24"/>
    <w:rsid w:val="00AB3C10"/>
    <w:rsid w:val="00AB7ADB"/>
    <w:rsid w:val="00AD457F"/>
    <w:rsid w:val="00AF5789"/>
    <w:rsid w:val="00AF62D2"/>
    <w:rsid w:val="00B13548"/>
    <w:rsid w:val="00B412C1"/>
    <w:rsid w:val="00B415F7"/>
    <w:rsid w:val="00B44929"/>
    <w:rsid w:val="00B44E06"/>
    <w:rsid w:val="00B50553"/>
    <w:rsid w:val="00B55D4A"/>
    <w:rsid w:val="00B6280E"/>
    <w:rsid w:val="00B6496E"/>
    <w:rsid w:val="00B64B54"/>
    <w:rsid w:val="00B745D9"/>
    <w:rsid w:val="00B74676"/>
    <w:rsid w:val="00B7546A"/>
    <w:rsid w:val="00B85F43"/>
    <w:rsid w:val="00B96C96"/>
    <w:rsid w:val="00BD1F62"/>
    <w:rsid w:val="00BD76BF"/>
    <w:rsid w:val="00BE41BC"/>
    <w:rsid w:val="00BE6EB5"/>
    <w:rsid w:val="00BF3A39"/>
    <w:rsid w:val="00C25758"/>
    <w:rsid w:val="00C33168"/>
    <w:rsid w:val="00C42C5A"/>
    <w:rsid w:val="00C45892"/>
    <w:rsid w:val="00C53A44"/>
    <w:rsid w:val="00C56017"/>
    <w:rsid w:val="00C572CC"/>
    <w:rsid w:val="00C64C9E"/>
    <w:rsid w:val="00C80F5D"/>
    <w:rsid w:val="00C855B7"/>
    <w:rsid w:val="00C92617"/>
    <w:rsid w:val="00C94FA0"/>
    <w:rsid w:val="00C95096"/>
    <w:rsid w:val="00C97273"/>
    <w:rsid w:val="00CB4146"/>
    <w:rsid w:val="00CC0843"/>
    <w:rsid w:val="00CD1B46"/>
    <w:rsid w:val="00CD4B63"/>
    <w:rsid w:val="00CE3739"/>
    <w:rsid w:val="00CE7176"/>
    <w:rsid w:val="00D12579"/>
    <w:rsid w:val="00D14F20"/>
    <w:rsid w:val="00D1672F"/>
    <w:rsid w:val="00D219E9"/>
    <w:rsid w:val="00D2266D"/>
    <w:rsid w:val="00D2681B"/>
    <w:rsid w:val="00D3520D"/>
    <w:rsid w:val="00D45A80"/>
    <w:rsid w:val="00D61CE8"/>
    <w:rsid w:val="00D61DF8"/>
    <w:rsid w:val="00D801F9"/>
    <w:rsid w:val="00D86772"/>
    <w:rsid w:val="00D93110"/>
    <w:rsid w:val="00D94AEF"/>
    <w:rsid w:val="00D97CB0"/>
    <w:rsid w:val="00DA4D89"/>
    <w:rsid w:val="00DC78B6"/>
    <w:rsid w:val="00DD75E8"/>
    <w:rsid w:val="00DF68DB"/>
    <w:rsid w:val="00E12A44"/>
    <w:rsid w:val="00E253B2"/>
    <w:rsid w:val="00E30992"/>
    <w:rsid w:val="00E745C1"/>
    <w:rsid w:val="00E77777"/>
    <w:rsid w:val="00E84A4E"/>
    <w:rsid w:val="00E90AA4"/>
    <w:rsid w:val="00EA0E29"/>
    <w:rsid w:val="00EB70FF"/>
    <w:rsid w:val="00EC1CB8"/>
    <w:rsid w:val="00EC1DD8"/>
    <w:rsid w:val="00ED0145"/>
    <w:rsid w:val="00ED2B55"/>
    <w:rsid w:val="00EF1909"/>
    <w:rsid w:val="00F052CF"/>
    <w:rsid w:val="00F132DE"/>
    <w:rsid w:val="00F14D6C"/>
    <w:rsid w:val="00F21FF2"/>
    <w:rsid w:val="00F2555D"/>
    <w:rsid w:val="00F32743"/>
    <w:rsid w:val="00F33725"/>
    <w:rsid w:val="00F33825"/>
    <w:rsid w:val="00F37D3D"/>
    <w:rsid w:val="00F71B26"/>
    <w:rsid w:val="00F818D9"/>
    <w:rsid w:val="00F84958"/>
    <w:rsid w:val="00F8668A"/>
    <w:rsid w:val="00F90197"/>
    <w:rsid w:val="00F93CFD"/>
    <w:rsid w:val="00F961DD"/>
    <w:rsid w:val="00F977E5"/>
    <w:rsid w:val="00FA34D3"/>
    <w:rsid w:val="00FB327D"/>
    <w:rsid w:val="00FB7B46"/>
    <w:rsid w:val="00FE4398"/>
    <w:rsid w:val="00FF0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3F2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DA6"/>
    <w:pPr>
      <w:jc w:val="both"/>
    </w:pPr>
    <w:rPr>
      <w:rFonts w:ascii="Calibri" w:hAnsi="Calibri"/>
      <w:sz w:val="24"/>
      <w:szCs w:val="24"/>
    </w:rPr>
  </w:style>
  <w:style w:type="paragraph" w:styleId="Heading2">
    <w:name w:val="heading 2"/>
    <w:aliases w:val="4-Subsection Heading"/>
    <w:basedOn w:val="Normal"/>
    <w:next w:val="3-BodyText"/>
    <w:link w:val="Heading2Char"/>
    <w:qFormat/>
    <w:rsid w:val="00474DA6"/>
    <w:pPr>
      <w:keepNext/>
      <w:spacing w:before="120" w:after="120"/>
      <w:outlineLvl w:val="1"/>
    </w:pPr>
    <w:rPr>
      <w:rFonts w:asciiTheme="minorHAnsi" w:eastAsiaTheme="majorEastAsia" w:hAnsiTheme="minorHAnsi" w:cstheme="majorBidi"/>
      <w:b/>
      <w:i/>
      <w:spacing w:val="5"/>
      <w:kern w:val="28"/>
      <w:sz w:val="28"/>
      <w:szCs w:val="36"/>
    </w:rPr>
  </w:style>
  <w:style w:type="paragraph" w:styleId="Heading3">
    <w:name w:val="heading 3"/>
    <w:basedOn w:val="Normal"/>
    <w:next w:val="Normal"/>
    <w:link w:val="Heading3Char"/>
    <w:uiPriority w:val="9"/>
    <w:semiHidden/>
    <w:unhideWhenUsed/>
    <w:rsid w:val="00F84958"/>
    <w:pPr>
      <w:keepNext/>
      <w:keepLines/>
      <w:numPr>
        <w:ilvl w:val="2"/>
        <w:numId w:val="4"/>
      </w:numPr>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4-Subsection Heading Char"/>
    <w:basedOn w:val="DefaultParagraphFont"/>
    <w:link w:val="Heading2"/>
    <w:rsid w:val="00474DA6"/>
    <w:rPr>
      <w:rFonts w:asciiTheme="minorHAnsi" w:eastAsiaTheme="majorEastAsia" w:hAnsiTheme="minorHAnsi" w:cstheme="majorBidi"/>
      <w:b/>
      <w:i/>
      <w:spacing w:val="5"/>
      <w:kern w:val="28"/>
      <w:sz w:val="28"/>
      <w:szCs w:val="36"/>
    </w:rPr>
  </w:style>
  <w:style w:type="paragraph" w:customStyle="1" w:styleId="1-MainHeading">
    <w:name w:val="1-Main Heading"/>
    <w:link w:val="1-MainHeadingChar"/>
    <w:qFormat/>
    <w:rsid w:val="00474DA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74DA6"/>
    <w:rPr>
      <w:rFonts w:asciiTheme="minorHAnsi" w:eastAsiaTheme="majorEastAsia" w:hAnsiTheme="minorHAnsi" w:cstheme="majorBidi"/>
      <w:b/>
      <w:spacing w:val="5"/>
      <w:kern w:val="28"/>
      <w:sz w:val="36"/>
      <w:szCs w:val="36"/>
    </w:rPr>
  </w:style>
  <w:style w:type="paragraph" w:customStyle="1" w:styleId="2-SectionHeading">
    <w:name w:val="2-Section Heading"/>
    <w:qFormat/>
    <w:rsid w:val="00474DA6"/>
    <w:pPr>
      <w:keepNext/>
      <w:numPr>
        <w:numId w:val="20"/>
      </w:numPr>
      <w:spacing w:before="240" w:after="120"/>
      <w:outlineLvl w:val="0"/>
    </w:pPr>
    <w:rPr>
      <w:rFonts w:asciiTheme="minorHAnsi" w:hAnsiTheme="minorHAnsi" w:cs="Arial"/>
      <w:b/>
      <w:snapToGrid w:val="0"/>
      <w:sz w:val="32"/>
      <w:szCs w:val="32"/>
    </w:rPr>
  </w:style>
  <w:style w:type="paragraph" w:customStyle="1" w:styleId="3-BodyText">
    <w:name w:val="3-Body Text"/>
    <w:link w:val="3-BodyTextChar"/>
    <w:qFormat/>
    <w:rsid w:val="00474DA6"/>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74DA6"/>
    <w:rPr>
      <w:rFonts w:asciiTheme="minorHAnsi" w:eastAsiaTheme="minorHAnsi" w:hAnsiTheme="minorHAnsi" w:cstheme="minorBidi"/>
      <w:snapToGrid/>
      <w:sz w:val="24"/>
      <w:szCs w:val="22"/>
    </w:rPr>
  </w:style>
  <w:style w:type="paragraph" w:customStyle="1" w:styleId="GeneralHeading">
    <w:name w:val="General Heading"/>
    <w:qFormat/>
    <w:rsid w:val="00474DA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74DA6"/>
    <w:pPr>
      <w:keepNext/>
    </w:pPr>
    <w:rPr>
      <w:rFonts w:ascii="Arial Narrow" w:eastAsiaTheme="majorEastAsia" w:hAnsi="Arial Narrow"/>
      <w:b/>
      <w:szCs w:val="24"/>
      <w:lang w:val="en-US"/>
    </w:rPr>
  </w:style>
  <w:style w:type="paragraph" w:customStyle="1" w:styleId="PageFooter">
    <w:name w:val="Page Footer"/>
    <w:basedOn w:val="Normal"/>
    <w:link w:val="PageFooterChar"/>
    <w:qFormat/>
    <w:rsid w:val="00474DA6"/>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74DA6"/>
    <w:rPr>
      <w:rFonts w:ascii="Calibri" w:hAnsi="Calibri" w:cs="Arial"/>
      <w:b/>
      <w:sz w:val="24"/>
      <w:szCs w:val="24"/>
    </w:rPr>
  </w:style>
  <w:style w:type="paragraph" w:customStyle="1" w:styleId="PageHeader">
    <w:name w:val="Page Header"/>
    <w:basedOn w:val="Normal"/>
    <w:link w:val="PageHeaderChar"/>
    <w:qFormat/>
    <w:rsid w:val="00474DA6"/>
    <w:pPr>
      <w:keepNext/>
      <w:tabs>
        <w:tab w:val="center" w:pos="4513"/>
        <w:tab w:val="right" w:pos="9026"/>
      </w:tabs>
      <w:jc w:val="center"/>
    </w:pPr>
  </w:style>
  <w:style w:type="character" w:customStyle="1" w:styleId="PageHeaderChar">
    <w:name w:val="Page Header Char"/>
    <w:basedOn w:val="DefaultParagraphFont"/>
    <w:link w:val="PageHeader"/>
    <w:rsid w:val="00474DA6"/>
    <w:rPr>
      <w:rFonts w:ascii="Calibri" w:hAnsi="Calibri"/>
      <w:sz w:val="24"/>
      <w:szCs w:val="24"/>
    </w:rPr>
  </w:style>
  <w:style w:type="paragraph" w:styleId="Header">
    <w:name w:val="header"/>
    <w:basedOn w:val="Normal"/>
    <w:link w:val="HeaderChar"/>
    <w:uiPriority w:val="99"/>
    <w:unhideWhenUsed/>
    <w:rsid w:val="00F84958"/>
    <w:pPr>
      <w:tabs>
        <w:tab w:val="center" w:pos="4513"/>
        <w:tab w:val="right" w:pos="9026"/>
      </w:tabs>
    </w:pPr>
  </w:style>
  <w:style w:type="character" w:customStyle="1" w:styleId="HeaderChar">
    <w:name w:val="Header Char"/>
    <w:basedOn w:val="DefaultParagraphFont"/>
    <w:link w:val="Header"/>
    <w:uiPriority w:val="99"/>
    <w:rsid w:val="00F84958"/>
    <w:rPr>
      <w:rFonts w:ascii="Calibri" w:eastAsia="Times New Roman" w:hAnsi="Calibri"/>
      <w:sz w:val="24"/>
      <w:szCs w:val="24"/>
    </w:rPr>
  </w:style>
  <w:style w:type="paragraph" w:customStyle="1" w:styleId="TableText">
    <w:name w:val="Table Text"/>
    <w:link w:val="TableTextChar"/>
    <w:qFormat/>
    <w:rsid w:val="00474DA6"/>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474DA6"/>
    <w:rPr>
      <w:rFonts w:ascii="Arial Narrow" w:eastAsiaTheme="majorEastAsia" w:hAnsi="Arial Narrow" w:cstheme="majorBidi"/>
      <w:bCs/>
      <w:szCs w:val="24"/>
    </w:rPr>
  </w:style>
  <w:style w:type="paragraph" w:customStyle="1" w:styleId="TableFigureFooter">
    <w:name w:val="Table/Figure Footer"/>
    <w:basedOn w:val="Normal"/>
    <w:link w:val="TableFigureFooterChar"/>
    <w:qFormat/>
    <w:rsid w:val="00474DA6"/>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74DA6"/>
    <w:rPr>
      <w:rFonts w:ascii="Arial Narrow" w:hAnsi="Arial Narrow" w:cs="Arial"/>
      <w:snapToGrid w:val="0"/>
      <w:sz w:val="18"/>
      <w:szCs w:val="22"/>
    </w:rPr>
  </w:style>
  <w:style w:type="paragraph" w:customStyle="1" w:styleId="TableFigureHeading">
    <w:name w:val="Table/Figure Heading"/>
    <w:link w:val="TableFigureHeadingChar"/>
    <w:qFormat/>
    <w:rsid w:val="00474DA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74DA6"/>
    <w:rPr>
      <w:rFonts w:ascii="Arial Narrow" w:eastAsiaTheme="majorEastAsia" w:hAnsi="Arial Narrow" w:cstheme="majorBidi"/>
      <w:b/>
      <w:bCs/>
      <w:szCs w:val="24"/>
    </w:rPr>
  </w:style>
  <w:style w:type="paragraph" w:customStyle="1" w:styleId="5-SubsectionSubheading">
    <w:name w:val="5-Subsection Subheading"/>
    <w:basedOn w:val="Heading3"/>
    <w:next w:val="3-BodyText"/>
    <w:link w:val="5-SubsectionSubheadingChar"/>
    <w:qFormat/>
    <w:rsid w:val="00474DA6"/>
    <w:pPr>
      <w:numPr>
        <w:ilvl w:val="0"/>
        <w:numId w:val="0"/>
      </w:numPr>
    </w:pPr>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474DA6"/>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F84958"/>
    <w:rPr>
      <w:rFonts w:asciiTheme="majorHAnsi" w:eastAsiaTheme="majorEastAsia" w:hAnsiTheme="majorHAnsi" w:cstheme="majorBidi"/>
      <w:color w:val="1F4D78" w:themeColor="accent1" w:themeShade="7F"/>
      <w:sz w:val="24"/>
      <w:szCs w:val="24"/>
    </w:rPr>
  </w:style>
  <w:style w:type="paragraph" w:styleId="ListParagraph">
    <w:name w:val="List Paragraph"/>
    <w:aliases w:val="Body Text Bullet Points,BulletPoints,Footnote,Bullet point,List Paragraph1,List Paragraph11,Recommendation,Numbered para,ES Paragraph,PBAC ES Paragraph,PBAC normal points,Bullet List"/>
    <w:next w:val="ListBullet"/>
    <w:link w:val="ListParagraphChar"/>
    <w:uiPriority w:val="34"/>
    <w:qFormat/>
    <w:rsid w:val="00474DA6"/>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Footnote Char,Bullet point Char,List Paragraph1 Char,List Paragraph11 Char,Recommendation Char,Numbered para Char,ES Paragraph Char,PBAC ES Paragraph Char,PBAC normal points Char"/>
    <w:basedOn w:val="DefaultParagraphFont"/>
    <w:link w:val="ListParagraph"/>
    <w:uiPriority w:val="34"/>
    <w:qFormat/>
    <w:locked/>
    <w:rsid w:val="00474DA6"/>
    <w:rPr>
      <w:rFonts w:asciiTheme="minorHAnsi" w:hAnsiTheme="minorHAnsi" w:cs="Arial"/>
      <w:snapToGrid w:val="0"/>
      <w:sz w:val="24"/>
      <w:szCs w:val="24"/>
    </w:rPr>
  </w:style>
  <w:style w:type="paragraph" w:styleId="ListContinue">
    <w:name w:val="List Continue"/>
    <w:basedOn w:val="Normal"/>
    <w:uiPriority w:val="99"/>
    <w:semiHidden/>
    <w:unhideWhenUsed/>
    <w:rsid w:val="00906DA7"/>
    <w:pPr>
      <w:spacing w:after="120"/>
      <w:ind w:left="283"/>
      <w:contextualSpacing/>
    </w:pPr>
  </w:style>
  <w:style w:type="paragraph" w:styleId="ListBullet">
    <w:name w:val="List Bullet"/>
    <w:basedOn w:val="Normal"/>
    <w:uiPriority w:val="99"/>
    <w:semiHidden/>
    <w:unhideWhenUsed/>
    <w:rsid w:val="00906DA7"/>
    <w:pPr>
      <w:numPr>
        <w:numId w:val="7"/>
      </w:numPr>
      <w:contextualSpacing/>
    </w:pPr>
  </w:style>
  <w:style w:type="paragraph" w:customStyle="1" w:styleId="2Sections">
    <w:name w:val="2. Sections"/>
    <w:qFormat/>
    <w:rsid w:val="001329AC"/>
    <w:pPr>
      <w:spacing w:before="240" w:after="120"/>
      <w:ind w:left="720" w:hanging="720"/>
      <w:outlineLvl w:val="0"/>
    </w:pPr>
    <w:rPr>
      <w:rFonts w:asciiTheme="minorHAnsi" w:hAnsiTheme="minorHAnsi" w:cs="Arial"/>
      <w:b/>
      <w:snapToGrid w:val="0"/>
      <w:sz w:val="32"/>
      <w:szCs w:val="32"/>
    </w:rPr>
  </w:style>
  <w:style w:type="paragraph" w:customStyle="1" w:styleId="3Bodytext">
    <w:name w:val="3. Body text"/>
    <w:basedOn w:val="ListParagraph"/>
    <w:link w:val="3BodytextChar"/>
    <w:qFormat/>
    <w:rsid w:val="001329AC"/>
    <w:pPr>
      <w:numPr>
        <w:numId w:val="0"/>
      </w:numPr>
      <w:ind w:left="720" w:hanging="720"/>
      <w:jc w:val="both"/>
    </w:pPr>
    <w:rPr>
      <w:rFonts w:eastAsiaTheme="minorHAnsi" w:cstheme="minorBidi"/>
      <w:snapToGrid/>
      <w:szCs w:val="22"/>
    </w:rPr>
  </w:style>
  <w:style w:type="character" w:customStyle="1" w:styleId="3BodytextChar">
    <w:name w:val="3. Body text Char"/>
    <w:basedOn w:val="DefaultParagraphFont"/>
    <w:link w:val="3Bodytext"/>
    <w:rsid w:val="001329AC"/>
    <w:rPr>
      <w:rFonts w:asciiTheme="minorHAnsi" w:eastAsiaTheme="minorHAnsi" w:hAnsiTheme="minorHAnsi" w:cstheme="minorBidi"/>
      <w:sz w:val="24"/>
      <w:szCs w:val="22"/>
    </w:rPr>
  </w:style>
  <w:style w:type="character" w:styleId="CommentReference">
    <w:name w:val="annotation reference"/>
    <w:basedOn w:val="DefaultParagraphFont"/>
    <w:uiPriority w:val="99"/>
    <w:semiHidden/>
    <w:unhideWhenUsed/>
    <w:rsid w:val="0055793A"/>
    <w:rPr>
      <w:sz w:val="16"/>
      <w:szCs w:val="16"/>
    </w:rPr>
  </w:style>
  <w:style w:type="paragraph" w:styleId="CommentText">
    <w:name w:val="annotation text"/>
    <w:basedOn w:val="Normal"/>
    <w:link w:val="CommentTextChar"/>
    <w:uiPriority w:val="99"/>
    <w:semiHidden/>
    <w:unhideWhenUsed/>
    <w:rsid w:val="0055793A"/>
    <w:rPr>
      <w:sz w:val="20"/>
      <w:szCs w:val="20"/>
    </w:rPr>
  </w:style>
  <w:style w:type="character" w:customStyle="1" w:styleId="CommentTextChar">
    <w:name w:val="Comment Text Char"/>
    <w:basedOn w:val="DefaultParagraphFont"/>
    <w:link w:val="CommentText"/>
    <w:uiPriority w:val="99"/>
    <w:semiHidden/>
    <w:rsid w:val="0055793A"/>
    <w:rPr>
      <w:rFonts w:ascii="Calibri" w:hAnsi="Calibri"/>
    </w:rPr>
  </w:style>
  <w:style w:type="paragraph" w:styleId="CommentSubject">
    <w:name w:val="annotation subject"/>
    <w:basedOn w:val="CommentText"/>
    <w:next w:val="CommentText"/>
    <w:link w:val="CommentSubjectChar"/>
    <w:uiPriority w:val="99"/>
    <w:semiHidden/>
    <w:unhideWhenUsed/>
    <w:rsid w:val="0055793A"/>
    <w:rPr>
      <w:b/>
      <w:bCs/>
    </w:rPr>
  </w:style>
  <w:style w:type="character" w:customStyle="1" w:styleId="CommentSubjectChar">
    <w:name w:val="Comment Subject Char"/>
    <w:basedOn w:val="CommentTextChar"/>
    <w:link w:val="CommentSubject"/>
    <w:uiPriority w:val="99"/>
    <w:semiHidden/>
    <w:rsid w:val="0055793A"/>
    <w:rPr>
      <w:rFonts w:ascii="Calibri" w:hAnsi="Calibri"/>
      <w:b/>
      <w:bCs/>
    </w:rPr>
  </w:style>
  <w:style w:type="paragraph" w:styleId="BalloonText">
    <w:name w:val="Balloon Text"/>
    <w:basedOn w:val="Normal"/>
    <w:link w:val="BalloonTextChar"/>
    <w:uiPriority w:val="99"/>
    <w:semiHidden/>
    <w:unhideWhenUsed/>
    <w:rsid w:val="00557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93A"/>
    <w:rPr>
      <w:rFonts w:ascii="Segoe UI" w:hAnsi="Segoe UI" w:cs="Segoe UI"/>
      <w:sz w:val="18"/>
      <w:szCs w:val="18"/>
    </w:rPr>
  </w:style>
  <w:style w:type="table" w:styleId="TableGrid">
    <w:name w:val="Table Grid"/>
    <w:basedOn w:val="TableNormal"/>
    <w:uiPriority w:val="39"/>
    <w:rsid w:val="00487921"/>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normal">
    <w:name w:val="PBS normal"/>
    <w:basedOn w:val="Normal"/>
    <w:link w:val="PBSnormalChar"/>
    <w:qFormat/>
    <w:rsid w:val="00487921"/>
    <w:pPr>
      <w:spacing w:before="120" w:after="120" w:line="360" w:lineRule="auto"/>
    </w:pPr>
    <w:rPr>
      <w:rFonts w:ascii="Arial" w:hAnsi="Arial"/>
      <w:sz w:val="22"/>
      <w:szCs w:val="20"/>
      <w:lang w:eastAsia="en-AU"/>
    </w:rPr>
  </w:style>
  <w:style w:type="character" w:customStyle="1" w:styleId="PBSnormalChar">
    <w:name w:val="PBS normal Char"/>
    <w:basedOn w:val="DefaultParagraphFont"/>
    <w:link w:val="PBSnormal"/>
    <w:rsid w:val="00487921"/>
    <w:rPr>
      <w:rFonts w:ascii="Arial" w:hAnsi="Arial"/>
      <w:sz w:val="22"/>
      <w:lang w:eastAsia="en-AU"/>
    </w:rPr>
  </w:style>
  <w:style w:type="paragraph" w:styleId="Caption">
    <w:name w:val="caption"/>
    <w:basedOn w:val="Normal"/>
    <w:next w:val="Normal"/>
    <w:unhideWhenUsed/>
    <w:qFormat/>
    <w:rsid w:val="00487921"/>
    <w:pPr>
      <w:keepNext/>
      <w:jc w:val="left"/>
    </w:pPr>
    <w:rPr>
      <w:rFonts w:ascii="Arial Narrow" w:hAnsi="Arial Narrow"/>
      <w:b/>
      <w:iCs/>
      <w:sz w:val="20"/>
      <w:szCs w:val="20"/>
      <w:lang w:eastAsia="en-AU"/>
    </w:rPr>
  </w:style>
  <w:style w:type="paragraph" w:styleId="FootnoteText">
    <w:name w:val="footnote text"/>
    <w:basedOn w:val="Normal"/>
    <w:link w:val="FootnoteTextChar"/>
    <w:semiHidden/>
    <w:unhideWhenUsed/>
    <w:rsid w:val="00487921"/>
    <w:pPr>
      <w:jc w:val="left"/>
    </w:pPr>
    <w:rPr>
      <w:rFonts w:ascii="Times New Roman" w:hAnsi="Times New Roman"/>
      <w:sz w:val="20"/>
      <w:szCs w:val="20"/>
      <w:lang w:eastAsia="en-AU"/>
    </w:rPr>
  </w:style>
  <w:style w:type="character" w:customStyle="1" w:styleId="FootnoteTextChar">
    <w:name w:val="Footnote Text Char"/>
    <w:basedOn w:val="DefaultParagraphFont"/>
    <w:link w:val="FootnoteText"/>
    <w:semiHidden/>
    <w:rsid w:val="00487921"/>
    <w:rPr>
      <w:lang w:eastAsia="en-AU"/>
    </w:rPr>
  </w:style>
  <w:style w:type="character" w:styleId="FootnoteReference">
    <w:name w:val="footnote reference"/>
    <w:basedOn w:val="DefaultParagraphFont"/>
    <w:semiHidden/>
    <w:unhideWhenUsed/>
    <w:rsid w:val="00487921"/>
    <w:rPr>
      <w:vertAlign w:val="superscript"/>
    </w:rPr>
  </w:style>
  <w:style w:type="paragraph" w:styleId="Footer">
    <w:name w:val="footer"/>
    <w:basedOn w:val="Normal"/>
    <w:link w:val="FooterChar"/>
    <w:uiPriority w:val="99"/>
    <w:unhideWhenUsed/>
    <w:rsid w:val="009E2E6F"/>
    <w:pPr>
      <w:tabs>
        <w:tab w:val="center" w:pos="4513"/>
        <w:tab w:val="right" w:pos="9026"/>
      </w:tabs>
    </w:pPr>
  </w:style>
  <w:style w:type="character" w:customStyle="1" w:styleId="FooterChar">
    <w:name w:val="Footer Char"/>
    <w:basedOn w:val="DefaultParagraphFont"/>
    <w:link w:val="Footer"/>
    <w:uiPriority w:val="99"/>
    <w:rsid w:val="009E2E6F"/>
    <w:rPr>
      <w:rFonts w:ascii="Calibri" w:hAnsi="Calibri"/>
      <w:sz w:val="24"/>
      <w:szCs w:val="24"/>
    </w:rPr>
  </w:style>
  <w:style w:type="paragraph" w:customStyle="1" w:styleId="MinorOVRHeader">
    <w:name w:val="Minor OVR Header"/>
    <w:basedOn w:val="Header"/>
    <w:link w:val="MinorOVRHeaderChar"/>
    <w:rsid w:val="009E2E6F"/>
    <w:pPr>
      <w:tabs>
        <w:tab w:val="clear" w:pos="4513"/>
        <w:tab w:val="clear" w:pos="9026"/>
        <w:tab w:val="center" w:pos="4153"/>
        <w:tab w:val="right" w:pos="8306"/>
      </w:tabs>
      <w:jc w:val="right"/>
    </w:pPr>
    <w:rPr>
      <w:rFonts w:asciiTheme="minorHAnsi" w:hAnsiTheme="minorHAnsi" w:cs="Arial"/>
      <w:lang w:eastAsia="en-AU"/>
    </w:rPr>
  </w:style>
  <w:style w:type="character" w:customStyle="1" w:styleId="MinorOVRHeaderChar">
    <w:name w:val="Minor OVR Header Char"/>
    <w:basedOn w:val="DefaultParagraphFont"/>
    <w:link w:val="MinorOVRHeader"/>
    <w:rsid w:val="009E2E6F"/>
    <w:rPr>
      <w:rFonts w:asciiTheme="minorHAnsi" w:hAnsiTheme="minorHAnsi" w:cs="Arial"/>
      <w:sz w:val="24"/>
      <w:szCs w:val="24"/>
      <w:lang w:eastAsia="en-AU"/>
    </w:rPr>
  </w:style>
  <w:style w:type="paragraph" w:customStyle="1" w:styleId="PBACFooter">
    <w:name w:val="PBAC Footer"/>
    <w:basedOn w:val="Footer"/>
    <w:link w:val="PBACFooterChar"/>
    <w:qFormat/>
    <w:rsid w:val="009E2E6F"/>
    <w:pPr>
      <w:tabs>
        <w:tab w:val="clear" w:pos="4513"/>
        <w:tab w:val="clear" w:pos="9026"/>
        <w:tab w:val="center" w:pos="4153"/>
        <w:tab w:val="right" w:pos="8306"/>
      </w:tabs>
      <w:jc w:val="center"/>
    </w:pPr>
    <w:rPr>
      <w:rFonts w:ascii="Arial" w:hAnsi="Arial" w:cs="Arial"/>
      <w:b/>
      <w:lang w:eastAsia="en-AU"/>
    </w:rPr>
  </w:style>
  <w:style w:type="character" w:customStyle="1" w:styleId="PBACFooterChar">
    <w:name w:val="PBAC Footer Char"/>
    <w:basedOn w:val="FooterChar"/>
    <w:link w:val="PBACFooter"/>
    <w:rsid w:val="009E2E6F"/>
    <w:rPr>
      <w:rFonts w:ascii="Arial" w:hAnsi="Arial" w:cs="Arial"/>
      <w:b/>
      <w:sz w:val="24"/>
      <w:szCs w:val="24"/>
      <w:lang w:eastAsia="en-AU"/>
    </w:rPr>
  </w:style>
  <w:style w:type="paragraph" w:customStyle="1" w:styleId="Tabletitles">
    <w:name w:val="Table titles"/>
    <w:basedOn w:val="NoSpacing"/>
    <w:link w:val="TabletitlesChar"/>
    <w:qFormat/>
    <w:rsid w:val="00C80F5D"/>
    <w:pPr>
      <w:spacing w:after="60"/>
    </w:pPr>
    <w:rPr>
      <w:rFonts w:ascii="Arial Narrow" w:hAnsi="Arial Narrow"/>
      <w:b/>
      <w:sz w:val="20"/>
      <w:szCs w:val="22"/>
      <w:lang w:eastAsia="en-AU"/>
    </w:rPr>
  </w:style>
  <w:style w:type="character" w:customStyle="1" w:styleId="TabletitlesChar">
    <w:name w:val="Table titles Char"/>
    <w:basedOn w:val="DefaultParagraphFont"/>
    <w:link w:val="Tabletitles"/>
    <w:rsid w:val="00C80F5D"/>
    <w:rPr>
      <w:rFonts w:ascii="Arial Narrow" w:hAnsi="Arial Narrow"/>
      <w:b/>
      <w:szCs w:val="22"/>
      <w:lang w:eastAsia="en-AU"/>
    </w:rPr>
  </w:style>
  <w:style w:type="paragraph" w:styleId="NoSpacing">
    <w:name w:val="No Spacing"/>
    <w:uiPriority w:val="1"/>
    <w:rsid w:val="00C80F5D"/>
    <w:pPr>
      <w:jc w:val="both"/>
    </w:pPr>
    <w:rPr>
      <w:rFonts w:ascii="Calibri" w:hAnsi="Calibri"/>
      <w:sz w:val="24"/>
      <w:szCs w:val="24"/>
    </w:rPr>
  </w:style>
  <w:style w:type="paragraph" w:customStyle="1" w:styleId="Default">
    <w:name w:val="Default"/>
    <w:rsid w:val="00C80F5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362C9"/>
    <w:rPr>
      <w:rFonts w:ascii="Calibri" w:hAnsi="Calibri"/>
      <w:sz w:val="24"/>
      <w:szCs w:val="24"/>
    </w:rPr>
  </w:style>
  <w:style w:type="character" w:styleId="Hyperlink">
    <w:name w:val="Hyperlink"/>
    <w:basedOn w:val="DefaultParagraphFont"/>
    <w:uiPriority w:val="99"/>
    <w:semiHidden/>
    <w:unhideWhenUsed/>
    <w:rsid w:val="002C2D6E"/>
    <w:rPr>
      <w:color w:val="0000FF"/>
      <w:u w:val="single"/>
    </w:rPr>
  </w:style>
  <w:style w:type="character" w:customStyle="1" w:styleId="e24kjd">
    <w:name w:val="e24kjd"/>
    <w:basedOn w:val="DefaultParagraphFont"/>
    <w:rsid w:val="001F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985854">
      <w:bodyDiv w:val="1"/>
      <w:marLeft w:val="0"/>
      <w:marRight w:val="0"/>
      <w:marTop w:val="0"/>
      <w:marBottom w:val="0"/>
      <w:divBdr>
        <w:top w:val="none" w:sz="0" w:space="0" w:color="auto"/>
        <w:left w:val="none" w:sz="0" w:space="0" w:color="auto"/>
        <w:bottom w:val="none" w:sz="0" w:space="0" w:color="auto"/>
        <w:right w:val="none" w:sz="0" w:space="0" w:color="auto"/>
      </w:divBdr>
    </w:div>
    <w:div w:id="973296743">
      <w:bodyDiv w:val="1"/>
      <w:marLeft w:val="0"/>
      <w:marRight w:val="0"/>
      <w:marTop w:val="0"/>
      <w:marBottom w:val="0"/>
      <w:divBdr>
        <w:top w:val="none" w:sz="0" w:space="0" w:color="auto"/>
        <w:left w:val="none" w:sz="0" w:space="0" w:color="auto"/>
        <w:bottom w:val="none" w:sz="0" w:space="0" w:color="auto"/>
        <w:right w:val="none" w:sz="0" w:space="0" w:color="auto"/>
      </w:divBdr>
    </w:div>
    <w:div w:id="1119228167">
      <w:bodyDiv w:val="1"/>
      <w:marLeft w:val="0"/>
      <w:marRight w:val="0"/>
      <w:marTop w:val="0"/>
      <w:marBottom w:val="0"/>
      <w:divBdr>
        <w:top w:val="none" w:sz="0" w:space="0" w:color="auto"/>
        <w:left w:val="none" w:sz="0" w:space="0" w:color="auto"/>
        <w:bottom w:val="none" w:sz="0" w:space="0" w:color="auto"/>
        <w:right w:val="none" w:sz="0" w:space="0" w:color="auto"/>
      </w:divBdr>
    </w:div>
    <w:div w:id="1662924318">
      <w:bodyDiv w:val="1"/>
      <w:marLeft w:val="0"/>
      <w:marRight w:val="0"/>
      <w:marTop w:val="0"/>
      <w:marBottom w:val="0"/>
      <w:divBdr>
        <w:top w:val="none" w:sz="0" w:space="0" w:color="auto"/>
        <w:left w:val="none" w:sz="0" w:space="0" w:color="auto"/>
        <w:bottom w:val="none" w:sz="0" w:space="0" w:color="auto"/>
        <w:right w:val="none" w:sz="0" w:space="0" w:color="auto"/>
      </w:divBdr>
    </w:div>
    <w:div w:id="2011714709">
      <w:bodyDiv w:val="1"/>
      <w:marLeft w:val="0"/>
      <w:marRight w:val="0"/>
      <w:marTop w:val="0"/>
      <w:marBottom w:val="0"/>
      <w:divBdr>
        <w:top w:val="none" w:sz="0" w:space="0" w:color="auto"/>
        <w:left w:val="none" w:sz="0" w:space="0" w:color="auto"/>
        <w:bottom w:val="none" w:sz="0" w:space="0" w:color="auto"/>
        <w:right w:val="none" w:sz="0" w:space="0" w:color="auto"/>
      </w:divBdr>
    </w:div>
    <w:div w:id="20584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2357BA0-0512-44F2-B93B-D7AACCE8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2020-09-30T00:24:00Z</dcterms:created>
  <dcterms:modified xsi:type="dcterms:W3CDTF">2020-10-27T22:25:00Z</dcterms:modified>
</cp:coreProperties>
</file>