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D692C" w14:textId="77777777" w:rsidR="00B60939" w:rsidRPr="00903174" w:rsidRDefault="008D59B0" w:rsidP="004A6040">
      <w:pPr>
        <w:pStyle w:val="1-MainHeading"/>
      </w:pPr>
      <w:bookmarkStart w:id="0" w:name="_Toc40702910"/>
      <w:bookmarkStart w:id="1" w:name="_GoBack"/>
      <w:bookmarkEnd w:id="1"/>
      <w:r w:rsidRPr="00903174">
        <w:t>5</w:t>
      </w:r>
      <w:r w:rsidR="00433044" w:rsidRPr="00903174">
        <w:t>.</w:t>
      </w:r>
      <w:r w:rsidRPr="00903174">
        <w:t>10</w:t>
      </w:r>
      <w:r w:rsidR="00163F66" w:rsidRPr="00903174">
        <w:tab/>
      </w:r>
      <w:r w:rsidR="00365CCD" w:rsidRPr="00903174">
        <w:t>RAVULIZUMAB</w:t>
      </w:r>
      <w:r w:rsidR="00163F66" w:rsidRPr="00903174">
        <w:t>,</w:t>
      </w:r>
      <w:r w:rsidR="00163F66" w:rsidRPr="00903174">
        <w:br/>
      </w:r>
      <w:r w:rsidR="00717EC0" w:rsidRPr="00903174">
        <w:t>Solution</w:t>
      </w:r>
      <w:r w:rsidR="00526F01" w:rsidRPr="00903174">
        <w:t xml:space="preserve"> concentrate for I.V.</w:t>
      </w:r>
      <w:r w:rsidR="00365CCD" w:rsidRPr="00903174">
        <w:t xml:space="preserve"> infusion</w:t>
      </w:r>
      <w:r w:rsidR="00346D24">
        <w:t xml:space="preserve"> </w:t>
      </w:r>
      <w:r w:rsidR="00526F01" w:rsidRPr="00903174">
        <w:t>300</w:t>
      </w:r>
      <w:r w:rsidR="00365CCD" w:rsidRPr="00903174">
        <w:t xml:space="preserve"> mg </w:t>
      </w:r>
      <w:r w:rsidR="00346D24">
        <w:t>in</w:t>
      </w:r>
      <w:r w:rsidR="00526F01" w:rsidRPr="00903174">
        <w:t xml:space="preserve"> 30</w:t>
      </w:r>
      <w:r w:rsidR="00365CCD" w:rsidRPr="00903174">
        <w:t xml:space="preserve"> mL</w:t>
      </w:r>
      <w:r w:rsidR="00163F66" w:rsidRPr="00903174">
        <w:t>,</w:t>
      </w:r>
      <w:r w:rsidR="00163F66" w:rsidRPr="00903174">
        <w:br/>
      </w:r>
      <w:r w:rsidR="00EA10D5" w:rsidRPr="00903174">
        <w:t>Ultomir</w:t>
      </w:r>
      <w:r w:rsidR="00365CCD" w:rsidRPr="00903174">
        <w:t>is</w:t>
      </w:r>
      <w:r w:rsidR="00B60939" w:rsidRPr="00903174">
        <w:rPr>
          <w:vertAlign w:val="superscript"/>
        </w:rPr>
        <w:t>®</w:t>
      </w:r>
      <w:r w:rsidR="004A6040" w:rsidRPr="00903174">
        <w:t>,</w:t>
      </w:r>
      <w:r w:rsidR="004A6040" w:rsidRPr="00903174">
        <w:br/>
      </w:r>
      <w:r w:rsidR="00365CCD" w:rsidRPr="00903174">
        <w:t>Alexion Pharmaceuticals</w:t>
      </w:r>
      <w:r w:rsidR="00D916F0" w:rsidRPr="00903174">
        <w:t xml:space="preserve"> Australasia Pty Ltd</w:t>
      </w:r>
      <w:r w:rsidR="00B60939" w:rsidRPr="00903174">
        <w:t>.</w:t>
      </w:r>
      <w:bookmarkEnd w:id="0"/>
    </w:p>
    <w:p w14:paraId="16288392" w14:textId="77777777" w:rsidR="00B50DB8" w:rsidRPr="00903174" w:rsidRDefault="00B50DB8" w:rsidP="004A6040">
      <w:pPr>
        <w:pStyle w:val="2-SectionHeading"/>
      </w:pPr>
      <w:bookmarkStart w:id="2" w:name="_Toc40702912"/>
      <w:r w:rsidRPr="00903174">
        <w:t xml:space="preserve">Purpose of </w:t>
      </w:r>
      <w:r w:rsidR="00CD7193" w:rsidRPr="00903174">
        <w:t>s</w:t>
      </w:r>
      <w:r w:rsidR="00BB3A45" w:rsidRPr="00903174">
        <w:t>ubmission</w:t>
      </w:r>
      <w:bookmarkEnd w:id="2"/>
    </w:p>
    <w:p w14:paraId="2B4C2F90" w14:textId="77777777" w:rsidR="002C2775" w:rsidRPr="00903174" w:rsidRDefault="007170DA" w:rsidP="004E18E9">
      <w:pPr>
        <w:pStyle w:val="ExecSumBodyText"/>
      </w:pPr>
      <w:r w:rsidRPr="00903174">
        <w:t xml:space="preserve">The submission requested </w:t>
      </w:r>
      <w:r w:rsidR="008B1757" w:rsidRPr="00903174">
        <w:t xml:space="preserve">Section 100 listing for </w:t>
      </w:r>
      <w:r w:rsidR="007D032A" w:rsidRPr="00903174">
        <w:t>ravulizumab</w:t>
      </w:r>
      <w:r w:rsidR="008B1757" w:rsidRPr="00903174">
        <w:t xml:space="preserve"> for </w:t>
      </w:r>
      <w:r w:rsidR="0050174E" w:rsidRPr="00903174">
        <w:t xml:space="preserve">the </w:t>
      </w:r>
      <w:r w:rsidR="008B1757" w:rsidRPr="00903174">
        <w:t>trea</w:t>
      </w:r>
      <w:r w:rsidR="007D032A" w:rsidRPr="00903174">
        <w:t>tment of adults with paroxysmal nocturnal haemoglobinuria (PNH)</w:t>
      </w:r>
      <w:r w:rsidR="008B1757" w:rsidRPr="00903174">
        <w:t xml:space="preserve">. </w:t>
      </w:r>
    </w:p>
    <w:p w14:paraId="24C971A5" w14:textId="77777777" w:rsidR="00C2778B" w:rsidRPr="00903174" w:rsidRDefault="005750C5" w:rsidP="004E18E9">
      <w:pPr>
        <w:pStyle w:val="ExecSumBodyText"/>
      </w:pPr>
      <w:r w:rsidRPr="00903174">
        <w:t>Listing was requested on the basis of a cost-</w:t>
      </w:r>
      <w:r w:rsidR="00133699" w:rsidRPr="00903174">
        <w:t>utility</w:t>
      </w:r>
      <w:r w:rsidRPr="00903174">
        <w:t xml:space="preserve"> analysis versus</w:t>
      </w:r>
      <w:r w:rsidR="00133699" w:rsidRPr="00903174">
        <w:t xml:space="preserve"> eculizumab and a cost-utility analysis versus best supportive care</w:t>
      </w:r>
      <w:r w:rsidR="00D73ECF" w:rsidRPr="00903174">
        <w:t xml:space="preserve"> (BSC)</w:t>
      </w:r>
      <w:r w:rsidR="00B4390A" w:rsidRPr="00903174">
        <w:t xml:space="preserve">. </w:t>
      </w:r>
    </w:p>
    <w:p w14:paraId="5F19819C" w14:textId="77777777" w:rsidR="008B1757" w:rsidRPr="00903174" w:rsidRDefault="00133699" w:rsidP="00230DB1">
      <w:pPr>
        <w:pStyle w:val="TableFigureCaption"/>
      </w:pPr>
      <w:r w:rsidRPr="00903174">
        <w:t>Table 1</w:t>
      </w:r>
      <w:r w:rsidR="008B1757" w:rsidRPr="00903174">
        <w:t>:</w:t>
      </w:r>
      <w:r w:rsidR="00BC591F" w:rsidRPr="00903174">
        <w:t xml:space="preserve"> </w:t>
      </w:r>
      <w:r w:rsidR="008B1757" w:rsidRPr="00903174">
        <w:t>Key components of the clinical issue addressed by the submission</w:t>
      </w:r>
      <w:r w:rsidR="007170DA" w:rsidRPr="00903174">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360"/>
      </w:tblGrid>
      <w:tr w:rsidR="007D032A" w:rsidRPr="00903174" w14:paraId="401F4B3B" w14:textId="77777777" w:rsidTr="00634B12">
        <w:tc>
          <w:tcPr>
            <w:tcW w:w="1668" w:type="dxa"/>
            <w:vAlign w:val="center"/>
          </w:tcPr>
          <w:p w14:paraId="708E2020" w14:textId="77777777" w:rsidR="007D032A" w:rsidRPr="00903174" w:rsidRDefault="007D032A" w:rsidP="009C31FB">
            <w:pPr>
              <w:pStyle w:val="Tableheadingrow"/>
              <w:rPr>
                <w:lang w:val="en-AU"/>
              </w:rPr>
            </w:pPr>
            <w:r w:rsidRPr="00903174">
              <w:rPr>
                <w:lang w:val="en-AU"/>
              </w:rPr>
              <w:t>Component</w:t>
            </w:r>
          </w:p>
        </w:tc>
        <w:tc>
          <w:tcPr>
            <w:tcW w:w="7488" w:type="dxa"/>
            <w:vAlign w:val="center"/>
          </w:tcPr>
          <w:p w14:paraId="17735F64" w14:textId="77777777" w:rsidR="007D032A" w:rsidRPr="00903174" w:rsidRDefault="007D032A" w:rsidP="009C31FB">
            <w:pPr>
              <w:pStyle w:val="Tableheadingrow"/>
              <w:rPr>
                <w:lang w:val="en-AU"/>
              </w:rPr>
            </w:pPr>
            <w:r w:rsidRPr="00903174">
              <w:rPr>
                <w:lang w:val="en-AU"/>
              </w:rPr>
              <w:t>Description</w:t>
            </w:r>
          </w:p>
        </w:tc>
      </w:tr>
      <w:tr w:rsidR="007D032A" w:rsidRPr="00903174" w14:paraId="31724BBA" w14:textId="77777777" w:rsidTr="00634B12">
        <w:tc>
          <w:tcPr>
            <w:tcW w:w="1668" w:type="dxa"/>
            <w:vAlign w:val="center"/>
          </w:tcPr>
          <w:p w14:paraId="0B95F05A" w14:textId="77777777" w:rsidR="007D032A" w:rsidRPr="00903174" w:rsidRDefault="007D032A" w:rsidP="009C31FB">
            <w:pPr>
              <w:pStyle w:val="TableText"/>
            </w:pPr>
            <w:r w:rsidRPr="00903174">
              <w:t>Population</w:t>
            </w:r>
          </w:p>
        </w:tc>
        <w:tc>
          <w:tcPr>
            <w:tcW w:w="7488" w:type="dxa"/>
            <w:vAlign w:val="center"/>
          </w:tcPr>
          <w:p w14:paraId="12325EFA" w14:textId="77777777" w:rsidR="007D032A" w:rsidRPr="00903174" w:rsidRDefault="007D032A" w:rsidP="00A56D5D">
            <w:pPr>
              <w:pStyle w:val="TableText"/>
            </w:pPr>
            <w:r w:rsidRPr="00903174">
              <w:t>Adult patients with p</w:t>
            </w:r>
            <w:r w:rsidR="009009E4" w:rsidRPr="00903174">
              <w:t>aroxysmal</w:t>
            </w:r>
            <w:r w:rsidRPr="00903174">
              <w:t xml:space="preserve"> nocturnal haemoglobinuria (PNH). The submission stated that the </w:t>
            </w:r>
            <w:r w:rsidR="00A56D5D" w:rsidRPr="00903174">
              <w:t xml:space="preserve">proposed </w:t>
            </w:r>
            <w:r w:rsidRPr="00903174">
              <w:t xml:space="preserve">clinical criteria to determine treatment eligibility for ravulizumab </w:t>
            </w:r>
            <w:r w:rsidR="00A56D5D" w:rsidRPr="00903174">
              <w:t>are</w:t>
            </w:r>
            <w:r w:rsidRPr="00903174">
              <w:t xml:space="preserve"> the same as the existing criteria for adult patients with PNH treated with eculizumab via the Life Saving Drugs Program (LSDP)</w:t>
            </w:r>
          </w:p>
        </w:tc>
      </w:tr>
      <w:tr w:rsidR="007D032A" w:rsidRPr="00903174" w14:paraId="119910B8" w14:textId="77777777" w:rsidTr="00634B12">
        <w:tc>
          <w:tcPr>
            <w:tcW w:w="1668" w:type="dxa"/>
            <w:vAlign w:val="center"/>
          </w:tcPr>
          <w:p w14:paraId="08CFED2C" w14:textId="77777777" w:rsidR="007D032A" w:rsidRPr="00903174" w:rsidRDefault="007D032A" w:rsidP="009C31FB">
            <w:pPr>
              <w:pStyle w:val="TableText"/>
            </w:pPr>
            <w:r w:rsidRPr="00903174">
              <w:t>Intervention</w:t>
            </w:r>
          </w:p>
        </w:tc>
        <w:tc>
          <w:tcPr>
            <w:tcW w:w="7488" w:type="dxa"/>
            <w:vAlign w:val="center"/>
          </w:tcPr>
          <w:p w14:paraId="2BCA7938" w14:textId="77777777" w:rsidR="007D032A" w:rsidRPr="00903174" w:rsidRDefault="007D032A" w:rsidP="009C31FB">
            <w:pPr>
              <w:pStyle w:val="TableText"/>
            </w:pPr>
            <w:r w:rsidRPr="00903174">
              <w:t>Ravulizumab, administered by infusion every 8 weeks</w:t>
            </w:r>
          </w:p>
        </w:tc>
      </w:tr>
      <w:tr w:rsidR="007D032A" w:rsidRPr="00903174" w14:paraId="1E5C0355" w14:textId="77777777" w:rsidTr="00634B12">
        <w:tc>
          <w:tcPr>
            <w:tcW w:w="1668" w:type="dxa"/>
            <w:vAlign w:val="center"/>
          </w:tcPr>
          <w:p w14:paraId="38231F3D" w14:textId="77777777" w:rsidR="007D032A" w:rsidRPr="00903174" w:rsidRDefault="007D032A" w:rsidP="009C31FB">
            <w:pPr>
              <w:pStyle w:val="TableText"/>
            </w:pPr>
            <w:r w:rsidRPr="00903174">
              <w:t>Comparator</w:t>
            </w:r>
          </w:p>
        </w:tc>
        <w:tc>
          <w:tcPr>
            <w:tcW w:w="7488" w:type="dxa"/>
            <w:vAlign w:val="center"/>
          </w:tcPr>
          <w:p w14:paraId="36722A12" w14:textId="77777777" w:rsidR="007D032A" w:rsidRPr="00903174" w:rsidRDefault="007D032A" w:rsidP="009C31FB">
            <w:pPr>
              <w:pStyle w:val="TableText"/>
            </w:pPr>
            <w:r w:rsidRPr="00903174">
              <w:t>Primary Comparator: eculizumab, administered by infusion every 2 weeks</w:t>
            </w:r>
          </w:p>
          <w:p w14:paraId="54C4D63F" w14:textId="77777777" w:rsidR="007D032A" w:rsidRPr="00903174" w:rsidRDefault="007D032A" w:rsidP="009C31FB">
            <w:pPr>
              <w:pStyle w:val="TableText"/>
            </w:pPr>
            <w:r w:rsidRPr="00903174">
              <w:t>Secondary Comparator: best supportive care (BSC)</w:t>
            </w:r>
          </w:p>
        </w:tc>
      </w:tr>
      <w:tr w:rsidR="007D032A" w:rsidRPr="00903174" w14:paraId="0CB2F771" w14:textId="77777777" w:rsidTr="00634B12">
        <w:tc>
          <w:tcPr>
            <w:tcW w:w="1668" w:type="dxa"/>
            <w:vAlign w:val="center"/>
          </w:tcPr>
          <w:p w14:paraId="4AF8A28E" w14:textId="77777777" w:rsidR="007D032A" w:rsidRPr="00903174" w:rsidRDefault="007D032A" w:rsidP="009C31FB">
            <w:pPr>
              <w:pStyle w:val="TableText"/>
            </w:pPr>
            <w:r w:rsidRPr="00903174">
              <w:t>Outcomes</w:t>
            </w:r>
          </w:p>
        </w:tc>
        <w:tc>
          <w:tcPr>
            <w:tcW w:w="7488" w:type="dxa"/>
            <w:vAlign w:val="center"/>
          </w:tcPr>
          <w:p w14:paraId="3F80F0C9" w14:textId="77777777" w:rsidR="007D032A" w:rsidRPr="00903174" w:rsidRDefault="007D032A" w:rsidP="009C31FB">
            <w:pPr>
              <w:pStyle w:val="TableText"/>
            </w:pPr>
            <w:r w:rsidRPr="00903174">
              <w:t>Ravulizumab vs eculizumab:</w:t>
            </w:r>
          </w:p>
          <w:p w14:paraId="50A228A2" w14:textId="77777777" w:rsidR="007D032A" w:rsidRPr="00903174" w:rsidRDefault="007D032A" w:rsidP="00BB2169">
            <w:pPr>
              <w:pStyle w:val="TableText"/>
              <w:numPr>
                <w:ilvl w:val="0"/>
                <w:numId w:val="6"/>
              </w:numPr>
              <w:ind w:left="208" w:hanging="208"/>
            </w:pPr>
            <w:r w:rsidRPr="00903174">
              <w:t>Transfusion avoidance, haemolysis (measured by LDH change); breakthrough haemolysis; quality of life, stabilised haemoglobin</w:t>
            </w:r>
          </w:p>
          <w:p w14:paraId="77FDB1FB" w14:textId="77777777" w:rsidR="007D032A" w:rsidRPr="00903174" w:rsidRDefault="007D032A" w:rsidP="009C31FB">
            <w:pPr>
              <w:pStyle w:val="TableText"/>
            </w:pPr>
            <w:r w:rsidRPr="00903174">
              <w:t>Ravulizumab vs BSC:</w:t>
            </w:r>
          </w:p>
          <w:p w14:paraId="5AA1CFEF" w14:textId="77777777" w:rsidR="007D032A" w:rsidRPr="00903174" w:rsidRDefault="007D032A" w:rsidP="00BB2169">
            <w:pPr>
              <w:pStyle w:val="TableText"/>
              <w:numPr>
                <w:ilvl w:val="0"/>
                <w:numId w:val="6"/>
              </w:numPr>
              <w:ind w:left="208" w:hanging="208"/>
            </w:pPr>
            <w:r w:rsidRPr="00903174">
              <w:t>Transfusion avoidance, quality of life, haemolysis (LDH change)</w:t>
            </w:r>
          </w:p>
        </w:tc>
      </w:tr>
      <w:tr w:rsidR="007D032A" w:rsidRPr="00903174" w14:paraId="57EC136C" w14:textId="77777777" w:rsidTr="00634B12">
        <w:tc>
          <w:tcPr>
            <w:tcW w:w="1668" w:type="dxa"/>
            <w:vAlign w:val="center"/>
          </w:tcPr>
          <w:p w14:paraId="48CB67F1" w14:textId="77777777" w:rsidR="007D032A" w:rsidRPr="00903174" w:rsidRDefault="007D032A" w:rsidP="009C31FB">
            <w:pPr>
              <w:pStyle w:val="TableText"/>
            </w:pPr>
            <w:r w:rsidRPr="00903174">
              <w:t>Clinical claim</w:t>
            </w:r>
          </w:p>
        </w:tc>
        <w:tc>
          <w:tcPr>
            <w:tcW w:w="7488" w:type="dxa"/>
            <w:vAlign w:val="center"/>
          </w:tcPr>
          <w:p w14:paraId="3E5F63BD" w14:textId="77777777" w:rsidR="007D032A" w:rsidRPr="00903174" w:rsidRDefault="007D032A" w:rsidP="009C31FB">
            <w:pPr>
              <w:pStyle w:val="TableText"/>
            </w:pPr>
            <w:r w:rsidRPr="00903174">
              <w:t>In adults with PNH, ravulizumab is non-inferior to eculizumab in terms of efficacy and safety; and significantly reduces breakthrough haemolysis (based on meta-analysis) compared to eculizumab.</w:t>
            </w:r>
          </w:p>
          <w:p w14:paraId="6C8225AB" w14:textId="77777777" w:rsidR="007D032A" w:rsidRPr="00903174" w:rsidRDefault="007D032A" w:rsidP="009C31FB">
            <w:pPr>
              <w:pStyle w:val="TableText"/>
            </w:pPr>
            <w:r w:rsidRPr="00903174">
              <w:t>In adults with PNH, ravulizumab is superior to BSC in terms of efficacy and inferior to BSC in terms of safety.</w:t>
            </w:r>
          </w:p>
        </w:tc>
      </w:tr>
    </w:tbl>
    <w:p w14:paraId="16B1EB48" w14:textId="77777777" w:rsidR="007D032A" w:rsidRPr="00903174" w:rsidRDefault="007D032A" w:rsidP="007D032A">
      <w:pPr>
        <w:pStyle w:val="TableFigureFooter"/>
      </w:pPr>
      <w:r w:rsidRPr="00903174">
        <w:t>Source: Table 1, pp3-4 of the submission.</w:t>
      </w:r>
    </w:p>
    <w:p w14:paraId="429BE2DA" w14:textId="77777777" w:rsidR="007D032A" w:rsidRPr="00903174" w:rsidRDefault="007D032A" w:rsidP="007D032A">
      <w:pPr>
        <w:pStyle w:val="TableFigureFooter"/>
      </w:pPr>
      <w:r w:rsidRPr="00903174">
        <w:t>BSC, best supportive care; LDH, lactate dehydrogenase; PNH, paroxysmal nocturnal haemoglobinuria</w:t>
      </w:r>
    </w:p>
    <w:p w14:paraId="715A99C9" w14:textId="77777777" w:rsidR="005C25FF" w:rsidRPr="00903174" w:rsidRDefault="005C25FF" w:rsidP="004A6040">
      <w:pPr>
        <w:pStyle w:val="2-SectionHeading"/>
      </w:pPr>
      <w:bookmarkStart w:id="3" w:name="_Toc40702913"/>
      <w:r w:rsidRPr="00903174">
        <w:t>Background</w:t>
      </w:r>
      <w:bookmarkEnd w:id="3"/>
    </w:p>
    <w:p w14:paraId="3BCAB6FF" w14:textId="77777777" w:rsidR="005C25FF" w:rsidRPr="00903174" w:rsidRDefault="005C25FF" w:rsidP="004A6040">
      <w:pPr>
        <w:pStyle w:val="3-SubsectionHeading"/>
      </w:pPr>
      <w:bookmarkStart w:id="4" w:name="_Toc22897638"/>
      <w:bookmarkStart w:id="5" w:name="_Toc40702914"/>
      <w:r w:rsidRPr="00903174">
        <w:t>Registration status</w:t>
      </w:r>
      <w:bookmarkEnd w:id="4"/>
      <w:bookmarkEnd w:id="5"/>
    </w:p>
    <w:p w14:paraId="6ADB1B97" w14:textId="77777777" w:rsidR="004B68E7" w:rsidRPr="00903174" w:rsidRDefault="004E374C" w:rsidP="004E18E9">
      <w:pPr>
        <w:pStyle w:val="ExecSumBodyText"/>
      </w:pPr>
      <w:r w:rsidRPr="00903174">
        <w:t>Ravulizumab 10 mg/mL (300 mg in 30 mL) was approved by the TGA for the treatment of adult patients with paroxysmal nocturnal haemoglobinuria on 8 October 2019.</w:t>
      </w:r>
      <w:r w:rsidR="005C25FF" w:rsidRPr="00903174">
        <w:t xml:space="preserve"> </w:t>
      </w:r>
    </w:p>
    <w:p w14:paraId="72BE7094" w14:textId="77777777" w:rsidR="005C25FF" w:rsidRDefault="004E374C" w:rsidP="004E18E9">
      <w:pPr>
        <w:pStyle w:val="ExecSumBodyText"/>
      </w:pPr>
      <w:r w:rsidRPr="00903174">
        <w:t>The submission noted that an application for a higher strength dose of ravulizumab (100 mg/mL) was submitted to the TGA in February 2020, with approval anticipated in the third quarter of 2020. The higher strength doses consist of 300 mg in 3 mL and 1100 mg in 11 mL vials, which allow for use of fewer vials and a shorter infusion time (30-55 min vs 120-140 min) for maintenance doses.</w:t>
      </w:r>
    </w:p>
    <w:p w14:paraId="0EF1E05E" w14:textId="77777777" w:rsidR="00346D24" w:rsidRPr="00346D24" w:rsidRDefault="00346D24" w:rsidP="00346D24">
      <w:pPr>
        <w:ind w:firstLine="720"/>
        <w:rPr>
          <w:i/>
        </w:rPr>
      </w:pPr>
      <w:r w:rsidRPr="00346D24">
        <w:rPr>
          <w:i/>
        </w:rPr>
        <w:lastRenderedPageBreak/>
        <w:t>For more detail on PBAC’s view, see section 7 PBAC outcome.</w:t>
      </w:r>
    </w:p>
    <w:p w14:paraId="703940B3" w14:textId="77777777" w:rsidR="00535C1F" w:rsidRPr="00903174" w:rsidRDefault="00535C1F" w:rsidP="00535C1F">
      <w:pPr>
        <w:pStyle w:val="2-SectionHeading"/>
      </w:pPr>
      <w:bookmarkStart w:id="6" w:name="_Toc40702917"/>
      <w:bookmarkStart w:id="7" w:name="_Toc22897639"/>
      <w:bookmarkStart w:id="8" w:name="_Toc40702915"/>
      <w:r w:rsidRPr="00903174">
        <w:t>Population and disease</w:t>
      </w:r>
      <w:bookmarkEnd w:id="6"/>
    </w:p>
    <w:p w14:paraId="5F7408F7" w14:textId="77777777" w:rsidR="00535C1F" w:rsidRPr="00903174" w:rsidRDefault="00535C1F" w:rsidP="00535C1F">
      <w:pPr>
        <w:pStyle w:val="ExecSumBodyText"/>
        <w:rPr>
          <w:i/>
        </w:rPr>
      </w:pPr>
      <w:r w:rsidRPr="00903174">
        <w:t xml:space="preserve">Paroxysmal nocturnal haemoglobinuria (PNH) is a rare, acquired, life-threatening disease of the blood associated with a clonal disorder of the haemopoietic stem cell. The condition is characterised by chronic haemolysis, which is responsible for most of the clinical manifestations of the disease, including severe anaemia, life threatening thromboses, kidney damage and failure and disabling fatigue. The median age of patients at diagnosis is 35-40 years. </w:t>
      </w:r>
      <w:r w:rsidRPr="00903174">
        <w:rPr>
          <w:color w:val="000000" w:themeColor="text1"/>
        </w:rPr>
        <w:t xml:space="preserve">In 2010, the PBAC accepted that patients with classic PNH had a significant reduction in age-specific life expectancy (Section 11, eculizumab, Public Summary Document, July 2010 PBAC meeting). Previously published trends suggest improved life expectancy over time for patients with PNH, given improvements in modern supportive treatments (de Latour 2008). Given the lack of contemporary supportive care data, the magnitude of the reduction in life-expectancy for current PNH patients </w:t>
      </w:r>
      <w:r w:rsidR="00810053" w:rsidRPr="00903174">
        <w:rPr>
          <w:color w:val="000000" w:themeColor="text1"/>
        </w:rPr>
        <w:t xml:space="preserve">remained </w:t>
      </w:r>
      <w:r w:rsidRPr="00903174">
        <w:rPr>
          <w:color w:val="000000" w:themeColor="text1"/>
        </w:rPr>
        <w:t>unclear.</w:t>
      </w:r>
    </w:p>
    <w:p w14:paraId="0188C1FA" w14:textId="77777777" w:rsidR="00535C1F" w:rsidRPr="00903174" w:rsidRDefault="00535C1F" w:rsidP="00535C1F">
      <w:pPr>
        <w:pStyle w:val="ExecSumBodyText"/>
        <w:rPr>
          <w:color w:val="000000" w:themeColor="text1"/>
        </w:rPr>
      </w:pPr>
      <w:r w:rsidRPr="00903174">
        <w:rPr>
          <w:color w:val="000000" w:themeColor="text1"/>
        </w:rPr>
        <w:t>Ravulizumab, a new long-acting anti-C5 monoclonal antibody that antagonises terminal complement at the same C5 epitope as eculizumab, is administered as a weight based dose. The</w:t>
      </w:r>
      <w:r w:rsidRPr="00903174">
        <w:rPr>
          <w:i/>
          <w:color w:val="000000" w:themeColor="text1"/>
        </w:rPr>
        <w:t xml:space="preserve"> </w:t>
      </w:r>
      <w:r w:rsidRPr="00903174">
        <w:rPr>
          <w:color w:val="000000" w:themeColor="text1"/>
        </w:rPr>
        <w:t>regimen starts with a loading dose, followed two weeks later with a maintenance dose, and then ongoing maintenance dosing every 8 weeks, and therefore has a lower treatment burden than eculizumab, which requires ongoing maintenance dosing every two weeks.</w:t>
      </w:r>
    </w:p>
    <w:p w14:paraId="768649EA" w14:textId="77777777" w:rsidR="00535C1F" w:rsidRPr="0070120C" w:rsidRDefault="00535C1F" w:rsidP="0070120C">
      <w:pPr>
        <w:pStyle w:val="ExecSumBodyText"/>
        <w:rPr>
          <w:color w:val="000000" w:themeColor="text1"/>
        </w:rPr>
      </w:pPr>
      <w:r w:rsidRPr="00903174">
        <w:rPr>
          <w:color w:val="000000" w:themeColor="text1"/>
        </w:rPr>
        <w:t>The submission positions ravulizumab as an alternative to eculizumab or BSC for the treatment of PNH, targeting the PNH population that would meet the current LSDP eligibility conditions for the use of eculizumab: PNH granulocyte clone size of 10% or larger, lactate dehydrogenase (LDH) levels at least 1.5 times the upper limit of normal, and at least one symptom of clinical complications associated with PNH. Patients with severe aplastic anaemia or other conditions that may compromise a response to therapy are excluded from treatment under the proposed restriction.</w:t>
      </w:r>
    </w:p>
    <w:p w14:paraId="18CE9BC2" w14:textId="77777777" w:rsidR="005C25FF" w:rsidRPr="00903174" w:rsidRDefault="005C25FF" w:rsidP="004E18E9">
      <w:pPr>
        <w:pStyle w:val="3-SubsectionHeading"/>
      </w:pPr>
      <w:r w:rsidRPr="00903174">
        <w:t>Previous PBAC consideration</w:t>
      </w:r>
      <w:bookmarkEnd w:id="7"/>
      <w:bookmarkEnd w:id="8"/>
    </w:p>
    <w:p w14:paraId="493A2955" w14:textId="77777777" w:rsidR="002E4F02" w:rsidRPr="00903174" w:rsidRDefault="0002185C" w:rsidP="002E4F02">
      <w:pPr>
        <w:pStyle w:val="ExecSumBodyText"/>
      </w:pPr>
      <w:r w:rsidRPr="00903174">
        <w:rPr>
          <w:snapToGrid/>
        </w:rPr>
        <w:t>This is the first submission to the PBAC for ravulizumab. Eculizumab, one of the proposed comparators for ravulizumab, was considered by the PBAC for use in PNH in July 2008, March 2009 and July 2010</w:t>
      </w:r>
      <w:r w:rsidR="00B4390A" w:rsidRPr="00903174">
        <w:rPr>
          <w:snapToGrid/>
        </w:rPr>
        <w:t xml:space="preserve">. </w:t>
      </w:r>
      <w:r w:rsidR="004B68E7" w:rsidRPr="00903174">
        <w:rPr>
          <w:snapToGrid/>
        </w:rPr>
        <w:t>Eculizumab was recommended for inclusion on the Life Saving Drugs Program</w:t>
      </w:r>
      <w:r w:rsidR="00F22D35" w:rsidRPr="00903174">
        <w:rPr>
          <w:snapToGrid/>
        </w:rPr>
        <w:t xml:space="preserve"> (LSDP)</w:t>
      </w:r>
      <w:r w:rsidR="004B68E7" w:rsidRPr="00903174">
        <w:rPr>
          <w:snapToGrid/>
        </w:rPr>
        <w:t xml:space="preserve"> in August 2010. The sponsor of </w:t>
      </w:r>
      <w:r w:rsidR="00825F24" w:rsidRPr="00903174">
        <w:rPr>
          <w:snapToGrid/>
        </w:rPr>
        <w:t>ravulizumab</w:t>
      </w:r>
      <w:r w:rsidR="004B68E7" w:rsidRPr="00903174">
        <w:rPr>
          <w:snapToGrid/>
        </w:rPr>
        <w:t xml:space="preserve"> is also the sponsor of</w:t>
      </w:r>
      <w:r w:rsidR="00825F24" w:rsidRPr="00903174">
        <w:rPr>
          <w:snapToGrid/>
        </w:rPr>
        <w:t xml:space="preserve"> eculizumab.</w:t>
      </w:r>
    </w:p>
    <w:p w14:paraId="57508322" w14:textId="77777777" w:rsidR="005C25FF" w:rsidRPr="00903174" w:rsidRDefault="005C25FF" w:rsidP="00230DB1">
      <w:pPr>
        <w:pStyle w:val="TableFigureCaption"/>
      </w:pPr>
      <w:r w:rsidRPr="00903174">
        <w:lastRenderedPageBreak/>
        <w:t xml:space="preserve">Table </w:t>
      </w:r>
      <w:r w:rsidR="004E374C" w:rsidRPr="00903174">
        <w:t>2</w:t>
      </w:r>
      <w:r w:rsidRPr="00903174">
        <w:t xml:space="preserve">: Summary of </w:t>
      </w:r>
      <w:r w:rsidR="0002185C" w:rsidRPr="00903174">
        <w:t>previous PBAC submissions for eculizumab in PNH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462"/>
      </w:tblGrid>
      <w:tr w:rsidR="0002185C" w:rsidRPr="00903174" w14:paraId="4A926A44" w14:textId="77777777" w:rsidTr="007076F1">
        <w:trPr>
          <w:cantSplit/>
          <w:tblHeader/>
        </w:trPr>
        <w:tc>
          <w:tcPr>
            <w:tcW w:w="862" w:type="pct"/>
            <w:vAlign w:val="center"/>
          </w:tcPr>
          <w:p w14:paraId="46C3A6B6" w14:textId="77777777" w:rsidR="0002185C" w:rsidRPr="00903174" w:rsidRDefault="0002185C" w:rsidP="0002185C">
            <w:pPr>
              <w:pStyle w:val="Tableheadingrow"/>
              <w:rPr>
                <w:lang w:val="en-AU"/>
              </w:rPr>
            </w:pPr>
            <w:r w:rsidRPr="00903174">
              <w:rPr>
                <w:lang w:val="en-AU"/>
              </w:rPr>
              <w:t>PBAC Meeting Date</w:t>
            </w:r>
          </w:p>
        </w:tc>
        <w:tc>
          <w:tcPr>
            <w:tcW w:w="4138" w:type="pct"/>
            <w:vAlign w:val="center"/>
          </w:tcPr>
          <w:p w14:paraId="5ADF7B84" w14:textId="77777777" w:rsidR="0002185C" w:rsidRPr="00903174" w:rsidRDefault="0002185C" w:rsidP="004E18E9">
            <w:pPr>
              <w:pStyle w:val="Tableheadingrow"/>
              <w:rPr>
                <w:lang w:val="en-AU"/>
              </w:rPr>
            </w:pPr>
            <w:r w:rsidRPr="00903174">
              <w:rPr>
                <w:lang w:val="en-AU"/>
              </w:rPr>
              <w:t>Basis of outcome</w:t>
            </w:r>
          </w:p>
        </w:tc>
      </w:tr>
      <w:tr w:rsidR="0002185C" w:rsidRPr="00903174" w14:paraId="16D2EC95" w14:textId="77777777" w:rsidTr="007076F1">
        <w:trPr>
          <w:cantSplit/>
        </w:trPr>
        <w:tc>
          <w:tcPr>
            <w:tcW w:w="862" w:type="pct"/>
          </w:tcPr>
          <w:p w14:paraId="6E03A172" w14:textId="77777777" w:rsidR="0002185C" w:rsidRPr="00903174" w:rsidRDefault="0002185C" w:rsidP="0064434C">
            <w:pPr>
              <w:pStyle w:val="TableText"/>
            </w:pPr>
            <w:r w:rsidRPr="00903174">
              <w:t>July 2008</w:t>
            </w:r>
          </w:p>
        </w:tc>
        <w:tc>
          <w:tcPr>
            <w:tcW w:w="4138" w:type="pct"/>
          </w:tcPr>
          <w:p w14:paraId="1C557E17" w14:textId="77777777" w:rsidR="0002185C" w:rsidRPr="00903174" w:rsidRDefault="0002185C" w:rsidP="0064434C">
            <w:pPr>
              <w:pStyle w:val="TableText"/>
              <w:rPr>
                <w:szCs w:val="20"/>
              </w:rPr>
            </w:pPr>
            <w:r w:rsidRPr="00903174">
              <w:rPr>
                <w:szCs w:val="20"/>
              </w:rPr>
              <w:t xml:space="preserve">Rejected for PBS </w:t>
            </w:r>
            <w:r w:rsidR="009C31FB" w:rsidRPr="00903174">
              <w:rPr>
                <w:szCs w:val="20"/>
              </w:rPr>
              <w:t>listing</w:t>
            </w:r>
            <w:r w:rsidRPr="00903174">
              <w:rPr>
                <w:szCs w:val="20"/>
              </w:rPr>
              <w:t xml:space="preserve"> on the basis of an unacceptably high and highly uncertain estimated cost per additional death avoided over a 2-year period. Also rejected for consideration for the LSDP on the basis that it did not fulfil specific eligibility criteria for LSDP listing.</w:t>
            </w:r>
          </w:p>
        </w:tc>
      </w:tr>
      <w:tr w:rsidR="0002185C" w:rsidRPr="00903174" w14:paraId="0E1460CB" w14:textId="77777777" w:rsidTr="007076F1">
        <w:trPr>
          <w:cantSplit/>
        </w:trPr>
        <w:tc>
          <w:tcPr>
            <w:tcW w:w="862" w:type="pct"/>
            <w:vAlign w:val="center"/>
          </w:tcPr>
          <w:p w14:paraId="34CADAC2" w14:textId="77777777" w:rsidR="0002185C" w:rsidRPr="00903174" w:rsidRDefault="0002185C" w:rsidP="004E18E9">
            <w:pPr>
              <w:pStyle w:val="TableText"/>
            </w:pPr>
            <w:r w:rsidRPr="00903174">
              <w:t>March 2009 and July 2010</w:t>
            </w:r>
          </w:p>
        </w:tc>
        <w:tc>
          <w:tcPr>
            <w:tcW w:w="4138" w:type="pct"/>
          </w:tcPr>
          <w:p w14:paraId="65371B04" w14:textId="77777777" w:rsidR="0002185C" w:rsidRPr="00903174" w:rsidRDefault="0002185C" w:rsidP="007076F1">
            <w:pPr>
              <w:pStyle w:val="TableText"/>
              <w:rPr>
                <w:rFonts w:eastAsia="Times New Roman" w:cs="Arial"/>
                <w:bCs w:val="0"/>
                <w:snapToGrid w:val="0"/>
                <w:color w:val="0066FF"/>
                <w:szCs w:val="20"/>
              </w:rPr>
            </w:pPr>
            <w:r w:rsidRPr="00903174">
              <w:rPr>
                <w:rFonts w:eastAsia="Times New Roman" w:cs="Arial"/>
                <w:bCs w:val="0"/>
                <w:snapToGrid w:val="0"/>
                <w:color w:val="000000" w:themeColor="text1"/>
                <w:szCs w:val="20"/>
              </w:rPr>
              <w:t xml:space="preserve">Rejected for PBS listing on the basis of an unacceptably high and highly uncertain cost-effectiveness. </w:t>
            </w:r>
            <w:r w:rsidR="007076F1" w:rsidRPr="00903174">
              <w:rPr>
                <w:rFonts w:eastAsia="Times New Roman" w:cs="Arial"/>
                <w:bCs w:val="0"/>
                <w:snapToGrid w:val="0"/>
                <w:color w:val="000000" w:themeColor="text1"/>
                <w:szCs w:val="20"/>
              </w:rPr>
              <w:t>T</w:t>
            </w:r>
            <w:r w:rsidRPr="00903174">
              <w:rPr>
                <w:rFonts w:eastAsia="Times New Roman" w:cs="Arial"/>
                <w:bCs w:val="0"/>
                <w:snapToGrid w:val="0"/>
                <w:color w:val="000000" w:themeColor="text1"/>
                <w:szCs w:val="20"/>
              </w:rPr>
              <w:t>he PBAC considered that eculizumab met the criteria for inclusion on the LSDP but that specific requirements for initiation and continuation of treatment would need to be developed by independent experts to identify those patients with PNH who would benefit most from treatment with eculizumab.</w:t>
            </w:r>
          </w:p>
        </w:tc>
      </w:tr>
      <w:tr w:rsidR="0002185C" w:rsidRPr="00903174" w14:paraId="5681A197" w14:textId="77777777" w:rsidTr="007076F1">
        <w:trPr>
          <w:cantSplit/>
        </w:trPr>
        <w:tc>
          <w:tcPr>
            <w:tcW w:w="862" w:type="pct"/>
            <w:vAlign w:val="center"/>
          </w:tcPr>
          <w:p w14:paraId="3ED1F448" w14:textId="77777777" w:rsidR="0002185C" w:rsidRPr="00903174" w:rsidRDefault="007076F1" w:rsidP="004E18E9">
            <w:pPr>
              <w:pStyle w:val="TableText"/>
              <w:rPr>
                <w:color w:val="000000" w:themeColor="text1"/>
              </w:rPr>
            </w:pPr>
            <w:r w:rsidRPr="00903174">
              <w:rPr>
                <w:color w:val="000000" w:themeColor="text1"/>
              </w:rPr>
              <w:t>August 2010 (special meeting)</w:t>
            </w:r>
          </w:p>
        </w:tc>
        <w:tc>
          <w:tcPr>
            <w:tcW w:w="4138" w:type="pct"/>
          </w:tcPr>
          <w:p w14:paraId="17955243" w14:textId="77777777" w:rsidR="0002185C" w:rsidRPr="00903174" w:rsidRDefault="007076F1" w:rsidP="00CC35EA">
            <w:pPr>
              <w:pStyle w:val="TableText"/>
              <w:rPr>
                <w:rFonts w:eastAsia="Times New Roman" w:cs="Arial"/>
                <w:bCs w:val="0"/>
                <w:snapToGrid w:val="0"/>
                <w:color w:val="000000" w:themeColor="text1"/>
                <w:szCs w:val="20"/>
              </w:rPr>
            </w:pPr>
            <w:r w:rsidRPr="00903174">
              <w:rPr>
                <w:rFonts w:eastAsia="Times New Roman" w:cs="Arial"/>
                <w:bCs w:val="0"/>
                <w:snapToGrid w:val="0"/>
                <w:color w:val="000000" w:themeColor="text1"/>
                <w:szCs w:val="20"/>
              </w:rPr>
              <w:t>PBAC considered that eculizumab met all the LSDP criteria following identification of PNH patients who would benefit most from treatment with eculizumab. The PBAC considered that eculizumab fulfilled all criteria of the LSDP, including the criterion that the lifespan of a patient will be substantially extended as a direct consequence of the use of the drug.</w:t>
            </w:r>
          </w:p>
        </w:tc>
      </w:tr>
      <w:tr w:rsidR="0002185C" w:rsidRPr="00903174" w14:paraId="649EF06F" w14:textId="77777777" w:rsidTr="007076F1">
        <w:trPr>
          <w:cantSplit/>
        </w:trPr>
        <w:tc>
          <w:tcPr>
            <w:tcW w:w="862" w:type="pct"/>
            <w:vAlign w:val="center"/>
          </w:tcPr>
          <w:p w14:paraId="4621021C" w14:textId="77777777" w:rsidR="0002185C" w:rsidRPr="00903174" w:rsidRDefault="002B69C6" w:rsidP="004E18E9">
            <w:pPr>
              <w:pStyle w:val="TableText"/>
            </w:pPr>
            <w:r>
              <w:rPr>
                <w:noProof/>
                <w:color w:val="000000"/>
                <w:highlight w:val="black"/>
              </w:rPr>
              <w:t>''''''''' '''''''''''</w:t>
            </w:r>
          </w:p>
        </w:tc>
        <w:tc>
          <w:tcPr>
            <w:tcW w:w="4138" w:type="pct"/>
          </w:tcPr>
          <w:p w14:paraId="7B5AC75B" w14:textId="77777777" w:rsidR="0002185C" w:rsidRPr="002B69C6" w:rsidRDefault="002B69C6" w:rsidP="00E35D83">
            <w:pPr>
              <w:pStyle w:val="TableText"/>
              <w:rPr>
                <w:rFonts w:eastAsia="Times New Roman" w:cs="Arial"/>
                <w:bCs w:val="0"/>
                <w:snapToGrid w:val="0"/>
                <w:color w:val="0066FF"/>
                <w:szCs w:val="20"/>
                <w:highlight w:val="black"/>
              </w:rPr>
            </w:pPr>
            <w:r>
              <w:rPr>
                <w:rFonts w:eastAsia="Times New Roman" w:cs="Arial"/>
                <w:bCs w:val="0"/>
                <w:noProof/>
                <w:snapToGrid w:val="0"/>
                <w:color w:val="000000"/>
                <w:szCs w:val="20"/>
                <w:highlight w:val="black"/>
              </w:rPr>
              <w:t>'''''''''''''''''' '''''''''' ''''''''''''' '''''' ''''''''''''' ''''''''''''''''''''''''' '''''''''' ''''''''''''''''''''' '''''''''''''''''' ''''''''''''''''''''''''' ''''''''''''''' ''''''' ''''''''''''''''''''''''''''''''' ''''' ''''''''''''''''''''''''''''' '''''''''''''''''''''''' ''''''''' '''''''''''''''''''' ''''''''''''''''''''''' ''''' '''''''''''''''''''' ''''''''''''''''''' '''''''' '''''''''''''''' ''''''''''''''''' '''''''''''''''''''''''' ''''''''''''''''''''''''' '''' ''''''''''''' '''''' '''''''''' '''''''''''''''''' ''''''''''''''''''' ''''''''''''''''''''''' '''''''''''''''''''''' '''' '''' ''''''''''''''''''''''''''''' ''''''''''''''''''''' ''''''' ''''''' ''''''''''''' ''''''''''''''''' '''''''''''''''''''' '''''''''''''''''''' ''''' ''''''''''''''''''''''' ''''''' '''''''''''''''''''''''''''''' '''' ''''''''''''''''''' '''''''''''''''''''''' '''' ''''''''''' ''''''''''''''''''''''''''''''</w:t>
            </w:r>
          </w:p>
        </w:tc>
      </w:tr>
    </w:tbl>
    <w:p w14:paraId="407AAE43" w14:textId="77777777" w:rsidR="005C25FF" w:rsidRPr="00903174" w:rsidRDefault="005C25FF" w:rsidP="004E18E9">
      <w:pPr>
        <w:pStyle w:val="TableFigureFooter"/>
      </w:pPr>
      <w:r w:rsidRPr="00903174">
        <w:t>Sou</w:t>
      </w:r>
      <w:r w:rsidR="007076F1" w:rsidRPr="00903174">
        <w:t xml:space="preserve">rce: </w:t>
      </w:r>
      <w:r w:rsidRPr="00903174">
        <w:t>Table</w:t>
      </w:r>
      <w:r w:rsidR="007076F1" w:rsidRPr="00903174">
        <w:t xml:space="preserve"> 5</w:t>
      </w:r>
      <w:r w:rsidRPr="00903174">
        <w:t>, p</w:t>
      </w:r>
      <w:r w:rsidR="007076F1" w:rsidRPr="00903174">
        <w:t>22 of the submission.</w:t>
      </w:r>
    </w:p>
    <w:p w14:paraId="3D7C154F" w14:textId="77777777" w:rsidR="007076F1" w:rsidRPr="00903174" w:rsidRDefault="007076F1" w:rsidP="004E18E9">
      <w:pPr>
        <w:pStyle w:val="TableFigureFooter"/>
      </w:pPr>
      <w:r w:rsidRPr="00903174">
        <w:t>Abbreviations: LSDP, life saving drugs program; PNH, paroxysmal nocturnal haemoglobinuria</w:t>
      </w:r>
    </w:p>
    <w:p w14:paraId="5C4A50CA" w14:textId="77777777" w:rsidR="00B2799D" w:rsidRDefault="00B2799D" w:rsidP="004E18E9">
      <w:pPr>
        <w:pStyle w:val="TableFigureFooter"/>
      </w:pPr>
    </w:p>
    <w:p w14:paraId="2A0A2E19" w14:textId="77777777" w:rsidR="00346D24" w:rsidRPr="00346D24" w:rsidRDefault="00346D24" w:rsidP="00346D24">
      <w:pPr>
        <w:ind w:firstLine="720"/>
        <w:rPr>
          <w:i/>
        </w:rPr>
      </w:pPr>
      <w:r w:rsidRPr="00903174">
        <w:rPr>
          <w:i/>
        </w:rPr>
        <w:t>For more detail on PBAC’s view, see section 7 PBAC outcome.</w:t>
      </w:r>
    </w:p>
    <w:p w14:paraId="63975151" w14:textId="77777777" w:rsidR="00B60939" w:rsidRPr="00903174" w:rsidRDefault="00B50DB8" w:rsidP="004E18E9">
      <w:pPr>
        <w:pStyle w:val="2-SectionHeading"/>
      </w:pPr>
      <w:bookmarkStart w:id="9" w:name="_Toc40702916"/>
      <w:r w:rsidRPr="00903174">
        <w:t>Requested listing</w:t>
      </w:r>
      <w:bookmarkEnd w:id="9"/>
    </w:p>
    <w:p w14:paraId="3F178145" w14:textId="77777777" w:rsidR="00C826AB" w:rsidRPr="00346D24" w:rsidRDefault="000F4DAD" w:rsidP="00C826AB">
      <w:pPr>
        <w:pStyle w:val="ExecSumBodyText"/>
        <w:rPr>
          <w:color w:val="000000" w:themeColor="text1"/>
        </w:rPr>
      </w:pPr>
      <w:r w:rsidRPr="00346D24">
        <w:rPr>
          <w:color w:val="000000" w:themeColor="text1"/>
        </w:rPr>
        <w:t>Suggestions and additions proposed by the Secretariat are added in italics</w:t>
      </w:r>
      <w:r w:rsidR="00653A61" w:rsidRPr="00346D24">
        <w:rPr>
          <w:color w:val="000000" w:themeColor="text1"/>
        </w:rPr>
        <w:t xml:space="preserve"> and suggested deletions are cro</w:t>
      </w:r>
      <w:r w:rsidRPr="00346D24">
        <w:rPr>
          <w:color w:val="000000" w:themeColor="text1"/>
        </w:rPr>
        <w:t xml:space="preserve">ssed out with strikethrough. </w:t>
      </w:r>
    </w:p>
    <w:tbl>
      <w:tblPr>
        <w:tblW w:w="9135"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07"/>
        <w:gridCol w:w="1265"/>
        <w:gridCol w:w="1266"/>
        <w:gridCol w:w="1125"/>
        <w:gridCol w:w="1686"/>
        <w:gridCol w:w="1686"/>
      </w:tblGrid>
      <w:tr w:rsidR="00B2799D" w:rsidRPr="00903174" w14:paraId="4A734060" w14:textId="77777777" w:rsidTr="00126F3E">
        <w:trPr>
          <w:cantSplit/>
          <w:trHeight w:val="657"/>
        </w:trPr>
        <w:tc>
          <w:tcPr>
            <w:tcW w:w="2107" w:type="dxa"/>
          </w:tcPr>
          <w:p w14:paraId="03C6FCAD" w14:textId="77777777" w:rsidR="00B2799D" w:rsidRPr="00903174" w:rsidRDefault="00B2799D" w:rsidP="00126F3E">
            <w:pPr>
              <w:keepNext/>
              <w:jc w:val="left"/>
              <w:rPr>
                <w:b/>
              </w:rPr>
            </w:pPr>
            <w:r w:rsidRPr="00903174">
              <w:rPr>
                <w:rFonts w:ascii="Arial Narrow" w:hAnsi="Arial Narrow"/>
                <w:b/>
                <w:sz w:val="20"/>
              </w:rPr>
              <w:t>Name, restriction, manner of administration, form</w:t>
            </w:r>
          </w:p>
        </w:tc>
        <w:tc>
          <w:tcPr>
            <w:tcW w:w="1265" w:type="dxa"/>
          </w:tcPr>
          <w:p w14:paraId="03D82CB4" w14:textId="77777777" w:rsidR="00B2799D" w:rsidRPr="00903174" w:rsidRDefault="00B2799D" w:rsidP="00126F3E">
            <w:pPr>
              <w:keepNext/>
              <w:ind w:left="-108"/>
              <w:jc w:val="center"/>
              <w:rPr>
                <w:rFonts w:ascii="Arial Narrow" w:hAnsi="Arial Narrow"/>
                <w:b/>
                <w:sz w:val="20"/>
                <w:szCs w:val="20"/>
              </w:rPr>
            </w:pPr>
            <w:r w:rsidRPr="00903174">
              <w:rPr>
                <w:rFonts w:ascii="Arial Narrow" w:hAnsi="Arial Narrow"/>
                <w:b/>
                <w:sz w:val="20"/>
                <w:szCs w:val="20"/>
              </w:rPr>
              <w:t>Maximum quantity (packs)</w:t>
            </w:r>
          </w:p>
        </w:tc>
        <w:tc>
          <w:tcPr>
            <w:tcW w:w="1266" w:type="dxa"/>
          </w:tcPr>
          <w:p w14:paraId="17379D2E" w14:textId="77777777" w:rsidR="00B2799D" w:rsidRPr="00903174" w:rsidRDefault="00B2799D" w:rsidP="00126F3E">
            <w:pPr>
              <w:keepNext/>
              <w:ind w:left="-108"/>
              <w:jc w:val="center"/>
              <w:rPr>
                <w:rFonts w:ascii="Arial Narrow" w:hAnsi="Arial Narrow"/>
                <w:b/>
                <w:sz w:val="20"/>
                <w:szCs w:val="20"/>
              </w:rPr>
            </w:pPr>
            <w:r w:rsidRPr="00903174">
              <w:rPr>
                <w:rFonts w:ascii="Arial Narrow" w:hAnsi="Arial Narrow"/>
                <w:b/>
                <w:sz w:val="20"/>
                <w:szCs w:val="20"/>
              </w:rPr>
              <w:t>Maximum quantity (units)</w:t>
            </w:r>
          </w:p>
        </w:tc>
        <w:tc>
          <w:tcPr>
            <w:tcW w:w="1125" w:type="dxa"/>
          </w:tcPr>
          <w:p w14:paraId="4B95B27F" w14:textId="77777777" w:rsidR="00B2799D" w:rsidRPr="00903174" w:rsidRDefault="00B2799D" w:rsidP="00126F3E">
            <w:pPr>
              <w:keepNext/>
              <w:ind w:left="-108"/>
              <w:jc w:val="center"/>
              <w:rPr>
                <w:rFonts w:ascii="Arial Narrow" w:hAnsi="Arial Narrow"/>
                <w:b/>
                <w:sz w:val="20"/>
                <w:szCs w:val="20"/>
              </w:rPr>
            </w:pPr>
            <w:r w:rsidRPr="00903174">
              <w:rPr>
                <w:rFonts w:ascii="Arial Narrow" w:hAnsi="Arial Narrow"/>
                <w:b/>
                <w:sz w:val="20"/>
                <w:szCs w:val="20"/>
              </w:rPr>
              <w:t>No. of repeats</w:t>
            </w:r>
          </w:p>
        </w:tc>
        <w:tc>
          <w:tcPr>
            <w:tcW w:w="1686" w:type="dxa"/>
          </w:tcPr>
          <w:p w14:paraId="48ED823C" w14:textId="77777777" w:rsidR="00B2799D" w:rsidRPr="00903174" w:rsidRDefault="00B2799D" w:rsidP="00126F3E">
            <w:pPr>
              <w:keepNext/>
              <w:jc w:val="center"/>
              <w:rPr>
                <w:rFonts w:ascii="Arial Narrow" w:hAnsi="Arial Narrow"/>
                <w:b/>
                <w:sz w:val="20"/>
                <w:szCs w:val="20"/>
              </w:rPr>
            </w:pPr>
            <w:r w:rsidRPr="00903174">
              <w:rPr>
                <w:rFonts w:ascii="Arial Narrow" w:hAnsi="Arial Narrow"/>
                <w:b/>
                <w:sz w:val="20"/>
                <w:szCs w:val="20"/>
              </w:rPr>
              <w:t>Dispensed price for maximum quantity</w:t>
            </w:r>
          </w:p>
        </w:tc>
        <w:tc>
          <w:tcPr>
            <w:tcW w:w="1686" w:type="dxa"/>
          </w:tcPr>
          <w:p w14:paraId="5AAA184E" w14:textId="77777777" w:rsidR="00B2799D" w:rsidRPr="00903174" w:rsidRDefault="00B2799D" w:rsidP="00126F3E">
            <w:pPr>
              <w:keepNext/>
              <w:jc w:val="center"/>
              <w:rPr>
                <w:rFonts w:ascii="Arial Narrow" w:hAnsi="Arial Narrow"/>
                <w:b/>
                <w:sz w:val="20"/>
                <w:szCs w:val="20"/>
              </w:rPr>
            </w:pPr>
            <w:r w:rsidRPr="00903174">
              <w:rPr>
                <w:rFonts w:ascii="Arial Narrow" w:hAnsi="Arial Narrow"/>
                <w:b/>
                <w:sz w:val="20"/>
                <w:szCs w:val="20"/>
              </w:rPr>
              <w:t>Proprietary name and manufacturer</w:t>
            </w:r>
          </w:p>
        </w:tc>
      </w:tr>
      <w:tr w:rsidR="00B2799D" w:rsidRPr="00903174" w14:paraId="16A1CE26" w14:textId="77777777" w:rsidTr="00126F3E">
        <w:trPr>
          <w:cantSplit/>
          <w:trHeight w:val="840"/>
        </w:trPr>
        <w:tc>
          <w:tcPr>
            <w:tcW w:w="2107" w:type="dxa"/>
            <w:tcBorders>
              <w:bottom w:val="single" w:sz="4" w:space="0" w:color="auto"/>
            </w:tcBorders>
          </w:tcPr>
          <w:p w14:paraId="42798D20" w14:textId="77777777" w:rsidR="00B2799D" w:rsidRPr="00903174" w:rsidRDefault="00B2799D" w:rsidP="00126F3E">
            <w:pPr>
              <w:ind w:left="-105"/>
              <w:rPr>
                <w:rFonts w:ascii="Arial Narrow" w:hAnsi="Arial Narrow"/>
                <w:smallCaps/>
                <w:sz w:val="20"/>
              </w:rPr>
            </w:pPr>
            <w:r w:rsidRPr="00903174">
              <w:rPr>
                <w:rFonts w:ascii="Arial Narrow" w:hAnsi="Arial Narrow"/>
                <w:smallCaps/>
                <w:sz w:val="20"/>
              </w:rPr>
              <w:t>Ravulizumab</w:t>
            </w:r>
          </w:p>
          <w:p w14:paraId="4C27CDD4" w14:textId="77777777" w:rsidR="00B2799D" w:rsidRPr="00903174" w:rsidRDefault="00B2799D" w:rsidP="00126F3E">
            <w:pPr>
              <w:ind w:left="-105"/>
              <w:rPr>
                <w:rFonts w:ascii="Arial Narrow" w:hAnsi="Arial Narrow"/>
                <w:sz w:val="20"/>
              </w:rPr>
            </w:pPr>
            <w:r w:rsidRPr="00903174">
              <w:rPr>
                <w:rFonts w:ascii="Arial Narrow" w:hAnsi="Arial Narrow"/>
                <w:sz w:val="20"/>
              </w:rPr>
              <w:t>300mg/30 mL IV infusion</w:t>
            </w:r>
          </w:p>
        </w:tc>
        <w:tc>
          <w:tcPr>
            <w:tcW w:w="1265" w:type="dxa"/>
            <w:tcBorders>
              <w:bottom w:val="single" w:sz="4" w:space="0" w:color="auto"/>
            </w:tcBorders>
          </w:tcPr>
          <w:p w14:paraId="2E10299D" w14:textId="77777777" w:rsidR="00B2799D" w:rsidRPr="00903174" w:rsidRDefault="00B2799D" w:rsidP="00126F3E">
            <w:pPr>
              <w:keepNext/>
              <w:ind w:left="-108"/>
              <w:jc w:val="center"/>
              <w:rPr>
                <w:rFonts w:ascii="Arial Narrow" w:hAnsi="Arial Narrow"/>
                <w:sz w:val="20"/>
              </w:rPr>
            </w:pPr>
            <w:r w:rsidRPr="00903174">
              <w:rPr>
                <w:rFonts w:ascii="Arial Narrow" w:hAnsi="Arial Narrow"/>
                <w:sz w:val="20"/>
              </w:rPr>
              <w:t>1</w:t>
            </w:r>
          </w:p>
        </w:tc>
        <w:tc>
          <w:tcPr>
            <w:tcW w:w="1266" w:type="dxa"/>
            <w:tcBorders>
              <w:bottom w:val="single" w:sz="4" w:space="0" w:color="auto"/>
            </w:tcBorders>
          </w:tcPr>
          <w:p w14:paraId="3D193F95" w14:textId="77777777" w:rsidR="00B2799D" w:rsidRPr="00903174" w:rsidRDefault="00B2799D" w:rsidP="00126F3E">
            <w:pPr>
              <w:keepNext/>
              <w:ind w:left="-108"/>
              <w:jc w:val="center"/>
              <w:rPr>
                <w:rFonts w:ascii="Arial Narrow" w:hAnsi="Arial Narrow"/>
                <w:sz w:val="20"/>
              </w:rPr>
            </w:pPr>
            <w:r w:rsidRPr="00903174">
              <w:rPr>
                <w:rFonts w:ascii="Arial Narrow" w:hAnsi="Arial Narrow"/>
                <w:sz w:val="20"/>
              </w:rPr>
              <w:t>1</w:t>
            </w:r>
          </w:p>
        </w:tc>
        <w:tc>
          <w:tcPr>
            <w:tcW w:w="1125" w:type="dxa"/>
            <w:tcBorders>
              <w:bottom w:val="single" w:sz="4" w:space="0" w:color="auto"/>
            </w:tcBorders>
          </w:tcPr>
          <w:p w14:paraId="0CA8FEEA" w14:textId="77777777" w:rsidR="00B2799D" w:rsidRPr="00903174" w:rsidRDefault="00B2799D" w:rsidP="00126F3E">
            <w:pPr>
              <w:keepNext/>
              <w:ind w:left="-108"/>
              <w:jc w:val="center"/>
              <w:rPr>
                <w:rFonts w:ascii="Arial Narrow" w:hAnsi="Arial Narrow"/>
                <w:sz w:val="20"/>
              </w:rPr>
            </w:pPr>
            <w:r w:rsidRPr="00903174">
              <w:rPr>
                <w:rFonts w:ascii="Arial Narrow" w:hAnsi="Arial Narrow"/>
                <w:sz w:val="20"/>
              </w:rPr>
              <w:t>0</w:t>
            </w:r>
          </w:p>
        </w:tc>
        <w:tc>
          <w:tcPr>
            <w:tcW w:w="1686" w:type="dxa"/>
            <w:tcBorders>
              <w:bottom w:val="single" w:sz="4" w:space="0" w:color="auto"/>
            </w:tcBorders>
          </w:tcPr>
          <w:p w14:paraId="4A480AEF" w14:textId="77777777" w:rsidR="00B2799D" w:rsidRPr="00903174" w:rsidRDefault="00B2799D" w:rsidP="00126F3E">
            <w:pPr>
              <w:ind w:left="-105"/>
              <w:jc w:val="center"/>
              <w:rPr>
                <w:rFonts w:ascii="Arial Narrow" w:hAnsi="Arial Narrow"/>
                <w:sz w:val="20"/>
                <w:szCs w:val="20"/>
              </w:rPr>
            </w:pPr>
            <w:r w:rsidRPr="00903174">
              <w:rPr>
                <w:rFonts w:ascii="Arial Narrow" w:hAnsi="Arial Narrow"/>
                <w:sz w:val="20"/>
                <w:szCs w:val="20"/>
              </w:rPr>
              <w:t>Public hospital: $</w:t>
            </w:r>
            <w:r w:rsidR="00DF28C6">
              <w:rPr>
                <w:rFonts w:ascii="Arial Narrow" w:hAnsi="Arial Narrow"/>
                <w:noProof/>
                <w:color w:val="000000"/>
                <w:sz w:val="20"/>
                <w:szCs w:val="20"/>
                <w:highlight w:val="black"/>
              </w:rPr>
              <w:t>'''''''''''''''''''</w:t>
            </w:r>
          </w:p>
          <w:p w14:paraId="48D847F1" w14:textId="77777777" w:rsidR="00B2799D" w:rsidRPr="00903174" w:rsidRDefault="00B2799D" w:rsidP="00126F3E">
            <w:pPr>
              <w:ind w:left="-105"/>
              <w:jc w:val="center"/>
              <w:rPr>
                <w:rFonts w:ascii="Arial Narrow" w:hAnsi="Arial Narrow"/>
                <w:sz w:val="20"/>
                <w:szCs w:val="20"/>
              </w:rPr>
            </w:pPr>
            <w:r w:rsidRPr="00903174">
              <w:rPr>
                <w:rFonts w:ascii="Arial Narrow" w:hAnsi="Arial Narrow"/>
                <w:sz w:val="20"/>
                <w:szCs w:val="20"/>
              </w:rPr>
              <w:t>Private hospital: $</w:t>
            </w:r>
            <w:r w:rsidR="00DF28C6">
              <w:rPr>
                <w:rFonts w:ascii="Arial Narrow" w:hAnsi="Arial Narrow"/>
                <w:noProof/>
                <w:color w:val="000000"/>
                <w:sz w:val="20"/>
                <w:szCs w:val="20"/>
                <w:highlight w:val="black"/>
              </w:rPr>
              <w:t>'''''''''''''''' ''''''</w:t>
            </w:r>
          </w:p>
        </w:tc>
        <w:tc>
          <w:tcPr>
            <w:tcW w:w="1686" w:type="dxa"/>
            <w:tcBorders>
              <w:bottom w:val="single" w:sz="4" w:space="0" w:color="auto"/>
            </w:tcBorders>
          </w:tcPr>
          <w:p w14:paraId="2C4CCF94" w14:textId="77777777" w:rsidR="00B2799D" w:rsidRPr="00903174" w:rsidRDefault="00B2799D" w:rsidP="00126F3E">
            <w:pPr>
              <w:pStyle w:val="TableText"/>
              <w:rPr>
                <w:szCs w:val="20"/>
                <w:vertAlign w:val="superscript"/>
              </w:rPr>
            </w:pPr>
            <w:r w:rsidRPr="00903174">
              <w:rPr>
                <w:szCs w:val="20"/>
              </w:rPr>
              <w:t>Ultomiris</w:t>
            </w:r>
            <w:r w:rsidRPr="00903174">
              <w:rPr>
                <w:szCs w:val="20"/>
                <w:vertAlign w:val="superscript"/>
              </w:rPr>
              <w:t>®</w:t>
            </w:r>
          </w:p>
          <w:p w14:paraId="19C4313E" w14:textId="77777777" w:rsidR="00B2799D" w:rsidRPr="00903174" w:rsidRDefault="00B2799D" w:rsidP="00126F3E">
            <w:pPr>
              <w:keepNext/>
              <w:rPr>
                <w:rFonts w:ascii="Arial Narrow" w:hAnsi="Arial Narrow"/>
                <w:sz w:val="20"/>
                <w:szCs w:val="20"/>
              </w:rPr>
            </w:pPr>
            <w:r w:rsidRPr="00903174">
              <w:rPr>
                <w:rFonts w:ascii="Arial Narrow" w:hAnsi="Arial Narrow"/>
                <w:sz w:val="20"/>
                <w:szCs w:val="20"/>
              </w:rPr>
              <w:t xml:space="preserve">Alexion Pharmaceuticals </w:t>
            </w:r>
          </w:p>
        </w:tc>
      </w:tr>
      <w:tr w:rsidR="00B2799D" w:rsidRPr="00903174" w14:paraId="09735B1F" w14:textId="77777777" w:rsidTr="00126F3E">
        <w:trPr>
          <w:cantSplit/>
          <w:trHeight w:val="254"/>
        </w:trPr>
        <w:tc>
          <w:tcPr>
            <w:tcW w:w="2107" w:type="dxa"/>
            <w:tcBorders>
              <w:left w:val="single" w:sz="4" w:space="0" w:color="auto"/>
              <w:right w:val="single" w:sz="4" w:space="0" w:color="auto"/>
            </w:tcBorders>
          </w:tcPr>
          <w:p w14:paraId="586E4B3D" w14:textId="77777777" w:rsidR="00B2799D" w:rsidRPr="006C1447" w:rsidRDefault="00B2799D" w:rsidP="00126F3E">
            <w:pPr>
              <w:pStyle w:val="TableText"/>
              <w:rPr>
                <w:szCs w:val="20"/>
              </w:rPr>
            </w:pPr>
            <w:r w:rsidRPr="006C1447">
              <w:rPr>
                <w:szCs w:val="20"/>
              </w:rPr>
              <w:lastRenderedPageBreak/>
              <w:t>Category / Program:</w:t>
            </w:r>
          </w:p>
        </w:tc>
        <w:tc>
          <w:tcPr>
            <w:tcW w:w="7028" w:type="dxa"/>
            <w:gridSpan w:val="5"/>
            <w:tcBorders>
              <w:left w:val="single" w:sz="4" w:space="0" w:color="auto"/>
              <w:right w:val="single" w:sz="4" w:space="0" w:color="auto"/>
            </w:tcBorders>
          </w:tcPr>
          <w:p w14:paraId="1A494F49" w14:textId="77777777" w:rsidR="00B2799D" w:rsidRPr="006C1447" w:rsidRDefault="00B2799D" w:rsidP="00126F3E">
            <w:pPr>
              <w:pStyle w:val="TableText"/>
              <w:rPr>
                <w:szCs w:val="20"/>
              </w:rPr>
            </w:pPr>
            <w:r w:rsidRPr="006C1447">
              <w:rPr>
                <w:szCs w:val="20"/>
              </w:rPr>
              <w:t>Section 100 – Highly Specialised Drugs Program (</w:t>
            </w:r>
            <w:r w:rsidRPr="006C1447">
              <w:rPr>
                <w:strike/>
                <w:szCs w:val="20"/>
              </w:rPr>
              <w:t>Community Access</w:t>
            </w:r>
            <w:r w:rsidR="000F4DAD" w:rsidRPr="006C1447">
              <w:rPr>
                <w:strike/>
                <w:szCs w:val="20"/>
              </w:rPr>
              <w:t xml:space="preserve"> </w:t>
            </w:r>
            <w:r w:rsidR="000F4DAD" w:rsidRPr="006C1447">
              <w:rPr>
                <w:i/>
                <w:szCs w:val="20"/>
              </w:rPr>
              <w:t>Public/Private</w:t>
            </w:r>
            <w:r w:rsidRPr="006C1447">
              <w:rPr>
                <w:szCs w:val="20"/>
              </w:rPr>
              <w:t>)</w:t>
            </w:r>
          </w:p>
        </w:tc>
      </w:tr>
      <w:tr w:rsidR="00B2799D" w:rsidRPr="00903174" w14:paraId="7EF761BB" w14:textId="77777777" w:rsidTr="00126F3E">
        <w:trPr>
          <w:cantSplit/>
          <w:trHeight w:val="64"/>
        </w:trPr>
        <w:tc>
          <w:tcPr>
            <w:tcW w:w="2107" w:type="dxa"/>
            <w:tcBorders>
              <w:left w:val="single" w:sz="4" w:space="0" w:color="auto"/>
              <w:right w:val="single" w:sz="4" w:space="0" w:color="auto"/>
            </w:tcBorders>
          </w:tcPr>
          <w:p w14:paraId="297B5F33" w14:textId="77777777" w:rsidR="00B2799D" w:rsidRPr="006C1447" w:rsidRDefault="00B2799D" w:rsidP="00126F3E">
            <w:pPr>
              <w:pStyle w:val="TableText"/>
              <w:rPr>
                <w:szCs w:val="20"/>
              </w:rPr>
            </w:pPr>
            <w:r w:rsidRPr="006C1447">
              <w:rPr>
                <w:szCs w:val="20"/>
              </w:rPr>
              <w:t>PBS Indication:</w:t>
            </w:r>
          </w:p>
        </w:tc>
        <w:tc>
          <w:tcPr>
            <w:tcW w:w="7028" w:type="dxa"/>
            <w:gridSpan w:val="5"/>
            <w:tcBorders>
              <w:left w:val="single" w:sz="4" w:space="0" w:color="auto"/>
              <w:right w:val="single" w:sz="4" w:space="0" w:color="auto"/>
            </w:tcBorders>
          </w:tcPr>
          <w:p w14:paraId="7CFFDE12" w14:textId="77777777" w:rsidR="00B2799D" w:rsidRPr="006C1447" w:rsidRDefault="00B2799D" w:rsidP="00126F3E">
            <w:pPr>
              <w:pStyle w:val="TableText"/>
              <w:rPr>
                <w:szCs w:val="20"/>
              </w:rPr>
            </w:pPr>
            <w:r w:rsidRPr="006C1447">
              <w:rPr>
                <w:szCs w:val="20"/>
              </w:rPr>
              <w:t>Paroxysmal nocturnal haemoglobinuria</w:t>
            </w:r>
            <w:r w:rsidR="000F4DAD" w:rsidRPr="006C1447">
              <w:rPr>
                <w:szCs w:val="20"/>
              </w:rPr>
              <w:t xml:space="preserve"> </w:t>
            </w:r>
            <w:r w:rsidR="000F4DAD" w:rsidRPr="006C1447">
              <w:rPr>
                <w:i/>
                <w:szCs w:val="20"/>
              </w:rPr>
              <w:t>(PNH)</w:t>
            </w:r>
          </w:p>
        </w:tc>
      </w:tr>
      <w:tr w:rsidR="00B2799D" w:rsidRPr="00903174" w14:paraId="14FF497B" w14:textId="77777777" w:rsidTr="00126F3E">
        <w:trPr>
          <w:cantSplit/>
          <w:trHeight w:val="64"/>
        </w:trPr>
        <w:tc>
          <w:tcPr>
            <w:tcW w:w="2107" w:type="dxa"/>
            <w:tcBorders>
              <w:left w:val="single" w:sz="4" w:space="0" w:color="auto"/>
              <w:right w:val="single" w:sz="4" w:space="0" w:color="auto"/>
            </w:tcBorders>
          </w:tcPr>
          <w:p w14:paraId="736D3340" w14:textId="77777777" w:rsidR="00B2799D" w:rsidRPr="006C1447" w:rsidRDefault="00B2799D" w:rsidP="00126F3E">
            <w:pPr>
              <w:pStyle w:val="TableText"/>
              <w:rPr>
                <w:szCs w:val="20"/>
              </w:rPr>
            </w:pPr>
            <w:r w:rsidRPr="006C1447">
              <w:rPr>
                <w:szCs w:val="20"/>
              </w:rPr>
              <w:t>Treatment phase:</w:t>
            </w:r>
          </w:p>
        </w:tc>
        <w:tc>
          <w:tcPr>
            <w:tcW w:w="7028" w:type="dxa"/>
            <w:gridSpan w:val="5"/>
            <w:tcBorders>
              <w:left w:val="single" w:sz="4" w:space="0" w:color="auto"/>
              <w:right w:val="single" w:sz="4" w:space="0" w:color="auto"/>
            </w:tcBorders>
          </w:tcPr>
          <w:p w14:paraId="3F5402E1" w14:textId="77777777" w:rsidR="00B2799D" w:rsidRPr="006C1447" w:rsidRDefault="00B2799D" w:rsidP="00126F3E">
            <w:pPr>
              <w:pStyle w:val="TableText"/>
              <w:rPr>
                <w:i/>
                <w:szCs w:val="20"/>
              </w:rPr>
            </w:pPr>
            <w:r w:rsidRPr="006C1447">
              <w:rPr>
                <w:szCs w:val="20"/>
              </w:rPr>
              <w:t>Initial treatment</w:t>
            </w:r>
            <w:r w:rsidR="000F4DAD" w:rsidRPr="006C1447">
              <w:rPr>
                <w:i/>
                <w:szCs w:val="20"/>
              </w:rPr>
              <w:t>- Initial 1 (new patient)</w:t>
            </w:r>
          </w:p>
        </w:tc>
      </w:tr>
      <w:tr w:rsidR="00B2799D" w:rsidRPr="00903174" w14:paraId="10D88FD1" w14:textId="77777777" w:rsidTr="00126F3E">
        <w:trPr>
          <w:cantSplit/>
          <w:trHeight w:val="222"/>
        </w:trPr>
        <w:tc>
          <w:tcPr>
            <w:tcW w:w="2107" w:type="dxa"/>
            <w:tcBorders>
              <w:left w:val="single" w:sz="4" w:space="0" w:color="auto"/>
              <w:right w:val="single" w:sz="4" w:space="0" w:color="auto"/>
            </w:tcBorders>
          </w:tcPr>
          <w:p w14:paraId="20B2C210" w14:textId="77777777" w:rsidR="00B2799D" w:rsidRPr="006C1447" w:rsidRDefault="00B2799D" w:rsidP="00126F3E">
            <w:pPr>
              <w:pStyle w:val="TableText"/>
              <w:rPr>
                <w:szCs w:val="20"/>
              </w:rPr>
            </w:pPr>
            <w:r w:rsidRPr="006C1447">
              <w:rPr>
                <w:szCs w:val="20"/>
              </w:rPr>
              <w:t>Restriction:</w:t>
            </w:r>
          </w:p>
        </w:tc>
        <w:tc>
          <w:tcPr>
            <w:tcW w:w="7028" w:type="dxa"/>
            <w:gridSpan w:val="5"/>
            <w:tcBorders>
              <w:left w:val="single" w:sz="4" w:space="0" w:color="auto"/>
              <w:right w:val="single" w:sz="4" w:space="0" w:color="auto"/>
            </w:tcBorders>
          </w:tcPr>
          <w:p w14:paraId="04CB9324" w14:textId="77777777" w:rsidR="00B2799D" w:rsidRPr="006C1447" w:rsidRDefault="00B2799D" w:rsidP="00126F3E">
            <w:pPr>
              <w:pStyle w:val="TableText"/>
              <w:rPr>
                <w:szCs w:val="20"/>
              </w:rPr>
            </w:pPr>
            <w:r w:rsidRPr="006C1447">
              <w:rPr>
                <w:szCs w:val="20"/>
              </w:rPr>
              <w:t>Authority required – written</w:t>
            </w:r>
          </w:p>
        </w:tc>
      </w:tr>
      <w:tr w:rsidR="00B2799D" w:rsidRPr="00903174" w14:paraId="63C8A55F" w14:textId="77777777" w:rsidTr="00126F3E">
        <w:trPr>
          <w:cantSplit/>
          <w:trHeight w:val="125"/>
        </w:trPr>
        <w:tc>
          <w:tcPr>
            <w:tcW w:w="2107" w:type="dxa"/>
            <w:tcBorders>
              <w:left w:val="single" w:sz="4" w:space="0" w:color="auto"/>
              <w:bottom w:val="single" w:sz="4" w:space="0" w:color="auto"/>
              <w:right w:val="single" w:sz="4" w:space="0" w:color="auto"/>
            </w:tcBorders>
          </w:tcPr>
          <w:p w14:paraId="5F120031" w14:textId="77777777" w:rsidR="00B2799D" w:rsidRPr="006C1447" w:rsidRDefault="00B2799D" w:rsidP="00126F3E">
            <w:pPr>
              <w:pStyle w:val="TableText"/>
              <w:rPr>
                <w:szCs w:val="20"/>
              </w:rPr>
            </w:pPr>
            <w:r w:rsidRPr="006C1447">
              <w:rPr>
                <w:szCs w:val="20"/>
              </w:rPr>
              <w:t>Treatment criteria:</w:t>
            </w:r>
          </w:p>
        </w:tc>
        <w:tc>
          <w:tcPr>
            <w:tcW w:w="7028" w:type="dxa"/>
            <w:gridSpan w:val="5"/>
            <w:tcBorders>
              <w:left w:val="single" w:sz="4" w:space="0" w:color="auto"/>
              <w:bottom w:val="single" w:sz="4" w:space="0" w:color="auto"/>
              <w:right w:val="single" w:sz="4" w:space="0" w:color="auto"/>
            </w:tcBorders>
          </w:tcPr>
          <w:p w14:paraId="509E4BA4" w14:textId="77777777" w:rsidR="00B2799D" w:rsidRPr="006C1447" w:rsidRDefault="00B2799D" w:rsidP="00126F3E">
            <w:pPr>
              <w:pStyle w:val="TableText"/>
              <w:rPr>
                <w:i/>
                <w:szCs w:val="20"/>
              </w:rPr>
            </w:pPr>
            <w:r w:rsidRPr="006C1447">
              <w:rPr>
                <w:strike/>
                <w:szCs w:val="20"/>
              </w:rPr>
              <w:t>Patient</w:t>
            </w:r>
            <w:r w:rsidRPr="006C1447">
              <w:rPr>
                <w:szCs w:val="20"/>
              </w:rPr>
              <w:t xml:space="preserve"> must be treated by a haematologist or in consultation with a haematologist </w:t>
            </w:r>
            <w:r w:rsidR="000F4DAD" w:rsidRPr="006C1447">
              <w:rPr>
                <w:i/>
                <w:szCs w:val="20"/>
              </w:rPr>
              <w:t xml:space="preserve">; </w:t>
            </w:r>
            <w:r w:rsidR="000F4DAD" w:rsidRPr="006C1447">
              <w:rPr>
                <w:rFonts w:cstheme="minorHAnsi"/>
                <w:i/>
                <w:szCs w:val="20"/>
              </w:rPr>
              <w:t>or Must be treated by a non-specialist medical physician who has consulted a haematologist on the patient’s drug treatment details</w:t>
            </w:r>
            <w:r w:rsidR="000F4DAD" w:rsidRPr="006C1447">
              <w:rPr>
                <w:i/>
                <w:szCs w:val="20"/>
              </w:rPr>
              <w:t xml:space="preserve">  </w:t>
            </w:r>
            <w:r w:rsidR="000F4DAD" w:rsidRPr="006C1447">
              <w:rPr>
                <w:color w:val="FF00FF"/>
                <w:szCs w:val="20"/>
              </w:rPr>
              <w:t xml:space="preserve"> </w:t>
            </w:r>
          </w:p>
        </w:tc>
      </w:tr>
      <w:tr w:rsidR="00B2799D" w:rsidRPr="00903174" w14:paraId="1F555DEC" w14:textId="77777777" w:rsidTr="00126F3E">
        <w:trPr>
          <w:cantSplit/>
          <w:trHeight w:val="840"/>
        </w:trPr>
        <w:tc>
          <w:tcPr>
            <w:tcW w:w="2107" w:type="dxa"/>
            <w:tcBorders>
              <w:left w:val="single" w:sz="4" w:space="0" w:color="auto"/>
              <w:right w:val="single" w:sz="4" w:space="0" w:color="auto"/>
            </w:tcBorders>
          </w:tcPr>
          <w:p w14:paraId="237D22B4" w14:textId="77777777" w:rsidR="00B2799D" w:rsidRPr="006C1447" w:rsidRDefault="00B2799D" w:rsidP="00126F3E">
            <w:pPr>
              <w:pStyle w:val="TableText"/>
              <w:rPr>
                <w:szCs w:val="20"/>
              </w:rPr>
            </w:pPr>
            <w:r w:rsidRPr="006C1447">
              <w:rPr>
                <w:szCs w:val="20"/>
              </w:rPr>
              <w:t>Clinical criteria:</w:t>
            </w:r>
          </w:p>
        </w:tc>
        <w:tc>
          <w:tcPr>
            <w:tcW w:w="7028" w:type="dxa"/>
            <w:gridSpan w:val="5"/>
            <w:tcBorders>
              <w:left w:val="single" w:sz="4" w:space="0" w:color="auto"/>
              <w:right w:val="single" w:sz="4" w:space="0" w:color="auto"/>
            </w:tcBorders>
          </w:tcPr>
          <w:p w14:paraId="12A90A2B" w14:textId="77777777" w:rsidR="00B2799D" w:rsidRPr="006C1447" w:rsidRDefault="00B2799D" w:rsidP="00126F3E">
            <w:pPr>
              <w:pStyle w:val="TableText"/>
              <w:rPr>
                <w:szCs w:val="20"/>
              </w:rPr>
            </w:pPr>
            <w:r w:rsidRPr="006C1447">
              <w:rPr>
                <w:szCs w:val="20"/>
              </w:rPr>
              <w:t xml:space="preserve">Patient must have a diagnosis of PNH established by flow cytometry </w:t>
            </w:r>
            <w:r w:rsidRPr="006C1447">
              <w:rPr>
                <w:strike/>
                <w:szCs w:val="20"/>
              </w:rPr>
              <w:t>and patient must have a PNH granulocyte clone size equal to or greater than 10%</w:t>
            </w:r>
            <w:r w:rsidRPr="006C1447">
              <w:rPr>
                <w:szCs w:val="20"/>
              </w:rPr>
              <w:t>, AND</w:t>
            </w:r>
          </w:p>
          <w:p w14:paraId="79F7BEA0" w14:textId="77777777" w:rsidR="00B2799D" w:rsidRPr="006C1447" w:rsidRDefault="00B2799D" w:rsidP="00126F3E">
            <w:pPr>
              <w:pStyle w:val="TableText"/>
              <w:rPr>
                <w:szCs w:val="20"/>
              </w:rPr>
            </w:pPr>
            <w:r w:rsidRPr="006C1447">
              <w:rPr>
                <w:szCs w:val="20"/>
              </w:rPr>
              <w:t xml:space="preserve">Patient must have a raised </w:t>
            </w:r>
            <w:r w:rsidRPr="006C1447">
              <w:rPr>
                <w:strike/>
                <w:szCs w:val="20"/>
              </w:rPr>
              <w:t>LDH</w:t>
            </w:r>
            <w:r w:rsidR="000F4DAD" w:rsidRPr="006C1447">
              <w:rPr>
                <w:strike/>
                <w:szCs w:val="20"/>
              </w:rPr>
              <w:t xml:space="preserve"> </w:t>
            </w:r>
            <w:r w:rsidR="000F4DAD" w:rsidRPr="006C1447">
              <w:rPr>
                <w:i/>
                <w:szCs w:val="20"/>
              </w:rPr>
              <w:t>lactate dehydrogenase</w:t>
            </w:r>
            <w:r w:rsidRPr="006C1447">
              <w:rPr>
                <w:szCs w:val="20"/>
              </w:rPr>
              <w:t xml:space="preserve"> value at least 1.5 times the</w:t>
            </w:r>
            <w:r w:rsidR="000F4DAD" w:rsidRPr="006C1447">
              <w:rPr>
                <w:szCs w:val="20"/>
              </w:rPr>
              <w:t xml:space="preserve"> </w:t>
            </w:r>
            <w:r w:rsidR="000F4DAD" w:rsidRPr="006C1447">
              <w:rPr>
                <w:i/>
                <w:szCs w:val="20"/>
              </w:rPr>
              <w:t>upper limit of normal</w:t>
            </w:r>
            <w:r w:rsidRPr="006C1447">
              <w:rPr>
                <w:szCs w:val="20"/>
              </w:rPr>
              <w:t xml:space="preserve"> </w:t>
            </w:r>
            <w:r w:rsidRPr="006C1447">
              <w:rPr>
                <w:strike/>
                <w:szCs w:val="20"/>
              </w:rPr>
              <w:t>ULN</w:t>
            </w:r>
            <w:r w:rsidRPr="006C1447">
              <w:rPr>
                <w:szCs w:val="20"/>
              </w:rPr>
              <w:t xml:space="preserve">, AND </w:t>
            </w:r>
          </w:p>
          <w:p w14:paraId="30590A5E" w14:textId="77777777" w:rsidR="00FE013F" w:rsidRPr="006C1447" w:rsidRDefault="00FE013F" w:rsidP="00126F3E">
            <w:pPr>
              <w:pStyle w:val="TableText"/>
              <w:rPr>
                <w:i/>
                <w:szCs w:val="20"/>
              </w:rPr>
            </w:pPr>
            <w:r w:rsidRPr="006C1447">
              <w:rPr>
                <w:i/>
                <w:szCs w:val="20"/>
              </w:rPr>
              <w:t>Patient must have received/ will receive a meningococcal vaccination at the time of initiating treatment that is documented in the patient’s medical records AND</w:t>
            </w:r>
          </w:p>
          <w:p w14:paraId="62EF96EE" w14:textId="77777777" w:rsidR="00B2799D" w:rsidRPr="006C1447" w:rsidRDefault="00B2799D" w:rsidP="00126F3E">
            <w:pPr>
              <w:pStyle w:val="TableText"/>
              <w:rPr>
                <w:szCs w:val="20"/>
              </w:rPr>
            </w:pPr>
            <w:r w:rsidRPr="006C1447">
              <w:rPr>
                <w:szCs w:val="20"/>
              </w:rPr>
              <w:t xml:space="preserve">Patient must have experienced a thrombotic </w:t>
            </w:r>
            <w:r w:rsidRPr="006C1447">
              <w:rPr>
                <w:strike/>
                <w:szCs w:val="20"/>
              </w:rPr>
              <w:t>or</w:t>
            </w:r>
            <w:r w:rsidR="00FE013F" w:rsidRPr="006C1447">
              <w:rPr>
                <w:i/>
                <w:szCs w:val="20"/>
              </w:rPr>
              <w:t>/</w:t>
            </w:r>
            <w:r w:rsidRPr="006C1447">
              <w:rPr>
                <w:szCs w:val="20"/>
              </w:rPr>
              <w:t xml:space="preserve"> embolic event which </w:t>
            </w:r>
            <w:r w:rsidRPr="006C1447">
              <w:rPr>
                <w:strike/>
                <w:szCs w:val="20"/>
              </w:rPr>
              <w:t>required the institution of therapeutic</w:t>
            </w:r>
            <w:r w:rsidRPr="006C1447">
              <w:rPr>
                <w:szCs w:val="20"/>
              </w:rPr>
              <w:t xml:space="preserve"> anticoagulant therapy, OR</w:t>
            </w:r>
          </w:p>
          <w:p w14:paraId="1C7E200D" w14:textId="77777777" w:rsidR="00B2799D" w:rsidRPr="006C1447" w:rsidRDefault="00B2799D" w:rsidP="00126F3E">
            <w:pPr>
              <w:pStyle w:val="TableText"/>
              <w:rPr>
                <w:szCs w:val="20"/>
              </w:rPr>
            </w:pPr>
            <w:r w:rsidRPr="006C1447">
              <w:rPr>
                <w:szCs w:val="20"/>
              </w:rPr>
              <w:t xml:space="preserve">Patient must have been transfused with at least 4 units of red blood cells in the last 12 months, OR </w:t>
            </w:r>
          </w:p>
          <w:p w14:paraId="2DA0424E" w14:textId="77777777" w:rsidR="00B2799D" w:rsidRPr="006C1447" w:rsidRDefault="00FE013F" w:rsidP="00126F3E">
            <w:pPr>
              <w:pStyle w:val="TableText"/>
              <w:rPr>
                <w:szCs w:val="20"/>
              </w:rPr>
            </w:pPr>
            <w:r w:rsidRPr="006C1447">
              <w:rPr>
                <w:szCs w:val="20"/>
              </w:rPr>
              <w:t xml:space="preserve">Patient must have chronic </w:t>
            </w:r>
            <w:r w:rsidRPr="006C1447">
              <w:rPr>
                <w:strike/>
                <w:szCs w:val="20"/>
              </w:rPr>
              <w:t>or</w:t>
            </w:r>
            <w:r w:rsidRPr="006C1447">
              <w:rPr>
                <w:szCs w:val="20"/>
              </w:rPr>
              <w:t xml:space="preserve"> </w:t>
            </w:r>
            <w:r w:rsidRPr="006C1447">
              <w:rPr>
                <w:i/>
                <w:szCs w:val="20"/>
              </w:rPr>
              <w:t>/</w:t>
            </w:r>
            <w:r w:rsidRPr="006C1447">
              <w:rPr>
                <w:szCs w:val="20"/>
              </w:rPr>
              <w:t>recurrent anaemia</w:t>
            </w:r>
            <w:r w:rsidRPr="006C1447">
              <w:rPr>
                <w:i/>
                <w:szCs w:val="20"/>
              </w:rPr>
              <w:t>,</w:t>
            </w:r>
            <w:r w:rsidRPr="006C1447">
              <w:rPr>
                <w:szCs w:val="20"/>
              </w:rPr>
              <w:t xml:space="preserve"> where causes other than haemolysis have been excluded, </w:t>
            </w:r>
            <w:r w:rsidRPr="006C1447">
              <w:rPr>
                <w:strike/>
                <w:szCs w:val="20"/>
              </w:rPr>
              <w:t>and demonstrated by more than one</w:t>
            </w:r>
            <w:r w:rsidRPr="006C1447">
              <w:rPr>
                <w:szCs w:val="20"/>
              </w:rPr>
              <w:t xml:space="preserve"> </w:t>
            </w:r>
            <w:r w:rsidRPr="006C1447">
              <w:rPr>
                <w:i/>
                <w:szCs w:val="20"/>
              </w:rPr>
              <w:t xml:space="preserve">together with multiple red blood cell </w:t>
            </w:r>
            <w:r w:rsidRPr="006C1447">
              <w:rPr>
                <w:szCs w:val="20"/>
              </w:rPr>
              <w:t>measure</w:t>
            </w:r>
            <w:r w:rsidRPr="006C1447">
              <w:rPr>
                <w:i/>
                <w:szCs w:val="20"/>
              </w:rPr>
              <w:t>ments</w:t>
            </w:r>
            <w:r w:rsidRPr="006C1447">
              <w:rPr>
                <w:szCs w:val="20"/>
              </w:rPr>
              <w:t xml:space="preserve"> </w:t>
            </w:r>
            <w:r w:rsidRPr="006C1447">
              <w:rPr>
                <w:strike/>
                <w:szCs w:val="20"/>
              </w:rPr>
              <w:t xml:space="preserve">of less than or equal to </w:t>
            </w:r>
            <w:r w:rsidRPr="006C1447">
              <w:rPr>
                <w:szCs w:val="20"/>
              </w:rPr>
              <w:t xml:space="preserve">not exceeding 70 g/L </w:t>
            </w:r>
            <w:r w:rsidRPr="006C1447">
              <w:rPr>
                <w:i/>
                <w:szCs w:val="20"/>
              </w:rPr>
              <w:t>in the absence of anaemia symptoms</w:t>
            </w:r>
            <w:r w:rsidR="00B2799D" w:rsidRPr="006C1447">
              <w:rPr>
                <w:szCs w:val="20"/>
              </w:rPr>
              <w:t>, OR</w:t>
            </w:r>
          </w:p>
          <w:p w14:paraId="781C6AEC" w14:textId="77777777" w:rsidR="00B2799D" w:rsidRPr="006C1447" w:rsidRDefault="00B2799D" w:rsidP="00126F3E">
            <w:pPr>
              <w:pStyle w:val="TableText"/>
              <w:rPr>
                <w:szCs w:val="20"/>
              </w:rPr>
            </w:pPr>
            <w:r w:rsidRPr="006C1447">
              <w:rPr>
                <w:szCs w:val="20"/>
              </w:rPr>
              <w:t xml:space="preserve">Patient must have debilitating shortness of breath and/or chest pain resulting in limitation of normal activity (New York Heart Association Class III) and/or established diagnosis of pulmonary arterial hypertension, where causes other than PNH have been excluded, OR </w:t>
            </w:r>
          </w:p>
          <w:p w14:paraId="753ECF99" w14:textId="77777777" w:rsidR="00B2799D" w:rsidRPr="006C1447" w:rsidRDefault="00B2799D" w:rsidP="00126F3E">
            <w:pPr>
              <w:pStyle w:val="TableText"/>
              <w:rPr>
                <w:szCs w:val="20"/>
              </w:rPr>
            </w:pPr>
            <w:r w:rsidRPr="006C1447">
              <w:rPr>
                <w:szCs w:val="20"/>
              </w:rPr>
              <w:t xml:space="preserve">Patient must have a history of renal insufficiency, demonstrated by an eGFR less than or equal to 60mL/min/1.73m2, where causes other than PNH have been excluded, OR </w:t>
            </w:r>
          </w:p>
          <w:p w14:paraId="05AF2822" w14:textId="77777777" w:rsidR="00B2799D" w:rsidRPr="006C1447" w:rsidRDefault="00B2799D" w:rsidP="00126F3E">
            <w:pPr>
              <w:pStyle w:val="TableText"/>
              <w:rPr>
                <w:szCs w:val="20"/>
              </w:rPr>
            </w:pPr>
            <w:r w:rsidRPr="006C1447">
              <w:rPr>
                <w:szCs w:val="20"/>
              </w:rPr>
              <w:t xml:space="preserve">Patients must have recurrent episodes of severe pain requiring hospitalisation and/or narcotic analgesia, where causes other than PNH have been excluded, AND </w:t>
            </w:r>
          </w:p>
          <w:p w14:paraId="2BA34418" w14:textId="77777777" w:rsidR="00B2799D" w:rsidRPr="006C1447" w:rsidRDefault="00B2799D" w:rsidP="00126F3E">
            <w:pPr>
              <w:pStyle w:val="TableText"/>
              <w:rPr>
                <w:szCs w:val="20"/>
              </w:rPr>
            </w:pPr>
            <w:r w:rsidRPr="006C1447">
              <w:rPr>
                <w:szCs w:val="20"/>
              </w:rPr>
              <w:t>Patients must not have a small granulocyte clone size</w:t>
            </w:r>
            <w:r w:rsidRPr="006C1447">
              <w:rPr>
                <w:strike/>
                <w:szCs w:val="20"/>
              </w:rPr>
              <w:t>:</w:t>
            </w:r>
            <w:r w:rsidRPr="006C1447">
              <w:rPr>
                <w:szCs w:val="20"/>
              </w:rPr>
              <w:t xml:space="preserve"> </w:t>
            </w:r>
            <w:r w:rsidR="00FE013F" w:rsidRPr="006C1447">
              <w:rPr>
                <w:i/>
                <w:szCs w:val="20"/>
              </w:rPr>
              <w:t>(</w:t>
            </w:r>
            <w:r w:rsidRPr="006C1447">
              <w:rPr>
                <w:szCs w:val="20"/>
              </w:rPr>
              <w:t>a granulocyte clone size below 10%</w:t>
            </w:r>
            <w:r w:rsidR="00FE013F" w:rsidRPr="006C1447">
              <w:rPr>
                <w:i/>
                <w:szCs w:val="20"/>
              </w:rPr>
              <w:t>)</w:t>
            </w:r>
            <w:r w:rsidRPr="006C1447">
              <w:rPr>
                <w:szCs w:val="20"/>
              </w:rPr>
              <w:t xml:space="preserve">, AND </w:t>
            </w:r>
          </w:p>
          <w:p w14:paraId="317818D9" w14:textId="77777777" w:rsidR="00B2799D" w:rsidRPr="006C1447" w:rsidRDefault="00FE013F" w:rsidP="00126F3E">
            <w:pPr>
              <w:pStyle w:val="TableText"/>
              <w:rPr>
                <w:szCs w:val="20"/>
              </w:rPr>
            </w:pPr>
            <w:r w:rsidRPr="006C1447">
              <w:rPr>
                <w:szCs w:val="20"/>
              </w:rPr>
              <w:t>Patient must not have aplastic anaemia (</w:t>
            </w:r>
            <w:r w:rsidRPr="006C1447">
              <w:rPr>
                <w:i/>
                <w:szCs w:val="20"/>
              </w:rPr>
              <w:t xml:space="preserve">having at least 2 </w:t>
            </w:r>
            <w:r w:rsidRPr="006C1447">
              <w:rPr>
                <w:szCs w:val="20"/>
              </w:rPr>
              <w:t>of the following</w:t>
            </w:r>
            <w:r w:rsidRPr="006C1447">
              <w:rPr>
                <w:i/>
                <w:szCs w:val="20"/>
              </w:rPr>
              <w:t xml:space="preserve"> indicates the presence of aplastic anaemia:</w:t>
            </w:r>
            <w:r w:rsidRPr="006C1447">
              <w:rPr>
                <w:szCs w:val="20"/>
              </w:rPr>
              <w:t xml:space="preserve"> neutrophil count below 0.5 x 10</w:t>
            </w:r>
            <w:r w:rsidRPr="006C1447">
              <w:rPr>
                <w:szCs w:val="20"/>
                <w:vertAlign w:val="superscript"/>
              </w:rPr>
              <w:t>9</w:t>
            </w:r>
            <w:r w:rsidRPr="006C1447">
              <w:rPr>
                <w:szCs w:val="20"/>
              </w:rPr>
              <w:t>/L, platelet count below 20 x 10</w:t>
            </w:r>
            <w:r w:rsidRPr="006C1447">
              <w:rPr>
                <w:szCs w:val="20"/>
                <w:vertAlign w:val="superscript"/>
              </w:rPr>
              <w:t>9</w:t>
            </w:r>
            <w:r w:rsidRPr="006C1447">
              <w:rPr>
                <w:szCs w:val="20"/>
              </w:rPr>
              <w:t>/L, reticulocytes below 25 x 10</w:t>
            </w:r>
            <w:r w:rsidRPr="006C1447">
              <w:rPr>
                <w:szCs w:val="20"/>
                <w:vertAlign w:val="superscript"/>
              </w:rPr>
              <w:t>9</w:t>
            </w:r>
            <w:r w:rsidRPr="006C1447">
              <w:rPr>
                <w:szCs w:val="20"/>
              </w:rPr>
              <w:t xml:space="preserve">/L, </w:t>
            </w:r>
            <w:r w:rsidRPr="006C1447">
              <w:rPr>
                <w:strike/>
                <w:szCs w:val="20"/>
              </w:rPr>
              <w:t>or</w:t>
            </w:r>
            <w:r w:rsidRPr="006C1447">
              <w:rPr>
                <w:szCs w:val="20"/>
              </w:rPr>
              <w:t xml:space="preserve"> severe bone marrow hypocellularity)</w:t>
            </w:r>
            <w:r w:rsidR="00B2799D" w:rsidRPr="006C1447">
              <w:rPr>
                <w:szCs w:val="20"/>
              </w:rPr>
              <w:t xml:space="preserve">, AND </w:t>
            </w:r>
          </w:p>
          <w:p w14:paraId="675E0549" w14:textId="77777777" w:rsidR="00B2799D" w:rsidRPr="006C1447" w:rsidRDefault="00B2799D" w:rsidP="00126F3E">
            <w:pPr>
              <w:pStyle w:val="TableText"/>
              <w:rPr>
                <w:szCs w:val="20"/>
              </w:rPr>
            </w:pPr>
            <w:r w:rsidRPr="006C1447">
              <w:rPr>
                <w:szCs w:val="20"/>
              </w:rPr>
              <w:t>Patient must not have another life threatening or severe disease where the long-term prognosis is unlikely to be influenced by therapy (</w:t>
            </w:r>
            <w:r w:rsidRPr="006C1447">
              <w:rPr>
                <w:strike/>
                <w:szCs w:val="20"/>
              </w:rPr>
              <w:t>for example</w:t>
            </w:r>
            <w:r w:rsidR="00FE013F" w:rsidRPr="006C1447">
              <w:rPr>
                <w:strike/>
                <w:szCs w:val="20"/>
              </w:rPr>
              <w:t xml:space="preserve"> </w:t>
            </w:r>
            <w:r w:rsidR="00FE013F" w:rsidRPr="006C1447">
              <w:rPr>
                <w:i/>
                <w:szCs w:val="20"/>
              </w:rPr>
              <w:t>e.g.</w:t>
            </w:r>
            <w:r w:rsidRPr="006C1447">
              <w:rPr>
                <w:szCs w:val="20"/>
              </w:rPr>
              <w:t xml:space="preserve"> acute myeloid leukaemia </w:t>
            </w:r>
            <w:r w:rsidRPr="006C1447">
              <w:rPr>
                <w:strike/>
                <w:szCs w:val="20"/>
              </w:rPr>
              <w:t>or</w:t>
            </w:r>
            <w:r w:rsidRPr="006C1447">
              <w:rPr>
                <w:szCs w:val="20"/>
              </w:rPr>
              <w:t xml:space="preserve"> </w:t>
            </w:r>
            <w:r w:rsidR="00FE013F" w:rsidRPr="006C1447">
              <w:rPr>
                <w:i/>
                <w:szCs w:val="20"/>
              </w:rPr>
              <w:t>I</w:t>
            </w:r>
            <w:r w:rsidRPr="006C1447">
              <w:rPr>
                <w:szCs w:val="20"/>
              </w:rPr>
              <w:t xml:space="preserve">high-risk myelodysplastic syndrome), AND </w:t>
            </w:r>
          </w:p>
          <w:p w14:paraId="1CFDB42A" w14:textId="77777777" w:rsidR="00B2799D" w:rsidRPr="006C1447" w:rsidRDefault="00B2799D" w:rsidP="00126F3E">
            <w:pPr>
              <w:pStyle w:val="TableText"/>
              <w:rPr>
                <w:szCs w:val="20"/>
              </w:rPr>
            </w:pPr>
            <w:r w:rsidRPr="006C1447">
              <w:rPr>
                <w:szCs w:val="20"/>
              </w:rPr>
              <w:t xml:space="preserve">Patient must not have another medical condition that might reasonably be expected to compromise a response to therapy, AND </w:t>
            </w:r>
          </w:p>
          <w:p w14:paraId="4BF55F49" w14:textId="77777777" w:rsidR="00B2799D" w:rsidRPr="006C1447" w:rsidRDefault="00B2799D" w:rsidP="00126F3E">
            <w:pPr>
              <w:pStyle w:val="TableText"/>
              <w:rPr>
                <w:szCs w:val="20"/>
              </w:rPr>
            </w:pPr>
            <w:r w:rsidRPr="006C1447">
              <w:rPr>
                <w:szCs w:val="20"/>
              </w:rPr>
              <w:t>Patient must not be currently participating in a clinical trial</w:t>
            </w:r>
          </w:p>
        </w:tc>
      </w:tr>
      <w:tr w:rsidR="00B2799D" w:rsidRPr="00903174" w14:paraId="02FCDB36" w14:textId="77777777" w:rsidTr="00126F3E">
        <w:trPr>
          <w:cantSplit/>
          <w:trHeight w:val="64"/>
        </w:trPr>
        <w:tc>
          <w:tcPr>
            <w:tcW w:w="2107" w:type="dxa"/>
            <w:tcBorders>
              <w:left w:val="single" w:sz="4" w:space="0" w:color="auto"/>
              <w:right w:val="single" w:sz="4" w:space="0" w:color="auto"/>
            </w:tcBorders>
          </w:tcPr>
          <w:p w14:paraId="2900D784" w14:textId="77777777" w:rsidR="00B2799D" w:rsidRPr="00903174" w:rsidRDefault="00B2799D" w:rsidP="00126F3E">
            <w:pPr>
              <w:pStyle w:val="TableText"/>
            </w:pPr>
            <w:r w:rsidRPr="00903174">
              <w:t>Population criteria:</w:t>
            </w:r>
          </w:p>
        </w:tc>
        <w:tc>
          <w:tcPr>
            <w:tcW w:w="7028" w:type="dxa"/>
            <w:gridSpan w:val="5"/>
            <w:tcBorders>
              <w:left w:val="single" w:sz="4" w:space="0" w:color="auto"/>
              <w:right w:val="single" w:sz="4" w:space="0" w:color="auto"/>
            </w:tcBorders>
          </w:tcPr>
          <w:p w14:paraId="20589FF2" w14:textId="77777777" w:rsidR="00B2799D" w:rsidRPr="00903174" w:rsidRDefault="00B2799D" w:rsidP="00126F3E">
            <w:pPr>
              <w:pStyle w:val="TableText"/>
            </w:pPr>
            <w:r w:rsidRPr="00903174">
              <w:t xml:space="preserve">Patients must be </w:t>
            </w:r>
            <w:r w:rsidRPr="00903174">
              <w:rPr>
                <w:strike/>
              </w:rPr>
              <w:t>aged</w:t>
            </w:r>
            <w:r w:rsidRPr="00903174">
              <w:t xml:space="preserve"> 18 years or older</w:t>
            </w:r>
          </w:p>
        </w:tc>
      </w:tr>
      <w:tr w:rsidR="00FE013F" w:rsidRPr="00903174" w14:paraId="6E1BABF2" w14:textId="77777777" w:rsidTr="00126F3E">
        <w:trPr>
          <w:cantSplit/>
          <w:trHeight w:val="64"/>
        </w:trPr>
        <w:tc>
          <w:tcPr>
            <w:tcW w:w="2107" w:type="dxa"/>
            <w:tcBorders>
              <w:left w:val="single" w:sz="4" w:space="0" w:color="auto"/>
              <w:right w:val="single" w:sz="4" w:space="0" w:color="auto"/>
            </w:tcBorders>
          </w:tcPr>
          <w:p w14:paraId="3972675B" w14:textId="77777777" w:rsidR="00FE013F" w:rsidRPr="006C1447" w:rsidRDefault="00FE013F" w:rsidP="00FE013F">
            <w:pPr>
              <w:rPr>
                <w:rFonts w:ascii="Arial Narrow" w:hAnsi="Arial Narrow"/>
                <w:sz w:val="20"/>
                <w:szCs w:val="20"/>
                <w:u w:val="single"/>
              </w:rPr>
            </w:pPr>
            <w:r w:rsidRPr="006C1447">
              <w:rPr>
                <w:rFonts w:ascii="Arial Narrow" w:hAnsi="Arial Narrow"/>
                <w:strike/>
                <w:sz w:val="20"/>
                <w:szCs w:val="20"/>
              </w:rPr>
              <w:t>Administrative Advice</w:t>
            </w:r>
            <w:r w:rsidRPr="006C1447">
              <w:rPr>
                <w:rFonts w:ascii="Arial Narrow" w:hAnsi="Arial Narrow"/>
                <w:sz w:val="20"/>
                <w:szCs w:val="20"/>
              </w:rPr>
              <w:t xml:space="preserve"> </w:t>
            </w:r>
            <w:r w:rsidRPr="006C1447">
              <w:rPr>
                <w:rFonts w:ascii="Arial Narrow" w:hAnsi="Arial Narrow"/>
                <w:i/>
                <w:sz w:val="20"/>
                <w:szCs w:val="20"/>
              </w:rPr>
              <w:t>Prescribing instructions</w:t>
            </w:r>
            <w:r w:rsidRPr="006C1447">
              <w:rPr>
                <w:rFonts w:ascii="Arial Narrow" w:hAnsi="Arial Narrow"/>
                <w:sz w:val="20"/>
                <w:szCs w:val="20"/>
              </w:rPr>
              <w:t>:</w:t>
            </w:r>
          </w:p>
          <w:p w14:paraId="74F3E580" w14:textId="77777777" w:rsidR="00FE013F" w:rsidRPr="006C1447" w:rsidRDefault="00FE013F" w:rsidP="00126F3E">
            <w:pPr>
              <w:pStyle w:val="TableText"/>
              <w:rPr>
                <w:szCs w:val="20"/>
              </w:rPr>
            </w:pPr>
          </w:p>
        </w:tc>
        <w:tc>
          <w:tcPr>
            <w:tcW w:w="7028" w:type="dxa"/>
            <w:gridSpan w:val="5"/>
            <w:tcBorders>
              <w:left w:val="single" w:sz="4" w:space="0" w:color="auto"/>
              <w:right w:val="single" w:sz="4" w:space="0" w:color="auto"/>
            </w:tcBorders>
          </w:tcPr>
          <w:p w14:paraId="4BB84F5E" w14:textId="77777777" w:rsidR="00FE013F" w:rsidRPr="006C1447" w:rsidRDefault="00FE013F" w:rsidP="00FE013F">
            <w:pPr>
              <w:rPr>
                <w:rFonts w:ascii="Arial Narrow" w:hAnsi="Arial Narrow"/>
                <w:strike/>
                <w:sz w:val="20"/>
                <w:szCs w:val="20"/>
                <w:u w:val="single"/>
              </w:rPr>
            </w:pPr>
            <w:r w:rsidRPr="006C1447">
              <w:rPr>
                <w:rFonts w:ascii="Arial Narrow" w:hAnsi="Arial Narrow"/>
                <w:strike/>
                <w:sz w:val="20"/>
                <w:szCs w:val="20"/>
                <w:u w:val="single"/>
              </w:rPr>
              <w:t>Note:</w:t>
            </w:r>
          </w:p>
          <w:p w14:paraId="78C9AA54" w14:textId="77777777" w:rsidR="00FE013F" w:rsidRPr="006C1447" w:rsidRDefault="00FE013F" w:rsidP="00FE013F">
            <w:pPr>
              <w:rPr>
                <w:rFonts w:ascii="Arial Narrow" w:hAnsi="Arial Narrow"/>
                <w:strike/>
                <w:sz w:val="20"/>
                <w:szCs w:val="20"/>
              </w:rPr>
            </w:pPr>
            <w:r w:rsidRPr="006C1447">
              <w:rPr>
                <w:rFonts w:ascii="Arial Narrow" w:hAnsi="Arial Narrow"/>
                <w:strike/>
                <w:sz w:val="20"/>
                <w:szCs w:val="20"/>
              </w:rPr>
              <w:t xml:space="preserve">At the time of authority application, medical practitioners request the appropriate number of vials to provide sufficient drug for 2 infusions (1 loading dose plus 1 maintenance doses) according to the specified dosage in the approved Product Information (PI). </w:t>
            </w:r>
          </w:p>
          <w:p w14:paraId="6B9848E8" w14:textId="77777777" w:rsidR="00FE013F" w:rsidRPr="006C1447" w:rsidRDefault="00FE013F" w:rsidP="00FE013F">
            <w:pPr>
              <w:rPr>
                <w:rFonts w:ascii="Arial Narrow" w:hAnsi="Arial Narrow"/>
                <w:sz w:val="20"/>
                <w:szCs w:val="20"/>
              </w:rPr>
            </w:pPr>
          </w:p>
          <w:p w14:paraId="4C31D7CE" w14:textId="77777777" w:rsidR="00FE013F" w:rsidRPr="006C1447" w:rsidRDefault="00FE013F" w:rsidP="00FE013F">
            <w:pPr>
              <w:rPr>
                <w:rFonts w:ascii="Arial Narrow" w:hAnsi="Arial Narrow"/>
                <w:i/>
                <w:sz w:val="20"/>
                <w:szCs w:val="20"/>
              </w:rPr>
            </w:pPr>
            <w:r w:rsidRPr="006C1447">
              <w:rPr>
                <w:rFonts w:ascii="Arial Narrow" w:hAnsi="Arial Narrow"/>
                <w:i/>
                <w:sz w:val="20"/>
                <w:szCs w:val="20"/>
              </w:rPr>
              <w:t>At the time of the authority application, medical practitioners should request the appropriate number of vials</w:t>
            </w:r>
            <w:r w:rsidRPr="006C1447">
              <w:rPr>
                <w:rFonts w:ascii="Arial Narrow" w:hAnsi="Arial Narrow"/>
                <w:i/>
                <w:strike/>
                <w:sz w:val="20"/>
                <w:szCs w:val="20"/>
              </w:rPr>
              <w:t>,</w:t>
            </w:r>
            <w:r w:rsidRPr="006C1447">
              <w:rPr>
                <w:rFonts w:ascii="Arial Narrow" w:hAnsi="Arial Narrow"/>
                <w:i/>
                <w:sz w:val="20"/>
                <w:szCs w:val="20"/>
              </w:rPr>
              <w:t xml:space="preserve"> to provide for </w:t>
            </w:r>
            <w:r w:rsidRPr="006C1447">
              <w:rPr>
                <w:rFonts w:ascii="Arial Narrow" w:hAnsi="Arial Narrow"/>
                <w:i/>
                <w:strike/>
                <w:sz w:val="20"/>
                <w:szCs w:val="20"/>
              </w:rPr>
              <w:t xml:space="preserve">a single infusion of 300 mg per dose </w:t>
            </w:r>
            <w:r w:rsidRPr="006C1447">
              <w:rPr>
                <w:rFonts w:ascii="Arial Narrow" w:hAnsi="Arial Narrow"/>
                <w:i/>
                <w:sz w:val="20"/>
                <w:szCs w:val="20"/>
              </w:rPr>
              <w:t xml:space="preserve">sufficient drug to cover the loading dose and 1 dose after the loading dose based on the patient’s weight and the Product Information. For a patient weight range of 60-100-kg, request </w:t>
            </w:r>
            <w:r w:rsidR="00DF28C6">
              <w:rPr>
                <w:rFonts w:ascii="Arial Narrow" w:hAnsi="Arial Narrow"/>
                <w:i/>
                <w:noProof/>
                <w:color w:val="000000"/>
                <w:sz w:val="20"/>
                <w:szCs w:val="20"/>
                <w:highlight w:val="black"/>
              </w:rPr>
              <w:t>'''''''</w:t>
            </w:r>
            <w:r w:rsidRPr="006C1447">
              <w:rPr>
                <w:rFonts w:ascii="Arial Narrow" w:hAnsi="Arial Narrow"/>
                <w:i/>
                <w:sz w:val="20"/>
                <w:szCs w:val="20"/>
              </w:rPr>
              <w:t xml:space="preserve"> Vials and Nil repeats. For patients weighing less than ≥40 to &lt;60 kg, no more than </w:t>
            </w:r>
            <w:r w:rsidR="00DF28C6">
              <w:rPr>
                <w:rFonts w:ascii="Arial Narrow" w:hAnsi="Arial Narrow"/>
                <w:i/>
                <w:noProof/>
                <w:color w:val="000000"/>
                <w:sz w:val="20"/>
                <w:szCs w:val="20"/>
                <w:highlight w:val="black"/>
              </w:rPr>
              <w:t>''''''</w:t>
            </w:r>
            <w:r w:rsidRPr="006C1447">
              <w:rPr>
                <w:rFonts w:ascii="Arial Narrow" w:hAnsi="Arial Narrow"/>
                <w:i/>
                <w:sz w:val="20"/>
                <w:szCs w:val="20"/>
              </w:rPr>
              <w:t xml:space="preserve"> vials should be prescribed. For patients weighing more than 100 kg, an increased maximum quantity should be sought. A maximum quantity of </w:t>
            </w:r>
            <w:r w:rsidR="00DF28C6">
              <w:rPr>
                <w:rFonts w:ascii="Arial Narrow" w:hAnsi="Arial Narrow"/>
                <w:i/>
                <w:noProof/>
                <w:color w:val="000000"/>
                <w:sz w:val="20"/>
                <w:szCs w:val="20"/>
                <w:highlight w:val="black"/>
              </w:rPr>
              <w:t>'''''</w:t>
            </w:r>
            <w:r w:rsidRPr="006C1447">
              <w:rPr>
                <w:rFonts w:ascii="Arial Narrow" w:hAnsi="Arial Narrow"/>
                <w:i/>
                <w:sz w:val="20"/>
                <w:szCs w:val="20"/>
              </w:rPr>
              <w:t xml:space="preserve"> vials may be approved.</w:t>
            </w:r>
          </w:p>
          <w:p w14:paraId="2F30C67D" w14:textId="77777777" w:rsidR="00FE013F" w:rsidRPr="006C1447" w:rsidRDefault="00FE013F" w:rsidP="00FE013F">
            <w:pPr>
              <w:rPr>
                <w:rFonts w:ascii="Arial Narrow" w:hAnsi="Arial Narrow"/>
                <w:sz w:val="20"/>
                <w:szCs w:val="20"/>
              </w:rPr>
            </w:pPr>
          </w:p>
          <w:p w14:paraId="7D3B7C47" w14:textId="77777777" w:rsidR="00FE013F" w:rsidRPr="006C1447" w:rsidRDefault="00FE013F" w:rsidP="00FE013F">
            <w:pPr>
              <w:pStyle w:val="TableText"/>
              <w:rPr>
                <w:szCs w:val="20"/>
              </w:rPr>
            </w:pPr>
            <w:r w:rsidRPr="006C1447">
              <w:rPr>
                <w:strike/>
                <w:szCs w:val="20"/>
              </w:rPr>
              <w:t>Applications for treatment with this drug where the dose and dosing frequency exceeds that specified in the approved Product Information will not be approved.</w:t>
            </w:r>
          </w:p>
        </w:tc>
      </w:tr>
      <w:tr w:rsidR="00FE013F" w:rsidRPr="00903174" w14:paraId="18397698" w14:textId="77777777" w:rsidTr="00126F3E">
        <w:trPr>
          <w:cantSplit/>
          <w:trHeight w:val="64"/>
        </w:trPr>
        <w:tc>
          <w:tcPr>
            <w:tcW w:w="2107" w:type="dxa"/>
            <w:tcBorders>
              <w:left w:val="single" w:sz="4" w:space="0" w:color="auto"/>
              <w:right w:val="single" w:sz="4" w:space="0" w:color="auto"/>
            </w:tcBorders>
          </w:tcPr>
          <w:p w14:paraId="36A0625E" w14:textId="77777777" w:rsidR="00FE013F" w:rsidRPr="006C1447" w:rsidRDefault="00FE013F" w:rsidP="00126F3E">
            <w:pPr>
              <w:pStyle w:val="TableText"/>
              <w:rPr>
                <w:i/>
                <w:szCs w:val="20"/>
              </w:rPr>
            </w:pPr>
            <w:r w:rsidRPr="006C1447">
              <w:rPr>
                <w:i/>
                <w:szCs w:val="20"/>
              </w:rPr>
              <w:lastRenderedPageBreak/>
              <w:t>Administrative Advice</w:t>
            </w:r>
          </w:p>
        </w:tc>
        <w:tc>
          <w:tcPr>
            <w:tcW w:w="7028" w:type="dxa"/>
            <w:gridSpan w:val="5"/>
            <w:tcBorders>
              <w:left w:val="single" w:sz="4" w:space="0" w:color="auto"/>
              <w:right w:val="single" w:sz="4" w:space="0" w:color="auto"/>
            </w:tcBorders>
          </w:tcPr>
          <w:p w14:paraId="41EA88F0" w14:textId="77777777" w:rsidR="00FE013F" w:rsidRPr="006C1447" w:rsidRDefault="00FE013F" w:rsidP="00FE013F">
            <w:pPr>
              <w:rPr>
                <w:rFonts w:ascii="Arial Narrow" w:hAnsi="Arial Narrow"/>
                <w:i/>
                <w:sz w:val="20"/>
                <w:szCs w:val="20"/>
              </w:rPr>
            </w:pPr>
            <w:r w:rsidRPr="006C1447">
              <w:rPr>
                <w:rFonts w:ascii="Arial Narrow" w:hAnsi="Arial Narrow"/>
                <w:i/>
                <w:sz w:val="20"/>
                <w:szCs w:val="20"/>
              </w:rPr>
              <w:t>Any queries concerning the arrangements to prescribe may be directed to Services Australia on 1800 700 270 (hours of operation 8 a.m. to 5 p.m. EST Monday to Friday).</w:t>
            </w:r>
          </w:p>
          <w:p w14:paraId="5D944264" w14:textId="77777777" w:rsidR="00FE013F" w:rsidRPr="006C1447" w:rsidRDefault="00FE013F" w:rsidP="00FE013F">
            <w:pPr>
              <w:rPr>
                <w:rFonts w:ascii="Arial Narrow" w:hAnsi="Arial Narrow"/>
                <w:i/>
                <w:sz w:val="20"/>
                <w:szCs w:val="20"/>
              </w:rPr>
            </w:pPr>
          </w:p>
          <w:p w14:paraId="1BC3E30D" w14:textId="77777777" w:rsidR="00FE013F" w:rsidRPr="006C1447" w:rsidRDefault="00FE013F" w:rsidP="00FE013F">
            <w:pPr>
              <w:rPr>
                <w:rFonts w:ascii="Arial Narrow" w:hAnsi="Arial Narrow"/>
                <w:i/>
                <w:sz w:val="20"/>
                <w:szCs w:val="20"/>
              </w:rPr>
            </w:pPr>
            <w:r w:rsidRPr="006C1447">
              <w:rPr>
                <w:rFonts w:ascii="Arial Narrow" w:hAnsi="Arial Narrow"/>
                <w:i/>
                <w:sz w:val="20"/>
                <w:szCs w:val="20"/>
              </w:rPr>
              <w:t xml:space="preserve">Prescribing information (including Authority Application forms and other relevant documentation as applicable) is available on the Services Australia website at </w:t>
            </w:r>
            <w:r w:rsidRPr="00DF28C6">
              <w:rPr>
                <w:rFonts w:ascii="Arial Narrow" w:hAnsi="Arial Narrow"/>
                <w:i/>
                <w:sz w:val="20"/>
                <w:szCs w:val="20"/>
              </w:rPr>
              <w:t>www.servicesaustralia.gov.au</w:t>
            </w:r>
          </w:p>
          <w:p w14:paraId="44EA32B4" w14:textId="77777777" w:rsidR="00FE013F" w:rsidRPr="006C1447" w:rsidRDefault="00FE013F" w:rsidP="00FE013F">
            <w:pPr>
              <w:rPr>
                <w:rFonts w:ascii="Arial Narrow" w:hAnsi="Arial Narrow"/>
                <w:i/>
                <w:sz w:val="20"/>
                <w:szCs w:val="20"/>
              </w:rPr>
            </w:pPr>
          </w:p>
          <w:p w14:paraId="67A7FA15" w14:textId="77777777" w:rsidR="00FE013F" w:rsidRPr="006C1447" w:rsidRDefault="00FE013F" w:rsidP="00FE013F">
            <w:pPr>
              <w:rPr>
                <w:rFonts w:ascii="Arial Narrow" w:hAnsi="Arial Narrow"/>
                <w:i/>
                <w:sz w:val="20"/>
                <w:szCs w:val="20"/>
              </w:rPr>
            </w:pPr>
            <w:r w:rsidRPr="006C1447">
              <w:rPr>
                <w:rFonts w:ascii="Arial Narrow" w:hAnsi="Arial Narrow"/>
                <w:i/>
                <w:sz w:val="20"/>
                <w:szCs w:val="20"/>
              </w:rPr>
              <w:t>Applications for authority to prescribe should be submitted online using the form upload facility in Health Professional Online Services (HPOS) at www.servicesaustralia.gov.au/hpos</w:t>
            </w:r>
          </w:p>
          <w:p w14:paraId="3231D78A" w14:textId="77777777" w:rsidR="00FE013F" w:rsidRPr="006C1447" w:rsidRDefault="00FE013F" w:rsidP="00FE013F">
            <w:pPr>
              <w:rPr>
                <w:rFonts w:ascii="Arial Narrow" w:hAnsi="Arial Narrow"/>
                <w:i/>
                <w:sz w:val="20"/>
                <w:szCs w:val="20"/>
              </w:rPr>
            </w:pPr>
          </w:p>
          <w:p w14:paraId="3D268FCA" w14:textId="77777777" w:rsidR="00FE013F" w:rsidRPr="006C1447" w:rsidRDefault="00FE013F" w:rsidP="00FE013F">
            <w:pPr>
              <w:rPr>
                <w:rFonts w:ascii="Arial Narrow" w:hAnsi="Arial Narrow"/>
                <w:i/>
                <w:sz w:val="20"/>
                <w:szCs w:val="20"/>
              </w:rPr>
            </w:pPr>
            <w:r w:rsidRPr="006C1447">
              <w:rPr>
                <w:rFonts w:ascii="Arial Narrow" w:hAnsi="Arial Narrow"/>
                <w:i/>
                <w:sz w:val="20"/>
                <w:szCs w:val="20"/>
              </w:rPr>
              <w:t>Or mailed to:</w:t>
            </w:r>
          </w:p>
          <w:p w14:paraId="0B671D3D" w14:textId="77777777" w:rsidR="00FE013F" w:rsidRPr="006C1447" w:rsidRDefault="00FE013F" w:rsidP="00FE013F">
            <w:pPr>
              <w:rPr>
                <w:rFonts w:ascii="Arial Narrow" w:hAnsi="Arial Narrow"/>
                <w:i/>
                <w:sz w:val="20"/>
                <w:szCs w:val="20"/>
              </w:rPr>
            </w:pPr>
            <w:r w:rsidRPr="006C1447">
              <w:rPr>
                <w:rFonts w:ascii="Arial Narrow" w:hAnsi="Arial Narrow"/>
                <w:i/>
                <w:sz w:val="20"/>
                <w:szCs w:val="20"/>
              </w:rPr>
              <w:t>Services Australia</w:t>
            </w:r>
          </w:p>
          <w:p w14:paraId="0DD9735F" w14:textId="77777777" w:rsidR="00FE013F" w:rsidRPr="006C1447" w:rsidRDefault="00FE013F" w:rsidP="00FE013F">
            <w:pPr>
              <w:rPr>
                <w:rFonts w:ascii="Arial Narrow" w:hAnsi="Arial Narrow"/>
                <w:i/>
                <w:sz w:val="20"/>
                <w:szCs w:val="20"/>
              </w:rPr>
            </w:pPr>
            <w:r w:rsidRPr="006C1447">
              <w:rPr>
                <w:rFonts w:ascii="Arial Narrow" w:hAnsi="Arial Narrow"/>
                <w:i/>
                <w:sz w:val="20"/>
                <w:szCs w:val="20"/>
              </w:rPr>
              <w:t>Complex Drugs</w:t>
            </w:r>
          </w:p>
          <w:p w14:paraId="6A2BBE8E" w14:textId="77777777" w:rsidR="00FE013F" w:rsidRPr="006C1447" w:rsidRDefault="00FE013F" w:rsidP="00FE013F">
            <w:pPr>
              <w:rPr>
                <w:rFonts w:ascii="Arial Narrow" w:hAnsi="Arial Narrow"/>
                <w:i/>
                <w:sz w:val="20"/>
                <w:szCs w:val="20"/>
              </w:rPr>
            </w:pPr>
            <w:r w:rsidRPr="006C1447">
              <w:rPr>
                <w:rFonts w:ascii="Arial Narrow" w:hAnsi="Arial Narrow"/>
                <w:i/>
                <w:sz w:val="20"/>
                <w:szCs w:val="20"/>
              </w:rPr>
              <w:t>Reply Paid 9826</w:t>
            </w:r>
          </w:p>
          <w:p w14:paraId="2B3A2C86" w14:textId="77777777" w:rsidR="00FE013F" w:rsidRPr="006C1447" w:rsidRDefault="00FE013F" w:rsidP="00FE013F">
            <w:pPr>
              <w:pStyle w:val="TableText"/>
              <w:rPr>
                <w:i/>
                <w:szCs w:val="20"/>
              </w:rPr>
            </w:pPr>
            <w:r w:rsidRPr="006C1447">
              <w:rPr>
                <w:i/>
                <w:szCs w:val="20"/>
              </w:rPr>
              <w:t>HOBART TAS 7001</w:t>
            </w:r>
          </w:p>
          <w:p w14:paraId="71CAC979" w14:textId="77777777" w:rsidR="00FE013F" w:rsidRPr="006C1447" w:rsidRDefault="00FE013F" w:rsidP="00FE013F">
            <w:pPr>
              <w:pStyle w:val="TableText"/>
              <w:rPr>
                <w:i/>
                <w:szCs w:val="20"/>
              </w:rPr>
            </w:pPr>
          </w:p>
          <w:p w14:paraId="0BA01B06" w14:textId="77777777" w:rsidR="00FE013F" w:rsidRPr="006C1447" w:rsidRDefault="00FE013F" w:rsidP="00FE013F">
            <w:pPr>
              <w:pStyle w:val="TableText"/>
              <w:rPr>
                <w:szCs w:val="20"/>
              </w:rPr>
            </w:pPr>
            <w:r w:rsidRPr="006C1447">
              <w:rPr>
                <w:i/>
                <w:szCs w:val="20"/>
              </w:rPr>
              <w:t>No increase in the maximum number of repeats may be authorised.</w:t>
            </w:r>
          </w:p>
        </w:tc>
      </w:tr>
      <w:tr w:rsidR="00FE013F" w:rsidRPr="00903174" w14:paraId="7A2DB25B" w14:textId="77777777" w:rsidTr="00126F3E">
        <w:trPr>
          <w:cantSplit/>
          <w:trHeight w:val="64"/>
        </w:trPr>
        <w:tc>
          <w:tcPr>
            <w:tcW w:w="2107" w:type="dxa"/>
            <w:tcBorders>
              <w:left w:val="single" w:sz="4" w:space="0" w:color="auto"/>
              <w:right w:val="single" w:sz="4" w:space="0" w:color="auto"/>
            </w:tcBorders>
          </w:tcPr>
          <w:p w14:paraId="6F876EA5" w14:textId="77777777" w:rsidR="00FE013F" w:rsidRPr="006C1447" w:rsidRDefault="00FE013F" w:rsidP="00126F3E">
            <w:pPr>
              <w:pStyle w:val="TableText"/>
              <w:rPr>
                <w:szCs w:val="20"/>
              </w:rPr>
            </w:pPr>
            <w:r w:rsidRPr="006C1447">
              <w:rPr>
                <w:szCs w:val="20"/>
              </w:rPr>
              <w:t>Caution:</w:t>
            </w:r>
          </w:p>
        </w:tc>
        <w:tc>
          <w:tcPr>
            <w:tcW w:w="7028" w:type="dxa"/>
            <w:gridSpan w:val="5"/>
            <w:tcBorders>
              <w:left w:val="single" w:sz="4" w:space="0" w:color="auto"/>
              <w:right w:val="single" w:sz="4" w:space="0" w:color="auto"/>
            </w:tcBorders>
          </w:tcPr>
          <w:p w14:paraId="39ACB072" w14:textId="77777777" w:rsidR="00FE013F" w:rsidRPr="006C1447" w:rsidRDefault="00FE013F" w:rsidP="00FE013F">
            <w:pPr>
              <w:rPr>
                <w:rFonts w:ascii="Arial Narrow" w:hAnsi="Arial Narrow"/>
                <w:sz w:val="20"/>
                <w:szCs w:val="20"/>
              </w:rPr>
            </w:pPr>
            <w:r w:rsidRPr="006C1447">
              <w:rPr>
                <w:rFonts w:ascii="Arial Narrow" w:hAnsi="Arial Narrow"/>
                <w:sz w:val="20"/>
                <w:szCs w:val="20"/>
              </w:rPr>
              <w:t xml:space="preserve">WARNING: </w:t>
            </w:r>
            <w:r w:rsidRPr="006C1447">
              <w:rPr>
                <w:rFonts w:ascii="Arial Narrow" w:hAnsi="Arial Narrow"/>
                <w:strike/>
                <w:sz w:val="20"/>
                <w:szCs w:val="20"/>
              </w:rPr>
              <w:t>Eculizumab</w:t>
            </w:r>
            <w:r w:rsidRPr="006C1447">
              <w:rPr>
                <w:rFonts w:ascii="Arial Narrow" w:hAnsi="Arial Narrow"/>
                <w:sz w:val="20"/>
                <w:szCs w:val="20"/>
              </w:rPr>
              <w:t xml:space="preserve"> </w:t>
            </w:r>
            <w:r w:rsidRPr="006C1447">
              <w:rPr>
                <w:rFonts w:ascii="Arial Narrow" w:hAnsi="Arial Narrow"/>
                <w:i/>
                <w:strike/>
                <w:sz w:val="20"/>
                <w:szCs w:val="20"/>
              </w:rPr>
              <w:t xml:space="preserve">Ravulizumab (sponsor) </w:t>
            </w:r>
            <w:r w:rsidRPr="006C1447">
              <w:rPr>
                <w:rFonts w:ascii="Arial Narrow" w:hAnsi="Arial Narrow"/>
                <w:i/>
                <w:sz w:val="20"/>
                <w:szCs w:val="20"/>
              </w:rPr>
              <w:t xml:space="preserve">This drug </w:t>
            </w:r>
            <w:r w:rsidRPr="006C1447">
              <w:rPr>
                <w:rFonts w:ascii="Arial Narrow" w:hAnsi="Arial Narrow"/>
                <w:sz w:val="20"/>
                <w:szCs w:val="20"/>
              </w:rPr>
              <w:t xml:space="preserve">increases the risk of meningococcal infections (sepsis and/or meningitis). </w:t>
            </w:r>
          </w:p>
          <w:p w14:paraId="30F9CCAC" w14:textId="77777777" w:rsidR="00FE013F" w:rsidRPr="006C1447" w:rsidRDefault="00FE013F" w:rsidP="00FE013F">
            <w:pPr>
              <w:pStyle w:val="TableText"/>
              <w:rPr>
                <w:szCs w:val="20"/>
              </w:rPr>
            </w:pPr>
            <w:r w:rsidRPr="006C1447">
              <w:rPr>
                <w:strike/>
                <w:szCs w:val="20"/>
              </w:rPr>
              <w:t xml:space="preserve">Please </w:t>
            </w:r>
            <w:r w:rsidRPr="006C1447">
              <w:rPr>
                <w:i/>
                <w:strike/>
                <w:szCs w:val="20"/>
              </w:rPr>
              <w:t>c</w:t>
            </w:r>
            <w:r w:rsidRPr="006C1447">
              <w:rPr>
                <w:i/>
                <w:szCs w:val="20"/>
              </w:rPr>
              <w:t>C</w:t>
            </w:r>
            <w:r w:rsidRPr="006C1447">
              <w:rPr>
                <w:szCs w:val="20"/>
              </w:rPr>
              <w:t>onsult the approved PI for information about vaccination against meningococcal infection</w:t>
            </w:r>
            <w:r w:rsidR="00B4390A" w:rsidRPr="006C1447">
              <w:rPr>
                <w:szCs w:val="20"/>
              </w:rPr>
              <w:t xml:space="preserve">. </w:t>
            </w:r>
          </w:p>
        </w:tc>
      </w:tr>
    </w:tbl>
    <w:p w14:paraId="46203F06" w14:textId="77777777" w:rsidR="00B2799D" w:rsidRPr="006C1447" w:rsidRDefault="00B2799D" w:rsidP="00B2799D">
      <w:pPr>
        <w:pStyle w:val="TableFigureCaption"/>
        <w:rPr>
          <w:b w:val="0"/>
        </w:rPr>
      </w:pPr>
      <w:r w:rsidRPr="006C1447">
        <w:rPr>
          <w:b w:val="0"/>
        </w:rPr>
        <w:t>Requested restriction for ravulizumab – initial treatment for complement inhibitor-naïve patients</w:t>
      </w:r>
    </w:p>
    <w:p w14:paraId="5E1EADA8" w14:textId="77777777" w:rsidR="00B2799D" w:rsidRPr="00903174" w:rsidRDefault="00B2799D" w:rsidP="00B2799D">
      <w:pPr>
        <w:pStyle w:val="TableFigureFooter"/>
      </w:pPr>
      <w:r w:rsidRPr="00903174">
        <w:t>Source: Table 13, p37 of the submission.</w:t>
      </w:r>
    </w:p>
    <w:p w14:paraId="59F8F61F" w14:textId="77777777" w:rsidR="004B68E7" w:rsidRPr="00903174" w:rsidRDefault="004B68E7" w:rsidP="009C31FB">
      <w:pPr>
        <w:pStyle w:val="TableFigureFooter"/>
      </w:pPr>
    </w:p>
    <w:p w14:paraId="3F06F946" w14:textId="77777777" w:rsidR="004B68E7" w:rsidRPr="00903174" w:rsidRDefault="004B68E7" w:rsidP="004B68E7">
      <w:pPr>
        <w:pStyle w:val="TableFigureCaption"/>
      </w:pPr>
      <w:r w:rsidRPr="00903174">
        <w:t>Requested restriction for ravulizumab – initial treatment for patients transitioning from eculizumab to ravulizumab</w:t>
      </w:r>
      <w:r w:rsidR="00FC2B85" w:rsidRPr="00903174">
        <w:t xml:space="preserve"> (abridged)</w:t>
      </w:r>
    </w:p>
    <w:tbl>
      <w:tblPr>
        <w:tblW w:w="9017" w:type="dxa"/>
        <w:tblBorders>
          <w:top w:val="single" w:sz="4" w:space="0" w:color="auto"/>
          <w:bottom w:val="single" w:sz="4" w:space="0" w:color="auto"/>
          <w:insideH w:val="single" w:sz="4" w:space="0" w:color="auto"/>
        </w:tblBorders>
        <w:tblLook w:val="04A0" w:firstRow="1" w:lastRow="0" w:firstColumn="1" w:lastColumn="0" w:noHBand="0" w:noVBand="1"/>
      </w:tblPr>
      <w:tblGrid>
        <w:gridCol w:w="2133"/>
        <w:gridCol w:w="1333"/>
        <w:gridCol w:w="1313"/>
        <w:gridCol w:w="941"/>
        <w:gridCol w:w="1791"/>
        <w:gridCol w:w="1506"/>
      </w:tblGrid>
      <w:tr w:rsidR="002A599E" w:rsidRPr="00903174" w14:paraId="19C151B4" w14:textId="77777777" w:rsidTr="002A599E">
        <w:tc>
          <w:tcPr>
            <w:tcW w:w="2133" w:type="dxa"/>
          </w:tcPr>
          <w:p w14:paraId="0995CF7F" w14:textId="77777777" w:rsidR="002A599E" w:rsidRPr="00903174" w:rsidRDefault="002A599E" w:rsidP="00A370FA">
            <w:pPr>
              <w:pStyle w:val="TableFigureCaption"/>
            </w:pPr>
            <w:r w:rsidRPr="00903174">
              <w:t>Name, restriction, manner of administration, form</w:t>
            </w:r>
          </w:p>
        </w:tc>
        <w:tc>
          <w:tcPr>
            <w:tcW w:w="1333" w:type="dxa"/>
          </w:tcPr>
          <w:p w14:paraId="5345DF2D" w14:textId="77777777" w:rsidR="002A599E" w:rsidRPr="00903174" w:rsidRDefault="002A599E" w:rsidP="00A370FA">
            <w:pPr>
              <w:pStyle w:val="TableFigureCaption"/>
              <w:jc w:val="center"/>
            </w:pPr>
            <w:r w:rsidRPr="00903174">
              <w:t>Maximum quantity (packs)</w:t>
            </w:r>
          </w:p>
        </w:tc>
        <w:tc>
          <w:tcPr>
            <w:tcW w:w="1313" w:type="dxa"/>
          </w:tcPr>
          <w:p w14:paraId="3A8FA959" w14:textId="77777777" w:rsidR="002A599E" w:rsidRPr="00903174" w:rsidRDefault="002A599E" w:rsidP="00A370FA">
            <w:pPr>
              <w:pStyle w:val="TableFigureCaption"/>
              <w:jc w:val="center"/>
            </w:pPr>
            <w:r w:rsidRPr="00903174">
              <w:t>Maximum quantity (units)</w:t>
            </w:r>
          </w:p>
        </w:tc>
        <w:tc>
          <w:tcPr>
            <w:tcW w:w="941" w:type="dxa"/>
          </w:tcPr>
          <w:p w14:paraId="346099AB" w14:textId="77777777" w:rsidR="002A599E" w:rsidRPr="00903174" w:rsidRDefault="002A599E" w:rsidP="00A370FA">
            <w:pPr>
              <w:pStyle w:val="TableFigureCaption"/>
              <w:jc w:val="center"/>
            </w:pPr>
            <w:r w:rsidRPr="00903174">
              <w:t>No. of repeats</w:t>
            </w:r>
          </w:p>
        </w:tc>
        <w:tc>
          <w:tcPr>
            <w:tcW w:w="1791" w:type="dxa"/>
          </w:tcPr>
          <w:p w14:paraId="78F402E5" w14:textId="77777777" w:rsidR="002A599E" w:rsidRPr="00903174" w:rsidRDefault="002A599E" w:rsidP="00A370FA">
            <w:pPr>
              <w:pStyle w:val="TableFigureCaption"/>
              <w:jc w:val="center"/>
            </w:pPr>
            <w:r w:rsidRPr="00903174">
              <w:t>Dispensed price for maximum quantity</w:t>
            </w:r>
          </w:p>
        </w:tc>
        <w:tc>
          <w:tcPr>
            <w:tcW w:w="1506" w:type="dxa"/>
          </w:tcPr>
          <w:p w14:paraId="441FF9DC" w14:textId="77777777" w:rsidR="002A599E" w:rsidRPr="00903174" w:rsidRDefault="002A599E" w:rsidP="00A370FA">
            <w:pPr>
              <w:pStyle w:val="TableFigureCaption"/>
              <w:jc w:val="center"/>
            </w:pPr>
            <w:r w:rsidRPr="00903174">
              <w:t>Proprietary name and manufacturer</w:t>
            </w:r>
          </w:p>
        </w:tc>
      </w:tr>
      <w:tr w:rsidR="002A599E" w:rsidRPr="00903174" w14:paraId="7E7D474C" w14:textId="77777777" w:rsidTr="002A599E">
        <w:tc>
          <w:tcPr>
            <w:tcW w:w="2133" w:type="dxa"/>
          </w:tcPr>
          <w:p w14:paraId="286825A2" w14:textId="77777777" w:rsidR="002A599E" w:rsidRPr="00903174" w:rsidRDefault="002A599E" w:rsidP="00A370FA">
            <w:pPr>
              <w:pStyle w:val="TableText"/>
              <w:rPr>
                <w:b/>
              </w:rPr>
            </w:pPr>
            <w:r w:rsidRPr="00903174">
              <w:t>R</w:t>
            </w:r>
            <w:r w:rsidRPr="00903174">
              <w:rPr>
                <w:smallCaps/>
              </w:rPr>
              <w:t>avulizumab</w:t>
            </w:r>
            <w:r w:rsidRPr="00903174">
              <w:t>, 300mg/30mL IV infusion</w:t>
            </w:r>
          </w:p>
        </w:tc>
        <w:tc>
          <w:tcPr>
            <w:tcW w:w="1333" w:type="dxa"/>
          </w:tcPr>
          <w:p w14:paraId="3E787704" w14:textId="77777777" w:rsidR="002A599E" w:rsidRPr="00903174" w:rsidRDefault="002A599E" w:rsidP="00A370FA">
            <w:pPr>
              <w:pStyle w:val="TableText"/>
              <w:jc w:val="center"/>
            </w:pPr>
            <w:r w:rsidRPr="00903174">
              <w:t>1</w:t>
            </w:r>
          </w:p>
        </w:tc>
        <w:tc>
          <w:tcPr>
            <w:tcW w:w="1313" w:type="dxa"/>
          </w:tcPr>
          <w:p w14:paraId="2E7AB304" w14:textId="77777777" w:rsidR="002A599E" w:rsidRPr="00903174" w:rsidRDefault="002A599E" w:rsidP="00A370FA">
            <w:pPr>
              <w:pStyle w:val="TableText"/>
              <w:jc w:val="center"/>
            </w:pPr>
            <w:r w:rsidRPr="00903174">
              <w:t>1</w:t>
            </w:r>
          </w:p>
        </w:tc>
        <w:tc>
          <w:tcPr>
            <w:tcW w:w="941" w:type="dxa"/>
          </w:tcPr>
          <w:p w14:paraId="34325CC5" w14:textId="77777777" w:rsidR="002A599E" w:rsidRPr="00903174" w:rsidRDefault="002A599E" w:rsidP="00A370FA">
            <w:pPr>
              <w:pStyle w:val="TableText"/>
              <w:jc w:val="center"/>
            </w:pPr>
            <w:r w:rsidRPr="00903174">
              <w:t>5</w:t>
            </w:r>
          </w:p>
        </w:tc>
        <w:tc>
          <w:tcPr>
            <w:tcW w:w="1791" w:type="dxa"/>
          </w:tcPr>
          <w:p w14:paraId="0B1DD3E0" w14:textId="77777777" w:rsidR="002A599E" w:rsidRPr="00903174" w:rsidRDefault="002A599E" w:rsidP="00A370FA">
            <w:pPr>
              <w:pStyle w:val="TableText"/>
              <w:jc w:val="center"/>
            </w:pPr>
            <w:r w:rsidRPr="00903174">
              <w:t>Public hospital: $</w:t>
            </w:r>
            <w:r w:rsidR="00DF28C6">
              <w:rPr>
                <w:noProof/>
                <w:color w:val="000000"/>
                <w:highlight w:val="black"/>
              </w:rPr>
              <w:t>''''''''''''''''''''</w:t>
            </w:r>
          </w:p>
          <w:p w14:paraId="1255F7D8" w14:textId="77777777" w:rsidR="002A599E" w:rsidRPr="00903174" w:rsidRDefault="002A599E" w:rsidP="00A370FA">
            <w:pPr>
              <w:pStyle w:val="TableText"/>
              <w:jc w:val="center"/>
            </w:pPr>
            <w:r w:rsidRPr="00903174">
              <w:t>Private hospital: $</w:t>
            </w:r>
            <w:r w:rsidR="00DF28C6">
              <w:rPr>
                <w:noProof/>
                <w:color w:val="000000"/>
                <w:highlight w:val="black"/>
              </w:rPr>
              <w:t>''''''''''''''' ''''''</w:t>
            </w:r>
          </w:p>
        </w:tc>
        <w:tc>
          <w:tcPr>
            <w:tcW w:w="1506" w:type="dxa"/>
          </w:tcPr>
          <w:p w14:paraId="0711C72E" w14:textId="77777777" w:rsidR="002A599E" w:rsidRPr="00903174" w:rsidRDefault="002A599E" w:rsidP="00A370FA">
            <w:pPr>
              <w:pStyle w:val="TableText"/>
              <w:rPr>
                <w:vertAlign w:val="superscript"/>
              </w:rPr>
            </w:pPr>
            <w:r w:rsidRPr="00903174">
              <w:t>Ultomiris</w:t>
            </w:r>
            <w:r w:rsidRPr="00903174">
              <w:rPr>
                <w:vertAlign w:val="superscript"/>
              </w:rPr>
              <w:t>®</w:t>
            </w:r>
          </w:p>
          <w:p w14:paraId="5012DB8B" w14:textId="77777777" w:rsidR="002A599E" w:rsidRPr="00903174" w:rsidRDefault="002A599E" w:rsidP="00A370FA">
            <w:pPr>
              <w:pStyle w:val="TableText"/>
            </w:pPr>
            <w:r w:rsidRPr="00903174">
              <w:t xml:space="preserve">Alexion Pharmaceuticals </w:t>
            </w:r>
          </w:p>
        </w:tc>
      </w:tr>
      <w:tr w:rsidR="004B68E7" w:rsidRPr="00903174" w14:paraId="7315291E" w14:textId="77777777" w:rsidTr="0091111E">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133" w:type="dxa"/>
            <w:tcBorders>
              <w:top w:val="single" w:sz="4" w:space="0" w:color="auto"/>
              <w:left w:val="single" w:sz="4" w:space="0" w:color="auto"/>
              <w:bottom w:val="single" w:sz="4" w:space="0" w:color="auto"/>
              <w:right w:val="single" w:sz="4" w:space="0" w:color="auto"/>
            </w:tcBorders>
          </w:tcPr>
          <w:p w14:paraId="27252CB7" w14:textId="77777777" w:rsidR="004B68E7" w:rsidRPr="00903174" w:rsidRDefault="004B68E7" w:rsidP="00A370FA">
            <w:pPr>
              <w:pStyle w:val="TableText"/>
            </w:pPr>
            <w:r w:rsidRPr="00903174">
              <w:t>Category / Program:</w:t>
            </w:r>
          </w:p>
        </w:tc>
        <w:tc>
          <w:tcPr>
            <w:tcW w:w="6884" w:type="dxa"/>
            <w:gridSpan w:val="5"/>
            <w:tcBorders>
              <w:top w:val="single" w:sz="4" w:space="0" w:color="auto"/>
              <w:left w:val="single" w:sz="4" w:space="0" w:color="auto"/>
              <w:bottom w:val="single" w:sz="4" w:space="0" w:color="auto"/>
              <w:right w:val="single" w:sz="4" w:space="0" w:color="auto"/>
            </w:tcBorders>
          </w:tcPr>
          <w:p w14:paraId="583136EE" w14:textId="77777777" w:rsidR="004B68E7" w:rsidRPr="00903174" w:rsidRDefault="004B68E7" w:rsidP="00A370FA">
            <w:pPr>
              <w:pStyle w:val="TableText"/>
            </w:pPr>
            <w:r w:rsidRPr="00903174">
              <w:t>Section 100 – Highly Specialised Drugs Program (</w:t>
            </w:r>
            <w:r w:rsidR="00FC2B85" w:rsidRPr="00903174">
              <w:rPr>
                <w:strike/>
                <w:szCs w:val="18"/>
              </w:rPr>
              <w:t>Community Access</w:t>
            </w:r>
            <w:r w:rsidR="00FC2B85" w:rsidRPr="00903174">
              <w:rPr>
                <w:szCs w:val="18"/>
              </w:rPr>
              <w:t xml:space="preserve"> </w:t>
            </w:r>
            <w:r w:rsidR="00FC2B85" w:rsidRPr="00903174">
              <w:rPr>
                <w:i/>
                <w:szCs w:val="18"/>
              </w:rPr>
              <w:t>Public/Private hospital</w:t>
            </w:r>
            <w:r w:rsidRPr="00903174">
              <w:t>)</w:t>
            </w:r>
          </w:p>
        </w:tc>
      </w:tr>
      <w:tr w:rsidR="004B68E7" w:rsidRPr="00903174" w14:paraId="25FD716E" w14:textId="77777777" w:rsidTr="0091111E">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133" w:type="dxa"/>
            <w:tcBorders>
              <w:top w:val="single" w:sz="4" w:space="0" w:color="auto"/>
              <w:left w:val="single" w:sz="4" w:space="0" w:color="auto"/>
              <w:bottom w:val="single" w:sz="4" w:space="0" w:color="auto"/>
              <w:right w:val="single" w:sz="4" w:space="0" w:color="auto"/>
            </w:tcBorders>
          </w:tcPr>
          <w:p w14:paraId="0DD749E1" w14:textId="77777777" w:rsidR="004B68E7" w:rsidRPr="00903174" w:rsidRDefault="004B68E7" w:rsidP="00A370FA">
            <w:pPr>
              <w:pStyle w:val="TableText"/>
            </w:pPr>
            <w:r w:rsidRPr="00903174">
              <w:t>Condition:</w:t>
            </w:r>
          </w:p>
        </w:tc>
        <w:tc>
          <w:tcPr>
            <w:tcW w:w="6884" w:type="dxa"/>
            <w:gridSpan w:val="5"/>
            <w:tcBorders>
              <w:top w:val="single" w:sz="4" w:space="0" w:color="auto"/>
              <w:left w:val="single" w:sz="4" w:space="0" w:color="auto"/>
              <w:bottom w:val="single" w:sz="4" w:space="0" w:color="auto"/>
              <w:right w:val="single" w:sz="4" w:space="0" w:color="auto"/>
            </w:tcBorders>
          </w:tcPr>
          <w:p w14:paraId="1739F875" w14:textId="77777777" w:rsidR="004B68E7" w:rsidRPr="00903174" w:rsidRDefault="004B68E7" w:rsidP="00A370FA">
            <w:pPr>
              <w:pStyle w:val="TableText"/>
            </w:pPr>
            <w:r w:rsidRPr="00903174">
              <w:t>Paroxysmal nocturnal haemoglobinuria</w:t>
            </w:r>
          </w:p>
        </w:tc>
      </w:tr>
      <w:tr w:rsidR="004B68E7" w:rsidRPr="00903174" w14:paraId="09C41731" w14:textId="77777777" w:rsidTr="0091111E">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133" w:type="dxa"/>
            <w:tcBorders>
              <w:top w:val="single" w:sz="4" w:space="0" w:color="auto"/>
              <w:left w:val="single" w:sz="4" w:space="0" w:color="auto"/>
              <w:bottom w:val="single" w:sz="4" w:space="0" w:color="auto"/>
              <w:right w:val="single" w:sz="4" w:space="0" w:color="auto"/>
            </w:tcBorders>
          </w:tcPr>
          <w:p w14:paraId="06F54309" w14:textId="77777777" w:rsidR="004B68E7" w:rsidRPr="00903174" w:rsidRDefault="004B68E7" w:rsidP="00A370FA">
            <w:pPr>
              <w:pStyle w:val="TableText"/>
            </w:pPr>
            <w:r w:rsidRPr="00903174">
              <w:t>PBS Indication:</w:t>
            </w:r>
          </w:p>
        </w:tc>
        <w:tc>
          <w:tcPr>
            <w:tcW w:w="6884" w:type="dxa"/>
            <w:gridSpan w:val="5"/>
            <w:tcBorders>
              <w:top w:val="single" w:sz="4" w:space="0" w:color="auto"/>
              <w:left w:val="single" w:sz="4" w:space="0" w:color="auto"/>
              <w:bottom w:val="single" w:sz="4" w:space="0" w:color="auto"/>
              <w:right w:val="single" w:sz="4" w:space="0" w:color="auto"/>
            </w:tcBorders>
          </w:tcPr>
          <w:p w14:paraId="0A195AFB" w14:textId="77777777" w:rsidR="004B68E7" w:rsidRPr="00903174" w:rsidRDefault="004B68E7" w:rsidP="00A370FA">
            <w:pPr>
              <w:pStyle w:val="TableText"/>
            </w:pPr>
            <w:r w:rsidRPr="00903174">
              <w:t>Paroxysmal nocturnal haemoglobinuria</w:t>
            </w:r>
          </w:p>
        </w:tc>
      </w:tr>
      <w:tr w:rsidR="004B68E7" w:rsidRPr="00903174" w14:paraId="4E0E2875" w14:textId="77777777" w:rsidTr="0091111E">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133" w:type="dxa"/>
            <w:tcBorders>
              <w:top w:val="single" w:sz="4" w:space="0" w:color="auto"/>
              <w:left w:val="single" w:sz="4" w:space="0" w:color="auto"/>
              <w:bottom w:val="single" w:sz="4" w:space="0" w:color="auto"/>
              <w:right w:val="single" w:sz="4" w:space="0" w:color="auto"/>
            </w:tcBorders>
          </w:tcPr>
          <w:p w14:paraId="42BA7BA2" w14:textId="77777777" w:rsidR="004B68E7" w:rsidRPr="00903174" w:rsidRDefault="004B68E7" w:rsidP="00A370FA">
            <w:pPr>
              <w:pStyle w:val="TableText"/>
            </w:pPr>
            <w:r w:rsidRPr="00903174">
              <w:t>Treatment phase:</w:t>
            </w:r>
          </w:p>
        </w:tc>
        <w:tc>
          <w:tcPr>
            <w:tcW w:w="6884" w:type="dxa"/>
            <w:gridSpan w:val="5"/>
            <w:tcBorders>
              <w:top w:val="single" w:sz="4" w:space="0" w:color="auto"/>
              <w:left w:val="single" w:sz="4" w:space="0" w:color="auto"/>
              <w:bottom w:val="single" w:sz="4" w:space="0" w:color="auto"/>
              <w:right w:val="single" w:sz="4" w:space="0" w:color="auto"/>
            </w:tcBorders>
          </w:tcPr>
          <w:p w14:paraId="0725BE9C" w14:textId="77777777" w:rsidR="004B68E7" w:rsidRPr="00903174" w:rsidRDefault="004B68E7" w:rsidP="00A370FA">
            <w:pPr>
              <w:pStyle w:val="TableText"/>
            </w:pPr>
            <w:r w:rsidRPr="00903174">
              <w:t>Initial treatment</w:t>
            </w:r>
            <w:r w:rsidR="00FC2B85" w:rsidRPr="00903174">
              <w:rPr>
                <w:i/>
                <w:color w:val="333333"/>
                <w:szCs w:val="18"/>
              </w:rPr>
              <w:t>- Initial 2 (switching from eculizumab)</w:t>
            </w:r>
          </w:p>
        </w:tc>
      </w:tr>
      <w:tr w:rsidR="004B68E7" w:rsidRPr="00903174" w14:paraId="2C234512" w14:textId="77777777" w:rsidTr="0091111E">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133" w:type="dxa"/>
            <w:tcBorders>
              <w:top w:val="single" w:sz="4" w:space="0" w:color="auto"/>
              <w:left w:val="single" w:sz="4" w:space="0" w:color="auto"/>
              <w:bottom w:val="single" w:sz="4" w:space="0" w:color="auto"/>
              <w:right w:val="single" w:sz="4" w:space="0" w:color="auto"/>
            </w:tcBorders>
          </w:tcPr>
          <w:p w14:paraId="1032FCC7" w14:textId="77777777" w:rsidR="004B68E7" w:rsidRPr="00903174" w:rsidRDefault="004B68E7" w:rsidP="00A370FA">
            <w:pPr>
              <w:pStyle w:val="TableText"/>
              <w:rPr>
                <w:i/>
              </w:rPr>
            </w:pPr>
            <w:r w:rsidRPr="00903174">
              <w:t>Restriction:</w:t>
            </w:r>
          </w:p>
        </w:tc>
        <w:tc>
          <w:tcPr>
            <w:tcW w:w="6884" w:type="dxa"/>
            <w:gridSpan w:val="5"/>
            <w:tcBorders>
              <w:top w:val="single" w:sz="4" w:space="0" w:color="auto"/>
              <w:left w:val="single" w:sz="4" w:space="0" w:color="auto"/>
              <w:bottom w:val="single" w:sz="4" w:space="0" w:color="auto"/>
              <w:right w:val="single" w:sz="4" w:space="0" w:color="auto"/>
            </w:tcBorders>
          </w:tcPr>
          <w:p w14:paraId="0F1823D4" w14:textId="77777777" w:rsidR="004B68E7" w:rsidRPr="00903174" w:rsidRDefault="0091111E" w:rsidP="00A370FA">
            <w:pPr>
              <w:pStyle w:val="TableText"/>
            </w:pPr>
            <w:r w:rsidRPr="00903174">
              <w:t xml:space="preserve">Authority required </w:t>
            </w:r>
            <w:r w:rsidR="00A56D5D" w:rsidRPr="00903174">
              <w:t>–</w:t>
            </w:r>
            <w:r w:rsidRPr="00903174">
              <w:t xml:space="preserve"> written</w:t>
            </w:r>
          </w:p>
        </w:tc>
      </w:tr>
      <w:tr w:rsidR="004B68E7" w:rsidRPr="00903174" w14:paraId="72ABD374" w14:textId="77777777" w:rsidTr="0091111E">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133" w:type="dxa"/>
            <w:tcBorders>
              <w:top w:val="single" w:sz="4" w:space="0" w:color="auto"/>
              <w:left w:val="single" w:sz="4" w:space="0" w:color="auto"/>
              <w:bottom w:val="single" w:sz="4" w:space="0" w:color="auto"/>
              <w:right w:val="single" w:sz="4" w:space="0" w:color="auto"/>
            </w:tcBorders>
          </w:tcPr>
          <w:p w14:paraId="601DA133" w14:textId="77777777" w:rsidR="004B68E7" w:rsidRPr="00903174" w:rsidRDefault="004B68E7" w:rsidP="00A370FA">
            <w:pPr>
              <w:pStyle w:val="TableText"/>
            </w:pPr>
            <w:r w:rsidRPr="00903174">
              <w:t>Treatment criteria:</w:t>
            </w:r>
          </w:p>
        </w:tc>
        <w:tc>
          <w:tcPr>
            <w:tcW w:w="6884" w:type="dxa"/>
            <w:gridSpan w:val="5"/>
            <w:tcBorders>
              <w:top w:val="single" w:sz="4" w:space="0" w:color="auto"/>
              <w:left w:val="single" w:sz="4" w:space="0" w:color="auto"/>
              <w:bottom w:val="single" w:sz="4" w:space="0" w:color="auto"/>
              <w:right w:val="single" w:sz="4" w:space="0" w:color="auto"/>
            </w:tcBorders>
          </w:tcPr>
          <w:p w14:paraId="6BBDFD50" w14:textId="77777777" w:rsidR="004B68E7" w:rsidRPr="00903174" w:rsidRDefault="001F103A" w:rsidP="00A370FA">
            <w:pPr>
              <w:keepNext/>
              <w:rPr>
                <w:rFonts w:ascii="Arial Narrow" w:hAnsi="Arial Narrow"/>
                <w:sz w:val="20"/>
                <w:szCs w:val="20"/>
              </w:rPr>
            </w:pPr>
            <w:r w:rsidRPr="00903174">
              <w:rPr>
                <w:rFonts w:ascii="Arial Narrow" w:hAnsi="Arial Narrow"/>
                <w:strike/>
                <w:sz w:val="20"/>
                <w:szCs w:val="20"/>
              </w:rPr>
              <w:t>Patient</w:t>
            </w:r>
            <w:r w:rsidRPr="00903174">
              <w:rPr>
                <w:rFonts w:ascii="Arial Narrow" w:hAnsi="Arial Narrow"/>
                <w:sz w:val="20"/>
                <w:szCs w:val="20"/>
              </w:rPr>
              <w:t xml:space="preserve"> must be treated by a haematologist or in consultation with a haematologist </w:t>
            </w:r>
            <w:r w:rsidRPr="00903174">
              <w:rPr>
                <w:rFonts w:ascii="Arial Narrow" w:hAnsi="Arial Narrow"/>
                <w:i/>
                <w:sz w:val="20"/>
                <w:szCs w:val="20"/>
              </w:rPr>
              <w:t xml:space="preserve">; </w:t>
            </w:r>
            <w:r w:rsidRPr="00903174">
              <w:rPr>
                <w:rFonts w:ascii="Arial Narrow" w:hAnsi="Arial Narrow" w:cstheme="minorHAnsi"/>
                <w:i/>
                <w:sz w:val="20"/>
                <w:szCs w:val="20"/>
              </w:rPr>
              <w:t>or Must be treated by a non-specialist medical physician who has consulted a haematologist on the patient’s drug treatment details</w:t>
            </w:r>
            <w:r w:rsidRPr="00903174">
              <w:rPr>
                <w:rFonts w:ascii="Arial Narrow" w:hAnsi="Arial Narrow"/>
                <w:i/>
                <w:sz w:val="20"/>
                <w:szCs w:val="20"/>
              </w:rPr>
              <w:t xml:space="preserve">  </w:t>
            </w:r>
            <w:r w:rsidRPr="00903174">
              <w:rPr>
                <w:rFonts w:ascii="Arial Narrow" w:hAnsi="Arial Narrow"/>
                <w:color w:val="FF00FF"/>
                <w:sz w:val="20"/>
                <w:szCs w:val="20"/>
              </w:rPr>
              <w:t xml:space="preserve"> </w:t>
            </w:r>
          </w:p>
        </w:tc>
      </w:tr>
      <w:tr w:rsidR="004B68E7" w:rsidRPr="00903174" w14:paraId="1DAA17E8" w14:textId="77777777" w:rsidTr="0091111E">
        <w:tblPrEx>
          <w:tblBorders>
            <w:top w:val="none" w:sz="0" w:space="0" w:color="auto"/>
            <w:bottom w:val="none" w:sz="0" w:space="0" w:color="auto"/>
            <w:insideH w:val="none" w:sz="0" w:space="0" w:color="auto"/>
          </w:tblBorders>
          <w:tblLook w:val="0000" w:firstRow="0" w:lastRow="0" w:firstColumn="0" w:lastColumn="0" w:noHBand="0" w:noVBand="0"/>
        </w:tblPrEx>
        <w:tc>
          <w:tcPr>
            <w:tcW w:w="2133" w:type="dxa"/>
            <w:tcBorders>
              <w:top w:val="single" w:sz="4" w:space="0" w:color="auto"/>
              <w:left w:val="single" w:sz="4" w:space="0" w:color="auto"/>
              <w:bottom w:val="single" w:sz="4" w:space="0" w:color="auto"/>
              <w:right w:val="single" w:sz="4" w:space="0" w:color="auto"/>
            </w:tcBorders>
          </w:tcPr>
          <w:p w14:paraId="44DC10D6" w14:textId="77777777" w:rsidR="004B68E7" w:rsidRPr="00903174" w:rsidRDefault="004B68E7" w:rsidP="00A370FA">
            <w:pPr>
              <w:pStyle w:val="TableText"/>
            </w:pPr>
            <w:r w:rsidRPr="00903174">
              <w:t>Clinical criteria:</w:t>
            </w:r>
          </w:p>
        </w:tc>
        <w:tc>
          <w:tcPr>
            <w:tcW w:w="6884" w:type="dxa"/>
            <w:gridSpan w:val="5"/>
            <w:tcBorders>
              <w:top w:val="single" w:sz="4" w:space="0" w:color="auto"/>
              <w:left w:val="single" w:sz="4" w:space="0" w:color="auto"/>
              <w:bottom w:val="single" w:sz="4" w:space="0" w:color="auto"/>
              <w:right w:val="single" w:sz="4" w:space="0" w:color="auto"/>
            </w:tcBorders>
          </w:tcPr>
          <w:p w14:paraId="497EB9C8" w14:textId="77777777" w:rsidR="004B68E7" w:rsidRPr="00903174" w:rsidRDefault="001F103A" w:rsidP="00A370FA">
            <w:pPr>
              <w:keepNext/>
              <w:rPr>
                <w:rFonts w:ascii="Arial Narrow" w:hAnsi="Arial Narrow"/>
                <w:sz w:val="20"/>
              </w:rPr>
            </w:pPr>
            <w:r w:rsidRPr="00903174">
              <w:rPr>
                <w:rFonts w:ascii="Arial Narrow" w:hAnsi="Arial Narrow"/>
                <w:sz w:val="20"/>
                <w:szCs w:val="18"/>
              </w:rPr>
              <w:t xml:space="preserve">Patient must </w:t>
            </w:r>
            <w:r w:rsidRPr="00903174">
              <w:rPr>
                <w:rFonts w:ascii="Arial Narrow" w:hAnsi="Arial Narrow"/>
                <w:strike/>
                <w:sz w:val="20"/>
                <w:szCs w:val="18"/>
              </w:rPr>
              <w:t>have</w:t>
            </w:r>
            <w:r w:rsidRPr="00903174">
              <w:rPr>
                <w:rFonts w:ascii="Arial Narrow" w:hAnsi="Arial Narrow"/>
                <w:sz w:val="20"/>
                <w:szCs w:val="18"/>
              </w:rPr>
              <w:t xml:space="preserve"> </w:t>
            </w:r>
            <w:r w:rsidRPr="00903174">
              <w:rPr>
                <w:rFonts w:ascii="Arial Narrow" w:hAnsi="Arial Narrow"/>
                <w:i/>
                <w:sz w:val="20"/>
                <w:szCs w:val="18"/>
              </w:rPr>
              <w:t xml:space="preserve">be </w:t>
            </w:r>
            <w:r w:rsidRPr="00903174">
              <w:rPr>
                <w:rFonts w:ascii="Arial Narrow" w:hAnsi="Arial Narrow"/>
                <w:strike/>
                <w:sz w:val="20"/>
                <w:szCs w:val="18"/>
              </w:rPr>
              <w:t>received</w:t>
            </w:r>
            <w:r w:rsidRPr="00903174">
              <w:rPr>
                <w:rFonts w:ascii="Arial Narrow" w:hAnsi="Arial Narrow"/>
                <w:sz w:val="20"/>
                <w:szCs w:val="18"/>
              </w:rPr>
              <w:t xml:space="preserve"> </w:t>
            </w:r>
            <w:r w:rsidRPr="00903174">
              <w:rPr>
                <w:rFonts w:ascii="Arial Narrow" w:hAnsi="Arial Narrow"/>
                <w:i/>
                <w:sz w:val="20"/>
                <w:szCs w:val="18"/>
              </w:rPr>
              <w:t xml:space="preserve">receiving </w:t>
            </w:r>
            <w:r w:rsidRPr="00903174">
              <w:rPr>
                <w:rFonts w:ascii="Arial Narrow" w:hAnsi="Arial Narrow"/>
                <w:sz w:val="20"/>
                <w:szCs w:val="18"/>
              </w:rPr>
              <w:t xml:space="preserve">supply of eculizumab under the </w:t>
            </w:r>
            <w:r w:rsidRPr="00903174">
              <w:rPr>
                <w:rFonts w:ascii="Arial Narrow" w:hAnsi="Arial Narrow"/>
                <w:strike/>
                <w:sz w:val="20"/>
                <w:szCs w:val="18"/>
              </w:rPr>
              <w:t>LSDP</w:t>
            </w:r>
            <w:r w:rsidRPr="00903174">
              <w:rPr>
                <w:rFonts w:ascii="Arial Narrow" w:hAnsi="Arial Narrow"/>
                <w:sz w:val="20"/>
                <w:szCs w:val="18"/>
              </w:rPr>
              <w:t xml:space="preserve"> </w:t>
            </w:r>
            <w:r w:rsidRPr="00903174">
              <w:rPr>
                <w:rFonts w:ascii="Arial Narrow" w:hAnsi="Arial Narrow"/>
                <w:i/>
                <w:sz w:val="20"/>
                <w:szCs w:val="18"/>
              </w:rPr>
              <w:t xml:space="preserve">Australian Government’s Life Saving Drugs Program </w:t>
            </w:r>
            <w:r w:rsidRPr="00903174">
              <w:rPr>
                <w:rFonts w:ascii="Arial Narrow" w:hAnsi="Arial Narrow"/>
                <w:sz w:val="20"/>
                <w:szCs w:val="18"/>
              </w:rPr>
              <w:t>eligibility criteria for this condition.</w:t>
            </w:r>
          </w:p>
        </w:tc>
      </w:tr>
      <w:tr w:rsidR="004B68E7" w:rsidRPr="00903174" w14:paraId="3450357D" w14:textId="77777777" w:rsidTr="0091111E">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2133" w:type="dxa"/>
            <w:tcBorders>
              <w:top w:val="single" w:sz="4" w:space="0" w:color="auto"/>
              <w:left w:val="single" w:sz="4" w:space="0" w:color="auto"/>
              <w:bottom w:val="single" w:sz="4" w:space="0" w:color="auto"/>
              <w:right w:val="single" w:sz="4" w:space="0" w:color="auto"/>
            </w:tcBorders>
          </w:tcPr>
          <w:p w14:paraId="2163E87D" w14:textId="77777777" w:rsidR="004B68E7" w:rsidRPr="00903174" w:rsidRDefault="004B68E7" w:rsidP="00A370FA">
            <w:pPr>
              <w:pStyle w:val="TableText"/>
            </w:pPr>
            <w:r w:rsidRPr="00903174">
              <w:t>Population criteria:</w:t>
            </w:r>
          </w:p>
        </w:tc>
        <w:tc>
          <w:tcPr>
            <w:tcW w:w="6884" w:type="dxa"/>
            <w:gridSpan w:val="5"/>
            <w:tcBorders>
              <w:top w:val="single" w:sz="4" w:space="0" w:color="auto"/>
              <w:left w:val="single" w:sz="4" w:space="0" w:color="auto"/>
              <w:bottom w:val="single" w:sz="4" w:space="0" w:color="auto"/>
              <w:right w:val="single" w:sz="4" w:space="0" w:color="auto"/>
            </w:tcBorders>
          </w:tcPr>
          <w:p w14:paraId="10DAC8A6" w14:textId="77777777" w:rsidR="004B68E7" w:rsidRPr="00903174" w:rsidRDefault="004B68E7" w:rsidP="00A370FA">
            <w:pPr>
              <w:pStyle w:val="TableText"/>
            </w:pPr>
            <w:r w:rsidRPr="00903174">
              <w:t xml:space="preserve">Patients must be </w:t>
            </w:r>
            <w:r w:rsidRPr="00903174">
              <w:rPr>
                <w:strike/>
              </w:rPr>
              <w:t>aged</w:t>
            </w:r>
            <w:r w:rsidRPr="00903174">
              <w:t xml:space="preserve"> 18 years or older</w:t>
            </w:r>
          </w:p>
        </w:tc>
      </w:tr>
    </w:tbl>
    <w:p w14:paraId="0420C432" w14:textId="77777777" w:rsidR="004B68E7" w:rsidRPr="00903174" w:rsidRDefault="004B68E7" w:rsidP="009C31FB">
      <w:pPr>
        <w:pStyle w:val="TableFigureFooter"/>
      </w:pPr>
    </w:p>
    <w:p w14:paraId="78136616" w14:textId="77777777" w:rsidR="0091111E" w:rsidRPr="00903174" w:rsidRDefault="0091111E" w:rsidP="0091111E">
      <w:pPr>
        <w:pStyle w:val="TableFigureCaption"/>
      </w:pPr>
      <w:r w:rsidRPr="00903174">
        <w:t>Requested restriction for ravulizumab – continuing treatment including grandfathering provision</w:t>
      </w:r>
      <w:r w:rsidR="001F103A" w:rsidRPr="00903174">
        <w:t xml:space="preserve"> (abridged)</w:t>
      </w:r>
    </w:p>
    <w:tbl>
      <w:tblPr>
        <w:tblW w:w="4977" w:type="pct"/>
        <w:tblInd w:w="28" w:type="dxa"/>
        <w:tblCellMar>
          <w:left w:w="28" w:type="dxa"/>
          <w:right w:w="28" w:type="dxa"/>
        </w:tblCellMar>
        <w:tblLook w:val="0000" w:firstRow="0" w:lastRow="0" w:firstColumn="0" w:lastColumn="0" w:noHBand="0" w:noVBand="0"/>
      </w:tblPr>
      <w:tblGrid>
        <w:gridCol w:w="2232"/>
        <w:gridCol w:w="1107"/>
        <w:gridCol w:w="1067"/>
        <w:gridCol w:w="825"/>
        <w:gridCol w:w="1497"/>
        <w:gridCol w:w="2257"/>
      </w:tblGrid>
      <w:tr w:rsidR="003517F9" w:rsidRPr="00903174" w14:paraId="4823209B" w14:textId="77777777" w:rsidTr="003F1975">
        <w:trPr>
          <w:cantSplit/>
          <w:trHeight w:val="463"/>
        </w:trPr>
        <w:tc>
          <w:tcPr>
            <w:tcW w:w="1858" w:type="pct"/>
            <w:gridSpan w:val="2"/>
            <w:tcBorders>
              <w:top w:val="single" w:sz="4" w:space="0" w:color="auto"/>
              <w:bottom w:val="single" w:sz="4" w:space="0" w:color="auto"/>
            </w:tcBorders>
            <w:vAlign w:val="center"/>
          </w:tcPr>
          <w:p w14:paraId="1B40557A" w14:textId="77777777" w:rsidR="00617E12" w:rsidRPr="00903174" w:rsidRDefault="00617E12" w:rsidP="0091111E">
            <w:pPr>
              <w:jc w:val="left"/>
              <w:rPr>
                <w:rFonts w:ascii="Arial Narrow" w:hAnsi="Arial Narrow"/>
                <w:b/>
                <w:sz w:val="20"/>
              </w:rPr>
            </w:pPr>
            <w:r w:rsidRPr="00903174">
              <w:rPr>
                <w:rFonts w:ascii="Arial Narrow" w:hAnsi="Arial Narrow"/>
                <w:b/>
                <w:sz w:val="20"/>
              </w:rPr>
              <w:t>Name, Restriction,</w:t>
            </w:r>
          </w:p>
          <w:p w14:paraId="0E1BE9FD" w14:textId="77777777" w:rsidR="00617E12" w:rsidRPr="00903174" w:rsidRDefault="00617E12" w:rsidP="0091111E">
            <w:pPr>
              <w:jc w:val="left"/>
              <w:rPr>
                <w:rFonts w:ascii="Arial Narrow" w:hAnsi="Arial Narrow"/>
                <w:b/>
                <w:sz w:val="20"/>
              </w:rPr>
            </w:pPr>
            <w:r w:rsidRPr="00903174">
              <w:rPr>
                <w:rFonts w:ascii="Arial Narrow" w:hAnsi="Arial Narrow"/>
                <w:b/>
                <w:sz w:val="20"/>
              </w:rPr>
              <w:t>Manner of administration and form</w:t>
            </w:r>
          </w:p>
        </w:tc>
        <w:tc>
          <w:tcPr>
            <w:tcW w:w="594" w:type="pct"/>
            <w:tcBorders>
              <w:top w:val="single" w:sz="4" w:space="0" w:color="auto"/>
              <w:bottom w:val="single" w:sz="4" w:space="0" w:color="auto"/>
            </w:tcBorders>
            <w:vAlign w:val="center"/>
          </w:tcPr>
          <w:p w14:paraId="5FEC3905" w14:textId="77777777" w:rsidR="00617E12" w:rsidRPr="00903174" w:rsidRDefault="00617E12" w:rsidP="0091111E">
            <w:pPr>
              <w:jc w:val="center"/>
              <w:rPr>
                <w:rFonts w:ascii="Arial Narrow" w:hAnsi="Arial Narrow"/>
                <w:b/>
                <w:sz w:val="20"/>
              </w:rPr>
            </w:pPr>
            <w:r w:rsidRPr="00903174">
              <w:rPr>
                <w:rFonts w:ascii="Arial Narrow" w:hAnsi="Arial Narrow"/>
                <w:b/>
                <w:sz w:val="20"/>
              </w:rPr>
              <w:t>Max.</w:t>
            </w:r>
          </w:p>
          <w:p w14:paraId="045451CE" w14:textId="77777777" w:rsidR="00617E12" w:rsidRPr="00903174" w:rsidRDefault="00617E12" w:rsidP="0091111E">
            <w:pPr>
              <w:jc w:val="center"/>
              <w:rPr>
                <w:rFonts w:ascii="Arial Narrow" w:hAnsi="Arial Narrow"/>
                <w:b/>
                <w:sz w:val="20"/>
              </w:rPr>
            </w:pPr>
            <w:r w:rsidRPr="00903174">
              <w:rPr>
                <w:rFonts w:ascii="Arial Narrow" w:hAnsi="Arial Narrow"/>
                <w:b/>
                <w:sz w:val="20"/>
              </w:rPr>
              <w:t>Qty</w:t>
            </w:r>
          </w:p>
        </w:tc>
        <w:tc>
          <w:tcPr>
            <w:tcW w:w="459" w:type="pct"/>
            <w:tcBorders>
              <w:top w:val="single" w:sz="4" w:space="0" w:color="auto"/>
              <w:bottom w:val="single" w:sz="4" w:space="0" w:color="auto"/>
            </w:tcBorders>
            <w:vAlign w:val="center"/>
          </w:tcPr>
          <w:p w14:paraId="31D30F46" w14:textId="77777777" w:rsidR="00617E12" w:rsidRPr="00903174" w:rsidRDefault="00617E12" w:rsidP="0091111E">
            <w:pPr>
              <w:jc w:val="center"/>
              <w:rPr>
                <w:rFonts w:ascii="Arial Narrow" w:hAnsi="Arial Narrow"/>
                <w:b/>
                <w:sz w:val="20"/>
              </w:rPr>
            </w:pPr>
            <w:r w:rsidRPr="00903174">
              <w:rPr>
                <w:rFonts w:ascii="Arial Narrow" w:hAnsi="Arial Narrow" w:cs="Times New Roman"/>
                <w:b/>
                <w:sz w:val="20"/>
              </w:rPr>
              <w:t>№</w:t>
            </w:r>
            <w:r w:rsidRPr="00903174">
              <w:rPr>
                <w:rFonts w:ascii="Arial Narrow" w:hAnsi="Arial Narrow"/>
                <w:b/>
                <w:sz w:val="20"/>
              </w:rPr>
              <w:t>.of</w:t>
            </w:r>
          </w:p>
          <w:p w14:paraId="08FDB631" w14:textId="77777777" w:rsidR="00617E12" w:rsidRPr="00903174" w:rsidRDefault="00617E12" w:rsidP="0091111E">
            <w:pPr>
              <w:jc w:val="center"/>
              <w:rPr>
                <w:rFonts w:ascii="Arial Narrow" w:hAnsi="Arial Narrow"/>
                <w:b/>
                <w:sz w:val="20"/>
              </w:rPr>
            </w:pPr>
            <w:r w:rsidRPr="00903174">
              <w:rPr>
                <w:rFonts w:ascii="Arial Narrow" w:hAnsi="Arial Narrow"/>
                <w:b/>
                <w:sz w:val="20"/>
              </w:rPr>
              <w:t>Rpts</w:t>
            </w:r>
          </w:p>
        </w:tc>
        <w:tc>
          <w:tcPr>
            <w:tcW w:w="833" w:type="pct"/>
            <w:tcBorders>
              <w:top w:val="single" w:sz="4" w:space="0" w:color="auto"/>
              <w:bottom w:val="single" w:sz="4" w:space="0" w:color="auto"/>
            </w:tcBorders>
            <w:vAlign w:val="center"/>
          </w:tcPr>
          <w:p w14:paraId="08432D67" w14:textId="77777777" w:rsidR="00617E12" w:rsidRPr="00903174" w:rsidRDefault="00617E12" w:rsidP="0091111E">
            <w:pPr>
              <w:jc w:val="center"/>
              <w:rPr>
                <w:rFonts w:ascii="Arial Narrow" w:hAnsi="Arial Narrow"/>
                <w:b/>
                <w:sz w:val="20"/>
              </w:rPr>
            </w:pPr>
            <w:r w:rsidRPr="00903174">
              <w:rPr>
                <w:rFonts w:ascii="Arial Narrow" w:hAnsi="Arial Narrow"/>
                <w:b/>
                <w:sz w:val="20"/>
              </w:rPr>
              <w:t>Dispensed Price for Max. Qty</w:t>
            </w:r>
          </w:p>
        </w:tc>
        <w:tc>
          <w:tcPr>
            <w:tcW w:w="1256" w:type="pct"/>
            <w:tcBorders>
              <w:top w:val="single" w:sz="4" w:space="0" w:color="auto"/>
              <w:bottom w:val="single" w:sz="4" w:space="0" w:color="auto"/>
            </w:tcBorders>
            <w:vAlign w:val="center"/>
          </w:tcPr>
          <w:p w14:paraId="1431735B" w14:textId="77777777" w:rsidR="00617E12" w:rsidRPr="00903174" w:rsidRDefault="00617E12" w:rsidP="0091111E">
            <w:pPr>
              <w:jc w:val="center"/>
              <w:rPr>
                <w:rFonts w:ascii="Arial Narrow" w:hAnsi="Arial Narrow"/>
                <w:b/>
                <w:sz w:val="20"/>
              </w:rPr>
            </w:pPr>
            <w:r w:rsidRPr="00903174">
              <w:rPr>
                <w:rFonts w:ascii="Arial Narrow" w:hAnsi="Arial Narrow"/>
                <w:b/>
                <w:sz w:val="20"/>
              </w:rPr>
              <w:t>Proprietary Name and Manufacturer</w:t>
            </w:r>
          </w:p>
        </w:tc>
      </w:tr>
      <w:tr w:rsidR="003F1975" w:rsidRPr="00903174" w14:paraId="2A14D47F" w14:textId="77777777" w:rsidTr="003F1975">
        <w:trPr>
          <w:cantSplit/>
          <w:trHeight w:val="567"/>
        </w:trPr>
        <w:tc>
          <w:tcPr>
            <w:tcW w:w="1858" w:type="pct"/>
            <w:gridSpan w:val="2"/>
          </w:tcPr>
          <w:p w14:paraId="06A6BD25" w14:textId="77777777" w:rsidR="003F1975" w:rsidRPr="00903174" w:rsidRDefault="003F1975" w:rsidP="0091111E">
            <w:pPr>
              <w:jc w:val="left"/>
              <w:rPr>
                <w:rFonts w:ascii="Arial Narrow" w:hAnsi="Arial Narrow"/>
                <w:sz w:val="20"/>
                <w:szCs w:val="20"/>
              </w:rPr>
            </w:pPr>
            <w:r w:rsidRPr="00903174">
              <w:rPr>
                <w:rFonts w:ascii="Arial Narrow" w:hAnsi="Arial Narrow"/>
                <w:sz w:val="20"/>
                <w:szCs w:val="20"/>
              </w:rPr>
              <w:t>Ravulizumab, 300mg/30ml IV infusion</w:t>
            </w:r>
          </w:p>
        </w:tc>
        <w:tc>
          <w:tcPr>
            <w:tcW w:w="594" w:type="pct"/>
          </w:tcPr>
          <w:p w14:paraId="45B2D7F5" w14:textId="77777777" w:rsidR="003F1975" w:rsidRPr="00903174" w:rsidRDefault="003F1975" w:rsidP="0091111E">
            <w:pPr>
              <w:jc w:val="center"/>
              <w:rPr>
                <w:rFonts w:ascii="Arial Narrow" w:hAnsi="Arial Narrow"/>
                <w:sz w:val="20"/>
                <w:szCs w:val="20"/>
              </w:rPr>
            </w:pPr>
            <w:r w:rsidRPr="00903174">
              <w:rPr>
                <w:rFonts w:ascii="Arial Narrow" w:hAnsi="Arial Narrow"/>
                <w:sz w:val="20"/>
                <w:szCs w:val="20"/>
              </w:rPr>
              <w:t>1</w:t>
            </w:r>
          </w:p>
        </w:tc>
        <w:tc>
          <w:tcPr>
            <w:tcW w:w="459" w:type="pct"/>
          </w:tcPr>
          <w:p w14:paraId="7913AF96" w14:textId="77777777" w:rsidR="003F1975" w:rsidRPr="00903174" w:rsidRDefault="003F1975" w:rsidP="0091111E">
            <w:pPr>
              <w:jc w:val="center"/>
              <w:rPr>
                <w:rFonts w:ascii="Arial Narrow" w:hAnsi="Arial Narrow"/>
                <w:sz w:val="20"/>
                <w:szCs w:val="20"/>
              </w:rPr>
            </w:pPr>
            <w:r w:rsidRPr="00903174">
              <w:rPr>
                <w:rFonts w:ascii="Arial Narrow" w:hAnsi="Arial Narrow"/>
                <w:sz w:val="20"/>
                <w:szCs w:val="20"/>
              </w:rPr>
              <w:t>5</w:t>
            </w:r>
          </w:p>
        </w:tc>
        <w:tc>
          <w:tcPr>
            <w:tcW w:w="833" w:type="pct"/>
          </w:tcPr>
          <w:p w14:paraId="034408AE" w14:textId="77777777" w:rsidR="003F1975" w:rsidRPr="00903174" w:rsidRDefault="003F1975" w:rsidP="0091111E">
            <w:pPr>
              <w:jc w:val="center"/>
              <w:rPr>
                <w:rFonts w:ascii="Arial Narrow" w:hAnsi="Arial Narrow"/>
                <w:sz w:val="20"/>
                <w:szCs w:val="20"/>
              </w:rPr>
            </w:pPr>
            <w:r w:rsidRPr="00903174">
              <w:rPr>
                <w:rFonts w:ascii="Arial Narrow" w:hAnsi="Arial Narrow"/>
                <w:sz w:val="20"/>
                <w:szCs w:val="20"/>
              </w:rPr>
              <w:t>Public hospital: $</w:t>
            </w:r>
            <w:r w:rsidR="00DF28C6">
              <w:rPr>
                <w:rFonts w:ascii="Arial Narrow" w:hAnsi="Arial Narrow"/>
                <w:noProof/>
                <w:color w:val="000000"/>
                <w:sz w:val="20"/>
                <w:szCs w:val="20"/>
                <w:highlight w:val="black"/>
              </w:rPr>
              <w:t>'''''''''''''''''''''''</w:t>
            </w:r>
          </w:p>
          <w:p w14:paraId="640DA000" w14:textId="77777777" w:rsidR="003F1975" w:rsidRPr="00903174" w:rsidRDefault="003F1975" w:rsidP="0091111E">
            <w:pPr>
              <w:jc w:val="center"/>
              <w:rPr>
                <w:rFonts w:ascii="Arial Narrow" w:hAnsi="Arial Narrow"/>
                <w:sz w:val="20"/>
                <w:szCs w:val="20"/>
              </w:rPr>
            </w:pPr>
            <w:r w:rsidRPr="00903174">
              <w:rPr>
                <w:rFonts w:ascii="Arial Narrow" w:hAnsi="Arial Narrow"/>
                <w:sz w:val="20"/>
                <w:szCs w:val="20"/>
              </w:rPr>
              <w:t>Private hospital: $</w:t>
            </w:r>
            <w:r w:rsidR="00DF28C6">
              <w:rPr>
                <w:rFonts w:ascii="Arial Narrow" w:hAnsi="Arial Narrow"/>
                <w:noProof/>
                <w:color w:val="000000"/>
                <w:sz w:val="20"/>
                <w:szCs w:val="20"/>
                <w:highlight w:val="black"/>
              </w:rPr>
              <w:t>''''''''''''''' ''''''</w:t>
            </w:r>
          </w:p>
        </w:tc>
        <w:tc>
          <w:tcPr>
            <w:tcW w:w="1256" w:type="pct"/>
          </w:tcPr>
          <w:p w14:paraId="79C000F5" w14:textId="77777777" w:rsidR="003F1975" w:rsidRPr="00903174" w:rsidRDefault="003F1975" w:rsidP="0091111E">
            <w:pPr>
              <w:jc w:val="center"/>
              <w:rPr>
                <w:rFonts w:ascii="Arial Narrow" w:hAnsi="Arial Narrow"/>
                <w:sz w:val="20"/>
                <w:szCs w:val="20"/>
              </w:rPr>
            </w:pPr>
          </w:p>
          <w:p w14:paraId="55F1A97E" w14:textId="77777777" w:rsidR="003F1975" w:rsidRPr="00903174" w:rsidRDefault="003F1975" w:rsidP="0091111E">
            <w:pPr>
              <w:jc w:val="center"/>
              <w:rPr>
                <w:rFonts w:ascii="Arial Narrow" w:hAnsi="Arial Narrow"/>
                <w:sz w:val="20"/>
                <w:szCs w:val="20"/>
              </w:rPr>
            </w:pPr>
            <w:r w:rsidRPr="00903174">
              <w:rPr>
                <w:rFonts w:ascii="Arial Narrow" w:hAnsi="Arial Narrow"/>
                <w:sz w:val="20"/>
                <w:szCs w:val="20"/>
              </w:rPr>
              <w:t>Ultomiris®</w:t>
            </w:r>
          </w:p>
          <w:p w14:paraId="33003598" w14:textId="77777777" w:rsidR="003F1975" w:rsidRPr="00903174" w:rsidRDefault="003F1975" w:rsidP="0091111E">
            <w:pPr>
              <w:jc w:val="center"/>
              <w:rPr>
                <w:rFonts w:ascii="Arial Narrow" w:hAnsi="Arial Narrow"/>
                <w:sz w:val="20"/>
                <w:szCs w:val="20"/>
              </w:rPr>
            </w:pPr>
            <w:r w:rsidRPr="00903174">
              <w:rPr>
                <w:rFonts w:ascii="Arial Narrow" w:hAnsi="Arial Narrow"/>
                <w:sz w:val="20"/>
                <w:szCs w:val="20"/>
              </w:rPr>
              <w:t>Alexion Pharmaceuticals</w:t>
            </w:r>
          </w:p>
        </w:tc>
      </w:tr>
      <w:tr w:rsidR="003F1975" w:rsidRPr="00903174" w14:paraId="2A99A932" w14:textId="77777777" w:rsidTr="003F1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2" w:type="pct"/>
            <w:tcBorders>
              <w:top w:val="single" w:sz="4" w:space="0" w:color="auto"/>
              <w:left w:val="single" w:sz="4" w:space="0" w:color="auto"/>
              <w:bottom w:val="single" w:sz="4" w:space="0" w:color="auto"/>
              <w:right w:val="single" w:sz="4" w:space="0" w:color="auto"/>
            </w:tcBorders>
            <w:hideMark/>
          </w:tcPr>
          <w:p w14:paraId="7C28E287" w14:textId="77777777" w:rsidR="003F1975" w:rsidRPr="006C1447" w:rsidRDefault="003F1975" w:rsidP="0091111E">
            <w:pPr>
              <w:pStyle w:val="TableText"/>
              <w:keepNext w:val="0"/>
              <w:rPr>
                <w:szCs w:val="20"/>
              </w:rPr>
            </w:pPr>
            <w:r w:rsidRPr="006C1447">
              <w:rPr>
                <w:szCs w:val="20"/>
              </w:rPr>
              <w:t>Category/Program:</w:t>
            </w:r>
          </w:p>
        </w:tc>
        <w:tc>
          <w:tcPr>
            <w:tcW w:w="3758" w:type="pct"/>
            <w:gridSpan w:val="5"/>
            <w:tcBorders>
              <w:top w:val="single" w:sz="4" w:space="0" w:color="auto"/>
              <w:left w:val="single" w:sz="4" w:space="0" w:color="auto"/>
              <w:bottom w:val="single" w:sz="4" w:space="0" w:color="auto"/>
              <w:right w:val="single" w:sz="4" w:space="0" w:color="auto"/>
            </w:tcBorders>
          </w:tcPr>
          <w:p w14:paraId="47873F71" w14:textId="77777777" w:rsidR="003F1975" w:rsidRPr="006C1447" w:rsidRDefault="0091111E" w:rsidP="0091111E">
            <w:pPr>
              <w:pStyle w:val="TableText"/>
              <w:keepNext w:val="0"/>
              <w:rPr>
                <w:szCs w:val="20"/>
              </w:rPr>
            </w:pPr>
            <w:r w:rsidRPr="006C1447">
              <w:rPr>
                <w:szCs w:val="20"/>
              </w:rPr>
              <w:t>Section 100 – Highly Specialised Drugs Program (Community Access)</w:t>
            </w:r>
          </w:p>
        </w:tc>
      </w:tr>
      <w:tr w:rsidR="003777C0" w:rsidRPr="00903174" w14:paraId="1FA86FC2" w14:textId="77777777" w:rsidTr="003F1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2" w:type="pct"/>
            <w:tcBorders>
              <w:top w:val="single" w:sz="4" w:space="0" w:color="auto"/>
              <w:left w:val="single" w:sz="4" w:space="0" w:color="auto"/>
              <w:bottom w:val="single" w:sz="4" w:space="0" w:color="auto"/>
              <w:right w:val="single" w:sz="4" w:space="0" w:color="auto"/>
            </w:tcBorders>
            <w:hideMark/>
          </w:tcPr>
          <w:p w14:paraId="63FCA027" w14:textId="77777777" w:rsidR="003777C0" w:rsidRPr="006C1447" w:rsidRDefault="003777C0" w:rsidP="0091111E">
            <w:pPr>
              <w:pStyle w:val="TableText"/>
              <w:keepNext w:val="0"/>
              <w:rPr>
                <w:szCs w:val="20"/>
              </w:rPr>
            </w:pPr>
            <w:r w:rsidRPr="006C1447">
              <w:rPr>
                <w:szCs w:val="20"/>
              </w:rPr>
              <w:t>PBS indication:</w:t>
            </w:r>
          </w:p>
        </w:tc>
        <w:tc>
          <w:tcPr>
            <w:tcW w:w="3758" w:type="pct"/>
            <w:gridSpan w:val="5"/>
            <w:tcBorders>
              <w:top w:val="single" w:sz="4" w:space="0" w:color="auto"/>
              <w:left w:val="single" w:sz="4" w:space="0" w:color="auto"/>
              <w:bottom w:val="single" w:sz="4" w:space="0" w:color="auto"/>
              <w:right w:val="single" w:sz="4" w:space="0" w:color="auto"/>
            </w:tcBorders>
          </w:tcPr>
          <w:p w14:paraId="6D98F2D3" w14:textId="77777777" w:rsidR="003777C0" w:rsidRPr="006C1447" w:rsidRDefault="003777C0" w:rsidP="0091111E">
            <w:pPr>
              <w:pStyle w:val="TableText"/>
              <w:keepNext w:val="0"/>
              <w:rPr>
                <w:szCs w:val="20"/>
              </w:rPr>
            </w:pPr>
            <w:r w:rsidRPr="006C1447">
              <w:rPr>
                <w:szCs w:val="20"/>
              </w:rPr>
              <w:t>Paroxysmal nocturnal haemoglobinuria</w:t>
            </w:r>
          </w:p>
        </w:tc>
      </w:tr>
      <w:tr w:rsidR="003777C0" w:rsidRPr="00903174" w14:paraId="5F070BF3" w14:textId="77777777" w:rsidTr="003F1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2" w:type="pct"/>
            <w:tcBorders>
              <w:top w:val="single" w:sz="4" w:space="0" w:color="auto"/>
              <w:left w:val="single" w:sz="4" w:space="0" w:color="auto"/>
              <w:bottom w:val="single" w:sz="4" w:space="0" w:color="auto"/>
              <w:right w:val="single" w:sz="4" w:space="0" w:color="auto"/>
            </w:tcBorders>
            <w:hideMark/>
          </w:tcPr>
          <w:p w14:paraId="1BD4168F" w14:textId="77777777" w:rsidR="003777C0" w:rsidRPr="006C1447" w:rsidRDefault="003777C0" w:rsidP="0091111E">
            <w:pPr>
              <w:pStyle w:val="TableText"/>
              <w:keepNext w:val="0"/>
              <w:rPr>
                <w:szCs w:val="20"/>
              </w:rPr>
            </w:pPr>
            <w:r w:rsidRPr="006C1447">
              <w:rPr>
                <w:szCs w:val="20"/>
              </w:rPr>
              <w:lastRenderedPageBreak/>
              <w:t>Treatment phase:</w:t>
            </w:r>
          </w:p>
        </w:tc>
        <w:tc>
          <w:tcPr>
            <w:tcW w:w="3758" w:type="pct"/>
            <w:gridSpan w:val="5"/>
            <w:tcBorders>
              <w:top w:val="single" w:sz="4" w:space="0" w:color="auto"/>
              <w:left w:val="single" w:sz="4" w:space="0" w:color="auto"/>
              <w:bottom w:val="single" w:sz="4" w:space="0" w:color="auto"/>
              <w:right w:val="single" w:sz="4" w:space="0" w:color="auto"/>
            </w:tcBorders>
          </w:tcPr>
          <w:p w14:paraId="32721E74" w14:textId="77777777" w:rsidR="003777C0" w:rsidRPr="006C1447" w:rsidRDefault="003777C0" w:rsidP="0091111E">
            <w:pPr>
              <w:pStyle w:val="TableText"/>
              <w:keepNext w:val="0"/>
              <w:rPr>
                <w:szCs w:val="20"/>
              </w:rPr>
            </w:pPr>
            <w:r w:rsidRPr="006C1447">
              <w:rPr>
                <w:szCs w:val="20"/>
              </w:rPr>
              <w:t>Continuing treatment</w:t>
            </w:r>
          </w:p>
        </w:tc>
      </w:tr>
      <w:tr w:rsidR="003777C0" w:rsidRPr="00903174" w14:paraId="4019E1E4" w14:textId="77777777" w:rsidTr="003F1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2" w:type="pct"/>
            <w:tcBorders>
              <w:top w:val="single" w:sz="4" w:space="0" w:color="auto"/>
              <w:left w:val="single" w:sz="4" w:space="0" w:color="auto"/>
              <w:bottom w:val="single" w:sz="4" w:space="0" w:color="auto"/>
              <w:right w:val="single" w:sz="4" w:space="0" w:color="auto"/>
            </w:tcBorders>
            <w:hideMark/>
          </w:tcPr>
          <w:p w14:paraId="2C6251E1" w14:textId="77777777" w:rsidR="003777C0" w:rsidRPr="006C1447" w:rsidRDefault="003777C0" w:rsidP="0091111E">
            <w:pPr>
              <w:pStyle w:val="TableText"/>
              <w:keepNext w:val="0"/>
              <w:rPr>
                <w:szCs w:val="20"/>
              </w:rPr>
            </w:pPr>
            <w:r w:rsidRPr="006C1447">
              <w:rPr>
                <w:szCs w:val="20"/>
              </w:rPr>
              <w:t>Restriction:</w:t>
            </w:r>
          </w:p>
        </w:tc>
        <w:tc>
          <w:tcPr>
            <w:tcW w:w="3758" w:type="pct"/>
            <w:gridSpan w:val="5"/>
            <w:tcBorders>
              <w:top w:val="single" w:sz="4" w:space="0" w:color="auto"/>
              <w:left w:val="single" w:sz="4" w:space="0" w:color="auto"/>
              <w:bottom w:val="single" w:sz="4" w:space="0" w:color="auto"/>
              <w:right w:val="single" w:sz="4" w:space="0" w:color="auto"/>
            </w:tcBorders>
          </w:tcPr>
          <w:p w14:paraId="52EBEE18" w14:textId="77777777" w:rsidR="003777C0" w:rsidRPr="006C1447" w:rsidRDefault="003777C0" w:rsidP="0091111E">
            <w:pPr>
              <w:pStyle w:val="TableText"/>
              <w:keepNext w:val="0"/>
              <w:rPr>
                <w:szCs w:val="20"/>
              </w:rPr>
            </w:pPr>
            <w:r w:rsidRPr="006C1447">
              <w:rPr>
                <w:szCs w:val="20"/>
              </w:rPr>
              <w:t xml:space="preserve">Authority required </w:t>
            </w:r>
            <w:r w:rsidR="00A56D5D" w:rsidRPr="006C1447">
              <w:rPr>
                <w:szCs w:val="20"/>
              </w:rPr>
              <w:t>–</w:t>
            </w:r>
            <w:r w:rsidRPr="006C1447">
              <w:rPr>
                <w:szCs w:val="20"/>
              </w:rPr>
              <w:t xml:space="preserve"> written</w:t>
            </w:r>
          </w:p>
        </w:tc>
      </w:tr>
      <w:tr w:rsidR="003777C0" w:rsidRPr="00903174" w14:paraId="10B39C5A" w14:textId="77777777" w:rsidTr="003F1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2" w:type="pct"/>
            <w:tcBorders>
              <w:top w:val="single" w:sz="4" w:space="0" w:color="auto"/>
              <w:left w:val="single" w:sz="4" w:space="0" w:color="auto"/>
              <w:bottom w:val="single" w:sz="4" w:space="0" w:color="auto"/>
              <w:right w:val="single" w:sz="4" w:space="0" w:color="auto"/>
            </w:tcBorders>
            <w:hideMark/>
          </w:tcPr>
          <w:p w14:paraId="3BFBB322" w14:textId="77777777" w:rsidR="003777C0" w:rsidRPr="006C1447" w:rsidRDefault="003777C0" w:rsidP="0091111E">
            <w:pPr>
              <w:pStyle w:val="TableText"/>
              <w:keepNext w:val="0"/>
              <w:rPr>
                <w:szCs w:val="20"/>
              </w:rPr>
            </w:pPr>
            <w:r w:rsidRPr="006C1447">
              <w:rPr>
                <w:szCs w:val="20"/>
              </w:rPr>
              <w:t>Treatment criteria:</w:t>
            </w:r>
          </w:p>
        </w:tc>
        <w:tc>
          <w:tcPr>
            <w:tcW w:w="3758" w:type="pct"/>
            <w:gridSpan w:val="5"/>
            <w:tcBorders>
              <w:top w:val="single" w:sz="4" w:space="0" w:color="auto"/>
              <w:left w:val="single" w:sz="4" w:space="0" w:color="auto"/>
              <w:bottom w:val="single" w:sz="4" w:space="0" w:color="auto"/>
              <w:right w:val="single" w:sz="4" w:space="0" w:color="auto"/>
            </w:tcBorders>
          </w:tcPr>
          <w:p w14:paraId="4213E7E2" w14:textId="77777777" w:rsidR="003777C0" w:rsidRPr="006C1447" w:rsidRDefault="001F103A" w:rsidP="0091111E">
            <w:pPr>
              <w:pStyle w:val="TableText"/>
              <w:keepNext w:val="0"/>
              <w:rPr>
                <w:szCs w:val="20"/>
              </w:rPr>
            </w:pPr>
            <w:r w:rsidRPr="006C1447">
              <w:rPr>
                <w:strike/>
                <w:szCs w:val="20"/>
              </w:rPr>
              <w:t>Patient</w:t>
            </w:r>
            <w:r w:rsidRPr="006C1447">
              <w:rPr>
                <w:szCs w:val="20"/>
              </w:rPr>
              <w:t xml:space="preserve"> must be treated by a haematologist or in consultation with a haematologist </w:t>
            </w:r>
            <w:r w:rsidRPr="006C1447">
              <w:rPr>
                <w:i/>
                <w:szCs w:val="20"/>
              </w:rPr>
              <w:t xml:space="preserve">; </w:t>
            </w:r>
            <w:r w:rsidRPr="006C1447">
              <w:rPr>
                <w:rFonts w:cstheme="minorHAnsi"/>
                <w:i/>
                <w:szCs w:val="20"/>
              </w:rPr>
              <w:t>or Must be treated by a non-specialist medical physician who has consulted a haematologist on the patient’s drug treatment details</w:t>
            </w:r>
            <w:r w:rsidRPr="006C1447">
              <w:rPr>
                <w:i/>
                <w:szCs w:val="20"/>
              </w:rPr>
              <w:t xml:space="preserve">  </w:t>
            </w:r>
            <w:r w:rsidRPr="006C1447">
              <w:rPr>
                <w:color w:val="FF00FF"/>
                <w:szCs w:val="20"/>
              </w:rPr>
              <w:t xml:space="preserve"> </w:t>
            </w:r>
          </w:p>
        </w:tc>
      </w:tr>
      <w:tr w:rsidR="003777C0" w:rsidRPr="00903174" w14:paraId="5A57E2D5" w14:textId="77777777" w:rsidTr="003F1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2" w:type="pct"/>
            <w:tcBorders>
              <w:top w:val="single" w:sz="4" w:space="0" w:color="auto"/>
              <w:left w:val="single" w:sz="4" w:space="0" w:color="auto"/>
              <w:bottom w:val="single" w:sz="4" w:space="0" w:color="auto"/>
              <w:right w:val="single" w:sz="4" w:space="0" w:color="auto"/>
            </w:tcBorders>
            <w:hideMark/>
          </w:tcPr>
          <w:p w14:paraId="5581D49A" w14:textId="77777777" w:rsidR="003777C0" w:rsidRPr="006C1447" w:rsidRDefault="003777C0" w:rsidP="0091111E">
            <w:pPr>
              <w:pStyle w:val="TableText"/>
              <w:keepNext w:val="0"/>
              <w:rPr>
                <w:szCs w:val="20"/>
              </w:rPr>
            </w:pPr>
            <w:r w:rsidRPr="006C1447">
              <w:rPr>
                <w:szCs w:val="20"/>
              </w:rPr>
              <w:t>Clinical criteria:</w:t>
            </w:r>
          </w:p>
        </w:tc>
        <w:tc>
          <w:tcPr>
            <w:tcW w:w="3758" w:type="pct"/>
            <w:gridSpan w:val="5"/>
            <w:tcBorders>
              <w:top w:val="single" w:sz="4" w:space="0" w:color="auto"/>
              <w:left w:val="single" w:sz="4" w:space="0" w:color="auto"/>
              <w:bottom w:val="single" w:sz="4" w:space="0" w:color="auto"/>
              <w:right w:val="single" w:sz="4" w:space="0" w:color="auto"/>
            </w:tcBorders>
          </w:tcPr>
          <w:p w14:paraId="70C602B7" w14:textId="77777777" w:rsidR="001F103A" w:rsidRPr="006C1447" w:rsidRDefault="001F103A" w:rsidP="0091111E">
            <w:pPr>
              <w:rPr>
                <w:rFonts w:ascii="Arial Narrow" w:hAnsi="Arial Narrow"/>
                <w:strike/>
                <w:sz w:val="20"/>
                <w:szCs w:val="20"/>
              </w:rPr>
            </w:pPr>
            <w:r w:rsidRPr="006C1447">
              <w:rPr>
                <w:rFonts w:ascii="Arial Narrow" w:hAnsi="Arial Narrow"/>
                <w:sz w:val="20"/>
                <w:szCs w:val="20"/>
              </w:rPr>
              <w:t xml:space="preserve">Patient must have </w:t>
            </w:r>
            <w:r w:rsidRPr="006C1447">
              <w:rPr>
                <w:rFonts w:ascii="Arial Narrow" w:hAnsi="Arial Narrow"/>
                <w:i/>
                <w:sz w:val="20"/>
                <w:szCs w:val="20"/>
              </w:rPr>
              <w:t>previously received PBS-subsidised treatment with this drug for this condition</w:t>
            </w:r>
            <w:r w:rsidRPr="006C1447">
              <w:rPr>
                <w:rFonts w:ascii="Arial Narrow" w:hAnsi="Arial Narrow"/>
                <w:sz w:val="20"/>
                <w:szCs w:val="20"/>
              </w:rPr>
              <w:t xml:space="preserve"> </w:t>
            </w:r>
            <w:r w:rsidRPr="006C1447">
              <w:rPr>
                <w:rFonts w:ascii="Arial Narrow" w:hAnsi="Arial Narrow"/>
                <w:strike/>
                <w:sz w:val="20"/>
                <w:szCs w:val="20"/>
              </w:rPr>
              <w:t>previously qualified for supply of ravulizumab for this condition under the initial treatment restriction, OR</w:t>
            </w:r>
          </w:p>
          <w:p w14:paraId="77632076" w14:textId="77777777" w:rsidR="003777C0" w:rsidRPr="006C1447" w:rsidRDefault="001F103A" w:rsidP="0091111E">
            <w:pPr>
              <w:rPr>
                <w:rFonts w:ascii="Arial Narrow" w:hAnsi="Arial Narrow"/>
                <w:sz w:val="20"/>
                <w:szCs w:val="20"/>
              </w:rPr>
            </w:pPr>
            <w:r w:rsidRPr="006C1447">
              <w:rPr>
                <w:rFonts w:ascii="Arial Narrow" w:hAnsi="Arial Narrow"/>
                <w:strike/>
                <w:sz w:val="20"/>
                <w:szCs w:val="20"/>
              </w:rPr>
              <w:t xml:space="preserve">Patient must have received non-LSDP subsidised treatment with this drug for this condition as part of the clinical trial programme prior to [XX listing date] </w:t>
            </w:r>
            <w:r w:rsidRPr="006C1447">
              <w:rPr>
                <w:rFonts w:ascii="Arial Narrow" w:hAnsi="Arial Narrow"/>
                <w:i/>
                <w:sz w:val="20"/>
                <w:szCs w:val="20"/>
              </w:rPr>
              <w:t>(separate grandfather treatment listing to be proposed by Secretariat for such patients; details still to be determined)</w:t>
            </w:r>
            <w:r w:rsidR="003777C0" w:rsidRPr="006C1447">
              <w:rPr>
                <w:rFonts w:ascii="Arial Narrow" w:hAnsi="Arial Narrow"/>
                <w:sz w:val="20"/>
                <w:szCs w:val="20"/>
              </w:rPr>
              <w:t xml:space="preserve"> AND </w:t>
            </w:r>
          </w:p>
          <w:p w14:paraId="30E143FB" w14:textId="77777777" w:rsidR="001F103A" w:rsidRPr="006C1447" w:rsidRDefault="001F103A" w:rsidP="0091111E">
            <w:pPr>
              <w:rPr>
                <w:rFonts w:ascii="Arial Narrow" w:hAnsi="Arial Narrow"/>
                <w:i/>
                <w:sz w:val="20"/>
                <w:szCs w:val="20"/>
              </w:rPr>
            </w:pPr>
            <w:r w:rsidRPr="006C1447">
              <w:rPr>
                <w:rFonts w:ascii="Arial Narrow" w:hAnsi="Arial Narrow"/>
                <w:i/>
                <w:sz w:val="20"/>
                <w:szCs w:val="20"/>
              </w:rPr>
              <w:t>Patient must not be currently participating in a clinical trial</w:t>
            </w:r>
          </w:p>
          <w:p w14:paraId="4CF9CA6D" w14:textId="77777777" w:rsidR="003777C0" w:rsidRPr="006C1447" w:rsidRDefault="003777C0" w:rsidP="0091111E">
            <w:pPr>
              <w:rPr>
                <w:rFonts w:ascii="Arial Narrow" w:hAnsi="Arial Narrow"/>
                <w:i/>
                <w:sz w:val="20"/>
                <w:szCs w:val="20"/>
              </w:rPr>
            </w:pPr>
            <w:r w:rsidRPr="006C1447">
              <w:rPr>
                <w:rFonts w:ascii="Arial Narrow" w:hAnsi="Arial Narrow"/>
                <w:sz w:val="20"/>
                <w:szCs w:val="20"/>
              </w:rPr>
              <w:t>Patient must demonstrate clinical improvement or stabilisation of the condition based on clinical data on the following monitoring requirements provided every 12 months</w:t>
            </w:r>
            <w:r w:rsidR="001F103A" w:rsidRPr="006C1447">
              <w:rPr>
                <w:rFonts w:ascii="Arial Narrow" w:hAnsi="Arial Narrow"/>
                <w:i/>
                <w:sz w:val="20"/>
                <w:szCs w:val="20"/>
              </w:rPr>
              <w:t>(further refinement by the Secretariat would be required with respect to how many need to be met, what values/outcomes must be met, what evidence is acceptable, etc.):</w:t>
            </w:r>
          </w:p>
          <w:p w14:paraId="25D79410" w14:textId="77777777" w:rsidR="003777C0" w:rsidRPr="006C1447" w:rsidRDefault="00FD5A6B" w:rsidP="00FD5A6B">
            <w:pPr>
              <w:rPr>
                <w:sz w:val="20"/>
                <w:szCs w:val="20"/>
              </w:rPr>
            </w:pPr>
            <w:r w:rsidRPr="006C1447">
              <w:rPr>
                <w:rFonts w:ascii="Arial Narrow" w:hAnsi="Arial Narrow"/>
                <w:sz w:val="20"/>
                <w:szCs w:val="20"/>
              </w:rPr>
              <w:t>h</w:t>
            </w:r>
            <w:r w:rsidR="003777C0" w:rsidRPr="006C1447">
              <w:rPr>
                <w:rFonts w:ascii="Arial Narrow" w:hAnsi="Arial Narrow"/>
                <w:sz w:val="20"/>
                <w:szCs w:val="20"/>
              </w:rPr>
              <w:t>aemoglobin (Hb)</w:t>
            </w:r>
            <w:r w:rsidRPr="006C1447">
              <w:rPr>
                <w:rFonts w:ascii="Arial Narrow" w:hAnsi="Arial Narrow"/>
                <w:sz w:val="20"/>
                <w:szCs w:val="20"/>
              </w:rPr>
              <w:t>; p</w:t>
            </w:r>
            <w:r w:rsidR="003777C0" w:rsidRPr="006C1447">
              <w:rPr>
                <w:rFonts w:ascii="Arial Narrow" w:hAnsi="Arial Narrow"/>
                <w:sz w:val="20"/>
                <w:szCs w:val="20"/>
              </w:rPr>
              <w:t>latelets</w:t>
            </w:r>
            <w:r w:rsidRPr="006C1447">
              <w:rPr>
                <w:rFonts w:ascii="Arial Narrow" w:hAnsi="Arial Narrow"/>
                <w:sz w:val="20"/>
                <w:szCs w:val="20"/>
              </w:rPr>
              <w:t>; w</w:t>
            </w:r>
            <w:r w:rsidR="003777C0" w:rsidRPr="006C1447">
              <w:rPr>
                <w:rFonts w:ascii="Arial Narrow" w:hAnsi="Arial Narrow"/>
                <w:sz w:val="20"/>
                <w:szCs w:val="20"/>
              </w:rPr>
              <w:t>hite cell count</w:t>
            </w:r>
            <w:r w:rsidRPr="006C1447">
              <w:rPr>
                <w:rFonts w:ascii="Arial Narrow" w:hAnsi="Arial Narrow"/>
                <w:sz w:val="20"/>
                <w:szCs w:val="20"/>
              </w:rPr>
              <w:t>; r</w:t>
            </w:r>
            <w:r w:rsidR="003777C0" w:rsidRPr="006C1447">
              <w:rPr>
                <w:rFonts w:ascii="Arial Narrow" w:hAnsi="Arial Narrow"/>
                <w:sz w:val="20"/>
                <w:szCs w:val="20"/>
              </w:rPr>
              <w:t>eticulocytes</w:t>
            </w:r>
            <w:r w:rsidRPr="006C1447">
              <w:rPr>
                <w:rFonts w:ascii="Arial Narrow" w:hAnsi="Arial Narrow"/>
                <w:sz w:val="20"/>
                <w:szCs w:val="20"/>
              </w:rPr>
              <w:t>; n</w:t>
            </w:r>
            <w:r w:rsidR="003777C0" w:rsidRPr="006C1447">
              <w:rPr>
                <w:rFonts w:ascii="Arial Narrow" w:hAnsi="Arial Narrow"/>
                <w:sz w:val="20"/>
                <w:szCs w:val="20"/>
              </w:rPr>
              <w:t>eutrophils</w:t>
            </w:r>
            <w:r w:rsidRPr="006C1447">
              <w:rPr>
                <w:rFonts w:ascii="Arial Narrow" w:hAnsi="Arial Narrow"/>
                <w:sz w:val="20"/>
                <w:szCs w:val="20"/>
              </w:rPr>
              <w:t>; g</w:t>
            </w:r>
            <w:r w:rsidR="003777C0" w:rsidRPr="006C1447">
              <w:rPr>
                <w:rFonts w:ascii="Arial Narrow" w:hAnsi="Arial Narrow"/>
                <w:sz w:val="20"/>
                <w:szCs w:val="20"/>
              </w:rPr>
              <w:t>ranulocyte clone size</w:t>
            </w:r>
            <w:r w:rsidRPr="006C1447">
              <w:rPr>
                <w:rFonts w:ascii="Arial Narrow" w:hAnsi="Arial Narrow"/>
                <w:sz w:val="20"/>
                <w:szCs w:val="20"/>
              </w:rPr>
              <w:t>; l</w:t>
            </w:r>
            <w:r w:rsidR="003777C0" w:rsidRPr="006C1447">
              <w:rPr>
                <w:rFonts w:ascii="Arial Narrow" w:hAnsi="Arial Narrow"/>
                <w:sz w:val="20"/>
                <w:szCs w:val="20"/>
              </w:rPr>
              <w:t>actate dehydrogenase (LDH)</w:t>
            </w:r>
            <w:r w:rsidRPr="006C1447">
              <w:rPr>
                <w:rFonts w:ascii="Arial Narrow" w:hAnsi="Arial Narrow"/>
                <w:sz w:val="20"/>
                <w:szCs w:val="20"/>
              </w:rPr>
              <w:t>; u</w:t>
            </w:r>
            <w:r w:rsidR="003777C0" w:rsidRPr="006C1447">
              <w:rPr>
                <w:rFonts w:ascii="Arial Narrow" w:hAnsi="Arial Narrow"/>
                <w:sz w:val="20"/>
                <w:szCs w:val="20"/>
              </w:rPr>
              <w:t>rea and electrolytes</w:t>
            </w:r>
            <w:r w:rsidRPr="006C1447">
              <w:rPr>
                <w:rFonts w:ascii="Arial Narrow" w:hAnsi="Arial Narrow"/>
                <w:sz w:val="20"/>
                <w:szCs w:val="20"/>
              </w:rPr>
              <w:t xml:space="preserve">; </w:t>
            </w:r>
            <w:r w:rsidR="003777C0" w:rsidRPr="006C1447">
              <w:rPr>
                <w:rFonts w:ascii="Arial Narrow" w:hAnsi="Arial Narrow"/>
                <w:sz w:val="20"/>
                <w:szCs w:val="20"/>
              </w:rPr>
              <w:t>eGFR</w:t>
            </w:r>
            <w:r w:rsidRPr="006C1447">
              <w:rPr>
                <w:rFonts w:ascii="Arial Narrow" w:hAnsi="Arial Narrow"/>
                <w:sz w:val="20"/>
                <w:szCs w:val="20"/>
              </w:rPr>
              <w:t>; i</w:t>
            </w:r>
            <w:r w:rsidR="003777C0" w:rsidRPr="006C1447">
              <w:rPr>
                <w:rFonts w:ascii="Arial Narrow" w:hAnsi="Arial Narrow"/>
                <w:sz w:val="20"/>
                <w:szCs w:val="20"/>
              </w:rPr>
              <w:t>ron studies</w:t>
            </w:r>
            <w:r w:rsidRPr="006C1447">
              <w:rPr>
                <w:rFonts w:ascii="Arial Narrow" w:hAnsi="Arial Narrow"/>
                <w:sz w:val="20"/>
                <w:szCs w:val="20"/>
              </w:rPr>
              <w:t>; t</w:t>
            </w:r>
            <w:r w:rsidR="003777C0" w:rsidRPr="006C1447">
              <w:rPr>
                <w:rFonts w:ascii="Arial Narrow" w:hAnsi="Arial Narrow"/>
                <w:sz w:val="20"/>
                <w:szCs w:val="20"/>
              </w:rPr>
              <w:t>hrombosis</w:t>
            </w:r>
            <w:r w:rsidRPr="006C1447">
              <w:rPr>
                <w:rFonts w:ascii="Arial Narrow" w:hAnsi="Arial Narrow"/>
                <w:sz w:val="20"/>
                <w:szCs w:val="20"/>
              </w:rPr>
              <w:t>; t</w:t>
            </w:r>
            <w:r w:rsidR="003777C0" w:rsidRPr="006C1447">
              <w:rPr>
                <w:rFonts w:ascii="Arial Narrow" w:hAnsi="Arial Narrow"/>
                <w:sz w:val="20"/>
                <w:szCs w:val="20"/>
              </w:rPr>
              <w:t>ransfusions</w:t>
            </w:r>
            <w:r w:rsidRPr="006C1447">
              <w:rPr>
                <w:rFonts w:ascii="Arial Narrow" w:hAnsi="Arial Narrow"/>
                <w:sz w:val="20"/>
                <w:szCs w:val="20"/>
              </w:rPr>
              <w:t>; a</w:t>
            </w:r>
            <w:r w:rsidR="003777C0" w:rsidRPr="006C1447">
              <w:rPr>
                <w:rFonts w:ascii="Arial Narrow" w:hAnsi="Arial Narrow"/>
                <w:sz w:val="20"/>
                <w:szCs w:val="20"/>
              </w:rPr>
              <w:t>naemia</w:t>
            </w:r>
            <w:r w:rsidRPr="006C1447">
              <w:rPr>
                <w:rFonts w:ascii="Arial Narrow" w:hAnsi="Arial Narrow"/>
                <w:sz w:val="20"/>
                <w:szCs w:val="20"/>
              </w:rPr>
              <w:t>; p</w:t>
            </w:r>
            <w:r w:rsidR="003777C0" w:rsidRPr="006C1447">
              <w:rPr>
                <w:rFonts w:ascii="Arial Narrow" w:hAnsi="Arial Narrow"/>
                <w:sz w:val="20"/>
                <w:szCs w:val="20"/>
              </w:rPr>
              <w:t>ulmonary insufficiency</w:t>
            </w:r>
            <w:r w:rsidRPr="006C1447">
              <w:rPr>
                <w:rFonts w:ascii="Arial Narrow" w:hAnsi="Arial Narrow"/>
                <w:sz w:val="20"/>
                <w:szCs w:val="20"/>
              </w:rPr>
              <w:t>; r</w:t>
            </w:r>
            <w:r w:rsidR="003777C0" w:rsidRPr="006C1447">
              <w:rPr>
                <w:rFonts w:ascii="Arial Narrow" w:hAnsi="Arial Narrow"/>
                <w:sz w:val="20"/>
                <w:szCs w:val="20"/>
              </w:rPr>
              <w:t>enal insufficiency</w:t>
            </w:r>
            <w:r w:rsidRPr="006C1447">
              <w:rPr>
                <w:rFonts w:ascii="Arial Narrow" w:hAnsi="Arial Narrow"/>
                <w:sz w:val="20"/>
                <w:szCs w:val="20"/>
              </w:rPr>
              <w:t>; s</w:t>
            </w:r>
            <w:r w:rsidR="003777C0" w:rsidRPr="006C1447">
              <w:rPr>
                <w:rFonts w:ascii="Arial Narrow" w:hAnsi="Arial Narrow"/>
                <w:sz w:val="20"/>
                <w:szCs w:val="20"/>
              </w:rPr>
              <w:t>mooth muscle spasm</w:t>
            </w:r>
            <w:r w:rsidRPr="006C1447">
              <w:rPr>
                <w:rFonts w:ascii="Arial Narrow" w:hAnsi="Arial Narrow"/>
                <w:sz w:val="20"/>
                <w:szCs w:val="20"/>
              </w:rPr>
              <w:t>; t</w:t>
            </w:r>
            <w:r w:rsidR="003777C0" w:rsidRPr="006C1447">
              <w:rPr>
                <w:rFonts w:ascii="Arial Narrow" w:hAnsi="Arial Narrow"/>
                <w:sz w:val="20"/>
                <w:szCs w:val="20"/>
              </w:rPr>
              <w:t>ransfusion history</w:t>
            </w:r>
            <w:r w:rsidRPr="006C1447">
              <w:rPr>
                <w:rFonts w:ascii="Arial Narrow" w:hAnsi="Arial Narrow"/>
                <w:sz w:val="20"/>
                <w:szCs w:val="20"/>
              </w:rPr>
              <w:t>; q</w:t>
            </w:r>
            <w:r w:rsidR="003777C0" w:rsidRPr="006C1447">
              <w:rPr>
                <w:rFonts w:ascii="Arial Narrow" w:hAnsi="Arial Narrow"/>
                <w:sz w:val="20"/>
                <w:szCs w:val="20"/>
              </w:rPr>
              <w:t>uality of life (narrative including fatigue)</w:t>
            </w:r>
            <w:r w:rsidRPr="006C1447">
              <w:rPr>
                <w:rFonts w:ascii="Arial Narrow" w:hAnsi="Arial Narrow"/>
                <w:sz w:val="20"/>
                <w:szCs w:val="20"/>
              </w:rPr>
              <w:t>; P</w:t>
            </w:r>
            <w:r w:rsidR="003777C0" w:rsidRPr="006C1447">
              <w:rPr>
                <w:rFonts w:ascii="Arial Narrow" w:hAnsi="Arial Narrow"/>
                <w:sz w:val="20"/>
                <w:szCs w:val="20"/>
              </w:rPr>
              <w:t>NH related medications</w:t>
            </w:r>
            <w:r w:rsidRPr="006C1447">
              <w:rPr>
                <w:rFonts w:ascii="Arial Narrow" w:hAnsi="Arial Narrow"/>
                <w:sz w:val="20"/>
                <w:szCs w:val="20"/>
              </w:rPr>
              <w:t>; a</w:t>
            </w:r>
            <w:r w:rsidR="003777C0" w:rsidRPr="006C1447">
              <w:rPr>
                <w:rFonts w:ascii="Arial Narrow" w:hAnsi="Arial Narrow"/>
                <w:sz w:val="20"/>
                <w:szCs w:val="20"/>
              </w:rPr>
              <w:t>necdotal information from treating physician</w:t>
            </w:r>
            <w:r w:rsidRPr="006C1447">
              <w:rPr>
                <w:rFonts w:ascii="Arial Narrow" w:hAnsi="Arial Narrow"/>
                <w:sz w:val="20"/>
                <w:szCs w:val="20"/>
              </w:rPr>
              <w:t>; o</w:t>
            </w:r>
            <w:r w:rsidR="003777C0" w:rsidRPr="006C1447">
              <w:rPr>
                <w:rFonts w:ascii="Arial Narrow" w:hAnsi="Arial Narrow"/>
                <w:sz w:val="20"/>
                <w:szCs w:val="20"/>
              </w:rPr>
              <w:t>ther conditions/diagnosis</w:t>
            </w:r>
            <w:r w:rsidRPr="006C1447">
              <w:rPr>
                <w:rFonts w:ascii="Arial Narrow" w:hAnsi="Arial Narrow"/>
                <w:sz w:val="20"/>
                <w:szCs w:val="20"/>
              </w:rPr>
              <w:t>; vaccination date.</w:t>
            </w:r>
          </w:p>
        </w:tc>
      </w:tr>
      <w:tr w:rsidR="003777C0" w:rsidRPr="00903174" w14:paraId="0ED38D21" w14:textId="77777777" w:rsidTr="003F19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42" w:type="pct"/>
            <w:tcBorders>
              <w:top w:val="single" w:sz="4" w:space="0" w:color="auto"/>
              <w:left w:val="single" w:sz="4" w:space="0" w:color="auto"/>
              <w:bottom w:val="single" w:sz="4" w:space="0" w:color="auto"/>
              <w:right w:val="single" w:sz="4" w:space="0" w:color="auto"/>
            </w:tcBorders>
          </w:tcPr>
          <w:p w14:paraId="78A5E7FB" w14:textId="77777777" w:rsidR="003777C0" w:rsidRPr="00903174" w:rsidRDefault="003777C0" w:rsidP="0091111E">
            <w:pPr>
              <w:pStyle w:val="TableText"/>
              <w:keepNext w:val="0"/>
            </w:pPr>
            <w:r w:rsidRPr="00903174">
              <w:t>Population criteria:</w:t>
            </w:r>
          </w:p>
        </w:tc>
        <w:tc>
          <w:tcPr>
            <w:tcW w:w="3758" w:type="pct"/>
            <w:gridSpan w:val="5"/>
            <w:tcBorders>
              <w:top w:val="single" w:sz="4" w:space="0" w:color="auto"/>
              <w:left w:val="single" w:sz="4" w:space="0" w:color="auto"/>
              <w:bottom w:val="single" w:sz="4" w:space="0" w:color="auto"/>
              <w:right w:val="single" w:sz="4" w:space="0" w:color="auto"/>
            </w:tcBorders>
          </w:tcPr>
          <w:p w14:paraId="0FC189E3" w14:textId="77777777" w:rsidR="003777C0" w:rsidRPr="00903174" w:rsidRDefault="003777C0" w:rsidP="0091111E">
            <w:pPr>
              <w:pStyle w:val="TableText"/>
              <w:keepNext w:val="0"/>
              <w:rPr>
                <w:color w:val="000000"/>
              </w:rPr>
            </w:pPr>
            <w:r w:rsidRPr="00903174">
              <w:t xml:space="preserve">Patients must be </w:t>
            </w:r>
            <w:r w:rsidRPr="00903174">
              <w:rPr>
                <w:strike/>
              </w:rPr>
              <w:t>aged</w:t>
            </w:r>
            <w:r w:rsidRPr="00903174">
              <w:t xml:space="preserve"> 18 years or older</w:t>
            </w:r>
          </w:p>
        </w:tc>
      </w:tr>
    </w:tbl>
    <w:p w14:paraId="64D9DF49" w14:textId="77777777" w:rsidR="003F1975" w:rsidRPr="00903174" w:rsidRDefault="003F1975" w:rsidP="0091111E">
      <w:pPr>
        <w:pStyle w:val="TableFigureFooter"/>
      </w:pPr>
      <w:r w:rsidRPr="00903174">
        <w:t>Source: Table 1</w:t>
      </w:r>
      <w:r w:rsidR="003777C0" w:rsidRPr="00903174">
        <w:t>5</w:t>
      </w:r>
      <w:r w:rsidRPr="00903174">
        <w:t>, p</w:t>
      </w:r>
      <w:r w:rsidR="003777C0" w:rsidRPr="00903174">
        <w:t>p</w:t>
      </w:r>
      <w:r w:rsidRPr="00903174">
        <w:t>3</w:t>
      </w:r>
      <w:r w:rsidR="003777C0" w:rsidRPr="00903174">
        <w:t>9-40</w:t>
      </w:r>
      <w:r w:rsidRPr="00903174">
        <w:t xml:space="preserve"> of the submission.</w:t>
      </w:r>
    </w:p>
    <w:p w14:paraId="1557EB7C" w14:textId="77777777" w:rsidR="003777C0" w:rsidRPr="00903174" w:rsidRDefault="003777C0" w:rsidP="003777C0">
      <w:pPr>
        <w:pStyle w:val="ExecSumBodyText"/>
        <w:rPr>
          <w:color w:val="000000" w:themeColor="text1"/>
        </w:rPr>
      </w:pPr>
      <w:r w:rsidRPr="00903174">
        <w:rPr>
          <w:color w:val="000000" w:themeColor="text1"/>
        </w:rPr>
        <w:t xml:space="preserve">The submission noted that </w:t>
      </w:r>
      <w:r w:rsidR="000D24B9">
        <w:rPr>
          <w:color w:val="000000" w:themeColor="text1"/>
        </w:rPr>
        <w:t>less than 10,000</w:t>
      </w:r>
      <w:r w:rsidR="000D24B9" w:rsidRPr="00903174">
        <w:rPr>
          <w:color w:val="000000" w:themeColor="text1"/>
        </w:rPr>
        <w:t xml:space="preserve"> </w:t>
      </w:r>
      <w:r w:rsidRPr="00903174">
        <w:rPr>
          <w:color w:val="000000" w:themeColor="text1"/>
        </w:rPr>
        <w:t xml:space="preserve">Australian patients are currently treated with ravulizumab through participation in the extension phase of three ravulizumab clinical trials. The sponsor requested a grandfathering provision for these </w:t>
      </w:r>
      <w:r w:rsidR="000D24B9">
        <w:rPr>
          <w:color w:val="000000" w:themeColor="text1"/>
        </w:rPr>
        <w:t>less than 10,000</w:t>
      </w:r>
      <w:r w:rsidR="000D24B9" w:rsidRPr="00903174">
        <w:rPr>
          <w:color w:val="000000" w:themeColor="text1"/>
        </w:rPr>
        <w:t xml:space="preserve"> </w:t>
      </w:r>
      <w:r w:rsidRPr="00903174">
        <w:rPr>
          <w:color w:val="000000" w:themeColor="text1"/>
        </w:rPr>
        <w:t xml:space="preserve">patients. </w:t>
      </w:r>
      <w:r w:rsidR="00656B95" w:rsidRPr="00903174">
        <w:rPr>
          <w:color w:val="000000" w:themeColor="text1"/>
        </w:rPr>
        <w:t>There was no assessment of these patients against eligibility criteria in the requested PBS restriction.</w:t>
      </w:r>
    </w:p>
    <w:p w14:paraId="68F1A01A" w14:textId="77777777" w:rsidR="003777C0" w:rsidRPr="00903174" w:rsidRDefault="003777C0" w:rsidP="003777C0">
      <w:pPr>
        <w:pStyle w:val="ExecSumBodyText"/>
        <w:rPr>
          <w:color w:val="000000" w:themeColor="text1"/>
        </w:rPr>
      </w:pPr>
      <w:r w:rsidRPr="00903174">
        <w:rPr>
          <w:color w:val="000000" w:themeColor="text1"/>
        </w:rPr>
        <w:t xml:space="preserve">The requested restrictions are narrower than the approved TGA indication (adults with PNH), with a number of additional specific clinical criteria included in the requested restrictions. </w:t>
      </w:r>
    </w:p>
    <w:p w14:paraId="1897FE28" w14:textId="77777777" w:rsidR="00CC35EA" w:rsidRPr="00903174" w:rsidRDefault="003777C0" w:rsidP="003777C0">
      <w:pPr>
        <w:pStyle w:val="ExecSumBodyText"/>
        <w:rPr>
          <w:color w:val="000000" w:themeColor="text1"/>
        </w:rPr>
      </w:pPr>
      <w:r w:rsidRPr="00903174">
        <w:rPr>
          <w:color w:val="000000" w:themeColor="text1"/>
        </w:rPr>
        <w:t>Unlike eculizumab</w:t>
      </w:r>
      <w:r w:rsidR="00922DEB" w:rsidRPr="00903174">
        <w:rPr>
          <w:color w:val="000000" w:themeColor="text1"/>
        </w:rPr>
        <w:t>,</w:t>
      </w:r>
      <w:r w:rsidRPr="00903174">
        <w:rPr>
          <w:color w:val="000000" w:themeColor="text1"/>
        </w:rPr>
        <w:t xml:space="preserve"> which is indicated for use in both children and adults, the TGA approved indication and the requested restriction for ravulizumab limits treatment to adults</w:t>
      </w:r>
      <w:r w:rsidR="00415038" w:rsidRPr="00903174">
        <w:rPr>
          <w:color w:val="000000" w:themeColor="text1"/>
        </w:rPr>
        <w:t xml:space="preserve"> (aged 18 years and older)</w:t>
      </w:r>
      <w:r w:rsidRPr="00903174">
        <w:rPr>
          <w:color w:val="000000" w:themeColor="text1"/>
        </w:rPr>
        <w:t>, as the safety and efficacy of ravulizumab in children with PNH has not been established.</w:t>
      </w:r>
      <w:r w:rsidR="009009E4" w:rsidRPr="00903174">
        <w:rPr>
          <w:color w:val="000000" w:themeColor="text1"/>
        </w:rPr>
        <w:t xml:space="preserve"> The ESC also noted that ravulizumab is not recommended for use in pregnancy. </w:t>
      </w:r>
    </w:p>
    <w:p w14:paraId="19FE0FE9" w14:textId="77777777" w:rsidR="003777C0" w:rsidRPr="00903174" w:rsidRDefault="003777C0" w:rsidP="003777C0">
      <w:pPr>
        <w:pStyle w:val="ExecSumBodyText"/>
        <w:rPr>
          <w:color w:val="000000" w:themeColor="text1"/>
        </w:rPr>
      </w:pPr>
      <w:r w:rsidRPr="00903174">
        <w:rPr>
          <w:color w:val="000000" w:themeColor="text1"/>
        </w:rPr>
        <w:t>The proposed eligibility criteria were similar to those used in the included ravulizumab trials, with LDH required to be greater than 1.5 times the upper limit of normal prior to treatment with a complement inhibitor. However, the trial criteria specified diagnosis of PNH confirmed by granulocyte or monocyte clone size of ≥5%, compared to ≥10% for the requested restriction.</w:t>
      </w:r>
    </w:p>
    <w:p w14:paraId="42B52D25" w14:textId="77777777" w:rsidR="009009E4" w:rsidRPr="00903174" w:rsidRDefault="009009E4" w:rsidP="003777C0">
      <w:pPr>
        <w:pStyle w:val="ExecSumBodyText"/>
        <w:rPr>
          <w:color w:val="000000" w:themeColor="text1"/>
        </w:rPr>
      </w:pPr>
      <w:r w:rsidRPr="00903174">
        <w:rPr>
          <w:color w:val="000000" w:themeColor="text1"/>
        </w:rPr>
        <w:t xml:space="preserve">The proposed clinical criteria for treatment with ravulizumab are the same as the existing criteria for adult patients with PNH, treated with eculizumab via the LSDP. </w:t>
      </w:r>
    </w:p>
    <w:p w14:paraId="3B91B391" w14:textId="77777777" w:rsidR="00535C1F" w:rsidRPr="00346D24" w:rsidRDefault="003777C0" w:rsidP="00653A61">
      <w:pPr>
        <w:pStyle w:val="ExecSumBodyText"/>
        <w:rPr>
          <w:color w:val="000000" w:themeColor="text1"/>
        </w:rPr>
      </w:pPr>
      <w:r w:rsidRPr="00903174">
        <w:rPr>
          <w:color w:val="000000" w:themeColor="text1"/>
        </w:rPr>
        <w:t xml:space="preserve">The sponsor stated that they anticipate that ravulizumab will be considered for inclusion on the LSDP, should ravulizumab be deemed to be clinically effective but not </w:t>
      </w:r>
      <w:r w:rsidRPr="00903174">
        <w:rPr>
          <w:color w:val="000000" w:themeColor="text1"/>
        </w:rPr>
        <w:lastRenderedPageBreak/>
        <w:t>cost-effective by the PBAC.</w:t>
      </w:r>
      <w:r w:rsidR="00F22D35" w:rsidRPr="00903174">
        <w:rPr>
          <w:color w:val="000000" w:themeColor="text1"/>
        </w:rPr>
        <w:t xml:space="preserve"> </w:t>
      </w:r>
      <w:r w:rsidR="00F22D35" w:rsidRPr="00903174">
        <w:rPr>
          <w:snapToGrid/>
        </w:rPr>
        <w:t>The PBAC cannot advise if a drug is appropriate for listing on the LSDP.</w:t>
      </w:r>
    </w:p>
    <w:p w14:paraId="5FA29452" w14:textId="77777777" w:rsidR="00346D24" w:rsidRPr="00346D24" w:rsidRDefault="00346D24" w:rsidP="00346D24">
      <w:pPr>
        <w:ind w:firstLine="720"/>
        <w:rPr>
          <w:i/>
        </w:rPr>
      </w:pPr>
      <w:r w:rsidRPr="00346D24">
        <w:rPr>
          <w:i/>
        </w:rPr>
        <w:t>For more detail on PBAC’s view, see section 7 PBAC outcome.</w:t>
      </w:r>
    </w:p>
    <w:p w14:paraId="7B20F509" w14:textId="77777777" w:rsidR="00B50DB8" w:rsidRPr="00903174" w:rsidRDefault="00B50DB8" w:rsidP="004E18E9">
      <w:pPr>
        <w:pStyle w:val="2-SectionHeading"/>
      </w:pPr>
      <w:bookmarkStart w:id="10" w:name="_Toc40702918"/>
      <w:r w:rsidRPr="00903174">
        <w:t>Comparator</w:t>
      </w:r>
      <w:bookmarkEnd w:id="10"/>
    </w:p>
    <w:p w14:paraId="3A656603" w14:textId="77777777" w:rsidR="007547D9" w:rsidRPr="00903174" w:rsidRDefault="00D930FC" w:rsidP="0050376F">
      <w:pPr>
        <w:pStyle w:val="ExecSumBodyText"/>
        <w:rPr>
          <w:snapToGrid/>
          <w:color w:val="000000" w:themeColor="text1"/>
        </w:rPr>
      </w:pPr>
      <w:r w:rsidRPr="00903174">
        <w:rPr>
          <w:color w:val="000000" w:themeColor="text1"/>
        </w:rPr>
        <w:t xml:space="preserve">The submission nominated eculizumab as the main comparator, </w:t>
      </w:r>
      <w:r w:rsidR="00AF3C59" w:rsidRPr="00903174">
        <w:rPr>
          <w:color w:val="000000" w:themeColor="text1"/>
        </w:rPr>
        <w:t xml:space="preserve">and </w:t>
      </w:r>
      <w:r w:rsidR="00D73ECF" w:rsidRPr="00903174">
        <w:rPr>
          <w:color w:val="000000" w:themeColor="text1"/>
        </w:rPr>
        <w:t>BSC</w:t>
      </w:r>
      <w:r w:rsidRPr="00903174">
        <w:rPr>
          <w:color w:val="000000" w:themeColor="text1"/>
        </w:rPr>
        <w:t xml:space="preserve"> as an additional comparator. Eculizumab is an anti-C5 monoclonal antibody, administered as an IV infusion every 14 days, with more frequent dosing (every 12 days) for patients who experience breakthrough haemolysis.</w:t>
      </w:r>
      <w:r w:rsidR="007547D9" w:rsidRPr="00903174">
        <w:rPr>
          <w:color w:val="000000" w:themeColor="text1"/>
        </w:rPr>
        <w:t xml:space="preserve"> </w:t>
      </w:r>
      <w:r w:rsidR="007547D9" w:rsidRPr="00903174">
        <w:rPr>
          <w:snapToGrid/>
          <w:color w:val="000000" w:themeColor="text1"/>
        </w:rPr>
        <w:t xml:space="preserve">Although not listed on the PBS for PNH, eculizumab underwent clinical evaluation by the PBAC for efficacy and safety and economic evaluation for cost-effectiveness against best supportive care prior to its recommendation for inclusion on the Life Saving Drugs Program (LSDP) in 2010 for PNH. </w:t>
      </w:r>
    </w:p>
    <w:p w14:paraId="5F0751C9" w14:textId="77777777" w:rsidR="0033753A" w:rsidRPr="00903174" w:rsidRDefault="009009E4" w:rsidP="0050376F">
      <w:pPr>
        <w:pStyle w:val="ExecSumBodyText"/>
        <w:rPr>
          <w:snapToGrid/>
          <w:color w:val="000000" w:themeColor="text1"/>
        </w:rPr>
      </w:pPr>
      <w:r w:rsidRPr="00903174">
        <w:rPr>
          <w:snapToGrid/>
          <w:color w:val="000000" w:themeColor="text1"/>
        </w:rPr>
        <w:t>The ESC considered eculizumab was the appropriate main comparator</w:t>
      </w:r>
      <w:r w:rsidR="0033753A" w:rsidRPr="00903174">
        <w:rPr>
          <w:snapToGrid/>
          <w:color w:val="000000" w:themeColor="text1"/>
        </w:rPr>
        <w:t xml:space="preserve"> (as opposed to BSC), given the similarities in patient eligibility criteria between the two treatments and that it was estimated around </w:t>
      </w:r>
      <w:r w:rsidR="00DF28C6">
        <w:rPr>
          <w:noProof/>
          <w:snapToGrid/>
          <w:color w:val="000000"/>
          <w:highlight w:val="black"/>
        </w:rPr>
        <w:t>'''''</w:t>
      </w:r>
      <w:r w:rsidR="0033753A" w:rsidRPr="00903174">
        <w:rPr>
          <w:snapToGrid/>
          <w:color w:val="000000" w:themeColor="text1"/>
        </w:rPr>
        <w:t>% of current eculizumab use on the LSDP would be re</w:t>
      </w:r>
      <w:r w:rsidR="00A01198" w:rsidRPr="00903174">
        <w:rPr>
          <w:snapToGrid/>
          <w:color w:val="000000" w:themeColor="text1"/>
        </w:rPr>
        <w:t>placed by ravulizumab, should ravulizumab</w:t>
      </w:r>
      <w:r w:rsidR="0033753A" w:rsidRPr="00903174">
        <w:rPr>
          <w:snapToGrid/>
          <w:color w:val="000000" w:themeColor="text1"/>
        </w:rPr>
        <w:t xml:space="preserve"> be recommended for PBS listing</w:t>
      </w:r>
      <w:r w:rsidRPr="00903174">
        <w:rPr>
          <w:snapToGrid/>
          <w:color w:val="000000" w:themeColor="text1"/>
        </w:rPr>
        <w:t xml:space="preserve">. </w:t>
      </w:r>
    </w:p>
    <w:p w14:paraId="36D97DE9" w14:textId="77777777" w:rsidR="00D930FC" w:rsidRPr="00903174" w:rsidRDefault="007547D9" w:rsidP="007547D9">
      <w:pPr>
        <w:pStyle w:val="ExecSumBodyText"/>
        <w:rPr>
          <w:snapToGrid/>
          <w:color w:val="000000" w:themeColor="text1"/>
        </w:rPr>
      </w:pPr>
      <w:r w:rsidRPr="00903174">
        <w:rPr>
          <w:snapToGrid/>
          <w:color w:val="000000" w:themeColor="text1"/>
        </w:rPr>
        <w:t xml:space="preserve">BSC was nominated as a secondary comparator to determine the cost-effectiveness of a PBS listing for ravulizumab, as there is currently no PBS-listed medicine specifically for the treatment of patients with PNH. BSC reduces the systemic effects of anaemia, intravascular haemolysis, and thromboembolic disease, but does not treat the underlying condition. </w:t>
      </w:r>
      <w:r w:rsidR="0033753A" w:rsidRPr="00903174">
        <w:rPr>
          <w:snapToGrid/>
          <w:color w:val="000000" w:themeColor="text1"/>
        </w:rPr>
        <w:t>BSC</w:t>
      </w:r>
      <w:r w:rsidRPr="00903174">
        <w:rPr>
          <w:snapToGrid/>
          <w:color w:val="000000" w:themeColor="text1"/>
        </w:rPr>
        <w:t xml:space="preserve"> treatments include transfusion of red blood cells, iron and/or folic acid therapy, steroids (androgens, glucocorticoids, anabolic steroids) and anticoagulants (coumarins and heparins). </w:t>
      </w:r>
    </w:p>
    <w:p w14:paraId="50C03114" w14:textId="77777777" w:rsidR="00A01198" w:rsidRPr="00903174" w:rsidRDefault="009009E4" w:rsidP="00A01198">
      <w:pPr>
        <w:pStyle w:val="ExecSumBodyText"/>
        <w:rPr>
          <w:snapToGrid/>
          <w:color w:val="000000" w:themeColor="text1"/>
        </w:rPr>
      </w:pPr>
      <w:r w:rsidRPr="00903174">
        <w:rPr>
          <w:snapToGrid/>
          <w:color w:val="000000" w:themeColor="text1"/>
        </w:rPr>
        <w:t>The ESC considered BSC was an a</w:t>
      </w:r>
      <w:r w:rsidR="004E2AA5" w:rsidRPr="00903174">
        <w:rPr>
          <w:snapToGrid/>
          <w:color w:val="000000" w:themeColor="text1"/>
        </w:rPr>
        <w:t xml:space="preserve">ppropriate secondary comparator, given eculizumab is not PBS-listed for PNH. The ESC noted that all the </w:t>
      </w:r>
      <w:r w:rsidR="00A01198" w:rsidRPr="00903174">
        <w:rPr>
          <w:snapToGrid/>
          <w:color w:val="000000" w:themeColor="text1"/>
        </w:rPr>
        <w:t>data</w:t>
      </w:r>
      <w:r w:rsidR="004E2AA5" w:rsidRPr="00903174">
        <w:rPr>
          <w:snapToGrid/>
          <w:color w:val="000000" w:themeColor="text1"/>
        </w:rPr>
        <w:t xml:space="preserve"> compa</w:t>
      </w:r>
      <w:r w:rsidR="006D7D75" w:rsidRPr="00903174">
        <w:rPr>
          <w:snapToGrid/>
          <w:color w:val="000000" w:themeColor="text1"/>
        </w:rPr>
        <w:t>r</w:t>
      </w:r>
      <w:r w:rsidR="004E2AA5" w:rsidRPr="00903174">
        <w:rPr>
          <w:snapToGrid/>
          <w:color w:val="000000" w:themeColor="text1"/>
        </w:rPr>
        <w:t xml:space="preserve">ing ravulizumab to BSC is indirect, however it considered it would be unethical to conduct a clinical trial of ravulizumab vs BSC, given eculizumab is the current standard of care in PNH. </w:t>
      </w:r>
    </w:p>
    <w:p w14:paraId="7827B982" w14:textId="77777777" w:rsidR="00535C1F" w:rsidRPr="00903174" w:rsidRDefault="00B72C77" w:rsidP="00653A61">
      <w:pPr>
        <w:pStyle w:val="ExecSumBodyText"/>
      </w:pPr>
      <w:r w:rsidRPr="00903174">
        <w:rPr>
          <w:snapToGrid/>
          <w:color w:val="000000" w:themeColor="text1"/>
        </w:rPr>
        <w:t>The</w:t>
      </w:r>
      <w:r w:rsidRPr="00903174">
        <w:t xml:space="preserve"> ESC advised that given eculizumab is clinically the most appropriate comparator, consideration should be given as to whether eculizumab for PNH could be moved from the LSDP to the PBS, noting it is currently available on the PBS for a different indication (</w:t>
      </w:r>
      <w:r w:rsidR="001A776D" w:rsidRPr="00903174">
        <w:t>a</w:t>
      </w:r>
      <w:r w:rsidR="001A776D" w:rsidRPr="00903174">
        <w:rPr>
          <w:color w:val="000000" w:themeColor="text1"/>
        </w:rPr>
        <w:t xml:space="preserve">typical </w:t>
      </w:r>
      <w:r w:rsidR="00346D24" w:rsidRPr="00903174">
        <w:rPr>
          <w:color w:val="000000" w:themeColor="text1"/>
        </w:rPr>
        <w:t>haemolytic</w:t>
      </w:r>
      <w:r w:rsidR="001A776D" w:rsidRPr="00903174">
        <w:rPr>
          <w:color w:val="000000" w:themeColor="text1"/>
        </w:rPr>
        <w:t xml:space="preserve"> uremic syndrome (</w:t>
      </w:r>
      <w:r w:rsidRPr="00903174">
        <w:t>aHUS</w:t>
      </w:r>
      <w:r w:rsidR="001A776D" w:rsidRPr="00903174">
        <w:t>)</w:t>
      </w:r>
      <w:r w:rsidRPr="00903174">
        <w:t xml:space="preserve">). The ESC considered if eculizumab for PNH was also listed on the PBS, it would remove a large amount of </w:t>
      </w:r>
      <w:r w:rsidR="00FA7C53" w:rsidRPr="00903174">
        <w:t>uncertainty</w:t>
      </w:r>
      <w:r w:rsidRPr="00903174">
        <w:t xml:space="preserve"> resulting from the comparison with BSC, given the multiple naïve indirect comparisons involved and no direct PBS reference point for price.</w:t>
      </w:r>
    </w:p>
    <w:p w14:paraId="2704A9FD" w14:textId="77777777" w:rsidR="00535C1F" w:rsidRPr="00903174" w:rsidRDefault="00535C1F" w:rsidP="00535C1F">
      <w:pPr>
        <w:rPr>
          <w:i/>
        </w:rPr>
      </w:pPr>
      <w:r w:rsidRPr="00903174">
        <w:rPr>
          <w:i/>
        </w:rPr>
        <w:t xml:space="preserve"> </w:t>
      </w:r>
      <w:r w:rsidR="00346D24">
        <w:rPr>
          <w:i/>
        </w:rPr>
        <w:tab/>
      </w:r>
      <w:r w:rsidRPr="00903174">
        <w:rPr>
          <w:i/>
        </w:rPr>
        <w:t>For more detail on PBAC’s view, see section 7 PBAC outcome.</w:t>
      </w:r>
    </w:p>
    <w:p w14:paraId="78FA08D4" w14:textId="77777777" w:rsidR="00223D5A" w:rsidRPr="00903174" w:rsidRDefault="00223D5A" w:rsidP="00781CF6">
      <w:pPr>
        <w:pStyle w:val="2-SectionHeading"/>
        <w:numPr>
          <w:ilvl w:val="0"/>
          <w:numId w:val="1"/>
        </w:numPr>
      </w:pPr>
      <w:bookmarkStart w:id="11" w:name="_Toc40702919"/>
      <w:bookmarkStart w:id="12" w:name="_Toc22897640"/>
      <w:r w:rsidRPr="00903174">
        <w:lastRenderedPageBreak/>
        <w:t>Consideration of the evidence</w:t>
      </w:r>
      <w:bookmarkEnd w:id="11"/>
    </w:p>
    <w:p w14:paraId="2B319684" w14:textId="77777777" w:rsidR="00051C86" w:rsidRPr="00903174" w:rsidRDefault="00051C86" w:rsidP="00415038">
      <w:pPr>
        <w:pStyle w:val="3-SubsectionHeading"/>
      </w:pPr>
      <w:bookmarkStart w:id="13" w:name="_Toc40702920"/>
      <w:r w:rsidRPr="00903174">
        <w:t>Sponsor Hearing</w:t>
      </w:r>
    </w:p>
    <w:p w14:paraId="28681634" w14:textId="77777777" w:rsidR="00AC5EC4" w:rsidRPr="00903174" w:rsidRDefault="008923A6" w:rsidP="0070120C">
      <w:pPr>
        <w:pStyle w:val="ExecSumBodyText"/>
        <w:numPr>
          <w:ilvl w:val="1"/>
          <w:numId w:val="1"/>
        </w:numPr>
      </w:pPr>
      <w:r w:rsidRPr="00903174">
        <w:t xml:space="preserve">The sponsor requested a hearing for this item. The clinician presented </w:t>
      </w:r>
      <w:r w:rsidR="00463E5A" w:rsidRPr="00903174">
        <w:t>the natural history of the disease, how the drug compares to eculizumab</w:t>
      </w:r>
      <w:r w:rsidR="00653A61" w:rsidRPr="00903174">
        <w:t xml:space="preserve"> in relation to</w:t>
      </w:r>
      <w:r w:rsidR="00AC5EC4" w:rsidRPr="00903174">
        <w:t xml:space="preserve"> clinical outcomes</w:t>
      </w:r>
      <w:r w:rsidR="00463E5A" w:rsidRPr="00903174">
        <w:t xml:space="preserve">, </w:t>
      </w:r>
      <w:r w:rsidR="00AC5EC4" w:rsidRPr="00903174">
        <w:t xml:space="preserve">patients’ preference for the eight-weekly dosing regimen and other matters. </w:t>
      </w:r>
    </w:p>
    <w:p w14:paraId="3C2890F9" w14:textId="77777777" w:rsidR="006C63F8" w:rsidRPr="00903174" w:rsidRDefault="00AC5EC4" w:rsidP="0070120C">
      <w:pPr>
        <w:pStyle w:val="ExecSumBodyText"/>
        <w:numPr>
          <w:ilvl w:val="1"/>
          <w:numId w:val="1"/>
        </w:numPr>
      </w:pPr>
      <w:r w:rsidRPr="00903174">
        <w:t xml:space="preserve">The PBAC considered the hearing was informative as it provided a clinical perspective on treating this uncommon disease. The PBAC also noted additional comments provided by the clinician regarding a preference for funding ravulizumab through the LSDP </w:t>
      </w:r>
      <w:r w:rsidR="00E858B2" w:rsidRPr="00903174">
        <w:t>as opposed to the</w:t>
      </w:r>
      <w:r w:rsidRPr="00903174">
        <w:t xml:space="preserve"> PBS, primarily based on the LSDP’s capacity for data analysis of clinical value to inform the future use of these medicines. However, the PBAC</w:t>
      </w:r>
      <w:r w:rsidR="00244E94" w:rsidRPr="00903174">
        <w:t xml:space="preserve"> </w:t>
      </w:r>
      <w:r w:rsidR="009F3244" w:rsidRPr="00903174">
        <w:t>noted data collect</w:t>
      </w:r>
      <w:r w:rsidR="00E84BD6" w:rsidRPr="00903174">
        <w:t>ion</w:t>
      </w:r>
      <w:r w:rsidR="009F3244" w:rsidRPr="00903174">
        <w:t xml:space="preserve"> and analysis is also possible for medicines subsidised on the PBS. collected.</w:t>
      </w:r>
    </w:p>
    <w:p w14:paraId="7B4E7041" w14:textId="77777777" w:rsidR="00535C1F" w:rsidRPr="00903174" w:rsidRDefault="00535C1F" w:rsidP="00415038">
      <w:pPr>
        <w:pStyle w:val="3-SubsectionHeading"/>
      </w:pPr>
      <w:r w:rsidRPr="00903174">
        <w:t>Consumer Comments</w:t>
      </w:r>
    </w:p>
    <w:p w14:paraId="0B35589D" w14:textId="77777777" w:rsidR="00DE3950" w:rsidRPr="00903174" w:rsidRDefault="00463E5A" w:rsidP="00DE3950">
      <w:pPr>
        <w:pStyle w:val="ExecSumBodyText"/>
        <w:numPr>
          <w:ilvl w:val="1"/>
          <w:numId w:val="1"/>
        </w:numPr>
      </w:pPr>
      <w:r w:rsidRPr="00903174">
        <w:t>The PBAC</w:t>
      </w:r>
      <w:r w:rsidR="001541EA" w:rsidRPr="00903174">
        <w:t xml:space="preserve"> noted and welcomed</w:t>
      </w:r>
      <w:r w:rsidR="00DE3950" w:rsidRPr="00903174">
        <w:t xml:space="preserve"> the input from individuals (36), health professional (7) and organisations (3) via the Consumer Comments facility on the PBS website. The comments described the main benefit of treatment with ravulizumab was the reduced dosing regimen of eight-weekly infusions, compared to fortnightly infusions with eculizumab. </w:t>
      </w:r>
    </w:p>
    <w:p w14:paraId="18954133" w14:textId="77777777" w:rsidR="00F52DE8" w:rsidRPr="00903174" w:rsidRDefault="00F52DE8" w:rsidP="00DE3950">
      <w:pPr>
        <w:pStyle w:val="ExecSumBodyText"/>
        <w:numPr>
          <w:ilvl w:val="1"/>
          <w:numId w:val="1"/>
        </w:numPr>
      </w:pPr>
      <w:r w:rsidRPr="00903174">
        <w:t xml:space="preserve">The PBAC noted the advice received from the PNH Support Association of Australia (PNHSAA) clarifying the likely use of ravulizumab in clinical practice. The PBAC specifically noted the advice that the use of ravulizumab may increase the convenience of receiving treatment for patients, caregivers and the hospital system as a result of the eight-weekly infusion regimen. </w:t>
      </w:r>
    </w:p>
    <w:p w14:paraId="30F303EA" w14:textId="77777777" w:rsidR="00781CF6" w:rsidRPr="00903174" w:rsidRDefault="00B60939" w:rsidP="00415038">
      <w:pPr>
        <w:pStyle w:val="3-SubsectionHeading"/>
      </w:pPr>
      <w:r w:rsidRPr="00903174">
        <w:t>Clinical trials</w:t>
      </w:r>
      <w:bookmarkStart w:id="14" w:name="_Toc38290080"/>
      <w:bookmarkStart w:id="15" w:name="_Toc38296702"/>
      <w:bookmarkStart w:id="16" w:name="_Toc38301152"/>
      <w:bookmarkEnd w:id="12"/>
      <w:bookmarkEnd w:id="13"/>
      <w:bookmarkEnd w:id="14"/>
      <w:bookmarkEnd w:id="15"/>
      <w:bookmarkEnd w:id="16"/>
    </w:p>
    <w:p w14:paraId="75E9FF4C" w14:textId="77777777" w:rsidR="00825F24" w:rsidRPr="00903174" w:rsidRDefault="00825F24" w:rsidP="00415038">
      <w:pPr>
        <w:pStyle w:val="ExecSumBodyText"/>
        <w:numPr>
          <w:ilvl w:val="1"/>
          <w:numId w:val="1"/>
        </w:numPr>
        <w:rPr>
          <w:snapToGrid/>
          <w:color w:val="000000" w:themeColor="text1"/>
        </w:rPr>
      </w:pPr>
      <w:r w:rsidRPr="00903174">
        <w:rPr>
          <w:snapToGrid/>
          <w:color w:val="000000" w:themeColor="text1"/>
        </w:rPr>
        <w:t>The submission was based on two head-to-head randomised non-inferiority trials comparing ravulizumab to eculizumab</w:t>
      </w:r>
      <w:r w:rsidR="00747769" w:rsidRPr="00903174">
        <w:rPr>
          <w:snapToGrid/>
          <w:color w:val="000000" w:themeColor="text1"/>
        </w:rPr>
        <w:t>,</w:t>
      </w:r>
      <w:r w:rsidRPr="00903174">
        <w:rPr>
          <w:snapToGrid/>
          <w:color w:val="000000" w:themeColor="text1"/>
        </w:rPr>
        <w:t xml:space="preserve"> Trial 301</w:t>
      </w:r>
      <w:r w:rsidR="00747769" w:rsidRPr="00903174">
        <w:rPr>
          <w:snapToGrid/>
          <w:color w:val="000000" w:themeColor="text1"/>
        </w:rPr>
        <w:t xml:space="preserve"> (treatment-naïve patients)</w:t>
      </w:r>
      <w:r w:rsidRPr="00903174">
        <w:rPr>
          <w:snapToGrid/>
          <w:color w:val="000000" w:themeColor="text1"/>
        </w:rPr>
        <w:t xml:space="preserve"> and </w:t>
      </w:r>
      <w:r w:rsidR="00747769" w:rsidRPr="00903174">
        <w:rPr>
          <w:snapToGrid/>
          <w:color w:val="000000" w:themeColor="text1"/>
        </w:rPr>
        <w:t xml:space="preserve">Trial </w:t>
      </w:r>
      <w:r w:rsidRPr="00903174">
        <w:rPr>
          <w:snapToGrid/>
          <w:color w:val="000000" w:themeColor="text1"/>
        </w:rPr>
        <w:t>302</w:t>
      </w:r>
      <w:r w:rsidR="00747769" w:rsidRPr="00903174">
        <w:rPr>
          <w:snapToGrid/>
          <w:color w:val="000000" w:themeColor="text1"/>
        </w:rPr>
        <w:t xml:space="preserve"> (previously stable on treatment with eculizumab</w:t>
      </w:r>
      <w:r w:rsidRPr="00903174">
        <w:rPr>
          <w:snapToGrid/>
          <w:color w:val="000000" w:themeColor="text1"/>
        </w:rPr>
        <w:t>).</w:t>
      </w:r>
      <w:r w:rsidR="00747769" w:rsidRPr="00903174">
        <w:rPr>
          <w:snapToGrid/>
          <w:color w:val="000000" w:themeColor="text1"/>
        </w:rPr>
        <w:t xml:space="preserve"> A supportive post-hoc subgroup analysis of patients meeting eligibility criteria for eculizumab via the LSDP was conducted for patients in Trial 301.</w:t>
      </w:r>
    </w:p>
    <w:p w14:paraId="2CF3F7E7" w14:textId="77777777" w:rsidR="00825F24" w:rsidRPr="00903174" w:rsidRDefault="0091111E" w:rsidP="00415038">
      <w:pPr>
        <w:pStyle w:val="ExecSumBodyText"/>
        <w:numPr>
          <w:ilvl w:val="1"/>
          <w:numId w:val="1"/>
        </w:numPr>
        <w:rPr>
          <w:snapToGrid/>
        </w:rPr>
      </w:pPr>
      <w:r w:rsidRPr="00903174">
        <w:rPr>
          <w:snapToGrid/>
        </w:rPr>
        <w:t>Two</w:t>
      </w:r>
      <w:r w:rsidR="00825F24" w:rsidRPr="00903174">
        <w:rPr>
          <w:snapToGrid/>
        </w:rPr>
        <w:t xml:space="preserve"> indirect comparison</w:t>
      </w:r>
      <w:r w:rsidRPr="00903174">
        <w:rPr>
          <w:snapToGrid/>
        </w:rPr>
        <w:t>s</w:t>
      </w:r>
      <w:r w:rsidR="00825F24" w:rsidRPr="00903174">
        <w:rPr>
          <w:snapToGrid/>
        </w:rPr>
        <w:t xml:space="preserve"> of ravulizumab and BSC</w:t>
      </w:r>
      <w:r w:rsidR="00747769" w:rsidRPr="00903174">
        <w:rPr>
          <w:snapToGrid/>
        </w:rPr>
        <w:t>/placebo</w:t>
      </w:r>
      <w:r w:rsidR="00825F24" w:rsidRPr="00903174">
        <w:rPr>
          <w:snapToGrid/>
        </w:rPr>
        <w:t xml:space="preserve"> </w:t>
      </w:r>
      <w:r w:rsidRPr="00903174">
        <w:rPr>
          <w:snapToGrid/>
        </w:rPr>
        <w:t>were presented, one</w:t>
      </w:r>
      <w:r w:rsidR="00825F24" w:rsidRPr="00903174">
        <w:rPr>
          <w:snapToGrid/>
        </w:rPr>
        <w:t xml:space="preserve"> based on the </w:t>
      </w:r>
      <w:r w:rsidR="00747769" w:rsidRPr="00903174">
        <w:rPr>
          <w:snapToGrid/>
        </w:rPr>
        <w:t xml:space="preserve">meta-analysed results of the </w:t>
      </w:r>
      <w:r w:rsidR="00825F24" w:rsidRPr="00903174">
        <w:rPr>
          <w:snapToGrid/>
        </w:rPr>
        <w:t xml:space="preserve">two </w:t>
      </w:r>
      <w:r w:rsidR="00747769" w:rsidRPr="00903174">
        <w:rPr>
          <w:snapToGrid/>
        </w:rPr>
        <w:t>r</w:t>
      </w:r>
      <w:r w:rsidR="00825F24" w:rsidRPr="00903174">
        <w:rPr>
          <w:snapToGrid/>
        </w:rPr>
        <w:t>avulizumab trials (Trials 301 and 302) and one placebo-controlled eculizumab trial (TRIUMPH), with eculizumab as a common reference</w:t>
      </w:r>
      <w:r w:rsidRPr="00903174">
        <w:rPr>
          <w:snapToGrid/>
        </w:rPr>
        <w:t>; and a second using the results from Trial 301</w:t>
      </w:r>
      <w:r w:rsidR="00631FFF" w:rsidRPr="00903174">
        <w:rPr>
          <w:snapToGrid/>
        </w:rPr>
        <w:t xml:space="preserve"> only compared to</w:t>
      </w:r>
      <w:r w:rsidRPr="00903174">
        <w:rPr>
          <w:snapToGrid/>
        </w:rPr>
        <w:t xml:space="preserve"> TRIUMPH</w:t>
      </w:r>
      <w:r w:rsidR="00631FFF" w:rsidRPr="00903174">
        <w:rPr>
          <w:snapToGrid/>
        </w:rPr>
        <w:t>, with eculizumab as common reference</w:t>
      </w:r>
      <w:r w:rsidRPr="00903174">
        <w:rPr>
          <w:snapToGrid/>
        </w:rPr>
        <w:t xml:space="preserve"> (treatment-naïve population)</w:t>
      </w:r>
      <w:r w:rsidR="00825F24" w:rsidRPr="00903174">
        <w:rPr>
          <w:snapToGrid/>
        </w:rPr>
        <w:t>.</w:t>
      </w:r>
    </w:p>
    <w:p w14:paraId="267A24F9" w14:textId="77777777" w:rsidR="00862502" w:rsidRPr="00903174" w:rsidRDefault="00A73134" w:rsidP="00415038">
      <w:pPr>
        <w:pStyle w:val="ExecSumBodyText"/>
        <w:numPr>
          <w:ilvl w:val="1"/>
          <w:numId w:val="1"/>
        </w:numPr>
      </w:pPr>
      <w:r w:rsidRPr="00903174">
        <w:rPr>
          <w:snapToGrid/>
        </w:rPr>
        <w:t>Details of the trials presented in the submission are provided in the table below.</w:t>
      </w:r>
      <w:r w:rsidR="00BC591F" w:rsidRPr="00903174">
        <w:rPr>
          <w:snapToGrid/>
        </w:rPr>
        <w:t xml:space="preserve"> </w:t>
      </w:r>
    </w:p>
    <w:p w14:paraId="36E925F2" w14:textId="77777777" w:rsidR="008E0D3C" w:rsidRPr="00903174" w:rsidRDefault="008E0D3C" w:rsidP="00244CD3">
      <w:pPr>
        <w:pStyle w:val="TableFigureCaption"/>
      </w:pPr>
      <w:r w:rsidRPr="00903174">
        <w:lastRenderedPageBreak/>
        <w:t xml:space="preserve">Table </w:t>
      </w:r>
      <w:r w:rsidR="00EC10C8" w:rsidRPr="00903174">
        <w:t>3</w:t>
      </w:r>
      <w:r w:rsidRPr="00903174">
        <w:t>:</w:t>
      </w:r>
      <w:r w:rsidR="00BC591F" w:rsidRPr="00903174">
        <w:t xml:space="preserve"> </w:t>
      </w:r>
      <w:r w:rsidRPr="00903174">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77"/>
        <w:gridCol w:w="5481"/>
        <w:gridCol w:w="2359"/>
      </w:tblGrid>
      <w:tr w:rsidR="00746E48" w:rsidRPr="00903174" w14:paraId="721F53D2" w14:textId="77777777" w:rsidTr="006C1447">
        <w:trPr>
          <w:tblHeader/>
        </w:trPr>
        <w:tc>
          <w:tcPr>
            <w:tcW w:w="653" w:type="pct"/>
            <w:vAlign w:val="center"/>
          </w:tcPr>
          <w:p w14:paraId="29618550" w14:textId="77777777" w:rsidR="00746E48" w:rsidRPr="00903174" w:rsidRDefault="00746E48" w:rsidP="00244CD3">
            <w:pPr>
              <w:pStyle w:val="Tableheadingrow"/>
              <w:rPr>
                <w:lang w:val="en-AU"/>
              </w:rPr>
            </w:pPr>
            <w:r w:rsidRPr="00903174">
              <w:rPr>
                <w:lang w:val="en-AU"/>
              </w:rPr>
              <w:t>Trial ID</w:t>
            </w:r>
          </w:p>
        </w:tc>
        <w:tc>
          <w:tcPr>
            <w:tcW w:w="3039" w:type="pct"/>
            <w:vAlign w:val="center"/>
          </w:tcPr>
          <w:p w14:paraId="1D442415" w14:textId="77777777" w:rsidR="00746E48" w:rsidRPr="00903174" w:rsidRDefault="00746E48" w:rsidP="00244CD3">
            <w:pPr>
              <w:pStyle w:val="Tableheadingrow"/>
              <w:rPr>
                <w:lang w:val="en-AU"/>
              </w:rPr>
            </w:pPr>
            <w:r w:rsidRPr="00903174">
              <w:rPr>
                <w:lang w:val="en-AU"/>
              </w:rPr>
              <w:t>Protocol title/ Publication title</w:t>
            </w:r>
          </w:p>
        </w:tc>
        <w:tc>
          <w:tcPr>
            <w:tcW w:w="1308" w:type="pct"/>
          </w:tcPr>
          <w:p w14:paraId="5A29012F" w14:textId="77777777" w:rsidR="00746E48" w:rsidRPr="00903174" w:rsidRDefault="00746E48" w:rsidP="00244CD3">
            <w:pPr>
              <w:pStyle w:val="Tableheadingrow"/>
              <w:rPr>
                <w:lang w:val="en-AU"/>
              </w:rPr>
            </w:pPr>
            <w:r w:rsidRPr="00903174">
              <w:rPr>
                <w:lang w:val="en-AU"/>
              </w:rPr>
              <w:t>Publication citation</w:t>
            </w:r>
          </w:p>
        </w:tc>
      </w:tr>
      <w:tr w:rsidR="00746E48" w:rsidRPr="00903174" w14:paraId="375BEB8B" w14:textId="77777777" w:rsidTr="00B4794F">
        <w:trPr>
          <w:trHeight w:val="158"/>
        </w:trPr>
        <w:tc>
          <w:tcPr>
            <w:tcW w:w="5000" w:type="pct"/>
            <w:gridSpan w:val="3"/>
          </w:tcPr>
          <w:p w14:paraId="36DF80C6" w14:textId="77777777" w:rsidR="00746E48" w:rsidRPr="00903174" w:rsidRDefault="00746E48" w:rsidP="00244CD3">
            <w:pPr>
              <w:pStyle w:val="Tableheadingrow"/>
              <w:rPr>
                <w:lang w:val="en-AU"/>
              </w:rPr>
            </w:pPr>
            <w:r w:rsidRPr="00903174">
              <w:rPr>
                <w:lang w:val="en-AU"/>
              </w:rPr>
              <w:t>Ravulizumab vs eculizumab</w:t>
            </w:r>
          </w:p>
        </w:tc>
      </w:tr>
      <w:tr w:rsidR="00746E48" w:rsidRPr="00903174" w14:paraId="0D79F26D" w14:textId="77777777" w:rsidTr="006C1447">
        <w:tc>
          <w:tcPr>
            <w:tcW w:w="653" w:type="pct"/>
            <w:vMerge w:val="restart"/>
            <w:vAlign w:val="center"/>
          </w:tcPr>
          <w:p w14:paraId="5C681580" w14:textId="77777777" w:rsidR="00746E48" w:rsidRPr="00903174" w:rsidRDefault="00746E48" w:rsidP="00244CD3">
            <w:pPr>
              <w:pStyle w:val="TableText"/>
            </w:pPr>
            <w:r w:rsidRPr="00903174">
              <w:t>Trial 301</w:t>
            </w:r>
          </w:p>
          <w:p w14:paraId="200DBFD2" w14:textId="77777777" w:rsidR="00746E48" w:rsidRPr="00903174" w:rsidRDefault="00746E48" w:rsidP="00244CD3">
            <w:pPr>
              <w:pStyle w:val="TableText"/>
            </w:pPr>
          </w:p>
        </w:tc>
        <w:tc>
          <w:tcPr>
            <w:tcW w:w="3039" w:type="pct"/>
            <w:tcBorders>
              <w:bottom w:val="nil"/>
            </w:tcBorders>
          </w:tcPr>
          <w:p w14:paraId="4A84997B" w14:textId="77777777" w:rsidR="00746E48" w:rsidRPr="00903174" w:rsidRDefault="00746E48" w:rsidP="00244CD3">
            <w:pPr>
              <w:keepNext/>
              <w:autoSpaceDE w:val="0"/>
              <w:autoSpaceDN w:val="0"/>
              <w:adjustRightInd w:val="0"/>
              <w:rPr>
                <w:rFonts w:ascii="Arial Narrow" w:hAnsi="Arial Narrow"/>
                <w:color w:val="222222"/>
                <w:sz w:val="20"/>
                <w:shd w:val="clear" w:color="auto" w:fill="FFFFFF"/>
              </w:rPr>
            </w:pPr>
            <w:r w:rsidRPr="00903174">
              <w:rPr>
                <w:rFonts w:ascii="Arial Narrow" w:hAnsi="Arial Narrow"/>
                <w:color w:val="222222"/>
                <w:sz w:val="20"/>
                <w:shd w:val="clear" w:color="auto" w:fill="FFFFFF"/>
              </w:rPr>
              <w:t xml:space="preserve">CSR ALXN1210-PNH-301 </w:t>
            </w:r>
          </w:p>
          <w:p w14:paraId="5C00D461" w14:textId="77777777" w:rsidR="00746E48" w:rsidRPr="00903174" w:rsidRDefault="00746E48" w:rsidP="00244CD3">
            <w:pPr>
              <w:pStyle w:val="TableText"/>
              <w:rPr>
                <w:szCs w:val="18"/>
              </w:rPr>
            </w:pPr>
            <w:r w:rsidRPr="00903174">
              <w:rPr>
                <w:rFonts w:cs="Arial"/>
                <w:color w:val="222222"/>
                <w:shd w:val="clear" w:color="auto" w:fill="FFFFFF"/>
              </w:rPr>
              <w:t>A Phase 3, Randomized, Open-Label, Active-Controlled Study Of ALXN1210 Versus Eculizumab In Complement Inhibitor-Naive Adult Patients With Paroxysmal Nocturnal Haemoglobinuria (PNH)</w:t>
            </w:r>
          </w:p>
        </w:tc>
        <w:tc>
          <w:tcPr>
            <w:tcW w:w="1308" w:type="pct"/>
            <w:tcBorders>
              <w:bottom w:val="nil"/>
            </w:tcBorders>
          </w:tcPr>
          <w:p w14:paraId="26E07F22" w14:textId="77777777" w:rsidR="00746E48" w:rsidRPr="00903174" w:rsidRDefault="00746E48" w:rsidP="00244CD3">
            <w:pPr>
              <w:pStyle w:val="TableText"/>
            </w:pPr>
            <w:r w:rsidRPr="00903174">
              <w:t>May 2018</w:t>
            </w:r>
          </w:p>
        </w:tc>
      </w:tr>
      <w:tr w:rsidR="00746E48" w:rsidRPr="00903174" w14:paraId="26CFA25D" w14:textId="77777777" w:rsidTr="006C1447">
        <w:tc>
          <w:tcPr>
            <w:tcW w:w="653" w:type="pct"/>
            <w:vMerge/>
            <w:vAlign w:val="center"/>
          </w:tcPr>
          <w:p w14:paraId="1A56067C" w14:textId="77777777" w:rsidR="00746E48" w:rsidRPr="00903174" w:rsidRDefault="00746E48" w:rsidP="00244CD3">
            <w:pPr>
              <w:pStyle w:val="TableText"/>
            </w:pPr>
          </w:p>
        </w:tc>
        <w:tc>
          <w:tcPr>
            <w:tcW w:w="3039" w:type="pct"/>
            <w:tcBorders>
              <w:top w:val="nil"/>
              <w:bottom w:val="nil"/>
            </w:tcBorders>
          </w:tcPr>
          <w:p w14:paraId="71437013" w14:textId="77777777" w:rsidR="00746E48" w:rsidRPr="00903174" w:rsidRDefault="00746E48" w:rsidP="00244CD3">
            <w:pPr>
              <w:keepNext/>
              <w:autoSpaceDE w:val="0"/>
              <w:autoSpaceDN w:val="0"/>
              <w:adjustRightInd w:val="0"/>
              <w:rPr>
                <w:rFonts w:ascii="Arial Narrow" w:hAnsi="Arial Narrow"/>
                <w:color w:val="222222"/>
                <w:sz w:val="20"/>
                <w:shd w:val="clear" w:color="auto" w:fill="FFFFFF"/>
              </w:rPr>
            </w:pPr>
            <w:r w:rsidRPr="00903174">
              <w:rPr>
                <w:rFonts w:ascii="Arial Narrow" w:hAnsi="Arial Narrow"/>
                <w:color w:val="222222"/>
                <w:sz w:val="20"/>
                <w:shd w:val="clear" w:color="auto" w:fill="FFFFFF"/>
              </w:rPr>
              <w:t xml:space="preserve">CSR ALXN1210-PNH-301 </w:t>
            </w:r>
          </w:p>
          <w:p w14:paraId="432F8F79" w14:textId="77777777" w:rsidR="00746E48" w:rsidRPr="00903174" w:rsidRDefault="00746E48" w:rsidP="00244CD3">
            <w:pPr>
              <w:keepNext/>
              <w:autoSpaceDE w:val="0"/>
              <w:autoSpaceDN w:val="0"/>
              <w:adjustRightInd w:val="0"/>
              <w:rPr>
                <w:rFonts w:ascii="Arial Narrow" w:hAnsi="Arial Narrow"/>
                <w:color w:val="222222"/>
                <w:sz w:val="20"/>
                <w:shd w:val="clear" w:color="auto" w:fill="FFFFFF"/>
              </w:rPr>
            </w:pPr>
            <w:r w:rsidRPr="00903174">
              <w:rPr>
                <w:rFonts w:ascii="Arial Narrow" w:hAnsi="Arial Narrow"/>
                <w:color w:val="222222"/>
                <w:sz w:val="20"/>
                <w:shd w:val="clear" w:color="auto" w:fill="FFFFFF"/>
              </w:rPr>
              <w:t xml:space="preserve">A phase 3, randomized, open-label, active-controlled study of ALXN1210 versus eculizumab in complement inhibitor-naive adult patients with paroxysmal nocturnal haemoglobinuria (PNH) </w:t>
            </w:r>
          </w:p>
          <w:p w14:paraId="129FF77E" w14:textId="77777777" w:rsidR="00746E48" w:rsidRPr="00903174" w:rsidRDefault="00746E48" w:rsidP="00244CD3">
            <w:pPr>
              <w:pStyle w:val="TableText"/>
              <w:rPr>
                <w:szCs w:val="18"/>
              </w:rPr>
            </w:pPr>
            <w:r w:rsidRPr="00903174">
              <w:rPr>
                <w:rFonts w:cs="Arial"/>
                <w:color w:val="222222"/>
                <w:shd w:val="clear" w:color="auto" w:fill="FFFFFF"/>
              </w:rPr>
              <w:t>Addendum to clinical study report (52-week data update)</w:t>
            </w:r>
          </w:p>
        </w:tc>
        <w:tc>
          <w:tcPr>
            <w:tcW w:w="1308" w:type="pct"/>
            <w:tcBorders>
              <w:top w:val="nil"/>
              <w:bottom w:val="nil"/>
            </w:tcBorders>
          </w:tcPr>
          <w:p w14:paraId="1DE64AC8" w14:textId="77777777" w:rsidR="00746E48" w:rsidRPr="00903174" w:rsidRDefault="00746E48" w:rsidP="00244CD3">
            <w:pPr>
              <w:pStyle w:val="TableText"/>
              <w:rPr>
                <w:szCs w:val="18"/>
              </w:rPr>
            </w:pPr>
            <w:r w:rsidRPr="00903174">
              <w:rPr>
                <w:szCs w:val="18"/>
              </w:rPr>
              <w:t>May 2019</w:t>
            </w:r>
          </w:p>
        </w:tc>
      </w:tr>
      <w:tr w:rsidR="00746E48" w:rsidRPr="00903174" w14:paraId="54DA2C15" w14:textId="77777777" w:rsidTr="006C1447">
        <w:tc>
          <w:tcPr>
            <w:tcW w:w="653" w:type="pct"/>
            <w:vMerge/>
            <w:vAlign w:val="center"/>
          </w:tcPr>
          <w:p w14:paraId="06949D1C" w14:textId="77777777" w:rsidR="00746E48" w:rsidRPr="00903174" w:rsidRDefault="00746E48" w:rsidP="00244CD3">
            <w:pPr>
              <w:pStyle w:val="TableText"/>
            </w:pPr>
          </w:p>
        </w:tc>
        <w:tc>
          <w:tcPr>
            <w:tcW w:w="3039" w:type="pct"/>
            <w:tcBorders>
              <w:top w:val="nil"/>
              <w:bottom w:val="nil"/>
            </w:tcBorders>
          </w:tcPr>
          <w:p w14:paraId="0E5BEE0D" w14:textId="77777777" w:rsidR="00746E48" w:rsidRPr="00903174" w:rsidRDefault="00746E48" w:rsidP="00244CD3">
            <w:pPr>
              <w:pStyle w:val="TableText"/>
              <w:rPr>
                <w:szCs w:val="18"/>
              </w:rPr>
            </w:pPr>
            <w:r w:rsidRPr="00903174">
              <w:rPr>
                <w:rFonts w:cs="Arial"/>
                <w:color w:val="222222"/>
                <w:shd w:val="clear" w:color="auto" w:fill="FFFFFF"/>
              </w:rPr>
              <w:t>Lee JW, de Fontbrune FS et al. Ravulizumab (ALXN1210) vs eculizumab in adult patients with PNH naive to complement inhibitors: the 301 study.</w:t>
            </w:r>
          </w:p>
        </w:tc>
        <w:tc>
          <w:tcPr>
            <w:tcW w:w="1308" w:type="pct"/>
            <w:tcBorders>
              <w:top w:val="nil"/>
              <w:bottom w:val="nil"/>
            </w:tcBorders>
          </w:tcPr>
          <w:p w14:paraId="77C82902" w14:textId="77777777" w:rsidR="00746E48" w:rsidRPr="00903174" w:rsidRDefault="00746E48" w:rsidP="00244CD3">
            <w:pPr>
              <w:pStyle w:val="TableText"/>
              <w:rPr>
                <w:i/>
                <w:szCs w:val="18"/>
              </w:rPr>
            </w:pPr>
            <w:r w:rsidRPr="00903174">
              <w:rPr>
                <w:rFonts w:cs="Arial"/>
                <w:i/>
                <w:iCs/>
                <w:color w:val="222222"/>
                <w:shd w:val="clear" w:color="auto" w:fill="FFFFFF"/>
              </w:rPr>
              <w:t>Blood</w:t>
            </w:r>
            <w:r w:rsidRPr="00903174">
              <w:rPr>
                <w:rFonts w:cs="Arial"/>
                <w:color w:val="222222"/>
                <w:shd w:val="clear" w:color="auto" w:fill="FFFFFF"/>
              </w:rPr>
              <w:t> 2019; 133(6): 530-539</w:t>
            </w:r>
          </w:p>
        </w:tc>
      </w:tr>
      <w:tr w:rsidR="00746E48" w:rsidRPr="00903174" w14:paraId="3398856D" w14:textId="77777777" w:rsidTr="006C1447">
        <w:tc>
          <w:tcPr>
            <w:tcW w:w="653" w:type="pct"/>
            <w:vMerge/>
            <w:tcBorders>
              <w:bottom w:val="nil"/>
            </w:tcBorders>
            <w:vAlign w:val="center"/>
          </w:tcPr>
          <w:p w14:paraId="50DA134B" w14:textId="77777777" w:rsidR="00746E48" w:rsidRPr="00903174" w:rsidRDefault="00746E48" w:rsidP="00244CD3">
            <w:pPr>
              <w:pStyle w:val="TableText"/>
            </w:pPr>
          </w:p>
        </w:tc>
        <w:tc>
          <w:tcPr>
            <w:tcW w:w="3039" w:type="pct"/>
            <w:tcBorders>
              <w:top w:val="nil"/>
              <w:bottom w:val="nil"/>
            </w:tcBorders>
          </w:tcPr>
          <w:p w14:paraId="59231324" w14:textId="77777777" w:rsidR="00746E48" w:rsidRPr="00903174" w:rsidRDefault="00746E48" w:rsidP="00244CD3">
            <w:pPr>
              <w:pStyle w:val="TableText"/>
              <w:rPr>
                <w:szCs w:val="18"/>
              </w:rPr>
            </w:pPr>
            <w:r w:rsidRPr="00903174">
              <w:rPr>
                <w:rFonts w:cs="Arial"/>
              </w:rPr>
              <w:t>Lee JW, Bachman ES, et al. Immediate, complete and sustained inhibition of C5 with ALXN1210 reduces complement-mediated hemolysis in patients with paroxysmal nocturnal hemoglobinuria (PNH): Interim analysis of a dose-escalation study.</w:t>
            </w:r>
          </w:p>
        </w:tc>
        <w:tc>
          <w:tcPr>
            <w:tcW w:w="1308" w:type="pct"/>
            <w:tcBorders>
              <w:top w:val="nil"/>
              <w:bottom w:val="nil"/>
            </w:tcBorders>
          </w:tcPr>
          <w:p w14:paraId="31A21F53" w14:textId="77777777" w:rsidR="00746E48" w:rsidRPr="00903174" w:rsidRDefault="00746E48" w:rsidP="00244CD3">
            <w:pPr>
              <w:pStyle w:val="TableText"/>
              <w:rPr>
                <w:i/>
                <w:szCs w:val="18"/>
              </w:rPr>
            </w:pPr>
            <w:r w:rsidRPr="00903174">
              <w:rPr>
                <w:i/>
                <w:szCs w:val="18"/>
              </w:rPr>
              <w:t>Blood</w:t>
            </w:r>
            <w:r w:rsidRPr="00903174">
              <w:rPr>
                <w:szCs w:val="18"/>
              </w:rPr>
              <w:t xml:space="preserve"> 2016; 128:2428</w:t>
            </w:r>
          </w:p>
        </w:tc>
      </w:tr>
      <w:tr w:rsidR="00746E48" w:rsidRPr="00903174" w14:paraId="410D5D86" w14:textId="77777777" w:rsidTr="006C1447">
        <w:tc>
          <w:tcPr>
            <w:tcW w:w="653" w:type="pct"/>
            <w:vMerge w:val="restart"/>
            <w:vAlign w:val="center"/>
          </w:tcPr>
          <w:p w14:paraId="7D436B01" w14:textId="77777777" w:rsidR="00746E48" w:rsidRPr="00903174" w:rsidRDefault="00746E48" w:rsidP="0050376F">
            <w:pPr>
              <w:pStyle w:val="TableText"/>
              <w:keepNext w:val="0"/>
            </w:pPr>
            <w:r w:rsidRPr="00903174">
              <w:t>Trial 302</w:t>
            </w:r>
          </w:p>
          <w:p w14:paraId="1E6CFF59" w14:textId="77777777" w:rsidR="00746E48" w:rsidRPr="00903174" w:rsidRDefault="00746E48" w:rsidP="0050376F">
            <w:pPr>
              <w:pStyle w:val="TableText"/>
              <w:keepNext w:val="0"/>
            </w:pPr>
          </w:p>
        </w:tc>
        <w:tc>
          <w:tcPr>
            <w:tcW w:w="3039" w:type="pct"/>
            <w:tcBorders>
              <w:bottom w:val="nil"/>
            </w:tcBorders>
          </w:tcPr>
          <w:p w14:paraId="568CC815" w14:textId="77777777" w:rsidR="00746E48" w:rsidRPr="00903174" w:rsidRDefault="00746E48" w:rsidP="0050376F">
            <w:pPr>
              <w:pStyle w:val="TableText"/>
              <w:keepNext w:val="0"/>
              <w:rPr>
                <w:rFonts w:cs="Arial"/>
                <w:color w:val="222222"/>
                <w:shd w:val="clear" w:color="auto" w:fill="FFFFFF"/>
              </w:rPr>
            </w:pPr>
            <w:r w:rsidRPr="00903174">
              <w:rPr>
                <w:rFonts w:cs="Arial"/>
                <w:color w:val="222222"/>
                <w:shd w:val="clear" w:color="auto" w:fill="FFFFFF"/>
              </w:rPr>
              <w:t xml:space="preserve">CSR ALXN1210-PNH-302 </w:t>
            </w:r>
          </w:p>
          <w:p w14:paraId="71E4A3CB" w14:textId="77777777" w:rsidR="00746E48" w:rsidRPr="00903174" w:rsidRDefault="00746E48" w:rsidP="0050376F">
            <w:pPr>
              <w:pStyle w:val="TableText"/>
              <w:keepNext w:val="0"/>
              <w:rPr>
                <w:rFonts w:cs="Arial"/>
                <w:color w:val="222222"/>
                <w:shd w:val="clear" w:color="auto" w:fill="FFFFFF"/>
              </w:rPr>
            </w:pPr>
            <w:r w:rsidRPr="00903174">
              <w:rPr>
                <w:rFonts w:cs="Arial"/>
                <w:color w:val="222222"/>
                <w:shd w:val="clear" w:color="auto" w:fill="FFFFFF"/>
              </w:rPr>
              <w:t xml:space="preserve">A Phase 3, Randomized, Open-Label, Active-Controlled Study Of ALXN1210 Versus Eculizumab In Adult Patients With Paroxysmal Nocturnal Haemoglobinuria (PNH) Currently Treated With Eculizumab. </w:t>
            </w:r>
          </w:p>
        </w:tc>
        <w:tc>
          <w:tcPr>
            <w:tcW w:w="1308" w:type="pct"/>
            <w:tcBorders>
              <w:bottom w:val="nil"/>
            </w:tcBorders>
          </w:tcPr>
          <w:p w14:paraId="6B6C9E9A" w14:textId="77777777" w:rsidR="00746E48" w:rsidRPr="00903174" w:rsidRDefault="00746E48" w:rsidP="0050376F">
            <w:pPr>
              <w:pStyle w:val="TableText"/>
              <w:keepNext w:val="0"/>
            </w:pPr>
            <w:r w:rsidRPr="00903174">
              <w:t>May 2018</w:t>
            </w:r>
          </w:p>
        </w:tc>
      </w:tr>
      <w:tr w:rsidR="00746E48" w:rsidRPr="00903174" w14:paraId="2666F34B" w14:textId="77777777" w:rsidTr="006C1447">
        <w:tc>
          <w:tcPr>
            <w:tcW w:w="653" w:type="pct"/>
            <w:vMerge/>
            <w:vAlign w:val="center"/>
          </w:tcPr>
          <w:p w14:paraId="38C9C6F4" w14:textId="77777777" w:rsidR="00746E48" w:rsidRPr="00903174" w:rsidRDefault="00746E48" w:rsidP="0050376F">
            <w:pPr>
              <w:pStyle w:val="TableText"/>
              <w:keepNext w:val="0"/>
            </w:pPr>
          </w:p>
        </w:tc>
        <w:tc>
          <w:tcPr>
            <w:tcW w:w="3039" w:type="pct"/>
            <w:tcBorders>
              <w:top w:val="nil"/>
              <w:bottom w:val="nil"/>
            </w:tcBorders>
          </w:tcPr>
          <w:p w14:paraId="2FE26059" w14:textId="77777777" w:rsidR="00746E48" w:rsidRPr="00903174" w:rsidRDefault="00746E48" w:rsidP="0050376F">
            <w:pPr>
              <w:pStyle w:val="TableText"/>
              <w:keepNext w:val="0"/>
              <w:rPr>
                <w:rFonts w:cs="Arial"/>
                <w:color w:val="222222"/>
                <w:shd w:val="clear" w:color="auto" w:fill="FFFFFF"/>
              </w:rPr>
            </w:pPr>
            <w:r w:rsidRPr="00903174">
              <w:rPr>
                <w:rFonts w:cs="Arial"/>
                <w:color w:val="222222"/>
                <w:shd w:val="clear" w:color="auto" w:fill="FFFFFF"/>
              </w:rPr>
              <w:t xml:space="preserve">CSR ALXN1210-PNH-302 </w:t>
            </w:r>
          </w:p>
          <w:p w14:paraId="1A970AC7" w14:textId="77777777" w:rsidR="00746E48" w:rsidRPr="00903174" w:rsidRDefault="00746E48" w:rsidP="0050376F">
            <w:pPr>
              <w:pStyle w:val="TableText"/>
              <w:keepNext w:val="0"/>
              <w:rPr>
                <w:rFonts w:cs="Arial"/>
                <w:color w:val="222222"/>
                <w:shd w:val="clear" w:color="auto" w:fill="FFFFFF"/>
              </w:rPr>
            </w:pPr>
            <w:r w:rsidRPr="00903174">
              <w:rPr>
                <w:rFonts w:cs="Arial"/>
                <w:color w:val="222222"/>
                <w:shd w:val="clear" w:color="auto" w:fill="FFFFFF"/>
              </w:rPr>
              <w:t>A phase 3, randomized, open-label, active-controlled study of ALXN1210 versus eculizumab in adult patients with paroxysmal nocturnal haemoglobinuria (PNH) currently treated with eculizumab. Addendum to clinical study report (52-week data update)</w:t>
            </w:r>
          </w:p>
        </w:tc>
        <w:tc>
          <w:tcPr>
            <w:tcW w:w="1308" w:type="pct"/>
            <w:tcBorders>
              <w:top w:val="nil"/>
              <w:bottom w:val="nil"/>
            </w:tcBorders>
          </w:tcPr>
          <w:p w14:paraId="2F8542F8" w14:textId="77777777" w:rsidR="00746E48" w:rsidRPr="00903174" w:rsidRDefault="00746E48" w:rsidP="0050376F">
            <w:pPr>
              <w:pStyle w:val="TableText"/>
              <w:keepNext w:val="0"/>
            </w:pPr>
            <w:r w:rsidRPr="00903174">
              <w:rPr>
                <w:szCs w:val="18"/>
              </w:rPr>
              <w:t>May 2019</w:t>
            </w:r>
          </w:p>
        </w:tc>
      </w:tr>
      <w:tr w:rsidR="00746E48" w:rsidRPr="00903174" w14:paraId="5ABD5192" w14:textId="77777777" w:rsidTr="006C1447">
        <w:tc>
          <w:tcPr>
            <w:tcW w:w="653" w:type="pct"/>
            <w:vMerge/>
            <w:vAlign w:val="center"/>
          </w:tcPr>
          <w:p w14:paraId="56905DDC" w14:textId="77777777" w:rsidR="00746E48" w:rsidRPr="00903174" w:rsidRDefault="00746E48" w:rsidP="0050376F">
            <w:pPr>
              <w:pStyle w:val="TableText"/>
              <w:keepNext w:val="0"/>
            </w:pPr>
          </w:p>
        </w:tc>
        <w:tc>
          <w:tcPr>
            <w:tcW w:w="3039" w:type="pct"/>
            <w:tcBorders>
              <w:top w:val="nil"/>
              <w:bottom w:val="nil"/>
            </w:tcBorders>
          </w:tcPr>
          <w:p w14:paraId="7B6DA40C" w14:textId="77777777" w:rsidR="00746E48" w:rsidRPr="00903174" w:rsidRDefault="00746E48" w:rsidP="0050376F">
            <w:pPr>
              <w:pStyle w:val="TableText"/>
              <w:keepNext w:val="0"/>
              <w:rPr>
                <w:rFonts w:cs="Arial"/>
                <w:color w:val="222222"/>
                <w:shd w:val="clear" w:color="auto" w:fill="FFFFFF"/>
              </w:rPr>
            </w:pPr>
            <w:r w:rsidRPr="00903174">
              <w:rPr>
                <w:rFonts w:cs="Arial"/>
                <w:color w:val="222222"/>
                <w:shd w:val="clear" w:color="auto" w:fill="FFFFFF"/>
              </w:rPr>
              <w:t>Kulasekararaj, A., et al. One-Year Efficacy and Safety from a Phase 3 Trial of Ravulizumab in Adult Patients with Paroxysmal Nocturnal Haemoglobinuria Receiving Prior Eculizumab Treatment.</w:t>
            </w:r>
          </w:p>
        </w:tc>
        <w:tc>
          <w:tcPr>
            <w:tcW w:w="1308" w:type="pct"/>
            <w:tcBorders>
              <w:top w:val="nil"/>
              <w:bottom w:val="nil"/>
            </w:tcBorders>
          </w:tcPr>
          <w:p w14:paraId="383B6C7A" w14:textId="77777777" w:rsidR="00746E48" w:rsidRPr="00903174" w:rsidRDefault="00746E48" w:rsidP="0050376F">
            <w:pPr>
              <w:pStyle w:val="TableText"/>
              <w:keepNext w:val="0"/>
              <w:rPr>
                <w:i/>
                <w:szCs w:val="18"/>
              </w:rPr>
            </w:pPr>
            <w:r w:rsidRPr="00903174">
              <w:rPr>
                <w:rFonts w:cs="Arial"/>
                <w:i/>
                <w:color w:val="222222"/>
                <w:shd w:val="clear" w:color="auto" w:fill="FFFFFF"/>
              </w:rPr>
              <w:t>Blood</w:t>
            </w:r>
            <w:r w:rsidRPr="00903174">
              <w:rPr>
                <w:rFonts w:cs="Arial"/>
                <w:color w:val="222222"/>
                <w:shd w:val="clear" w:color="auto" w:fill="FFFFFF"/>
              </w:rPr>
              <w:t xml:space="preserve"> 2019; 134 (Supplement 1): 2231</w:t>
            </w:r>
          </w:p>
        </w:tc>
      </w:tr>
      <w:tr w:rsidR="00746E48" w:rsidRPr="00903174" w14:paraId="3DE3572E" w14:textId="77777777" w:rsidTr="006C1447">
        <w:tc>
          <w:tcPr>
            <w:tcW w:w="653" w:type="pct"/>
            <w:vMerge/>
            <w:tcBorders>
              <w:bottom w:val="nil"/>
            </w:tcBorders>
            <w:vAlign w:val="center"/>
          </w:tcPr>
          <w:p w14:paraId="2BEF324B" w14:textId="77777777" w:rsidR="00746E48" w:rsidRPr="00903174" w:rsidRDefault="00746E48" w:rsidP="0050376F">
            <w:pPr>
              <w:pStyle w:val="TableText"/>
              <w:keepNext w:val="0"/>
            </w:pPr>
          </w:p>
        </w:tc>
        <w:tc>
          <w:tcPr>
            <w:tcW w:w="3039" w:type="pct"/>
            <w:tcBorders>
              <w:top w:val="nil"/>
              <w:bottom w:val="single" w:sz="4" w:space="0" w:color="auto"/>
            </w:tcBorders>
          </w:tcPr>
          <w:p w14:paraId="12694270" w14:textId="77777777" w:rsidR="00746E48" w:rsidRPr="00903174" w:rsidRDefault="00746E48" w:rsidP="0050376F">
            <w:pPr>
              <w:pStyle w:val="TableText"/>
              <w:keepNext w:val="0"/>
              <w:rPr>
                <w:rFonts w:cs="Arial"/>
                <w:color w:val="222222"/>
                <w:shd w:val="clear" w:color="auto" w:fill="FFFFFF"/>
              </w:rPr>
            </w:pPr>
            <w:r w:rsidRPr="00903174">
              <w:rPr>
                <w:rFonts w:cs="Arial"/>
                <w:color w:val="222222"/>
                <w:shd w:val="clear" w:color="auto" w:fill="FFFFFF"/>
              </w:rPr>
              <w:t>Kulasekararaj AG, Hill A, et al. Ravulizumab (ALXN1210) vs eculizumab in C5-inhibitor-experienced adult patients with PNH: The 302 study.</w:t>
            </w:r>
          </w:p>
        </w:tc>
        <w:tc>
          <w:tcPr>
            <w:tcW w:w="1308" w:type="pct"/>
            <w:tcBorders>
              <w:top w:val="nil"/>
              <w:bottom w:val="single" w:sz="4" w:space="0" w:color="auto"/>
            </w:tcBorders>
          </w:tcPr>
          <w:p w14:paraId="6B267855" w14:textId="77777777" w:rsidR="00746E48" w:rsidRPr="00903174" w:rsidRDefault="00746E48" w:rsidP="0050376F">
            <w:pPr>
              <w:pStyle w:val="TableText"/>
              <w:keepNext w:val="0"/>
            </w:pPr>
            <w:r w:rsidRPr="00903174">
              <w:rPr>
                <w:rFonts w:cs="Arial"/>
                <w:i/>
                <w:color w:val="222222"/>
                <w:shd w:val="clear" w:color="auto" w:fill="FFFFFF"/>
              </w:rPr>
              <w:t>Blood</w:t>
            </w:r>
            <w:r w:rsidRPr="00903174">
              <w:rPr>
                <w:rFonts w:cs="Arial"/>
                <w:color w:val="222222"/>
                <w:shd w:val="clear" w:color="auto" w:fill="FFFFFF"/>
              </w:rPr>
              <w:t xml:space="preserve"> 2019; 133(6): 540-549.</w:t>
            </w:r>
          </w:p>
        </w:tc>
      </w:tr>
      <w:tr w:rsidR="00746E48" w:rsidRPr="00903174" w14:paraId="3684502C" w14:textId="77777777" w:rsidTr="0050376F">
        <w:tc>
          <w:tcPr>
            <w:tcW w:w="5000" w:type="pct"/>
            <w:gridSpan w:val="3"/>
            <w:tcBorders>
              <w:top w:val="single" w:sz="4" w:space="0" w:color="auto"/>
            </w:tcBorders>
          </w:tcPr>
          <w:p w14:paraId="559454C1" w14:textId="77777777" w:rsidR="00746E48" w:rsidRPr="00903174" w:rsidRDefault="00746E48" w:rsidP="0050376F">
            <w:pPr>
              <w:pStyle w:val="TableText"/>
            </w:pPr>
            <w:r w:rsidRPr="00903174">
              <w:rPr>
                <w:b/>
              </w:rPr>
              <w:t>Eculizumab vs BSC/placebo</w:t>
            </w:r>
          </w:p>
        </w:tc>
      </w:tr>
      <w:tr w:rsidR="00746E48" w:rsidRPr="00903174" w14:paraId="1ABBAE88" w14:textId="77777777" w:rsidTr="006C1447">
        <w:tc>
          <w:tcPr>
            <w:tcW w:w="653" w:type="pct"/>
            <w:vMerge w:val="restart"/>
            <w:vAlign w:val="center"/>
          </w:tcPr>
          <w:p w14:paraId="0D047C95" w14:textId="77777777" w:rsidR="00746E48" w:rsidRPr="00903174" w:rsidRDefault="00746E48" w:rsidP="0050376F">
            <w:pPr>
              <w:pStyle w:val="TableText"/>
            </w:pPr>
            <w:r w:rsidRPr="00903174">
              <w:t>TRIUMPH</w:t>
            </w:r>
          </w:p>
        </w:tc>
        <w:tc>
          <w:tcPr>
            <w:tcW w:w="3039" w:type="pct"/>
            <w:tcBorders>
              <w:bottom w:val="nil"/>
            </w:tcBorders>
          </w:tcPr>
          <w:p w14:paraId="002C1662" w14:textId="77777777" w:rsidR="00746E48" w:rsidRPr="00903174" w:rsidRDefault="00746E48" w:rsidP="0050376F">
            <w:pPr>
              <w:pStyle w:val="TableText"/>
            </w:pPr>
            <w:r w:rsidRPr="00903174">
              <w:rPr>
                <w:rFonts w:cs="Arial"/>
                <w:color w:val="222222"/>
                <w:shd w:val="clear" w:color="auto" w:fill="FFFFFF"/>
              </w:rPr>
              <w:t>CSR C04-001. TRIUMPH: A Haemoglobin Stabilization and Transfusion Reduction Efficacy and Safety Clinical Investigation, Randomized, Multicenter, Double-Blind, Placebo-Controlled, Using Eculizumab in Paroxysmal Nocturnal Haemoglobinuria Patients</w:t>
            </w:r>
          </w:p>
        </w:tc>
        <w:tc>
          <w:tcPr>
            <w:tcW w:w="1308" w:type="pct"/>
            <w:tcBorders>
              <w:bottom w:val="nil"/>
            </w:tcBorders>
          </w:tcPr>
          <w:p w14:paraId="36634E32" w14:textId="77777777" w:rsidR="00746E48" w:rsidRPr="00903174" w:rsidRDefault="00746E48" w:rsidP="0050376F">
            <w:pPr>
              <w:pStyle w:val="TableText"/>
            </w:pPr>
            <w:r w:rsidRPr="00903174">
              <w:t>July 2006</w:t>
            </w:r>
          </w:p>
        </w:tc>
      </w:tr>
      <w:tr w:rsidR="00746E48" w:rsidRPr="00903174" w14:paraId="76D1CF06" w14:textId="77777777" w:rsidTr="006C1447">
        <w:tc>
          <w:tcPr>
            <w:tcW w:w="653" w:type="pct"/>
            <w:vMerge/>
            <w:vAlign w:val="center"/>
          </w:tcPr>
          <w:p w14:paraId="2D235B84" w14:textId="77777777" w:rsidR="00746E48" w:rsidRPr="00903174" w:rsidRDefault="00746E48" w:rsidP="0050376F">
            <w:pPr>
              <w:pStyle w:val="TableText"/>
            </w:pPr>
          </w:p>
        </w:tc>
        <w:tc>
          <w:tcPr>
            <w:tcW w:w="3039" w:type="pct"/>
            <w:tcBorders>
              <w:top w:val="nil"/>
              <w:bottom w:val="nil"/>
            </w:tcBorders>
          </w:tcPr>
          <w:p w14:paraId="407AB510" w14:textId="77777777" w:rsidR="00746E48" w:rsidRPr="00903174" w:rsidRDefault="00746E48" w:rsidP="0050376F">
            <w:pPr>
              <w:pStyle w:val="TableText"/>
              <w:rPr>
                <w:szCs w:val="18"/>
              </w:rPr>
            </w:pPr>
            <w:r w:rsidRPr="00903174">
              <w:rPr>
                <w:rFonts w:cs="Arial"/>
                <w:color w:val="222222"/>
                <w:shd w:val="clear" w:color="auto" w:fill="FFFFFF"/>
              </w:rPr>
              <w:t>Hillmen P, et al. The complement inhibitor eculizumab in paroxysmal nocturnal haemoglobinuria.</w:t>
            </w:r>
          </w:p>
        </w:tc>
        <w:tc>
          <w:tcPr>
            <w:tcW w:w="1308" w:type="pct"/>
            <w:tcBorders>
              <w:top w:val="nil"/>
              <w:bottom w:val="nil"/>
            </w:tcBorders>
          </w:tcPr>
          <w:p w14:paraId="3E81060C" w14:textId="77777777" w:rsidR="00746E48" w:rsidRPr="00903174" w:rsidRDefault="00746E48" w:rsidP="0050376F">
            <w:pPr>
              <w:pStyle w:val="TableText"/>
              <w:rPr>
                <w:i/>
                <w:szCs w:val="18"/>
              </w:rPr>
            </w:pPr>
            <w:r w:rsidRPr="00903174">
              <w:rPr>
                <w:rFonts w:cs="Arial"/>
                <w:i/>
                <w:color w:val="222222"/>
                <w:shd w:val="clear" w:color="auto" w:fill="FFFFFF"/>
              </w:rPr>
              <w:t>New England J Med</w:t>
            </w:r>
            <w:r w:rsidRPr="00903174">
              <w:rPr>
                <w:rFonts w:cs="Arial"/>
                <w:color w:val="222222"/>
                <w:shd w:val="clear" w:color="auto" w:fill="FFFFFF"/>
              </w:rPr>
              <w:t> 2006; 355(12): 1233-1243.</w:t>
            </w:r>
          </w:p>
        </w:tc>
      </w:tr>
      <w:tr w:rsidR="00746E48" w:rsidRPr="00903174" w14:paraId="1ACF6EC4" w14:textId="77777777" w:rsidTr="006C1447">
        <w:tc>
          <w:tcPr>
            <w:tcW w:w="653" w:type="pct"/>
            <w:vMerge/>
            <w:vAlign w:val="center"/>
          </w:tcPr>
          <w:p w14:paraId="6A00231F" w14:textId="77777777" w:rsidR="00746E48" w:rsidRPr="00903174" w:rsidRDefault="00746E48" w:rsidP="0050376F">
            <w:pPr>
              <w:pStyle w:val="TableText"/>
            </w:pPr>
          </w:p>
        </w:tc>
        <w:tc>
          <w:tcPr>
            <w:tcW w:w="3039" w:type="pct"/>
            <w:tcBorders>
              <w:top w:val="nil"/>
              <w:bottom w:val="single" w:sz="4" w:space="0" w:color="auto"/>
            </w:tcBorders>
          </w:tcPr>
          <w:p w14:paraId="2250458A" w14:textId="77777777" w:rsidR="00746E48" w:rsidRPr="00903174" w:rsidRDefault="00746E48" w:rsidP="0050376F">
            <w:pPr>
              <w:pStyle w:val="TableText"/>
              <w:rPr>
                <w:szCs w:val="18"/>
              </w:rPr>
            </w:pPr>
            <w:r w:rsidRPr="00903174">
              <w:rPr>
                <w:rFonts w:cs="Arial"/>
              </w:rPr>
              <w:t>Hill A, et al. Effect of eculizumab on haemolysis</w:t>
            </w:r>
            <w:r w:rsidRPr="00903174">
              <w:rPr>
                <w:rFonts w:ascii="Times New Roman" w:hAnsi="Times New Roman"/>
              </w:rPr>
              <w:t>‐</w:t>
            </w:r>
            <w:r w:rsidRPr="00903174">
              <w:rPr>
                <w:rFonts w:cs="Arial"/>
              </w:rPr>
              <w:t>associated nitric oxide depletion, dyspnoea, and measures of pulmonary hypertension in patients with paroxysmal nocturnal haemoglobinuria</w:t>
            </w:r>
            <w:r w:rsidR="00B4390A" w:rsidRPr="00903174">
              <w:rPr>
                <w:rFonts w:cs="Arial"/>
              </w:rPr>
              <w:t xml:space="preserve">. </w:t>
            </w:r>
          </w:p>
        </w:tc>
        <w:tc>
          <w:tcPr>
            <w:tcW w:w="1308" w:type="pct"/>
            <w:tcBorders>
              <w:top w:val="nil"/>
              <w:bottom w:val="single" w:sz="4" w:space="0" w:color="auto"/>
            </w:tcBorders>
          </w:tcPr>
          <w:p w14:paraId="7C887A79" w14:textId="77777777" w:rsidR="00746E48" w:rsidRPr="00903174" w:rsidRDefault="00746E48" w:rsidP="0050376F">
            <w:pPr>
              <w:pStyle w:val="TableText"/>
            </w:pPr>
            <w:r w:rsidRPr="00903174">
              <w:rPr>
                <w:rFonts w:cs="Arial"/>
                <w:i/>
              </w:rPr>
              <w:t>British Journal of Haematology</w:t>
            </w:r>
            <w:r w:rsidRPr="00903174">
              <w:rPr>
                <w:rFonts w:cs="Arial"/>
              </w:rPr>
              <w:t xml:space="preserve"> 2010; 149(3): 414-425.</w:t>
            </w:r>
          </w:p>
        </w:tc>
      </w:tr>
    </w:tbl>
    <w:p w14:paraId="22D923F4" w14:textId="77777777" w:rsidR="00746E48" w:rsidRPr="00903174" w:rsidRDefault="00746E48" w:rsidP="00746E48">
      <w:pPr>
        <w:pStyle w:val="TableFigureFooter"/>
      </w:pPr>
      <w:r w:rsidRPr="00903174">
        <w:t>Source: Table 21, pp53-55 of the submission.</w:t>
      </w:r>
    </w:p>
    <w:p w14:paraId="7F451DCE" w14:textId="77777777" w:rsidR="007F1017" w:rsidRPr="00903174" w:rsidRDefault="008F120A" w:rsidP="00415038">
      <w:pPr>
        <w:pStyle w:val="ExecSumBodyText"/>
        <w:numPr>
          <w:ilvl w:val="1"/>
          <w:numId w:val="1"/>
        </w:numPr>
        <w:rPr>
          <w:color w:val="0066FF"/>
        </w:rPr>
      </w:pPr>
      <w:r w:rsidRPr="00903174">
        <w:t>The key features of the randomised trials are summarised in the table below.</w:t>
      </w:r>
    </w:p>
    <w:p w14:paraId="199563B2" w14:textId="77777777" w:rsidR="007F1017" w:rsidRPr="00903174" w:rsidRDefault="007F1017" w:rsidP="00244CD3">
      <w:pPr>
        <w:pStyle w:val="TableFigureCaption"/>
      </w:pPr>
      <w:r w:rsidRPr="00903174">
        <w:lastRenderedPageBreak/>
        <w:t xml:space="preserve">Table </w:t>
      </w:r>
      <w:r w:rsidR="00EC10C8" w:rsidRPr="00903174">
        <w:t>4</w:t>
      </w:r>
      <w:r w:rsidRPr="00903174">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3"/>
        <w:gridCol w:w="566"/>
        <w:gridCol w:w="1416"/>
        <w:gridCol w:w="849"/>
        <w:gridCol w:w="1134"/>
        <w:gridCol w:w="2554"/>
        <w:gridCol w:w="1365"/>
      </w:tblGrid>
      <w:tr w:rsidR="00E63858" w:rsidRPr="00903174" w14:paraId="42DFDFD8" w14:textId="77777777" w:rsidTr="00E63858">
        <w:trPr>
          <w:cantSplit/>
          <w:tblHeader/>
        </w:trPr>
        <w:tc>
          <w:tcPr>
            <w:tcW w:w="628" w:type="pct"/>
            <w:shd w:val="clear" w:color="auto" w:fill="auto"/>
            <w:vAlign w:val="center"/>
          </w:tcPr>
          <w:p w14:paraId="131E60E2" w14:textId="77777777" w:rsidR="007F1017" w:rsidRPr="00903174" w:rsidRDefault="007F1017" w:rsidP="00244CD3">
            <w:pPr>
              <w:pStyle w:val="Tableheadingrow"/>
              <w:rPr>
                <w:lang w:val="en-AU"/>
              </w:rPr>
            </w:pPr>
            <w:r w:rsidRPr="00903174">
              <w:rPr>
                <w:lang w:val="en-AU"/>
              </w:rPr>
              <w:t>Trial</w:t>
            </w:r>
          </w:p>
        </w:tc>
        <w:tc>
          <w:tcPr>
            <w:tcW w:w="314" w:type="pct"/>
            <w:shd w:val="clear" w:color="auto" w:fill="auto"/>
            <w:vAlign w:val="center"/>
          </w:tcPr>
          <w:p w14:paraId="0F7780F1" w14:textId="77777777" w:rsidR="007F1017" w:rsidRPr="00903174" w:rsidRDefault="007F1017" w:rsidP="00244CD3">
            <w:pPr>
              <w:pStyle w:val="Tableheadingrow"/>
              <w:jc w:val="center"/>
              <w:rPr>
                <w:lang w:val="en-AU"/>
              </w:rPr>
            </w:pPr>
            <w:r w:rsidRPr="00903174">
              <w:rPr>
                <w:lang w:val="en-AU"/>
              </w:rPr>
              <w:t>N</w:t>
            </w:r>
          </w:p>
        </w:tc>
        <w:tc>
          <w:tcPr>
            <w:tcW w:w="785" w:type="pct"/>
            <w:shd w:val="clear" w:color="auto" w:fill="auto"/>
            <w:vAlign w:val="center"/>
          </w:tcPr>
          <w:p w14:paraId="769A51EC" w14:textId="77777777" w:rsidR="007F1017" w:rsidRPr="00903174" w:rsidRDefault="00E63858" w:rsidP="00244CD3">
            <w:pPr>
              <w:pStyle w:val="Tableheadingrow"/>
              <w:jc w:val="center"/>
              <w:rPr>
                <w:lang w:val="en-AU"/>
              </w:rPr>
            </w:pPr>
            <w:r w:rsidRPr="00903174">
              <w:rPr>
                <w:lang w:val="en-AU"/>
              </w:rPr>
              <w:t>Design/</w:t>
            </w:r>
            <w:r w:rsidR="007F1017" w:rsidRPr="00903174">
              <w:rPr>
                <w:lang w:val="en-AU"/>
              </w:rPr>
              <w:t>duration</w:t>
            </w:r>
          </w:p>
        </w:tc>
        <w:tc>
          <w:tcPr>
            <w:tcW w:w="471" w:type="pct"/>
            <w:shd w:val="clear" w:color="auto" w:fill="auto"/>
            <w:vAlign w:val="center"/>
          </w:tcPr>
          <w:p w14:paraId="1945C9AA" w14:textId="77777777" w:rsidR="007F1017" w:rsidRPr="00903174" w:rsidRDefault="007F1017" w:rsidP="00244CD3">
            <w:pPr>
              <w:pStyle w:val="Tableheadingrow"/>
              <w:jc w:val="center"/>
              <w:rPr>
                <w:lang w:val="en-AU"/>
              </w:rPr>
            </w:pPr>
            <w:r w:rsidRPr="00903174">
              <w:rPr>
                <w:lang w:val="en-AU"/>
              </w:rPr>
              <w:t>Risk of bias</w:t>
            </w:r>
          </w:p>
        </w:tc>
        <w:tc>
          <w:tcPr>
            <w:tcW w:w="629" w:type="pct"/>
            <w:shd w:val="clear" w:color="auto" w:fill="auto"/>
            <w:vAlign w:val="center"/>
          </w:tcPr>
          <w:p w14:paraId="25564D36" w14:textId="77777777" w:rsidR="007F1017" w:rsidRPr="00903174" w:rsidRDefault="007F1017" w:rsidP="00244CD3">
            <w:pPr>
              <w:pStyle w:val="Tableheadingrow"/>
              <w:jc w:val="center"/>
              <w:rPr>
                <w:lang w:val="en-AU"/>
              </w:rPr>
            </w:pPr>
            <w:r w:rsidRPr="00903174">
              <w:rPr>
                <w:lang w:val="en-AU"/>
              </w:rPr>
              <w:t>Patient population</w:t>
            </w:r>
          </w:p>
        </w:tc>
        <w:tc>
          <w:tcPr>
            <w:tcW w:w="1416" w:type="pct"/>
            <w:shd w:val="clear" w:color="auto" w:fill="auto"/>
            <w:vAlign w:val="center"/>
          </w:tcPr>
          <w:p w14:paraId="7ADCCAE8" w14:textId="77777777" w:rsidR="007F1017" w:rsidRPr="00903174" w:rsidRDefault="007F1017" w:rsidP="00244CD3">
            <w:pPr>
              <w:pStyle w:val="Tableheadingrow"/>
              <w:jc w:val="center"/>
              <w:rPr>
                <w:lang w:val="en-AU"/>
              </w:rPr>
            </w:pPr>
            <w:r w:rsidRPr="00903174">
              <w:rPr>
                <w:lang w:val="en-AU"/>
              </w:rPr>
              <w:t>Outcome(s)</w:t>
            </w:r>
          </w:p>
        </w:tc>
        <w:tc>
          <w:tcPr>
            <w:tcW w:w="757" w:type="pct"/>
            <w:shd w:val="clear" w:color="auto" w:fill="auto"/>
            <w:vAlign w:val="center"/>
          </w:tcPr>
          <w:p w14:paraId="036132A0" w14:textId="77777777" w:rsidR="007F1017" w:rsidRPr="00903174" w:rsidRDefault="007F1017" w:rsidP="00244CD3">
            <w:pPr>
              <w:pStyle w:val="Tableheadingrow"/>
              <w:jc w:val="center"/>
              <w:rPr>
                <w:lang w:val="en-AU"/>
              </w:rPr>
            </w:pPr>
            <w:r w:rsidRPr="00903174">
              <w:rPr>
                <w:lang w:val="en-AU"/>
              </w:rPr>
              <w:t>Use in modelled evaluation</w:t>
            </w:r>
            <w:r w:rsidR="002E5D2B" w:rsidRPr="00903174">
              <w:rPr>
                <w:vertAlign w:val="superscript"/>
                <w:lang w:val="en-AU"/>
              </w:rPr>
              <w:t>a</w:t>
            </w:r>
          </w:p>
        </w:tc>
      </w:tr>
      <w:tr w:rsidR="007F1017" w:rsidRPr="00903174" w14:paraId="59E906C2" w14:textId="77777777" w:rsidTr="00682BA6">
        <w:trPr>
          <w:cantSplit/>
        </w:trPr>
        <w:tc>
          <w:tcPr>
            <w:tcW w:w="5000" w:type="pct"/>
            <w:gridSpan w:val="7"/>
            <w:shd w:val="clear" w:color="auto" w:fill="auto"/>
            <w:vAlign w:val="center"/>
          </w:tcPr>
          <w:p w14:paraId="219B3265" w14:textId="77777777" w:rsidR="007F1017" w:rsidRPr="00903174" w:rsidRDefault="00922DEB" w:rsidP="00244CD3">
            <w:pPr>
              <w:pStyle w:val="Tableheadingrow"/>
              <w:rPr>
                <w:lang w:val="en-AU"/>
              </w:rPr>
            </w:pPr>
            <w:r w:rsidRPr="00903174">
              <w:rPr>
                <w:lang w:val="en-AU"/>
              </w:rPr>
              <w:t>Ravulizumab vs eculizumab</w:t>
            </w:r>
          </w:p>
        </w:tc>
      </w:tr>
      <w:tr w:rsidR="004D7B55" w:rsidRPr="00903174" w14:paraId="75A43B81" w14:textId="77777777" w:rsidTr="00E63858">
        <w:trPr>
          <w:cantSplit/>
        </w:trPr>
        <w:tc>
          <w:tcPr>
            <w:tcW w:w="628" w:type="pct"/>
            <w:shd w:val="clear" w:color="auto" w:fill="auto"/>
            <w:vAlign w:val="center"/>
          </w:tcPr>
          <w:p w14:paraId="5BB537E9" w14:textId="77777777" w:rsidR="004D7B55" w:rsidRPr="00903174" w:rsidRDefault="004D7B55" w:rsidP="00244CD3">
            <w:pPr>
              <w:pStyle w:val="TableText"/>
            </w:pPr>
            <w:r w:rsidRPr="00903174">
              <w:t>Trial 301</w:t>
            </w:r>
            <w:r w:rsidR="00BD3D6A" w:rsidRPr="00903174">
              <w:t xml:space="preserve"> </w:t>
            </w:r>
            <w:r w:rsidR="00BD3D6A" w:rsidRPr="00903174">
              <w:rPr>
                <w:vertAlign w:val="superscript"/>
              </w:rPr>
              <w:t>b</w:t>
            </w:r>
          </w:p>
        </w:tc>
        <w:tc>
          <w:tcPr>
            <w:tcW w:w="314" w:type="pct"/>
            <w:shd w:val="clear" w:color="auto" w:fill="auto"/>
            <w:vAlign w:val="center"/>
          </w:tcPr>
          <w:p w14:paraId="522ED403" w14:textId="77777777" w:rsidR="004D7B55" w:rsidRPr="00903174" w:rsidRDefault="004D7B55" w:rsidP="00244CD3">
            <w:pPr>
              <w:pStyle w:val="TableText"/>
              <w:jc w:val="center"/>
            </w:pPr>
            <w:r w:rsidRPr="00903174">
              <w:t>246</w:t>
            </w:r>
          </w:p>
        </w:tc>
        <w:tc>
          <w:tcPr>
            <w:tcW w:w="785" w:type="pct"/>
            <w:shd w:val="clear" w:color="auto" w:fill="auto"/>
            <w:vAlign w:val="center"/>
          </w:tcPr>
          <w:p w14:paraId="69886648" w14:textId="77777777" w:rsidR="004D7B55" w:rsidRPr="00903174" w:rsidRDefault="00ED2E01" w:rsidP="00244CD3">
            <w:pPr>
              <w:pStyle w:val="TableText"/>
              <w:jc w:val="center"/>
            </w:pPr>
            <w:r w:rsidRPr="00903174">
              <w:t>M</w:t>
            </w:r>
            <w:r w:rsidR="00FD5A6B" w:rsidRPr="00903174">
              <w:t>ulticentr</w:t>
            </w:r>
            <w:r w:rsidRPr="00903174">
              <w:t>e, randomi</w:t>
            </w:r>
            <w:r w:rsidR="006A4CE9" w:rsidRPr="00903174">
              <w:t>s</w:t>
            </w:r>
            <w:r w:rsidRPr="00903174">
              <w:t>ed, open label, active controlled n</w:t>
            </w:r>
            <w:r w:rsidR="004D7B55" w:rsidRPr="00903174">
              <w:t>oninferiority trial</w:t>
            </w:r>
          </w:p>
          <w:p w14:paraId="30C8C747" w14:textId="77777777" w:rsidR="004D7B55" w:rsidRPr="00903174" w:rsidRDefault="004D7B55" w:rsidP="00244CD3">
            <w:pPr>
              <w:pStyle w:val="TableText"/>
              <w:jc w:val="center"/>
            </w:pPr>
            <w:r w:rsidRPr="00903174">
              <w:t>26 weeks</w:t>
            </w:r>
          </w:p>
        </w:tc>
        <w:tc>
          <w:tcPr>
            <w:tcW w:w="471" w:type="pct"/>
            <w:shd w:val="clear" w:color="auto" w:fill="auto"/>
            <w:vAlign w:val="center"/>
          </w:tcPr>
          <w:p w14:paraId="2191B095" w14:textId="77777777" w:rsidR="004D7B55" w:rsidRPr="00346D24" w:rsidRDefault="004D7B55" w:rsidP="00244CD3">
            <w:pPr>
              <w:pStyle w:val="TableText"/>
              <w:jc w:val="center"/>
            </w:pPr>
            <w:r w:rsidRPr="00346D24">
              <w:t>Unclear</w:t>
            </w:r>
          </w:p>
        </w:tc>
        <w:tc>
          <w:tcPr>
            <w:tcW w:w="629" w:type="pct"/>
            <w:shd w:val="clear" w:color="auto" w:fill="auto"/>
            <w:vAlign w:val="center"/>
          </w:tcPr>
          <w:p w14:paraId="6D300A09" w14:textId="77777777" w:rsidR="004D7B55" w:rsidRPr="00903174" w:rsidRDefault="004D7B55" w:rsidP="00244CD3">
            <w:pPr>
              <w:pStyle w:val="TableText"/>
              <w:jc w:val="center"/>
            </w:pPr>
            <w:r w:rsidRPr="00903174">
              <w:t>Treatment naïve</w:t>
            </w:r>
          </w:p>
        </w:tc>
        <w:tc>
          <w:tcPr>
            <w:tcW w:w="1416" w:type="pct"/>
            <w:shd w:val="clear" w:color="auto" w:fill="auto"/>
            <w:vAlign w:val="center"/>
          </w:tcPr>
          <w:p w14:paraId="66FDE72A" w14:textId="77777777" w:rsidR="004D7B55" w:rsidRPr="00903174" w:rsidRDefault="004D7B55" w:rsidP="00244CD3">
            <w:pPr>
              <w:pStyle w:val="TableText"/>
              <w:jc w:val="center"/>
            </w:pPr>
            <w:r w:rsidRPr="00903174">
              <w:t>Transfusion avoidance, LDH normalisation, BTH, stabilised haemoglobin, change in FACIT-fatigue score, % change in LDH</w:t>
            </w:r>
            <w:r w:rsidR="00E63858" w:rsidRPr="00903174">
              <w:t>. EORTC QLQ-C30</w:t>
            </w:r>
          </w:p>
        </w:tc>
        <w:tc>
          <w:tcPr>
            <w:tcW w:w="757" w:type="pct"/>
            <w:shd w:val="clear" w:color="auto" w:fill="auto"/>
            <w:vAlign w:val="center"/>
          </w:tcPr>
          <w:p w14:paraId="359A25AD" w14:textId="77777777" w:rsidR="004D7B55" w:rsidRPr="00903174" w:rsidRDefault="00E63858" w:rsidP="00244CD3">
            <w:pPr>
              <w:pStyle w:val="TableText"/>
              <w:jc w:val="center"/>
            </w:pPr>
            <w:r w:rsidRPr="00903174">
              <w:t>Weight distribution of patients</w:t>
            </w:r>
          </w:p>
        </w:tc>
      </w:tr>
      <w:tr w:rsidR="00E63858" w:rsidRPr="00903174" w14:paraId="68C76EDB" w14:textId="77777777" w:rsidTr="00E63858">
        <w:trPr>
          <w:cantSplit/>
        </w:trPr>
        <w:tc>
          <w:tcPr>
            <w:tcW w:w="628" w:type="pct"/>
            <w:shd w:val="clear" w:color="auto" w:fill="auto"/>
            <w:vAlign w:val="center"/>
          </w:tcPr>
          <w:p w14:paraId="388BC604" w14:textId="77777777" w:rsidR="007F1017" w:rsidRPr="00903174" w:rsidRDefault="00922DEB" w:rsidP="00F609CC">
            <w:pPr>
              <w:pStyle w:val="TableText"/>
              <w:keepNext w:val="0"/>
            </w:pPr>
            <w:r w:rsidRPr="00903174">
              <w:t>Trial 302</w:t>
            </w:r>
          </w:p>
        </w:tc>
        <w:tc>
          <w:tcPr>
            <w:tcW w:w="314" w:type="pct"/>
            <w:shd w:val="clear" w:color="auto" w:fill="auto"/>
            <w:vAlign w:val="center"/>
          </w:tcPr>
          <w:p w14:paraId="65384E8F" w14:textId="77777777" w:rsidR="007F1017" w:rsidRPr="00903174" w:rsidRDefault="0042029B" w:rsidP="00F609CC">
            <w:pPr>
              <w:pStyle w:val="TableText"/>
              <w:keepNext w:val="0"/>
              <w:jc w:val="center"/>
            </w:pPr>
            <w:r w:rsidRPr="00903174">
              <w:t>195</w:t>
            </w:r>
          </w:p>
        </w:tc>
        <w:tc>
          <w:tcPr>
            <w:tcW w:w="785" w:type="pct"/>
            <w:shd w:val="clear" w:color="auto" w:fill="auto"/>
            <w:vAlign w:val="center"/>
          </w:tcPr>
          <w:p w14:paraId="3C2AAC40" w14:textId="77777777" w:rsidR="006A4CE9" w:rsidRPr="00903174" w:rsidRDefault="006A4CE9" w:rsidP="00F609CC">
            <w:pPr>
              <w:pStyle w:val="TableText"/>
              <w:keepNext w:val="0"/>
              <w:jc w:val="center"/>
            </w:pPr>
            <w:r w:rsidRPr="00903174">
              <w:t>Multicentre, randomised, open label, active controlled noninferiority trial</w:t>
            </w:r>
          </w:p>
          <w:p w14:paraId="4C1EE718" w14:textId="77777777" w:rsidR="007F1017" w:rsidRPr="00903174" w:rsidRDefault="006A4CE9" w:rsidP="00F609CC">
            <w:pPr>
              <w:pStyle w:val="TableText"/>
              <w:keepNext w:val="0"/>
              <w:jc w:val="center"/>
            </w:pPr>
            <w:r w:rsidRPr="00903174">
              <w:t>26 weeks</w:t>
            </w:r>
          </w:p>
        </w:tc>
        <w:tc>
          <w:tcPr>
            <w:tcW w:w="471" w:type="pct"/>
            <w:shd w:val="clear" w:color="auto" w:fill="auto"/>
            <w:vAlign w:val="center"/>
          </w:tcPr>
          <w:p w14:paraId="5894675F" w14:textId="77777777" w:rsidR="007F1017" w:rsidRPr="00346D24" w:rsidRDefault="0042029B" w:rsidP="00F609CC">
            <w:pPr>
              <w:pStyle w:val="TableText"/>
              <w:keepNext w:val="0"/>
              <w:jc w:val="center"/>
            </w:pPr>
            <w:r w:rsidRPr="00346D24">
              <w:t>Unclear</w:t>
            </w:r>
          </w:p>
        </w:tc>
        <w:tc>
          <w:tcPr>
            <w:tcW w:w="629" w:type="pct"/>
            <w:shd w:val="clear" w:color="auto" w:fill="auto"/>
            <w:vAlign w:val="center"/>
          </w:tcPr>
          <w:p w14:paraId="504E97AE" w14:textId="77777777" w:rsidR="007F1017" w:rsidRPr="00903174" w:rsidRDefault="00922DEB" w:rsidP="00F609CC">
            <w:pPr>
              <w:pStyle w:val="TableText"/>
              <w:keepNext w:val="0"/>
              <w:jc w:val="center"/>
            </w:pPr>
            <w:r w:rsidRPr="00903174">
              <w:t>Stable with eculizumab treatment</w:t>
            </w:r>
          </w:p>
        </w:tc>
        <w:tc>
          <w:tcPr>
            <w:tcW w:w="1416" w:type="pct"/>
            <w:shd w:val="clear" w:color="auto" w:fill="auto"/>
            <w:vAlign w:val="center"/>
          </w:tcPr>
          <w:p w14:paraId="721DC4D3" w14:textId="77777777" w:rsidR="007F1017" w:rsidRPr="00903174" w:rsidRDefault="0042029B" w:rsidP="00F609CC">
            <w:pPr>
              <w:pStyle w:val="TableText"/>
              <w:keepNext w:val="0"/>
              <w:jc w:val="center"/>
            </w:pPr>
            <w:r w:rsidRPr="00903174">
              <w:t xml:space="preserve">Transfusion avoidance, </w:t>
            </w:r>
            <w:r w:rsidR="004D7B55" w:rsidRPr="00903174">
              <w:t>% change in LDH</w:t>
            </w:r>
            <w:r w:rsidRPr="00903174">
              <w:t>, BTH</w:t>
            </w:r>
            <w:r w:rsidR="004D7B55" w:rsidRPr="00903174">
              <w:t>, stabilised haemoglobin, change in FACIT-fatigue score, EORTC QLQ-C30</w:t>
            </w:r>
          </w:p>
        </w:tc>
        <w:tc>
          <w:tcPr>
            <w:tcW w:w="757" w:type="pct"/>
            <w:shd w:val="clear" w:color="auto" w:fill="auto"/>
            <w:vAlign w:val="center"/>
          </w:tcPr>
          <w:p w14:paraId="7B14D1F4" w14:textId="77777777" w:rsidR="007F1017" w:rsidRPr="00903174" w:rsidRDefault="004D7B55" w:rsidP="00F609CC">
            <w:pPr>
              <w:pStyle w:val="TableText"/>
              <w:keepNext w:val="0"/>
              <w:jc w:val="center"/>
            </w:pPr>
            <w:r w:rsidRPr="00903174">
              <w:t>EORTC QLQ-C30 scores</w:t>
            </w:r>
          </w:p>
        </w:tc>
      </w:tr>
      <w:tr w:rsidR="00F31D5A" w:rsidRPr="00903174" w14:paraId="3602A80E" w14:textId="77777777" w:rsidTr="00E63858">
        <w:trPr>
          <w:cantSplit/>
        </w:trPr>
        <w:tc>
          <w:tcPr>
            <w:tcW w:w="628" w:type="pct"/>
            <w:shd w:val="clear" w:color="auto" w:fill="auto"/>
            <w:vAlign w:val="center"/>
          </w:tcPr>
          <w:p w14:paraId="45F4B315" w14:textId="77777777" w:rsidR="007F1017" w:rsidRPr="00903174" w:rsidRDefault="007F1017" w:rsidP="00F609CC">
            <w:pPr>
              <w:pStyle w:val="TableText"/>
              <w:keepNext w:val="0"/>
            </w:pPr>
            <w:r w:rsidRPr="00903174">
              <w:t>Meta-analysis</w:t>
            </w:r>
          </w:p>
        </w:tc>
        <w:tc>
          <w:tcPr>
            <w:tcW w:w="314" w:type="pct"/>
            <w:shd w:val="clear" w:color="auto" w:fill="auto"/>
            <w:vAlign w:val="center"/>
          </w:tcPr>
          <w:p w14:paraId="5786F934" w14:textId="77777777" w:rsidR="007F1017" w:rsidRPr="00903174" w:rsidRDefault="004D7B55" w:rsidP="00F609CC">
            <w:pPr>
              <w:pStyle w:val="TableText"/>
              <w:keepNext w:val="0"/>
              <w:jc w:val="center"/>
            </w:pPr>
            <w:r w:rsidRPr="00903174">
              <w:t>441</w:t>
            </w:r>
          </w:p>
        </w:tc>
        <w:tc>
          <w:tcPr>
            <w:tcW w:w="3301" w:type="pct"/>
            <w:gridSpan w:val="4"/>
            <w:shd w:val="clear" w:color="auto" w:fill="auto"/>
            <w:vAlign w:val="center"/>
          </w:tcPr>
          <w:p w14:paraId="70133227" w14:textId="77777777" w:rsidR="007F1017" w:rsidRPr="00903174" w:rsidRDefault="007F1017" w:rsidP="00F609CC">
            <w:pPr>
              <w:pStyle w:val="TableText"/>
              <w:keepNext w:val="0"/>
              <w:jc w:val="right"/>
            </w:pPr>
            <w:r w:rsidRPr="00903174">
              <w:t xml:space="preserve">Included </w:t>
            </w:r>
            <w:r w:rsidR="00922DEB" w:rsidRPr="00903174">
              <w:t>Trial 301</w:t>
            </w:r>
            <w:r w:rsidRPr="00903174">
              <w:t xml:space="preserve"> and </w:t>
            </w:r>
            <w:r w:rsidR="00EA10D5" w:rsidRPr="00903174">
              <w:t>t</w:t>
            </w:r>
            <w:r w:rsidR="00922DEB" w:rsidRPr="00903174">
              <w:t>rial 302</w:t>
            </w:r>
          </w:p>
        </w:tc>
        <w:tc>
          <w:tcPr>
            <w:tcW w:w="757" w:type="pct"/>
            <w:shd w:val="clear" w:color="auto" w:fill="auto"/>
            <w:vAlign w:val="center"/>
          </w:tcPr>
          <w:p w14:paraId="2B780272" w14:textId="77777777" w:rsidR="007F1017" w:rsidRPr="00903174" w:rsidRDefault="00E63858" w:rsidP="00F609CC">
            <w:pPr>
              <w:pStyle w:val="TableText"/>
              <w:keepNext w:val="0"/>
              <w:jc w:val="center"/>
            </w:pPr>
            <w:r w:rsidRPr="00903174">
              <w:t>RD for BTH (ravu), BTH events (ecu)</w:t>
            </w:r>
          </w:p>
        </w:tc>
      </w:tr>
      <w:tr w:rsidR="00922DEB" w:rsidRPr="00903174" w14:paraId="5CF8CFA8" w14:textId="77777777" w:rsidTr="00922DEB">
        <w:trPr>
          <w:cantSplit/>
        </w:trPr>
        <w:tc>
          <w:tcPr>
            <w:tcW w:w="5000" w:type="pct"/>
            <w:gridSpan w:val="7"/>
            <w:shd w:val="clear" w:color="auto" w:fill="auto"/>
            <w:vAlign w:val="center"/>
          </w:tcPr>
          <w:p w14:paraId="1EF5F65B" w14:textId="77777777" w:rsidR="00922DEB" w:rsidRPr="00903174" w:rsidRDefault="00922DEB" w:rsidP="00F609CC">
            <w:pPr>
              <w:pStyle w:val="TableText"/>
              <w:keepNext w:val="0"/>
              <w:rPr>
                <w:b/>
              </w:rPr>
            </w:pPr>
            <w:r w:rsidRPr="00903174">
              <w:rPr>
                <w:b/>
              </w:rPr>
              <w:t>Indirect comparison: Eculizumab vs placebo/best supportive care, eculizumab common reference</w:t>
            </w:r>
          </w:p>
        </w:tc>
      </w:tr>
      <w:tr w:rsidR="00E63858" w:rsidRPr="00903174" w14:paraId="0B786190" w14:textId="77777777" w:rsidTr="00E63858">
        <w:trPr>
          <w:cantSplit/>
        </w:trPr>
        <w:tc>
          <w:tcPr>
            <w:tcW w:w="628" w:type="pct"/>
            <w:shd w:val="clear" w:color="auto" w:fill="auto"/>
            <w:vAlign w:val="center"/>
          </w:tcPr>
          <w:p w14:paraId="50434EA0" w14:textId="77777777" w:rsidR="00922DEB" w:rsidRPr="00903174" w:rsidRDefault="00922DEB" w:rsidP="00F609CC">
            <w:pPr>
              <w:pStyle w:val="TableText"/>
              <w:keepNext w:val="0"/>
            </w:pPr>
            <w:r w:rsidRPr="00903174">
              <w:t>TRIUMPH</w:t>
            </w:r>
          </w:p>
        </w:tc>
        <w:tc>
          <w:tcPr>
            <w:tcW w:w="314" w:type="pct"/>
            <w:shd w:val="clear" w:color="auto" w:fill="auto"/>
            <w:vAlign w:val="center"/>
          </w:tcPr>
          <w:p w14:paraId="412C2DDC" w14:textId="77777777" w:rsidR="00922DEB" w:rsidRPr="00903174" w:rsidRDefault="0042029B" w:rsidP="00F609CC">
            <w:pPr>
              <w:pStyle w:val="TableText"/>
              <w:keepNext w:val="0"/>
              <w:jc w:val="center"/>
            </w:pPr>
            <w:r w:rsidRPr="00903174">
              <w:t>87</w:t>
            </w:r>
          </w:p>
        </w:tc>
        <w:tc>
          <w:tcPr>
            <w:tcW w:w="785" w:type="pct"/>
            <w:shd w:val="clear" w:color="auto" w:fill="auto"/>
            <w:vAlign w:val="center"/>
          </w:tcPr>
          <w:p w14:paraId="56E833AD" w14:textId="77777777" w:rsidR="006A4CE9" w:rsidRPr="00903174" w:rsidRDefault="006A4CE9" w:rsidP="00F609CC">
            <w:pPr>
              <w:pStyle w:val="TableText"/>
              <w:keepNext w:val="0"/>
              <w:jc w:val="center"/>
            </w:pPr>
            <w:r w:rsidRPr="00903174">
              <w:t>Multicentre, randomised, double blind, placebo controlled trial</w:t>
            </w:r>
          </w:p>
          <w:p w14:paraId="25135D20" w14:textId="77777777" w:rsidR="00922DEB" w:rsidRPr="00903174" w:rsidRDefault="006A4CE9" w:rsidP="00F609CC">
            <w:pPr>
              <w:pStyle w:val="TableText"/>
              <w:keepNext w:val="0"/>
              <w:jc w:val="center"/>
            </w:pPr>
            <w:r w:rsidRPr="00903174">
              <w:t>26 weeks</w:t>
            </w:r>
          </w:p>
        </w:tc>
        <w:tc>
          <w:tcPr>
            <w:tcW w:w="471" w:type="pct"/>
            <w:shd w:val="clear" w:color="auto" w:fill="auto"/>
            <w:vAlign w:val="center"/>
          </w:tcPr>
          <w:p w14:paraId="72E84FF7" w14:textId="77777777" w:rsidR="00922DEB" w:rsidRPr="00346D24" w:rsidRDefault="0042029B" w:rsidP="00F609CC">
            <w:pPr>
              <w:pStyle w:val="TableText"/>
              <w:keepNext w:val="0"/>
              <w:jc w:val="center"/>
            </w:pPr>
            <w:r w:rsidRPr="00346D24">
              <w:t>High</w:t>
            </w:r>
          </w:p>
        </w:tc>
        <w:tc>
          <w:tcPr>
            <w:tcW w:w="629" w:type="pct"/>
            <w:shd w:val="clear" w:color="auto" w:fill="auto"/>
            <w:vAlign w:val="center"/>
          </w:tcPr>
          <w:p w14:paraId="5550B189" w14:textId="77777777" w:rsidR="00922DEB" w:rsidRPr="00903174" w:rsidRDefault="00922DEB" w:rsidP="00F609CC">
            <w:pPr>
              <w:pStyle w:val="TableText"/>
              <w:keepNext w:val="0"/>
              <w:jc w:val="center"/>
            </w:pPr>
            <w:r w:rsidRPr="00903174">
              <w:t>Treatment naïve</w:t>
            </w:r>
          </w:p>
        </w:tc>
        <w:tc>
          <w:tcPr>
            <w:tcW w:w="1416" w:type="pct"/>
            <w:shd w:val="clear" w:color="auto" w:fill="auto"/>
            <w:vAlign w:val="center"/>
          </w:tcPr>
          <w:p w14:paraId="13B7C9E3" w14:textId="77777777" w:rsidR="00922DEB" w:rsidRPr="00903174" w:rsidRDefault="00E63858" w:rsidP="00F609CC">
            <w:pPr>
              <w:pStyle w:val="TableText"/>
              <w:keepNext w:val="0"/>
              <w:jc w:val="center"/>
            </w:pPr>
            <w:r w:rsidRPr="00903174">
              <w:t>Haemoglobin stabilization, blood transfusions, t</w:t>
            </w:r>
            <w:r w:rsidR="004D7B55" w:rsidRPr="00903174">
              <w:t xml:space="preserve">ransfusion avoidance </w:t>
            </w:r>
            <w:r w:rsidR="00BD3D6A" w:rsidRPr="00903174">
              <w:rPr>
                <w:vertAlign w:val="superscript"/>
              </w:rPr>
              <w:t>c</w:t>
            </w:r>
            <w:r w:rsidR="004D7B55" w:rsidRPr="00903174">
              <w:t xml:space="preserve">, </w:t>
            </w:r>
            <w:r w:rsidRPr="00903174">
              <w:t xml:space="preserve">LDH AUC, </w:t>
            </w:r>
            <w:r w:rsidR="004D7B55" w:rsidRPr="00903174">
              <w:t xml:space="preserve">change in FACIT-fatigue score </w:t>
            </w:r>
            <w:r w:rsidR="00BD3D6A" w:rsidRPr="00903174">
              <w:rPr>
                <w:vertAlign w:val="superscript"/>
              </w:rPr>
              <w:t>c</w:t>
            </w:r>
            <w:r w:rsidR="004D7B55" w:rsidRPr="00903174">
              <w:t xml:space="preserve">, % change in LDH </w:t>
            </w:r>
            <w:r w:rsidR="00BD3D6A" w:rsidRPr="00903174">
              <w:rPr>
                <w:vertAlign w:val="superscript"/>
              </w:rPr>
              <w:t>c</w:t>
            </w:r>
            <w:r w:rsidR="004D7B55" w:rsidRPr="00903174">
              <w:t>, EORTC QLQ-C30</w:t>
            </w:r>
          </w:p>
        </w:tc>
        <w:tc>
          <w:tcPr>
            <w:tcW w:w="757" w:type="pct"/>
            <w:shd w:val="clear" w:color="auto" w:fill="auto"/>
            <w:vAlign w:val="center"/>
          </w:tcPr>
          <w:p w14:paraId="0CC8B946" w14:textId="77777777" w:rsidR="00922DEB" w:rsidRPr="00903174" w:rsidRDefault="004D7B55" w:rsidP="00F609CC">
            <w:pPr>
              <w:pStyle w:val="TableText"/>
              <w:keepNext w:val="0"/>
              <w:jc w:val="center"/>
            </w:pPr>
            <w:r w:rsidRPr="00903174">
              <w:t>EORTC QLQ-C30 scores</w:t>
            </w:r>
          </w:p>
        </w:tc>
      </w:tr>
    </w:tbl>
    <w:p w14:paraId="24438E75" w14:textId="77777777" w:rsidR="00045017" w:rsidRPr="00903174" w:rsidRDefault="0042029B" w:rsidP="00EC5836">
      <w:pPr>
        <w:pStyle w:val="TableFigureFooter"/>
      </w:pPr>
      <w:r w:rsidRPr="00903174">
        <w:t>Source: Section 2.4.1, pp64-78 of the submission.</w:t>
      </w:r>
    </w:p>
    <w:p w14:paraId="4EBCDA5F" w14:textId="77777777" w:rsidR="004D7B55" w:rsidRPr="00903174" w:rsidRDefault="0042029B" w:rsidP="004D7B55">
      <w:pPr>
        <w:pStyle w:val="TableFigureFooter"/>
      </w:pPr>
      <w:r w:rsidRPr="00903174">
        <w:t xml:space="preserve">Abbreviations: </w:t>
      </w:r>
      <w:r w:rsidR="00E63858" w:rsidRPr="00903174">
        <w:t xml:space="preserve">AUC, area under the curve; </w:t>
      </w:r>
      <w:r w:rsidRPr="00903174">
        <w:t xml:space="preserve">BTH, breakthrough haemolysis; </w:t>
      </w:r>
      <w:r w:rsidR="00E63858" w:rsidRPr="00903174">
        <w:t>ecu, eculizumab;</w:t>
      </w:r>
      <w:r w:rsidR="00620C25" w:rsidRPr="00903174">
        <w:t xml:space="preserve"> </w:t>
      </w:r>
      <w:r w:rsidR="004D7B55" w:rsidRPr="00903174">
        <w:t xml:space="preserve">EORTC QLQ-C30, European Organization for Research and Treatment of Cancer quality of life questionnaire; FACIT, Functional Assessment of Chronic Illness Therapy;  </w:t>
      </w:r>
      <w:r w:rsidRPr="00903174">
        <w:t xml:space="preserve">LDH, lactate dehydrogenase; </w:t>
      </w:r>
      <w:r w:rsidR="00E63858" w:rsidRPr="00903174">
        <w:t>ravu, ravulizumab; RD, risk difference</w:t>
      </w:r>
      <w:r w:rsidR="00620C25" w:rsidRPr="00903174">
        <w:t>.</w:t>
      </w:r>
    </w:p>
    <w:p w14:paraId="3E124D5F" w14:textId="77777777" w:rsidR="002E5D2B" w:rsidRPr="00903174" w:rsidRDefault="004D7B55" w:rsidP="004D7B55">
      <w:pPr>
        <w:pStyle w:val="TableFigureFooter"/>
      </w:pPr>
      <w:r w:rsidRPr="00903174">
        <w:rPr>
          <w:vertAlign w:val="superscript"/>
        </w:rPr>
        <w:t>a</w:t>
      </w:r>
      <w:r w:rsidRPr="00903174">
        <w:t xml:space="preserve"> </w:t>
      </w:r>
      <w:r w:rsidR="002E5D2B" w:rsidRPr="00903174">
        <w:t>BTH results and EORTC QLQ-C30 scores from Trial 302 were used in the modelled evaluation of ravulizumab and eculizumab; all other modelled outcomes were also used in the modelled evaluation of ravulizumab and best supportive care</w:t>
      </w:r>
    </w:p>
    <w:p w14:paraId="5F2F0DB3" w14:textId="77777777" w:rsidR="00BD3D6A" w:rsidRPr="00903174" w:rsidRDefault="00BD3D6A" w:rsidP="004D7B55">
      <w:pPr>
        <w:pStyle w:val="TableFigureFooter"/>
      </w:pPr>
      <w:r w:rsidRPr="00903174">
        <w:rPr>
          <w:vertAlign w:val="superscript"/>
        </w:rPr>
        <w:t xml:space="preserve">b </w:t>
      </w:r>
      <w:r w:rsidRPr="00903174">
        <w:t>A post-hoc subgroup analysis of 208 patients from Trial 301 who would meet the proposed PBS eligibility criteria for ravulizumab was also presented.</w:t>
      </w:r>
    </w:p>
    <w:p w14:paraId="2B2D8437" w14:textId="77777777" w:rsidR="004D7B55" w:rsidRPr="00903174" w:rsidRDefault="00BD3D6A" w:rsidP="004D7B55">
      <w:pPr>
        <w:pStyle w:val="TableFigureFooter"/>
      </w:pPr>
      <w:r w:rsidRPr="00903174">
        <w:rPr>
          <w:vertAlign w:val="superscript"/>
        </w:rPr>
        <w:t xml:space="preserve">c </w:t>
      </w:r>
      <w:r w:rsidR="004D7B55" w:rsidRPr="00903174">
        <w:t>Outcomes included in indirect comparison (transfusion avoidance, change from baseline in FACIT-fatigue score, % change from baseline in LDH).</w:t>
      </w:r>
    </w:p>
    <w:p w14:paraId="0C35F2F2" w14:textId="77777777" w:rsidR="0042029B" w:rsidRPr="00903174" w:rsidRDefault="0042029B" w:rsidP="00415038">
      <w:pPr>
        <w:pStyle w:val="ExecSumBodyText"/>
        <w:numPr>
          <w:ilvl w:val="1"/>
          <w:numId w:val="1"/>
        </w:numPr>
        <w:rPr>
          <w:color w:val="000000" w:themeColor="text1"/>
        </w:rPr>
      </w:pPr>
      <w:r w:rsidRPr="00903174">
        <w:rPr>
          <w:color w:val="000000" w:themeColor="text1"/>
        </w:rPr>
        <w:t>Although both ravulizumab trials had an open-label design, the primary outcome measures were biochemical and objective, and were unlikely to be affected by unblinding. However, awareness of treatment allocation may have affected the reporting of subjective patient outcomes (e.g. safety, quality of life).</w:t>
      </w:r>
    </w:p>
    <w:p w14:paraId="0CB5F3E7" w14:textId="77777777" w:rsidR="0042029B" w:rsidRPr="00903174" w:rsidRDefault="0042029B" w:rsidP="00415038">
      <w:pPr>
        <w:pStyle w:val="ExecSumBodyText"/>
        <w:numPr>
          <w:ilvl w:val="1"/>
          <w:numId w:val="1"/>
        </w:numPr>
        <w:rPr>
          <w:color w:val="000000" w:themeColor="text1"/>
        </w:rPr>
      </w:pPr>
      <w:r w:rsidRPr="00903174">
        <w:rPr>
          <w:color w:val="000000" w:themeColor="text1"/>
        </w:rPr>
        <w:t>The TRIUMPH trial was the primary evidence presented in the PBAC submission for eculizumab evaluated by the PBAC in July 2008 and March 2009. In the TRIUMPH trial, 22% of the placebo group withdrew from treatment due to a perceived lack of efficacy but remained in the study for monitoring, compared to 5% of the eculizumab group, which suggests potential unblinding of treatment groups. Knowledge of treatment allocation may have led to differences in disease management between arms; and also the reporting of adverse events and quality of life outcomes. There is potential for survivor bias due to differential discontinuation.</w:t>
      </w:r>
    </w:p>
    <w:p w14:paraId="3B5A8B0F" w14:textId="77777777" w:rsidR="00572C01" w:rsidRPr="00903174" w:rsidRDefault="00572C01" w:rsidP="00572C01">
      <w:pPr>
        <w:pStyle w:val="ExecSumBodyText"/>
        <w:numPr>
          <w:ilvl w:val="1"/>
          <w:numId w:val="1"/>
        </w:numPr>
      </w:pPr>
      <w:r w:rsidRPr="00903174">
        <w:lastRenderedPageBreak/>
        <w:t xml:space="preserve">There are currently no long-term studies of disease progression and survival in patients treated with ravulizumab, beyond the one-year data available from the extension periods of the ravulizumab clinical trials. </w:t>
      </w:r>
    </w:p>
    <w:p w14:paraId="1B958363" w14:textId="77777777" w:rsidR="00F541CA" w:rsidRPr="00903174" w:rsidRDefault="006A7C09" w:rsidP="00F541CA">
      <w:pPr>
        <w:pStyle w:val="ExecSumBodyText"/>
        <w:numPr>
          <w:ilvl w:val="1"/>
          <w:numId w:val="1"/>
        </w:numPr>
      </w:pPr>
      <w:bookmarkStart w:id="17" w:name="_Toc22897641"/>
      <w:r w:rsidRPr="00903174">
        <w:t xml:space="preserve">The submission’s claim of non-inferior survival of ravulizumab compared to eculizumab, and superior survival compared to best supportive care </w:t>
      </w:r>
      <w:r w:rsidR="007C7199" w:rsidRPr="00903174">
        <w:t>was</w:t>
      </w:r>
      <w:r w:rsidRPr="00903174">
        <w:t xml:space="preserve"> entirely based on the available survival data for eculizumab, and an assumption that non-inferiority for measured </w:t>
      </w:r>
      <w:r w:rsidR="00F73ED3" w:rsidRPr="00903174">
        <w:t xml:space="preserve">surrogate </w:t>
      </w:r>
      <w:r w:rsidRPr="00903174">
        <w:t>outcomes may be extended to survival.</w:t>
      </w:r>
      <w:r w:rsidR="007C7199" w:rsidRPr="00903174">
        <w:t xml:space="preserve"> The survival data</w:t>
      </w:r>
      <w:r w:rsidR="003957EE" w:rsidRPr="00903174">
        <w:t xml:space="preserve"> presented in the submission</w:t>
      </w:r>
      <w:r w:rsidR="007C7199" w:rsidRPr="00903174">
        <w:t xml:space="preserve"> is summarised in Table </w:t>
      </w:r>
      <w:r w:rsidR="00F541CA" w:rsidRPr="00903174">
        <w:t>14</w:t>
      </w:r>
      <w:r w:rsidR="007C7199" w:rsidRPr="00903174">
        <w:t xml:space="preserve"> below. In the economic model, the submission used survival data from a retrospective study of eculizumab versus a matched historical control (Kelly 2011) as a proxy for ravulizumab.</w:t>
      </w:r>
      <w:bookmarkEnd w:id="17"/>
      <w:r w:rsidR="00E245CE" w:rsidRPr="00903174">
        <w:t xml:space="preserve"> The ESC noted the survey of eculizumab survival data presented in the submission is inc</w:t>
      </w:r>
      <w:r w:rsidR="00B2799D" w:rsidRPr="00903174">
        <w:t>omplete (see also paragraph 6.30</w:t>
      </w:r>
      <w:r w:rsidR="00E245CE" w:rsidRPr="00903174">
        <w:t>).</w:t>
      </w:r>
    </w:p>
    <w:p w14:paraId="51DE24A3" w14:textId="77777777" w:rsidR="00945DAE" w:rsidRPr="00903174" w:rsidRDefault="00945DAE" w:rsidP="00976669">
      <w:pPr>
        <w:pStyle w:val="ExecSumBodyText"/>
        <w:numPr>
          <w:ilvl w:val="1"/>
          <w:numId w:val="1"/>
        </w:numPr>
      </w:pPr>
      <w:r w:rsidRPr="00903174">
        <w:t>The ESC noted the draft report of the LSDP Review of ecul</w:t>
      </w:r>
      <w:r w:rsidR="00EA10D5" w:rsidRPr="00903174">
        <w:t>iz</w:t>
      </w:r>
      <w:r w:rsidRPr="00903174">
        <w:t xml:space="preserve">umab stated that </w:t>
      </w:r>
      <w:r w:rsidR="002B69C6">
        <w:rPr>
          <w:noProof/>
          <w:color w:val="000000"/>
          <w:highlight w:val="black"/>
        </w:rPr>
        <w:t>''''''''''''''''''' '''''''''''''''' '''''''''''''''' '''''''''''''''''''''''''''' '''''''''''''' '''' '''''''' '''''''''''''' ''''''''''''' ''''''''' '''''''''''''''''''''' '''' ''''''''''' '''''''''' ''''''''' ''''' ''''''''''''''''''' '''''''''''''''''</w:t>
      </w:r>
      <w:r w:rsidR="008932BD" w:rsidRPr="00903174">
        <w:t>,</w:t>
      </w:r>
      <w:r w:rsidR="007956ED" w:rsidRPr="00903174">
        <w:t xml:space="preserve"> whilst also noting that </w:t>
      </w:r>
      <w:r w:rsidR="00C76F7B" w:rsidRPr="00903174">
        <w:t xml:space="preserve">the </w:t>
      </w:r>
      <w:r w:rsidR="007956ED" w:rsidRPr="00903174">
        <w:t>studies had a significant risk of bias</w:t>
      </w:r>
      <w:r w:rsidRPr="00903174">
        <w:t xml:space="preserve">. </w:t>
      </w:r>
    </w:p>
    <w:p w14:paraId="5230597B" w14:textId="77777777" w:rsidR="00E031EC" w:rsidRPr="00903174" w:rsidRDefault="00E031EC" w:rsidP="007956ED">
      <w:pPr>
        <w:pStyle w:val="3-SubsectionHeading"/>
      </w:pPr>
      <w:bookmarkStart w:id="18" w:name="_Toc40702921"/>
      <w:r w:rsidRPr="00903174">
        <w:t>Comparative effectiveness</w:t>
      </w:r>
      <w:bookmarkEnd w:id="18"/>
    </w:p>
    <w:p w14:paraId="23E59C7A" w14:textId="77777777" w:rsidR="00B2799D" w:rsidRPr="00903174" w:rsidRDefault="008D50E0" w:rsidP="001541EA">
      <w:pPr>
        <w:pStyle w:val="ExecSumBodyText"/>
        <w:numPr>
          <w:ilvl w:val="1"/>
          <w:numId w:val="1"/>
        </w:numPr>
      </w:pPr>
      <w:r w:rsidRPr="00903174">
        <w:rPr>
          <w:color w:val="000000" w:themeColor="text1"/>
        </w:rPr>
        <w:t>Results from the comparison of ravulizumab and eculizumab for the outcome</w:t>
      </w:r>
      <w:r w:rsidR="00E51EDE" w:rsidRPr="00903174">
        <w:rPr>
          <w:color w:val="000000" w:themeColor="text1"/>
        </w:rPr>
        <w:t>s</w:t>
      </w:r>
      <w:r w:rsidRPr="00903174">
        <w:rPr>
          <w:color w:val="000000" w:themeColor="text1"/>
        </w:rPr>
        <w:t xml:space="preserve"> of LDH normalisation</w:t>
      </w:r>
      <w:r w:rsidR="00E51EDE" w:rsidRPr="00903174">
        <w:rPr>
          <w:color w:val="000000" w:themeColor="text1"/>
        </w:rPr>
        <w:t xml:space="preserve">, % LDH change from baseline, proportion of patients experiencing transfusion avoidance, </w:t>
      </w:r>
      <w:r w:rsidR="008932BD" w:rsidRPr="00903174">
        <w:rPr>
          <w:color w:val="000000" w:themeColor="text1"/>
        </w:rPr>
        <w:t xml:space="preserve">BTH </w:t>
      </w:r>
      <w:r w:rsidR="00E51EDE" w:rsidRPr="00903174">
        <w:rPr>
          <w:color w:val="000000" w:themeColor="text1"/>
        </w:rPr>
        <w:t>and haemoglobin stabilisation, and change from baseline in quality of life (FACIT-fatigue scale)</w:t>
      </w:r>
      <w:r w:rsidRPr="00903174">
        <w:rPr>
          <w:color w:val="000000" w:themeColor="text1"/>
        </w:rPr>
        <w:t xml:space="preserve"> are presented in </w:t>
      </w:r>
      <w:r w:rsidR="00656B95" w:rsidRPr="00903174">
        <w:rPr>
          <w:color w:val="000000" w:themeColor="text1"/>
        </w:rPr>
        <w:t>the table</w:t>
      </w:r>
      <w:r w:rsidR="00E51EDE" w:rsidRPr="00903174">
        <w:rPr>
          <w:color w:val="000000" w:themeColor="text1"/>
        </w:rPr>
        <w:t>s</w:t>
      </w:r>
      <w:r w:rsidR="00656B95" w:rsidRPr="00903174">
        <w:rPr>
          <w:color w:val="000000" w:themeColor="text1"/>
        </w:rPr>
        <w:t xml:space="preserve"> below</w:t>
      </w:r>
      <w:r w:rsidRPr="00903174">
        <w:rPr>
          <w:color w:val="000000" w:themeColor="text1"/>
        </w:rPr>
        <w:t>.</w:t>
      </w:r>
      <w:r w:rsidRPr="00903174">
        <w:t xml:space="preserve"> </w:t>
      </w:r>
      <w:r w:rsidR="00E51EDE" w:rsidRPr="00903174">
        <w:t>All efficacy outcomes were within the bounds of the pre-specified non</w:t>
      </w:r>
      <w:r w:rsidR="00717EC0" w:rsidRPr="00903174">
        <w:t>-</w:t>
      </w:r>
      <w:r w:rsidR="00E51EDE" w:rsidRPr="00903174">
        <w:t>inferiority margins from the trials, and results indicated non</w:t>
      </w:r>
      <w:r w:rsidR="00717EC0" w:rsidRPr="00903174">
        <w:t>-</w:t>
      </w:r>
      <w:r w:rsidR="00E51EDE" w:rsidRPr="00903174">
        <w:t>inferiority of ravulizumab to eculizumab for all measured outcomes.</w:t>
      </w:r>
    </w:p>
    <w:p w14:paraId="3AB0B12A" w14:textId="77777777" w:rsidR="008D50E0" w:rsidRPr="00903174" w:rsidRDefault="008D50E0" w:rsidP="008D50E0">
      <w:pPr>
        <w:pStyle w:val="TableFigureCaption"/>
      </w:pPr>
      <w:r w:rsidRPr="00903174">
        <w:t xml:space="preserve">Table </w:t>
      </w:r>
      <w:r w:rsidR="00EC10C8" w:rsidRPr="00903174">
        <w:t>5</w:t>
      </w:r>
      <w:r w:rsidRPr="00903174">
        <w:t>: LDH normalisation in the ravulizumab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44"/>
        <w:gridCol w:w="2150"/>
        <w:gridCol w:w="3006"/>
      </w:tblGrid>
      <w:tr w:rsidR="008D50E0" w:rsidRPr="00903174" w14:paraId="20B7C82C" w14:textId="77777777" w:rsidTr="00634B12">
        <w:trPr>
          <w:tblHeader/>
        </w:trPr>
        <w:tc>
          <w:tcPr>
            <w:tcW w:w="952" w:type="pct"/>
            <w:vMerge w:val="restart"/>
            <w:vAlign w:val="center"/>
          </w:tcPr>
          <w:p w14:paraId="27895E9E" w14:textId="77777777" w:rsidR="008D50E0" w:rsidRPr="00903174" w:rsidRDefault="008D50E0" w:rsidP="00A370FA">
            <w:pPr>
              <w:pStyle w:val="Tableheadingrow"/>
              <w:rPr>
                <w:lang w:val="en-AU"/>
              </w:rPr>
            </w:pPr>
            <w:r w:rsidRPr="00903174">
              <w:rPr>
                <w:lang w:val="en-AU"/>
              </w:rPr>
              <w:t>Trial ID</w:t>
            </w:r>
          </w:p>
        </w:tc>
        <w:tc>
          <w:tcPr>
            <w:tcW w:w="2381" w:type="pct"/>
            <w:gridSpan w:val="2"/>
            <w:vAlign w:val="center"/>
          </w:tcPr>
          <w:p w14:paraId="5BFF9C61" w14:textId="77777777" w:rsidR="008D50E0" w:rsidRPr="00903174" w:rsidRDefault="008D50E0" w:rsidP="00A370FA">
            <w:pPr>
              <w:pStyle w:val="Tableheadingrow"/>
              <w:jc w:val="center"/>
              <w:rPr>
                <w:lang w:val="en-AU"/>
              </w:rPr>
            </w:pPr>
            <w:r w:rsidRPr="00903174">
              <w:rPr>
                <w:lang w:val="en-AU"/>
              </w:rPr>
              <w:t>LDH Normalisation</w:t>
            </w:r>
          </w:p>
          <w:p w14:paraId="781F0BED" w14:textId="77777777" w:rsidR="008D50E0" w:rsidRPr="00903174" w:rsidRDefault="008D50E0" w:rsidP="00A370FA">
            <w:pPr>
              <w:pStyle w:val="Tableheadingrow"/>
              <w:jc w:val="center"/>
              <w:rPr>
                <w:rFonts w:ascii="Calibri" w:eastAsia="Times New Roman" w:hAnsi="Calibri" w:cs="Arial"/>
                <w:b w:val="0"/>
                <w:sz w:val="24"/>
                <w:lang w:val="en-AU"/>
              </w:rPr>
            </w:pPr>
            <w:r w:rsidRPr="00903174">
              <w:rPr>
                <w:lang w:val="en-AU"/>
              </w:rPr>
              <w:t>(adjusted prevalence, 95% CI)</w:t>
            </w:r>
          </w:p>
        </w:tc>
        <w:tc>
          <w:tcPr>
            <w:tcW w:w="1667" w:type="pct"/>
            <w:vMerge w:val="restart"/>
            <w:vAlign w:val="center"/>
          </w:tcPr>
          <w:p w14:paraId="5A19895E" w14:textId="77777777" w:rsidR="008D50E0" w:rsidRPr="00903174" w:rsidRDefault="008D50E0" w:rsidP="00A370FA">
            <w:pPr>
              <w:pStyle w:val="Tableheadingrow"/>
              <w:jc w:val="center"/>
              <w:rPr>
                <w:lang w:val="en-AU"/>
              </w:rPr>
            </w:pPr>
            <w:r w:rsidRPr="00903174">
              <w:rPr>
                <w:lang w:val="en-AU"/>
              </w:rPr>
              <w:t>Odds Ratio (95% CI)</w:t>
            </w:r>
          </w:p>
        </w:tc>
      </w:tr>
      <w:tr w:rsidR="008D50E0" w:rsidRPr="00903174" w14:paraId="37913747" w14:textId="77777777" w:rsidTr="00634B12">
        <w:trPr>
          <w:tblHeader/>
        </w:trPr>
        <w:tc>
          <w:tcPr>
            <w:tcW w:w="952" w:type="pct"/>
            <w:vMerge/>
            <w:vAlign w:val="center"/>
          </w:tcPr>
          <w:p w14:paraId="4586FE79" w14:textId="77777777" w:rsidR="008D50E0" w:rsidRPr="00903174" w:rsidRDefault="008D50E0" w:rsidP="00A370FA">
            <w:pPr>
              <w:pStyle w:val="Tableheadingrow"/>
              <w:rPr>
                <w:lang w:val="en-AU"/>
              </w:rPr>
            </w:pPr>
          </w:p>
        </w:tc>
        <w:tc>
          <w:tcPr>
            <w:tcW w:w="1189" w:type="pct"/>
            <w:vAlign w:val="center"/>
          </w:tcPr>
          <w:p w14:paraId="66DD5487" w14:textId="77777777" w:rsidR="008D50E0" w:rsidRPr="00903174" w:rsidRDefault="008D50E0" w:rsidP="00A370FA">
            <w:pPr>
              <w:pStyle w:val="Tableheadingrow"/>
              <w:jc w:val="center"/>
              <w:rPr>
                <w:lang w:val="en-AU"/>
              </w:rPr>
            </w:pPr>
            <w:r w:rsidRPr="00903174">
              <w:rPr>
                <w:lang w:val="en-AU"/>
              </w:rPr>
              <w:t>Ravulizumab</w:t>
            </w:r>
          </w:p>
        </w:tc>
        <w:tc>
          <w:tcPr>
            <w:tcW w:w="1192" w:type="pct"/>
            <w:vAlign w:val="center"/>
          </w:tcPr>
          <w:p w14:paraId="5400A073" w14:textId="77777777" w:rsidR="008D50E0" w:rsidRPr="00903174" w:rsidRDefault="008D50E0" w:rsidP="00A370FA">
            <w:pPr>
              <w:pStyle w:val="Tableheadingrow"/>
              <w:jc w:val="center"/>
              <w:rPr>
                <w:lang w:val="en-AU"/>
              </w:rPr>
            </w:pPr>
            <w:r w:rsidRPr="00903174">
              <w:rPr>
                <w:lang w:val="en-AU"/>
              </w:rPr>
              <w:t>Eculizumab</w:t>
            </w:r>
          </w:p>
        </w:tc>
        <w:tc>
          <w:tcPr>
            <w:tcW w:w="1667" w:type="pct"/>
            <w:vMerge/>
            <w:vAlign w:val="center"/>
          </w:tcPr>
          <w:p w14:paraId="37183AB6" w14:textId="77777777" w:rsidR="008D50E0" w:rsidRPr="00903174" w:rsidRDefault="008D50E0" w:rsidP="00A370FA">
            <w:pPr>
              <w:pStyle w:val="Tableheadingrow"/>
              <w:jc w:val="center"/>
              <w:rPr>
                <w:lang w:val="en-AU"/>
              </w:rPr>
            </w:pPr>
          </w:p>
        </w:tc>
      </w:tr>
      <w:tr w:rsidR="008D50E0" w:rsidRPr="00903174" w14:paraId="2D59AF54" w14:textId="77777777" w:rsidTr="00634B12">
        <w:trPr>
          <w:tblHeader/>
        </w:trPr>
        <w:tc>
          <w:tcPr>
            <w:tcW w:w="952" w:type="pct"/>
            <w:vAlign w:val="center"/>
          </w:tcPr>
          <w:p w14:paraId="59026C7E" w14:textId="77777777" w:rsidR="008D50E0" w:rsidRPr="00903174" w:rsidRDefault="008D50E0" w:rsidP="00A370FA">
            <w:pPr>
              <w:pStyle w:val="Tableheadingrow"/>
              <w:rPr>
                <w:b w:val="0"/>
                <w:lang w:val="en-AU"/>
              </w:rPr>
            </w:pPr>
            <w:r w:rsidRPr="00903174">
              <w:rPr>
                <w:b w:val="0"/>
                <w:lang w:val="en-AU"/>
              </w:rPr>
              <w:t>Trial 301</w:t>
            </w:r>
          </w:p>
        </w:tc>
        <w:tc>
          <w:tcPr>
            <w:tcW w:w="1189" w:type="pct"/>
            <w:vAlign w:val="center"/>
          </w:tcPr>
          <w:p w14:paraId="4D090579" w14:textId="77777777" w:rsidR="008D50E0" w:rsidRPr="00903174" w:rsidRDefault="008D50E0" w:rsidP="00A370FA">
            <w:pPr>
              <w:pStyle w:val="Tableheadingrow"/>
              <w:jc w:val="center"/>
              <w:rPr>
                <w:b w:val="0"/>
                <w:lang w:val="en-AU"/>
              </w:rPr>
            </w:pPr>
            <w:r w:rsidRPr="00903174">
              <w:rPr>
                <w:b w:val="0"/>
                <w:lang w:val="en-AU"/>
              </w:rPr>
              <w:t>0.536 (0.459, 0.612)</w:t>
            </w:r>
          </w:p>
        </w:tc>
        <w:tc>
          <w:tcPr>
            <w:tcW w:w="1192" w:type="pct"/>
            <w:vAlign w:val="center"/>
          </w:tcPr>
          <w:p w14:paraId="6E23DBC7" w14:textId="77777777" w:rsidR="008D50E0" w:rsidRPr="00903174" w:rsidRDefault="008D50E0" w:rsidP="00A370FA">
            <w:pPr>
              <w:pStyle w:val="Tableheadingrow"/>
              <w:jc w:val="center"/>
              <w:rPr>
                <w:b w:val="0"/>
                <w:lang w:val="en-AU"/>
              </w:rPr>
            </w:pPr>
            <w:r w:rsidRPr="00903174">
              <w:rPr>
                <w:b w:val="0"/>
                <w:lang w:val="en-AU"/>
              </w:rPr>
              <w:t>0.494 (0.417, 0.570)</w:t>
            </w:r>
          </w:p>
        </w:tc>
        <w:tc>
          <w:tcPr>
            <w:tcW w:w="1667" w:type="pct"/>
            <w:vAlign w:val="center"/>
          </w:tcPr>
          <w:p w14:paraId="70B365EA" w14:textId="77777777" w:rsidR="008D50E0" w:rsidRPr="00903174" w:rsidRDefault="008D50E0" w:rsidP="00A370FA">
            <w:pPr>
              <w:pStyle w:val="Tableheadingrow"/>
              <w:jc w:val="center"/>
              <w:rPr>
                <w:b w:val="0"/>
                <w:lang w:val="en-AU"/>
              </w:rPr>
            </w:pPr>
            <w:r w:rsidRPr="00903174">
              <w:rPr>
                <w:b w:val="0"/>
                <w:lang w:val="en-AU"/>
              </w:rPr>
              <w:t>1.187 (0.796, 1.769)</w:t>
            </w:r>
          </w:p>
        </w:tc>
      </w:tr>
      <w:tr w:rsidR="008D50E0" w:rsidRPr="00903174" w14:paraId="3CBF63F1" w14:textId="77777777" w:rsidTr="00634B12">
        <w:trPr>
          <w:tblHeader/>
        </w:trPr>
        <w:tc>
          <w:tcPr>
            <w:tcW w:w="952" w:type="pct"/>
            <w:vAlign w:val="center"/>
          </w:tcPr>
          <w:p w14:paraId="64A803F4" w14:textId="77777777" w:rsidR="008D50E0" w:rsidRPr="00903174" w:rsidRDefault="008D50E0" w:rsidP="00A370FA">
            <w:pPr>
              <w:pStyle w:val="Tableheadingrow"/>
              <w:rPr>
                <w:b w:val="0"/>
                <w:lang w:val="en-AU"/>
              </w:rPr>
            </w:pPr>
            <w:r w:rsidRPr="00903174">
              <w:rPr>
                <w:b w:val="0"/>
                <w:lang w:val="en-AU"/>
              </w:rPr>
              <w:t>Trial 302</w:t>
            </w:r>
          </w:p>
        </w:tc>
        <w:tc>
          <w:tcPr>
            <w:tcW w:w="1189" w:type="pct"/>
            <w:vAlign w:val="center"/>
          </w:tcPr>
          <w:p w14:paraId="1CAC8AB3" w14:textId="77777777" w:rsidR="008D50E0" w:rsidRPr="00903174" w:rsidRDefault="008D50E0" w:rsidP="00A370FA">
            <w:pPr>
              <w:pStyle w:val="Tableheadingrow"/>
              <w:jc w:val="center"/>
              <w:rPr>
                <w:b w:val="0"/>
                <w:lang w:val="en-AU"/>
              </w:rPr>
            </w:pPr>
            <w:r w:rsidRPr="00903174">
              <w:rPr>
                <w:b w:val="0"/>
                <w:lang w:val="en-AU"/>
              </w:rPr>
              <w:t>0.608 (0.508, 0.700)</w:t>
            </w:r>
          </w:p>
        </w:tc>
        <w:tc>
          <w:tcPr>
            <w:tcW w:w="1192" w:type="pct"/>
            <w:vAlign w:val="center"/>
          </w:tcPr>
          <w:p w14:paraId="2251AD73" w14:textId="77777777" w:rsidR="008D50E0" w:rsidRPr="00903174" w:rsidRDefault="008D50E0" w:rsidP="00A370FA">
            <w:pPr>
              <w:pStyle w:val="Tableheadingrow"/>
              <w:jc w:val="center"/>
              <w:rPr>
                <w:b w:val="0"/>
                <w:lang w:val="en-AU"/>
              </w:rPr>
            </w:pPr>
            <w:r w:rsidRPr="00903174">
              <w:rPr>
                <w:b w:val="0"/>
                <w:lang w:val="en-AU"/>
              </w:rPr>
              <w:t>0.568 (0.467, 0.664)</w:t>
            </w:r>
          </w:p>
        </w:tc>
        <w:tc>
          <w:tcPr>
            <w:tcW w:w="1667" w:type="pct"/>
            <w:vAlign w:val="center"/>
          </w:tcPr>
          <w:p w14:paraId="3277E600" w14:textId="77777777" w:rsidR="008D50E0" w:rsidRPr="00903174" w:rsidRDefault="008D50E0" w:rsidP="00A370FA">
            <w:pPr>
              <w:pStyle w:val="Tableheadingrow"/>
              <w:jc w:val="center"/>
              <w:rPr>
                <w:b w:val="0"/>
                <w:lang w:val="en-AU"/>
              </w:rPr>
            </w:pPr>
            <w:r w:rsidRPr="00903174">
              <w:rPr>
                <w:b w:val="0"/>
                <w:lang w:val="en-AU"/>
              </w:rPr>
              <w:t>1.179 (0.737, 1.887)</w:t>
            </w:r>
          </w:p>
        </w:tc>
      </w:tr>
    </w:tbl>
    <w:p w14:paraId="1569FB81" w14:textId="77777777" w:rsidR="008D50E0" w:rsidRPr="00903174" w:rsidRDefault="008D50E0" w:rsidP="008D50E0">
      <w:pPr>
        <w:pStyle w:val="TableFigureFooter"/>
      </w:pPr>
      <w:r w:rsidRPr="00903174">
        <w:t>Source: Table 55, pp115-118 of the submission; Trial 302 clinical study report.</w:t>
      </w:r>
    </w:p>
    <w:p w14:paraId="1DE24D5F" w14:textId="77777777" w:rsidR="008D50E0" w:rsidRPr="00903174" w:rsidRDefault="008D50E0" w:rsidP="008D50E0">
      <w:pPr>
        <w:pStyle w:val="TableFigureFooter"/>
      </w:pPr>
      <w:r w:rsidRPr="00903174">
        <w:t>Abbreviations: CI, confidence interval; NA, not applicable; SE, standard error; ULN, upper limit of normal.</w:t>
      </w:r>
    </w:p>
    <w:p w14:paraId="0DBEF042" w14:textId="77777777" w:rsidR="008D50E0" w:rsidRPr="00903174" w:rsidRDefault="008D50E0" w:rsidP="008D50E0">
      <w:pPr>
        <w:pStyle w:val="TableFigureFooter"/>
      </w:pPr>
      <w:r w:rsidRPr="00903174">
        <w:t>Note: The upper limit of normal for LDH is 246 U/L. LDH normalisation was measured as 1 x ULN, from Day 29 through Day 183. Estimation was based on a GEE approach. The model included the following terms: treatment group, history of transfusion (as a categorical variable based on the stratification factor levels), and baseline LDH level (as a continuous variable).</w:t>
      </w:r>
    </w:p>
    <w:p w14:paraId="7113D709" w14:textId="77777777" w:rsidR="008D50E0" w:rsidRPr="00903174" w:rsidRDefault="008D50E0" w:rsidP="008D50E0">
      <w:pPr>
        <w:pStyle w:val="TableFigureFooter"/>
      </w:pPr>
    </w:p>
    <w:p w14:paraId="212D63EA" w14:textId="77777777" w:rsidR="008D50E0" w:rsidRPr="00903174" w:rsidRDefault="008D50E0" w:rsidP="008D50E0">
      <w:pPr>
        <w:pStyle w:val="TableFigureCaption"/>
      </w:pPr>
      <w:r w:rsidRPr="00903174">
        <w:lastRenderedPageBreak/>
        <w:t xml:space="preserve">Table </w:t>
      </w:r>
      <w:r w:rsidR="00EC10C8" w:rsidRPr="00903174">
        <w:t>6</w:t>
      </w:r>
      <w:r w:rsidRPr="00903174">
        <w:t>: LDH % change from baseline at Week 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937"/>
        <w:gridCol w:w="927"/>
        <w:gridCol w:w="1197"/>
        <w:gridCol w:w="891"/>
        <w:gridCol w:w="927"/>
        <w:gridCol w:w="1150"/>
        <w:gridCol w:w="2107"/>
      </w:tblGrid>
      <w:tr w:rsidR="008D50E0" w:rsidRPr="00903174" w14:paraId="6631A871" w14:textId="77777777" w:rsidTr="00A370FA">
        <w:trPr>
          <w:tblHeader/>
        </w:trPr>
        <w:tc>
          <w:tcPr>
            <w:tcW w:w="503" w:type="pct"/>
            <w:vAlign w:val="center"/>
          </w:tcPr>
          <w:p w14:paraId="655ED45C" w14:textId="77777777" w:rsidR="008D50E0" w:rsidRPr="00903174" w:rsidRDefault="008D50E0" w:rsidP="00A370FA">
            <w:pPr>
              <w:pStyle w:val="Tableheadingrow"/>
              <w:rPr>
                <w:lang w:val="en-AU"/>
              </w:rPr>
            </w:pPr>
          </w:p>
        </w:tc>
        <w:tc>
          <w:tcPr>
            <w:tcW w:w="1695" w:type="pct"/>
            <w:gridSpan w:val="3"/>
          </w:tcPr>
          <w:p w14:paraId="0205AAC9" w14:textId="77777777" w:rsidR="008D50E0" w:rsidRPr="00903174" w:rsidRDefault="008D50E0" w:rsidP="00A370FA">
            <w:pPr>
              <w:pStyle w:val="Tableheadingrow"/>
              <w:jc w:val="center"/>
              <w:rPr>
                <w:lang w:val="en-AU"/>
              </w:rPr>
            </w:pPr>
            <w:r w:rsidRPr="00903174">
              <w:rPr>
                <w:lang w:val="en-AU"/>
              </w:rPr>
              <w:t xml:space="preserve">Ravulizumab LDH </w:t>
            </w:r>
          </w:p>
        </w:tc>
        <w:tc>
          <w:tcPr>
            <w:tcW w:w="1620" w:type="pct"/>
            <w:gridSpan w:val="3"/>
          </w:tcPr>
          <w:p w14:paraId="2E75A0EF" w14:textId="77777777" w:rsidR="008D50E0" w:rsidRPr="00903174" w:rsidRDefault="008D50E0" w:rsidP="00A370FA">
            <w:pPr>
              <w:pStyle w:val="Tableheadingrow"/>
              <w:jc w:val="center"/>
              <w:rPr>
                <w:lang w:val="en-AU"/>
              </w:rPr>
            </w:pPr>
            <w:r w:rsidRPr="00903174">
              <w:rPr>
                <w:lang w:val="en-AU"/>
              </w:rPr>
              <w:t>Eculizumab LDH</w:t>
            </w:r>
          </w:p>
        </w:tc>
        <w:tc>
          <w:tcPr>
            <w:tcW w:w="1182" w:type="pct"/>
            <w:vMerge w:val="restart"/>
            <w:vAlign w:val="center"/>
          </w:tcPr>
          <w:p w14:paraId="71ABC857" w14:textId="77777777" w:rsidR="008D50E0" w:rsidRPr="00903174" w:rsidRDefault="008D50E0" w:rsidP="00A370FA">
            <w:pPr>
              <w:pStyle w:val="Tableheadingrow"/>
              <w:jc w:val="center"/>
              <w:rPr>
                <w:lang w:val="en-AU"/>
              </w:rPr>
            </w:pPr>
            <w:r w:rsidRPr="00903174">
              <w:rPr>
                <w:lang w:val="en-AU"/>
              </w:rPr>
              <w:t>Treatment difference, % (95% CI)</w:t>
            </w:r>
          </w:p>
        </w:tc>
      </w:tr>
      <w:tr w:rsidR="008D50E0" w:rsidRPr="00903174" w14:paraId="5A8102EB" w14:textId="77777777" w:rsidTr="00A370FA">
        <w:trPr>
          <w:tblHeader/>
        </w:trPr>
        <w:tc>
          <w:tcPr>
            <w:tcW w:w="503" w:type="pct"/>
            <w:vAlign w:val="center"/>
          </w:tcPr>
          <w:p w14:paraId="1A17D430" w14:textId="77777777" w:rsidR="008D50E0" w:rsidRPr="00903174" w:rsidRDefault="008D50E0" w:rsidP="00A370FA">
            <w:pPr>
              <w:pStyle w:val="Tableheadingrow"/>
              <w:rPr>
                <w:lang w:val="en-AU"/>
              </w:rPr>
            </w:pPr>
            <w:r w:rsidRPr="00903174">
              <w:rPr>
                <w:lang w:val="en-AU"/>
              </w:rPr>
              <w:t>Trial ID</w:t>
            </w:r>
          </w:p>
        </w:tc>
        <w:tc>
          <w:tcPr>
            <w:tcW w:w="503" w:type="pct"/>
            <w:vAlign w:val="center"/>
          </w:tcPr>
          <w:p w14:paraId="1F3406D0" w14:textId="77777777" w:rsidR="008D50E0" w:rsidRPr="00903174" w:rsidRDefault="008D50E0" w:rsidP="00A370FA">
            <w:pPr>
              <w:pStyle w:val="Tableheadingrow"/>
              <w:jc w:val="center"/>
              <w:rPr>
                <w:lang w:val="en-AU"/>
              </w:rPr>
            </w:pPr>
            <w:r w:rsidRPr="00903174">
              <w:rPr>
                <w:lang w:val="en-AU"/>
              </w:rPr>
              <w:t>Baseline, mean U/L (SD)</w:t>
            </w:r>
          </w:p>
        </w:tc>
        <w:tc>
          <w:tcPr>
            <w:tcW w:w="514" w:type="pct"/>
            <w:vAlign w:val="center"/>
          </w:tcPr>
          <w:p w14:paraId="29F61715" w14:textId="77777777" w:rsidR="008D50E0" w:rsidRPr="00903174" w:rsidRDefault="008D50E0" w:rsidP="00A370FA">
            <w:pPr>
              <w:pStyle w:val="Tableheadingrow"/>
              <w:jc w:val="center"/>
              <w:rPr>
                <w:lang w:val="en-AU"/>
              </w:rPr>
            </w:pPr>
            <w:r w:rsidRPr="00903174">
              <w:rPr>
                <w:lang w:val="en-AU"/>
              </w:rPr>
              <w:t>Endpoint</w:t>
            </w:r>
          </w:p>
        </w:tc>
        <w:tc>
          <w:tcPr>
            <w:tcW w:w="677" w:type="pct"/>
            <w:vAlign w:val="center"/>
          </w:tcPr>
          <w:p w14:paraId="60E038F9" w14:textId="77777777" w:rsidR="008D50E0" w:rsidRPr="00903174" w:rsidRDefault="008D50E0" w:rsidP="00A370FA">
            <w:pPr>
              <w:pStyle w:val="Tableheadingrow"/>
              <w:jc w:val="center"/>
              <w:rPr>
                <w:lang w:val="en-AU"/>
              </w:rPr>
            </w:pPr>
            <w:r w:rsidRPr="00903174">
              <w:rPr>
                <w:lang w:val="en-AU"/>
              </w:rPr>
              <w:t>% Change (SE)</w:t>
            </w:r>
          </w:p>
        </w:tc>
        <w:tc>
          <w:tcPr>
            <w:tcW w:w="440" w:type="pct"/>
            <w:vAlign w:val="center"/>
          </w:tcPr>
          <w:p w14:paraId="14F69914" w14:textId="77777777" w:rsidR="008D50E0" w:rsidRPr="00903174" w:rsidRDefault="008D50E0" w:rsidP="00A370FA">
            <w:pPr>
              <w:pStyle w:val="Tableheadingrow"/>
              <w:jc w:val="center"/>
              <w:rPr>
                <w:lang w:val="en-AU"/>
              </w:rPr>
            </w:pPr>
            <w:r w:rsidRPr="00903174">
              <w:rPr>
                <w:lang w:val="en-AU"/>
              </w:rPr>
              <w:t>Baseline</w:t>
            </w:r>
          </w:p>
        </w:tc>
        <w:tc>
          <w:tcPr>
            <w:tcW w:w="516" w:type="pct"/>
            <w:vAlign w:val="center"/>
          </w:tcPr>
          <w:p w14:paraId="535B47F7" w14:textId="77777777" w:rsidR="008D50E0" w:rsidRPr="00903174" w:rsidRDefault="008D50E0" w:rsidP="00A370FA">
            <w:pPr>
              <w:pStyle w:val="Tableheadingrow"/>
              <w:jc w:val="center"/>
              <w:rPr>
                <w:lang w:val="en-AU"/>
              </w:rPr>
            </w:pPr>
            <w:r w:rsidRPr="00903174">
              <w:rPr>
                <w:lang w:val="en-AU"/>
              </w:rPr>
              <w:t>Endpoint</w:t>
            </w:r>
          </w:p>
        </w:tc>
        <w:tc>
          <w:tcPr>
            <w:tcW w:w="664" w:type="pct"/>
            <w:vAlign w:val="center"/>
          </w:tcPr>
          <w:p w14:paraId="6FE4B54E" w14:textId="77777777" w:rsidR="008D50E0" w:rsidRPr="00903174" w:rsidRDefault="008D50E0" w:rsidP="00A370FA">
            <w:pPr>
              <w:pStyle w:val="Tableheadingrow"/>
              <w:jc w:val="center"/>
              <w:rPr>
                <w:lang w:val="en-AU"/>
              </w:rPr>
            </w:pPr>
            <w:r w:rsidRPr="00903174">
              <w:rPr>
                <w:lang w:val="en-AU"/>
              </w:rPr>
              <w:t>% Change (SE)</w:t>
            </w:r>
          </w:p>
        </w:tc>
        <w:tc>
          <w:tcPr>
            <w:tcW w:w="1182" w:type="pct"/>
            <w:vMerge/>
            <w:vAlign w:val="center"/>
          </w:tcPr>
          <w:p w14:paraId="340C64BA" w14:textId="77777777" w:rsidR="008D50E0" w:rsidRPr="00903174" w:rsidRDefault="008D50E0" w:rsidP="00A370FA">
            <w:pPr>
              <w:pStyle w:val="Tableheadingrow"/>
              <w:jc w:val="center"/>
              <w:rPr>
                <w:lang w:val="en-AU"/>
              </w:rPr>
            </w:pPr>
          </w:p>
        </w:tc>
      </w:tr>
      <w:tr w:rsidR="008D50E0" w:rsidRPr="00903174" w14:paraId="66276663" w14:textId="77777777" w:rsidTr="00A370FA">
        <w:tc>
          <w:tcPr>
            <w:tcW w:w="503" w:type="pct"/>
            <w:vAlign w:val="center"/>
          </w:tcPr>
          <w:p w14:paraId="2259D8ED" w14:textId="77777777" w:rsidR="008D50E0" w:rsidRPr="00903174" w:rsidRDefault="008D50E0" w:rsidP="00A370FA">
            <w:pPr>
              <w:pStyle w:val="TableText"/>
            </w:pPr>
            <w:r w:rsidRPr="00903174">
              <w:t>Trial 301</w:t>
            </w:r>
          </w:p>
        </w:tc>
        <w:tc>
          <w:tcPr>
            <w:tcW w:w="503" w:type="pct"/>
            <w:vAlign w:val="center"/>
          </w:tcPr>
          <w:p w14:paraId="6BE3B09F" w14:textId="77777777" w:rsidR="008D50E0" w:rsidRPr="00903174" w:rsidRDefault="008D50E0" w:rsidP="00A370FA">
            <w:pPr>
              <w:pStyle w:val="TableText"/>
              <w:jc w:val="center"/>
            </w:pPr>
            <w:r w:rsidRPr="00903174">
              <w:t>1633.53 (778.75)</w:t>
            </w:r>
          </w:p>
        </w:tc>
        <w:tc>
          <w:tcPr>
            <w:tcW w:w="514" w:type="pct"/>
            <w:vAlign w:val="center"/>
          </w:tcPr>
          <w:p w14:paraId="18FBAA44" w14:textId="77777777" w:rsidR="008D50E0" w:rsidRPr="00903174" w:rsidRDefault="008D50E0" w:rsidP="00A370FA">
            <w:pPr>
              <w:pStyle w:val="TableText"/>
              <w:jc w:val="center"/>
            </w:pPr>
            <w:r w:rsidRPr="00903174">
              <w:t>NR</w:t>
            </w:r>
          </w:p>
        </w:tc>
        <w:tc>
          <w:tcPr>
            <w:tcW w:w="677" w:type="pct"/>
            <w:vAlign w:val="center"/>
          </w:tcPr>
          <w:p w14:paraId="09BFB8C4" w14:textId="77777777" w:rsidR="008D50E0" w:rsidRPr="00903174" w:rsidRDefault="008D50E0" w:rsidP="00A370FA">
            <w:pPr>
              <w:pStyle w:val="TableText"/>
              <w:jc w:val="center"/>
            </w:pPr>
            <w:r w:rsidRPr="00903174">
              <w:t>-76.84% (1.58%)</w:t>
            </w:r>
          </w:p>
        </w:tc>
        <w:tc>
          <w:tcPr>
            <w:tcW w:w="440" w:type="pct"/>
            <w:vAlign w:val="center"/>
          </w:tcPr>
          <w:p w14:paraId="1B1FE450" w14:textId="77777777" w:rsidR="008D50E0" w:rsidRPr="00903174" w:rsidRDefault="008D50E0" w:rsidP="00A370FA">
            <w:pPr>
              <w:pStyle w:val="TableText"/>
              <w:jc w:val="center"/>
            </w:pPr>
            <w:r w:rsidRPr="00903174">
              <w:t>1578.30 (727.06)</w:t>
            </w:r>
          </w:p>
        </w:tc>
        <w:tc>
          <w:tcPr>
            <w:tcW w:w="516" w:type="pct"/>
            <w:vAlign w:val="center"/>
          </w:tcPr>
          <w:p w14:paraId="318691E0" w14:textId="77777777" w:rsidR="008D50E0" w:rsidRPr="00903174" w:rsidRDefault="008D50E0" w:rsidP="00A370FA">
            <w:pPr>
              <w:pStyle w:val="TableText"/>
              <w:jc w:val="center"/>
            </w:pPr>
            <w:r w:rsidRPr="00903174">
              <w:t>NR</w:t>
            </w:r>
          </w:p>
        </w:tc>
        <w:tc>
          <w:tcPr>
            <w:tcW w:w="664" w:type="pct"/>
            <w:vAlign w:val="center"/>
          </w:tcPr>
          <w:p w14:paraId="12971CCA" w14:textId="77777777" w:rsidR="008D50E0" w:rsidRPr="00903174" w:rsidRDefault="008D50E0" w:rsidP="00A370FA">
            <w:pPr>
              <w:pStyle w:val="TableText"/>
              <w:jc w:val="center"/>
            </w:pPr>
            <w:r w:rsidRPr="00903174">
              <w:t>-76.02% (1.61%)</w:t>
            </w:r>
          </w:p>
        </w:tc>
        <w:tc>
          <w:tcPr>
            <w:tcW w:w="1182" w:type="pct"/>
            <w:vAlign w:val="center"/>
          </w:tcPr>
          <w:p w14:paraId="4A381FC3" w14:textId="77777777" w:rsidR="008D50E0" w:rsidRPr="00903174" w:rsidRDefault="008D50E0" w:rsidP="00A370FA">
            <w:pPr>
              <w:pStyle w:val="TableText"/>
              <w:jc w:val="center"/>
            </w:pPr>
            <w:r w:rsidRPr="00903174">
              <w:t>-0.83% (-5.21, 3.56)</w:t>
            </w:r>
          </w:p>
        </w:tc>
      </w:tr>
      <w:tr w:rsidR="008D50E0" w:rsidRPr="00903174" w14:paraId="24A83BC9" w14:textId="77777777" w:rsidTr="00A370FA">
        <w:tc>
          <w:tcPr>
            <w:tcW w:w="503" w:type="pct"/>
            <w:vAlign w:val="center"/>
          </w:tcPr>
          <w:p w14:paraId="108FC90C" w14:textId="77777777" w:rsidR="008D50E0" w:rsidRPr="00903174" w:rsidRDefault="008D50E0" w:rsidP="00A370FA">
            <w:pPr>
              <w:pStyle w:val="TableText"/>
            </w:pPr>
            <w:r w:rsidRPr="00903174">
              <w:t>Trial 302</w:t>
            </w:r>
          </w:p>
        </w:tc>
        <w:tc>
          <w:tcPr>
            <w:tcW w:w="503" w:type="pct"/>
            <w:vAlign w:val="center"/>
          </w:tcPr>
          <w:p w14:paraId="7720861B" w14:textId="77777777" w:rsidR="008D50E0" w:rsidRPr="00903174" w:rsidRDefault="008D50E0" w:rsidP="00A370FA">
            <w:pPr>
              <w:pStyle w:val="TableText"/>
              <w:jc w:val="center"/>
            </w:pPr>
            <w:r w:rsidRPr="00903174">
              <w:t>228.01 (48.71)</w:t>
            </w:r>
          </w:p>
        </w:tc>
        <w:tc>
          <w:tcPr>
            <w:tcW w:w="514" w:type="pct"/>
            <w:vAlign w:val="center"/>
          </w:tcPr>
          <w:p w14:paraId="35C5B537" w14:textId="77777777" w:rsidR="008D50E0" w:rsidRPr="00903174" w:rsidRDefault="008D50E0" w:rsidP="00A370FA">
            <w:pPr>
              <w:pStyle w:val="TableText"/>
              <w:jc w:val="center"/>
            </w:pPr>
            <w:r w:rsidRPr="00903174">
              <w:t>NR</w:t>
            </w:r>
          </w:p>
        </w:tc>
        <w:tc>
          <w:tcPr>
            <w:tcW w:w="677" w:type="pct"/>
            <w:vAlign w:val="center"/>
          </w:tcPr>
          <w:p w14:paraId="7CC5DF1C" w14:textId="77777777" w:rsidR="008D50E0" w:rsidRPr="00903174" w:rsidRDefault="008D50E0" w:rsidP="00A370FA">
            <w:pPr>
              <w:pStyle w:val="TableText"/>
              <w:jc w:val="center"/>
            </w:pPr>
            <w:r w:rsidRPr="00903174">
              <w:t>-0.82% (3.03%)</w:t>
            </w:r>
          </w:p>
        </w:tc>
        <w:tc>
          <w:tcPr>
            <w:tcW w:w="440" w:type="pct"/>
            <w:vAlign w:val="center"/>
          </w:tcPr>
          <w:p w14:paraId="4E0D3719" w14:textId="77777777" w:rsidR="008D50E0" w:rsidRPr="00903174" w:rsidRDefault="008D50E0" w:rsidP="00A370FA">
            <w:pPr>
              <w:pStyle w:val="TableText"/>
              <w:jc w:val="center"/>
            </w:pPr>
            <w:r w:rsidRPr="00903174">
              <w:t>235.22 (49.71)</w:t>
            </w:r>
          </w:p>
        </w:tc>
        <w:tc>
          <w:tcPr>
            <w:tcW w:w="516" w:type="pct"/>
            <w:vAlign w:val="center"/>
          </w:tcPr>
          <w:p w14:paraId="6C0792B8" w14:textId="77777777" w:rsidR="008D50E0" w:rsidRPr="00903174" w:rsidRDefault="008D50E0" w:rsidP="00A370FA">
            <w:pPr>
              <w:pStyle w:val="TableText"/>
              <w:jc w:val="center"/>
            </w:pPr>
            <w:r w:rsidRPr="00903174">
              <w:t>NR</w:t>
            </w:r>
          </w:p>
        </w:tc>
        <w:tc>
          <w:tcPr>
            <w:tcW w:w="664" w:type="pct"/>
            <w:vAlign w:val="center"/>
          </w:tcPr>
          <w:p w14:paraId="79949879" w14:textId="77777777" w:rsidR="008D50E0" w:rsidRPr="00903174" w:rsidRDefault="008D50E0" w:rsidP="00A370FA">
            <w:pPr>
              <w:pStyle w:val="TableText"/>
              <w:jc w:val="center"/>
            </w:pPr>
            <w:r w:rsidRPr="00903174">
              <w:t>8.39% (3.04%)</w:t>
            </w:r>
          </w:p>
        </w:tc>
        <w:tc>
          <w:tcPr>
            <w:tcW w:w="1182" w:type="pct"/>
            <w:vAlign w:val="center"/>
          </w:tcPr>
          <w:p w14:paraId="54AA4F12" w14:textId="77777777" w:rsidR="008D50E0" w:rsidRPr="00903174" w:rsidRDefault="008D50E0" w:rsidP="00A370FA">
            <w:pPr>
              <w:pStyle w:val="TableText"/>
              <w:jc w:val="center"/>
            </w:pPr>
            <w:r w:rsidRPr="00903174">
              <w:t>-9.21% (-18.84, 0.42)</w:t>
            </w:r>
          </w:p>
        </w:tc>
      </w:tr>
    </w:tbl>
    <w:p w14:paraId="650A441E" w14:textId="77777777" w:rsidR="008D50E0" w:rsidRPr="00903174" w:rsidRDefault="008D50E0" w:rsidP="008D50E0">
      <w:pPr>
        <w:pStyle w:val="TableFigureFooter"/>
        <w:rPr>
          <w:sz w:val="20"/>
        </w:rPr>
      </w:pPr>
      <w:r w:rsidRPr="00903174">
        <w:t>Source: Table 55, pp115-118 of the submission, Trial 301 and 302 clinical study reports.</w:t>
      </w:r>
    </w:p>
    <w:p w14:paraId="55E41248" w14:textId="77777777" w:rsidR="008D50E0" w:rsidRDefault="008D50E0" w:rsidP="008D50E0">
      <w:pPr>
        <w:pStyle w:val="TableFigureFooter"/>
        <w:rPr>
          <w:rFonts w:eastAsia="Calibri"/>
        </w:rPr>
      </w:pPr>
      <w:r w:rsidRPr="00903174">
        <w:rPr>
          <w:rFonts w:eastAsia="Calibri"/>
        </w:rPr>
        <w:t>Abbreviations: CI, confidence interval; NR, not reported; SE, standard error.</w:t>
      </w:r>
    </w:p>
    <w:p w14:paraId="299E36C3" w14:textId="77777777" w:rsidR="00244CD3" w:rsidRPr="00903174" w:rsidRDefault="00244CD3" w:rsidP="008D50E0">
      <w:pPr>
        <w:pStyle w:val="TableFigureFooter"/>
        <w:rPr>
          <w:rFonts w:eastAsia="Calibri"/>
        </w:rPr>
      </w:pPr>
    </w:p>
    <w:p w14:paraId="35A7B22E" w14:textId="77777777" w:rsidR="00BD3D6A" w:rsidRPr="00903174" w:rsidRDefault="00BD3D6A" w:rsidP="00D81E68">
      <w:pPr>
        <w:pStyle w:val="TableFigureCaption"/>
        <w:jc w:val="both"/>
      </w:pPr>
      <w:r w:rsidRPr="00903174">
        <w:t xml:space="preserve">Table </w:t>
      </w:r>
      <w:r w:rsidR="00EC10C8" w:rsidRPr="00903174">
        <w:t>7</w:t>
      </w:r>
      <w:r w:rsidRPr="00903174">
        <w:t xml:space="preserve">: Proportion of patients </w:t>
      </w:r>
      <w:r w:rsidR="008D50E0" w:rsidRPr="00903174">
        <w:t>experiencing transfusion avoi</w:t>
      </w:r>
      <w:r w:rsidR="00717EC0" w:rsidRPr="00903174">
        <w:t xml:space="preserve">dance, breakthrough haemolysis, </w:t>
      </w:r>
      <w:r w:rsidR="008D50E0" w:rsidRPr="00903174">
        <w:t>stabilised haemoglobin</w:t>
      </w:r>
      <w:r w:rsidRPr="00903174">
        <w:t xml:space="preserve"> </w:t>
      </w:r>
      <w:r w:rsidR="008D50E0" w:rsidRPr="00903174">
        <w:t xml:space="preserve">to Week 26 of </w:t>
      </w:r>
      <w:r w:rsidRPr="00903174">
        <w:t>the ravulizumab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2590"/>
        <w:gridCol w:w="2590"/>
        <w:gridCol w:w="2590"/>
      </w:tblGrid>
      <w:tr w:rsidR="00BD3D6A" w:rsidRPr="00903174" w14:paraId="1911B783" w14:textId="77777777" w:rsidTr="00634B12">
        <w:trPr>
          <w:tblHeader/>
        </w:trPr>
        <w:tc>
          <w:tcPr>
            <w:tcW w:w="692" w:type="pct"/>
            <w:vAlign w:val="center"/>
          </w:tcPr>
          <w:p w14:paraId="7D6B524B" w14:textId="77777777" w:rsidR="00BD3D6A" w:rsidRPr="00903174" w:rsidRDefault="00BD3D6A" w:rsidP="00A370FA">
            <w:pPr>
              <w:pStyle w:val="Tableheadingrow"/>
              <w:rPr>
                <w:lang w:val="en-AU"/>
              </w:rPr>
            </w:pPr>
            <w:r w:rsidRPr="00903174">
              <w:rPr>
                <w:lang w:val="en-AU"/>
              </w:rPr>
              <w:t>Trial ID</w:t>
            </w:r>
          </w:p>
        </w:tc>
        <w:tc>
          <w:tcPr>
            <w:tcW w:w="1436" w:type="pct"/>
            <w:vAlign w:val="center"/>
          </w:tcPr>
          <w:p w14:paraId="1941014F" w14:textId="77777777" w:rsidR="00BD3D6A" w:rsidRPr="00903174" w:rsidRDefault="00BD3D6A" w:rsidP="00A370FA">
            <w:pPr>
              <w:pStyle w:val="Tableheadingrow"/>
              <w:jc w:val="center"/>
              <w:rPr>
                <w:lang w:val="en-AU"/>
              </w:rPr>
            </w:pPr>
            <w:r w:rsidRPr="00903174">
              <w:rPr>
                <w:lang w:val="en-AU"/>
              </w:rPr>
              <w:t>Ravulizumab</w:t>
            </w:r>
          </w:p>
          <w:p w14:paraId="6DDBE320" w14:textId="77777777" w:rsidR="00BD3D6A" w:rsidRPr="00903174" w:rsidRDefault="00BD3D6A" w:rsidP="00A370FA">
            <w:pPr>
              <w:pStyle w:val="Tableheadingrow"/>
              <w:jc w:val="center"/>
              <w:rPr>
                <w:lang w:val="en-AU"/>
              </w:rPr>
            </w:pPr>
            <w:r w:rsidRPr="00903174">
              <w:rPr>
                <w:lang w:val="en-AU"/>
              </w:rPr>
              <w:t>n/N (%)</w:t>
            </w:r>
          </w:p>
        </w:tc>
        <w:tc>
          <w:tcPr>
            <w:tcW w:w="1436" w:type="pct"/>
            <w:vAlign w:val="center"/>
          </w:tcPr>
          <w:p w14:paraId="27A54201" w14:textId="77777777" w:rsidR="00BD3D6A" w:rsidRPr="00903174" w:rsidRDefault="00BD3D6A" w:rsidP="00A370FA">
            <w:pPr>
              <w:pStyle w:val="Tableheadingrow"/>
              <w:jc w:val="center"/>
              <w:rPr>
                <w:lang w:val="en-AU"/>
              </w:rPr>
            </w:pPr>
            <w:r w:rsidRPr="00903174">
              <w:rPr>
                <w:lang w:val="en-AU"/>
              </w:rPr>
              <w:t>Eculizumab</w:t>
            </w:r>
          </w:p>
          <w:p w14:paraId="09E1F21D" w14:textId="77777777" w:rsidR="00BD3D6A" w:rsidRPr="00903174" w:rsidRDefault="00BD3D6A" w:rsidP="00A370FA">
            <w:pPr>
              <w:pStyle w:val="Tableheadingrow"/>
              <w:jc w:val="center"/>
              <w:rPr>
                <w:lang w:val="en-AU"/>
              </w:rPr>
            </w:pPr>
            <w:r w:rsidRPr="00903174">
              <w:rPr>
                <w:lang w:val="en-AU"/>
              </w:rPr>
              <w:t>n/N (%)</w:t>
            </w:r>
          </w:p>
        </w:tc>
        <w:tc>
          <w:tcPr>
            <w:tcW w:w="1436" w:type="pct"/>
            <w:vAlign w:val="center"/>
          </w:tcPr>
          <w:p w14:paraId="3C11FC88" w14:textId="77777777" w:rsidR="00BD3D6A" w:rsidRPr="00903174" w:rsidRDefault="00BD3D6A" w:rsidP="00A370FA">
            <w:pPr>
              <w:pStyle w:val="Tableheadingrow"/>
              <w:jc w:val="center"/>
              <w:rPr>
                <w:lang w:val="en-AU"/>
              </w:rPr>
            </w:pPr>
            <w:r w:rsidRPr="00903174">
              <w:rPr>
                <w:lang w:val="en-AU"/>
              </w:rPr>
              <w:t>Treatment difference (95% CI)</w:t>
            </w:r>
          </w:p>
        </w:tc>
      </w:tr>
      <w:tr w:rsidR="008D50E0" w:rsidRPr="00903174" w14:paraId="1221A34D" w14:textId="77777777" w:rsidTr="00634B12">
        <w:trPr>
          <w:tblHeader/>
        </w:trPr>
        <w:tc>
          <w:tcPr>
            <w:tcW w:w="5000" w:type="pct"/>
            <w:gridSpan w:val="4"/>
            <w:vAlign w:val="center"/>
          </w:tcPr>
          <w:p w14:paraId="57B9E8B7" w14:textId="77777777" w:rsidR="008D50E0" w:rsidRPr="00903174" w:rsidRDefault="008D50E0" w:rsidP="008D50E0">
            <w:pPr>
              <w:pStyle w:val="Tableheadingrow"/>
              <w:rPr>
                <w:lang w:val="en-AU"/>
              </w:rPr>
            </w:pPr>
            <w:r w:rsidRPr="00903174">
              <w:rPr>
                <w:lang w:val="en-AU"/>
              </w:rPr>
              <w:t>Transfusion avoidance</w:t>
            </w:r>
          </w:p>
        </w:tc>
      </w:tr>
      <w:tr w:rsidR="00BD3D6A" w:rsidRPr="00903174" w14:paraId="08861CBA" w14:textId="77777777" w:rsidTr="00634B12">
        <w:tc>
          <w:tcPr>
            <w:tcW w:w="692" w:type="pct"/>
            <w:vAlign w:val="center"/>
          </w:tcPr>
          <w:p w14:paraId="2F828D40" w14:textId="77777777" w:rsidR="00BD3D6A" w:rsidRPr="00903174" w:rsidRDefault="00BD3D6A" w:rsidP="00A370FA">
            <w:pPr>
              <w:pStyle w:val="TableText"/>
            </w:pPr>
            <w:r w:rsidRPr="00903174">
              <w:t>Trial 301</w:t>
            </w:r>
          </w:p>
        </w:tc>
        <w:tc>
          <w:tcPr>
            <w:tcW w:w="1436" w:type="pct"/>
            <w:vAlign w:val="center"/>
          </w:tcPr>
          <w:p w14:paraId="3E71A6A5" w14:textId="77777777" w:rsidR="00BD3D6A" w:rsidRPr="00903174" w:rsidRDefault="00BD3D6A" w:rsidP="00A370FA">
            <w:pPr>
              <w:pStyle w:val="TableText"/>
              <w:jc w:val="center"/>
            </w:pPr>
            <w:r w:rsidRPr="00903174">
              <w:t>92/125 (73.6%)</w:t>
            </w:r>
          </w:p>
        </w:tc>
        <w:tc>
          <w:tcPr>
            <w:tcW w:w="1436" w:type="pct"/>
            <w:vAlign w:val="center"/>
          </w:tcPr>
          <w:p w14:paraId="2912CBFA" w14:textId="77777777" w:rsidR="00BD3D6A" w:rsidRPr="00903174" w:rsidRDefault="00BD3D6A" w:rsidP="00A370FA">
            <w:pPr>
              <w:pStyle w:val="TableText"/>
              <w:jc w:val="center"/>
            </w:pPr>
            <w:r w:rsidRPr="00903174">
              <w:t>80/121 (66.1%)</w:t>
            </w:r>
          </w:p>
        </w:tc>
        <w:tc>
          <w:tcPr>
            <w:tcW w:w="1436" w:type="pct"/>
            <w:vAlign w:val="center"/>
          </w:tcPr>
          <w:p w14:paraId="51280CF6" w14:textId="77777777" w:rsidR="00BD3D6A" w:rsidRPr="00903174" w:rsidRDefault="00BD3D6A" w:rsidP="00A370FA">
            <w:pPr>
              <w:pStyle w:val="TableText"/>
              <w:jc w:val="center"/>
            </w:pPr>
            <w:r w:rsidRPr="00903174">
              <w:t>6.8% (-4.66, 18.14)</w:t>
            </w:r>
          </w:p>
        </w:tc>
      </w:tr>
      <w:tr w:rsidR="00BD3D6A" w:rsidRPr="00903174" w14:paraId="2557DA31" w14:textId="77777777" w:rsidTr="00634B12">
        <w:tc>
          <w:tcPr>
            <w:tcW w:w="692" w:type="pct"/>
            <w:vAlign w:val="center"/>
          </w:tcPr>
          <w:p w14:paraId="1C08B981" w14:textId="77777777" w:rsidR="00BD3D6A" w:rsidRPr="00903174" w:rsidRDefault="00BD3D6A" w:rsidP="00A370FA">
            <w:pPr>
              <w:pStyle w:val="TableText"/>
            </w:pPr>
            <w:r w:rsidRPr="00903174">
              <w:t>Trial 302</w:t>
            </w:r>
          </w:p>
        </w:tc>
        <w:tc>
          <w:tcPr>
            <w:tcW w:w="1436" w:type="pct"/>
            <w:vAlign w:val="center"/>
          </w:tcPr>
          <w:p w14:paraId="15C14A9B" w14:textId="77777777" w:rsidR="00BD3D6A" w:rsidRPr="00903174" w:rsidRDefault="00BD3D6A" w:rsidP="00A370FA">
            <w:pPr>
              <w:pStyle w:val="TableText"/>
              <w:jc w:val="center"/>
            </w:pPr>
            <w:r w:rsidRPr="00903174">
              <w:t>85/97 (87.6%)</w:t>
            </w:r>
          </w:p>
        </w:tc>
        <w:tc>
          <w:tcPr>
            <w:tcW w:w="1436" w:type="pct"/>
            <w:vAlign w:val="center"/>
          </w:tcPr>
          <w:p w14:paraId="3357CD63" w14:textId="77777777" w:rsidR="00BD3D6A" w:rsidRPr="00903174" w:rsidRDefault="00BD3D6A" w:rsidP="00A370FA">
            <w:pPr>
              <w:pStyle w:val="TableText"/>
              <w:jc w:val="center"/>
            </w:pPr>
            <w:r w:rsidRPr="00903174">
              <w:t>81/98 (82.7%)</w:t>
            </w:r>
          </w:p>
        </w:tc>
        <w:tc>
          <w:tcPr>
            <w:tcW w:w="1436" w:type="pct"/>
            <w:vAlign w:val="center"/>
          </w:tcPr>
          <w:p w14:paraId="4A6F27D4" w14:textId="77777777" w:rsidR="00BD3D6A" w:rsidRPr="00903174" w:rsidRDefault="00BD3D6A" w:rsidP="00A370FA">
            <w:pPr>
              <w:pStyle w:val="TableText"/>
              <w:jc w:val="center"/>
            </w:pPr>
            <w:r w:rsidRPr="00903174">
              <w:t>5.5% (-4.27, 15.68)</w:t>
            </w:r>
          </w:p>
        </w:tc>
      </w:tr>
      <w:tr w:rsidR="008D50E0" w:rsidRPr="00903174" w14:paraId="4123E4FD" w14:textId="77777777" w:rsidTr="00634B12">
        <w:tc>
          <w:tcPr>
            <w:tcW w:w="5000" w:type="pct"/>
            <w:gridSpan w:val="4"/>
            <w:vAlign w:val="center"/>
          </w:tcPr>
          <w:p w14:paraId="365A4C0A" w14:textId="77777777" w:rsidR="008D50E0" w:rsidRPr="00903174" w:rsidRDefault="008D50E0" w:rsidP="008D50E0">
            <w:pPr>
              <w:pStyle w:val="TableText"/>
              <w:rPr>
                <w:b/>
              </w:rPr>
            </w:pPr>
            <w:r w:rsidRPr="00903174">
              <w:rPr>
                <w:b/>
              </w:rPr>
              <w:t>Breakthrough haemolysis</w:t>
            </w:r>
            <w:r w:rsidR="00CF2968" w:rsidRPr="00903174">
              <w:rPr>
                <w:b/>
              </w:rPr>
              <w:t xml:space="preserve"> </w:t>
            </w:r>
            <w:r w:rsidR="00CF2968" w:rsidRPr="00903174">
              <w:rPr>
                <w:b/>
                <w:vertAlign w:val="superscript"/>
              </w:rPr>
              <w:t>a</w:t>
            </w:r>
          </w:p>
        </w:tc>
      </w:tr>
      <w:tr w:rsidR="008D50E0" w:rsidRPr="00903174" w14:paraId="6D47929B" w14:textId="77777777" w:rsidTr="00634B12">
        <w:tc>
          <w:tcPr>
            <w:tcW w:w="692" w:type="pct"/>
            <w:vAlign w:val="center"/>
          </w:tcPr>
          <w:p w14:paraId="19149115" w14:textId="77777777" w:rsidR="008D50E0" w:rsidRPr="00903174" w:rsidRDefault="008D50E0" w:rsidP="008D50E0">
            <w:pPr>
              <w:pStyle w:val="TableText"/>
            </w:pPr>
            <w:r w:rsidRPr="00903174">
              <w:t>Trial 301</w:t>
            </w:r>
          </w:p>
        </w:tc>
        <w:tc>
          <w:tcPr>
            <w:tcW w:w="1436" w:type="pct"/>
            <w:vAlign w:val="center"/>
          </w:tcPr>
          <w:p w14:paraId="450E9DEF" w14:textId="77777777" w:rsidR="008D50E0" w:rsidRPr="00903174" w:rsidRDefault="008D50E0" w:rsidP="008D50E0">
            <w:pPr>
              <w:pStyle w:val="TableText"/>
              <w:jc w:val="center"/>
            </w:pPr>
            <w:r w:rsidRPr="00903174">
              <w:t>5/125 (4.0%)</w:t>
            </w:r>
          </w:p>
        </w:tc>
        <w:tc>
          <w:tcPr>
            <w:tcW w:w="1436" w:type="pct"/>
            <w:vAlign w:val="center"/>
          </w:tcPr>
          <w:p w14:paraId="5CCDA25A" w14:textId="77777777" w:rsidR="008D50E0" w:rsidRPr="00903174" w:rsidRDefault="008D50E0" w:rsidP="008D50E0">
            <w:pPr>
              <w:pStyle w:val="TableText"/>
              <w:jc w:val="center"/>
            </w:pPr>
            <w:r w:rsidRPr="00903174">
              <w:t>13/121 (10.7%)</w:t>
            </w:r>
          </w:p>
        </w:tc>
        <w:tc>
          <w:tcPr>
            <w:tcW w:w="1436" w:type="pct"/>
            <w:vAlign w:val="center"/>
          </w:tcPr>
          <w:p w14:paraId="57DA504E" w14:textId="77777777" w:rsidR="008D50E0" w:rsidRPr="00903174" w:rsidRDefault="008D50E0" w:rsidP="008D50E0">
            <w:pPr>
              <w:pStyle w:val="TableText"/>
              <w:jc w:val="center"/>
            </w:pPr>
            <w:r w:rsidRPr="00903174">
              <w:t>-6.7% (-14.21, 0.18)</w:t>
            </w:r>
          </w:p>
        </w:tc>
      </w:tr>
      <w:tr w:rsidR="008D50E0" w:rsidRPr="00903174" w14:paraId="36AF1135" w14:textId="77777777" w:rsidTr="00634B12">
        <w:tc>
          <w:tcPr>
            <w:tcW w:w="692" w:type="pct"/>
            <w:vAlign w:val="center"/>
          </w:tcPr>
          <w:p w14:paraId="6DD02F14" w14:textId="77777777" w:rsidR="008D50E0" w:rsidRPr="00903174" w:rsidRDefault="008D50E0" w:rsidP="008D50E0">
            <w:pPr>
              <w:pStyle w:val="TableText"/>
            </w:pPr>
            <w:r w:rsidRPr="00903174">
              <w:t>Trial 302</w:t>
            </w:r>
          </w:p>
        </w:tc>
        <w:tc>
          <w:tcPr>
            <w:tcW w:w="1436" w:type="pct"/>
            <w:vAlign w:val="center"/>
          </w:tcPr>
          <w:p w14:paraId="66AB0C52" w14:textId="77777777" w:rsidR="008D50E0" w:rsidRPr="00903174" w:rsidRDefault="008D50E0" w:rsidP="008D50E0">
            <w:pPr>
              <w:pStyle w:val="TableText"/>
              <w:jc w:val="center"/>
            </w:pPr>
            <w:r w:rsidRPr="00903174">
              <w:t>0/97 (0%)</w:t>
            </w:r>
          </w:p>
        </w:tc>
        <w:tc>
          <w:tcPr>
            <w:tcW w:w="1436" w:type="pct"/>
            <w:vAlign w:val="center"/>
          </w:tcPr>
          <w:p w14:paraId="4B04A1F2" w14:textId="77777777" w:rsidR="008D50E0" w:rsidRPr="00903174" w:rsidRDefault="008D50E0" w:rsidP="008D50E0">
            <w:pPr>
              <w:pStyle w:val="TableText"/>
              <w:jc w:val="center"/>
            </w:pPr>
            <w:r w:rsidRPr="00903174">
              <w:t>5/98 (5.1%)</w:t>
            </w:r>
          </w:p>
        </w:tc>
        <w:tc>
          <w:tcPr>
            <w:tcW w:w="1436" w:type="pct"/>
            <w:vAlign w:val="center"/>
          </w:tcPr>
          <w:p w14:paraId="0BC599EF" w14:textId="77777777" w:rsidR="008D50E0" w:rsidRPr="00903174" w:rsidRDefault="008D50E0" w:rsidP="008D50E0">
            <w:pPr>
              <w:pStyle w:val="TableText"/>
              <w:jc w:val="center"/>
            </w:pPr>
            <w:r w:rsidRPr="00903174">
              <w:t>-5.1% (-18.99, 8.89)</w:t>
            </w:r>
          </w:p>
        </w:tc>
      </w:tr>
      <w:tr w:rsidR="008D50E0" w:rsidRPr="00903174" w14:paraId="66BB9723" w14:textId="77777777" w:rsidTr="00634B12">
        <w:tc>
          <w:tcPr>
            <w:tcW w:w="5000" w:type="pct"/>
            <w:gridSpan w:val="4"/>
            <w:vAlign w:val="center"/>
          </w:tcPr>
          <w:p w14:paraId="7533FE9C" w14:textId="77777777" w:rsidR="008D50E0" w:rsidRPr="00903174" w:rsidRDefault="008D50E0" w:rsidP="00A370FA">
            <w:pPr>
              <w:pStyle w:val="TableText"/>
              <w:rPr>
                <w:b/>
              </w:rPr>
            </w:pPr>
            <w:r w:rsidRPr="00903174">
              <w:rPr>
                <w:b/>
              </w:rPr>
              <w:t>Stabilised haemoglobin (avoidance of a ≥ 2 g/dL decrease in haemoglobin level)</w:t>
            </w:r>
          </w:p>
        </w:tc>
      </w:tr>
      <w:tr w:rsidR="008D50E0" w:rsidRPr="00903174" w14:paraId="36A2C745" w14:textId="77777777" w:rsidTr="00634B12">
        <w:tc>
          <w:tcPr>
            <w:tcW w:w="692" w:type="pct"/>
            <w:vAlign w:val="center"/>
          </w:tcPr>
          <w:p w14:paraId="45A20C48" w14:textId="77777777" w:rsidR="008D50E0" w:rsidRPr="00903174" w:rsidRDefault="008D50E0" w:rsidP="008D50E0">
            <w:pPr>
              <w:pStyle w:val="TableText"/>
            </w:pPr>
            <w:r w:rsidRPr="00903174">
              <w:t>Trial 301</w:t>
            </w:r>
          </w:p>
        </w:tc>
        <w:tc>
          <w:tcPr>
            <w:tcW w:w="1436" w:type="pct"/>
            <w:vAlign w:val="center"/>
          </w:tcPr>
          <w:p w14:paraId="74BDF594" w14:textId="77777777" w:rsidR="008D50E0" w:rsidRPr="00903174" w:rsidRDefault="008D50E0" w:rsidP="008D50E0">
            <w:pPr>
              <w:pStyle w:val="TableText"/>
              <w:jc w:val="center"/>
            </w:pPr>
            <w:r w:rsidRPr="00903174">
              <w:t>85/125 (68.0%)</w:t>
            </w:r>
          </w:p>
        </w:tc>
        <w:tc>
          <w:tcPr>
            <w:tcW w:w="1436" w:type="pct"/>
            <w:vAlign w:val="center"/>
          </w:tcPr>
          <w:p w14:paraId="36831D49" w14:textId="77777777" w:rsidR="008D50E0" w:rsidRPr="00903174" w:rsidRDefault="008D50E0" w:rsidP="008D50E0">
            <w:pPr>
              <w:pStyle w:val="TableText"/>
              <w:jc w:val="center"/>
            </w:pPr>
            <w:r w:rsidRPr="00903174">
              <w:t>78/121 (64.5%)</w:t>
            </w:r>
          </w:p>
        </w:tc>
        <w:tc>
          <w:tcPr>
            <w:tcW w:w="1436" w:type="pct"/>
            <w:vAlign w:val="center"/>
          </w:tcPr>
          <w:p w14:paraId="5F07505C" w14:textId="77777777" w:rsidR="008D50E0" w:rsidRPr="00903174" w:rsidRDefault="008D50E0" w:rsidP="008D50E0">
            <w:pPr>
              <w:pStyle w:val="TableText"/>
              <w:jc w:val="center"/>
            </w:pPr>
            <w:r w:rsidRPr="00903174">
              <w:t>2.9% (-8.80, 14.64)</w:t>
            </w:r>
          </w:p>
        </w:tc>
      </w:tr>
      <w:tr w:rsidR="008D50E0" w:rsidRPr="00903174" w14:paraId="4AD5C5EC" w14:textId="77777777" w:rsidTr="00634B12">
        <w:tc>
          <w:tcPr>
            <w:tcW w:w="692" w:type="pct"/>
            <w:vAlign w:val="center"/>
          </w:tcPr>
          <w:p w14:paraId="1DC3607C" w14:textId="77777777" w:rsidR="008D50E0" w:rsidRPr="00903174" w:rsidRDefault="008D50E0" w:rsidP="008D50E0">
            <w:pPr>
              <w:pStyle w:val="TableText"/>
            </w:pPr>
            <w:r w:rsidRPr="00903174">
              <w:t>Trial 302</w:t>
            </w:r>
          </w:p>
        </w:tc>
        <w:tc>
          <w:tcPr>
            <w:tcW w:w="1436" w:type="pct"/>
            <w:vAlign w:val="center"/>
          </w:tcPr>
          <w:p w14:paraId="6B593449" w14:textId="77777777" w:rsidR="008D50E0" w:rsidRPr="00903174" w:rsidRDefault="008D50E0" w:rsidP="008D50E0">
            <w:pPr>
              <w:pStyle w:val="TableText"/>
              <w:jc w:val="center"/>
            </w:pPr>
            <w:r w:rsidRPr="00903174">
              <w:t>74/97 (76.3%)</w:t>
            </w:r>
          </w:p>
        </w:tc>
        <w:tc>
          <w:tcPr>
            <w:tcW w:w="1436" w:type="pct"/>
            <w:vAlign w:val="center"/>
          </w:tcPr>
          <w:p w14:paraId="5837BA0C" w14:textId="77777777" w:rsidR="008D50E0" w:rsidRPr="00903174" w:rsidRDefault="008D50E0" w:rsidP="008D50E0">
            <w:pPr>
              <w:pStyle w:val="TableText"/>
              <w:jc w:val="center"/>
            </w:pPr>
            <w:r w:rsidRPr="00903174">
              <w:t>74/98 (75.5%)</w:t>
            </w:r>
          </w:p>
        </w:tc>
        <w:tc>
          <w:tcPr>
            <w:tcW w:w="1436" w:type="pct"/>
            <w:vAlign w:val="center"/>
          </w:tcPr>
          <w:p w14:paraId="6CE93CFE" w14:textId="77777777" w:rsidR="008D50E0" w:rsidRPr="00903174" w:rsidRDefault="008D50E0" w:rsidP="008D50E0">
            <w:pPr>
              <w:pStyle w:val="TableText"/>
              <w:jc w:val="center"/>
            </w:pPr>
            <w:r w:rsidRPr="00903174">
              <w:t>1.4% (-10.41, 13.31)</w:t>
            </w:r>
          </w:p>
        </w:tc>
      </w:tr>
    </w:tbl>
    <w:p w14:paraId="0616CD13" w14:textId="77777777" w:rsidR="00BD3D6A" w:rsidRPr="00903174" w:rsidRDefault="00BD3D6A" w:rsidP="00BD3D6A">
      <w:pPr>
        <w:pStyle w:val="TableFigureFooter"/>
      </w:pPr>
      <w:r w:rsidRPr="00903174">
        <w:t>Source: Table 55, pp115-118 of the submission.</w:t>
      </w:r>
    </w:p>
    <w:p w14:paraId="33C5F951" w14:textId="77777777" w:rsidR="00BD3D6A" w:rsidRPr="00903174" w:rsidRDefault="00BD3D6A" w:rsidP="00BD3D6A">
      <w:pPr>
        <w:pStyle w:val="TableFigureFooter"/>
      </w:pPr>
      <w:r w:rsidRPr="00903174">
        <w:t>Abbreviations: CI, confidence interval;</w:t>
      </w:r>
      <w:r w:rsidR="001F3DB2" w:rsidRPr="00903174">
        <w:t xml:space="preserve"> LDH, lactate dehydrogenase; </w:t>
      </w:r>
      <w:r w:rsidRPr="00903174">
        <w:t>n, number of participants with event; N, total participants in group</w:t>
      </w:r>
      <w:r w:rsidR="001F3DB2" w:rsidRPr="00903174">
        <w:t>; ULN, upper limit of normal</w:t>
      </w:r>
    </w:p>
    <w:p w14:paraId="4CFA60BB" w14:textId="77777777" w:rsidR="00CF2968" w:rsidRPr="00903174" w:rsidRDefault="00CF2968" w:rsidP="00BD3D6A">
      <w:pPr>
        <w:pStyle w:val="TableFigureFooter"/>
      </w:pPr>
      <w:r w:rsidRPr="00903174">
        <w:rPr>
          <w:vertAlign w:val="superscript"/>
        </w:rPr>
        <w:t>a</w:t>
      </w:r>
      <w:r w:rsidRPr="00903174">
        <w:t> Breakthrough haemolysis was defined in the t</w:t>
      </w:r>
      <w:r w:rsidR="001F3DB2" w:rsidRPr="00903174">
        <w:t xml:space="preserve">rials as </w:t>
      </w:r>
      <w:r w:rsidRPr="00903174">
        <w:t>≥ 1 new or worsening symptom or sign of intravascular haemolysis (fatigue, haemoglobinuria, abdominal pain, dyspnoea, anaemia, major adverse vascular event; in the presence of elevated LDH ≥ 2 × ULN, after prior LDH reduction to &lt;1.5 × ULN on therapy, through Week 26</w:t>
      </w:r>
    </w:p>
    <w:p w14:paraId="3C5DCAA3" w14:textId="77777777" w:rsidR="00BD3D6A" w:rsidRPr="00903174" w:rsidRDefault="00BD3D6A" w:rsidP="00BD3D6A">
      <w:pPr>
        <w:pStyle w:val="TableFigureFooter"/>
      </w:pPr>
      <w:r w:rsidRPr="00903174">
        <w:t xml:space="preserve">Note: </w:t>
      </w:r>
      <w:r w:rsidR="008D50E0" w:rsidRPr="00903174">
        <w:t>For transfusion avoidance and stabilised haemoglobin outcomes, p</w:t>
      </w:r>
      <w:r w:rsidRPr="00903174">
        <w:t>ercentage and CI for the difference of percentages are calculated using stratified Newcombe confidence interval method. The stratification factors were observed stratification groups of pRBC/whole blood units transfused in the 1 year prior to first dose of study drug and screening LDH levels in Trial 301, and transfusion history (yes/no) within 1 year prior to first dose of study drug in Trial 302.</w:t>
      </w:r>
    </w:p>
    <w:p w14:paraId="7533ADD9" w14:textId="77777777" w:rsidR="00B2799D" w:rsidRPr="00903174" w:rsidRDefault="00B2799D" w:rsidP="00FF5FC5">
      <w:pPr>
        <w:pStyle w:val="TableFigureCaption"/>
        <w:rPr>
          <w:rFonts w:eastAsia="Times New Roman" w:cs="Arial"/>
          <w:b w:val="0"/>
          <w:bCs w:val="0"/>
          <w:snapToGrid w:val="0"/>
          <w:sz w:val="18"/>
          <w:szCs w:val="22"/>
        </w:rPr>
      </w:pPr>
    </w:p>
    <w:p w14:paraId="5AA1477B" w14:textId="77777777" w:rsidR="00FF5FC5" w:rsidRPr="00903174" w:rsidRDefault="00FF5FC5" w:rsidP="00FF5FC5">
      <w:pPr>
        <w:pStyle w:val="TableFigureCaption"/>
      </w:pPr>
      <w:r w:rsidRPr="00903174">
        <w:t>Table</w:t>
      </w:r>
      <w:r w:rsidR="00EC10C8" w:rsidRPr="00903174">
        <w:t xml:space="preserve"> 8</w:t>
      </w:r>
      <w:r w:rsidRPr="00903174">
        <w:t>: Change from baseline in FACIT-fatigue total score in the ravulizumab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047"/>
        <w:gridCol w:w="1050"/>
        <w:gridCol w:w="1048"/>
        <w:gridCol w:w="1050"/>
        <w:gridCol w:w="1048"/>
        <w:gridCol w:w="1051"/>
        <w:gridCol w:w="1793"/>
      </w:tblGrid>
      <w:tr w:rsidR="00FF5FC5" w:rsidRPr="00903174" w14:paraId="427E7704" w14:textId="77777777" w:rsidTr="00A370FA">
        <w:trPr>
          <w:tblHeader/>
        </w:trPr>
        <w:tc>
          <w:tcPr>
            <w:tcW w:w="516" w:type="pct"/>
            <w:vMerge w:val="restart"/>
            <w:vAlign w:val="center"/>
          </w:tcPr>
          <w:p w14:paraId="78401804" w14:textId="77777777" w:rsidR="00FF5FC5" w:rsidRPr="00903174" w:rsidRDefault="00FF5FC5" w:rsidP="00A370FA">
            <w:pPr>
              <w:pStyle w:val="Tableheadingrow"/>
              <w:rPr>
                <w:lang w:val="en-AU"/>
              </w:rPr>
            </w:pPr>
            <w:r w:rsidRPr="00903174">
              <w:rPr>
                <w:lang w:val="en-AU"/>
              </w:rPr>
              <w:t>Trial ID</w:t>
            </w:r>
          </w:p>
        </w:tc>
        <w:tc>
          <w:tcPr>
            <w:tcW w:w="1744" w:type="pct"/>
            <w:gridSpan w:val="3"/>
          </w:tcPr>
          <w:p w14:paraId="4DE64597" w14:textId="77777777" w:rsidR="00FF5FC5" w:rsidRPr="00903174" w:rsidRDefault="00FF5FC5" w:rsidP="00A370FA">
            <w:pPr>
              <w:pStyle w:val="Tableheadingrow"/>
              <w:jc w:val="center"/>
              <w:rPr>
                <w:lang w:val="en-AU"/>
              </w:rPr>
            </w:pPr>
            <w:r w:rsidRPr="00903174">
              <w:rPr>
                <w:lang w:val="en-AU"/>
              </w:rPr>
              <w:t>Ravulizumab Total score</w:t>
            </w:r>
          </w:p>
        </w:tc>
        <w:tc>
          <w:tcPr>
            <w:tcW w:w="1746" w:type="pct"/>
            <w:gridSpan w:val="3"/>
          </w:tcPr>
          <w:p w14:paraId="1608A0AD" w14:textId="77777777" w:rsidR="00FF5FC5" w:rsidRPr="00903174" w:rsidRDefault="00FF5FC5" w:rsidP="00A370FA">
            <w:pPr>
              <w:pStyle w:val="Tableheadingrow"/>
              <w:jc w:val="center"/>
              <w:rPr>
                <w:lang w:val="en-AU"/>
              </w:rPr>
            </w:pPr>
            <w:r w:rsidRPr="00903174">
              <w:rPr>
                <w:lang w:val="en-AU"/>
              </w:rPr>
              <w:t>Eculizumab Total score</w:t>
            </w:r>
          </w:p>
        </w:tc>
        <w:tc>
          <w:tcPr>
            <w:tcW w:w="994" w:type="pct"/>
            <w:vMerge w:val="restart"/>
            <w:vAlign w:val="center"/>
          </w:tcPr>
          <w:p w14:paraId="6408D91F" w14:textId="77777777" w:rsidR="00FF5FC5" w:rsidRPr="00903174" w:rsidRDefault="00FF5FC5" w:rsidP="00A370FA">
            <w:pPr>
              <w:pStyle w:val="Tableheadingrow"/>
              <w:jc w:val="center"/>
              <w:rPr>
                <w:lang w:val="en-AU"/>
              </w:rPr>
            </w:pPr>
            <w:r w:rsidRPr="00903174">
              <w:rPr>
                <w:lang w:val="en-AU"/>
              </w:rPr>
              <w:t>Treatment difference (95% CI)</w:t>
            </w:r>
          </w:p>
        </w:tc>
      </w:tr>
      <w:tr w:rsidR="00FF5FC5" w:rsidRPr="00903174" w14:paraId="5375570C" w14:textId="77777777" w:rsidTr="00A370FA">
        <w:trPr>
          <w:tblHeader/>
        </w:trPr>
        <w:tc>
          <w:tcPr>
            <w:tcW w:w="516" w:type="pct"/>
            <w:vMerge/>
            <w:vAlign w:val="center"/>
          </w:tcPr>
          <w:p w14:paraId="08A8BEDB" w14:textId="77777777" w:rsidR="00FF5FC5" w:rsidRPr="00903174" w:rsidRDefault="00FF5FC5" w:rsidP="00A370FA">
            <w:pPr>
              <w:pStyle w:val="Tableheadingrow"/>
              <w:rPr>
                <w:lang w:val="en-AU"/>
              </w:rPr>
            </w:pPr>
          </w:p>
        </w:tc>
        <w:tc>
          <w:tcPr>
            <w:tcW w:w="581" w:type="pct"/>
            <w:vAlign w:val="center"/>
          </w:tcPr>
          <w:p w14:paraId="4CAE8856" w14:textId="77777777" w:rsidR="00FF5FC5" w:rsidRPr="00903174" w:rsidRDefault="00FF5FC5" w:rsidP="00A370FA">
            <w:pPr>
              <w:pStyle w:val="Tableheadingrow"/>
              <w:jc w:val="center"/>
              <w:rPr>
                <w:lang w:val="en-AU"/>
              </w:rPr>
            </w:pPr>
            <w:r w:rsidRPr="00903174">
              <w:rPr>
                <w:lang w:val="en-AU"/>
              </w:rPr>
              <w:t>Baseline</w:t>
            </w:r>
          </w:p>
          <w:p w14:paraId="5EB12E98" w14:textId="77777777" w:rsidR="00FF5FC5" w:rsidRPr="00903174" w:rsidRDefault="00FF5FC5" w:rsidP="00A370FA">
            <w:pPr>
              <w:pStyle w:val="Tableheadingrow"/>
              <w:jc w:val="center"/>
              <w:rPr>
                <w:lang w:val="en-AU"/>
              </w:rPr>
            </w:pPr>
            <w:r w:rsidRPr="00903174">
              <w:rPr>
                <w:lang w:val="en-AU"/>
              </w:rPr>
              <w:t>mean</w:t>
            </w:r>
          </w:p>
        </w:tc>
        <w:tc>
          <w:tcPr>
            <w:tcW w:w="582" w:type="pct"/>
            <w:vAlign w:val="center"/>
          </w:tcPr>
          <w:p w14:paraId="4E5577E0" w14:textId="77777777" w:rsidR="00FF5FC5" w:rsidRPr="00903174" w:rsidRDefault="00FF5FC5" w:rsidP="00A370FA">
            <w:pPr>
              <w:pStyle w:val="Tableheadingrow"/>
              <w:jc w:val="center"/>
              <w:rPr>
                <w:lang w:val="en-AU"/>
              </w:rPr>
            </w:pPr>
            <w:r w:rsidRPr="00903174">
              <w:rPr>
                <w:lang w:val="en-AU"/>
              </w:rPr>
              <w:t>Endpoint</w:t>
            </w:r>
          </w:p>
          <w:p w14:paraId="3FE4B37A" w14:textId="77777777" w:rsidR="00FF5FC5" w:rsidRPr="00903174" w:rsidRDefault="004D6759" w:rsidP="00A370FA">
            <w:pPr>
              <w:pStyle w:val="Tableheadingrow"/>
              <w:jc w:val="center"/>
              <w:rPr>
                <w:lang w:val="en-AU"/>
              </w:rPr>
            </w:pPr>
            <w:r w:rsidRPr="00903174">
              <w:rPr>
                <w:lang w:val="en-AU"/>
              </w:rPr>
              <w:t>M</w:t>
            </w:r>
            <w:r w:rsidR="00FF5FC5" w:rsidRPr="00903174">
              <w:rPr>
                <w:lang w:val="en-AU"/>
              </w:rPr>
              <w:t>ean</w:t>
            </w:r>
          </w:p>
        </w:tc>
        <w:tc>
          <w:tcPr>
            <w:tcW w:w="581" w:type="pct"/>
            <w:vAlign w:val="center"/>
          </w:tcPr>
          <w:p w14:paraId="43C626C3" w14:textId="77777777" w:rsidR="00FF5FC5" w:rsidRPr="00903174" w:rsidRDefault="00FF5FC5" w:rsidP="00A370FA">
            <w:pPr>
              <w:pStyle w:val="Tableheadingrow"/>
              <w:jc w:val="center"/>
              <w:rPr>
                <w:lang w:val="en-AU"/>
              </w:rPr>
            </w:pPr>
            <w:r w:rsidRPr="00903174">
              <w:rPr>
                <w:lang w:val="en-AU"/>
              </w:rPr>
              <w:t>Change (SE)</w:t>
            </w:r>
          </w:p>
        </w:tc>
        <w:tc>
          <w:tcPr>
            <w:tcW w:w="582" w:type="pct"/>
            <w:vAlign w:val="center"/>
          </w:tcPr>
          <w:p w14:paraId="23C9DFB5" w14:textId="77777777" w:rsidR="00FF5FC5" w:rsidRPr="00903174" w:rsidRDefault="00FF5FC5" w:rsidP="00A370FA">
            <w:pPr>
              <w:pStyle w:val="Tableheadingrow"/>
              <w:jc w:val="center"/>
              <w:rPr>
                <w:lang w:val="en-AU"/>
              </w:rPr>
            </w:pPr>
            <w:r w:rsidRPr="00903174">
              <w:rPr>
                <w:lang w:val="en-AU"/>
              </w:rPr>
              <w:t>Baseline</w:t>
            </w:r>
          </w:p>
          <w:p w14:paraId="1297E691" w14:textId="77777777" w:rsidR="00FF5FC5" w:rsidRPr="00903174" w:rsidRDefault="00FF5FC5" w:rsidP="00A370FA">
            <w:pPr>
              <w:pStyle w:val="Tableheadingrow"/>
              <w:jc w:val="center"/>
              <w:rPr>
                <w:lang w:val="en-AU"/>
              </w:rPr>
            </w:pPr>
            <w:r w:rsidRPr="00903174">
              <w:rPr>
                <w:lang w:val="en-AU"/>
              </w:rPr>
              <w:t>mean</w:t>
            </w:r>
          </w:p>
        </w:tc>
        <w:tc>
          <w:tcPr>
            <w:tcW w:w="581" w:type="pct"/>
            <w:vAlign w:val="center"/>
          </w:tcPr>
          <w:p w14:paraId="68750AE9" w14:textId="77777777" w:rsidR="00FF5FC5" w:rsidRPr="00903174" w:rsidRDefault="00FF5FC5" w:rsidP="00A370FA">
            <w:pPr>
              <w:pStyle w:val="Tableheadingrow"/>
              <w:jc w:val="center"/>
              <w:rPr>
                <w:lang w:val="en-AU"/>
              </w:rPr>
            </w:pPr>
            <w:r w:rsidRPr="00903174">
              <w:rPr>
                <w:lang w:val="en-AU"/>
              </w:rPr>
              <w:t>Endpoint</w:t>
            </w:r>
          </w:p>
          <w:p w14:paraId="6D307C5C" w14:textId="77777777" w:rsidR="00FF5FC5" w:rsidRPr="00903174" w:rsidRDefault="00FF5FC5" w:rsidP="00A370FA">
            <w:pPr>
              <w:pStyle w:val="Tableheadingrow"/>
              <w:jc w:val="center"/>
              <w:rPr>
                <w:lang w:val="en-AU"/>
              </w:rPr>
            </w:pPr>
            <w:r w:rsidRPr="00903174">
              <w:rPr>
                <w:lang w:val="en-AU"/>
              </w:rPr>
              <w:t>mean</w:t>
            </w:r>
          </w:p>
        </w:tc>
        <w:tc>
          <w:tcPr>
            <w:tcW w:w="582" w:type="pct"/>
            <w:vAlign w:val="center"/>
          </w:tcPr>
          <w:p w14:paraId="781FCEF4" w14:textId="77777777" w:rsidR="00FF5FC5" w:rsidRPr="00903174" w:rsidRDefault="00FF5FC5" w:rsidP="00A370FA">
            <w:pPr>
              <w:pStyle w:val="Tableheadingrow"/>
              <w:jc w:val="center"/>
              <w:rPr>
                <w:lang w:val="en-AU"/>
              </w:rPr>
            </w:pPr>
            <w:r w:rsidRPr="00903174">
              <w:rPr>
                <w:lang w:val="en-AU"/>
              </w:rPr>
              <w:t>Change (SE)</w:t>
            </w:r>
          </w:p>
        </w:tc>
        <w:tc>
          <w:tcPr>
            <w:tcW w:w="994" w:type="pct"/>
            <w:vMerge/>
            <w:vAlign w:val="center"/>
          </w:tcPr>
          <w:p w14:paraId="77535874" w14:textId="77777777" w:rsidR="00FF5FC5" w:rsidRPr="00903174" w:rsidRDefault="00FF5FC5" w:rsidP="00A370FA">
            <w:pPr>
              <w:pStyle w:val="Tableheadingrow"/>
              <w:jc w:val="center"/>
              <w:rPr>
                <w:lang w:val="en-AU"/>
              </w:rPr>
            </w:pPr>
          </w:p>
        </w:tc>
      </w:tr>
      <w:tr w:rsidR="00FF5FC5" w:rsidRPr="00903174" w14:paraId="466D7286" w14:textId="77777777" w:rsidTr="00A370FA">
        <w:tc>
          <w:tcPr>
            <w:tcW w:w="516" w:type="pct"/>
            <w:vAlign w:val="center"/>
          </w:tcPr>
          <w:p w14:paraId="57993968" w14:textId="77777777" w:rsidR="00FF5FC5" w:rsidRPr="00903174" w:rsidRDefault="00FF5FC5" w:rsidP="00A370FA">
            <w:pPr>
              <w:pStyle w:val="TableText"/>
            </w:pPr>
            <w:r w:rsidRPr="00903174">
              <w:t>Trial 301</w:t>
            </w:r>
          </w:p>
        </w:tc>
        <w:tc>
          <w:tcPr>
            <w:tcW w:w="581" w:type="pct"/>
            <w:vAlign w:val="center"/>
          </w:tcPr>
          <w:p w14:paraId="2C3C20A7" w14:textId="77777777" w:rsidR="00FF5FC5" w:rsidRPr="00903174" w:rsidRDefault="00FF5FC5" w:rsidP="00A370FA">
            <w:pPr>
              <w:pStyle w:val="TableText"/>
              <w:jc w:val="center"/>
            </w:pPr>
            <w:r w:rsidRPr="00903174">
              <w:t>36.66</w:t>
            </w:r>
          </w:p>
        </w:tc>
        <w:tc>
          <w:tcPr>
            <w:tcW w:w="582" w:type="pct"/>
            <w:vAlign w:val="center"/>
          </w:tcPr>
          <w:p w14:paraId="19BD604A" w14:textId="77777777" w:rsidR="00FF5FC5" w:rsidRPr="00903174" w:rsidRDefault="00FF5FC5" w:rsidP="00A370FA">
            <w:pPr>
              <w:pStyle w:val="TableText"/>
              <w:jc w:val="center"/>
            </w:pPr>
            <w:r w:rsidRPr="00903174">
              <w:t>NR</w:t>
            </w:r>
          </w:p>
        </w:tc>
        <w:tc>
          <w:tcPr>
            <w:tcW w:w="581" w:type="pct"/>
            <w:vAlign w:val="center"/>
          </w:tcPr>
          <w:p w14:paraId="1123C483" w14:textId="77777777" w:rsidR="00FF5FC5" w:rsidRPr="00903174" w:rsidRDefault="00FF5FC5" w:rsidP="00A370FA">
            <w:pPr>
              <w:pStyle w:val="TableText"/>
              <w:jc w:val="center"/>
            </w:pPr>
            <w:r w:rsidRPr="00903174">
              <w:t>7.07 (0.77)</w:t>
            </w:r>
          </w:p>
        </w:tc>
        <w:tc>
          <w:tcPr>
            <w:tcW w:w="582" w:type="pct"/>
            <w:vAlign w:val="center"/>
          </w:tcPr>
          <w:p w14:paraId="24368FF6" w14:textId="77777777" w:rsidR="00FF5FC5" w:rsidRPr="00903174" w:rsidRDefault="00FF5FC5" w:rsidP="00A370FA">
            <w:pPr>
              <w:pStyle w:val="TableText"/>
              <w:jc w:val="center"/>
            </w:pPr>
            <w:r w:rsidRPr="00903174">
              <w:t>36.94</w:t>
            </w:r>
          </w:p>
        </w:tc>
        <w:tc>
          <w:tcPr>
            <w:tcW w:w="581" w:type="pct"/>
            <w:vAlign w:val="center"/>
          </w:tcPr>
          <w:p w14:paraId="5C3D96F3" w14:textId="77777777" w:rsidR="00FF5FC5" w:rsidRPr="00903174" w:rsidRDefault="00FF5FC5" w:rsidP="00A370FA">
            <w:pPr>
              <w:pStyle w:val="TableText"/>
              <w:jc w:val="center"/>
            </w:pPr>
            <w:r w:rsidRPr="00903174">
              <w:t>NR</w:t>
            </w:r>
          </w:p>
        </w:tc>
        <w:tc>
          <w:tcPr>
            <w:tcW w:w="582" w:type="pct"/>
            <w:vAlign w:val="center"/>
          </w:tcPr>
          <w:p w14:paraId="41D4C62A" w14:textId="77777777" w:rsidR="00FF5FC5" w:rsidRPr="00903174" w:rsidRDefault="00FF5FC5" w:rsidP="00A370FA">
            <w:pPr>
              <w:pStyle w:val="TableText"/>
              <w:jc w:val="center"/>
            </w:pPr>
            <w:r w:rsidRPr="00903174">
              <w:t>6.40 (0.79)</w:t>
            </w:r>
          </w:p>
        </w:tc>
        <w:tc>
          <w:tcPr>
            <w:tcW w:w="994" w:type="pct"/>
            <w:vAlign w:val="center"/>
          </w:tcPr>
          <w:p w14:paraId="1AC30397" w14:textId="77777777" w:rsidR="00FF5FC5" w:rsidRPr="00903174" w:rsidRDefault="00FF5FC5" w:rsidP="00A370FA">
            <w:pPr>
              <w:pStyle w:val="TableText"/>
              <w:jc w:val="center"/>
            </w:pPr>
            <w:r w:rsidRPr="00903174">
              <w:t>0.67 (-1.21, 2.55)</w:t>
            </w:r>
          </w:p>
        </w:tc>
      </w:tr>
      <w:tr w:rsidR="00FF5FC5" w:rsidRPr="00903174" w14:paraId="7310E941" w14:textId="77777777" w:rsidTr="00A370FA">
        <w:tc>
          <w:tcPr>
            <w:tcW w:w="516" w:type="pct"/>
            <w:vAlign w:val="center"/>
          </w:tcPr>
          <w:p w14:paraId="6FCF6122" w14:textId="77777777" w:rsidR="00FF5FC5" w:rsidRPr="00903174" w:rsidRDefault="00FF5FC5" w:rsidP="00A370FA">
            <w:pPr>
              <w:pStyle w:val="TableText"/>
            </w:pPr>
            <w:r w:rsidRPr="00903174">
              <w:t>Trial 302</w:t>
            </w:r>
          </w:p>
        </w:tc>
        <w:tc>
          <w:tcPr>
            <w:tcW w:w="581" w:type="pct"/>
            <w:vAlign w:val="center"/>
          </w:tcPr>
          <w:p w14:paraId="01CE491F" w14:textId="77777777" w:rsidR="00FF5FC5" w:rsidRPr="00903174" w:rsidRDefault="00FF5FC5" w:rsidP="00A370FA">
            <w:pPr>
              <w:pStyle w:val="TableText"/>
              <w:jc w:val="center"/>
            </w:pPr>
            <w:r w:rsidRPr="00903174">
              <w:t>42.54</w:t>
            </w:r>
          </w:p>
        </w:tc>
        <w:tc>
          <w:tcPr>
            <w:tcW w:w="582" w:type="pct"/>
            <w:vAlign w:val="center"/>
          </w:tcPr>
          <w:p w14:paraId="61D7CFCD" w14:textId="77777777" w:rsidR="00FF5FC5" w:rsidRPr="00903174" w:rsidRDefault="00FF5FC5" w:rsidP="00A370FA">
            <w:pPr>
              <w:pStyle w:val="TableText"/>
              <w:jc w:val="center"/>
            </w:pPr>
            <w:r w:rsidRPr="00903174">
              <w:t>NR</w:t>
            </w:r>
          </w:p>
        </w:tc>
        <w:tc>
          <w:tcPr>
            <w:tcW w:w="581" w:type="pct"/>
            <w:vAlign w:val="center"/>
          </w:tcPr>
          <w:p w14:paraId="2F4BC564" w14:textId="77777777" w:rsidR="00FF5FC5" w:rsidRPr="00903174" w:rsidRDefault="00FF5FC5" w:rsidP="00A370FA">
            <w:pPr>
              <w:pStyle w:val="TableText"/>
              <w:jc w:val="center"/>
            </w:pPr>
            <w:r w:rsidRPr="00903174">
              <w:t>2.01 (0.70)</w:t>
            </w:r>
          </w:p>
        </w:tc>
        <w:tc>
          <w:tcPr>
            <w:tcW w:w="582" w:type="pct"/>
            <w:vAlign w:val="center"/>
          </w:tcPr>
          <w:p w14:paraId="08E0569D" w14:textId="77777777" w:rsidR="00FF5FC5" w:rsidRPr="00903174" w:rsidRDefault="00FF5FC5" w:rsidP="00A370FA">
            <w:pPr>
              <w:pStyle w:val="TableText"/>
              <w:jc w:val="center"/>
            </w:pPr>
            <w:r w:rsidRPr="00903174">
              <w:t>40.69</w:t>
            </w:r>
          </w:p>
        </w:tc>
        <w:tc>
          <w:tcPr>
            <w:tcW w:w="581" w:type="pct"/>
            <w:vAlign w:val="center"/>
          </w:tcPr>
          <w:p w14:paraId="21676AE0" w14:textId="77777777" w:rsidR="00FF5FC5" w:rsidRPr="00903174" w:rsidRDefault="00FF5FC5" w:rsidP="00A370FA">
            <w:pPr>
              <w:pStyle w:val="TableText"/>
              <w:jc w:val="center"/>
            </w:pPr>
            <w:r w:rsidRPr="00903174">
              <w:t>NR</w:t>
            </w:r>
          </w:p>
        </w:tc>
        <w:tc>
          <w:tcPr>
            <w:tcW w:w="582" w:type="pct"/>
            <w:vAlign w:val="center"/>
          </w:tcPr>
          <w:p w14:paraId="177BE2CD" w14:textId="77777777" w:rsidR="00FF5FC5" w:rsidRPr="00903174" w:rsidRDefault="00FF5FC5" w:rsidP="00A370FA">
            <w:pPr>
              <w:pStyle w:val="TableText"/>
              <w:jc w:val="center"/>
            </w:pPr>
            <w:r w:rsidRPr="00903174">
              <w:t>0.54 (0.70)</w:t>
            </w:r>
          </w:p>
        </w:tc>
        <w:tc>
          <w:tcPr>
            <w:tcW w:w="994" w:type="pct"/>
            <w:vAlign w:val="center"/>
          </w:tcPr>
          <w:p w14:paraId="06B89AA2" w14:textId="77777777" w:rsidR="00FF5FC5" w:rsidRPr="00903174" w:rsidRDefault="00FF5FC5" w:rsidP="00A370FA">
            <w:pPr>
              <w:pStyle w:val="TableText"/>
              <w:jc w:val="center"/>
            </w:pPr>
            <w:r w:rsidRPr="00903174">
              <w:t>1.47 (-0.21, 3.15)</w:t>
            </w:r>
          </w:p>
        </w:tc>
      </w:tr>
    </w:tbl>
    <w:p w14:paraId="6AD1497D" w14:textId="77777777" w:rsidR="00FF5FC5" w:rsidRPr="00903174" w:rsidRDefault="00FF5FC5" w:rsidP="00FF5FC5">
      <w:pPr>
        <w:pStyle w:val="TableFigureFooter"/>
        <w:rPr>
          <w:sz w:val="20"/>
        </w:rPr>
      </w:pPr>
      <w:r w:rsidRPr="00903174">
        <w:t>Source: Table 55, pp115-118 of the submission, Trial 301 and 302 clinical study reports.</w:t>
      </w:r>
    </w:p>
    <w:p w14:paraId="79FD2962" w14:textId="77777777" w:rsidR="00FF5FC5" w:rsidRPr="00903174" w:rsidRDefault="00FF5FC5" w:rsidP="00FF5FC5">
      <w:pPr>
        <w:pStyle w:val="TableFigureFooter"/>
        <w:rPr>
          <w:rFonts w:eastAsia="Calibri"/>
        </w:rPr>
      </w:pPr>
      <w:r w:rsidRPr="00903174">
        <w:rPr>
          <w:rFonts w:eastAsia="Calibri"/>
        </w:rPr>
        <w:t>Abbreviations: CI, confidence interval; NR, not reported; SE, standard error.</w:t>
      </w:r>
    </w:p>
    <w:p w14:paraId="002980E1" w14:textId="77777777" w:rsidR="00831A48" w:rsidRPr="00903174" w:rsidRDefault="00897EAA" w:rsidP="00B2799D">
      <w:pPr>
        <w:pStyle w:val="Bulletpoints"/>
        <w:numPr>
          <w:ilvl w:val="1"/>
          <w:numId w:val="1"/>
        </w:numPr>
        <w:rPr>
          <w:color w:val="000000" w:themeColor="text1"/>
        </w:rPr>
      </w:pPr>
      <w:r w:rsidRPr="00903174">
        <w:t>Change from baseline in EORTC QLQ-C30 scores were included in Trials 301 and 302 as an exploratory outcome, with differences between treatment arms not assessed for non</w:t>
      </w:r>
      <w:r w:rsidR="00717EC0" w:rsidRPr="00903174">
        <w:t>-</w:t>
      </w:r>
      <w:r w:rsidRPr="00903174">
        <w:t xml:space="preserve">inferiority. </w:t>
      </w:r>
      <w:r w:rsidRPr="00903174">
        <w:rPr>
          <w:rFonts w:cs="Calibri"/>
        </w:rPr>
        <w:t xml:space="preserve">In Trial 301, a higher percentage of patients in the ravulizumab group had at least a 10-point improvement (suggested in the submission to be a clinically relevant change) in the Global Health Status, Physical Functioning, and Fatigue subscale scores at Day 29 and through Week 26, compared with the eculizumab group. The submission reported no noticeable change from baseline in either treatment arm of Trial 302. There was limited detail provided in the submission, </w:t>
      </w:r>
      <w:r w:rsidRPr="00903174">
        <w:rPr>
          <w:rFonts w:cs="Calibri"/>
        </w:rPr>
        <w:lastRenderedPageBreak/>
        <w:t>with mean baseline, endpoint and change from baseline in EORTC QLQ-C30 scores not provided, limiting the usefulness of these results.</w:t>
      </w:r>
      <w:r w:rsidR="009B6EBA" w:rsidRPr="00903174">
        <w:rPr>
          <w:rFonts w:cs="Calibri"/>
        </w:rPr>
        <w:t xml:space="preserve"> </w:t>
      </w:r>
      <w:r w:rsidR="009730A1" w:rsidRPr="00903174">
        <w:rPr>
          <w:rFonts w:cs="Calibri"/>
        </w:rPr>
        <w:t xml:space="preserve">The ESC </w:t>
      </w:r>
      <w:r w:rsidR="00797678" w:rsidRPr="00903174">
        <w:rPr>
          <w:rFonts w:cs="Calibri"/>
        </w:rPr>
        <w:t>advise</w:t>
      </w:r>
      <w:r w:rsidR="009730A1" w:rsidRPr="00903174">
        <w:rPr>
          <w:rFonts w:cs="Calibri"/>
        </w:rPr>
        <w:t>d that the</w:t>
      </w:r>
      <w:r w:rsidR="009730A1" w:rsidRPr="00903174">
        <w:rPr>
          <w:rFonts w:cs="Calibri"/>
          <w:i/>
        </w:rPr>
        <w:t xml:space="preserve"> </w:t>
      </w:r>
      <w:r w:rsidR="009730A1" w:rsidRPr="00903174">
        <w:rPr>
          <w:rFonts w:cs="Calibri"/>
        </w:rPr>
        <w:t>s</w:t>
      </w:r>
      <w:r w:rsidR="00895DEE" w:rsidRPr="00903174">
        <w:rPr>
          <w:rFonts w:cs="Calibri"/>
        </w:rPr>
        <w:t>uggestion</w:t>
      </w:r>
      <w:r w:rsidR="009B6EBA" w:rsidRPr="00903174">
        <w:rPr>
          <w:rFonts w:cs="Calibri"/>
        </w:rPr>
        <w:t xml:space="preserve"> that QoL is improved by less frequent </w:t>
      </w:r>
      <w:r w:rsidR="009730A1" w:rsidRPr="00903174">
        <w:rPr>
          <w:rFonts w:cs="Calibri"/>
        </w:rPr>
        <w:t>in</w:t>
      </w:r>
      <w:r w:rsidR="009B6EBA" w:rsidRPr="00903174">
        <w:rPr>
          <w:rFonts w:cs="Calibri"/>
        </w:rPr>
        <w:t xml:space="preserve">jections is not </w:t>
      </w:r>
      <w:r w:rsidR="00F7454D" w:rsidRPr="00903174">
        <w:rPr>
          <w:rFonts w:cs="Calibri"/>
        </w:rPr>
        <w:t xml:space="preserve">adequately </w:t>
      </w:r>
      <w:r w:rsidR="009B6EBA" w:rsidRPr="00903174">
        <w:rPr>
          <w:rFonts w:cs="Calibri"/>
        </w:rPr>
        <w:t xml:space="preserve">supported by the </w:t>
      </w:r>
      <w:r w:rsidR="00A7229B" w:rsidRPr="00903174">
        <w:rPr>
          <w:rFonts w:cs="Calibri"/>
        </w:rPr>
        <w:t xml:space="preserve">PNH-specific Patient Preference Questionnaire (PNH-PPQ) </w:t>
      </w:r>
      <w:r w:rsidR="009B6EBA" w:rsidRPr="00903174">
        <w:rPr>
          <w:rFonts w:cs="Calibri"/>
        </w:rPr>
        <w:t>included in the submission.</w:t>
      </w:r>
      <w:r w:rsidR="009730A1" w:rsidRPr="00903174">
        <w:rPr>
          <w:rFonts w:cs="Calibri"/>
        </w:rPr>
        <w:t xml:space="preserve"> </w:t>
      </w:r>
    </w:p>
    <w:p w14:paraId="5341D6FC" w14:textId="77777777" w:rsidR="00B2799D" w:rsidRPr="00903174" w:rsidRDefault="00B2799D" w:rsidP="00B2799D">
      <w:pPr>
        <w:pStyle w:val="Bulletpoints"/>
        <w:numPr>
          <w:ilvl w:val="0"/>
          <w:numId w:val="0"/>
        </w:numPr>
        <w:ind w:left="720"/>
        <w:rPr>
          <w:color w:val="000000" w:themeColor="text1"/>
        </w:rPr>
      </w:pPr>
    </w:p>
    <w:p w14:paraId="1FE15193" w14:textId="77777777" w:rsidR="00831A48" w:rsidRPr="00903174" w:rsidRDefault="00831A48" w:rsidP="00805299">
      <w:pPr>
        <w:pStyle w:val="Bulletpoints"/>
        <w:numPr>
          <w:ilvl w:val="1"/>
          <w:numId w:val="1"/>
        </w:numPr>
        <w:rPr>
          <w:b/>
          <w:snapToGrid/>
        </w:rPr>
      </w:pPr>
      <w:r w:rsidRPr="00903174">
        <w:t>The</w:t>
      </w:r>
      <w:r w:rsidRPr="00903174">
        <w:rPr>
          <w:b/>
          <w:snapToGrid/>
        </w:rPr>
        <w:t xml:space="preserve"> </w:t>
      </w:r>
      <w:r w:rsidR="00EB061D" w:rsidRPr="00EB061D">
        <w:rPr>
          <w:snapToGrid/>
        </w:rPr>
        <w:t>Pre-Sub-Committee Response (PSCR)</w:t>
      </w:r>
      <w:r w:rsidRPr="00903174">
        <w:rPr>
          <w:snapToGrid/>
        </w:rPr>
        <w:t xml:space="preserve"> stated that</w:t>
      </w:r>
      <w:r w:rsidRPr="00903174">
        <w:rPr>
          <w:b/>
          <w:snapToGrid/>
        </w:rPr>
        <w:t xml:space="preserve"> </w:t>
      </w:r>
      <w:r w:rsidR="00A7229B" w:rsidRPr="00903174">
        <w:rPr>
          <w:snapToGrid/>
        </w:rPr>
        <w:t>the</w:t>
      </w:r>
      <w:r w:rsidRPr="00903174">
        <w:rPr>
          <w:snapToGrid/>
        </w:rPr>
        <w:t xml:space="preserve"> data </w:t>
      </w:r>
      <w:r w:rsidR="00A7229B" w:rsidRPr="00903174">
        <w:rPr>
          <w:snapToGrid/>
        </w:rPr>
        <w:t xml:space="preserve">from the PNH-PPQ </w:t>
      </w:r>
      <w:r w:rsidRPr="00903174">
        <w:rPr>
          <w:snapToGrid/>
        </w:rPr>
        <w:t xml:space="preserve">suggest that the </w:t>
      </w:r>
      <w:r w:rsidR="00A7229B" w:rsidRPr="00903174">
        <w:rPr>
          <w:snapToGrid/>
        </w:rPr>
        <w:t>8-weekly dosing</w:t>
      </w:r>
      <w:r w:rsidRPr="00903174">
        <w:rPr>
          <w:snapToGrid/>
        </w:rPr>
        <w:t xml:space="preserve"> schedule could have a significant, beneficial, long-term impact on the ability of patients to plan and lead a more normal life.</w:t>
      </w:r>
      <w:r w:rsidR="00C20909" w:rsidRPr="00903174">
        <w:rPr>
          <w:b/>
          <w:snapToGrid/>
        </w:rPr>
        <w:t xml:space="preserve"> </w:t>
      </w:r>
      <w:r w:rsidR="00C20909" w:rsidRPr="00903174">
        <w:rPr>
          <w:snapToGrid/>
        </w:rPr>
        <w:t xml:space="preserve">However, the ESC considered that the data appeared to show no significant difference between ravulizumab and eculizumab in three out of the four reported </w:t>
      </w:r>
      <w:r w:rsidR="004E1A70" w:rsidRPr="00903174">
        <w:rPr>
          <w:snapToGrid/>
        </w:rPr>
        <w:t xml:space="preserve">QoL </w:t>
      </w:r>
      <w:r w:rsidR="00C20909" w:rsidRPr="00903174">
        <w:rPr>
          <w:snapToGrid/>
        </w:rPr>
        <w:t xml:space="preserve">domains. </w:t>
      </w:r>
      <w:r w:rsidR="004E1A70" w:rsidRPr="00903174">
        <w:rPr>
          <w:snapToGrid/>
        </w:rPr>
        <w:t>Overall, t</w:t>
      </w:r>
      <w:r w:rsidR="004E1A70" w:rsidRPr="00903174">
        <w:t>he ESC considered a presumption cannot be made that less frequent infusions result in a hig</w:t>
      </w:r>
      <w:r w:rsidR="007821C9" w:rsidRPr="00903174">
        <w:t>her QoL, despite the anecdotal accounts</w:t>
      </w:r>
      <w:r w:rsidR="004E1A70" w:rsidRPr="00903174">
        <w:t xml:space="preserve"> given. </w:t>
      </w:r>
    </w:p>
    <w:p w14:paraId="220335F7" w14:textId="77777777" w:rsidR="001D6AD7" w:rsidRPr="00903174" w:rsidRDefault="003D57DE" w:rsidP="00415038">
      <w:pPr>
        <w:pStyle w:val="ExecSumBodyText"/>
        <w:numPr>
          <w:ilvl w:val="1"/>
          <w:numId w:val="1"/>
        </w:numPr>
        <w:rPr>
          <w:color w:val="000000" w:themeColor="text1"/>
        </w:rPr>
      </w:pPr>
      <w:r w:rsidRPr="00903174">
        <w:rPr>
          <w:color w:val="000000" w:themeColor="text1"/>
        </w:rPr>
        <w:t>Results of the meta-analysed data from Trials 301 and 302 were similar to the individual trial results for all included outcomes, with the exception of breakthrough haemolysis</w:t>
      </w:r>
      <w:r w:rsidR="001D6AD7" w:rsidRPr="00903174">
        <w:rPr>
          <w:color w:val="000000" w:themeColor="text1"/>
        </w:rPr>
        <w:t xml:space="preserve"> (Table 9 below).</w:t>
      </w:r>
      <w:r w:rsidRPr="00903174">
        <w:rPr>
          <w:color w:val="000000" w:themeColor="text1"/>
        </w:rPr>
        <w:t xml:space="preserve"> </w:t>
      </w:r>
    </w:p>
    <w:p w14:paraId="703A1C18" w14:textId="77777777" w:rsidR="001D6AD7" w:rsidRPr="00903174" w:rsidRDefault="001D6AD7" w:rsidP="001D6AD7">
      <w:pPr>
        <w:pStyle w:val="TableFigureCaption"/>
      </w:pPr>
      <w:r w:rsidRPr="00903174">
        <w:t>Table 9: Meta-analysis results for breakthrough haemolysis</w:t>
      </w:r>
    </w:p>
    <w:tbl>
      <w:tblPr>
        <w:tblStyle w:val="TableGrid"/>
        <w:tblW w:w="5030" w:type="pct"/>
        <w:tblInd w:w="-5" w:type="dxa"/>
        <w:tblLayout w:type="fixed"/>
        <w:tblLook w:val="04A0" w:firstRow="1" w:lastRow="0" w:firstColumn="1" w:lastColumn="0" w:noHBand="0" w:noVBand="1"/>
      </w:tblPr>
      <w:tblGrid>
        <w:gridCol w:w="940"/>
        <w:gridCol w:w="1500"/>
        <w:gridCol w:w="1500"/>
        <w:gridCol w:w="1711"/>
        <w:gridCol w:w="1711"/>
        <w:gridCol w:w="1709"/>
      </w:tblGrid>
      <w:tr w:rsidR="001D6AD7" w:rsidRPr="00903174" w14:paraId="797D6E28" w14:textId="77777777" w:rsidTr="00374359">
        <w:trPr>
          <w:trHeight w:val="241"/>
        </w:trPr>
        <w:tc>
          <w:tcPr>
            <w:tcW w:w="518" w:type="pct"/>
          </w:tcPr>
          <w:p w14:paraId="0054BCFC" w14:textId="77777777" w:rsidR="001D6AD7" w:rsidRPr="00903174" w:rsidRDefault="001D6AD7" w:rsidP="00374359">
            <w:pPr>
              <w:pStyle w:val="Tableheadingrow"/>
              <w:rPr>
                <w:lang w:val="en-AU"/>
              </w:rPr>
            </w:pPr>
            <w:r w:rsidRPr="00903174">
              <w:rPr>
                <w:lang w:val="en-AU"/>
              </w:rPr>
              <w:t>Trial</w:t>
            </w:r>
          </w:p>
        </w:tc>
        <w:tc>
          <w:tcPr>
            <w:tcW w:w="827" w:type="pct"/>
          </w:tcPr>
          <w:p w14:paraId="4DE2B130" w14:textId="77777777" w:rsidR="001D6AD7" w:rsidRPr="00903174" w:rsidRDefault="001D6AD7" w:rsidP="00374359">
            <w:pPr>
              <w:pStyle w:val="Tableheadingrow"/>
              <w:jc w:val="center"/>
              <w:rPr>
                <w:lang w:val="en-AU"/>
              </w:rPr>
            </w:pPr>
            <w:r w:rsidRPr="00903174">
              <w:rPr>
                <w:lang w:val="en-AU"/>
              </w:rPr>
              <w:t>Ravulizumab</w:t>
            </w:r>
          </w:p>
          <w:p w14:paraId="0CB46DA3" w14:textId="77777777" w:rsidR="001D6AD7" w:rsidRPr="00903174" w:rsidRDefault="001D6AD7" w:rsidP="00374359">
            <w:pPr>
              <w:pStyle w:val="Tableheadingrow"/>
              <w:jc w:val="center"/>
              <w:rPr>
                <w:lang w:val="en-AU"/>
              </w:rPr>
            </w:pPr>
            <w:r w:rsidRPr="00903174">
              <w:rPr>
                <w:lang w:val="en-AU"/>
              </w:rPr>
              <w:t>n/N, (%)</w:t>
            </w:r>
          </w:p>
        </w:tc>
        <w:tc>
          <w:tcPr>
            <w:tcW w:w="827" w:type="pct"/>
          </w:tcPr>
          <w:p w14:paraId="00DEB6FF" w14:textId="77777777" w:rsidR="001D6AD7" w:rsidRPr="00903174" w:rsidRDefault="001D6AD7" w:rsidP="00374359">
            <w:pPr>
              <w:pStyle w:val="Tableheadingrow"/>
              <w:jc w:val="center"/>
              <w:rPr>
                <w:lang w:val="en-AU"/>
              </w:rPr>
            </w:pPr>
            <w:r w:rsidRPr="00903174">
              <w:rPr>
                <w:lang w:val="en-AU"/>
              </w:rPr>
              <w:t>Eculizumab</w:t>
            </w:r>
          </w:p>
          <w:p w14:paraId="7B1F11A0" w14:textId="77777777" w:rsidR="001D6AD7" w:rsidRPr="00903174" w:rsidRDefault="001D6AD7" w:rsidP="00374359">
            <w:pPr>
              <w:pStyle w:val="Tableheadingrow"/>
              <w:jc w:val="center"/>
              <w:rPr>
                <w:lang w:val="en-AU"/>
              </w:rPr>
            </w:pPr>
            <w:r w:rsidRPr="00903174">
              <w:rPr>
                <w:lang w:val="en-AU"/>
              </w:rPr>
              <w:t>n/N, (%)</w:t>
            </w:r>
          </w:p>
        </w:tc>
        <w:tc>
          <w:tcPr>
            <w:tcW w:w="943" w:type="pct"/>
            <w:vAlign w:val="center"/>
          </w:tcPr>
          <w:p w14:paraId="71F421C8" w14:textId="77777777" w:rsidR="001D6AD7" w:rsidRPr="00903174" w:rsidRDefault="001D6AD7" w:rsidP="00374359">
            <w:pPr>
              <w:pStyle w:val="Tableheadingrow"/>
              <w:jc w:val="center"/>
              <w:rPr>
                <w:lang w:val="en-AU"/>
              </w:rPr>
            </w:pPr>
            <w:r w:rsidRPr="00903174">
              <w:rPr>
                <w:lang w:val="en-AU"/>
              </w:rPr>
              <w:t>OR (95% CI)</w:t>
            </w:r>
          </w:p>
        </w:tc>
        <w:tc>
          <w:tcPr>
            <w:tcW w:w="943" w:type="pct"/>
            <w:vAlign w:val="center"/>
          </w:tcPr>
          <w:p w14:paraId="3DC0E85F" w14:textId="77777777" w:rsidR="001D6AD7" w:rsidRPr="00903174" w:rsidRDefault="001D6AD7" w:rsidP="00374359">
            <w:pPr>
              <w:pStyle w:val="Tableheadingrow"/>
              <w:jc w:val="center"/>
              <w:rPr>
                <w:lang w:val="en-AU"/>
              </w:rPr>
            </w:pPr>
            <w:r w:rsidRPr="00903174">
              <w:rPr>
                <w:lang w:val="en-AU"/>
              </w:rPr>
              <w:t>RR (95% CI)</w:t>
            </w:r>
          </w:p>
        </w:tc>
        <w:tc>
          <w:tcPr>
            <w:tcW w:w="942" w:type="pct"/>
            <w:vAlign w:val="center"/>
          </w:tcPr>
          <w:p w14:paraId="2C9F61F3" w14:textId="77777777" w:rsidR="001D6AD7" w:rsidRPr="00903174" w:rsidRDefault="001D6AD7" w:rsidP="00374359">
            <w:pPr>
              <w:pStyle w:val="Tableheadingrow"/>
              <w:jc w:val="center"/>
              <w:rPr>
                <w:lang w:val="en-AU"/>
              </w:rPr>
            </w:pPr>
            <w:r w:rsidRPr="00903174">
              <w:rPr>
                <w:lang w:val="en-AU"/>
              </w:rPr>
              <w:t>RD (%) (95% CI)</w:t>
            </w:r>
          </w:p>
        </w:tc>
      </w:tr>
      <w:tr w:rsidR="001D6AD7" w:rsidRPr="00903174" w14:paraId="02FC643B" w14:textId="77777777" w:rsidTr="00374359">
        <w:trPr>
          <w:trHeight w:val="241"/>
        </w:trPr>
        <w:tc>
          <w:tcPr>
            <w:tcW w:w="518" w:type="pct"/>
            <w:vAlign w:val="bottom"/>
          </w:tcPr>
          <w:p w14:paraId="5BF7EE4A" w14:textId="77777777" w:rsidR="001D6AD7" w:rsidRPr="00903174" w:rsidRDefault="001D6AD7" w:rsidP="00374359">
            <w:pPr>
              <w:pStyle w:val="TableText"/>
              <w:jc w:val="center"/>
            </w:pPr>
            <w:r w:rsidRPr="00903174">
              <w:t>Trial 301</w:t>
            </w:r>
          </w:p>
        </w:tc>
        <w:tc>
          <w:tcPr>
            <w:tcW w:w="827" w:type="pct"/>
          </w:tcPr>
          <w:p w14:paraId="517D6D2A" w14:textId="77777777" w:rsidR="001D6AD7" w:rsidRPr="00903174" w:rsidRDefault="001D6AD7" w:rsidP="00374359">
            <w:pPr>
              <w:pStyle w:val="TableText"/>
              <w:jc w:val="center"/>
            </w:pPr>
            <w:r w:rsidRPr="00903174">
              <w:t>5/125 (4.0%)</w:t>
            </w:r>
          </w:p>
        </w:tc>
        <w:tc>
          <w:tcPr>
            <w:tcW w:w="827" w:type="pct"/>
          </w:tcPr>
          <w:p w14:paraId="53D1CDC2" w14:textId="77777777" w:rsidR="001D6AD7" w:rsidRPr="00903174" w:rsidRDefault="001D6AD7" w:rsidP="00374359">
            <w:pPr>
              <w:pStyle w:val="TableText"/>
              <w:jc w:val="center"/>
            </w:pPr>
            <w:r w:rsidRPr="00903174">
              <w:t>13/121 (10.7%)</w:t>
            </w:r>
          </w:p>
        </w:tc>
        <w:tc>
          <w:tcPr>
            <w:tcW w:w="943" w:type="pct"/>
          </w:tcPr>
          <w:p w14:paraId="32CF5BBA" w14:textId="77777777" w:rsidR="001D6AD7" w:rsidRPr="00903174" w:rsidRDefault="001D6AD7" w:rsidP="00374359">
            <w:pPr>
              <w:pStyle w:val="TableText"/>
              <w:jc w:val="center"/>
            </w:pPr>
            <w:r w:rsidRPr="00903174">
              <w:t>0.35 (0.12, 1.00)</w:t>
            </w:r>
          </w:p>
        </w:tc>
        <w:tc>
          <w:tcPr>
            <w:tcW w:w="943" w:type="pct"/>
          </w:tcPr>
          <w:p w14:paraId="57FEB6A6" w14:textId="77777777" w:rsidR="001D6AD7" w:rsidRPr="00903174" w:rsidRDefault="001D6AD7" w:rsidP="00374359">
            <w:pPr>
              <w:pStyle w:val="TableText"/>
              <w:jc w:val="center"/>
            </w:pPr>
            <w:r w:rsidRPr="00903174">
              <w:t>0.37 (0.14, 1.01)</w:t>
            </w:r>
          </w:p>
        </w:tc>
        <w:tc>
          <w:tcPr>
            <w:tcW w:w="942" w:type="pct"/>
          </w:tcPr>
          <w:p w14:paraId="61B1F477" w14:textId="77777777" w:rsidR="001D6AD7" w:rsidRPr="00903174" w:rsidRDefault="001D6AD7" w:rsidP="00374359">
            <w:pPr>
              <w:pStyle w:val="TableText"/>
              <w:jc w:val="center"/>
            </w:pPr>
            <w:r w:rsidRPr="00903174">
              <w:t>-6.7 (-13.2, -0.2)</w:t>
            </w:r>
          </w:p>
        </w:tc>
      </w:tr>
      <w:tr w:rsidR="001D6AD7" w:rsidRPr="00903174" w14:paraId="792D81A0" w14:textId="77777777" w:rsidTr="00374359">
        <w:trPr>
          <w:trHeight w:val="241"/>
        </w:trPr>
        <w:tc>
          <w:tcPr>
            <w:tcW w:w="518" w:type="pct"/>
            <w:vAlign w:val="bottom"/>
          </w:tcPr>
          <w:p w14:paraId="279DED99" w14:textId="77777777" w:rsidR="001D6AD7" w:rsidRPr="00903174" w:rsidRDefault="001D6AD7" w:rsidP="00374359">
            <w:pPr>
              <w:pStyle w:val="TableText"/>
              <w:jc w:val="center"/>
            </w:pPr>
            <w:r w:rsidRPr="00903174">
              <w:t>Trial 302</w:t>
            </w:r>
          </w:p>
        </w:tc>
        <w:tc>
          <w:tcPr>
            <w:tcW w:w="827" w:type="pct"/>
          </w:tcPr>
          <w:p w14:paraId="70B0C8F8" w14:textId="77777777" w:rsidR="001D6AD7" w:rsidRPr="00903174" w:rsidRDefault="001D6AD7" w:rsidP="00374359">
            <w:pPr>
              <w:pStyle w:val="TableText"/>
              <w:jc w:val="center"/>
            </w:pPr>
            <w:r w:rsidRPr="00903174">
              <w:t>0/97 (0%)</w:t>
            </w:r>
          </w:p>
        </w:tc>
        <w:tc>
          <w:tcPr>
            <w:tcW w:w="827" w:type="pct"/>
          </w:tcPr>
          <w:p w14:paraId="491AC063" w14:textId="77777777" w:rsidR="001D6AD7" w:rsidRPr="00903174" w:rsidRDefault="001D6AD7" w:rsidP="00374359">
            <w:pPr>
              <w:pStyle w:val="TableText"/>
              <w:jc w:val="center"/>
            </w:pPr>
            <w:r w:rsidRPr="00903174">
              <w:t>5/98 (5.1%)</w:t>
            </w:r>
          </w:p>
        </w:tc>
        <w:tc>
          <w:tcPr>
            <w:tcW w:w="943" w:type="pct"/>
          </w:tcPr>
          <w:p w14:paraId="22537E31" w14:textId="77777777" w:rsidR="001D6AD7" w:rsidRPr="00903174" w:rsidRDefault="001D6AD7" w:rsidP="00374359">
            <w:pPr>
              <w:pStyle w:val="TableText"/>
              <w:jc w:val="center"/>
            </w:pPr>
            <w:r w:rsidRPr="00903174">
              <w:t>0.09 (0.00, 1.60)</w:t>
            </w:r>
          </w:p>
        </w:tc>
        <w:tc>
          <w:tcPr>
            <w:tcW w:w="943" w:type="pct"/>
          </w:tcPr>
          <w:p w14:paraId="781CEAAD" w14:textId="77777777" w:rsidR="001D6AD7" w:rsidRPr="00903174" w:rsidRDefault="001D6AD7" w:rsidP="00374359">
            <w:pPr>
              <w:pStyle w:val="TableText"/>
              <w:jc w:val="center"/>
            </w:pPr>
            <w:r w:rsidRPr="00903174">
              <w:t>0.09 (0.01, 1.64)</w:t>
            </w:r>
          </w:p>
        </w:tc>
        <w:tc>
          <w:tcPr>
            <w:tcW w:w="942" w:type="pct"/>
          </w:tcPr>
          <w:p w14:paraId="0863D6A1" w14:textId="77777777" w:rsidR="001D6AD7" w:rsidRPr="00903174" w:rsidRDefault="001D6AD7" w:rsidP="00374359">
            <w:pPr>
              <w:pStyle w:val="TableText"/>
              <w:jc w:val="center"/>
            </w:pPr>
            <w:r w:rsidRPr="00903174">
              <w:t>-5.1 (-9.8, -0.4)</w:t>
            </w:r>
          </w:p>
        </w:tc>
      </w:tr>
      <w:tr w:rsidR="001D6AD7" w:rsidRPr="00903174" w14:paraId="499040CF" w14:textId="77777777" w:rsidTr="00374359">
        <w:trPr>
          <w:trHeight w:val="241"/>
        </w:trPr>
        <w:tc>
          <w:tcPr>
            <w:tcW w:w="2172" w:type="pct"/>
            <w:gridSpan w:val="3"/>
            <w:vAlign w:val="center"/>
          </w:tcPr>
          <w:p w14:paraId="61D2DE98" w14:textId="77777777" w:rsidR="001D6AD7" w:rsidRPr="00903174" w:rsidRDefault="001D6AD7" w:rsidP="00374359">
            <w:pPr>
              <w:pStyle w:val="Tableheadingrow"/>
              <w:rPr>
                <w:lang w:val="en-AU"/>
              </w:rPr>
            </w:pPr>
            <w:r w:rsidRPr="00903174">
              <w:rPr>
                <w:lang w:val="en-AU"/>
              </w:rPr>
              <w:t>Pooled result from random effects model</w:t>
            </w:r>
          </w:p>
        </w:tc>
        <w:tc>
          <w:tcPr>
            <w:tcW w:w="943" w:type="pct"/>
          </w:tcPr>
          <w:p w14:paraId="71B256A4" w14:textId="77777777" w:rsidR="001D6AD7" w:rsidRPr="00903174" w:rsidRDefault="001D6AD7" w:rsidP="00374359">
            <w:pPr>
              <w:pStyle w:val="TableText"/>
              <w:jc w:val="center"/>
              <w:rPr>
                <w:b/>
              </w:rPr>
            </w:pPr>
            <w:r w:rsidRPr="00903174">
              <w:rPr>
                <w:b/>
              </w:rPr>
              <w:t>0.29 (0.11, 0.80)</w:t>
            </w:r>
          </w:p>
        </w:tc>
        <w:tc>
          <w:tcPr>
            <w:tcW w:w="943" w:type="pct"/>
          </w:tcPr>
          <w:p w14:paraId="61B2C138" w14:textId="77777777" w:rsidR="001D6AD7" w:rsidRPr="00903174" w:rsidRDefault="001D6AD7" w:rsidP="00374359">
            <w:pPr>
              <w:pStyle w:val="TableText"/>
              <w:jc w:val="center"/>
              <w:rPr>
                <w:b/>
              </w:rPr>
            </w:pPr>
            <w:r w:rsidRPr="00903174">
              <w:rPr>
                <w:b/>
              </w:rPr>
              <w:t>0.32 (0.12, 0.82)</w:t>
            </w:r>
          </w:p>
        </w:tc>
        <w:tc>
          <w:tcPr>
            <w:tcW w:w="942" w:type="pct"/>
          </w:tcPr>
          <w:p w14:paraId="21AB7410" w14:textId="77777777" w:rsidR="001D6AD7" w:rsidRPr="00903174" w:rsidRDefault="001D6AD7" w:rsidP="00374359">
            <w:pPr>
              <w:pStyle w:val="TableText"/>
              <w:jc w:val="center"/>
              <w:rPr>
                <w:b/>
              </w:rPr>
            </w:pPr>
            <w:r w:rsidRPr="00903174">
              <w:rPr>
                <w:b/>
              </w:rPr>
              <w:t>-5.7 (-9.5, -1.8)</w:t>
            </w:r>
          </w:p>
        </w:tc>
      </w:tr>
      <w:tr w:rsidR="001D6AD7" w:rsidRPr="00903174" w14:paraId="21F95E9E" w14:textId="77777777" w:rsidTr="00374359">
        <w:trPr>
          <w:trHeight w:val="241"/>
        </w:trPr>
        <w:tc>
          <w:tcPr>
            <w:tcW w:w="2172" w:type="pct"/>
            <w:gridSpan w:val="3"/>
            <w:vAlign w:val="bottom"/>
          </w:tcPr>
          <w:p w14:paraId="3E132B7A" w14:textId="77777777" w:rsidR="001D6AD7" w:rsidRPr="00903174" w:rsidRDefault="001D6AD7" w:rsidP="00374359">
            <w:pPr>
              <w:pStyle w:val="Tableheadingrow"/>
              <w:rPr>
                <w:lang w:val="en-AU"/>
              </w:rPr>
            </w:pPr>
            <w:r w:rsidRPr="00903174">
              <w:rPr>
                <w:lang w:val="en-AU"/>
              </w:rPr>
              <w:t>Chi-square for heterogeneity p =, I</w:t>
            </w:r>
            <w:r w:rsidRPr="00903174">
              <w:rPr>
                <w:vertAlign w:val="superscript"/>
                <w:lang w:val="en-AU"/>
              </w:rPr>
              <w:t>2</w:t>
            </w:r>
            <w:r w:rsidRPr="00903174">
              <w:rPr>
                <w:lang w:val="en-AU"/>
              </w:rPr>
              <w:t xml:space="preserve"> statistic</w:t>
            </w:r>
          </w:p>
        </w:tc>
        <w:tc>
          <w:tcPr>
            <w:tcW w:w="943" w:type="pct"/>
          </w:tcPr>
          <w:p w14:paraId="0077BED7" w14:textId="77777777" w:rsidR="001D6AD7" w:rsidRPr="00903174" w:rsidRDefault="001D6AD7" w:rsidP="00374359">
            <w:pPr>
              <w:pStyle w:val="TableText"/>
              <w:jc w:val="center"/>
            </w:pPr>
            <w:r w:rsidRPr="00903174">
              <w:t>p=0.373, I2=0%</w:t>
            </w:r>
          </w:p>
        </w:tc>
        <w:tc>
          <w:tcPr>
            <w:tcW w:w="943" w:type="pct"/>
          </w:tcPr>
          <w:p w14:paraId="0CE0F794" w14:textId="77777777" w:rsidR="001D6AD7" w:rsidRPr="00903174" w:rsidRDefault="001D6AD7" w:rsidP="00374359">
            <w:pPr>
              <w:pStyle w:val="TableText"/>
              <w:jc w:val="center"/>
            </w:pPr>
            <w:r w:rsidRPr="00903174">
              <w:t>p=0.356, I2=0%</w:t>
            </w:r>
          </w:p>
        </w:tc>
        <w:tc>
          <w:tcPr>
            <w:tcW w:w="942" w:type="pct"/>
          </w:tcPr>
          <w:p w14:paraId="2D86A875" w14:textId="77777777" w:rsidR="001D6AD7" w:rsidRPr="00903174" w:rsidRDefault="001D6AD7" w:rsidP="00374359">
            <w:pPr>
              <w:pStyle w:val="TableText"/>
              <w:jc w:val="center"/>
            </w:pPr>
            <w:r w:rsidRPr="00903174">
              <w:t>p=0.661, I2=0%</w:t>
            </w:r>
          </w:p>
        </w:tc>
      </w:tr>
    </w:tbl>
    <w:p w14:paraId="76AFA7E1" w14:textId="77777777" w:rsidR="001D6AD7" w:rsidRPr="00903174" w:rsidRDefault="001D6AD7" w:rsidP="001D6AD7">
      <w:pPr>
        <w:pStyle w:val="TableFigureFooter"/>
      </w:pPr>
      <w:r w:rsidRPr="00903174">
        <w:t>Source: Table 89, p163 of the submission.</w:t>
      </w:r>
    </w:p>
    <w:p w14:paraId="4BC84814" w14:textId="77777777" w:rsidR="001D6AD7" w:rsidRPr="00903174" w:rsidRDefault="001D6AD7" w:rsidP="001D6AD7">
      <w:pPr>
        <w:pStyle w:val="TableFigureFooter"/>
        <w:rPr>
          <w:sz w:val="20"/>
        </w:rPr>
      </w:pPr>
      <w:r w:rsidRPr="00903174">
        <w:t>Abbreviations: CI, confidence intervals; OR, odds ratio; RR, relative risk; RD, risk difference</w:t>
      </w:r>
    </w:p>
    <w:p w14:paraId="5D8207B2" w14:textId="77777777" w:rsidR="003D57DE" w:rsidRPr="00903174" w:rsidRDefault="001D6AD7" w:rsidP="0035499B">
      <w:pPr>
        <w:pStyle w:val="ExecSumBodyText"/>
        <w:numPr>
          <w:ilvl w:val="1"/>
          <w:numId w:val="1"/>
        </w:numPr>
        <w:rPr>
          <w:i/>
        </w:rPr>
      </w:pPr>
      <w:r w:rsidRPr="00903174">
        <w:rPr>
          <w:color w:val="000000" w:themeColor="text1"/>
        </w:rPr>
        <w:t xml:space="preserve">The meta-analysed results showed a statistically significant difference between treatment arms, with ravulizumab treated patients experiencing fewer BTH events during the trials than eculizumab treated patients. This finding forms the basis of the submission’s therapeutic claim of significantly improved efficacy of ravulizumab to eculizumab on the outcome of BTH. </w:t>
      </w:r>
      <w:r w:rsidR="00D154A6" w:rsidRPr="00903174">
        <w:rPr>
          <w:iCs/>
        </w:rPr>
        <w:t>There was a numerical difference in favour of ravulizumab in the number of BTH events, and in the number of events attributable to serum free C5 concentrations rather than other causes such as infection. However, t</w:t>
      </w:r>
      <w:r w:rsidR="00B83C7D" w:rsidRPr="00903174">
        <w:rPr>
          <w:color w:val="000000" w:themeColor="text1"/>
        </w:rPr>
        <w:t>he robustness of meta-analys</w:t>
      </w:r>
      <w:r w:rsidR="007821C9" w:rsidRPr="00903174">
        <w:rPr>
          <w:color w:val="000000" w:themeColor="text1"/>
        </w:rPr>
        <w:t>i</w:t>
      </w:r>
      <w:r w:rsidR="00B83C7D" w:rsidRPr="00903174">
        <w:rPr>
          <w:color w:val="000000" w:themeColor="text1"/>
        </w:rPr>
        <w:t xml:space="preserve">s </w:t>
      </w:r>
      <w:r w:rsidR="007821C9" w:rsidRPr="00903174">
        <w:rPr>
          <w:color w:val="000000" w:themeColor="text1"/>
        </w:rPr>
        <w:t xml:space="preserve">results </w:t>
      </w:r>
      <w:r w:rsidR="00B83C7D" w:rsidRPr="00903174">
        <w:rPr>
          <w:color w:val="000000" w:themeColor="text1"/>
        </w:rPr>
        <w:t xml:space="preserve">is uncertain due to exchangeability issues between trial populations. </w:t>
      </w:r>
      <w:r w:rsidR="000239A8" w:rsidRPr="00903174">
        <w:rPr>
          <w:color w:val="000000" w:themeColor="text1"/>
        </w:rPr>
        <w:t xml:space="preserve">The evaluation raised that </w:t>
      </w:r>
      <w:r w:rsidR="00C802EC" w:rsidRPr="00903174">
        <w:rPr>
          <w:color w:val="000000" w:themeColor="text1"/>
        </w:rPr>
        <w:t>BTH</w:t>
      </w:r>
      <w:r w:rsidR="00B83C7D" w:rsidRPr="00903174">
        <w:rPr>
          <w:color w:val="000000" w:themeColor="text1"/>
        </w:rPr>
        <w:t xml:space="preserve"> rates may not be generalisable to clinical practice as dose adjustments for eculizumab were not permitted in the trials.</w:t>
      </w:r>
      <w:r w:rsidR="000239A8" w:rsidRPr="00903174">
        <w:rPr>
          <w:color w:val="000000" w:themeColor="text1"/>
        </w:rPr>
        <w:t xml:space="preserve"> </w:t>
      </w:r>
      <w:r w:rsidR="004D6759" w:rsidRPr="00903174">
        <w:t xml:space="preserve">The ESC advised the results are likely to be generalisable to Australian clinical practice if eculizumab for PNH remains on the LSDP as dose increases are not easily accessible on the LSDP and are at the discretion of the Minister. </w:t>
      </w:r>
      <w:r w:rsidR="007821C9" w:rsidRPr="00903174">
        <w:t xml:space="preserve">This claim may </w:t>
      </w:r>
      <w:r w:rsidR="00EA10D5" w:rsidRPr="00903174">
        <w:t>no longer be relevant if eculizu</w:t>
      </w:r>
      <w:r w:rsidR="007821C9" w:rsidRPr="00903174">
        <w:t>mab were subsidised on the PBS for PNH</w:t>
      </w:r>
      <w:r w:rsidR="007821C9" w:rsidRPr="00903174">
        <w:rPr>
          <w:color w:val="000000" w:themeColor="text1"/>
        </w:rPr>
        <w:t>, as dose adjustments would be possible for eculizumab</w:t>
      </w:r>
      <w:r w:rsidR="004D6759" w:rsidRPr="00903174">
        <w:t>.</w:t>
      </w:r>
      <w:r w:rsidR="0035499B" w:rsidRPr="00903174">
        <w:t xml:space="preserve"> </w:t>
      </w:r>
      <w:r w:rsidR="004D6759" w:rsidRPr="00903174">
        <w:t>T</w:t>
      </w:r>
      <w:r w:rsidR="000239A8" w:rsidRPr="00903174">
        <w:t>he ESC also considered that the BTH results from the meta-analysis were not supported by results for other biochemical outcomes and were thus not considered reliable</w:t>
      </w:r>
      <w:r w:rsidR="00B4390A" w:rsidRPr="00903174">
        <w:t xml:space="preserve">. </w:t>
      </w:r>
      <w:r w:rsidR="000239A8" w:rsidRPr="00903174">
        <w:rPr>
          <w:i/>
        </w:rPr>
        <w:t xml:space="preserve">   </w:t>
      </w:r>
      <w:r w:rsidR="000239A8" w:rsidRPr="00903174">
        <w:t xml:space="preserve"> </w:t>
      </w:r>
    </w:p>
    <w:p w14:paraId="606E2F19" w14:textId="77777777" w:rsidR="00BD3D6A" w:rsidRPr="00903174" w:rsidRDefault="002E5D2B" w:rsidP="00415038">
      <w:pPr>
        <w:pStyle w:val="ExecSumBodyText"/>
        <w:numPr>
          <w:ilvl w:val="1"/>
          <w:numId w:val="1"/>
        </w:numPr>
        <w:rPr>
          <w:color w:val="000000" w:themeColor="text1"/>
        </w:rPr>
      </w:pPr>
      <w:r w:rsidRPr="00903174">
        <w:rPr>
          <w:color w:val="000000" w:themeColor="text1"/>
        </w:rPr>
        <w:t xml:space="preserve">Results of the post-hoc subgroup analysis of </w:t>
      </w:r>
      <w:r w:rsidR="00BD3D6A" w:rsidRPr="00903174">
        <w:rPr>
          <w:color w:val="000000" w:themeColor="text1"/>
        </w:rPr>
        <w:t xml:space="preserve">208 </w:t>
      </w:r>
      <w:r w:rsidRPr="00903174">
        <w:rPr>
          <w:color w:val="000000" w:themeColor="text1"/>
        </w:rPr>
        <w:t xml:space="preserve">Trial 301 patients meeting eligibility criteria for the proposed ravulizumab restriction were consistent with the overall trial </w:t>
      </w:r>
      <w:r w:rsidRPr="00903174">
        <w:rPr>
          <w:color w:val="000000" w:themeColor="text1"/>
        </w:rPr>
        <w:lastRenderedPageBreak/>
        <w:t>results. All subgroup outcomes met the trial’s conditions for non</w:t>
      </w:r>
      <w:r w:rsidR="00717EC0" w:rsidRPr="00903174">
        <w:rPr>
          <w:color w:val="000000" w:themeColor="text1"/>
        </w:rPr>
        <w:t>-</w:t>
      </w:r>
      <w:r w:rsidRPr="00903174">
        <w:rPr>
          <w:color w:val="000000" w:themeColor="text1"/>
        </w:rPr>
        <w:t xml:space="preserve">inferiority. The subgroup analysis of </w:t>
      </w:r>
      <w:r w:rsidR="00BD3D6A" w:rsidRPr="00903174">
        <w:rPr>
          <w:color w:val="000000" w:themeColor="text1"/>
        </w:rPr>
        <w:t xml:space="preserve">the proportion of patients experiencing </w:t>
      </w:r>
      <w:r w:rsidRPr="00903174">
        <w:rPr>
          <w:color w:val="000000" w:themeColor="text1"/>
        </w:rPr>
        <w:t>breakthrough haemolysis suggested a statistically significant difference between the ravulizumab and eculizumab treated patients (</w:t>
      </w:r>
      <w:r w:rsidR="00BD3D6A" w:rsidRPr="00903174">
        <w:rPr>
          <w:color w:val="000000" w:themeColor="text1"/>
        </w:rPr>
        <w:t>ravulizumab 3.7% vs eculizumab 12.0%, treatment difference -8.2% (95% CI -16.82, -0.37).</w:t>
      </w:r>
      <w:r w:rsidRPr="00903174">
        <w:rPr>
          <w:color w:val="000000" w:themeColor="text1"/>
        </w:rPr>
        <w:t xml:space="preserve"> </w:t>
      </w:r>
      <w:r w:rsidR="00BD3D6A" w:rsidRPr="00903174">
        <w:t xml:space="preserve">Results must be interpreted with caution given </w:t>
      </w:r>
      <w:r w:rsidR="00BD3D6A" w:rsidRPr="00903174">
        <w:rPr>
          <w:color w:val="000000" w:themeColor="text1"/>
        </w:rPr>
        <w:t>the baseline characteristics of these patients and results of the complement for this subgroup were not provided.</w:t>
      </w:r>
    </w:p>
    <w:p w14:paraId="7E11C073" w14:textId="77777777" w:rsidR="006E712A" w:rsidRPr="00903174" w:rsidRDefault="00A370FA" w:rsidP="00415038">
      <w:pPr>
        <w:pStyle w:val="ExecSumBodyText"/>
        <w:numPr>
          <w:ilvl w:val="1"/>
          <w:numId w:val="1"/>
        </w:numPr>
        <w:rPr>
          <w:color w:val="000000" w:themeColor="text1"/>
        </w:rPr>
      </w:pPr>
      <w:r w:rsidRPr="00903174">
        <w:rPr>
          <w:color w:val="000000" w:themeColor="text1"/>
        </w:rPr>
        <w:t xml:space="preserve">Results of the indirect comparisons of ravulizumab and </w:t>
      </w:r>
      <w:r w:rsidR="007A2A2F" w:rsidRPr="00903174">
        <w:rPr>
          <w:color w:val="000000" w:themeColor="text1"/>
        </w:rPr>
        <w:t>BSC</w:t>
      </w:r>
      <w:r w:rsidRPr="00903174">
        <w:rPr>
          <w:color w:val="000000" w:themeColor="text1"/>
        </w:rPr>
        <w:t xml:space="preserve"> were presented for the overall population, comparing the results of the meta-analysis of Trials 301 and 302, and the eculizumab TRIUMPH trial; and the treatment naïve population comparing Trial 301 with the TRIUMPH trial. </w:t>
      </w:r>
      <w:r w:rsidR="002F5EA7" w:rsidRPr="00903174">
        <w:rPr>
          <w:color w:val="000000" w:themeColor="text1"/>
        </w:rPr>
        <w:t xml:space="preserve">The ESC </w:t>
      </w:r>
      <w:r w:rsidR="004C1AEC" w:rsidRPr="00903174">
        <w:rPr>
          <w:color w:val="000000" w:themeColor="text1"/>
        </w:rPr>
        <w:t>consider</w:t>
      </w:r>
      <w:r w:rsidR="002F5EA7" w:rsidRPr="00903174">
        <w:rPr>
          <w:color w:val="000000" w:themeColor="text1"/>
        </w:rPr>
        <w:t>ed that g</w:t>
      </w:r>
      <w:r w:rsidRPr="00903174">
        <w:rPr>
          <w:color w:val="000000" w:themeColor="text1"/>
        </w:rPr>
        <w:t xml:space="preserve">iven </w:t>
      </w:r>
      <w:r w:rsidR="00B83C7D" w:rsidRPr="00903174">
        <w:rPr>
          <w:color w:val="000000" w:themeColor="text1"/>
        </w:rPr>
        <w:t>exchangeability issues</w:t>
      </w:r>
      <w:r w:rsidRPr="00903174">
        <w:rPr>
          <w:color w:val="000000" w:themeColor="text1"/>
        </w:rPr>
        <w:t xml:space="preserve"> between the trial populations, the indirect comparison based on the meta-analysed ravulizumab trials should be interpreted with caution.</w:t>
      </w:r>
      <w:r w:rsidRPr="00903174">
        <w:rPr>
          <w:i/>
          <w:color w:val="000000" w:themeColor="text1"/>
        </w:rPr>
        <w:t xml:space="preserve"> </w:t>
      </w:r>
      <w:r w:rsidRPr="00903174">
        <w:rPr>
          <w:color w:val="000000" w:themeColor="text1"/>
        </w:rPr>
        <w:t>Due to the limited availability of comparable outcomes, the indirect comparison was performed using three efficacy outcomes: transfusion avoidance, change in FACIT-fatigue total score, and percent change from baseline in LDH levels at Week 26.</w:t>
      </w:r>
    </w:p>
    <w:p w14:paraId="0A10EAF9" w14:textId="77777777" w:rsidR="00A370FA" w:rsidRPr="00903174" w:rsidRDefault="00A370FA" w:rsidP="00415038">
      <w:pPr>
        <w:pStyle w:val="ExecSumBodyText"/>
        <w:numPr>
          <w:ilvl w:val="1"/>
          <w:numId w:val="1"/>
        </w:numPr>
      </w:pPr>
      <w:r w:rsidRPr="00903174">
        <w:t xml:space="preserve">Results of the indirect comparison for transfusion avoidance comparing the meta-analysed ravulizumab trials with the TRIUMPH trial, and comparing Trial 301 only with TRIUMPH, are presented in </w:t>
      </w:r>
      <w:r w:rsidR="00F609CC" w:rsidRPr="00903174">
        <w:t>the table below</w:t>
      </w:r>
      <w:r w:rsidRPr="00903174">
        <w:t>.</w:t>
      </w:r>
    </w:p>
    <w:p w14:paraId="46131B36" w14:textId="77777777" w:rsidR="00A370FA" w:rsidRPr="00903174" w:rsidRDefault="00A370FA" w:rsidP="00A370FA">
      <w:pPr>
        <w:pStyle w:val="TableFigureCaption"/>
      </w:pPr>
      <w:r w:rsidRPr="00903174">
        <w:t xml:space="preserve">Table </w:t>
      </w:r>
      <w:r w:rsidR="001D6AD7" w:rsidRPr="00903174">
        <w:t>10</w:t>
      </w:r>
      <w:r w:rsidRPr="00903174">
        <w:t>: Indirect comparison of transfusion avoidance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1410"/>
        <w:gridCol w:w="1273"/>
        <w:gridCol w:w="1140"/>
        <w:gridCol w:w="1399"/>
        <w:gridCol w:w="1401"/>
        <w:gridCol w:w="1398"/>
      </w:tblGrid>
      <w:tr w:rsidR="00A370FA" w:rsidRPr="00903174" w14:paraId="07A83073" w14:textId="77777777" w:rsidTr="00A370FA">
        <w:trPr>
          <w:trHeight w:val="64"/>
        </w:trPr>
        <w:tc>
          <w:tcPr>
            <w:tcW w:w="552" w:type="pct"/>
            <w:shd w:val="clear" w:color="auto" w:fill="auto"/>
            <w:vAlign w:val="center"/>
            <w:hideMark/>
          </w:tcPr>
          <w:p w14:paraId="6607CEC4" w14:textId="77777777" w:rsidR="00A370FA" w:rsidRPr="00903174" w:rsidRDefault="00A370FA" w:rsidP="00A370FA">
            <w:pPr>
              <w:pStyle w:val="TableHeading"/>
              <w:spacing w:after="0"/>
              <w:jc w:val="center"/>
              <w:rPr>
                <w:rFonts w:cs="Times New Roman"/>
              </w:rPr>
            </w:pPr>
            <w:r w:rsidRPr="00903174">
              <w:t>Trial</w:t>
            </w:r>
          </w:p>
        </w:tc>
        <w:tc>
          <w:tcPr>
            <w:tcW w:w="782" w:type="pct"/>
            <w:shd w:val="clear" w:color="auto" w:fill="auto"/>
            <w:vAlign w:val="center"/>
            <w:hideMark/>
          </w:tcPr>
          <w:p w14:paraId="54942179" w14:textId="77777777" w:rsidR="00A370FA" w:rsidRPr="00903174" w:rsidRDefault="00A370FA" w:rsidP="00A370FA">
            <w:pPr>
              <w:pStyle w:val="TableHeading"/>
              <w:spacing w:after="0"/>
              <w:jc w:val="center"/>
            </w:pPr>
            <w:r w:rsidRPr="00903174">
              <w:t>Ravulizumab</w:t>
            </w:r>
          </w:p>
          <w:p w14:paraId="51D50ADA" w14:textId="77777777" w:rsidR="00A370FA" w:rsidRPr="00903174" w:rsidRDefault="00A370FA" w:rsidP="00A370FA">
            <w:pPr>
              <w:pStyle w:val="TableHeading"/>
              <w:spacing w:after="0"/>
              <w:jc w:val="center"/>
            </w:pPr>
            <w:r w:rsidRPr="00903174">
              <w:t>n/N (%)</w:t>
            </w:r>
          </w:p>
        </w:tc>
        <w:tc>
          <w:tcPr>
            <w:tcW w:w="706" w:type="pct"/>
            <w:shd w:val="clear" w:color="auto" w:fill="auto"/>
            <w:vAlign w:val="center"/>
            <w:hideMark/>
          </w:tcPr>
          <w:p w14:paraId="750E3C9C" w14:textId="77777777" w:rsidR="00A370FA" w:rsidRPr="00903174" w:rsidRDefault="00A370FA" w:rsidP="00A370FA">
            <w:pPr>
              <w:pStyle w:val="TableHeading"/>
              <w:spacing w:after="0"/>
              <w:jc w:val="center"/>
            </w:pPr>
            <w:r w:rsidRPr="00903174">
              <w:t>Eculizumab</w:t>
            </w:r>
          </w:p>
          <w:p w14:paraId="3E3830B2" w14:textId="77777777" w:rsidR="00A370FA" w:rsidRPr="00903174" w:rsidRDefault="00A370FA" w:rsidP="00A370FA">
            <w:pPr>
              <w:pStyle w:val="TableHeading"/>
              <w:spacing w:after="0"/>
              <w:jc w:val="center"/>
            </w:pPr>
            <w:r w:rsidRPr="00903174">
              <w:t>n/N (%)</w:t>
            </w:r>
          </w:p>
        </w:tc>
        <w:tc>
          <w:tcPr>
            <w:tcW w:w="632" w:type="pct"/>
            <w:shd w:val="clear" w:color="auto" w:fill="auto"/>
            <w:vAlign w:val="center"/>
            <w:hideMark/>
          </w:tcPr>
          <w:p w14:paraId="0CB0F89B" w14:textId="77777777" w:rsidR="00A370FA" w:rsidRPr="00903174" w:rsidRDefault="00A370FA" w:rsidP="00A370FA">
            <w:pPr>
              <w:pStyle w:val="TableHeading"/>
              <w:spacing w:after="0"/>
              <w:jc w:val="center"/>
            </w:pPr>
            <w:r w:rsidRPr="00903174">
              <w:t>Placebo</w:t>
            </w:r>
          </w:p>
          <w:p w14:paraId="7C3E00E9" w14:textId="77777777" w:rsidR="00A370FA" w:rsidRPr="00903174" w:rsidRDefault="00A370FA" w:rsidP="00A370FA">
            <w:pPr>
              <w:pStyle w:val="TableHeading"/>
              <w:spacing w:after="0"/>
              <w:jc w:val="center"/>
            </w:pPr>
            <w:r w:rsidRPr="00903174">
              <w:t>n/N (%)</w:t>
            </w:r>
          </w:p>
        </w:tc>
        <w:tc>
          <w:tcPr>
            <w:tcW w:w="776" w:type="pct"/>
            <w:shd w:val="clear" w:color="auto" w:fill="auto"/>
            <w:vAlign w:val="center"/>
            <w:hideMark/>
          </w:tcPr>
          <w:p w14:paraId="71B5EA18" w14:textId="77777777" w:rsidR="00A370FA" w:rsidRPr="00903174" w:rsidRDefault="00A370FA" w:rsidP="00A370FA">
            <w:pPr>
              <w:pStyle w:val="TableHeading"/>
              <w:spacing w:after="0"/>
              <w:jc w:val="center"/>
            </w:pPr>
            <w:r w:rsidRPr="00903174">
              <w:t>OR</w:t>
            </w:r>
          </w:p>
          <w:p w14:paraId="6AE299DF" w14:textId="77777777" w:rsidR="00A370FA" w:rsidRPr="00903174" w:rsidRDefault="00A370FA" w:rsidP="00A370FA">
            <w:pPr>
              <w:pStyle w:val="TableHeading"/>
              <w:spacing w:after="0"/>
              <w:jc w:val="center"/>
            </w:pPr>
            <w:r w:rsidRPr="00903174">
              <w:t>(95% CI)</w:t>
            </w:r>
          </w:p>
        </w:tc>
        <w:tc>
          <w:tcPr>
            <w:tcW w:w="777" w:type="pct"/>
            <w:shd w:val="clear" w:color="auto" w:fill="auto"/>
            <w:vAlign w:val="center"/>
            <w:hideMark/>
          </w:tcPr>
          <w:p w14:paraId="1235E34B" w14:textId="77777777" w:rsidR="00A370FA" w:rsidRPr="00903174" w:rsidRDefault="00A370FA" w:rsidP="00A370FA">
            <w:pPr>
              <w:pStyle w:val="TableHeading"/>
              <w:spacing w:after="0"/>
              <w:jc w:val="center"/>
            </w:pPr>
            <w:r w:rsidRPr="00903174">
              <w:t>RR</w:t>
            </w:r>
          </w:p>
          <w:p w14:paraId="385D81A6" w14:textId="77777777" w:rsidR="00A370FA" w:rsidRPr="00903174" w:rsidRDefault="00A370FA" w:rsidP="00A370FA">
            <w:pPr>
              <w:pStyle w:val="TableHeading"/>
              <w:spacing w:after="0"/>
              <w:jc w:val="center"/>
            </w:pPr>
            <w:r w:rsidRPr="00903174">
              <w:t>(95% CI)</w:t>
            </w:r>
          </w:p>
        </w:tc>
        <w:tc>
          <w:tcPr>
            <w:tcW w:w="775" w:type="pct"/>
            <w:shd w:val="clear" w:color="auto" w:fill="auto"/>
            <w:vAlign w:val="center"/>
            <w:hideMark/>
          </w:tcPr>
          <w:p w14:paraId="76438921" w14:textId="77777777" w:rsidR="00A370FA" w:rsidRPr="00903174" w:rsidRDefault="00A370FA" w:rsidP="00A370FA">
            <w:pPr>
              <w:pStyle w:val="TableHeading"/>
              <w:spacing w:after="0"/>
              <w:jc w:val="center"/>
            </w:pPr>
            <w:r w:rsidRPr="00903174">
              <w:t>RD (%)</w:t>
            </w:r>
          </w:p>
          <w:p w14:paraId="17F0B04D" w14:textId="77777777" w:rsidR="00A370FA" w:rsidRPr="00903174" w:rsidRDefault="00A370FA" w:rsidP="00A370FA">
            <w:pPr>
              <w:pStyle w:val="TableHeading"/>
              <w:spacing w:after="0"/>
              <w:jc w:val="center"/>
            </w:pPr>
            <w:r w:rsidRPr="00903174">
              <w:t>(95% CI)</w:t>
            </w:r>
          </w:p>
        </w:tc>
      </w:tr>
      <w:tr w:rsidR="00A370FA" w:rsidRPr="00903174" w14:paraId="01E672AB" w14:textId="77777777" w:rsidTr="00A370FA">
        <w:trPr>
          <w:trHeight w:val="64"/>
        </w:trPr>
        <w:tc>
          <w:tcPr>
            <w:tcW w:w="552" w:type="pct"/>
            <w:shd w:val="clear" w:color="auto" w:fill="auto"/>
            <w:vAlign w:val="center"/>
            <w:hideMark/>
          </w:tcPr>
          <w:p w14:paraId="5A576146" w14:textId="77777777" w:rsidR="00A370FA" w:rsidRPr="00903174" w:rsidRDefault="00A370FA" w:rsidP="00A370FA">
            <w:pPr>
              <w:pStyle w:val="TableText"/>
              <w:jc w:val="center"/>
            </w:pPr>
            <w:r w:rsidRPr="00903174">
              <w:t>TRIUMPH</w:t>
            </w:r>
          </w:p>
        </w:tc>
        <w:tc>
          <w:tcPr>
            <w:tcW w:w="782" w:type="pct"/>
            <w:shd w:val="clear" w:color="auto" w:fill="auto"/>
            <w:vAlign w:val="center"/>
            <w:hideMark/>
          </w:tcPr>
          <w:p w14:paraId="653BAECB" w14:textId="77777777" w:rsidR="00A370FA" w:rsidRPr="00903174" w:rsidRDefault="00A370FA" w:rsidP="00A370FA">
            <w:pPr>
              <w:pStyle w:val="TableText"/>
              <w:jc w:val="center"/>
              <w:rPr>
                <w:color w:val="000000"/>
              </w:rPr>
            </w:pPr>
            <w:r w:rsidRPr="00903174">
              <w:rPr>
                <w:color w:val="000000"/>
              </w:rPr>
              <w:t>–</w:t>
            </w:r>
          </w:p>
        </w:tc>
        <w:tc>
          <w:tcPr>
            <w:tcW w:w="706" w:type="pct"/>
            <w:shd w:val="clear" w:color="auto" w:fill="auto"/>
            <w:vAlign w:val="center"/>
            <w:hideMark/>
          </w:tcPr>
          <w:p w14:paraId="3DAD7EF5" w14:textId="77777777" w:rsidR="00A370FA" w:rsidRPr="00903174" w:rsidRDefault="00A370FA" w:rsidP="00A370FA">
            <w:pPr>
              <w:pStyle w:val="TableText"/>
              <w:jc w:val="center"/>
              <w:rPr>
                <w:color w:val="000000"/>
              </w:rPr>
            </w:pPr>
            <w:r w:rsidRPr="00903174">
              <w:t>22/43 (51.2)</w:t>
            </w:r>
          </w:p>
        </w:tc>
        <w:tc>
          <w:tcPr>
            <w:tcW w:w="632" w:type="pct"/>
            <w:shd w:val="clear" w:color="auto" w:fill="auto"/>
            <w:vAlign w:val="center"/>
            <w:hideMark/>
          </w:tcPr>
          <w:p w14:paraId="43EC5558" w14:textId="77777777" w:rsidR="00A370FA" w:rsidRPr="00903174" w:rsidRDefault="00A370FA" w:rsidP="00A370FA">
            <w:pPr>
              <w:pStyle w:val="TableText"/>
              <w:jc w:val="center"/>
            </w:pPr>
            <w:r w:rsidRPr="00903174">
              <w:t>0/44 (0)</w:t>
            </w:r>
          </w:p>
        </w:tc>
        <w:tc>
          <w:tcPr>
            <w:tcW w:w="776" w:type="pct"/>
            <w:shd w:val="clear" w:color="auto" w:fill="auto"/>
            <w:vAlign w:val="center"/>
            <w:hideMark/>
          </w:tcPr>
          <w:p w14:paraId="5C92F0BA" w14:textId="77777777" w:rsidR="00A370FA" w:rsidRPr="00903174" w:rsidRDefault="00A370FA" w:rsidP="00A370FA">
            <w:pPr>
              <w:pStyle w:val="TableText"/>
              <w:jc w:val="center"/>
            </w:pPr>
            <w:r w:rsidRPr="00903174">
              <w:t>93.14</w:t>
            </w:r>
          </w:p>
          <w:p w14:paraId="0C29EEA8" w14:textId="77777777" w:rsidR="00A370FA" w:rsidRPr="00903174" w:rsidRDefault="00A370FA" w:rsidP="00A370FA">
            <w:pPr>
              <w:pStyle w:val="TableText"/>
              <w:jc w:val="center"/>
            </w:pPr>
            <w:r w:rsidRPr="00903174">
              <w:t>(5.39, 1609.09)</w:t>
            </w:r>
          </w:p>
        </w:tc>
        <w:tc>
          <w:tcPr>
            <w:tcW w:w="777" w:type="pct"/>
            <w:shd w:val="clear" w:color="auto" w:fill="auto"/>
            <w:vAlign w:val="center"/>
            <w:hideMark/>
          </w:tcPr>
          <w:p w14:paraId="3FB569C4" w14:textId="77777777" w:rsidR="00A370FA" w:rsidRPr="00903174" w:rsidRDefault="00A370FA" w:rsidP="00A370FA">
            <w:pPr>
              <w:pStyle w:val="TableText"/>
              <w:jc w:val="center"/>
            </w:pPr>
            <w:r w:rsidRPr="00903174">
              <w:t>46.02</w:t>
            </w:r>
          </w:p>
          <w:p w14:paraId="2DA749AA" w14:textId="77777777" w:rsidR="00A370FA" w:rsidRPr="00903174" w:rsidRDefault="00A370FA" w:rsidP="00A370FA">
            <w:pPr>
              <w:pStyle w:val="TableText"/>
              <w:jc w:val="center"/>
              <w:rPr>
                <w:color w:val="000000"/>
              </w:rPr>
            </w:pPr>
            <w:r w:rsidRPr="00903174">
              <w:t>(2.88, 735.53)</w:t>
            </w:r>
          </w:p>
        </w:tc>
        <w:tc>
          <w:tcPr>
            <w:tcW w:w="775" w:type="pct"/>
            <w:shd w:val="clear" w:color="auto" w:fill="auto"/>
            <w:vAlign w:val="center"/>
            <w:hideMark/>
          </w:tcPr>
          <w:p w14:paraId="05C1C0D9" w14:textId="77777777" w:rsidR="00A370FA" w:rsidRPr="00903174" w:rsidRDefault="00A370FA" w:rsidP="00A370FA">
            <w:pPr>
              <w:pStyle w:val="TableText"/>
              <w:jc w:val="center"/>
            </w:pPr>
            <w:r w:rsidRPr="00903174">
              <w:t>51.2</w:t>
            </w:r>
          </w:p>
          <w:p w14:paraId="7510003F" w14:textId="77777777" w:rsidR="00A370FA" w:rsidRPr="00903174" w:rsidRDefault="00A370FA" w:rsidP="00A370FA">
            <w:pPr>
              <w:pStyle w:val="TableText"/>
              <w:jc w:val="center"/>
            </w:pPr>
            <w:r w:rsidRPr="00903174">
              <w:t>(36.1, 66.2)</w:t>
            </w:r>
          </w:p>
        </w:tc>
      </w:tr>
      <w:tr w:rsidR="00A370FA" w:rsidRPr="00903174" w14:paraId="36B7D840" w14:textId="77777777" w:rsidTr="00A370FA">
        <w:trPr>
          <w:trHeight w:val="64"/>
        </w:trPr>
        <w:tc>
          <w:tcPr>
            <w:tcW w:w="552" w:type="pct"/>
            <w:shd w:val="clear" w:color="auto" w:fill="auto"/>
            <w:vAlign w:val="center"/>
            <w:hideMark/>
          </w:tcPr>
          <w:p w14:paraId="00C9AE51" w14:textId="77777777" w:rsidR="00A370FA" w:rsidRPr="00903174" w:rsidRDefault="00A370FA" w:rsidP="00A370FA">
            <w:pPr>
              <w:pStyle w:val="TableText"/>
              <w:jc w:val="center"/>
            </w:pPr>
            <w:r w:rsidRPr="00903174">
              <w:t>Trial 301</w:t>
            </w:r>
          </w:p>
        </w:tc>
        <w:tc>
          <w:tcPr>
            <w:tcW w:w="782" w:type="pct"/>
            <w:shd w:val="clear" w:color="auto" w:fill="auto"/>
            <w:vAlign w:val="center"/>
            <w:hideMark/>
          </w:tcPr>
          <w:p w14:paraId="543102A3" w14:textId="77777777" w:rsidR="00A370FA" w:rsidRPr="00903174" w:rsidRDefault="00A370FA" w:rsidP="00A370FA">
            <w:pPr>
              <w:pStyle w:val="TableText"/>
              <w:jc w:val="center"/>
            </w:pPr>
            <w:r w:rsidRPr="00903174">
              <w:rPr>
                <w:color w:val="000000"/>
              </w:rPr>
              <w:t>92/125 (73.6)</w:t>
            </w:r>
          </w:p>
        </w:tc>
        <w:tc>
          <w:tcPr>
            <w:tcW w:w="706" w:type="pct"/>
            <w:shd w:val="clear" w:color="auto" w:fill="auto"/>
            <w:vAlign w:val="center"/>
            <w:hideMark/>
          </w:tcPr>
          <w:p w14:paraId="773F144D" w14:textId="77777777" w:rsidR="00A370FA" w:rsidRPr="00903174" w:rsidRDefault="00A370FA" w:rsidP="00A370FA">
            <w:pPr>
              <w:pStyle w:val="TableText"/>
              <w:jc w:val="center"/>
            </w:pPr>
            <w:r w:rsidRPr="00903174">
              <w:rPr>
                <w:color w:val="000000"/>
              </w:rPr>
              <w:t>80/121 (66.1)</w:t>
            </w:r>
          </w:p>
        </w:tc>
        <w:tc>
          <w:tcPr>
            <w:tcW w:w="632" w:type="pct"/>
            <w:shd w:val="clear" w:color="auto" w:fill="auto"/>
            <w:vAlign w:val="center"/>
            <w:hideMark/>
          </w:tcPr>
          <w:p w14:paraId="49FACD0D" w14:textId="77777777" w:rsidR="00A370FA" w:rsidRPr="00903174" w:rsidRDefault="00A370FA" w:rsidP="00A370FA">
            <w:pPr>
              <w:pStyle w:val="TableText"/>
              <w:jc w:val="center"/>
            </w:pPr>
            <w:r w:rsidRPr="00903174">
              <w:t>–</w:t>
            </w:r>
          </w:p>
        </w:tc>
        <w:tc>
          <w:tcPr>
            <w:tcW w:w="776" w:type="pct"/>
            <w:shd w:val="clear" w:color="auto" w:fill="auto"/>
            <w:vAlign w:val="center"/>
            <w:hideMark/>
          </w:tcPr>
          <w:p w14:paraId="359947F6" w14:textId="77777777" w:rsidR="00A370FA" w:rsidRPr="00903174" w:rsidRDefault="00A370FA" w:rsidP="00A370FA">
            <w:pPr>
              <w:pStyle w:val="TableText"/>
              <w:jc w:val="center"/>
              <w:rPr>
                <w:color w:val="000000"/>
              </w:rPr>
            </w:pPr>
            <w:r w:rsidRPr="00903174">
              <w:rPr>
                <w:color w:val="000000"/>
              </w:rPr>
              <w:t>1.43</w:t>
            </w:r>
          </w:p>
          <w:p w14:paraId="546A72D8" w14:textId="77777777" w:rsidR="00A370FA" w:rsidRPr="00903174" w:rsidRDefault="00A370FA" w:rsidP="00A370FA">
            <w:pPr>
              <w:pStyle w:val="TableText"/>
              <w:jc w:val="center"/>
            </w:pPr>
            <w:r w:rsidRPr="00903174">
              <w:rPr>
                <w:color w:val="000000"/>
              </w:rPr>
              <w:t>(0.83, 2.47)</w:t>
            </w:r>
          </w:p>
        </w:tc>
        <w:tc>
          <w:tcPr>
            <w:tcW w:w="777" w:type="pct"/>
            <w:shd w:val="clear" w:color="auto" w:fill="auto"/>
            <w:vAlign w:val="center"/>
            <w:hideMark/>
          </w:tcPr>
          <w:p w14:paraId="12C4B771" w14:textId="77777777" w:rsidR="00A370FA" w:rsidRPr="00903174" w:rsidRDefault="00A370FA" w:rsidP="00A370FA">
            <w:pPr>
              <w:pStyle w:val="TableText"/>
              <w:jc w:val="center"/>
              <w:rPr>
                <w:color w:val="000000"/>
              </w:rPr>
            </w:pPr>
            <w:r w:rsidRPr="00903174">
              <w:rPr>
                <w:color w:val="000000"/>
              </w:rPr>
              <w:t>1.11</w:t>
            </w:r>
          </w:p>
          <w:p w14:paraId="1FBE1DE7" w14:textId="77777777" w:rsidR="00A370FA" w:rsidRPr="00903174" w:rsidRDefault="00A370FA" w:rsidP="00A370FA">
            <w:pPr>
              <w:pStyle w:val="TableText"/>
              <w:jc w:val="center"/>
            </w:pPr>
            <w:r w:rsidRPr="00903174">
              <w:rPr>
                <w:color w:val="000000"/>
              </w:rPr>
              <w:t>(0.94, 1.31)</w:t>
            </w:r>
          </w:p>
        </w:tc>
        <w:tc>
          <w:tcPr>
            <w:tcW w:w="775" w:type="pct"/>
            <w:shd w:val="clear" w:color="auto" w:fill="auto"/>
            <w:vAlign w:val="center"/>
            <w:hideMark/>
          </w:tcPr>
          <w:p w14:paraId="5B8DF511" w14:textId="77777777" w:rsidR="00A370FA" w:rsidRPr="00903174" w:rsidRDefault="00A370FA" w:rsidP="00A370FA">
            <w:pPr>
              <w:pStyle w:val="TableText"/>
              <w:jc w:val="center"/>
              <w:rPr>
                <w:color w:val="000000"/>
              </w:rPr>
            </w:pPr>
            <w:r w:rsidRPr="00903174">
              <w:rPr>
                <w:color w:val="000000"/>
              </w:rPr>
              <w:t>7.5</w:t>
            </w:r>
          </w:p>
          <w:p w14:paraId="6FFF7852" w14:textId="77777777" w:rsidR="00A370FA" w:rsidRPr="00903174" w:rsidRDefault="00A370FA" w:rsidP="00A370FA">
            <w:pPr>
              <w:pStyle w:val="TableText"/>
              <w:jc w:val="center"/>
            </w:pPr>
            <w:r w:rsidRPr="00903174">
              <w:rPr>
                <w:color w:val="000000"/>
              </w:rPr>
              <w:t>(-4.0, 18.9)</w:t>
            </w:r>
          </w:p>
        </w:tc>
      </w:tr>
      <w:tr w:rsidR="00A370FA" w:rsidRPr="00903174" w14:paraId="06BD7331" w14:textId="77777777" w:rsidTr="00A370FA">
        <w:trPr>
          <w:trHeight w:val="64"/>
        </w:trPr>
        <w:tc>
          <w:tcPr>
            <w:tcW w:w="552" w:type="pct"/>
            <w:shd w:val="clear" w:color="auto" w:fill="auto"/>
            <w:vAlign w:val="center"/>
            <w:hideMark/>
          </w:tcPr>
          <w:p w14:paraId="45EFEFD5" w14:textId="77777777" w:rsidR="00A370FA" w:rsidRPr="00903174" w:rsidRDefault="00A370FA" w:rsidP="00A370FA">
            <w:pPr>
              <w:pStyle w:val="TableText"/>
              <w:jc w:val="center"/>
            </w:pPr>
            <w:r w:rsidRPr="00903174">
              <w:t>Trial 302</w:t>
            </w:r>
          </w:p>
        </w:tc>
        <w:tc>
          <w:tcPr>
            <w:tcW w:w="782" w:type="pct"/>
            <w:shd w:val="clear" w:color="auto" w:fill="auto"/>
            <w:vAlign w:val="center"/>
            <w:hideMark/>
          </w:tcPr>
          <w:p w14:paraId="20D09D64" w14:textId="77777777" w:rsidR="00A370FA" w:rsidRPr="00903174" w:rsidRDefault="00A370FA" w:rsidP="00A370FA">
            <w:pPr>
              <w:pStyle w:val="TableText"/>
              <w:jc w:val="center"/>
            </w:pPr>
            <w:r w:rsidRPr="00903174">
              <w:rPr>
                <w:color w:val="000000"/>
              </w:rPr>
              <w:t>85/97 (87.6)</w:t>
            </w:r>
          </w:p>
        </w:tc>
        <w:tc>
          <w:tcPr>
            <w:tcW w:w="706" w:type="pct"/>
            <w:shd w:val="clear" w:color="auto" w:fill="auto"/>
            <w:vAlign w:val="center"/>
            <w:hideMark/>
          </w:tcPr>
          <w:p w14:paraId="7E32C517" w14:textId="77777777" w:rsidR="00A370FA" w:rsidRPr="00903174" w:rsidRDefault="00A370FA" w:rsidP="00A370FA">
            <w:pPr>
              <w:pStyle w:val="TableText"/>
              <w:jc w:val="center"/>
            </w:pPr>
            <w:r w:rsidRPr="00903174">
              <w:rPr>
                <w:color w:val="000000"/>
              </w:rPr>
              <w:t>81/98 (82.7)</w:t>
            </w:r>
          </w:p>
        </w:tc>
        <w:tc>
          <w:tcPr>
            <w:tcW w:w="632" w:type="pct"/>
            <w:shd w:val="clear" w:color="auto" w:fill="auto"/>
            <w:vAlign w:val="center"/>
            <w:hideMark/>
          </w:tcPr>
          <w:p w14:paraId="7CBFF34C" w14:textId="77777777" w:rsidR="00A370FA" w:rsidRPr="00903174" w:rsidRDefault="00A370FA" w:rsidP="00A370FA">
            <w:pPr>
              <w:pStyle w:val="TableText"/>
              <w:jc w:val="center"/>
            </w:pPr>
            <w:r w:rsidRPr="00903174">
              <w:t>–</w:t>
            </w:r>
          </w:p>
        </w:tc>
        <w:tc>
          <w:tcPr>
            <w:tcW w:w="776" w:type="pct"/>
            <w:shd w:val="clear" w:color="auto" w:fill="auto"/>
            <w:vAlign w:val="center"/>
            <w:hideMark/>
          </w:tcPr>
          <w:p w14:paraId="6AE592D5" w14:textId="77777777" w:rsidR="00A370FA" w:rsidRPr="00903174" w:rsidRDefault="00A370FA" w:rsidP="00A370FA">
            <w:pPr>
              <w:pStyle w:val="TableText"/>
              <w:jc w:val="center"/>
              <w:rPr>
                <w:color w:val="000000"/>
              </w:rPr>
            </w:pPr>
            <w:r w:rsidRPr="00903174">
              <w:rPr>
                <w:color w:val="000000"/>
              </w:rPr>
              <w:t>1.49</w:t>
            </w:r>
          </w:p>
          <w:p w14:paraId="043EE8B3" w14:textId="77777777" w:rsidR="00A370FA" w:rsidRPr="00903174" w:rsidRDefault="00A370FA" w:rsidP="00A370FA">
            <w:pPr>
              <w:pStyle w:val="TableText"/>
              <w:jc w:val="center"/>
            </w:pPr>
            <w:r w:rsidRPr="00903174">
              <w:rPr>
                <w:color w:val="000000"/>
              </w:rPr>
              <w:t>(0.67, 3.31)</w:t>
            </w:r>
          </w:p>
        </w:tc>
        <w:tc>
          <w:tcPr>
            <w:tcW w:w="777" w:type="pct"/>
            <w:shd w:val="clear" w:color="auto" w:fill="auto"/>
            <w:vAlign w:val="center"/>
            <w:hideMark/>
          </w:tcPr>
          <w:p w14:paraId="7C71BD1E" w14:textId="77777777" w:rsidR="00A370FA" w:rsidRPr="00903174" w:rsidRDefault="00A370FA" w:rsidP="00A370FA">
            <w:pPr>
              <w:pStyle w:val="TableText"/>
              <w:jc w:val="center"/>
              <w:rPr>
                <w:color w:val="000000"/>
              </w:rPr>
            </w:pPr>
            <w:r w:rsidRPr="00903174">
              <w:rPr>
                <w:color w:val="000000"/>
              </w:rPr>
              <w:t>1.06</w:t>
            </w:r>
          </w:p>
          <w:p w14:paraId="32711A8A" w14:textId="77777777" w:rsidR="00A370FA" w:rsidRPr="00903174" w:rsidRDefault="00A370FA" w:rsidP="00A370FA">
            <w:pPr>
              <w:pStyle w:val="TableText"/>
              <w:jc w:val="center"/>
            </w:pPr>
            <w:r w:rsidRPr="00903174">
              <w:rPr>
                <w:color w:val="000000"/>
              </w:rPr>
              <w:t>(0.94, 1.19)</w:t>
            </w:r>
          </w:p>
        </w:tc>
        <w:tc>
          <w:tcPr>
            <w:tcW w:w="775" w:type="pct"/>
            <w:shd w:val="clear" w:color="auto" w:fill="auto"/>
            <w:vAlign w:val="center"/>
            <w:hideMark/>
          </w:tcPr>
          <w:p w14:paraId="3813F6AD" w14:textId="77777777" w:rsidR="00A370FA" w:rsidRPr="00903174" w:rsidRDefault="00A370FA" w:rsidP="00A370FA">
            <w:pPr>
              <w:pStyle w:val="TableText"/>
              <w:jc w:val="center"/>
              <w:rPr>
                <w:color w:val="000000"/>
              </w:rPr>
            </w:pPr>
            <w:r w:rsidRPr="00903174">
              <w:rPr>
                <w:color w:val="000000"/>
              </w:rPr>
              <w:t>5.0</w:t>
            </w:r>
          </w:p>
          <w:p w14:paraId="70EB1CD1" w14:textId="77777777" w:rsidR="00A370FA" w:rsidRPr="00903174" w:rsidRDefault="00A370FA" w:rsidP="00A370FA">
            <w:pPr>
              <w:pStyle w:val="TableText"/>
              <w:jc w:val="center"/>
              <w:rPr>
                <w:color w:val="000000"/>
              </w:rPr>
            </w:pPr>
            <w:r w:rsidRPr="00903174">
              <w:rPr>
                <w:color w:val="000000"/>
              </w:rPr>
              <w:t>(-5.0, 14.9)</w:t>
            </w:r>
          </w:p>
        </w:tc>
      </w:tr>
      <w:tr w:rsidR="00A370FA" w:rsidRPr="00903174" w14:paraId="4C308D9E" w14:textId="77777777" w:rsidTr="00A370FA">
        <w:trPr>
          <w:trHeight w:val="64"/>
        </w:trPr>
        <w:tc>
          <w:tcPr>
            <w:tcW w:w="2672" w:type="pct"/>
            <w:gridSpan w:val="4"/>
            <w:shd w:val="clear" w:color="auto" w:fill="auto"/>
            <w:vAlign w:val="center"/>
            <w:hideMark/>
          </w:tcPr>
          <w:p w14:paraId="2CF8DC9E" w14:textId="77777777" w:rsidR="00A370FA" w:rsidRPr="00903174" w:rsidRDefault="00A370FA" w:rsidP="00A370FA">
            <w:pPr>
              <w:pStyle w:val="TableText"/>
              <w:jc w:val="right"/>
            </w:pPr>
            <w:r w:rsidRPr="00903174">
              <w:t>Meta-analysis of Trials 301 and 302</w:t>
            </w:r>
          </w:p>
        </w:tc>
        <w:tc>
          <w:tcPr>
            <w:tcW w:w="776" w:type="pct"/>
            <w:shd w:val="clear" w:color="auto" w:fill="auto"/>
            <w:vAlign w:val="center"/>
            <w:hideMark/>
          </w:tcPr>
          <w:p w14:paraId="62346D9E" w14:textId="77777777" w:rsidR="00A370FA" w:rsidRPr="00903174" w:rsidRDefault="00A370FA" w:rsidP="00A370FA">
            <w:pPr>
              <w:pStyle w:val="TableText"/>
              <w:jc w:val="center"/>
            </w:pPr>
            <w:r w:rsidRPr="00903174">
              <w:t>1.45</w:t>
            </w:r>
          </w:p>
          <w:p w14:paraId="105E2689" w14:textId="77777777" w:rsidR="00A370FA" w:rsidRPr="00903174" w:rsidRDefault="00A370FA" w:rsidP="00A370FA">
            <w:pPr>
              <w:pStyle w:val="TableText"/>
              <w:jc w:val="center"/>
            </w:pPr>
            <w:r w:rsidRPr="00903174">
              <w:t>(0.92, 2.27)</w:t>
            </w:r>
          </w:p>
        </w:tc>
        <w:tc>
          <w:tcPr>
            <w:tcW w:w="777" w:type="pct"/>
            <w:shd w:val="clear" w:color="auto" w:fill="auto"/>
            <w:vAlign w:val="center"/>
            <w:hideMark/>
          </w:tcPr>
          <w:p w14:paraId="06F90AF9" w14:textId="77777777" w:rsidR="00A370FA" w:rsidRPr="00903174" w:rsidRDefault="00A370FA" w:rsidP="00A370FA">
            <w:pPr>
              <w:pStyle w:val="TableText"/>
              <w:jc w:val="center"/>
            </w:pPr>
            <w:r w:rsidRPr="00903174">
              <w:t>1.08</w:t>
            </w:r>
          </w:p>
          <w:p w14:paraId="1B26A496" w14:textId="77777777" w:rsidR="00A370FA" w:rsidRPr="00903174" w:rsidRDefault="00A370FA" w:rsidP="00A370FA">
            <w:pPr>
              <w:pStyle w:val="TableText"/>
              <w:jc w:val="center"/>
            </w:pPr>
            <w:r w:rsidRPr="00903174">
              <w:t>(0.98, 1.19)</w:t>
            </w:r>
          </w:p>
        </w:tc>
        <w:tc>
          <w:tcPr>
            <w:tcW w:w="775" w:type="pct"/>
            <w:shd w:val="clear" w:color="auto" w:fill="auto"/>
            <w:vAlign w:val="center"/>
            <w:hideMark/>
          </w:tcPr>
          <w:p w14:paraId="3484D5D3" w14:textId="77777777" w:rsidR="00A370FA" w:rsidRPr="00903174" w:rsidRDefault="00A370FA" w:rsidP="00A370FA">
            <w:pPr>
              <w:pStyle w:val="TableText"/>
              <w:jc w:val="center"/>
            </w:pPr>
            <w:r w:rsidRPr="00903174">
              <w:t>6.1</w:t>
            </w:r>
          </w:p>
          <w:p w14:paraId="670BD67E" w14:textId="77777777" w:rsidR="00A370FA" w:rsidRPr="00903174" w:rsidRDefault="00A370FA" w:rsidP="00A370FA">
            <w:pPr>
              <w:pStyle w:val="TableText"/>
              <w:jc w:val="center"/>
            </w:pPr>
            <w:r w:rsidRPr="00903174">
              <w:t>(-1.5, 13.6)</w:t>
            </w:r>
          </w:p>
        </w:tc>
      </w:tr>
      <w:tr w:rsidR="00A370FA" w:rsidRPr="00903174" w14:paraId="60E2CE12" w14:textId="77777777" w:rsidTr="00A370FA">
        <w:trPr>
          <w:trHeight w:val="64"/>
        </w:trPr>
        <w:tc>
          <w:tcPr>
            <w:tcW w:w="2672" w:type="pct"/>
            <w:gridSpan w:val="4"/>
            <w:shd w:val="clear" w:color="auto" w:fill="auto"/>
            <w:vAlign w:val="center"/>
          </w:tcPr>
          <w:p w14:paraId="7DB5CB2C" w14:textId="77777777" w:rsidR="00A370FA" w:rsidRPr="00903174" w:rsidRDefault="00A370FA" w:rsidP="00A370FA">
            <w:pPr>
              <w:pStyle w:val="TableText"/>
              <w:jc w:val="right"/>
            </w:pPr>
            <w:r w:rsidRPr="00903174">
              <w:t>Indirect comparison of pooled Trials 301/302 and TRIUMPH</w:t>
            </w:r>
          </w:p>
        </w:tc>
        <w:tc>
          <w:tcPr>
            <w:tcW w:w="776" w:type="pct"/>
            <w:shd w:val="clear" w:color="auto" w:fill="auto"/>
          </w:tcPr>
          <w:p w14:paraId="424062F3" w14:textId="77777777" w:rsidR="00A370FA" w:rsidRPr="00903174" w:rsidRDefault="00A370FA" w:rsidP="00A370FA">
            <w:pPr>
              <w:pStyle w:val="TableText"/>
              <w:jc w:val="center"/>
            </w:pPr>
            <w:r w:rsidRPr="00903174">
              <w:t>134.8</w:t>
            </w:r>
          </w:p>
          <w:p w14:paraId="3B20E9CE" w14:textId="77777777" w:rsidR="00A370FA" w:rsidRPr="00903174" w:rsidRDefault="00A370FA" w:rsidP="00A370FA">
            <w:pPr>
              <w:pStyle w:val="TableText"/>
              <w:jc w:val="center"/>
            </w:pPr>
            <w:r w:rsidRPr="00903174">
              <w:t>(7.53, 2412.8)</w:t>
            </w:r>
          </w:p>
        </w:tc>
        <w:tc>
          <w:tcPr>
            <w:tcW w:w="777" w:type="pct"/>
            <w:shd w:val="clear" w:color="auto" w:fill="auto"/>
          </w:tcPr>
          <w:p w14:paraId="78B66264" w14:textId="77777777" w:rsidR="00A370FA" w:rsidRPr="00903174" w:rsidRDefault="00A370FA" w:rsidP="00A370FA">
            <w:pPr>
              <w:pStyle w:val="TableText"/>
              <w:jc w:val="center"/>
            </w:pPr>
            <w:r w:rsidRPr="00903174">
              <w:t>49.6</w:t>
            </w:r>
          </w:p>
          <w:p w14:paraId="07E99F60" w14:textId="77777777" w:rsidR="00A370FA" w:rsidRPr="00903174" w:rsidRDefault="00A370FA" w:rsidP="00A370FA">
            <w:pPr>
              <w:pStyle w:val="TableText"/>
              <w:jc w:val="center"/>
            </w:pPr>
            <w:r w:rsidRPr="00903174">
              <w:t>(3.10, 794.3)</w:t>
            </w:r>
          </w:p>
        </w:tc>
        <w:tc>
          <w:tcPr>
            <w:tcW w:w="775" w:type="pct"/>
            <w:shd w:val="clear" w:color="auto" w:fill="auto"/>
          </w:tcPr>
          <w:p w14:paraId="2893E1E5" w14:textId="77777777" w:rsidR="00A370FA" w:rsidRPr="00903174" w:rsidRDefault="00A370FA" w:rsidP="00A370FA">
            <w:pPr>
              <w:pStyle w:val="TableText"/>
              <w:jc w:val="center"/>
            </w:pPr>
            <w:r w:rsidRPr="00903174">
              <w:t>57.3</w:t>
            </w:r>
          </w:p>
          <w:p w14:paraId="4C4DD4A0" w14:textId="77777777" w:rsidR="00A370FA" w:rsidRPr="00903174" w:rsidRDefault="00A370FA" w:rsidP="00A370FA">
            <w:pPr>
              <w:pStyle w:val="TableText"/>
              <w:jc w:val="center"/>
            </w:pPr>
            <w:r w:rsidRPr="00903174">
              <w:t>(40.4, 74.1)</w:t>
            </w:r>
          </w:p>
        </w:tc>
      </w:tr>
      <w:tr w:rsidR="00A370FA" w:rsidRPr="00903174" w14:paraId="7FEC9BDF" w14:textId="77777777" w:rsidTr="00A370FA">
        <w:trPr>
          <w:trHeight w:val="64"/>
        </w:trPr>
        <w:tc>
          <w:tcPr>
            <w:tcW w:w="2672" w:type="pct"/>
            <w:gridSpan w:val="4"/>
            <w:shd w:val="clear" w:color="auto" w:fill="auto"/>
            <w:vAlign w:val="center"/>
          </w:tcPr>
          <w:p w14:paraId="78088178" w14:textId="77777777" w:rsidR="00A370FA" w:rsidRPr="00903174" w:rsidRDefault="00A370FA" w:rsidP="00A370FA">
            <w:pPr>
              <w:pStyle w:val="TableText"/>
              <w:jc w:val="right"/>
            </w:pPr>
            <w:r w:rsidRPr="00903174">
              <w:t>Indirect comparison of Trial 301 and TRIUMPH</w:t>
            </w:r>
          </w:p>
        </w:tc>
        <w:tc>
          <w:tcPr>
            <w:tcW w:w="776" w:type="pct"/>
            <w:shd w:val="clear" w:color="auto" w:fill="auto"/>
          </w:tcPr>
          <w:p w14:paraId="795BDF3D" w14:textId="77777777" w:rsidR="00A370FA" w:rsidRPr="00903174" w:rsidRDefault="00A370FA" w:rsidP="00A370FA">
            <w:pPr>
              <w:pStyle w:val="TableText"/>
              <w:jc w:val="center"/>
            </w:pPr>
            <w:r w:rsidRPr="00903174">
              <w:t>133.1</w:t>
            </w:r>
          </w:p>
          <w:p w14:paraId="549010BC" w14:textId="77777777" w:rsidR="00A370FA" w:rsidRPr="00903174" w:rsidRDefault="00A370FA" w:rsidP="00A370FA">
            <w:pPr>
              <w:pStyle w:val="TableText"/>
              <w:jc w:val="center"/>
            </w:pPr>
            <w:r w:rsidRPr="00903174">
              <w:t>(7.31, 2422.2)</w:t>
            </w:r>
          </w:p>
        </w:tc>
        <w:tc>
          <w:tcPr>
            <w:tcW w:w="777" w:type="pct"/>
            <w:shd w:val="clear" w:color="auto" w:fill="auto"/>
          </w:tcPr>
          <w:p w14:paraId="35DED397" w14:textId="77777777" w:rsidR="00A370FA" w:rsidRPr="00903174" w:rsidRDefault="00A370FA" w:rsidP="00A370FA">
            <w:pPr>
              <w:pStyle w:val="TableText"/>
              <w:jc w:val="center"/>
            </w:pPr>
            <w:r w:rsidRPr="00903174">
              <w:t>51.2</w:t>
            </w:r>
          </w:p>
          <w:p w14:paraId="406812C9" w14:textId="77777777" w:rsidR="00A370FA" w:rsidRPr="00903174" w:rsidRDefault="00A370FA" w:rsidP="00A370FA">
            <w:pPr>
              <w:pStyle w:val="TableText"/>
              <w:jc w:val="center"/>
            </w:pPr>
            <w:r w:rsidRPr="00903174">
              <w:t>(3.19, 822.9)</w:t>
            </w:r>
          </w:p>
        </w:tc>
        <w:tc>
          <w:tcPr>
            <w:tcW w:w="775" w:type="pct"/>
            <w:shd w:val="clear" w:color="auto" w:fill="auto"/>
          </w:tcPr>
          <w:p w14:paraId="73A57512" w14:textId="77777777" w:rsidR="00A370FA" w:rsidRPr="00903174" w:rsidRDefault="00A370FA" w:rsidP="00A370FA">
            <w:pPr>
              <w:pStyle w:val="TableText"/>
              <w:jc w:val="center"/>
            </w:pPr>
            <w:r w:rsidRPr="00903174">
              <w:t>58.6</w:t>
            </w:r>
          </w:p>
          <w:p w14:paraId="2D891B64" w14:textId="77777777" w:rsidR="00A370FA" w:rsidRPr="00903174" w:rsidRDefault="00A370FA" w:rsidP="00A370FA">
            <w:pPr>
              <w:pStyle w:val="TableText"/>
              <w:jc w:val="center"/>
            </w:pPr>
            <w:r w:rsidRPr="00903174">
              <w:t>(43.3, 74.0)</w:t>
            </w:r>
          </w:p>
        </w:tc>
      </w:tr>
    </w:tbl>
    <w:p w14:paraId="3324C455" w14:textId="77777777" w:rsidR="00A370FA" w:rsidRPr="00903174" w:rsidRDefault="00A370FA" w:rsidP="00A370FA">
      <w:pPr>
        <w:pStyle w:val="TableFigureFooter"/>
      </w:pPr>
      <w:r w:rsidRPr="00903174">
        <w:t>Source: Table 93, p169; Table 96, p171 of the submission.</w:t>
      </w:r>
    </w:p>
    <w:p w14:paraId="248CB058" w14:textId="77777777" w:rsidR="00A370FA" w:rsidRPr="00903174" w:rsidRDefault="00A370FA" w:rsidP="00A370FA">
      <w:pPr>
        <w:pStyle w:val="TableFigureFooter"/>
      </w:pPr>
      <w:r w:rsidRPr="00903174">
        <w:t>Abbreviations: OR, odds ratio; RD, risk difference; RR, relative risk.</w:t>
      </w:r>
    </w:p>
    <w:p w14:paraId="4455F40A" w14:textId="77777777" w:rsidR="00A370FA" w:rsidRPr="00903174" w:rsidRDefault="00A370FA" w:rsidP="00415038">
      <w:pPr>
        <w:pStyle w:val="ExecSumBodyText"/>
        <w:numPr>
          <w:ilvl w:val="1"/>
          <w:numId w:val="1"/>
        </w:numPr>
        <w:rPr>
          <w:i/>
          <w:color w:val="000000" w:themeColor="text1"/>
        </w:rPr>
      </w:pPr>
      <w:r w:rsidRPr="00903174">
        <w:rPr>
          <w:color w:val="000000" w:themeColor="text1"/>
        </w:rPr>
        <w:t>The comparison of eculizumab and placebo in the TRIUMPH trial for transfusion avoidance resulted in very wide confidence intervals</w:t>
      </w:r>
      <w:r w:rsidR="00B83C7D" w:rsidRPr="00903174">
        <w:rPr>
          <w:color w:val="000000" w:themeColor="text1"/>
        </w:rPr>
        <w:t xml:space="preserve">, </w:t>
      </w:r>
      <w:r w:rsidR="00634B12" w:rsidRPr="00903174">
        <w:rPr>
          <w:color w:val="000000" w:themeColor="text1"/>
        </w:rPr>
        <w:t>given</w:t>
      </w:r>
      <w:r w:rsidR="00B83C7D" w:rsidRPr="00903174">
        <w:rPr>
          <w:color w:val="000000" w:themeColor="text1"/>
        </w:rPr>
        <w:t xml:space="preserve"> low patient numbers in the TRIUMPH trial.</w:t>
      </w:r>
      <w:r w:rsidRPr="00903174">
        <w:rPr>
          <w:color w:val="000000" w:themeColor="text1"/>
        </w:rPr>
        <w:t xml:space="preserve"> Results for both indirect comparisons using pooled data from Trials 301/302 and using Trial 301 alone demonstrated a statistically significant difference in avoidance of transfusions between ravulizumab and placebo. However all measures were associated with wide confidence intervals, </w:t>
      </w:r>
      <w:r w:rsidR="00634B12" w:rsidRPr="00903174">
        <w:rPr>
          <w:color w:val="000000" w:themeColor="text1"/>
        </w:rPr>
        <w:t>due to heterogeneity in the results for the common comparator arm and the low patient numbers in the TRIUMPH trial</w:t>
      </w:r>
      <w:r w:rsidRPr="00903174">
        <w:rPr>
          <w:color w:val="000000" w:themeColor="text1"/>
        </w:rPr>
        <w:t>.</w:t>
      </w:r>
    </w:p>
    <w:p w14:paraId="307FF5D5" w14:textId="77777777" w:rsidR="00A370FA" w:rsidRPr="00903174" w:rsidRDefault="00A370FA" w:rsidP="00415038">
      <w:pPr>
        <w:pStyle w:val="ExecSumBodyText"/>
        <w:numPr>
          <w:ilvl w:val="1"/>
          <w:numId w:val="1"/>
        </w:numPr>
      </w:pPr>
      <w:r w:rsidRPr="00903174">
        <w:lastRenderedPageBreak/>
        <w:t xml:space="preserve">Results of the indirect comparison for change from baseline in FACIT-fatigue total scores comparing the meta-analysed ravulizumab trials with the TRIUMPH trial, and comparing Trial 301 only with TRIUMPH, are presented in </w:t>
      </w:r>
      <w:r w:rsidR="00F609CC" w:rsidRPr="00903174">
        <w:t>the table below</w:t>
      </w:r>
      <w:r w:rsidRPr="00903174">
        <w:t>.</w:t>
      </w:r>
    </w:p>
    <w:p w14:paraId="3806A9D2" w14:textId="77777777" w:rsidR="00A370FA" w:rsidRPr="00903174" w:rsidRDefault="00A370FA" w:rsidP="00A370FA">
      <w:pPr>
        <w:pStyle w:val="TableFigureCaption"/>
      </w:pPr>
      <w:r w:rsidRPr="00903174">
        <w:t xml:space="preserve">Table </w:t>
      </w:r>
      <w:r w:rsidR="001D6AD7" w:rsidRPr="00903174">
        <w:t>11</w:t>
      </w:r>
      <w:r w:rsidRPr="00903174">
        <w:t>: Indirect comparison of change in FACIT-fatigue total scores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7"/>
        <w:gridCol w:w="1717"/>
        <w:gridCol w:w="1717"/>
        <w:gridCol w:w="2150"/>
      </w:tblGrid>
      <w:tr w:rsidR="00A370FA" w:rsidRPr="00903174" w14:paraId="0BEC5454" w14:textId="77777777" w:rsidTr="00634B12">
        <w:trPr>
          <w:trHeight w:val="64"/>
        </w:trPr>
        <w:tc>
          <w:tcPr>
            <w:tcW w:w="952" w:type="pct"/>
            <w:shd w:val="clear" w:color="auto" w:fill="auto"/>
            <w:vAlign w:val="center"/>
            <w:hideMark/>
          </w:tcPr>
          <w:p w14:paraId="72ADB507" w14:textId="77777777" w:rsidR="00A370FA" w:rsidRPr="00903174" w:rsidRDefault="00A370FA" w:rsidP="00A370FA">
            <w:pPr>
              <w:pStyle w:val="TableHeading"/>
              <w:spacing w:after="0"/>
              <w:jc w:val="center"/>
              <w:rPr>
                <w:rFonts w:cs="Times New Roman"/>
              </w:rPr>
            </w:pPr>
            <w:r w:rsidRPr="00903174">
              <w:t>Trial</w:t>
            </w:r>
          </w:p>
        </w:tc>
        <w:tc>
          <w:tcPr>
            <w:tcW w:w="952" w:type="pct"/>
            <w:shd w:val="clear" w:color="auto" w:fill="auto"/>
            <w:vAlign w:val="center"/>
            <w:hideMark/>
          </w:tcPr>
          <w:p w14:paraId="0D06C249" w14:textId="77777777" w:rsidR="00A370FA" w:rsidRPr="00903174" w:rsidRDefault="00A370FA" w:rsidP="00A370FA">
            <w:pPr>
              <w:pStyle w:val="TableHeading"/>
              <w:spacing w:after="0"/>
              <w:jc w:val="center"/>
            </w:pPr>
            <w:r w:rsidRPr="00903174">
              <w:t>Ravulizumab</w:t>
            </w:r>
          </w:p>
          <w:p w14:paraId="57581DFF" w14:textId="77777777" w:rsidR="00A370FA" w:rsidRPr="00903174" w:rsidRDefault="00A370FA" w:rsidP="00A370FA">
            <w:pPr>
              <w:pStyle w:val="TableHeading"/>
              <w:spacing w:after="0"/>
              <w:jc w:val="center"/>
            </w:pPr>
            <w:r w:rsidRPr="00903174">
              <w:t>Mean change (SD)</w:t>
            </w:r>
          </w:p>
        </w:tc>
        <w:tc>
          <w:tcPr>
            <w:tcW w:w="952" w:type="pct"/>
            <w:shd w:val="clear" w:color="auto" w:fill="auto"/>
            <w:vAlign w:val="center"/>
            <w:hideMark/>
          </w:tcPr>
          <w:p w14:paraId="6A83914E" w14:textId="77777777" w:rsidR="00A370FA" w:rsidRPr="00903174" w:rsidRDefault="00A370FA" w:rsidP="00A370FA">
            <w:pPr>
              <w:pStyle w:val="TableHeading"/>
              <w:spacing w:after="0"/>
              <w:jc w:val="center"/>
            </w:pPr>
            <w:r w:rsidRPr="00903174">
              <w:t>Eculizumab</w:t>
            </w:r>
          </w:p>
          <w:p w14:paraId="546A5D16" w14:textId="77777777" w:rsidR="00A370FA" w:rsidRPr="00903174" w:rsidRDefault="00A370FA" w:rsidP="00A370FA">
            <w:pPr>
              <w:pStyle w:val="TableHeading"/>
              <w:spacing w:after="0"/>
              <w:jc w:val="center"/>
            </w:pPr>
            <w:r w:rsidRPr="00903174">
              <w:t>Mean change (SD)</w:t>
            </w:r>
          </w:p>
        </w:tc>
        <w:tc>
          <w:tcPr>
            <w:tcW w:w="952" w:type="pct"/>
            <w:shd w:val="clear" w:color="auto" w:fill="auto"/>
            <w:vAlign w:val="center"/>
            <w:hideMark/>
          </w:tcPr>
          <w:p w14:paraId="0F820995" w14:textId="77777777" w:rsidR="00A370FA" w:rsidRPr="00903174" w:rsidRDefault="00A370FA" w:rsidP="00A370FA">
            <w:pPr>
              <w:pStyle w:val="TableHeading"/>
              <w:spacing w:after="0"/>
              <w:jc w:val="center"/>
            </w:pPr>
            <w:r w:rsidRPr="00903174">
              <w:t>Placebo</w:t>
            </w:r>
          </w:p>
          <w:p w14:paraId="0AB664E3" w14:textId="77777777" w:rsidR="00A370FA" w:rsidRPr="00903174" w:rsidRDefault="00A370FA" w:rsidP="00A370FA">
            <w:pPr>
              <w:pStyle w:val="TableHeading"/>
              <w:spacing w:after="0"/>
              <w:jc w:val="center"/>
            </w:pPr>
            <w:r w:rsidRPr="00903174">
              <w:t>Mean change (SD)</w:t>
            </w:r>
          </w:p>
        </w:tc>
        <w:tc>
          <w:tcPr>
            <w:tcW w:w="1192" w:type="pct"/>
            <w:shd w:val="clear" w:color="auto" w:fill="auto"/>
            <w:vAlign w:val="center"/>
            <w:hideMark/>
          </w:tcPr>
          <w:p w14:paraId="1248FE15" w14:textId="77777777" w:rsidR="00A370FA" w:rsidRPr="00903174" w:rsidRDefault="00A370FA" w:rsidP="00A370FA">
            <w:pPr>
              <w:pStyle w:val="TableHeading"/>
              <w:spacing w:after="0"/>
              <w:jc w:val="center"/>
            </w:pPr>
            <w:r w:rsidRPr="00903174">
              <w:t>WMD</w:t>
            </w:r>
          </w:p>
          <w:p w14:paraId="15482627" w14:textId="77777777" w:rsidR="00A370FA" w:rsidRPr="00903174" w:rsidRDefault="00A370FA" w:rsidP="00A370FA">
            <w:pPr>
              <w:pStyle w:val="TableHeading"/>
              <w:spacing w:after="0"/>
              <w:jc w:val="center"/>
            </w:pPr>
            <w:r w:rsidRPr="00903174">
              <w:t>(95% CI)</w:t>
            </w:r>
          </w:p>
        </w:tc>
      </w:tr>
      <w:tr w:rsidR="00A370FA" w:rsidRPr="00903174" w14:paraId="4AB58E64" w14:textId="77777777" w:rsidTr="00634B12">
        <w:trPr>
          <w:trHeight w:val="125"/>
        </w:trPr>
        <w:tc>
          <w:tcPr>
            <w:tcW w:w="952" w:type="pct"/>
            <w:shd w:val="clear" w:color="auto" w:fill="auto"/>
            <w:vAlign w:val="center"/>
            <w:hideMark/>
          </w:tcPr>
          <w:p w14:paraId="046BC9CD" w14:textId="77777777" w:rsidR="00A370FA" w:rsidRPr="00903174" w:rsidRDefault="00A370FA" w:rsidP="00A370FA">
            <w:pPr>
              <w:pStyle w:val="TableText"/>
              <w:jc w:val="center"/>
            </w:pPr>
            <w:r w:rsidRPr="00903174">
              <w:t>TRIUMPH</w:t>
            </w:r>
          </w:p>
        </w:tc>
        <w:tc>
          <w:tcPr>
            <w:tcW w:w="952" w:type="pct"/>
            <w:shd w:val="clear" w:color="auto" w:fill="auto"/>
            <w:vAlign w:val="center"/>
            <w:hideMark/>
          </w:tcPr>
          <w:p w14:paraId="36296230" w14:textId="77777777" w:rsidR="00A370FA" w:rsidRPr="00903174" w:rsidRDefault="00A370FA" w:rsidP="00A370FA">
            <w:pPr>
              <w:pStyle w:val="TableText"/>
              <w:jc w:val="center"/>
              <w:rPr>
                <w:color w:val="000000"/>
              </w:rPr>
            </w:pPr>
            <w:r w:rsidRPr="00903174">
              <w:t>–</w:t>
            </w:r>
          </w:p>
        </w:tc>
        <w:tc>
          <w:tcPr>
            <w:tcW w:w="952" w:type="pct"/>
            <w:shd w:val="clear" w:color="auto" w:fill="auto"/>
            <w:vAlign w:val="center"/>
            <w:hideMark/>
          </w:tcPr>
          <w:p w14:paraId="6CA8A56D" w14:textId="77777777" w:rsidR="00A370FA" w:rsidRPr="00903174" w:rsidRDefault="00A370FA" w:rsidP="00A370FA">
            <w:pPr>
              <w:pStyle w:val="TableText"/>
              <w:jc w:val="center"/>
              <w:rPr>
                <w:color w:val="000000"/>
              </w:rPr>
            </w:pPr>
            <w:r w:rsidRPr="00903174">
              <w:t>6.40 (7.62)</w:t>
            </w:r>
          </w:p>
        </w:tc>
        <w:tc>
          <w:tcPr>
            <w:tcW w:w="952" w:type="pct"/>
            <w:shd w:val="clear" w:color="auto" w:fill="auto"/>
            <w:vAlign w:val="center"/>
            <w:hideMark/>
          </w:tcPr>
          <w:p w14:paraId="1CDF2635" w14:textId="77777777" w:rsidR="00A370FA" w:rsidRPr="00903174" w:rsidRDefault="00A370FA" w:rsidP="00A370FA">
            <w:pPr>
              <w:pStyle w:val="TableText"/>
              <w:jc w:val="center"/>
            </w:pPr>
            <w:r w:rsidRPr="00903174">
              <w:t>-4.0 (10.68)</w:t>
            </w:r>
          </w:p>
        </w:tc>
        <w:tc>
          <w:tcPr>
            <w:tcW w:w="1192" w:type="pct"/>
            <w:shd w:val="clear" w:color="auto" w:fill="auto"/>
            <w:vAlign w:val="center"/>
            <w:hideMark/>
          </w:tcPr>
          <w:p w14:paraId="37C99067" w14:textId="77777777" w:rsidR="00A370FA" w:rsidRPr="00903174" w:rsidRDefault="00A370FA" w:rsidP="00A370FA">
            <w:pPr>
              <w:pStyle w:val="TableText"/>
              <w:jc w:val="center"/>
            </w:pPr>
            <w:r w:rsidRPr="00903174">
              <w:t>10.40 (6.32, 14.48)</w:t>
            </w:r>
          </w:p>
        </w:tc>
      </w:tr>
      <w:tr w:rsidR="00A370FA" w:rsidRPr="00903174" w14:paraId="049DC94C" w14:textId="77777777" w:rsidTr="00634B12">
        <w:trPr>
          <w:trHeight w:val="64"/>
        </w:trPr>
        <w:tc>
          <w:tcPr>
            <w:tcW w:w="952" w:type="pct"/>
            <w:shd w:val="clear" w:color="auto" w:fill="auto"/>
            <w:vAlign w:val="center"/>
            <w:hideMark/>
          </w:tcPr>
          <w:p w14:paraId="32247D67" w14:textId="77777777" w:rsidR="00A370FA" w:rsidRPr="00903174" w:rsidRDefault="00A370FA" w:rsidP="00A370FA">
            <w:pPr>
              <w:pStyle w:val="TableText"/>
              <w:jc w:val="center"/>
            </w:pPr>
            <w:r w:rsidRPr="00903174">
              <w:t>Trial 301</w:t>
            </w:r>
          </w:p>
        </w:tc>
        <w:tc>
          <w:tcPr>
            <w:tcW w:w="952" w:type="pct"/>
            <w:shd w:val="clear" w:color="auto" w:fill="auto"/>
            <w:vAlign w:val="center"/>
            <w:hideMark/>
          </w:tcPr>
          <w:p w14:paraId="3CEBA18C" w14:textId="77777777" w:rsidR="00A370FA" w:rsidRPr="00903174" w:rsidRDefault="00A370FA" w:rsidP="00A370FA">
            <w:pPr>
              <w:pStyle w:val="TableText"/>
              <w:jc w:val="center"/>
            </w:pPr>
            <w:r w:rsidRPr="00903174">
              <w:t>7.07 (8.64)</w:t>
            </w:r>
          </w:p>
        </w:tc>
        <w:tc>
          <w:tcPr>
            <w:tcW w:w="952" w:type="pct"/>
            <w:shd w:val="clear" w:color="auto" w:fill="auto"/>
            <w:vAlign w:val="center"/>
            <w:hideMark/>
          </w:tcPr>
          <w:p w14:paraId="36A15C7D" w14:textId="77777777" w:rsidR="00A370FA" w:rsidRPr="00903174" w:rsidRDefault="00A370FA" w:rsidP="00A370FA">
            <w:pPr>
              <w:pStyle w:val="TableText"/>
              <w:jc w:val="center"/>
            </w:pPr>
            <w:r w:rsidRPr="00903174">
              <w:t>6.40 (8.68)</w:t>
            </w:r>
          </w:p>
        </w:tc>
        <w:tc>
          <w:tcPr>
            <w:tcW w:w="952" w:type="pct"/>
            <w:shd w:val="clear" w:color="auto" w:fill="auto"/>
            <w:vAlign w:val="center"/>
            <w:hideMark/>
          </w:tcPr>
          <w:p w14:paraId="6765FF13" w14:textId="77777777" w:rsidR="00A370FA" w:rsidRPr="00903174" w:rsidRDefault="00A370FA" w:rsidP="00A370FA">
            <w:pPr>
              <w:pStyle w:val="TableText"/>
              <w:jc w:val="center"/>
            </w:pPr>
            <w:r w:rsidRPr="00903174">
              <w:t>–</w:t>
            </w:r>
          </w:p>
        </w:tc>
        <w:tc>
          <w:tcPr>
            <w:tcW w:w="1192" w:type="pct"/>
            <w:shd w:val="clear" w:color="auto" w:fill="auto"/>
            <w:vAlign w:val="center"/>
            <w:hideMark/>
          </w:tcPr>
          <w:p w14:paraId="4EF769AC" w14:textId="77777777" w:rsidR="00A370FA" w:rsidRPr="00903174" w:rsidRDefault="00A370FA" w:rsidP="00A370FA">
            <w:pPr>
              <w:pStyle w:val="TableText"/>
              <w:jc w:val="center"/>
            </w:pPr>
            <w:r w:rsidRPr="00903174">
              <w:t>0.67 (-1.49, 2.83)</w:t>
            </w:r>
          </w:p>
        </w:tc>
      </w:tr>
      <w:tr w:rsidR="00A370FA" w:rsidRPr="00903174" w14:paraId="72F98589" w14:textId="77777777" w:rsidTr="00634B12">
        <w:trPr>
          <w:trHeight w:val="64"/>
        </w:trPr>
        <w:tc>
          <w:tcPr>
            <w:tcW w:w="952" w:type="pct"/>
            <w:shd w:val="clear" w:color="auto" w:fill="auto"/>
            <w:vAlign w:val="center"/>
            <w:hideMark/>
          </w:tcPr>
          <w:p w14:paraId="34402BF9" w14:textId="77777777" w:rsidR="00A370FA" w:rsidRPr="00903174" w:rsidRDefault="00A370FA" w:rsidP="00A370FA">
            <w:pPr>
              <w:pStyle w:val="TableText"/>
              <w:jc w:val="center"/>
            </w:pPr>
            <w:r w:rsidRPr="00903174">
              <w:t>Trial 302</w:t>
            </w:r>
          </w:p>
        </w:tc>
        <w:tc>
          <w:tcPr>
            <w:tcW w:w="952" w:type="pct"/>
            <w:shd w:val="clear" w:color="auto" w:fill="auto"/>
            <w:vAlign w:val="center"/>
            <w:hideMark/>
          </w:tcPr>
          <w:p w14:paraId="1CE3AE40" w14:textId="77777777" w:rsidR="00A370FA" w:rsidRPr="00903174" w:rsidRDefault="00A370FA" w:rsidP="00A370FA">
            <w:pPr>
              <w:pStyle w:val="TableText"/>
              <w:jc w:val="center"/>
            </w:pPr>
            <w:r w:rsidRPr="00903174">
              <w:t>2.01  (6.86)</w:t>
            </w:r>
          </w:p>
        </w:tc>
        <w:tc>
          <w:tcPr>
            <w:tcW w:w="952" w:type="pct"/>
            <w:shd w:val="clear" w:color="auto" w:fill="auto"/>
            <w:vAlign w:val="center"/>
            <w:hideMark/>
          </w:tcPr>
          <w:p w14:paraId="65A088F7" w14:textId="77777777" w:rsidR="00A370FA" w:rsidRPr="00903174" w:rsidRDefault="00A370FA" w:rsidP="00A370FA">
            <w:pPr>
              <w:pStyle w:val="TableText"/>
              <w:jc w:val="center"/>
            </w:pPr>
            <w:r w:rsidRPr="00903174">
              <w:t>0.54 (6.97)</w:t>
            </w:r>
          </w:p>
        </w:tc>
        <w:tc>
          <w:tcPr>
            <w:tcW w:w="952" w:type="pct"/>
            <w:shd w:val="clear" w:color="auto" w:fill="auto"/>
            <w:vAlign w:val="center"/>
            <w:hideMark/>
          </w:tcPr>
          <w:p w14:paraId="5AB36304" w14:textId="77777777" w:rsidR="00A370FA" w:rsidRPr="00903174" w:rsidRDefault="00A370FA" w:rsidP="00A370FA">
            <w:pPr>
              <w:pStyle w:val="TableText"/>
              <w:jc w:val="center"/>
            </w:pPr>
            <w:r w:rsidRPr="00903174">
              <w:t>–</w:t>
            </w:r>
          </w:p>
        </w:tc>
        <w:tc>
          <w:tcPr>
            <w:tcW w:w="1192" w:type="pct"/>
            <w:shd w:val="clear" w:color="auto" w:fill="auto"/>
            <w:vAlign w:val="center"/>
            <w:hideMark/>
          </w:tcPr>
          <w:p w14:paraId="2EEA70E3" w14:textId="77777777" w:rsidR="00A370FA" w:rsidRPr="00903174" w:rsidRDefault="00A370FA" w:rsidP="00A370FA">
            <w:pPr>
              <w:pStyle w:val="TableText"/>
              <w:jc w:val="center"/>
              <w:rPr>
                <w:color w:val="000000"/>
              </w:rPr>
            </w:pPr>
            <w:r w:rsidRPr="00903174">
              <w:rPr>
                <w:color w:val="000000"/>
              </w:rPr>
              <w:t>1.47 (-0.47, 3.41)</w:t>
            </w:r>
          </w:p>
        </w:tc>
      </w:tr>
      <w:tr w:rsidR="00A370FA" w:rsidRPr="00903174" w14:paraId="7CA62B44" w14:textId="77777777" w:rsidTr="00634B12">
        <w:trPr>
          <w:trHeight w:val="64"/>
        </w:trPr>
        <w:tc>
          <w:tcPr>
            <w:tcW w:w="3808" w:type="pct"/>
            <w:gridSpan w:val="4"/>
            <w:shd w:val="clear" w:color="auto" w:fill="auto"/>
            <w:vAlign w:val="center"/>
            <w:hideMark/>
          </w:tcPr>
          <w:p w14:paraId="6984C723" w14:textId="77777777" w:rsidR="00A370FA" w:rsidRPr="00903174" w:rsidRDefault="00A370FA" w:rsidP="00A370FA">
            <w:pPr>
              <w:pStyle w:val="TableText"/>
              <w:jc w:val="right"/>
            </w:pPr>
            <w:r w:rsidRPr="00903174">
              <w:t>Meta-analysis of Trials 301 and 302</w:t>
            </w:r>
          </w:p>
        </w:tc>
        <w:tc>
          <w:tcPr>
            <w:tcW w:w="1192" w:type="pct"/>
            <w:shd w:val="clear" w:color="auto" w:fill="auto"/>
            <w:vAlign w:val="center"/>
            <w:hideMark/>
          </w:tcPr>
          <w:p w14:paraId="25D878FC" w14:textId="77777777" w:rsidR="00A370FA" w:rsidRPr="00903174" w:rsidRDefault="00A370FA" w:rsidP="00A370FA">
            <w:pPr>
              <w:pStyle w:val="TableText"/>
              <w:jc w:val="center"/>
            </w:pPr>
            <w:r w:rsidRPr="00903174">
              <w:t>1.11 (-0.33, 2.56)</w:t>
            </w:r>
          </w:p>
        </w:tc>
      </w:tr>
      <w:tr w:rsidR="00A370FA" w:rsidRPr="00903174" w14:paraId="067F3309" w14:textId="77777777" w:rsidTr="00634B12">
        <w:trPr>
          <w:trHeight w:val="64"/>
        </w:trPr>
        <w:tc>
          <w:tcPr>
            <w:tcW w:w="3808" w:type="pct"/>
            <w:gridSpan w:val="4"/>
            <w:tcBorders>
              <w:bottom w:val="single" w:sz="4" w:space="0" w:color="auto"/>
            </w:tcBorders>
            <w:shd w:val="clear" w:color="auto" w:fill="auto"/>
            <w:vAlign w:val="center"/>
          </w:tcPr>
          <w:p w14:paraId="0DD6DA19" w14:textId="77777777" w:rsidR="00A370FA" w:rsidRPr="00903174" w:rsidRDefault="00A370FA" w:rsidP="00A370FA">
            <w:pPr>
              <w:pStyle w:val="TableText"/>
              <w:jc w:val="right"/>
            </w:pPr>
            <w:r w:rsidRPr="00903174">
              <w:t>Indirect comparison of pooled Trials 301/302 and TRIUMPH</w:t>
            </w:r>
          </w:p>
        </w:tc>
        <w:tc>
          <w:tcPr>
            <w:tcW w:w="1192" w:type="pct"/>
            <w:tcBorders>
              <w:bottom w:val="single" w:sz="4" w:space="0" w:color="auto"/>
            </w:tcBorders>
            <w:shd w:val="clear" w:color="auto" w:fill="auto"/>
          </w:tcPr>
          <w:p w14:paraId="0679B772" w14:textId="77777777" w:rsidR="00A370FA" w:rsidRPr="00903174" w:rsidRDefault="00A370FA" w:rsidP="00A370FA">
            <w:pPr>
              <w:pStyle w:val="TableText"/>
              <w:jc w:val="center"/>
            </w:pPr>
            <w:r w:rsidRPr="00903174">
              <w:t>11.5 (7.2, 15.8)</w:t>
            </w:r>
          </w:p>
        </w:tc>
      </w:tr>
      <w:tr w:rsidR="00A370FA" w:rsidRPr="00903174" w14:paraId="228D316F" w14:textId="77777777" w:rsidTr="00634B12">
        <w:trPr>
          <w:trHeight w:val="64"/>
        </w:trPr>
        <w:tc>
          <w:tcPr>
            <w:tcW w:w="3808" w:type="pct"/>
            <w:gridSpan w:val="4"/>
            <w:tcBorders>
              <w:bottom w:val="single" w:sz="4" w:space="0" w:color="auto"/>
            </w:tcBorders>
            <w:shd w:val="clear" w:color="auto" w:fill="auto"/>
            <w:vAlign w:val="center"/>
          </w:tcPr>
          <w:p w14:paraId="58D59099" w14:textId="77777777" w:rsidR="00A370FA" w:rsidRPr="00903174" w:rsidRDefault="00A370FA" w:rsidP="00A370FA">
            <w:pPr>
              <w:pStyle w:val="TableText"/>
              <w:jc w:val="right"/>
            </w:pPr>
            <w:r w:rsidRPr="00903174">
              <w:t>Indirect comparison of Trial 301 and TRIUMPH</w:t>
            </w:r>
          </w:p>
        </w:tc>
        <w:tc>
          <w:tcPr>
            <w:tcW w:w="1192" w:type="pct"/>
            <w:tcBorders>
              <w:bottom w:val="single" w:sz="4" w:space="0" w:color="auto"/>
            </w:tcBorders>
            <w:shd w:val="clear" w:color="auto" w:fill="auto"/>
          </w:tcPr>
          <w:p w14:paraId="14191D7E" w14:textId="77777777" w:rsidR="00A370FA" w:rsidRPr="00903174" w:rsidRDefault="00A370FA" w:rsidP="00A370FA">
            <w:pPr>
              <w:pStyle w:val="TableText"/>
              <w:jc w:val="center"/>
            </w:pPr>
            <w:r w:rsidRPr="00903174">
              <w:t>11.1 (6.4, 15.7)</w:t>
            </w:r>
          </w:p>
        </w:tc>
      </w:tr>
    </w:tbl>
    <w:p w14:paraId="1DAE2DD1" w14:textId="77777777" w:rsidR="00A370FA" w:rsidRPr="00903174" w:rsidRDefault="00A370FA" w:rsidP="00A370FA">
      <w:pPr>
        <w:pStyle w:val="TableFigureFooter"/>
      </w:pPr>
      <w:r w:rsidRPr="00903174">
        <w:t>Source: Table 94, p169; Table 96, p171 of the submission.</w:t>
      </w:r>
    </w:p>
    <w:p w14:paraId="3E207122" w14:textId="77777777" w:rsidR="00A370FA" w:rsidRPr="00903174" w:rsidRDefault="00A370FA" w:rsidP="00A370FA">
      <w:pPr>
        <w:pStyle w:val="TableFigureFooter"/>
      </w:pPr>
      <w:r w:rsidRPr="00903174">
        <w:t>Abbreviations: WMD, weighted mean difference.</w:t>
      </w:r>
    </w:p>
    <w:p w14:paraId="7DA106C1" w14:textId="77777777" w:rsidR="00A370FA" w:rsidRPr="00903174" w:rsidRDefault="00A370FA" w:rsidP="00415038">
      <w:pPr>
        <w:pStyle w:val="ExecSumBodyText"/>
        <w:numPr>
          <w:ilvl w:val="1"/>
          <w:numId w:val="1"/>
        </w:numPr>
      </w:pPr>
      <w:r w:rsidRPr="00903174">
        <w:t>The indirect comparison of change in FACIT-fatigue total scores suggested a statistically significantly larger improvement in fatigue for patients treated with ravulizumab compared to placebo.</w:t>
      </w:r>
    </w:p>
    <w:p w14:paraId="258D1F6A" w14:textId="77777777" w:rsidR="00A370FA" w:rsidRPr="00903174" w:rsidRDefault="00A370FA" w:rsidP="00415038">
      <w:pPr>
        <w:pStyle w:val="ExecSumBodyText"/>
        <w:numPr>
          <w:ilvl w:val="1"/>
          <w:numId w:val="1"/>
        </w:numPr>
      </w:pPr>
      <w:r w:rsidRPr="00903174">
        <w:t>In the TRIUMPH trial report, the percent change from baseline in LDH levels was not reported. While mean percent change from baseline could be calculated using the baseline and endpoint values, it was not possible to approximate the precision associated with this change. In order to attempt an indirect comparison for LDH change, the submission conducted four comparisons, using different standard errors to fill in the missing measure of precision from the TRIUMPH trial from: treatment difference in Trial 301, treatment difference in Trial 302, pooled treatment difference, and double of the highest of the three standard errors as a conserva</w:t>
      </w:r>
      <w:r w:rsidR="00F609CC" w:rsidRPr="00903174">
        <w:t>tive approach</w:t>
      </w:r>
      <w:r w:rsidRPr="00903174">
        <w:t>.</w:t>
      </w:r>
    </w:p>
    <w:p w14:paraId="31FADE61" w14:textId="77777777" w:rsidR="00A370FA" w:rsidRPr="00903174" w:rsidRDefault="00A370FA" w:rsidP="00A370FA">
      <w:pPr>
        <w:pStyle w:val="TableFigureCaption"/>
      </w:pPr>
      <w:r w:rsidRPr="00903174">
        <w:t xml:space="preserve">Table </w:t>
      </w:r>
      <w:r w:rsidR="001D6AD7" w:rsidRPr="00903174">
        <w:t>12</w:t>
      </w:r>
      <w:r w:rsidRPr="00903174">
        <w:t>: Indirect comparison of % change in LDH levels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717"/>
        <w:gridCol w:w="1717"/>
        <w:gridCol w:w="1717"/>
        <w:gridCol w:w="2150"/>
      </w:tblGrid>
      <w:tr w:rsidR="00A370FA" w:rsidRPr="00903174" w14:paraId="0213DC5B" w14:textId="77777777" w:rsidTr="00ED6B59">
        <w:tc>
          <w:tcPr>
            <w:tcW w:w="952" w:type="pct"/>
            <w:shd w:val="clear" w:color="auto" w:fill="auto"/>
            <w:vAlign w:val="center"/>
            <w:hideMark/>
          </w:tcPr>
          <w:p w14:paraId="003203E9" w14:textId="77777777" w:rsidR="00A370FA" w:rsidRPr="00903174" w:rsidRDefault="00A370FA" w:rsidP="00A370FA">
            <w:pPr>
              <w:pStyle w:val="TableHeading"/>
              <w:spacing w:after="0"/>
              <w:jc w:val="center"/>
              <w:rPr>
                <w:rFonts w:cs="Times New Roman"/>
              </w:rPr>
            </w:pPr>
            <w:r w:rsidRPr="00903174">
              <w:t>Trial</w:t>
            </w:r>
          </w:p>
        </w:tc>
        <w:tc>
          <w:tcPr>
            <w:tcW w:w="952" w:type="pct"/>
            <w:shd w:val="clear" w:color="auto" w:fill="auto"/>
            <w:vAlign w:val="center"/>
            <w:hideMark/>
          </w:tcPr>
          <w:p w14:paraId="19CCBEDD" w14:textId="77777777" w:rsidR="00A370FA" w:rsidRPr="00903174" w:rsidRDefault="00A370FA" w:rsidP="00A370FA">
            <w:pPr>
              <w:pStyle w:val="TableHeading"/>
              <w:spacing w:after="0"/>
              <w:jc w:val="center"/>
            </w:pPr>
            <w:r w:rsidRPr="00903174">
              <w:t>Ravulizumab</w:t>
            </w:r>
          </w:p>
          <w:p w14:paraId="5EC2E71F" w14:textId="77777777" w:rsidR="00A370FA" w:rsidRPr="00903174" w:rsidRDefault="00A370FA" w:rsidP="00A370FA">
            <w:pPr>
              <w:pStyle w:val="TableHeading"/>
              <w:spacing w:after="0"/>
              <w:jc w:val="center"/>
            </w:pPr>
            <w:r w:rsidRPr="00903174">
              <w:t>Mean change (SD)</w:t>
            </w:r>
          </w:p>
        </w:tc>
        <w:tc>
          <w:tcPr>
            <w:tcW w:w="952" w:type="pct"/>
            <w:shd w:val="clear" w:color="auto" w:fill="auto"/>
            <w:vAlign w:val="center"/>
            <w:hideMark/>
          </w:tcPr>
          <w:p w14:paraId="7629795D" w14:textId="77777777" w:rsidR="00A370FA" w:rsidRPr="00903174" w:rsidRDefault="00A370FA" w:rsidP="00A370FA">
            <w:pPr>
              <w:pStyle w:val="TableHeading"/>
              <w:spacing w:after="0"/>
              <w:jc w:val="center"/>
            </w:pPr>
            <w:r w:rsidRPr="00903174">
              <w:t>Eculizumab</w:t>
            </w:r>
          </w:p>
          <w:p w14:paraId="3021E6C9" w14:textId="77777777" w:rsidR="00A370FA" w:rsidRPr="00903174" w:rsidRDefault="00A370FA" w:rsidP="00A370FA">
            <w:pPr>
              <w:pStyle w:val="TableHeading"/>
              <w:spacing w:after="0"/>
              <w:jc w:val="center"/>
            </w:pPr>
            <w:r w:rsidRPr="00903174">
              <w:t>Mean change (SD)</w:t>
            </w:r>
          </w:p>
        </w:tc>
        <w:tc>
          <w:tcPr>
            <w:tcW w:w="952" w:type="pct"/>
            <w:shd w:val="clear" w:color="auto" w:fill="auto"/>
            <w:vAlign w:val="center"/>
            <w:hideMark/>
          </w:tcPr>
          <w:p w14:paraId="1F9F8C8E" w14:textId="77777777" w:rsidR="00A370FA" w:rsidRPr="00903174" w:rsidRDefault="00A370FA" w:rsidP="00A370FA">
            <w:pPr>
              <w:pStyle w:val="TableHeading"/>
              <w:spacing w:after="0"/>
              <w:jc w:val="center"/>
            </w:pPr>
            <w:r w:rsidRPr="00903174">
              <w:t>Placebo</w:t>
            </w:r>
          </w:p>
          <w:p w14:paraId="46DFEDC4" w14:textId="77777777" w:rsidR="00A370FA" w:rsidRPr="00903174" w:rsidRDefault="00A370FA" w:rsidP="00A370FA">
            <w:pPr>
              <w:pStyle w:val="TableHeading"/>
              <w:spacing w:after="0"/>
              <w:jc w:val="center"/>
            </w:pPr>
            <w:r w:rsidRPr="00903174">
              <w:t>Mean change (SD)</w:t>
            </w:r>
          </w:p>
        </w:tc>
        <w:tc>
          <w:tcPr>
            <w:tcW w:w="1192" w:type="pct"/>
            <w:shd w:val="clear" w:color="auto" w:fill="auto"/>
            <w:vAlign w:val="center"/>
            <w:hideMark/>
          </w:tcPr>
          <w:p w14:paraId="17B14B4D" w14:textId="77777777" w:rsidR="00A370FA" w:rsidRPr="00903174" w:rsidRDefault="00A370FA" w:rsidP="00A370FA">
            <w:pPr>
              <w:pStyle w:val="TableHeading"/>
              <w:spacing w:after="0"/>
              <w:jc w:val="center"/>
            </w:pPr>
            <w:r w:rsidRPr="00903174">
              <w:t>WMD</w:t>
            </w:r>
          </w:p>
          <w:p w14:paraId="07A28D50" w14:textId="77777777" w:rsidR="00A370FA" w:rsidRPr="00903174" w:rsidRDefault="00A370FA" w:rsidP="00A370FA">
            <w:pPr>
              <w:pStyle w:val="TableHeading"/>
              <w:spacing w:after="0"/>
              <w:jc w:val="center"/>
            </w:pPr>
            <w:r w:rsidRPr="00903174">
              <w:t>(95% CI)</w:t>
            </w:r>
          </w:p>
        </w:tc>
      </w:tr>
      <w:tr w:rsidR="00A370FA" w:rsidRPr="00903174" w14:paraId="307709CA" w14:textId="77777777" w:rsidTr="00ED6B59">
        <w:trPr>
          <w:trHeight w:val="64"/>
        </w:trPr>
        <w:tc>
          <w:tcPr>
            <w:tcW w:w="952" w:type="pct"/>
            <w:shd w:val="clear" w:color="auto" w:fill="auto"/>
            <w:vAlign w:val="center"/>
            <w:hideMark/>
          </w:tcPr>
          <w:p w14:paraId="4EF93B91" w14:textId="77777777" w:rsidR="00A370FA" w:rsidRPr="00903174" w:rsidRDefault="00A370FA" w:rsidP="00A370FA">
            <w:pPr>
              <w:pStyle w:val="TableText"/>
              <w:jc w:val="center"/>
            </w:pPr>
            <w:r w:rsidRPr="00903174">
              <w:t>TRIUMPH</w:t>
            </w:r>
          </w:p>
        </w:tc>
        <w:tc>
          <w:tcPr>
            <w:tcW w:w="952" w:type="pct"/>
            <w:shd w:val="clear" w:color="auto" w:fill="auto"/>
            <w:vAlign w:val="center"/>
            <w:hideMark/>
          </w:tcPr>
          <w:p w14:paraId="4A6EFF79" w14:textId="77777777" w:rsidR="00A370FA" w:rsidRPr="00903174" w:rsidRDefault="00A370FA" w:rsidP="00A370FA">
            <w:pPr>
              <w:pStyle w:val="TableText"/>
              <w:jc w:val="center"/>
              <w:rPr>
                <w:color w:val="000000"/>
              </w:rPr>
            </w:pPr>
            <w:r w:rsidRPr="00903174">
              <w:t>–</w:t>
            </w:r>
          </w:p>
        </w:tc>
        <w:tc>
          <w:tcPr>
            <w:tcW w:w="952" w:type="pct"/>
            <w:shd w:val="clear" w:color="auto" w:fill="auto"/>
            <w:vAlign w:val="center"/>
          </w:tcPr>
          <w:p w14:paraId="1F4B8E9D" w14:textId="77777777" w:rsidR="00A370FA" w:rsidRPr="00903174" w:rsidRDefault="00A370FA" w:rsidP="00A370FA">
            <w:pPr>
              <w:pStyle w:val="TableText"/>
              <w:jc w:val="center"/>
              <w:rPr>
                <w:color w:val="000000"/>
              </w:rPr>
            </w:pPr>
            <w:r w:rsidRPr="00903174">
              <w:rPr>
                <w:color w:val="000000"/>
              </w:rPr>
              <w:t>-85.12 (NR)</w:t>
            </w:r>
          </w:p>
        </w:tc>
        <w:tc>
          <w:tcPr>
            <w:tcW w:w="952" w:type="pct"/>
            <w:shd w:val="clear" w:color="auto" w:fill="auto"/>
            <w:vAlign w:val="center"/>
          </w:tcPr>
          <w:p w14:paraId="30AAE5B8" w14:textId="77777777" w:rsidR="00A370FA" w:rsidRPr="00903174" w:rsidRDefault="00A370FA" w:rsidP="00A370FA">
            <w:pPr>
              <w:pStyle w:val="TableText"/>
              <w:jc w:val="center"/>
            </w:pPr>
            <w:r w:rsidRPr="00903174">
              <w:t>7.13 (NR)</w:t>
            </w:r>
          </w:p>
        </w:tc>
        <w:tc>
          <w:tcPr>
            <w:tcW w:w="1192" w:type="pct"/>
            <w:shd w:val="clear" w:color="auto" w:fill="auto"/>
            <w:vAlign w:val="center"/>
          </w:tcPr>
          <w:p w14:paraId="273B7EAA" w14:textId="77777777" w:rsidR="00A370FA" w:rsidRPr="00903174" w:rsidRDefault="00A370FA" w:rsidP="00A370FA">
            <w:pPr>
              <w:pStyle w:val="TableText"/>
              <w:jc w:val="center"/>
            </w:pPr>
            <w:r w:rsidRPr="00903174">
              <w:t>-92.25 (NR)</w:t>
            </w:r>
          </w:p>
        </w:tc>
      </w:tr>
      <w:tr w:rsidR="00A370FA" w:rsidRPr="00903174" w14:paraId="72A377AB" w14:textId="77777777" w:rsidTr="00ED6B59">
        <w:trPr>
          <w:trHeight w:val="64"/>
        </w:trPr>
        <w:tc>
          <w:tcPr>
            <w:tcW w:w="952" w:type="pct"/>
            <w:shd w:val="clear" w:color="auto" w:fill="auto"/>
            <w:vAlign w:val="center"/>
            <w:hideMark/>
          </w:tcPr>
          <w:p w14:paraId="61BF4F8A" w14:textId="77777777" w:rsidR="00A370FA" w:rsidRPr="00903174" w:rsidRDefault="00A370FA" w:rsidP="00A370FA">
            <w:pPr>
              <w:pStyle w:val="TableText"/>
              <w:jc w:val="center"/>
            </w:pPr>
            <w:r w:rsidRPr="00903174">
              <w:t>Trial 301</w:t>
            </w:r>
          </w:p>
        </w:tc>
        <w:tc>
          <w:tcPr>
            <w:tcW w:w="952" w:type="pct"/>
            <w:shd w:val="clear" w:color="auto" w:fill="auto"/>
            <w:vAlign w:val="center"/>
          </w:tcPr>
          <w:p w14:paraId="035B5414" w14:textId="77777777" w:rsidR="00A370FA" w:rsidRPr="00903174" w:rsidRDefault="00A370FA" w:rsidP="00A370FA">
            <w:pPr>
              <w:pStyle w:val="TableText"/>
              <w:jc w:val="center"/>
            </w:pPr>
            <w:r w:rsidRPr="00903174">
              <w:t>-76.84 (17.69)</w:t>
            </w:r>
          </w:p>
        </w:tc>
        <w:tc>
          <w:tcPr>
            <w:tcW w:w="952" w:type="pct"/>
            <w:shd w:val="clear" w:color="auto" w:fill="auto"/>
            <w:vAlign w:val="center"/>
          </w:tcPr>
          <w:p w14:paraId="61B528CE" w14:textId="77777777" w:rsidR="00A370FA" w:rsidRPr="00903174" w:rsidRDefault="00A370FA" w:rsidP="00A370FA">
            <w:pPr>
              <w:pStyle w:val="TableText"/>
              <w:jc w:val="center"/>
            </w:pPr>
            <w:r w:rsidRPr="00903174">
              <w:t>-76.02 (17.79)</w:t>
            </w:r>
          </w:p>
        </w:tc>
        <w:tc>
          <w:tcPr>
            <w:tcW w:w="952" w:type="pct"/>
            <w:shd w:val="clear" w:color="auto" w:fill="auto"/>
            <w:vAlign w:val="center"/>
            <w:hideMark/>
          </w:tcPr>
          <w:p w14:paraId="7DEB40BF" w14:textId="77777777" w:rsidR="00A370FA" w:rsidRPr="00903174" w:rsidRDefault="00A370FA" w:rsidP="00A370FA">
            <w:pPr>
              <w:pStyle w:val="TableText"/>
              <w:jc w:val="center"/>
            </w:pPr>
            <w:r w:rsidRPr="00903174">
              <w:t>–</w:t>
            </w:r>
          </w:p>
        </w:tc>
        <w:tc>
          <w:tcPr>
            <w:tcW w:w="1192" w:type="pct"/>
            <w:shd w:val="clear" w:color="auto" w:fill="auto"/>
            <w:vAlign w:val="center"/>
          </w:tcPr>
          <w:p w14:paraId="451FDE64" w14:textId="77777777" w:rsidR="00A370FA" w:rsidRPr="00903174" w:rsidRDefault="00A370FA" w:rsidP="00A370FA">
            <w:pPr>
              <w:pStyle w:val="TableText"/>
              <w:jc w:val="center"/>
            </w:pPr>
            <w:r w:rsidRPr="00903174">
              <w:t>-0.82 (5.25, 3.61)</w:t>
            </w:r>
          </w:p>
        </w:tc>
      </w:tr>
      <w:tr w:rsidR="00A370FA" w:rsidRPr="00903174" w14:paraId="2D68BDEB" w14:textId="77777777" w:rsidTr="00ED6B59">
        <w:trPr>
          <w:trHeight w:val="64"/>
        </w:trPr>
        <w:tc>
          <w:tcPr>
            <w:tcW w:w="952" w:type="pct"/>
            <w:shd w:val="clear" w:color="auto" w:fill="auto"/>
            <w:vAlign w:val="center"/>
            <w:hideMark/>
          </w:tcPr>
          <w:p w14:paraId="0432D70E" w14:textId="77777777" w:rsidR="00A370FA" w:rsidRPr="00903174" w:rsidRDefault="00A370FA" w:rsidP="00A370FA">
            <w:pPr>
              <w:pStyle w:val="TableText"/>
              <w:jc w:val="center"/>
            </w:pPr>
            <w:r w:rsidRPr="00903174">
              <w:t>Trial 302</w:t>
            </w:r>
          </w:p>
        </w:tc>
        <w:tc>
          <w:tcPr>
            <w:tcW w:w="952" w:type="pct"/>
            <w:shd w:val="clear" w:color="auto" w:fill="auto"/>
            <w:vAlign w:val="center"/>
          </w:tcPr>
          <w:p w14:paraId="2D70F859" w14:textId="77777777" w:rsidR="00A370FA" w:rsidRPr="00903174" w:rsidRDefault="00A370FA" w:rsidP="00A370FA">
            <w:pPr>
              <w:pStyle w:val="TableText"/>
              <w:jc w:val="center"/>
            </w:pPr>
            <w:r w:rsidRPr="00903174">
              <w:t>-0.82 (29.87)</w:t>
            </w:r>
          </w:p>
        </w:tc>
        <w:tc>
          <w:tcPr>
            <w:tcW w:w="952" w:type="pct"/>
            <w:shd w:val="clear" w:color="auto" w:fill="auto"/>
            <w:vAlign w:val="center"/>
          </w:tcPr>
          <w:p w14:paraId="61F43403" w14:textId="77777777" w:rsidR="00A370FA" w:rsidRPr="00903174" w:rsidRDefault="00A370FA" w:rsidP="00A370FA">
            <w:pPr>
              <w:pStyle w:val="TableText"/>
              <w:jc w:val="center"/>
            </w:pPr>
            <w:r w:rsidRPr="00903174">
              <w:t>8.39 (30.10)</w:t>
            </w:r>
          </w:p>
        </w:tc>
        <w:tc>
          <w:tcPr>
            <w:tcW w:w="952" w:type="pct"/>
            <w:shd w:val="clear" w:color="auto" w:fill="auto"/>
            <w:vAlign w:val="center"/>
            <w:hideMark/>
          </w:tcPr>
          <w:p w14:paraId="707C5471" w14:textId="77777777" w:rsidR="00A370FA" w:rsidRPr="00903174" w:rsidRDefault="00A370FA" w:rsidP="00A370FA">
            <w:pPr>
              <w:pStyle w:val="TableText"/>
              <w:jc w:val="center"/>
            </w:pPr>
            <w:r w:rsidRPr="00903174">
              <w:t>–</w:t>
            </w:r>
          </w:p>
        </w:tc>
        <w:tc>
          <w:tcPr>
            <w:tcW w:w="1192" w:type="pct"/>
            <w:shd w:val="clear" w:color="auto" w:fill="auto"/>
            <w:vAlign w:val="center"/>
          </w:tcPr>
          <w:p w14:paraId="6CC06ED4" w14:textId="77777777" w:rsidR="00A370FA" w:rsidRPr="00903174" w:rsidRDefault="00A370FA" w:rsidP="00A370FA">
            <w:pPr>
              <w:pStyle w:val="TableText"/>
              <w:jc w:val="center"/>
              <w:rPr>
                <w:color w:val="000000"/>
              </w:rPr>
            </w:pPr>
            <w:r w:rsidRPr="00903174">
              <w:rPr>
                <w:color w:val="000000"/>
              </w:rPr>
              <w:t>-9.21 (-17.63, -0.79)</w:t>
            </w:r>
          </w:p>
        </w:tc>
      </w:tr>
      <w:tr w:rsidR="00A370FA" w:rsidRPr="00903174" w14:paraId="5FA654E2" w14:textId="77777777" w:rsidTr="00ED6B59">
        <w:trPr>
          <w:trHeight w:val="64"/>
        </w:trPr>
        <w:tc>
          <w:tcPr>
            <w:tcW w:w="3808" w:type="pct"/>
            <w:gridSpan w:val="4"/>
            <w:shd w:val="clear" w:color="auto" w:fill="auto"/>
            <w:vAlign w:val="center"/>
            <w:hideMark/>
          </w:tcPr>
          <w:p w14:paraId="264AA070" w14:textId="77777777" w:rsidR="00A370FA" w:rsidRPr="00903174" w:rsidRDefault="00A370FA" w:rsidP="00A370FA">
            <w:pPr>
              <w:pStyle w:val="TableText"/>
              <w:jc w:val="right"/>
            </w:pPr>
            <w:r w:rsidRPr="00903174">
              <w:t>Meta-analysis of Trials 301 and 302</w:t>
            </w:r>
          </w:p>
        </w:tc>
        <w:tc>
          <w:tcPr>
            <w:tcW w:w="1192" w:type="pct"/>
            <w:shd w:val="clear" w:color="auto" w:fill="auto"/>
            <w:vAlign w:val="center"/>
          </w:tcPr>
          <w:p w14:paraId="17F9A7C8" w14:textId="77777777" w:rsidR="00A370FA" w:rsidRPr="00903174" w:rsidRDefault="00A370FA" w:rsidP="00A370FA">
            <w:pPr>
              <w:pStyle w:val="TableText"/>
              <w:jc w:val="center"/>
            </w:pPr>
            <w:r w:rsidRPr="00903174">
              <w:t>-4.22 (-12.29, 3.85)</w:t>
            </w:r>
          </w:p>
        </w:tc>
      </w:tr>
      <w:tr w:rsidR="00A370FA" w:rsidRPr="00903174" w14:paraId="7DE0A7D9" w14:textId="77777777" w:rsidTr="00ED6B59">
        <w:trPr>
          <w:trHeight w:val="64"/>
        </w:trPr>
        <w:tc>
          <w:tcPr>
            <w:tcW w:w="5000" w:type="pct"/>
            <w:gridSpan w:val="5"/>
            <w:shd w:val="clear" w:color="auto" w:fill="auto"/>
            <w:vAlign w:val="center"/>
          </w:tcPr>
          <w:p w14:paraId="0B1348E8" w14:textId="77777777" w:rsidR="00A370FA" w:rsidRPr="00903174" w:rsidRDefault="00A370FA" w:rsidP="00A370FA">
            <w:pPr>
              <w:pStyle w:val="TableText"/>
              <w:rPr>
                <w:b/>
              </w:rPr>
            </w:pPr>
            <w:r w:rsidRPr="00903174">
              <w:rPr>
                <w:b/>
              </w:rPr>
              <w:t>Indirect comparison of pooled Trials 301/302 and TRIUMPH, using:</w:t>
            </w:r>
          </w:p>
        </w:tc>
      </w:tr>
      <w:tr w:rsidR="00A370FA" w:rsidRPr="00903174" w14:paraId="717D8007" w14:textId="77777777" w:rsidTr="00ED6B59">
        <w:trPr>
          <w:trHeight w:val="64"/>
        </w:trPr>
        <w:tc>
          <w:tcPr>
            <w:tcW w:w="3808" w:type="pct"/>
            <w:gridSpan w:val="4"/>
            <w:shd w:val="clear" w:color="auto" w:fill="auto"/>
            <w:vAlign w:val="center"/>
          </w:tcPr>
          <w:p w14:paraId="2E94192F" w14:textId="77777777" w:rsidR="00A370FA" w:rsidRPr="00903174" w:rsidRDefault="00A370FA" w:rsidP="00A370FA">
            <w:pPr>
              <w:pStyle w:val="TableText"/>
              <w:jc w:val="right"/>
            </w:pPr>
            <w:r w:rsidRPr="00903174">
              <w:t>SE of treatment difference in Trial 301 (2.26)</w:t>
            </w:r>
          </w:p>
        </w:tc>
        <w:tc>
          <w:tcPr>
            <w:tcW w:w="1192" w:type="pct"/>
            <w:shd w:val="clear" w:color="auto" w:fill="auto"/>
          </w:tcPr>
          <w:p w14:paraId="0296E28A" w14:textId="77777777" w:rsidR="00A370FA" w:rsidRPr="00903174" w:rsidRDefault="00A370FA" w:rsidP="00A370FA">
            <w:pPr>
              <w:pStyle w:val="TableText"/>
              <w:jc w:val="center"/>
            </w:pPr>
            <w:r w:rsidRPr="00903174">
              <w:t>88.0 (78.8, 97.2)</w:t>
            </w:r>
          </w:p>
        </w:tc>
      </w:tr>
      <w:tr w:rsidR="00A370FA" w:rsidRPr="00903174" w14:paraId="0DCF79FC" w14:textId="77777777" w:rsidTr="00ED6B59">
        <w:trPr>
          <w:trHeight w:val="64"/>
        </w:trPr>
        <w:tc>
          <w:tcPr>
            <w:tcW w:w="3808" w:type="pct"/>
            <w:gridSpan w:val="4"/>
            <w:shd w:val="clear" w:color="auto" w:fill="auto"/>
            <w:vAlign w:val="center"/>
          </w:tcPr>
          <w:p w14:paraId="76A579B6" w14:textId="77777777" w:rsidR="00A370FA" w:rsidRPr="00903174" w:rsidRDefault="00A370FA" w:rsidP="00A370FA">
            <w:pPr>
              <w:pStyle w:val="TableText"/>
              <w:jc w:val="right"/>
            </w:pPr>
            <w:r w:rsidRPr="00903174">
              <w:t>SE of treatment difference in Trial 302 (4.29)</w:t>
            </w:r>
          </w:p>
        </w:tc>
        <w:tc>
          <w:tcPr>
            <w:tcW w:w="1192" w:type="pct"/>
            <w:shd w:val="clear" w:color="auto" w:fill="auto"/>
          </w:tcPr>
          <w:p w14:paraId="453B44E9" w14:textId="77777777" w:rsidR="00A370FA" w:rsidRPr="00903174" w:rsidRDefault="00A370FA" w:rsidP="00A370FA">
            <w:pPr>
              <w:pStyle w:val="TableText"/>
              <w:jc w:val="center"/>
            </w:pPr>
            <w:r w:rsidRPr="00903174">
              <w:t>88.0 (76.4, 99.7)</w:t>
            </w:r>
          </w:p>
        </w:tc>
      </w:tr>
      <w:tr w:rsidR="00A370FA" w:rsidRPr="00903174" w14:paraId="1185BA28" w14:textId="77777777" w:rsidTr="00ED6B59">
        <w:trPr>
          <w:trHeight w:val="64"/>
        </w:trPr>
        <w:tc>
          <w:tcPr>
            <w:tcW w:w="3808" w:type="pct"/>
            <w:gridSpan w:val="4"/>
            <w:shd w:val="clear" w:color="auto" w:fill="auto"/>
            <w:vAlign w:val="center"/>
          </w:tcPr>
          <w:p w14:paraId="6B877C21" w14:textId="77777777" w:rsidR="00A370FA" w:rsidRPr="00903174" w:rsidRDefault="00A370FA" w:rsidP="00A370FA">
            <w:pPr>
              <w:pStyle w:val="TableText"/>
              <w:jc w:val="right"/>
            </w:pPr>
            <w:r w:rsidRPr="00903174">
              <w:t>SE of pooled treatment difference from Trials 301/302 (4.12)</w:t>
            </w:r>
          </w:p>
        </w:tc>
        <w:tc>
          <w:tcPr>
            <w:tcW w:w="1192" w:type="pct"/>
            <w:shd w:val="clear" w:color="auto" w:fill="auto"/>
          </w:tcPr>
          <w:p w14:paraId="47B1F80C" w14:textId="77777777" w:rsidR="00A370FA" w:rsidRPr="00903174" w:rsidRDefault="00A370FA" w:rsidP="00A370FA">
            <w:pPr>
              <w:pStyle w:val="TableText"/>
              <w:jc w:val="center"/>
            </w:pPr>
            <w:r w:rsidRPr="00903174">
              <w:t>88.0 (76.6, 99.4)</w:t>
            </w:r>
          </w:p>
        </w:tc>
      </w:tr>
      <w:tr w:rsidR="00A370FA" w:rsidRPr="00903174" w14:paraId="2051DFA6" w14:textId="77777777" w:rsidTr="00ED6B59">
        <w:trPr>
          <w:trHeight w:val="64"/>
        </w:trPr>
        <w:tc>
          <w:tcPr>
            <w:tcW w:w="3808" w:type="pct"/>
            <w:gridSpan w:val="4"/>
            <w:shd w:val="clear" w:color="auto" w:fill="auto"/>
            <w:vAlign w:val="center"/>
          </w:tcPr>
          <w:p w14:paraId="5243432F" w14:textId="77777777" w:rsidR="00A370FA" w:rsidRPr="00903174" w:rsidRDefault="00A370FA" w:rsidP="00A370FA">
            <w:pPr>
              <w:pStyle w:val="TableText"/>
              <w:jc w:val="right"/>
            </w:pPr>
            <w:r w:rsidRPr="00903174">
              <w:t>Double of highest SE (8.59)</w:t>
            </w:r>
          </w:p>
        </w:tc>
        <w:tc>
          <w:tcPr>
            <w:tcW w:w="1192" w:type="pct"/>
            <w:shd w:val="clear" w:color="auto" w:fill="auto"/>
          </w:tcPr>
          <w:p w14:paraId="797533D1" w14:textId="77777777" w:rsidR="00A370FA" w:rsidRPr="00903174" w:rsidRDefault="00A370FA" w:rsidP="00A370FA">
            <w:pPr>
              <w:pStyle w:val="TableText"/>
              <w:jc w:val="center"/>
            </w:pPr>
            <w:r w:rsidRPr="00903174">
              <w:t>88.0 (69.4, 106.7)</w:t>
            </w:r>
          </w:p>
        </w:tc>
      </w:tr>
      <w:tr w:rsidR="00A370FA" w:rsidRPr="00903174" w14:paraId="41F82103" w14:textId="77777777" w:rsidTr="00ED6B59">
        <w:trPr>
          <w:trHeight w:val="64"/>
        </w:trPr>
        <w:tc>
          <w:tcPr>
            <w:tcW w:w="5000" w:type="pct"/>
            <w:gridSpan w:val="5"/>
            <w:shd w:val="clear" w:color="auto" w:fill="auto"/>
            <w:vAlign w:val="center"/>
          </w:tcPr>
          <w:p w14:paraId="7FFDAD8E" w14:textId="77777777" w:rsidR="00A370FA" w:rsidRPr="00903174" w:rsidRDefault="00A370FA" w:rsidP="00A370FA">
            <w:pPr>
              <w:pStyle w:val="TableText"/>
              <w:rPr>
                <w:b/>
              </w:rPr>
            </w:pPr>
            <w:r w:rsidRPr="00903174">
              <w:rPr>
                <w:b/>
              </w:rPr>
              <w:t>Indirect comparison of Trial 301 and TRIUMPH, using:</w:t>
            </w:r>
          </w:p>
        </w:tc>
      </w:tr>
      <w:tr w:rsidR="00A370FA" w:rsidRPr="00903174" w14:paraId="5E9373EF" w14:textId="77777777" w:rsidTr="00ED6B59">
        <w:trPr>
          <w:trHeight w:val="64"/>
        </w:trPr>
        <w:tc>
          <w:tcPr>
            <w:tcW w:w="3808" w:type="pct"/>
            <w:gridSpan w:val="4"/>
            <w:shd w:val="clear" w:color="auto" w:fill="auto"/>
            <w:vAlign w:val="center"/>
          </w:tcPr>
          <w:p w14:paraId="671756D1" w14:textId="77777777" w:rsidR="00A370FA" w:rsidRPr="00903174" w:rsidRDefault="00A370FA" w:rsidP="00A370FA">
            <w:pPr>
              <w:pStyle w:val="TableText"/>
              <w:jc w:val="right"/>
            </w:pPr>
            <w:r w:rsidRPr="00903174">
              <w:t>SE of treatment difference in Trial 301 (2.26)</w:t>
            </w:r>
          </w:p>
        </w:tc>
        <w:tc>
          <w:tcPr>
            <w:tcW w:w="1192" w:type="pct"/>
            <w:shd w:val="clear" w:color="auto" w:fill="auto"/>
          </w:tcPr>
          <w:p w14:paraId="056A6AE5" w14:textId="77777777" w:rsidR="00A370FA" w:rsidRPr="00903174" w:rsidRDefault="00A370FA" w:rsidP="00A370FA">
            <w:pPr>
              <w:pStyle w:val="TableText"/>
              <w:jc w:val="center"/>
            </w:pPr>
            <w:r w:rsidRPr="00903174">
              <w:t>91.4 (85.2, 97.7)</w:t>
            </w:r>
          </w:p>
        </w:tc>
      </w:tr>
      <w:tr w:rsidR="00A370FA" w:rsidRPr="00903174" w14:paraId="3AAF2240" w14:textId="77777777" w:rsidTr="00ED6B59">
        <w:trPr>
          <w:trHeight w:val="64"/>
        </w:trPr>
        <w:tc>
          <w:tcPr>
            <w:tcW w:w="3808" w:type="pct"/>
            <w:gridSpan w:val="4"/>
            <w:shd w:val="clear" w:color="auto" w:fill="auto"/>
            <w:vAlign w:val="center"/>
          </w:tcPr>
          <w:p w14:paraId="59D38020" w14:textId="77777777" w:rsidR="00A370FA" w:rsidRPr="00903174" w:rsidRDefault="00A370FA" w:rsidP="00A370FA">
            <w:pPr>
              <w:pStyle w:val="TableText"/>
              <w:jc w:val="right"/>
            </w:pPr>
            <w:r w:rsidRPr="00903174">
              <w:t>SE of treatment difference in Trial 302 (4.29)</w:t>
            </w:r>
          </w:p>
        </w:tc>
        <w:tc>
          <w:tcPr>
            <w:tcW w:w="1192" w:type="pct"/>
            <w:shd w:val="clear" w:color="auto" w:fill="auto"/>
          </w:tcPr>
          <w:p w14:paraId="21E71F79" w14:textId="77777777" w:rsidR="00A370FA" w:rsidRPr="00903174" w:rsidRDefault="00A370FA" w:rsidP="00A370FA">
            <w:pPr>
              <w:pStyle w:val="TableText"/>
              <w:jc w:val="center"/>
            </w:pPr>
            <w:r w:rsidRPr="00903174">
              <w:t>91.4 (81.9, 100.9)</w:t>
            </w:r>
          </w:p>
        </w:tc>
      </w:tr>
      <w:tr w:rsidR="00A370FA" w:rsidRPr="00903174" w14:paraId="4E397854" w14:textId="77777777" w:rsidTr="00ED6B59">
        <w:trPr>
          <w:trHeight w:val="64"/>
        </w:trPr>
        <w:tc>
          <w:tcPr>
            <w:tcW w:w="3808" w:type="pct"/>
            <w:gridSpan w:val="4"/>
            <w:shd w:val="clear" w:color="auto" w:fill="auto"/>
            <w:vAlign w:val="center"/>
          </w:tcPr>
          <w:p w14:paraId="6BC1BB0D" w14:textId="77777777" w:rsidR="00A370FA" w:rsidRPr="00903174" w:rsidRDefault="00A370FA" w:rsidP="00A370FA">
            <w:pPr>
              <w:pStyle w:val="TableText"/>
              <w:jc w:val="right"/>
            </w:pPr>
            <w:r w:rsidRPr="00903174">
              <w:t>SE of pooled treatment difference from Trials 301/302 (4.12)</w:t>
            </w:r>
          </w:p>
        </w:tc>
        <w:tc>
          <w:tcPr>
            <w:tcW w:w="1192" w:type="pct"/>
            <w:shd w:val="clear" w:color="auto" w:fill="auto"/>
          </w:tcPr>
          <w:p w14:paraId="0231DEB5" w14:textId="77777777" w:rsidR="00A370FA" w:rsidRPr="00903174" w:rsidRDefault="00A370FA" w:rsidP="00A370FA">
            <w:pPr>
              <w:pStyle w:val="TableText"/>
              <w:jc w:val="center"/>
            </w:pPr>
            <w:r w:rsidRPr="00903174">
              <w:t>91.4 (82.2, 100.6)</w:t>
            </w:r>
          </w:p>
        </w:tc>
      </w:tr>
      <w:tr w:rsidR="00A370FA" w:rsidRPr="00903174" w14:paraId="4F82679E" w14:textId="77777777" w:rsidTr="00ED6B59">
        <w:trPr>
          <w:trHeight w:val="64"/>
        </w:trPr>
        <w:tc>
          <w:tcPr>
            <w:tcW w:w="3808" w:type="pct"/>
            <w:gridSpan w:val="4"/>
            <w:shd w:val="clear" w:color="auto" w:fill="auto"/>
            <w:vAlign w:val="center"/>
          </w:tcPr>
          <w:p w14:paraId="0DCA1FAA" w14:textId="77777777" w:rsidR="00A370FA" w:rsidRPr="00903174" w:rsidRDefault="00A370FA" w:rsidP="00A370FA">
            <w:pPr>
              <w:pStyle w:val="TableText"/>
              <w:jc w:val="right"/>
            </w:pPr>
            <w:r w:rsidRPr="00903174">
              <w:t>Double of highest SE (8.59)</w:t>
            </w:r>
          </w:p>
        </w:tc>
        <w:tc>
          <w:tcPr>
            <w:tcW w:w="1192" w:type="pct"/>
            <w:shd w:val="clear" w:color="auto" w:fill="auto"/>
          </w:tcPr>
          <w:p w14:paraId="1E2D6B84" w14:textId="77777777" w:rsidR="00A370FA" w:rsidRPr="00903174" w:rsidRDefault="00A370FA" w:rsidP="00A370FA">
            <w:pPr>
              <w:pStyle w:val="TableText"/>
              <w:jc w:val="center"/>
            </w:pPr>
            <w:r w:rsidRPr="00903174">
              <w:t>91.4 (74.0, 108.8)</w:t>
            </w:r>
          </w:p>
        </w:tc>
      </w:tr>
    </w:tbl>
    <w:p w14:paraId="58CDE8DF" w14:textId="77777777" w:rsidR="00A370FA" w:rsidRPr="00903174" w:rsidRDefault="00A370FA" w:rsidP="00A370FA">
      <w:pPr>
        <w:pStyle w:val="TableFigureFooter"/>
      </w:pPr>
      <w:r w:rsidRPr="00903174">
        <w:t>Source: Table 95, p170; Table 96, p171 of the submission.</w:t>
      </w:r>
    </w:p>
    <w:p w14:paraId="6E6B8FFF" w14:textId="77777777" w:rsidR="00A370FA" w:rsidRPr="00903174" w:rsidRDefault="00A370FA" w:rsidP="00A370FA">
      <w:pPr>
        <w:pStyle w:val="TableFigureFooter"/>
      </w:pPr>
      <w:r w:rsidRPr="00903174">
        <w:t>Abbreviations: NR, not reported; SE, standard error; WMD, weighted mean difference.</w:t>
      </w:r>
    </w:p>
    <w:p w14:paraId="2F801370" w14:textId="77777777" w:rsidR="00A370FA" w:rsidRPr="00903174" w:rsidRDefault="00ED6B59" w:rsidP="00415038">
      <w:pPr>
        <w:pStyle w:val="ExecSumBodyText"/>
        <w:numPr>
          <w:ilvl w:val="1"/>
          <w:numId w:val="1"/>
        </w:numPr>
      </w:pPr>
      <w:r w:rsidRPr="00903174">
        <w:t>The indirect comparison of percent</w:t>
      </w:r>
      <w:r w:rsidR="00A370FA" w:rsidRPr="00903174">
        <w:t xml:space="preserve"> change in LDH levels suggested a statistically significantly larger reduction in LDH levels for patients treated with ravulizumab compared to placebo. Results of the indirect comparison demonstrated superiority of </w:t>
      </w:r>
      <w:r w:rsidR="00A370FA" w:rsidRPr="00903174">
        <w:lastRenderedPageBreak/>
        <w:t>ravulizumab over placebo, regardless of the approach used to estimate standard errors.</w:t>
      </w:r>
    </w:p>
    <w:p w14:paraId="5F767572" w14:textId="77777777" w:rsidR="00A370FA" w:rsidRPr="00903174" w:rsidRDefault="00A370FA" w:rsidP="00415038">
      <w:pPr>
        <w:pStyle w:val="ExecSumBodyText"/>
        <w:numPr>
          <w:ilvl w:val="1"/>
          <w:numId w:val="1"/>
        </w:numPr>
        <w:rPr>
          <w:color w:val="0066FF"/>
        </w:rPr>
      </w:pPr>
      <w:r w:rsidRPr="00903174">
        <w:t xml:space="preserve">Overall, the results of the indirect comparison suggest that ravulizumab has a statistically significantly better efficacy profile than placebo for the outcomes of transfusion avoidance, </w:t>
      </w:r>
      <w:r w:rsidR="00ED6B59" w:rsidRPr="00903174">
        <w:t>percent</w:t>
      </w:r>
      <w:r w:rsidRPr="00903174">
        <w:t xml:space="preserve"> change in LDH levels, and FACIT-fatigue scores.</w:t>
      </w:r>
      <w:r w:rsidRPr="00903174">
        <w:rPr>
          <w:i/>
        </w:rPr>
        <w:t xml:space="preserve"> </w:t>
      </w:r>
      <w:r w:rsidRPr="00903174">
        <w:t>However</w:t>
      </w:r>
      <w:r w:rsidR="002F5EA7" w:rsidRPr="00903174">
        <w:t>, the ESC a</w:t>
      </w:r>
      <w:r w:rsidR="000239A8" w:rsidRPr="00903174">
        <w:t>dvis</w:t>
      </w:r>
      <w:r w:rsidR="002F5EA7" w:rsidRPr="00903174">
        <w:t>ed that</w:t>
      </w:r>
      <w:r w:rsidRPr="00903174">
        <w:t xml:space="preserve"> the robust</w:t>
      </w:r>
      <w:r w:rsidR="00126F3E" w:rsidRPr="00903174">
        <w:t xml:space="preserve">ness of the indirect comparison </w:t>
      </w:r>
      <w:r w:rsidRPr="00903174">
        <w:t>was hindered by the limited number of comparable outcomes available between the trials, and issues of exchangeability between</w:t>
      </w:r>
      <w:r w:rsidR="00B83C7D" w:rsidRPr="00903174">
        <w:t xml:space="preserve"> the two</w:t>
      </w:r>
      <w:r w:rsidRPr="00903174">
        <w:t xml:space="preserve"> ravulizumab trials and the TRIUMPH trial.</w:t>
      </w:r>
    </w:p>
    <w:p w14:paraId="5E84745F" w14:textId="77777777" w:rsidR="008E0410" w:rsidRPr="00903174" w:rsidRDefault="008E0410" w:rsidP="008C45EF">
      <w:pPr>
        <w:pStyle w:val="TableFigureCaption"/>
        <w:rPr>
          <w:rFonts w:asciiTheme="minorHAnsi" w:hAnsiTheme="minorHAnsi" w:cstheme="minorHAnsi"/>
          <w:sz w:val="24"/>
        </w:rPr>
      </w:pPr>
      <w:r w:rsidRPr="00903174">
        <w:rPr>
          <w:rFonts w:asciiTheme="minorHAnsi" w:hAnsiTheme="minorHAnsi" w:cstheme="minorHAnsi"/>
          <w:sz w:val="24"/>
        </w:rPr>
        <w:t>Survival data</w:t>
      </w:r>
    </w:p>
    <w:p w14:paraId="1A71582D" w14:textId="77777777" w:rsidR="008E0410" w:rsidRPr="00903174" w:rsidRDefault="008E0410" w:rsidP="00EB64ED">
      <w:pPr>
        <w:pStyle w:val="ExecSumBodyText"/>
        <w:numPr>
          <w:ilvl w:val="1"/>
          <w:numId w:val="1"/>
        </w:numPr>
      </w:pPr>
      <w:r w:rsidRPr="00903174">
        <w:t>There are currently no long-term studies of disease progression and survival in patients treated with ravulizumab, beyond the one-year data available from the extension periods of the ravulizumab clinical trials. However, the submission argued that there is indirect evidence that ravulizumab reasonably extends the lifespan of patients with PNH, as follows:</w:t>
      </w:r>
    </w:p>
    <w:p w14:paraId="09506CE6" w14:textId="77777777" w:rsidR="008E0410" w:rsidRPr="00903174" w:rsidRDefault="008E0410" w:rsidP="00BB2169">
      <w:pPr>
        <w:pStyle w:val="Bulletpoints"/>
        <w:numPr>
          <w:ilvl w:val="0"/>
          <w:numId w:val="16"/>
        </w:numPr>
      </w:pPr>
      <w:r w:rsidRPr="00903174">
        <w:t>LDH is the established marker of haemolysis</w:t>
      </w:r>
    </w:p>
    <w:p w14:paraId="6D6E7005" w14:textId="77777777" w:rsidR="008E0410" w:rsidRPr="00903174" w:rsidRDefault="008E0410" w:rsidP="00BB2169">
      <w:pPr>
        <w:pStyle w:val="Bulletpoints"/>
        <w:numPr>
          <w:ilvl w:val="0"/>
          <w:numId w:val="16"/>
        </w:numPr>
      </w:pPr>
      <w:r w:rsidRPr="00903174">
        <w:t>Raised LDH is linked to increased risk of mortality and thrombosis</w:t>
      </w:r>
    </w:p>
    <w:p w14:paraId="40CC600F" w14:textId="77777777" w:rsidR="008E0410" w:rsidRPr="00903174" w:rsidRDefault="008E0410" w:rsidP="00BB2169">
      <w:pPr>
        <w:pStyle w:val="Bulletpoints"/>
        <w:numPr>
          <w:ilvl w:val="0"/>
          <w:numId w:val="16"/>
        </w:numPr>
      </w:pPr>
      <w:r w:rsidRPr="00903174">
        <w:t>Eculizumab reduces LDH, thromboembolism risk and the risk of mortality compared to best supportive care</w:t>
      </w:r>
    </w:p>
    <w:p w14:paraId="7B8DFD2E" w14:textId="77777777" w:rsidR="008E0410" w:rsidRPr="00903174" w:rsidRDefault="008E0410" w:rsidP="00BB2169">
      <w:pPr>
        <w:pStyle w:val="Bulletpoints"/>
        <w:numPr>
          <w:ilvl w:val="0"/>
          <w:numId w:val="16"/>
        </w:numPr>
      </w:pPr>
      <w:r w:rsidRPr="00903174">
        <w:t>Ravulizumab is non-inferior to eculizumab and binds to the same epitope of C5</w:t>
      </w:r>
    </w:p>
    <w:p w14:paraId="1136D6D5" w14:textId="77777777" w:rsidR="008E0410" w:rsidRPr="00903174" w:rsidRDefault="008E0410" w:rsidP="00BB2169">
      <w:pPr>
        <w:pStyle w:val="Bulletpoints"/>
        <w:numPr>
          <w:ilvl w:val="0"/>
          <w:numId w:val="16"/>
        </w:numPr>
      </w:pPr>
      <w:r w:rsidRPr="00903174">
        <w:t>Ravulizumab will also be non-inferior to eculizumab and superior to best supportive care in reducing mortality.</w:t>
      </w:r>
    </w:p>
    <w:p w14:paraId="7FDC6C70" w14:textId="77777777" w:rsidR="000C5514" w:rsidRPr="00903174" w:rsidRDefault="00CB02BB" w:rsidP="00374359">
      <w:pPr>
        <w:pStyle w:val="ExecSumBodyText"/>
        <w:numPr>
          <w:ilvl w:val="1"/>
          <w:numId w:val="1"/>
        </w:numPr>
      </w:pPr>
      <w:r w:rsidRPr="00903174">
        <w:t xml:space="preserve">The submission argued that LDH is a reliable, objective and direct measure of intravascular haemolysis in patients with PNH, and is considered to be the best measure of complement-mediated haemolysis, the key marker of PNH disease activity. Levels of chronic haemolysis in the eculizumab clinical trials were also measured by serum LDH. Patients with PNH with elevated haemolysis (LDH above 1.5 times the upper limit of normal) have an increased risk of experiencing thromboembolic events, the leading cause of mortality in patients with PNH. This leads to a 4.8-fold higher mortality rate for patients with PNH compared with the age- and sex-matched general population (Hillmen 2006). </w:t>
      </w:r>
      <w:r w:rsidR="0015016A" w:rsidRPr="00903174">
        <w:t>In 2009, t</w:t>
      </w:r>
      <w:r w:rsidR="000C5514" w:rsidRPr="00903174">
        <w:t>he PBAC stated the “link between treatment with eculizumab resulting in the reduction of thromboembolic events and an improved lifespan of some patients with PNH was not unreasonable” (Section 12, Public Summary Document, eculizumab, March 2009)</w:t>
      </w:r>
      <w:r w:rsidR="00B4390A" w:rsidRPr="00903174">
        <w:t xml:space="preserve">. </w:t>
      </w:r>
      <w:r w:rsidR="004F07B2" w:rsidRPr="00903174">
        <w:t>The ESC considered t</w:t>
      </w:r>
      <w:r w:rsidR="0015016A" w:rsidRPr="00903174">
        <w:t xml:space="preserve">his conclusion </w:t>
      </w:r>
      <w:r w:rsidR="004F07B2" w:rsidRPr="00903174">
        <w:t xml:space="preserve">should </w:t>
      </w:r>
      <w:r w:rsidR="0015016A" w:rsidRPr="00903174">
        <w:t xml:space="preserve">be re-examined taking into account </w:t>
      </w:r>
      <w:r w:rsidR="004F07B2" w:rsidRPr="00903174">
        <w:t xml:space="preserve">the variation in the results for improved survival from </w:t>
      </w:r>
      <w:r w:rsidR="0015016A" w:rsidRPr="00903174">
        <w:t>more recent evidence.</w:t>
      </w:r>
    </w:p>
    <w:p w14:paraId="4638F455" w14:textId="77777777" w:rsidR="00A73E01" w:rsidRPr="00903174" w:rsidRDefault="00A73E01" w:rsidP="00A73E01">
      <w:pPr>
        <w:pStyle w:val="ExecSumBodyText"/>
        <w:numPr>
          <w:ilvl w:val="1"/>
          <w:numId w:val="1"/>
        </w:numPr>
      </w:pPr>
      <w:r w:rsidRPr="00903174">
        <w:t>In the July 2010 PBAC submission for eculizumab, survival data from the eculizumab clinical trials (SHEPHERD and E05-001 extension study) was compared to a matched PNH patient cohort from 1996-2005 (de Latour 2008), with the conclusion that eculizumab treatment significantly reduced mortality (82% reduction, observed vs expected deaths)</w:t>
      </w:r>
      <w:r w:rsidR="00B4390A" w:rsidRPr="00903174">
        <w:t xml:space="preserve">. </w:t>
      </w:r>
      <w:r w:rsidR="001077FC" w:rsidRPr="00903174">
        <w:t xml:space="preserve">The PBAC deferred the submission for eculizumab to allow the </w:t>
      </w:r>
      <w:r w:rsidR="001077FC" w:rsidRPr="00903174">
        <w:lastRenderedPageBreak/>
        <w:t>sponsor time to obtain further data about the magnitude of the survival gain before making a decision on whether eculizumab substantially extends a patient’s lifespan as per criterion 4 of the Life Saving Drugs Program (para 11, eculizumab, July 2010 Public Summary Document). In August 2010 the PBAC considered that the additional evidence, including that presented by the sponsor and unpublished data, acceptably supported the prediction that a patient’s lifespan with classic PNH would be substantially extended as a direct consequence of treatment with eculizumab compared to best supportive care and hence concluded that criterion four of the LSDP was now met (August 2010 addendum, eculizumab, July 2010 Public Summary Document).</w:t>
      </w:r>
      <w:r w:rsidR="0015016A" w:rsidRPr="00903174">
        <w:t xml:space="preserve"> </w:t>
      </w:r>
    </w:p>
    <w:p w14:paraId="12022D3C" w14:textId="77777777" w:rsidR="00A73E01" w:rsidRPr="00903174" w:rsidRDefault="00A73E01" w:rsidP="00A73E01">
      <w:pPr>
        <w:pStyle w:val="TableFigureCaption"/>
      </w:pPr>
      <w:r w:rsidRPr="00903174">
        <w:t>Table 13: Survival data previously considered by the PBAC for eculizumab (August 2010), three-year mortality rate for best supportive care in 1996 – 2005 vs Eculizumab</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0"/>
        <w:gridCol w:w="1772"/>
        <w:gridCol w:w="1948"/>
        <w:gridCol w:w="1843"/>
        <w:gridCol w:w="1984"/>
      </w:tblGrid>
      <w:tr w:rsidR="00A73E01" w:rsidRPr="00903174" w14:paraId="03B1B872" w14:textId="77777777" w:rsidTr="006C1447">
        <w:trPr>
          <w:cantSplit/>
        </w:trPr>
        <w:tc>
          <w:tcPr>
            <w:tcW w:w="3292" w:type="dxa"/>
            <w:gridSpan w:val="2"/>
            <w:shd w:val="clear" w:color="auto" w:fill="auto"/>
            <w:vAlign w:val="center"/>
          </w:tcPr>
          <w:p w14:paraId="788E0DCB" w14:textId="77777777" w:rsidR="00A73E01" w:rsidRPr="00903174" w:rsidRDefault="00A73E01" w:rsidP="00374359">
            <w:pPr>
              <w:pStyle w:val="TableHeading"/>
            </w:pPr>
            <w:r w:rsidRPr="00903174">
              <w:t>Expected Mortality with Best Supportive Care (de Latour 2008)</w:t>
            </w:r>
          </w:p>
        </w:tc>
        <w:tc>
          <w:tcPr>
            <w:tcW w:w="3791" w:type="dxa"/>
            <w:gridSpan w:val="2"/>
            <w:shd w:val="clear" w:color="auto" w:fill="auto"/>
          </w:tcPr>
          <w:p w14:paraId="7CB40B05" w14:textId="77777777" w:rsidR="00A73E01" w:rsidRPr="00903174" w:rsidRDefault="00A73E01" w:rsidP="00374359">
            <w:pPr>
              <w:pStyle w:val="TableHeading"/>
              <w:jc w:val="center"/>
            </w:pPr>
            <w:r w:rsidRPr="00903174">
              <w:t>Eculizumab trials (SHEPHERD, E05-001 extension study), N=195</w:t>
            </w:r>
          </w:p>
        </w:tc>
        <w:tc>
          <w:tcPr>
            <w:tcW w:w="1984" w:type="dxa"/>
            <w:vMerge w:val="restart"/>
            <w:shd w:val="clear" w:color="auto" w:fill="auto"/>
            <w:vAlign w:val="center"/>
          </w:tcPr>
          <w:p w14:paraId="2217BCC6" w14:textId="77777777" w:rsidR="00A73E01" w:rsidRPr="00903174" w:rsidRDefault="00A73E01" w:rsidP="00374359">
            <w:pPr>
              <w:pStyle w:val="TableHeading"/>
              <w:jc w:val="center"/>
              <w:rPr>
                <w:vertAlign w:val="superscript"/>
              </w:rPr>
            </w:pPr>
            <w:r w:rsidRPr="00903174">
              <w:t xml:space="preserve">Odds ratio (95% CI), </w:t>
            </w:r>
            <w:r w:rsidR="006C1447">
              <w:br/>
            </w:r>
            <w:r w:rsidRPr="00903174">
              <w:t xml:space="preserve">p-value </w:t>
            </w:r>
            <w:r w:rsidRPr="00903174">
              <w:rPr>
                <w:vertAlign w:val="superscript"/>
              </w:rPr>
              <w:t>b</w:t>
            </w:r>
          </w:p>
        </w:tc>
      </w:tr>
      <w:tr w:rsidR="00A73E01" w:rsidRPr="00903174" w14:paraId="7893E047" w14:textId="77777777" w:rsidTr="006C1447">
        <w:trPr>
          <w:cantSplit/>
        </w:trPr>
        <w:tc>
          <w:tcPr>
            <w:tcW w:w="1520" w:type="dxa"/>
            <w:shd w:val="clear" w:color="auto" w:fill="auto"/>
            <w:vAlign w:val="center"/>
          </w:tcPr>
          <w:p w14:paraId="53FDAFF3" w14:textId="77777777" w:rsidR="00A73E01" w:rsidRPr="00903174" w:rsidDel="00F34927" w:rsidRDefault="00A73E01" w:rsidP="00374359">
            <w:pPr>
              <w:pStyle w:val="Tableheadingrow"/>
              <w:jc w:val="center"/>
              <w:rPr>
                <w:lang w:val="en-AU"/>
              </w:rPr>
            </w:pPr>
            <w:r w:rsidRPr="00903174">
              <w:rPr>
                <w:lang w:val="en-AU"/>
              </w:rPr>
              <w:t>3 yr Observed Mortality Rate</w:t>
            </w:r>
          </w:p>
        </w:tc>
        <w:tc>
          <w:tcPr>
            <w:tcW w:w="1772" w:type="dxa"/>
            <w:shd w:val="clear" w:color="auto" w:fill="auto"/>
            <w:vAlign w:val="center"/>
          </w:tcPr>
          <w:p w14:paraId="4653E281" w14:textId="77777777" w:rsidR="00A73E01" w:rsidRPr="00903174" w:rsidRDefault="00A73E01" w:rsidP="00374359">
            <w:pPr>
              <w:pStyle w:val="Tableheadingrow"/>
              <w:jc w:val="center"/>
              <w:rPr>
                <w:lang w:val="en-AU"/>
              </w:rPr>
            </w:pPr>
            <w:r w:rsidRPr="00903174">
              <w:rPr>
                <w:lang w:val="en-AU"/>
              </w:rPr>
              <w:t>Expected Deaths Applied to N=195</w:t>
            </w:r>
            <w:r w:rsidRPr="00903174">
              <w:rPr>
                <w:vertAlign w:val="superscript"/>
                <w:lang w:val="en-AU"/>
              </w:rPr>
              <w:t>a</w:t>
            </w:r>
          </w:p>
        </w:tc>
        <w:tc>
          <w:tcPr>
            <w:tcW w:w="1948" w:type="dxa"/>
            <w:shd w:val="clear" w:color="auto" w:fill="auto"/>
            <w:vAlign w:val="center"/>
          </w:tcPr>
          <w:p w14:paraId="1B2557EA" w14:textId="77777777" w:rsidR="00A73E01" w:rsidRPr="00903174" w:rsidRDefault="00A73E01" w:rsidP="00374359">
            <w:pPr>
              <w:pStyle w:val="Tableheadingrow"/>
              <w:jc w:val="center"/>
              <w:rPr>
                <w:u w:val="single"/>
                <w:lang w:val="en-AU"/>
              </w:rPr>
            </w:pPr>
            <w:r w:rsidRPr="00903174">
              <w:rPr>
                <w:u w:val="single"/>
                <w:lang w:val="en-AU"/>
              </w:rPr>
              <w:t>Observed</w:t>
            </w:r>
            <w:r w:rsidRPr="00903174">
              <w:rPr>
                <w:lang w:val="en-AU"/>
              </w:rPr>
              <w:t xml:space="preserve"> Deaths</w:t>
            </w:r>
          </w:p>
        </w:tc>
        <w:tc>
          <w:tcPr>
            <w:tcW w:w="1843" w:type="dxa"/>
            <w:shd w:val="clear" w:color="auto" w:fill="auto"/>
            <w:vAlign w:val="center"/>
          </w:tcPr>
          <w:p w14:paraId="02AA78D0" w14:textId="77777777" w:rsidR="00A73E01" w:rsidRPr="00903174" w:rsidRDefault="00A73E01" w:rsidP="00374359">
            <w:pPr>
              <w:pStyle w:val="Tableheadingrow"/>
              <w:jc w:val="center"/>
              <w:rPr>
                <w:lang w:val="en-AU"/>
              </w:rPr>
            </w:pPr>
            <w:r w:rsidRPr="00903174">
              <w:rPr>
                <w:lang w:val="en-AU"/>
              </w:rPr>
              <w:t>% Reduction</w:t>
            </w:r>
          </w:p>
        </w:tc>
        <w:tc>
          <w:tcPr>
            <w:tcW w:w="1984" w:type="dxa"/>
            <w:vMerge/>
            <w:shd w:val="clear" w:color="auto" w:fill="auto"/>
          </w:tcPr>
          <w:p w14:paraId="60E97E01" w14:textId="77777777" w:rsidR="00A73E01" w:rsidRPr="00903174" w:rsidRDefault="00A73E01" w:rsidP="00374359">
            <w:pPr>
              <w:pStyle w:val="Tableheadingrow"/>
              <w:rPr>
                <w:lang w:val="en-AU"/>
              </w:rPr>
            </w:pPr>
          </w:p>
        </w:tc>
      </w:tr>
      <w:tr w:rsidR="00A73E01" w:rsidRPr="00903174" w14:paraId="15C7ECB9" w14:textId="77777777" w:rsidTr="006C1447">
        <w:trPr>
          <w:cantSplit/>
        </w:trPr>
        <w:tc>
          <w:tcPr>
            <w:tcW w:w="1520" w:type="dxa"/>
            <w:shd w:val="clear" w:color="auto" w:fill="auto"/>
            <w:vAlign w:val="center"/>
          </w:tcPr>
          <w:p w14:paraId="5C0FF48F" w14:textId="77777777" w:rsidR="00A73E01" w:rsidRPr="00903174" w:rsidRDefault="00A73E01" w:rsidP="00374359">
            <w:pPr>
              <w:pStyle w:val="TableText"/>
              <w:jc w:val="center"/>
            </w:pPr>
            <w:r w:rsidRPr="00903174">
              <w:t>12.1%</w:t>
            </w:r>
          </w:p>
        </w:tc>
        <w:tc>
          <w:tcPr>
            <w:tcW w:w="1772" w:type="dxa"/>
            <w:shd w:val="clear" w:color="auto" w:fill="auto"/>
            <w:vAlign w:val="center"/>
          </w:tcPr>
          <w:p w14:paraId="6B25FA06" w14:textId="77777777" w:rsidR="00A73E01" w:rsidRPr="00903174" w:rsidRDefault="00A73E01" w:rsidP="00374359">
            <w:pPr>
              <w:pStyle w:val="TableText"/>
              <w:jc w:val="center"/>
            </w:pPr>
            <w:r w:rsidRPr="00903174">
              <w:t>24</w:t>
            </w:r>
          </w:p>
        </w:tc>
        <w:tc>
          <w:tcPr>
            <w:tcW w:w="1948" w:type="dxa"/>
            <w:vAlign w:val="center"/>
          </w:tcPr>
          <w:p w14:paraId="2AF59D7C" w14:textId="77777777" w:rsidR="00A73E01" w:rsidRPr="00903174" w:rsidRDefault="00A73E01" w:rsidP="00374359">
            <w:pPr>
              <w:pStyle w:val="TableText"/>
              <w:jc w:val="center"/>
            </w:pPr>
            <w:r w:rsidRPr="00903174">
              <w:t>4</w:t>
            </w:r>
          </w:p>
        </w:tc>
        <w:tc>
          <w:tcPr>
            <w:tcW w:w="1843" w:type="dxa"/>
            <w:shd w:val="clear" w:color="auto" w:fill="auto"/>
            <w:vAlign w:val="center"/>
          </w:tcPr>
          <w:p w14:paraId="2BA767B4" w14:textId="77777777" w:rsidR="00A73E01" w:rsidRPr="00903174" w:rsidRDefault="00A73E01" w:rsidP="00374359">
            <w:pPr>
              <w:pStyle w:val="TableText"/>
              <w:jc w:val="center"/>
            </w:pPr>
            <w:r w:rsidRPr="00903174">
              <w:t>82%</w:t>
            </w:r>
          </w:p>
        </w:tc>
        <w:tc>
          <w:tcPr>
            <w:tcW w:w="1984" w:type="dxa"/>
            <w:shd w:val="clear" w:color="auto" w:fill="auto"/>
            <w:vAlign w:val="center"/>
          </w:tcPr>
          <w:p w14:paraId="50422D12" w14:textId="77777777" w:rsidR="00A73E01" w:rsidRPr="00903174" w:rsidRDefault="00A73E01" w:rsidP="00374359">
            <w:pPr>
              <w:pStyle w:val="TableText"/>
              <w:jc w:val="center"/>
            </w:pPr>
            <w:r w:rsidRPr="00903174">
              <w:t>0.15 (0.05 -0 .44), p&lt;0.0001</w:t>
            </w:r>
          </w:p>
        </w:tc>
      </w:tr>
    </w:tbl>
    <w:p w14:paraId="31D13F3D" w14:textId="77777777" w:rsidR="00A73E01" w:rsidRPr="00903174" w:rsidRDefault="00A73E01" w:rsidP="00A73E01">
      <w:pPr>
        <w:pStyle w:val="TableFigureFooter"/>
      </w:pPr>
      <w:r w:rsidRPr="00903174">
        <w:rPr>
          <w:vertAlign w:val="superscript"/>
        </w:rPr>
        <w:t>a</w:t>
      </w:r>
      <w:r w:rsidRPr="00903174">
        <w:t>Number of deaths expected during three years were estimated by multiplying the rate of expected mortality (de Latour et al., 2008) over three years by the number of patients enrolled in the eculizumab trials</w:t>
      </w:r>
      <w:r w:rsidR="00B4390A" w:rsidRPr="00903174">
        <w:t xml:space="preserve">. </w:t>
      </w:r>
    </w:p>
    <w:p w14:paraId="4373CC52" w14:textId="77777777" w:rsidR="00CB02BB" w:rsidRPr="00903174" w:rsidRDefault="00A73E01" w:rsidP="00A73E01">
      <w:pPr>
        <w:pStyle w:val="TableFigureFooter"/>
      </w:pPr>
      <w:r w:rsidRPr="00903174">
        <w:rPr>
          <w:vertAlign w:val="superscript"/>
        </w:rPr>
        <w:t>b</w:t>
      </w:r>
      <w:r w:rsidRPr="00903174">
        <w:rPr>
          <w:i/>
        </w:rPr>
        <w:t>p</w:t>
      </w:r>
      <w:r w:rsidRPr="00903174">
        <w:t xml:space="preserve"> value based on Pearson’s chi-squared test.</w:t>
      </w:r>
      <w:r w:rsidR="0035499B" w:rsidRPr="00903174">
        <w:t xml:space="preserve"> </w:t>
      </w:r>
      <w:r w:rsidRPr="00903174">
        <w:t>Source: Table 107, p 192 of the submission.</w:t>
      </w:r>
    </w:p>
    <w:p w14:paraId="4C72325E" w14:textId="77777777" w:rsidR="001544A3" w:rsidRPr="00903174" w:rsidRDefault="008E0410" w:rsidP="00415038">
      <w:pPr>
        <w:pStyle w:val="ExecSumBodyText"/>
        <w:numPr>
          <w:ilvl w:val="1"/>
          <w:numId w:val="1"/>
        </w:numPr>
      </w:pPr>
      <w:r w:rsidRPr="00903174">
        <w:t xml:space="preserve">The submission included a number of clinical studies, retrospective analyses and registry studies that have been published since the PBAC consideration of eculizumab, which include information on disease progression and survival for patients treated with eculizumab or </w:t>
      </w:r>
      <w:r w:rsidR="00C802EC" w:rsidRPr="00903174">
        <w:t xml:space="preserve">BSC </w:t>
      </w:r>
      <w:r w:rsidR="001544A3" w:rsidRPr="00903174">
        <w:t>(see table below)</w:t>
      </w:r>
      <w:r w:rsidRPr="00903174">
        <w:t xml:space="preserve">. </w:t>
      </w:r>
    </w:p>
    <w:p w14:paraId="54030C0D" w14:textId="77777777" w:rsidR="00E93AAD" w:rsidRDefault="00E93AAD">
      <w:pPr>
        <w:jc w:val="left"/>
        <w:rPr>
          <w:rFonts w:ascii="Arial Narrow" w:eastAsiaTheme="majorEastAsia" w:hAnsi="Arial Narrow" w:cs="Times New Roman"/>
          <w:b/>
          <w:sz w:val="20"/>
        </w:rPr>
      </w:pPr>
      <w:r>
        <w:br w:type="page"/>
      </w:r>
    </w:p>
    <w:p w14:paraId="13F228A4" w14:textId="77777777" w:rsidR="001544A3" w:rsidRPr="00903174" w:rsidRDefault="001544A3" w:rsidP="001544A3">
      <w:pPr>
        <w:pStyle w:val="Tableheadingrow"/>
        <w:rPr>
          <w:lang w:val="en-AU"/>
        </w:rPr>
      </w:pPr>
      <w:r w:rsidRPr="00903174">
        <w:rPr>
          <w:lang w:val="en-AU"/>
        </w:rPr>
        <w:lastRenderedPageBreak/>
        <w:t xml:space="preserve">Table </w:t>
      </w:r>
      <w:r w:rsidR="001D6AD7" w:rsidRPr="00903174">
        <w:rPr>
          <w:lang w:val="en-AU"/>
        </w:rPr>
        <w:t>1</w:t>
      </w:r>
      <w:r w:rsidR="00A73E01" w:rsidRPr="00903174">
        <w:rPr>
          <w:lang w:val="en-AU"/>
        </w:rPr>
        <w:t>4</w:t>
      </w:r>
      <w:r w:rsidRPr="00903174">
        <w:rPr>
          <w:lang w:val="en-AU"/>
        </w:rPr>
        <w:t>: Updated survival data for eculizumab (published after July 2010 eculizumab submission)</w:t>
      </w:r>
    </w:p>
    <w:tbl>
      <w:tblPr>
        <w:tblStyle w:val="TableGrid"/>
        <w:tblW w:w="5000" w:type="pct"/>
        <w:tblLook w:val="04A0" w:firstRow="1" w:lastRow="0" w:firstColumn="1" w:lastColumn="0" w:noHBand="0" w:noVBand="1"/>
      </w:tblPr>
      <w:tblGrid>
        <w:gridCol w:w="1428"/>
        <w:gridCol w:w="974"/>
        <w:gridCol w:w="1139"/>
        <w:gridCol w:w="1091"/>
        <w:gridCol w:w="1033"/>
        <w:gridCol w:w="1276"/>
        <w:gridCol w:w="1076"/>
        <w:gridCol w:w="1000"/>
      </w:tblGrid>
      <w:tr w:rsidR="001544A3" w:rsidRPr="00903174" w14:paraId="117D6F78" w14:textId="77777777" w:rsidTr="00ED6B59">
        <w:trPr>
          <w:trHeight w:val="300"/>
        </w:trPr>
        <w:tc>
          <w:tcPr>
            <w:tcW w:w="1428" w:type="dxa"/>
            <w:vMerge w:val="restart"/>
            <w:noWrap/>
            <w:vAlign w:val="center"/>
          </w:tcPr>
          <w:p w14:paraId="4C0DCDDB"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Source</w:t>
            </w:r>
          </w:p>
        </w:tc>
        <w:tc>
          <w:tcPr>
            <w:tcW w:w="974" w:type="dxa"/>
            <w:vMerge w:val="restart"/>
            <w:vAlign w:val="center"/>
          </w:tcPr>
          <w:p w14:paraId="489F1FD4"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Patients (N)</w:t>
            </w:r>
          </w:p>
          <w:p w14:paraId="1B94D69E" w14:textId="77777777" w:rsidR="001544A3" w:rsidRPr="00903174" w:rsidRDefault="001544A3" w:rsidP="00EC10C8">
            <w:pPr>
              <w:jc w:val="center"/>
              <w:rPr>
                <w:rFonts w:ascii="Arial Narrow" w:hAnsi="Arial Narrow"/>
                <w:b/>
                <w:bCs/>
                <w:sz w:val="20"/>
                <w:szCs w:val="20"/>
              </w:rPr>
            </w:pPr>
          </w:p>
        </w:tc>
        <w:tc>
          <w:tcPr>
            <w:tcW w:w="1139" w:type="dxa"/>
            <w:vMerge w:val="restart"/>
            <w:noWrap/>
            <w:vAlign w:val="center"/>
          </w:tcPr>
          <w:p w14:paraId="37FA33A1"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Age at diagnosis, years, median (range)</w:t>
            </w:r>
          </w:p>
        </w:tc>
        <w:tc>
          <w:tcPr>
            <w:tcW w:w="1091" w:type="dxa"/>
            <w:vMerge w:val="restart"/>
            <w:noWrap/>
            <w:vAlign w:val="center"/>
          </w:tcPr>
          <w:p w14:paraId="149B853A"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Diagnostic test used</w:t>
            </w:r>
          </w:p>
        </w:tc>
        <w:tc>
          <w:tcPr>
            <w:tcW w:w="1033" w:type="dxa"/>
            <w:vMerge w:val="restart"/>
            <w:noWrap/>
            <w:vAlign w:val="center"/>
          </w:tcPr>
          <w:p w14:paraId="2D52BE77"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Data collection (Year range)</w:t>
            </w:r>
          </w:p>
        </w:tc>
        <w:tc>
          <w:tcPr>
            <w:tcW w:w="1276" w:type="dxa"/>
            <w:vMerge w:val="restart"/>
            <w:noWrap/>
            <w:vAlign w:val="center"/>
          </w:tcPr>
          <w:p w14:paraId="5A619E24"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Duration of follow up, years, median (range)</w:t>
            </w:r>
          </w:p>
        </w:tc>
        <w:tc>
          <w:tcPr>
            <w:tcW w:w="2076" w:type="dxa"/>
            <w:gridSpan w:val="2"/>
            <w:noWrap/>
            <w:vAlign w:val="center"/>
          </w:tcPr>
          <w:p w14:paraId="6DFCACC8"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Survival</w:t>
            </w:r>
          </w:p>
        </w:tc>
      </w:tr>
      <w:tr w:rsidR="001544A3" w:rsidRPr="00903174" w14:paraId="5EC2732A" w14:textId="77777777" w:rsidTr="00ED6B59">
        <w:trPr>
          <w:trHeight w:val="300"/>
        </w:trPr>
        <w:tc>
          <w:tcPr>
            <w:tcW w:w="1428" w:type="dxa"/>
            <w:vMerge/>
            <w:noWrap/>
            <w:vAlign w:val="center"/>
            <w:hideMark/>
          </w:tcPr>
          <w:p w14:paraId="1429F6FC" w14:textId="77777777" w:rsidR="001544A3" w:rsidRPr="00903174" w:rsidRDefault="001544A3" w:rsidP="00EC10C8">
            <w:pPr>
              <w:jc w:val="center"/>
              <w:rPr>
                <w:rFonts w:ascii="Arial Narrow" w:hAnsi="Arial Narrow"/>
                <w:b/>
                <w:bCs/>
                <w:sz w:val="20"/>
                <w:szCs w:val="20"/>
              </w:rPr>
            </w:pPr>
          </w:p>
        </w:tc>
        <w:tc>
          <w:tcPr>
            <w:tcW w:w="974" w:type="dxa"/>
            <w:vMerge/>
            <w:vAlign w:val="center"/>
          </w:tcPr>
          <w:p w14:paraId="28F4D15A" w14:textId="77777777" w:rsidR="001544A3" w:rsidRPr="00903174" w:rsidRDefault="001544A3" w:rsidP="00EC10C8">
            <w:pPr>
              <w:jc w:val="center"/>
              <w:rPr>
                <w:rFonts w:ascii="Arial Narrow" w:hAnsi="Arial Narrow"/>
                <w:b/>
                <w:bCs/>
                <w:sz w:val="20"/>
                <w:szCs w:val="20"/>
              </w:rPr>
            </w:pPr>
          </w:p>
        </w:tc>
        <w:tc>
          <w:tcPr>
            <w:tcW w:w="1139" w:type="dxa"/>
            <w:vMerge/>
            <w:noWrap/>
            <w:vAlign w:val="center"/>
          </w:tcPr>
          <w:p w14:paraId="53103F30" w14:textId="77777777" w:rsidR="001544A3" w:rsidRPr="00903174" w:rsidRDefault="001544A3" w:rsidP="00EC10C8">
            <w:pPr>
              <w:jc w:val="center"/>
              <w:rPr>
                <w:rFonts w:ascii="Arial Narrow" w:hAnsi="Arial Narrow"/>
                <w:b/>
                <w:bCs/>
                <w:sz w:val="20"/>
                <w:szCs w:val="20"/>
              </w:rPr>
            </w:pPr>
          </w:p>
        </w:tc>
        <w:tc>
          <w:tcPr>
            <w:tcW w:w="1091" w:type="dxa"/>
            <w:vMerge/>
            <w:noWrap/>
            <w:vAlign w:val="center"/>
          </w:tcPr>
          <w:p w14:paraId="3154F7F2" w14:textId="77777777" w:rsidR="001544A3" w:rsidRPr="00903174" w:rsidRDefault="001544A3" w:rsidP="00EC10C8">
            <w:pPr>
              <w:jc w:val="center"/>
              <w:rPr>
                <w:rFonts w:ascii="Arial Narrow" w:hAnsi="Arial Narrow"/>
                <w:b/>
                <w:bCs/>
                <w:sz w:val="20"/>
                <w:szCs w:val="20"/>
              </w:rPr>
            </w:pPr>
          </w:p>
        </w:tc>
        <w:tc>
          <w:tcPr>
            <w:tcW w:w="1033" w:type="dxa"/>
            <w:vMerge/>
            <w:noWrap/>
            <w:vAlign w:val="center"/>
          </w:tcPr>
          <w:p w14:paraId="23B8BAC9" w14:textId="77777777" w:rsidR="001544A3" w:rsidRPr="00903174" w:rsidRDefault="001544A3" w:rsidP="00EC10C8">
            <w:pPr>
              <w:jc w:val="center"/>
              <w:rPr>
                <w:rFonts w:ascii="Arial Narrow" w:hAnsi="Arial Narrow"/>
                <w:b/>
                <w:bCs/>
                <w:sz w:val="20"/>
                <w:szCs w:val="20"/>
              </w:rPr>
            </w:pPr>
          </w:p>
        </w:tc>
        <w:tc>
          <w:tcPr>
            <w:tcW w:w="1276" w:type="dxa"/>
            <w:vMerge/>
            <w:noWrap/>
            <w:vAlign w:val="center"/>
          </w:tcPr>
          <w:p w14:paraId="00E26985" w14:textId="77777777" w:rsidR="001544A3" w:rsidRPr="00903174" w:rsidRDefault="001544A3" w:rsidP="00EC10C8">
            <w:pPr>
              <w:jc w:val="center"/>
              <w:rPr>
                <w:rFonts w:ascii="Arial Narrow" w:hAnsi="Arial Narrow"/>
                <w:b/>
                <w:bCs/>
                <w:sz w:val="20"/>
                <w:szCs w:val="20"/>
              </w:rPr>
            </w:pPr>
          </w:p>
        </w:tc>
        <w:tc>
          <w:tcPr>
            <w:tcW w:w="1076" w:type="dxa"/>
            <w:noWrap/>
            <w:vAlign w:val="center"/>
          </w:tcPr>
          <w:p w14:paraId="08F6C526"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 alive (95% CI)</w:t>
            </w:r>
          </w:p>
        </w:tc>
        <w:tc>
          <w:tcPr>
            <w:tcW w:w="1000" w:type="dxa"/>
            <w:noWrap/>
            <w:vAlign w:val="center"/>
          </w:tcPr>
          <w:p w14:paraId="7DF5EE43" w14:textId="77777777" w:rsidR="001544A3" w:rsidRPr="00903174" w:rsidRDefault="001544A3" w:rsidP="00EC10C8">
            <w:pPr>
              <w:jc w:val="center"/>
              <w:rPr>
                <w:rFonts w:ascii="Arial Narrow" w:hAnsi="Arial Narrow"/>
                <w:b/>
                <w:bCs/>
                <w:sz w:val="20"/>
                <w:szCs w:val="20"/>
              </w:rPr>
            </w:pPr>
            <w:r w:rsidRPr="00903174">
              <w:rPr>
                <w:rFonts w:ascii="Arial Narrow" w:hAnsi="Arial Narrow"/>
                <w:b/>
                <w:bCs/>
                <w:sz w:val="20"/>
                <w:szCs w:val="20"/>
              </w:rPr>
              <w:t>Survival timepoint, years</w:t>
            </w:r>
          </w:p>
        </w:tc>
      </w:tr>
      <w:tr w:rsidR="001544A3" w:rsidRPr="00903174" w14:paraId="10129356" w14:textId="77777777" w:rsidTr="00ED6B59">
        <w:trPr>
          <w:trHeight w:val="64"/>
        </w:trPr>
        <w:tc>
          <w:tcPr>
            <w:tcW w:w="9017" w:type="dxa"/>
            <w:gridSpan w:val="8"/>
          </w:tcPr>
          <w:p w14:paraId="64C90D5D" w14:textId="77777777" w:rsidR="001544A3" w:rsidRPr="00903174" w:rsidRDefault="001544A3" w:rsidP="00EC10C8">
            <w:pPr>
              <w:rPr>
                <w:rFonts w:ascii="Arial Narrow" w:hAnsi="Arial Narrow"/>
                <w:b/>
                <w:bCs/>
                <w:sz w:val="20"/>
                <w:szCs w:val="20"/>
              </w:rPr>
            </w:pPr>
            <w:r w:rsidRPr="00903174">
              <w:rPr>
                <w:rFonts w:ascii="Arial Narrow" w:hAnsi="Arial Narrow"/>
                <w:b/>
                <w:bCs/>
                <w:sz w:val="20"/>
                <w:szCs w:val="20"/>
              </w:rPr>
              <w:t>Best supportive care</w:t>
            </w:r>
          </w:p>
        </w:tc>
      </w:tr>
      <w:tr w:rsidR="001544A3" w:rsidRPr="00903174" w14:paraId="01F12A3B" w14:textId="77777777" w:rsidTr="00ED6B59">
        <w:trPr>
          <w:trHeight w:val="64"/>
        </w:trPr>
        <w:tc>
          <w:tcPr>
            <w:tcW w:w="1428" w:type="dxa"/>
            <w:noWrap/>
            <w:vAlign w:val="center"/>
          </w:tcPr>
          <w:p w14:paraId="33AB08F5"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Kelly 2011</w:t>
            </w:r>
          </w:p>
          <w:p w14:paraId="43837A1E"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(UK)</w:t>
            </w:r>
          </w:p>
        </w:tc>
        <w:tc>
          <w:tcPr>
            <w:tcW w:w="974" w:type="dxa"/>
            <w:vAlign w:val="center"/>
          </w:tcPr>
          <w:p w14:paraId="25F0A5F2"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 xml:space="preserve">30 </w:t>
            </w:r>
            <w:r w:rsidRPr="00903174">
              <w:rPr>
                <w:rFonts w:ascii="Arial Narrow" w:hAnsi="Arial Narrow"/>
                <w:sz w:val="20"/>
                <w:szCs w:val="20"/>
                <w:vertAlign w:val="superscript"/>
              </w:rPr>
              <w:t>a</w:t>
            </w:r>
          </w:p>
        </w:tc>
        <w:tc>
          <w:tcPr>
            <w:tcW w:w="1139" w:type="dxa"/>
            <w:noWrap/>
            <w:vAlign w:val="center"/>
          </w:tcPr>
          <w:p w14:paraId="1C1AEE9D"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NR</w:t>
            </w:r>
          </w:p>
        </w:tc>
        <w:tc>
          <w:tcPr>
            <w:tcW w:w="1091" w:type="dxa"/>
            <w:noWrap/>
            <w:vAlign w:val="center"/>
          </w:tcPr>
          <w:p w14:paraId="5040AB4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NR</w:t>
            </w:r>
          </w:p>
        </w:tc>
        <w:tc>
          <w:tcPr>
            <w:tcW w:w="1033" w:type="dxa"/>
            <w:noWrap/>
            <w:vAlign w:val="center"/>
          </w:tcPr>
          <w:p w14:paraId="5BF72C50"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1997-2004</w:t>
            </w:r>
          </w:p>
        </w:tc>
        <w:tc>
          <w:tcPr>
            <w:tcW w:w="1276" w:type="dxa"/>
            <w:noWrap/>
            <w:vAlign w:val="center"/>
          </w:tcPr>
          <w:p w14:paraId="346BE662"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7 (NR)</w:t>
            </w:r>
          </w:p>
        </w:tc>
        <w:tc>
          <w:tcPr>
            <w:tcW w:w="1076" w:type="dxa"/>
            <w:noWrap/>
            <w:vAlign w:val="center"/>
          </w:tcPr>
          <w:p w14:paraId="2A7217F7"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66.8</w:t>
            </w:r>
          </w:p>
          <w:p w14:paraId="760E3AD0"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(41.4, 85.1)</w:t>
            </w:r>
          </w:p>
        </w:tc>
        <w:tc>
          <w:tcPr>
            <w:tcW w:w="1000" w:type="dxa"/>
            <w:noWrap/>
            <w:vAlign w:val="center"/>
          </w:tcPr>
          <w:p w14:paraId="1AF346D5"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5</w:t>
            </w:r>
          </w:p>
        </w:tc>
      </w:tr>
      <w:tr w:rsidR="001544A3" w:rsidRPr="00903174" w14:paraId="3ADC7D98" w14:textId="77777777" w:rsidTr="00ED6B59">
        <w:trPr>
          <w:trHeight w:val="64"/>
        </w:trPr>
        <w:tc>
          <w:tcPr>
            <w:tcW w:w="1428" w:type="dxa"/>
            <w:noWrap/>
            <w:vAlign w:val="center"/>
          </w:tcPr>
          <w:p w14:paraId="1BEDCC8A"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 xml:space="preserve">Munoz-Linares 2014 (Spain) </w:t>
            </w:r>
            <w:r w:rsidRPr="00903174">
              <w:rPr>
                <w:rFonts w:ascii="Arial Narrow" w:hAnsi="Arial Narrow"/>
                <w:sz w:val="20"/>
                <w:szCs w:val="20"/>
                <w:vertAlign w:val="superscript"/>
              </w:rPr>
              <w:t>b</w:t>
            </w:r>
          </w:p>
        </w:tc>
        <w:tc>
          <w:tcPr>
            <w:tcW w:w="974" w:type="dxa"/>
            <w:vAlign w:val="center"/>
          </w:tcPr>
          <w:p w14:paraId="0CCC78F8"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56</w:t>
            </w:r>
          </w:p>
        </w:tc>
        <w:tc>
          <w:tcPr>
            <w:tcW w:w="1139" w:type="dxa"/>
            <w:noWrap/>
            <w:vAlign w:val="center"/>
          </w:tcPr>
          <w:p w14:paraId="1B497A5E"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32.8 (IQR 13-84)</w:t>
            </w:r>
          </w:p>
        </w:tc>
        <w:tc>
          <w:tcPr>
            <w:tcW w:w="1091" w:type="dxa"/>
            <w:noWrap/>
            <w:vAlign w:val="center"/>
          </w:tcPr>
          <w:p w14:paraId="6CE82B6E"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&lt;1994 Ham</w:t>
            </w:r>
          </w:p>
          <w:p w14:paraId="21D71F83"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 xml:space="preserve">&gt;1994 FC </w:t>
            </w:r>
          </w:p>
        </w:tc>
        <w:tc>
          <w:tcPr>
            <w:tcW w:w="1033" w:type="dxa"/>
            <w:noWrap/>
            <w:vAlign w:val="center"/>
          </w:tcPr>
          <w:p w14:paraId="54E0A481"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1970-2013</w:t>
            </w:r>
          </w:p>
        </w:tc>
        <w:tc>
          <w:tcPr>
            <w:tcW w:w="1276" w:type="dxa"/>
            <w:noWrap/>
            <w:vAlign w:val="center"/>
          </w:tcPr>
          <w:p w14:paraId="4913C061"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11.4 (NR)</w:t>
            </w:r>
          </w:p>
        </w:tc>
        <w:tc>
          <w:tcPr>
            <w:tcW w:w="2076" w:type="dxa"/>
            <w:gridSpan w:val="2"/>
            <w:noWrap/>
            <w:vAlign w:val="center"/>
          </w:tcPr>
          <w:p w14:paraId="15C82913"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Median survival 11 years</w:t>
            </w:r>
          </w:p>
        </w:tc>
      </w:tr>
      <w:tr w:rsidR="001544A3" w:rsidRPr="00903174" w14:paraId="6F04D9CA" w14:textId="77777777" w:rsidTr="00ED6B59">
        <w:trPr>
          <w:trHeight w:val="64"/>
        </w:trPr>
        <w:tc>
          <w:tcPr>
            <w:tcW w:w="1428" w:type="dxa"/>
            <w:noWrap/>
            <w:vAlign w:val="center"/>
            <w:hideMark/>
          </w:tcPr>
          <w:p w14:paraId="37CAF2D5"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Loschi 2016</w:t>
            </w:r>
          </w:p>
          <w:p w14:paraId="7FD29B35"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(France)</w:t>
            </w:r>
          </w:p>
        </w:tc>
        <w:tc>
          <w:tcPr>
            <w:tcW w:w="974" w:type="dxa"/>
            <w:vAlign w:val="center"/>
          </w:tcPr>
          <w:p w14:paraId="4D994B8C" w14:textId="77777777" w:rsidR="001544A3" w:rsidRPr="00903174" w:rsidRDefault="001544A3" w:rsidP="00EC10C8">
            <w:pPr>
              <w:jc w:val="center"/>
              <w:rPr>
                <w:rFonts w:ascii="Arial Narrow" w:hAnsi="Arial Narrow"/>
                <w:sz w:val="20"/>
                <w:szCs w:val="20"/>
                <w:vertAlign w:val="superscript"/>
              </w:rPr>
            </w:pPr>
            <w:r w:rsidRPr="00903174">
              <w:rPr>
                <w:rFonts w:ascii="Arial Narrow" w:hAnsi="Arial Narrow"/>
                <w:sz w:val="20"/>
                <w:szCs w:val="20"/>
              </w:rPr>
              <w:t xml:space="preserve">100 </w:t>
            </w:r>
            <w:r w:rsidRPr="00903174">
              <w:rPr>
                <w:rFonts w:ascii="Arial Narrow" w:hAnsi="Arial Narrow"/>
                <w:sz w:val="20"/>
                <w:szCs w:val="20"/>
                <w:vertAlign w:val="superscript"/>
              </w:rPr>
              <w:t>c</w:t>
            </w:r>
          </w:p>
          <w:p w14:paraId="0CF4071D"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191</w:t>
            </w:r>
          </w:p>
        </w:tc>
        <w:tc>
          <w:tcPr>
            <w:tcW w:w="1139" w:type="dxa"/>
            <w:noWrap/>
            <w:vAlign w:val="center"/>
          </w:tcPr>
          <w:p w14:paraId="08C1A16E"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38 (26-51)</w:t>
            </w:r>
          </w:p>
          <w:p w14:paraId="075AADCA"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38 (27-50)</w:t>
            </w:r>
          </w:p>
        </w:tc>
        <w:tc>
          <w:tcPr>
            <w:tcW w:w="1091" w:type="dxa"/>
            <w:noWrap/>
            <w:vAlign w:val="center"/>
          </w:tcPr>
          <w:p w14:paraId="3CC9D408"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Ham and/or FC</w:t>
            </w:r>
          </w:p>
        </w:tc>
        <w:tc>
          <w:tcPr>
            <w:tcW w:w="1033" w:type="dxa"/>
            <w:noWrap/>
            <w:vAlign w:val="center"/>
          </w:tcPr>
          <w:p w14:paraId="25D812D8"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&gt;1985</w:t>
            </w:r>
          </w:p>
          <w:p w14:paraId="6D57BD6F"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1954-1985</w:t>
            </w:r>
          </w:p>
        </w:tc>
        <w:tc>
          <w:tcPr>
            <w:tcW w:w="1276" w:type="dxa"/>
            <w:noWrap/>
            <w:vAlign w:val="center"/>
          </w:tcPr>
          <w:p w14:paraId="5A0B4AC7"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5.1 (1.8-11.4)</w:t>
            </w:r>
          </w:p>
          <w:p w14:paraId="7E408D1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9.4 (2.2-15.9)</w:t>
            </w:r>
          </w:p>
        </w:tc>
        <w:tc>
          <w:tcPr>
            <w:tcW w:w="1076" w:type="dxa"/>
            <w:noWrap/>
            <w:vAlign w:val="center"/>
          </w:tcPr>
          <w:p w14:paraId="0D7141D6"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80 (70, 91)</w:t>
            </w:r>
          </w:p>
          <w:p w14:paraId="4CF77519"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58 (48, 70)</w:t>
            </w:r>
          </w:p>
        </w:tc>
        <w:tc>
          <w:tcPr>
            <w:tcW w:w="1000" w:type="dxa"/>
            <w:noWrap/>
            <w:vAlign w:val="center"/>
          </w:tcPr>
          <w:p w14:paraId="4C542F6D"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6</w:t>
            </w:r>
          </w:p>
          <w:p w14:paraId="54AC3F4A"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6</w:t>
            </w:r>
          </w:p>
        </w:tc>
      </w:tr>
      <w:tr w:rsidR="001544A3" w:rsidRPr="00903174" w14:paraId="001EC4D0" w14:textId="77777777" w:rsidTr="00ED6B59">
        <w:trPr>
          <w:trHeight w:val="64"/>
        </w:trPr>
        <w:tc>
          <w:tcPr>
            <w:tcW w:w="1428" w:type="dxa"/>
            <w:noWrap/>
            <w:vAlign w:val="center"/>
          </w:tcPr>
          <w:p w14:paraId="28240768"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Hill 2017</w:t>
            </w:r>
          </w:p>
          <w:p w14:paraId="093CDF5A"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(International)</w:t>
            </w:r>
          </w:p>
        </w:tc>
        <w:tc>
          <w:tcPr>
            <w:tcW w:w="974" w:type="dxa"/>
            <w:vAlign w:val="center"/>
          </w:tcPr>
          <w:p w14:paraId="7F512681" w14:textId="77777777" w:rsidR="001544A3" w:rsidRPr="00903174" w:rsidRDefault="001544A3" w:rsidP="00EC10C8">
            <w:pPr>
              <w:jc w:val="center"/>
              <w:rPr>
                <w:rFonts w:ascii="Arial Narrow" w:hAnsi="Arial Narrow"/>
                <w:sz w:val="20"/>
                <w:szCs w:val="20"/>
                <w:vertAlign w:val="superscript"/>
              </w:rPr>
            </w:pPr>
            <w:r w:rsidRPr="00903174">
              <w:rPr>
                <w:rFonts w:ascii="Arial Narrow" w:hAnsi="Arial Narrow"/>
                <w:sz w:val="20"/>
                <w:szCs w:val="20"/>
              </w:rPr>
              <w:t xml:space="preserve">3058 </w:t>
            </w:r>
            <w:r w:rsidRPr="00903174">
              <w:rPr>
                <w:rFonts w:ascii="Arial Narrow" w:hAnsi="Arial Narrow"/>
                <w:sz w:val="20"/>
                <w:szCs w:val="20"/>
                <w:vertAlign w:val="superscript"/>
              </w:rPr>
              <w:t>d</w:t>
            </w:r>
          </w:p>
        </w:tc>
        <w:tc>
          <w:tcPr>
            <w:tcW w:w="1139" w:type="dxa"/>
            <w:noWrap/>
            <w:vAlign w:val="center"/>
          </w:tcPr>
          <w:p w14:paraId="673F2683"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44.8 (at baseline)</w:t>
            </w:r>
          </w:p>
        </w:tc>
        <w:tc>
          <w:tcPr>
            <w:tcW w:w="1091" w:type="dxa"/>
            <w:noWrap/>
            <w:vAlign w:val="center"/>
          </w:tcPr>
          <w:p w14:paraId="7CB54EF8"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FC</w:t>
            </w:r>
          </w:p>
        </w:tc>
        <w:tc>
          <w:tcPr>
            <w:tcW w:w="1033" w:type="dxa"/>
            <w:noWrap/>
            <w:vAlign w:val="center"/>
          </w:tcPr>
          <w:p w14:paraId="52A38910"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2016</w:t>
            </w:r>
          </w:p>
        </w:tc>
        <w:tc>
          <w:tcPr>
            <w:tcW w:w="1276" w:type="dxa"/>
            <w:noWrap/>
            <w:vAlign w:val="center"/>
          </w:tcPr>
          <w:p w14:paraId="66CE0626"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Mean 32.1 (SD 25.0) months</w:t>
            </w:r>
          </w:p>
        </w:tc>
        <w:tc>
          <w:tcPr>
            <w:tcW w:w="2076" w:type="dxa"/>
            <w:gridSpan w:val="2"/>
            <w:noWrap/>
            <w:vAlign w:val="center"/>
          </w:tcPr>
          <w:p w14:paraId="08CEC9C2"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Mortality rate 2.19 (1.83, 2.63) per 100 patient-yrs</w:t>
            </w:r>
          </w:p>
        </w:tc>
      </w:tr>
      <w:tr w:rsidR="001544A3" w:rsidRPr="00903174" w14:paraId="07561F6C" w14:textId="77777777" w:rsidTr="00ED6B59">
        <w:trPr>
          <w:trHeight w:val="64"/>
        </w:trPr>
        <w:tc>
          <w:tcPr>
            <w:tcW w:w="9017" w:type="dxa"/>
            <w:gridSpan w:val="8"/>
            <w:vAlign w:val="center"/>
          </w:tcPr>
          <w:p w14:paraId="37710EEB" w14:textId="77777777" w:rsidR="001544A3" w:rsidRPr="00903174" w:rsidRDefault="001544A3" w:rsidP="00EC10C8">
            <w:pPr>
              <w:jc w:val="left"/>
              <w:rPr>
                <w:rFonts w:ascii="Arial Narrow" w:hAnsi="Arial Narrow"/>
                <w:sz w:val="20"/>
                <w:szCs w:val="20"/>
              </w:rPr>
            </w:pPr>
            <w:r w:rsidRPr="00903174">
              <w:rPr>
                <w:rFonts w:ascii="Arial Narrow" w:hAnsi="Arial Narrow"/>
                <w:b/>
                <w:bCs/>
                <w:sz w:val="20"/>
                <w:szCs w:val="20"/>
              </w:rPr>
              <w:t>Eculizumab</w:t>
            </w:r>
          </w:p>
        </w:tc>
      </w:tr>
      <w:tr w:rsidR="001544A3" w:rsidRPr="00903174" w14:paraId="721721E7" w14:textId="77777777" w:rsidTr="00ED6B59">
        <w:trPr>
          <w:trHeight w:val="64"/>
        </w:trPr>
        <w:tc>
          <w:tcPr>
            <w:tcW w:w="1428" w:type="dxa"/>
            <w:noWrap/>
            <w:hideMark/>
          </w:tcPr>
          <w:p w14:paraId="0E003021"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Kelly 2011</w:t>
            </w:r>
          </w:p>
          <w:p w14:paraId="384316D0"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(UK)</w:t>
            </w:r>
          </w:p>
        </w:tc>
        <w:tc>
          <w:tcPr>
            <w:tcW w:w="974" w:type="dxa"/>
            <w:vAlign w:val="center"/>
          </w:tcPr>
          <w:p w14:paraId="00CF059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79</w:t>
            </w:r>
          </w:p>
        </w:tc>
        <w:tc>
          <w:tcPr>
            <w:tcW w:w="1139" w:type="dxa"/>
            <w:noWrap/>
            <w:vAlign w:val="center"/>
          </w:tcPr>
          <w:p w14:paraId="2115B457"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37 (12-79)</w:t>
            </w:r>
          </w:p>
        </w:tc>
        <w:tc>
          <w:tcPr>
            <w:tcW w:w="1091" w:type="dxa"/>
            <w:noWrap/>
            <w:vAlign w:val="center"/>
          </w:tcPr>
          <w:p w14:paraId="58B44293"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FC</w:t>
            </w:r>
          </w:p>
        </w:tc>
        <w:tc>
          <w:tcPr>
            <w:tcW w:w="1033" w:type="dxa"/>
            <w:vAlign w:val="center"/>
          </w:tcPr>
          <w:p w14:paraId="166AE5FF"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2002-2012</w:t>
            </w:r>
          </w:p>
        </w:tc>
        <w:tc>
          <w:tcPr>
            <w:tcW w:w="1276" w:type="dxa"/>
            <w:vAlign w:val="center"/>
          </w:tcPr>
          <w:p w14:paraId="1E0628AD"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8 (NR)</w:t>
            </w:r>
          </w:p>
        </w:tc>
        <w:tc>
          <w:tcPr>
            <w:tcW w:w="1076" w:type="dxa"/>
            <w:vAlign w:val="center"/>
          </w:tcPr>
          <w:p w14:paraId="6D5341CC"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95.5</w:t>
            </w:r>
          </w:p>
          <w:p w14:paraId="2E101DDB"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(87.6, 98.5)</w:t>
            </w:r>
          </w:p>
        </w:tc>
        <w:tc>
          <w:tcPr>
            <w:tcW w:w="1000" w:type="dxa"/>
            <w:vAlign w:val="center"/>
          </w:tcPr>
          <w:p w14:paraId="3B562005"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5</w:t>
            </w:r>
          </w:p>
        </w:tc>
      </w:tr>
      <w:tr w:rsidR="001544A3" w:rsidRPr="00903174" w14:paraId="607BC484" w14:textId="77777777" w:rsidTr="00ED6B59">
        <w:trPr>
          <w:trHeight w:val="64"/>
        </w:trPr>
        <w:tc>
          <w:tcPr>
            <w:tcW w:w="1428" w:type="dxa"/>
            <w:noWrap/>
            <w:hideMark/>
          </w:tcPr>
          <w:p w14:paraId="7C7C7CB2"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Hill 2012</w:t>
            </w:r>
          </w:p>
          <w:p w14:paraId="4EC8BA84"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(UK)</w:t>
            </w:r>
          </w:p>
        </w:tc>
        <w:tc>
          <w:tcPr>
            <w:tcW w:w="974" w:type="dxa"/>
            <w:vAlign w:val="center"/>
          </w:tcPr>
          <w:p w14:paraId="05A82B8E"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153</w:t>
            </w:r>
          </w:p>
        </w:tc>
        <w:tc>
          <w:tcPr>
            <w:tcW w:w="1139" w:type="dxa"/>
            <w:noWrap/>
            <w:vAlign w:val="center"/>
          </w:tcPr>
          <w:p w14:paraId="1F9B92A5"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34 (12-80)</w:t>
            </w:r>
          </w:p>
        </w:tc>
        <w:tc>
          <w:tcPr>
            <w:tcW w:w="1091" w:type="dxa"/>
            <w:noWrap/>
            <w:vAlign w:val="center"/>
          </w:tcPr>
          <w:p w14:paraId="2E55964A"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FC</w:t>
            </w:r>
          </w:p>
        </w:tc>
        <w:tc>
          <w:tcPr>
            <w:tcW w:w="1033" w:type="dxa"/>
            <w:vAlign w:val="center"/>
          </w:tcPr>
          <w:p w14:paraId="24736043"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2002-2012</w:t>
            </w:r>
          </w:p>
        </w:tc>
        <w:tc>
          <w:tcPr>
            <w:tcW w:w="1276" w:type="dxa"/>
            <w:vAlign w:val="center"/>
          </w:tcPr>
          <w:p w14:paraId="7940B9D6"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10 (NR)</w:t>
            </w:r>
          </w:p>
        </w:tc>
        <w:tc>
          <w:tcPr>
            <w:tcW w:w="1076" w:type="dxa"/>
            <w:vAlign w:val="center"/>
          </w:tcPr>
          <w:p w14:paraId="43263C3B"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94 (NR)</w:t>
            </w:r>
          </w:p>
        </w:tc>
        <w:tc>
          <w:tcPr>
            <w:tcW w:w="1000" w:type="dxa"/>
            <w:vAlign w:val="center"/>
          </w:tcPr>
          <w:p w14:paraId="2CE17615"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10</w:t>
            </w:r>
          </w:p>
        </w:tc>
      </w:tr>
      <w:tr w:rsidR="001544A3" w:rsidRPr="00903174" w14:paraId="4C1F4216" w14:textId="77777777" w:rsidTr="00ED6B59">
        <w:trPr>
          <w:trHeight w:val="300"/>
        </w:trPr>
        <w:tc>
          <w:tcPr>
            <w:tcW w:w="1428" w:type="dxa"/>
            <w:noWrap/>
            <w:hideMark/>
          </w:tcPr>
          <w:p w14:paraId="072EE156"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Hillmen 2013</w:t>
            </w:r>
          </w:p>
          <w:p w14:paraId="2C874A81"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(International)</w:t>
            </w:r>
          </w:p>
        </w:tc>
        <w:tc>
          <w:tcPr>
            <w:tcW w:w="974" w:type="dxa"/>
            <w:vAlign w:val="center"/>
          </w:tcPr>
          <w:p w14:paraId="5D41FB6C"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195</w:t>
            </w:r>
          </w:p>
        </w:tc>
        <w:tc>
          <w:tcPr>
            <w:tcW w:w="1139" w:type="dxa"/>
            <w:noWrap/>
            <w:vAlign w:val="center"/>
          </w:tcPr>
          <w:p w14:paraId="47573FCA"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39.7 (18-85)</w:t>
            </w:r>
          </w:p>
        </w:tc>
        <w:tc>
          <w:tcPr>
            <w:tcW w:w="1091" w:type="dxa"/>
            <w:noWrap/>
            <w:vAlign w:val="center"/>
          </w:tcPr>
          <w:p w14:paraId="79371540"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FC</w:t>
            </w:r>
          </w:p>
        </w:tc>
        <w:tc>
          <w:tcPr>
            <w:tcW w:w="1033" w:type="dxa"/>
            <w:vAlign w:val="center"/>
          </w:tcPr>
          <w:p w14:paraId="51373588"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NR</w:t>
            </w:r>
          </w:p>
        </w:tc>
        <w:tc>
          <w:tcPr>
            <w:tcW w:w="1276" w:type="dxa"/>
            <w:vAlign w:val="center"/>
          </w:tcPr>
          <w:p w14:paraId="4E0D70DB"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5.5 (NR)</w:t>
            </w:r>
          </w:p>
        </w:tc>
        <w:tc>
          <w:tcPr>
            <w:tcW w:w="1076" w:type="dxa"/>
            <w:vAlign w:val="center"/>
          </w:tcPr>
          <w:p w14:paraId="74AF6237"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97.6 (93.8, 99.1)</w:t>
            </w:r>
          </w:p>
        </w:tc>
        <w:tc>
          <w:tcPr>
            <w:tcW w:w="1000" w:type="dxa"/>
            <w:vAlign w:val="center"/>
          </w:tcPr>
          <w:p w14:paraId="0757BDF6"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 and 5.5</w:t>
            </w:r>
          </w:p>
        </w:tc>
      </w:tr>
      <w:tr w:rsidR="001544A3" w:rsidRPr="00903174" w14:paraId="1A164DC2" w14:textId="77777777" w:rsidTr="00ED6B59">
        <w:trPr>
          <w:trHeight w:val="64"/>
        </w:trPr>
        <w:tc>
          <w:tcPr>
            <w:tcW w:w="1428" w:type="dxa"/>
            <w:noWrap/>
            <w:hideMark/>
          </w:tcPr>
          <w:p w14:paraId="663716EA"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Loschi 2016</w:t>
            </w:r>
          </w:p>
          <w:p w14:paraId="6A76EF70"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(France)</w:t>
            </w:r>
          </w:p>
        </w:tc>
        <w:tc>
          <w:tcPr>
            <w:tcW w:w="974" w:type="dxa"/>
            <w:vAlign w:val="center"/>
          </w:tcPr>
          <w:p w14:paraId="6FCC931F"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123</w:t>
            </w:r>
          </w:p>
        </w:tc>
        <w:tc>
          <w:tcPr>
            <w:tcW w:w="1139" w:type="dxa"/>
            <w:noWrap/>
            <w:vAlign w:val="center"/>
          </w:tcPr>
          <w:p w14:paraId="1634FAA2"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37 (24-49)</w:t>
            </w:r>
          </w:p>
        </w:tc>
        <w:tc>
          <w:tcPr>
            <w:tcW w:w="1091" w:type="dxa"/>
            <w:noWrap/>
            <w:vAlign w:val="center"/>
          </w:tcPr>
          <w:p w14:paraId="097FE1C3"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FC</w:t>
            </w:r>
          </w:p>
        </w:tc>
        <w:tc>
          <w:tcPr>
            <w:tcW w:w="1033" w:type="dxa"/>
            <w:vAlign w:val="center"/>
          </w:tcPr>
          <w:p w14:paraId="0A049F3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2005-2014</w:t>
            </w:r>
          </w:p>
        </w:tc>
        <w:tc>
          <w:tcPr>
            <w:tcW w:w="1276" w:type="dxa"/>
            <w:vAlign w:val="center"/>
          </w:tcPr>
          <w:p w14:paraId="6E5C4B8E"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4.5 (2.5-5.6)</w:t>
            </w:r>
          </w:p>
        </w:tc>
        <w:tc>
          <w:tcPr>
            <w:tcW w:w="1076" w:type="dxa"/>
            <w:vAlign w:val="center"/>
          </w:tcPr>
          <w:p w14:paraId="65CB733B"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92 (87, 98)</w:t>
            </w:r>
          </w:p>
        </w:tc>
        <w:tc>
          <w:tcPr>
            <w:tcW w:w="1000" w:type="dxa"/>
            <w:vAlign w:val="center"/>
          </w:tcPr>
          <w:p w14:paraId="491086F5"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6</w:t>
            </w:r>
          </w:p>
        </w:tc>
      </w:tr>
      <w:tr w:rsidR="001544A3" w:rsidRPr="00903174" w14:paraId="0C5D2C0A" w14:textId="77777777" w:rsidTr="00ED6B59">
        <w:trPr>
          <w:trHeight w:val="64"/>
        </w:trPr>
        <w:tc>
          <w:tcPr>
            <w:tcW w:w="1428" w:type="dxa"/>
            <w:noWrap/>
            <w:vAlign w:val="center"/>
          </w:tcPr>
          <w:p w14:paraId="64B1BC67" w14:textId="77777777" w:rsidR="001544A3" w:rsidRPr="00903174" w:rsidRDefault="001544A3" w:rsidP="00EC10C8">
            <w:pPr>
              <w:rPr>
                <w:rFonts w:ascii="Arial Narrow" w:hAnsi="Arial Narrow"/>
                <w:sz w:val="20"/>
                <w:szCs w:val="20"/>
                <w:vertAlign w:val="superscript"/>
              </w:rPr>
            </w:pPr>
            <w:r w:rsidRPr="00903174">
              <w:rPr>
                <w:rFonts w:ascii="Arial Narrow" w:hAnsi="Arial Narrow"/>
                <w:sz w:val="20"/>
                <w:szCs w:val="20"/>
              </w:rPr>
              <w:t xml:space="preserve">Munoz-Linares 2014 (Spain) </w:t>
            </w:r>
            <w:r w:rsidRPr="00903174">
              <w:rPr>
                <w:rFonts w:ascii="Arial Narrow" w:hAnsi="Arial Narrow"/>
                <w:sz w:val="20"/>
                <w:szCs w:val="20"/>
                <w:vertAlign w:val="superscript"/>
              </w:rPr>
              <w:t>b</w:t>
            </w:r>
          </w:p>
        </w:tc>
        <w:tc>
          <w:tcPr>
            <w:tcW w:w="974" w:type="dxa"/>
            <w:vAlign w:val="center"/>
          </w:tcPr>
          <w:p w14:paraId="1195ACB6"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16</w:t>
            </w:r>
          </w:p>
        </w:tc>
        <w:tc>
          <w:tcPr>
            <w:tcW w:w="1139" w:type="dxa"/>
            <w:noWrap/>
            <w:vAlign w:val="center"/>
          </w:tcPr>
          <w:p w14:paraId="360F8E2C"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32.8 (IQR 13-84)</w:t>
            </w:r>
          </w:p>
        </w:tc>
        <w:tc>
          <w:tcPr>
            <w:tcW w:w="1091" w:type="dxa"/>
            <w:noWrap/>
            <w:vAlign w:val="center"/>
          </w:tcPr>
          <w:p w14:paraId="0DCDEF7A"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 xml:space="preserve">FC </w:t>
            </w:r>
          </w:p>
        </w:tc>
        <w:tc>
          <w:tcPr>
            <w:tcW w:w="1033" w:type="dxa"/>
            <w:vAlign w:val="center"/>
          </w:tcPr>
          <w:p w14:paraId="3068C55B"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1970-2013</w:t>
            </w:r>
          </w:p>
        </w:tc>
        <w:tc>
          <w:tcPr>
            <w:tcW w:w="1276" w:type="dxa"/>
            <w:vAlign w:val="center"/>
          </w:tcPr>
          <w:p w14:paraId="3E680A1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 months – 6 years</w:t>
            </w:r>
          </w:p>
        </w:tc>
        <w:tc>
          <w:tcPr>
            <w:tcW w:w="2076" w:type="dxa"/>
            <w:gridSpan w:val="2"/>
            <w:vAlign w:val="center"/>
          </w:tcPr>
          <w:p w14:paraId="385768D3"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NR</w:t>
            </w:r>
          </w:p>
        </w:tc>
      </w:tr>
      <w:tr w:rsidR="001544A3" w:rsidRPr="00903174" w14:paraId="17B84327" w14:textId="77777777" w:rsidTr="00ED6B59">
        <w:trPr>
          <w:trHeight w:val="64"/>
        </w:trPr>
        <w:tc>
          <w:tcPr>
            <w:tcW w:w="1428" w:type="dxa"/>
            <w:noWrap/>
            <w:vAlign w:val="center"/>
          </w:tcPr>
          <w:p w14:paraId="6D6F36C0"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Jang 2016</w:t>
            </w:r>
          </w:p>
          <w:p w14:paraId="5E9449A7"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(Korea)</w:t>
            </w:r>
          </w:p>
        </w:tc>
        <w:tc>
          <w:tcPr>
            <w:tcW w:w="974" w:type="dxa"/>
            <w:vAlign w:val="center"/>
          </w:tcPr>
          <w:p w14:paraId="79DA66B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301</w:t>
            </w:r>
          </w:p>
        </w:tc>
        <w:tc>
          <w:tcPr>
            <w:tcW w:w="1139" w:type="dxa"/>
            <w:noWrap/>
            <w:vAlign w:val="center"/>
          </w:tcPr>
          <w:p w14:paraId="4AA2FBD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37 (8-88)</w:t>
            </w:r>
          </w:p>
        </w:tc>
        <w:tc>
          <w:tcPr>
            <w:tcW w:w="1091" w:type="dxa"/>
            <w:noWrap/>
            <w:vAlign w:val="center"/>
          </w:tcPr>
          <w:p w14:paraId="69A3D858"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Ham and/or FC</w:t>
            </w:r>
          </w:p>
        </w:tc>
        <w:tc>
          <w:tcPr>
            <w:tcW w:w="1033" w:type="dxa"/>
            <w:vAlign w:val="center"/>
          </w:tcPr>
          <w:p w14:paraId="4DAF8A20"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2009-2010</w:t>
            </w:r>
          </w:p>
        </w:tc>
        <w:tc>
          <w:tcPr>
            <w:tcW w:w="1276" w:type="dxa"/>
            <w:vAlign w:val="center"/>
          </w:tcPr>
          <w:p w14:paraId="6252C58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6.6 (0-28.8)</w:t>
            </w:r>
          </w:p>
        </w:tc>
        <w:tc>
          <w:tcPr>
            <w:tcW w:w="2076" w:type="dxa"/>
            <w:gridSpan w:val="2"/>
            <w:vAlign w:val="center"/>
          </w:tcPr>
          <w:p w14:paraId="1C70354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SMR 3.89% (2.73, 5.05) vs age/sex matched general population</w:t>
            </w:r>
          </w:p>
        </w:tc>
      </w:tr>
      <w:tr w:rsidR="001544A3" w:rsidRPr="00903174" w14:paraId="3EE2DF87" w14:textId="77777777" w:rsidTr="00ED6B59">
        <w:trPr>
          <w:trHeight w:val="64"/>
        </w:trPr>
        <w:tc>
          <w:tcPr>
            <w:tcW w:w="1428" w:type="dxa"/>
            <w:noWrap/>
          </w:tcPr>
          <w:p w14:paraId="12F4F3A8"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 xml:space="preserve">Socie 2016 </w:t>
            </w:r>
            <w:r w:rsidRPr="00903174">
              <w:rPr>
                <w:rFonts w:ascii="Arial Narrow" w:hAnsi="Arial Narrow"/>
                <w:sz w:val="20"/>
                <w:szCs w:val="20"/>
                <w:vertAlign w:val="superscript"/>
              </w:rPr>
              <w:t>e</w:t>
            </w:r>
          </w:p>
          <w:p w14:paraId="5A342841" w14:textId="77777777" w:rsidR="001544A3" w:rsidRPr="00903174" w:rsidRDefault="001544A3" w:rsidP="00EC10C8">
            <w:pPr>
              <w:rPr>
                <w:rFonts w:ascii="Arial Narrow" w:hAnsi="Arial Narrow"/>
                <w:sz w:val="20"/>
                <w:szCs w:val="20"/>
              </w:rPr>
            </w:pPr>
            <w:r w:rsidRPr="00903174">
              <w:rPr>
                <w:rFonts w:ascii="Arial Narrow" w:hAnsi="Arial Narrow"/>
                <w:sz w:val="20"/>
                <w:szCs w:val="20"/>
              </w:rPr>
              <w:t>(International)</w:t>
            </w:r>
          </w:p>
        </w:tc>
        <w:tc>
          <w:tcPr>
            <w:tcW w:w="974" w:type="dxa"/>
            <w:vAlign w:val="center"/>
          </w:tcPr>
          <w:p w14:paraId="1DF9369C"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2356</w:t>
            </w:r>
          </w:p>
        </w:tc>
        <w:tc>
          <w:tcPr>
            <w:tcW w:w="1139" w:type="dxa"/>
            <w:noWrap/>
            <w:vAlign w:val="center"/>
          </w:tcPr>
          <w:p w14:paraId="7CB0AED9"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NR</w:t>
            </w:r>
          </w:p>
        </w:tc>
        <w:tc>
          <w:tcPr>
            <w:tcW w:w="1091" w:type="dxa"/>
            <w:noWrap/>
            <w:vAlign w:val="center"/>
          </w:tcPr>
          <w:p w14:paraId="2130B32B"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FC</w:t>
            </w:r>
          </w:p>
        </w:tc>
        <w:tc>
          <w:tcPr>
            <w:tcW w:w="1033" w:type="dxa"/>
            <w:vAlign w:val="center"/>
          </w:tcPr>
          <w:p w14:paraId="645647AB"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2014</w:t>
            </w:r>
          </w:p>
        </w:tc>
        <w:tc>
          <w:tcPr>
            <w:tcW w:w="1276" w:type="dxa"/>
            <w:vAlign w:val="center"/>
          </w:tcPr>
          <w:p w14:paraId="5D085D29"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9.4 (NR)</w:t>
            </w:r>
          </w:p>
        </w:tc>
        <w:tc>
          <w:tcPr>
            <w:tcW w:w="1076" w:type="dxa"/>
            <w:vAlign w:val="center"/>
          </w:tcPr>
          <w:p w14:paraId="24EAD945"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94.8 (NR)</w:t>
            </w:r>
          </w:p>
          <w:p w14:paraId="609DEAB4"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93.3 (NR)</w:t>
            </w:r>
          </w:p>
        </w:tc>
        <w:tc>
          <w:tcPr>
            <w:tcW w:w="1000" w:type="dxa"/>
            <w:vAlign w:val="center"/>
          </w:tcPr>
          <w:p w14:paraId="2541F5E6"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10</w:t>
            </w:r>
          </w:p>
          <w:p w14:paraId="6E8351B8"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15</w:t>
            </w:r>
          </w:p>
        </w:tc>
      </w:tr>
      <w:tr w:rsidR="001544A3" w:rsidRPr="00903174" w14:paraId="2E3F99E1" w14:textId="77777777" w:rsidTr="00ED6B59">
        <w:trPr>
          <w:trHeight w:val="64"/>
        </w:trPr>
        <w:tc>
          <w:tcPr>
            <w:tcW w:w="1428" w:type="dxa"/>
            <w:noWrap/>
            <w:vAlign w:val="center"/>
          </w:tcPr>
          <w:p w14:paraId="20A6163C"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Hill 2017</w:t>
            </w:r>
          </w:p>
          <w:p w14:paraId="1EAFCD9F" w14:textId="77777777" w:rsidR="001544A3" w:rsidRPr="00903174" w:rsidRDefault="001544A3" w:rsidP="00EC10C8">
            <w:pPr>
              <w:jc w:val="left"/>
              <w:rPr>
                <w:rFonts w:ascii="Arial Narrow" w:hAnsi="Arial Narrow"/>
                <w:sz w:val="20"/>
                <w:szCs w:val="20"/>
              </w:rPr>
            </w:pPr>
            <w:r w:rsidRPr="00903174">
              <w:rPr>
                <w:rFonts w:ascii="Arial Narrow" w:hAnsi="Arial Narrow"/>
                <w:sz w:val="20"/>
                <w:szCs w:val="20"/>
              </w:rPr>
              <w:t>(International)</w:t>
            </w:r>
          </w:p>
        </w:tc>
        <w:tc>
          <w:tcPr>
            <w:tcW w:w="974" w:type="dxa"/>
            <w:vAlign w:val="center"/>
          </w:tcPr>
          <w:p w14:paraId="59700DB9"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 xml:space="preserve">1587 </w:t>
            </w:r>
            <w:r w:rsidRPr="00903174">
              <w:rPr>
                <w:rFonts w:ascii="Arial Narrow" w:hAnsi="Arial Narrow"/>
                <w:sz w:val="20"/>
                <w:szCs w:val="20"/>
                <w:vertAlign w:val="superscript"/>
              </w:rPr>
              <w:t>d</w:t>
            </w:r>
          </w:p>
        </w:tc>
        <w:tc>
          <w:tcPr>
            <w:tcW w:w="1139" w:type="dxa"/>
            <w:noWrap/>
            <w:vAlign w:val="center"/>
          </w:tcPr>
          <w:p w14:paraId="3ACB5E8E"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43.4 (at baseline)</w:t>
            </w:r>
          </w:p>
        </w:tc>
        <w:tc>
          <w:tcPr>
            <w:tcW w:w="1091" w:type="dxa"/>
            <w:noWrap/>
            <w:vAlign w:val="center"/>
          </w:tcPr>
          <w:p w14:paraId="26F73A17"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FC</w:t>
            </w:r>
          </w:p>
        </w:tc>
        <w:tc>
          <w:tcPr>
            <w:tcW w:w="1033" w:type="dxa"/>
            <w:vAlign w:val="center"/>
          </w:tcPr>
          <w:p w14:paraId="757C4949"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2016</w:t>
            </w:r>
          </w:p>
        </w:tc>
        <w:tc>
          <w:tcPr>
            <w:tcW w:w="1276" w:type="dxa"/>
            <w:vAlign w:val="center"/>
          </w:tcPr>
          <w:p w14:paraId="3C1479EB"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Mean 50.0 (SD 30.9) months</w:t>
            </w:r>
          </w:p>
        </w:tc>
        <w:tc>
          <w:tcPr>
            <w:tcW w:w="2076" w:type="dxa"/>
            <w:gridSpan w:val="2"/>
            <w:vAlign w:val="center"/>
          </w:tcPr>
          <w:p w14:paraId="789604B5" w14:textId="77777777" w:rsidR="001544A3" w:rsidRPr="00903174" w:rsidRDefault="001544A3" w:rsidP="00EC10C8">
            <w:pPr>
              <w:jc w:val="center"/>
              <w:rPr>
                <w:rFonts w:ascii="Arial Narrow" w:hAnsi="Arial Narrow"/>
                <w:sz w:val="20"/>
                <w:szCs w:val="20"/>
              </w:rPr>
            </w:pPr>
            <w:r w:rsidRPr="00903174">
              <w:rPr>
                <w:rFonts w:ascii="Arial Narrow" w:hAnsi="Arial Narrow"/>
                <w:sz w:val="20"/>
                <w:szCs w:val="20"/>
              </w:rPr>
              <w:t>Mortality rate 1.13 (0.89, 1.42) per 100 patient-yrs</w:t>
            </w:r>
          </w:p>
        </w:tc>
      </w:tr>
    </w:tbl>
    <w:p w14:paraId="58FF059C" w14:textId="77777777" w:rsidR="001544A3" w:rsidRPr="00903174" w:rsidRDefault="001544A3" w:rsidP="001544A3">
      <w:pPr>
        <w:pStyle w:val="TableFigureFooter"/>
      </w:pPr>
      <w:r w:rsidRPr="00903174">
        <w:t>Source: Table 109, pp195-196 of the submission, relevant publications</w:t>
      </w:r>
    </w:p>
    <w:p w14:paraId="4A870657" w14:textId="77777777" w:rsidR="001544A3" w:rsidRPr="00903174" w:rsidRDefault="001544A3" w:rsidP="001544A3">
      <w:pPr>
        <w:pStyle w:val="TableFigureFooter"/>
      </w:pPr>
      <w:r w:rsidRPr="00903174">
        <w:t>Abbreviations: FC, flow cytometry; IQR, interquartile range; NR, not reported; Retro, retrospective; SD, standard deviation; SMR, standard mortality ratio</w:t>
      </w:r>
    </w:p>
    <w:p w14:paraId="390B1B30" w14:textId="77777777" w:rsidR="001544A3" w:rsidRPr="00903174" w:rsidRDefault="001544A3" w:rsidP="001544A3">
      <w:pPr>
        <w:pStyle w:val="TableFigureFooter"/>
      </w:pPr>
      <w:r w:rsidRPr="00903174">
        <w:t xml:space="preserve">Note: Data presented in the submission from Hillmen 1995, Socie 1996, Moyo 2004, Nishimura 2004 and de Latour 2008 were omitted from this table as mortality data from these studies have already been considered by the PBAC in the previous eculizumab submissions. </w:t>
      </w:r>
    </w:p>
    <w:p w14:paraId="7A1EC345" w14:textId="77777777" w:rsidR="001544A3" w:rsidRPr="00903174" w:rsidRDefault="001544A3" w:rsidP="001544A3">
      <w:pPr>
        <w:pStyle w:val="TableFigureFooter"/>
      </w:pPr>
      <w:r w:rsidRPr="00903174">
        <w:rPr>
          <w:vertAlign w:val="superscript"/>
        </w:rPr>
        <w:t xml:space="preserve">a </w:t>
      </w:r>
      <w:r w:rsidRPr="00903174">
        <w:t xml:space="preserve"> Kelly 2011 – the 30 ‘control’ patients were a subgroup of the total study patient group, who were assessed as controls, up to the point that they commenced treatment with eculizumab. </w:t>
      </w:r>
    </w:p>
    <w:p w14:paraId="09362F2C" w14:textId="77777777" w:rsidR="001544A3" w:rsidRPr="00903174" w:rsidRDefault="001544A3" w:rsidP="001544A3">
      <w:pPr>
        <w:pStyle w:val="TableFigureFooter"/>
        <w:rPr>
          <w:vertAlign w:val="superscript"/>
        </w:rPr>
      </w:pPr>
      <w:r w:rsidRPr="00903174">
        <w:rPr>
          <w:vertAlign w:val="superscript"/>
        </w:rPr>
        <w:t>b</w:t>
      </w:r>
      <w:r w:rsidRPr="00903174">
        <w:t xml:space="preserve"> Munoz-Linares 2014 – 16 of the 56 patients included in this review were treated with eculizumab  with follow-up ranging from 3 months to 6 years. Survival data were not reported separately for this patient subgroup.</w:t>
      </w:r>
      <w:r w:rsidRPr="00903174">
        <w:rPr>
          <w:vertAlign w:val="superscript"/>
        </w:rPr>
        <w:t xml:space="preserve"> </w:t>
      </w:r>
    </w:p>
    <w:p w14:paraId="7EBC5D42" w14:textId="77777777" w:rsidR="001544A3" w:rsidRPr="00903174" w:rsidRDefault="001544A3" w:rsidP="001544A3">
      <w:pPr>
        <w:pStyle w:val="TableFigureFooter"/>
      </w:pPr>
      <w:r w:rsidRPr="00903174">
        <w:rPr>
          <w:vertAlign w:val="superscript"/>
        </w:rPr>
        <w:t xml:space="preserve">c </w:t>
      </w:r>
      <w:r w:rsidRPr="00903174">
        <w:t>Loschi 2016 – the 100 patients diagnosed after 1985 were a subgroup of the 191 historical controls.</w:t>
      </w:r>
    </w:p>
    <w:p w14:paraId="1B52A89C" w14:textId="77777777" w:rsidR="001544A3" w:rsidRPr="00903174" w:rsidRDefault="001544A3" w:rsidP="001544A3">
      <w:pPr>
        <w:pStyle w:val="TableFigureFooter"/>
      </w:pPr>
      <w:r w:rsidRPr="00903174">
        <w:rPr>
          <w:vertAlign w:val="superscript"/>
        </w:rPr>
        <w:t xml:space="preserve">d </w:t>
      </w:r>
      <w:r w:rsidRPr="00903174">
        <w:t>Hill 2017 – 1587 patients were treated with eculizumab at the time of enrolment in the registry, 3058 were not treated with eculizumab; with 632 patients contributing time to both groups.</w:t>
      </w:r>
    </w:p>
    <w:p w14:paraId="4D1B376C" w14:textId="77777777" w:rsidR="001544A3" w:rsidRPr="00903174" w:rsidRDefault="001544A3" w:rsidP="001544A3">
      <w:pPr>
        <w:pStyle w:val="TableFigureFooter"/>
      </w:pPr>
      <w:r w:rsidRPr="00903174">
        <w:rPr>
          <w:vertAlign w:val="superscript"/>
        </w:rPr>
        <w:t>e</w:t>
      </w:r>
      <w:r w:rsidRPr="00903174">
        <w:t xml:space="preserve"> Socie 2016 – not all registry patients were treated with eculizumab. 28.7% were treated with eculizumab on enrolment with the registry, and 46.4% were treated with eculizumab during the follow</w:t>
      </w:r>
      <w:r w:rsidR="00346D24">
        <w:t xml:space="preserve"> </w:t>
      </w:r>
      <w:r w:rsidRPr="00903174">
        <w:t>up period. Mortality was not reported separately based on treatment, however in an adjusted model, eculizumab was associated with significantly better survival outcome as a time-dependent factor.</w:t>
      </w:r>
    </w:p>
    <w:p w14:paraId="282A0067" w14:textId="77777777" w:rsidR="007E3D98" w:rsidRPr="00903174" w:rsidRDefault="007E3D98" w:rsidP="00415038">
      <w:pPr>
        <w:pStyle w:val="ExecSumBodyText"/>
        <w:numPr>
          <w:ilvl w:val="1"/>
          <w:numId w:val="1"/>
        </w:numPr>
      </w:pPr>
      <w:r w:rsidRPr="00903174">
        <w:t xml:space="preserve">Despite the updated publication dates for studies incorporating </w:t>
      </w:r>
      <w:r w:rsidR="00C802EC" w:rsidRPr="00903174">
        <w:t>BSC</w:t>
      </w:r>
      <w:r w:rsidRPr="00903174">
        <w:t xml:space="preserve"> data, there were limited data available and the timeframes for data collection in many of the studies is still quite dated. Results from Loschi (2016), in which the proportion of surviving patients at 6 years follow-up was greater for patients after 1985, compared to patients </w:t>
      </w:r>
      <w:r w:rsidRPr="00903174">
        <w:lastRenderedPageBreak/>
        <w:t xml:space="preserve">diagnosed between 1954 to 1985, were consistent with the idea that best supportive care survival (overall disease management of thromboses with better treatment, earlier diagnosis, better diagnosis of concomitant bone marrow disorders) has improved over time. However, given the established </w:t>
      </w:r>
      <w:r w:rsidR="0015016A" w:rsidRPr="00903174">
        <w:t xml:space="preserve">place </w:t>
      </w:r>
      <w:r w:rsidRPr="00903174">
        <w:t xml:space="preserve">of eculizumab in treating PNH, it is unlikely that the body of evidence for survival with </w:t>
      </w:r>
      <w:r w:rsidR="00C802EC" w:rsidRPr="00903174">
        <w:t>BSC</w:t>
      </w:r>
      <w:r w:rsidRPr="00903174">
        <w:t xml:space="preserve"> will improve.</w:t>
      </w:r>
    </w:p>
    <w:p w14:paraId="6E5E44E9" w14:textId="77777777" w:rsidR="008E0410" w:rsidRPr="00903174" w:rsidRDefault="008E0410" w:rsidP="00415038">
      <w:pPr>
        <w:pStyle w:val="ExecSumBodyText"/>
        <w:numPr>
          <w:ilvl w:val="1"/>
          <w:numId w:val="1"/>
        </w:numPr>
      </w:pPr>
      <w:r w:rsidRPr="00903174">
        <w:t>The updated eculizumab survival data are in line with previously reported rates of survival, and the submission suggests that mortality rates are at a similar level to that of the general population (based on data from Kelly 2011). However, the follow-up durations of these studies were relatively short given the median age of patients at diagnosis, and a lack of useful comparative data means that it is difficult to determine the magnitude of any survival benefit for eculizumab.</w:t>
      </w:r>
    </w:p>
    <w:p w14:paraId="31868227" w14:textId="77777777" w:rsidR="005C5972" w:rsidRPr="00903174" w:rsidRDefault="005C5972" w:rsidP="007A7994">
      <w:pPr>
        <w:pStyle w:val="ExecSumBodyText"/>
        <w:numPr>
          <w:ilvl w:val="1"/>
          <w:numId w:val="1"/>
        </w:numPr>
      </w:pPr>
      <w:r w:rsidRPr="00903174">
        <w:t>The ESC also noted that new data for eculizumab provided by the Sponsor on 5 June 2020 (included in the agenda for rav</w:t>
      </w:r>
      <w:r w:rsidR="00D71FDB" w:rsidRPr="00903174">
        <w:t>u</w:t>
      </w:r>
      <w:r w:rsidRPr="00903174">
        <w:t>l</w:t>
      </w:r>
      <w:r w:rsidR="00D71FDB" w:rsidRPr="00903174">
        <w:t>i</w:t>
      </w:r>
      <w:r w:rsidR="00EA10D5" w:rsidRPr="00903174">
        <w:t>zu</w:t>
      </w:r>
      <w:r w:rsidRPr="00903174">
        <w:t>m</w:t>
      </w:r>
      <w:r w:rsidR="00EA10D5" w:rsidRPr="00903174">
        <w:t>a</w:t>
      </w:r>
      <w:r w:rsidRPr="00903174">
        <w:t xml:space="preserve">b as a supplementary document named  ‘Attachment 1, Solaris minor submission response’), </w:t>
      </w:r>
      <w:r w:rsidR="007663F8" w:rsidRPr="00903174">
        <w:t>re-</w:t>
      </w:r>
      <w:r w:rsidRPr="00903174">
        <w:t>presented</w:t>
      </w:r>
      <w:r w:rsidR="007663F8" w:rsidRPr="00903174">
        <w:t xml:space="preserve"> the</w:t>
      </w:r>
      <w:r w:rsidRPr="00903174">
        <w:t xml:space="preserve"> survival advantage with eculizumab versus BSC in</w:t>
      </w:r>
      <w:r w:rsidR="007663F8" w:rsidRPr="00903174">
        <w:t>cluding</w:t>
      </w:r>
      <w:r w:rsidRPr="00903174">
        <w:t xml:space="preserve"> </w:t>
      </w:r>
      <w:r w:rsidR="004F07B2" w:rsidRPr="00903174">
        <w:t>more</w:t>
      </w:r>
      <w:r w:rsidRPr="00903174">
        <w:t xml:space="preserve"> recent patient cohort</w:t>
      </w:r>
      <w:r w:rsidR="004F07B2" w:rsidRPr="00903174">
        <w:t>s</w:t>
      </w:r>
      <w:r w:rsidR="007663F8" w:rsidRPr="00903174">
        <w:t xml:space="preserve"> than previously considered by PBAC</w:t>
      </w:r>
      <w:r w:rsidR="004F07B2" w:rsidRPr="00903174">
        <w:t>, with BSC survival ranging from 66.8%</w:t>
      </w:r>
      <w:r w:rsidR="007663F8" w:rsidRPr="00903174">
        <w:t xml:space="preserve"> (Kelly 2011)</w:t>
      </w:r>
      <w:r w:rsidR="004F07B2" w:rsidRPr="00903174">
        <w:t xml:space="preserve"> to 88.7%</w:t>
      </w:r>
      <w:r w:rsidR="007663F8" w:rsidRPr="00903174">
        <w:t xml:space="preserve"> (de Latour 2008)</w:t>
      </w:r>
      <w:r w:rsidR="00B4390A" w:rsidRPr="00903174">
        <w:t xml:space="preserve">. </w:t>
      </w:r>
      <w:r w:rsidRPr="00903174">
        <w:t>However, the ESC considered the availability of new and different data provided across multiple communications relating to ravulizumab and eculizumab — the ravulizumab submission, LSDP Review for eculizumab and minor submission response correspondence for eculizum</w:t>
      </w:r>
      <w:r w:rsidR="00F17271" w:rsidRPr="00903174">
        <w:t>a</w:t>
      </w:r>
      <w:r w:rsidRPr="00903174">
        <w:t xml:space="preserve">b </w:t>
      </w:r>
      <w:r w:rsidR="004F07B2" w:rsidRPr="00903174">
        <w:t>—</w:t>
      </w:r>
      <w:r w:rsidRPr="00903174">
        <w:t xml:space="preserve"> confounded the</w:t>
      </w:r>
      <w:r w:rsidR="001427C5" w:rsidRPr="00903174">
        <w:t xml:space="preserve"> interpretation of the</w:t>
      </w:r>
      <w:r w:rsidRPr="00903174">
        <w:t xml:space="preserve"> information presented in this submission. </w:t>
      </w:r>
    </w:p>
    <w:p w14:paraId="103BCE0A" w14:textId="77777777" w:rsidR="00B60939" w:rsidRPr="00903174" w:rsidRDefault="00B60939" w:rsidP="00D86231">
      <w:pPr>
        <w:pStyle w:val="3-SubsectionHeading"/>
      </w:pPr>
      <w:bookmarkStart w:id="19" w:name="_Toc22897642"/>
      <w:bookmarkStart w:id="20" w:name="_Toc40702922"/>
      <w:r w:rsidRPr="00903174">
        <w:t>Comparative harms</w:t>
      </w:r>
      <w:bookmarkEnd w:id="19"/>
      <w:bookmarkEnd w:id="20"/>
    </w:p>
    <w:p w14:paraId="615C0E21" w14:textId="77777777" w:rsidR="0082552E" w:rsidRPr="00903174" w:rsidRDefault="0082552E" w:rsidP="00415038">
      <w:pPr>
        <w:pStyle w:val="ExecSumBodyText"/>
        <w:numPr>
          <w:ilvl w:val="1"/>
          <w:numId w:val="1"/>
        </w:numPr>
      </w:pPr>
      <w:r w:rsidRPr="00903174">
        <w:t xml:space="preserve">A summary of key adverse events for the included trials is presented in Table </w:t>
      </w:r>
      <w:r w:rsidR="00EC10C8" w:rsidRPr="00903174">
        <w:t>13.</w:t>
      </w:r>
      <w:r w:rsidRPr="00903174">
        <w:t xml:space="preserve"> All patients in the included clinical trials received a meningococcal vaccine before commencing study drug treatment</w:t>
      </w:r>
      <w:r w:rsidR="008912ED" w:rsidRPr="00903174">
        <w:t xml:space="preserve"> and no meningococcal infections were reported in any of the treatment arms of the trials</w:t>
      </w:r>
      <w:r w:rsidRPr="00903174">
        <w:t>.</w:t>
      </w:r>
    </w:p>
    <w:p w14:paraId="2396E02E" w14:textId="77777777" w:rsidR="00E93AAD" w:rsidRDefault="00E93AAD">
      <w:pPr>
        <w:jc w:val="left"/>
        <w:rPr>
          <w:rFonts w:ascii="Arial Narrow" w:eastAsiaTheme="majorEastAsia" w:hAnsi="Arial Narrow" w:cstheme="majorBidi"/>
          <w:b/>
          <w:bCs/>
          <w:sz w:val="20"/>
        </w:rPr>
      </w:pPr>
      <w:r>
        <w:br w:type="page"/>
      </w:r>
    </w:p>
    <w:p w14:paraId="6E231688" w14:textId="77777777" w:rsidR="0082552E" w:rsidRPr="00903174" w:rsidRDefault="0082552E" w:rsidP="00F609CC">
      <w:pPr>
        <w:pStyle w:val="TableFigureCaption"/>
        <w:keepNext w:val="0"/>
      </w:pPr>
      <w:r w:rsidRPr="00903174">
        <w:lastRenderedPageBreak/>
        <w:t xml:space="preserve">Table </w:t>
      </w:r>
      <w:r w:rsidR="001D6AD7" w:rsidRPr="00903174">
        <w:t>1</w:t>
      </w:r>
      <w:r w:rsidR="00A73E01" w:rsidRPr="00903174">
        <w:t>5</w:t>
      </w:r>
      <w:r w:rsidRPr="00903174">
        <w:t>: Summary of key adverse events in the randomised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1084"/>
        <w:gridCol w:w="1085"/>
        <w:gridCol w:w="1084"/>
        <w:gridCol w:w="1085"/>
        <w:gridCol w:w="1084"/>
        <w:gridCol w:w="1085"/>
      </w:tblGrid>
      <w:tr w:rsidR="0082552E" w:rsidRPr="00903174" w14:paraId="6FB322C0" w14:textId="77777777" w:rsidTr="00EC10C8">
        <w:trPr>
          <w:tblHeader/>
        </w:trPr>
        <w:tc>
          <w:tcPr>
            <w:tcW w:w="2405" w:type="dxa"/>
            <w:vMerge w:val="restart"/>
            <w:vAlign w:val="center"/>
          </w:tcPr>
          <w:p w14:paraId="532446BB" w14:textId="77777777" w:rsidR="0082552E" w:rsidRPr="00903174" w:rsidRDefault="0082552E" w:rsidP="00F609CC">
            <w:pPr>
              <w:pStyle w:val="Tableheadingrow"/>
              <w:keepNext w:val="0"/>
              <w:rPr>
                <w:lang w:val="en-AU"/>
              </w:rPr>
            </w:pPr>
            <w:r w:rsidRPr="00903174">
              <w:rPr>
                <w:lang w:val="en-AU"/>
              </w:rPr>
              <w:t>Adverse event type</w:t>
            </w:r>
          </w:p>
        </w:tc>
        <w:tc>
          <w:tcPr>
            <w:tcW w:w="2077" w:type="dxa"/>
            <w:gridSpan w:val="2"/>
            <w:vAlign w:val="center"/>
          </w:tcPr>
          <w:p w14:paraId="31BA605B" w14:textId="77777777" w:rsidR="0082552E" w:rsidRPr="00903174" w:rsidRDefault="0082552E" w:rsidP="00F609CC">
            <w:pPr>
              <w:pStyle w:val="Tableheadingrow"/>
              <w:keepNext w:val="0"/>
              <w:jc w:val="center"/>
              <w:rPr>
                <w:lang w:val="en-AU"/>
              </w:rPr>
            </w:pPr>
            <w:r w:rsidRPr="00903174">
              <w:rPr>
                <w:lang w:val="en-AU"/>
              </w:rPr>
              <w:t>Trial 301</w:t>
            </w:r>
          </w:p>
        </w:tc>
        <w:tc>
          <w:tcPr>
            <w:tcW w:w="2077" w:type="dxa"/>
            <w:gridSpan w:val="2"/>
            <w:vAlign w:val="center"/>
          </w:tcPr>
          <w:p w14:paraId="560F5687" w14:textId="77777777" w:rsidR="0082552E" w:rsidRPr="00903174" w:rsidRDefault="0082552E" w:rsidP="00F609CC">
            <w:pPr>
              <w:pStyle w:val="Tableheadingrow"/>
              <w:keepNext w:val="0"/>
              <w:jc w:val="center"/>
              <w:rPr>
                <w:lang w:val="en-AU"/>
              </w:rPr>
            </w:pPr>
            <w:r w:rsidRPr="00903174">
              <w:rPr>
                <w:lang w:val="en-AU"/>
              </w:rPr>
              <w:t>Trial 302</w:t>
            </w:r>
          </w:p>
        </w:tc>
        <w:tc>
          <w:tcPr>
            <w:tcW w:w="2077" w:type="dxa"/>
            <w:gridSpan w:val="2"/>
            <w:vAlign w:val="center"/>
          </w:tcPr>
          <w:p w14:paraId="25776039" w14:textId="77777777" w:rsidR="0082552E" w:rsidRPr="00903174" w:rsidRDefault="0082552E" w:rsidP="00F609CC">
            <w:pPr>
              <w:pStyle w:val="Tableheadingrow"/>
              <w:keepNext w:val="0"/>
              <w:jc w:val="center"/>
              <w:rPr>
                <w:lang w:val="en-AU"/>
              </w:rPr>
            </w:pPr>
            <w:r w:rsidRPr="00903174">
              <w:rPr>
                <w:lang w:val="en-AU"/>
              </w:rPr>
              <w:t>TRIUMPH</w:t>
            </w:r>
          </w:p>
        </w:tc>
      </w:tr>
      <w:tr w:rsidR="0082552E" w:rsidRPr="00903174" w14:paraId="16DABEA9" w14:textId="77777777" w:rsidTr="00EC10C8">
        <w:trPr>
          <w:tblHeader/>
        </w:trPr>
        <w:tc>
          <w:tcPr>
            <w:tcW w:w="2405" w:type="dxa"/>
            <w:vMerge/>
            <w:vAlign w:val="center"/>
          </w:tcPr>
          <w:p w14:paraId="46491ADB" w14:textId="77777777" w:rsidR="0082552E" w:rsidRPr="00903174" w:rsidRDefault="0082552E" w:rsidP="00F609CC">
            <w:pPr>
              <w:pStyle w:val="Tableheadingrow"/>
              <w:keepNext w:val="0"/>
              <w:rPr>
                <w:lang w:val="en-AU"/>
              </w:rPr>
            </w:pPr>
          </w:p>
        </w:tc>
        <w:tc>
          <w:tcPr>
            <w:tcW w:w="1038" w:type="dxa"/>
            <w:vAlign w:val="center"/>
          </w:tcPr>
          <w:p w14:paraId="7D982E2E" w14:textId="77777777" w:rsidR="0082552E" w:rsidRPr="00903174" w:rsidRDefault="0082552E" w:rsidP="00F609CC">
            <w:pPr>
              <w:pStyle w:val="Tableheadingrow"/>
              <w:keepNext w:val="0"/>
              <w:jc w:val="center"/>
              <w:rPr>
                <w:lang w:val="en-AU"/>
              </w:rPr>
            </w:pPr>
            <w:r w:rsidRPr="00903174">
              <w:rPr>
                <w:lang w:val="en-AU"/>
              </w:rPr>
              <w:t>RAV</w:t>
            </w:r>
          </w:p>
          <w:p w14:paraId="523086C2" w14:textId="77777777" w:rsidR="0082552E" w:rsidRPr="00903174" w:rsidRDefault="0082552E" w:rsidP="00F609CC">
            <w:pPr>
              <w:pStyle w:val="Tableheadingrow"/>
              <w:keepNext w:val="0"/>
              <w:jc w:val="center"/>
              <w:rPr>
                <w:lang w:val="en-AU"/>
              </w:rPr>
            </w:pPr>
            <w:r w:rsidRPr="00903174">
              <w:rPr>
                <w:lang w:val="en-AU"/>
              </w:rPr>
              <w:t>n (%)</w:t>
            </w:r>
          </w:p>
          <w:p w14:paraId="2AAE979F" w14:textId="77777777" w:rsidR="0082552E" w:rsidRPr="00903174" w:rsidRDefault="0082552E" w:rsidP="00F609CC">
            <w:pPr>
              <w:pStyle w:val="Tableheadingrow"/>
              <w:keepNext w:val="0"/>
              <w:jc w:val="center"/>
              <w:rPr>
                <w:lang w:val="en-AU"/>
              </w:rPr>
            </w:pPr>
            <w:r w:rsidRPr="00903174">
              <w:rPr>
                <w:lang w:val="en-AU"/>
              </w:rPr>
              <w:t>N=125</w:t>
            </w:r>
          </w:p>
        </w:tc>
        <w:tc>
          <w:tcPr>
            <w:tcW w:w="1039" w:type="dxa"/>
            <w:vAlign w:val="center"/>
          </w:tcPr>
          <w:p w14:paraId="06FB6BC2" w14:textId="77777777" w:rsidR="0082552E" w:rsidRPr="00903174" w:rsidRDefault="0082552E" w:rsidP="00F609CC">
            <w:pPr>
              <w:pStyle w:val="Tableheadingrow"/>
              <w:keepNext w:val="0"/>
              <w:jc w:val="center"/>
              <w:rPr>
                <w:lang w:val="en-AU"/>
              </w:rPr>
            </w:pPr>
            <w:r w:rsidRPr="00903174">
              <w:rPr>
                <w:lang w:val="en-AU"/>
              </w:rPr>
              <w:t>ECU</w:t>
            </w:r>
          </w:p>
          <w:p w14:paraId="76619F68" w14:textId="77777777" w:rsidR="0082552E" w:rsidRPr="00903174" w:rsidRDefault="0082552E" w:rsidP="00F609CC">
            <w:pPr>
              <w:pStyle w:val="Tableheadingrow"/>
              <w:keepNext w:val="0"/>
              <w:jc w:val="center"/>
              <w:rPr>
                <w:lang w:val="en-AU"/>
              </w:rPr>
            </w:pPr>
            <w:r w:rsidRPr="00903174">
              <w:rPr>
                <w:lang w:val="en-AU"/>
              </w:rPr>
              <w:t>n (%)</w:t>
            </w:r>
          </w:p>
          <w:p w14:paraId="1A2D3FE3" w14:textId="77777777" w:rsidR="0082552E" w:rsidRPr="00903174" w:rsidRDefault="0082552E" w:rsidP="00F609CC">
            <w:pPr>
              <w:pStyle w:val="Tableheadingrow"/>
              <w:keepNext w:val="0"/>
              <w:jc w:val="center"/>
              <w:rPr>
                <w:lang w:val="en-AU"/>
              </w:rPr>
            </w:pPr>
            <w:r w:rsidRPr="00903174">
              <w:rPr>
                <w:lang w:val="en-AU"/>
              </w:rPr>
              <w:t>N=121</w:t>
            </w:r>
          </w:p>
        </w:tc>
        <w:tc>
          <w:tcPr>
            <w:tcW w:w="1038" w:type="dxa"/>
            <w:vAlign w:val="center"/>
          </w:tcPr>
          <w:p w14:paraId="54F8988B" w14:textId="77777777" w:rsidR="0082552E" w:rsidRPr="00903174" w:rsidRDefault="0082552E" w:rsidP="00F609CC">
            <w:pPr>
              <w:pStyle w:val="Tableheadingrow"/>
              <w:keepNext w:val="0"/>
              <w:jc w:val="center"/>
              <w:rPr>
                <w:lang w:val="en-AU"/>
              </w:rPr>
            </w:pPr>
            <w:r w:rsidRPr="00903174">
              <w:rPr>
                <w:lang w:val="en-AU"/>
              </w:rPr>
              <w:t>RAV</w:t>
            </w:r>
          </w:p>
          <w:p w14:paraId="6000E55C" w14:textId="77777777" w:rsidR="0082552E" w:rsidRPr="00903174" w:rsidRDefault="0082552E" w:rsidP="00F609CC">
            <w:pPr>
              <w:pStyle w:val="Tableheadingrow"/>
              <w:keepNext w:val="0"/>
              <w:jc w:val="center"/>
              <w:rPr>
                <w:lang w:val="en-AU"/>
              </w:rPr>
            </w:pPr>
            <w:r w:rsidRPr="00903174">
              <w:rPr>
                <w:lang w:val="en-AU"/>
              </w:rPr>
              <w:t>n (%)</w:t>
            </w:r>
          </w:p>
          <w:p w14:paraId="1D6BE499" w14:textId="77777777" w:rsidR="0082552E" w:rsidRPr="00903174" w:rsidRDefault="0082552E" w:rsidP="00F609CC">
            <w:pPr>
              <w:pStyle w:val="Tableheadingrow"/>
              <w:keepNext w:val="0"/>
              <w:jc w:val="center"/>
              <w:rPr>
                <w:lang w:val="en-AU"/>
              </w:rPr>
            </w:pPr>
            <w:r w:rsidRPr="00903174">
              <w:rPr>
                <w:lang w:val="en-AU"/>
              </w:rPr>
              <w:t>N=97</w:t>
            </w:r>
          </w:p>
        </w:tc>
        <w:tc>
          <w:tcPr>
            <w:tcW w:w="1039" w:type="dxa"/>
            <w:vAlign w:val="center"/>
          </w:tcPr>
          <w:p w14:paraId="4F2D83D1" w14:textId="77777777" w:rsidR="0082552E" w:rsidRPr="00903174" w:rsidRDefault="0082552E" w:rsidP="00F609CC">
            <w:pPr>
              <w:pStyle w:val="Tableheadingrow"/>
              <w:keepNext w:val="0"/>
              <w:jc w:val="center"/>
              <w:rPr>
                <w:lang w:val="en-AU"/>
              </w:rPr>
            </w:pPr>
            <w:r w:rsidRPr="00903174">
              <w:rPr>
                <w:lang w:val="en-AU"/>
              </w:rPr>
              <w:t>ECU</w:t>
            </w:r>
          </w:p>
          <w:p w14:paraId="2026D8A5" w14:textId="77777777" w:rsidR="0082552E" w:rsidRPr="00903174" w:rsidRDefault="0082552E" w:rsidP="00F609CC">
            <w:pPr>
              <w:pStyle w:val="Tableheadingrow"/>
              <w:keepNext w:val="0"/>
              <w:jc w:val="center"/>
              <w:rPr>
                <w:lang w:val="en-AU"/>
              </w:rPr>
            </w:pPr>
            <w:r w:rsidRPr="00903174">
              <w:rPr>
                <w:lang w:val="en-AU"/>
              </w:rPr>
              <w:t>n (%)</w:t>
            </w:r>
          </w:p>
          <w:p w14:paraId="0D52051D" w14:textId="77777777" w:rsidR="0082552E" w:rsidRPr="00903174" w:rsidRDefault="0082552E" w:rsidP="00F609CC">
            <w:pPr>
              <w:pStyle w:val="Tableheadingrow"/>
              <w:keepNext w:val="0"/>
              <w:jc w:val="center"/>
              <w:rPr>
                <w:lang w:val="en-AU"/>
              </w:rPr>
            </w:pPr>
            <w:r w:rsidRPr="00903174">
              <w:rPr>
                <w:lang w:val="en-AU"/>
              </w:rPr>
              <w:t>N=98</w:t>
            </w:r>
          </w:p>
        </w:tc>
        <w:tc>
          <w:tcPr>
            <w:tcW w:w="1038" w:type="dxa"/>
          </w:tcPr>
          <w:p w14:paraId="1E9AF4D7" w14:textId="77777777" w:rsidR="0082552E" w:rsidRPr="00903174" w:rsidRDefault="0082552E" w:rsidP="00F609CC">
            <w:pPr>
              <w:pStyle w:val="Tableheadingrow"/>
              <w:keepNext w:val="0"/>
              <w:jc w:val="center"/>
              <w:rPr>
                <w:lang w:val="en-AU"/>
              </w:rPr>
            </w:pPr>
            <w:r w:rsidRPr="00903174">
              <w:rPr>
                <w:lang w:val="en-AU"/>
              </w:rPr>
              <w:t>ECU</w:t>
            </w:r>
          </w:p>
          <w:p w14:paraId="39AFA4A3" w14:textId="77777777" w:rsidR="0082552E" w:rsidRPr="00903174" w:rsidRDefault="0082552E" w:rsidP="00F609CC">
            <w:pPr>
              <w:pStyle w:val="Tableheadingrow"/>
              <w:keepNext w:val="0"/>
              <w:jc w:val="center"/>
              <w:rPr>
                <w:lang w:val="en-AU"/>
              </w:rPr>
            </w:pPr>
            <w:r w:rsidRPr="00903174">
              <w:rPr>
                <w:lang w:val="en-AU"/>
              </w:rPr>
              <w:t>n (%)</w:t>
            </w:r>
          </w:p>
          <w:p w14:paraId="224BD476" w14:textId="77777777" w:rsidR="0082552E" w:rsidRPr="00903174" w:rsidRDefault="0082552E" w:rsidP="00F609CC">
            <w:pPr>
              <w:pStyle w:val="Tableheadingrow"/>
              <w:keepNext w:val="0"/>
              <w:jc w:val="center"/>
              <w:rPr>
                <w:lang w:val="en-AU"/>
              </w:rPr>
            </w:pPr>
            <w:r w:rsidRPr="00903174">
              <w:rPr>
                <w:lang w:val="en-AU"/>
              </w:rPr>
              <w:t>N=43</w:t>
            </w:r>
          </w:p>
        </w:tc>
        <w:tc>
          <w:tcPr>
            <w:tcW w:w="1039" w:type="dxa"/>
          </w:tcPr>
          <w:p w14:paraId="52228523" w14:textId="77777777" w:rsidR="0082552E" w:rsidRPr="00903174" w:rsidRDefault="0082552E" w:rsidP="00F609CC">
            <w:pPr>
              <w:pStyle w:val="Tableheadingrow"/>
              <w:keepNext w:val="0"/>
              <w:jc w:val="center"/>
              <w:rPr>
                <w:lang w:val="en-AU"/>
              </w:rPr>
            </w:pPr>
            <w:r w:rsidRPr="00903174">
              <w:rPr>
                <w:lang w:val="en-AU"/>
              </w:rPr>
              <w:t>PLACEBO</w:t>
            </w:r>
          </w:p>
          <w:p w14:paraId="115A7A7E" w14:textId="77777777" w:rsidR="0082552E" w:rsidRPr="00903174" w:rsidRDefault="0082552E" w:rsidP="00F609CC">
            <w:pPr>
              <w:pStyle w:val="Tableheadingrow"/>
              <w:keepNext w:val="0"/>
              <w:jc w:val="center"/>
              <w:rPr>
                <w:lang w:val="en-AU"/>
              </w:rPr>
            </w:pPr>
            <w:r w:rsidRPr="00903174">
              <w:rPr>
                <w:lang w:val="en-AU"/>
              </w:rPr>
              <w:t>n (%)</w:t>
            </w:r>
          </w:p>
          <w:p w14:paraId="5719E107" w14:textId="77777777" w:rsidR="0082552E" w:rsidRPr="00903174" w:rsidRDefault="0082552E" w:rsidP="00F609CC">
            <w:pPr>
              <w:pStyle w:val="Tableheadingrow"/>
              <w:keepNext w:val="0"/>
              <w:jc w:val="center"/>
              <w:rPr>
                <w:lang w:val="en-AU"/>
              </w:rPr>
            </w:pPr>
            <w:r w:rsidRPr="00903174">
              <w:rPr>
                <w:lang w:val="en-AU"/>
              </w:rPr>
              <w:t>N=44</w:t>
            </w:r>
          </w:p>
        </w:tc>
      </w:tr>
      <w:tr w:rsidR="0082552E" w:rsidRPr="00903174" w14:paraId="731EA71E" w14:textId="77777777" w:rsidTr="00EC10C8">
        <w:tc>
          <w:tcPr>
            <w:tcW w:w="2405" w:type="dxa"/>
            <w:vAlign w:val="center"/>
          </w:tcPr>
          <w:p w14:paraId="60D10932" w14:textId="77777777" w:rsidR="0082552E" w:rsidRPr="00903174" w:rsidRDefault="0082552E" w:rsidP="00F609CC">
            <w:pPr>
              <w:pStyle w:val="TableText"/>
              <w:keepNext w:val="0"/>
            </w:pPr>
            <w:r w:rsidRPr="00903174">
              <w:t>Any AE</w:t>
            </w:r>
          </w:p>
        </w:tc>
        <w:tc>
          <w:tcPr>
            <w:tcW w:w="1038" w:type="dxa"/>
            <w:vAlign w:val="center"/>
          </w:tcPr>
          <w:p w14:paraId="4E5ABF05" w14:textId="77777777" w:rsidR="0082552E" w:rsidRPr="00903174" w:rsidRDefault="0082552E" w:rsidP="00F609CC">
            <w:pPr>
              <w:pStyle w:val="TableText"/>
              <w:keepNext w:val="0"/>
              <w:jc w:val="center"/>
            </w:pPr>
            <w:r w:rsidRPr="00903174">
              <w:t>110 (88.0)</w:t>
            </w:r>
          </w:p>
        </w:tc>
        <w:tc>
          <w:tcPr>
            <w:tcW w:w="1039" w:type="dxa"/>
            <w:vAlign w:val="center"/>
          </w:tcPr>
          <w:p w14:paraId="0A5F0653" w14:textId="77777777" w:rsidR="0082552E" w:rsidRPr="00903174" w:rsidRDefault="0082552E" w:rsidP="00F609CC">
            <w:pPr>
              <w:pStyle w:val="TableText"/>
              <w:keepNext w:val="0"/>
              <w:jc w:val="center"/>
            </w:pPr>
            <w:r w:rsidRPr="00903174">
              <w:t>105 (86.8)</w:t>
            </w:r>
          </w:p>
        </w:tc>
        <w:tc>
          <w:tcPr>
            <w:tcW w:w="1038" w:type="dxa"/>
            <w:vAlign w:val="center"/>
          </w:tcPr>
          <w:p w14:paraId="7A825A04" w14:textId="77777777" w:rsidR="0082552E" w:rsidRPr="00903174" w:rsidRDefault="0082552E" w:rsidP="00F609CC">
            <w:pPr>
              <w:pStyle w:val="TableText"/>
              <w:keepNext w:val="0"/>
              <w:jc w:val="center"/>
            </w:pPr>
            <w:r w:rsidRPr="00903174">
              <w:t>85 (87.6)</w:t>
            </w:r>
          </w:p>
        </w:tc>
        <w:tc>
          <w:tcPr>
            <w:tcW w:w="1039" w:type="dxa"/>
            <w:vAlign w:val="center"/>
          </w:tcPr>
          <w:p w14:paraId="75C450AC" w14:textId="77777777" w:rsidR="0082552E" w:rsidRPr="00903174" w:rsidRDefault="0082552E" w:rsidP="00F609CC">
            <w:pPr>
              <w:pStyle w:val="TableText"/>
              <w:keepNext w:val="0"/>
              <w:jc w:val="center"/>
            </w:pPr>
            <w:r w:rsidRPr="00903174">
              <w:t>86 (87.8)</w:t>
            </w:r>
          </w:p>
        </w:tc>
        <w:tc>
          <w:tcPr>
            <w:tcW w:w="1038" w:type="dxa"/>
            <w:vAlign w:val="center"/>
          </w:tcPr>
          <w:p w14:paraId="0757D531" w14:textId="77777777" w:rsidR="0082552E" w:rsidRPr="00903174" w:rsidRDefault="0082552E" w:rsidP="00F609CC">
            <w:pPr>
              <w:pStyle w:val="TableText"/>
              <w:keepNext w:val="0"/>
              <w:jc w:val="center"/>
            </w:pPr>
            <w:r w:rsidRPr="00903174">
              <w:t>43 (100)</w:t>
            </w:r>
          </w:p>
        </w:tc>
        <w:tc>
          <w:tcPr>
            <w:tcW w:w="1039" w:type="dxa"/>
            <w:vAlign w:val="center"/>
          </w:tcPr>
          <w:p w14:paraId="4F9A7245" w14:textId="77777777" w:rsidR="0082552E" w:rsidRPr="00903174" w:rsidRDefault="0082552E" w:rsidP="00F609CC">
            <w:pPr>
              <w:pStyle w:val="TableText"/>
              <w:keepNext w:val="0"/>
              <w:jc w:val="center"/>
            </w:pPr>
            <w:r w:rsidRPr="00903174">
              <w:t>40 (90.9)</w:t>
            </w:r>
          </w:p>
        </w:tc>
      </w:tr>
      <w:tr w:rsidR="0082552E" w:rsidRPr="00903174" w14:paraId="60474470" w14:textId="77777777" w:rsidTr="00EC10C8">
        <w:tc>
          <w:tcPr>
            <w:tcW w:w="2405" w:type="dxa"/>
            <w:vAlign w:val="center"/>
          </w:tcPr>
          <w:p w14:paraId="79FE12DF" w14:textId="77777777" w:rsidR="0082552E" w:rsidRPr="00903174" w:rsidRDefault="0082552E" w:rsidP="00F609CC">
            <w:pPr>
              <w:pStyle w:val="TableText"/>
              <w:keepNext w:val="0"/>
            </w:pPr>
            <w:r w:rsidRPr="00903174">
              <w:t>Treatment-emergent SAE</w:t>
            </w:r>
          </w:p>
        </w:tc>
        <w:tc>
          <w:tcPr>
            <w:tcW w:w="1038" w:type="dxa"/>
            <w:vAlign w:val="center"/>
          </w:tcPr>
          <w:p w14:paraId="2326E149" w14:textId="77777777" w:rsidR="0082552E" w:rsidRPr="00903174" w:rsidRDefault="0082552E" w:rsidP="00F609CC">
            <w:pPr>
              <w:pStyle w:val="TableText"/>
              <w:keepNext w:val="0"/>
              <w:jc w:val="center"/>
            </w:pPr>
            <w:r w:rsidRPr="00903174">
              <w:t>11 (8.8)</w:t>
            </w:r>
          </w:p>
        </w:tc>
        <w:tc>
          <w:tcPr>
            <w:tcW w:w="1039" w:type="dxa"/>
            <w:vAlign w:val="center"/>
          </w:tcPr>
          <w:p w14:paraId="259D7321" w14:textId="77777777" w:rsidR="0082552E" w:rsidRPr="00903174" w:rsidRDefault="0082552E" w:rsidP="00F609CC">
            <w:pPr>
              <w:pStyle w:val="TableText"/>
              <w:keepNext w:val="0"/>
              <w:jc w:val="center"/>
            </w:pPr>
            <w:r w:rsidRPr="00903174">
              <w:t>9 (7.4)</w:t>
            </w:r>
          </w:p>
        </w:tc>
        <w:tc>
          <w:tcPr>
            <w:tcW w:w="1038" w:type="dxa"/>
            <w:vAlign w:val="center"/>
          </w:tcPr>
          <w:p w14:paraId="24568904" w14:textId="77777777" w:rsidR="0082552E" w:rsidRPr="00903174" w:rsidRDefault="0082552E" w:rsidP="00F609CC">
            <w:pPr>
              <w:pStyle w:val="TableText"/>
              <w:keepNext w:val="0"/>
              <w:jc w:val="center"/>
            </w:pPr>
            <w:r w:rsidRPr="00903174">
              <w:t>4 (4.1)</w:t>
            </w:r>
          </w:p>
        </w:tc>
        <w:tc>
          <w:tcPr>
            <w:tcW w:w="1039" w:type="dxa"/>
            <w:vAlign w:val="center"/>
          </w:tcPr>
          <w:p w14:paraId="26D311A2" w14:textId="77777777" w:rsidR="0082552E" w:rsidRPr="00903174" w:rsidRDefault="0082552E" w:rsidP="00F609CC">
            <w:pPr>
              <w:pStyle w:val="TableText"/>
              <w:keepNext w:val="0"/>
              <w:jc w:val="center"/>
            </w:pPr>
            <w:r w:rsidRPr="00903174">
              <w:t>8 (8.2)</w:t>
            </w:r>
          </w:p>
        </w:tc>
        <w:tc>
          <w:tcPr>
            <w:tcW w:w="1038" w:type="dxa"/>
            <w:vAlign w:val="center"/>
          </w:tcPr>
          <w:p w14:paraId="0A5829A7" w14:textId="77777777" w:rsidR="0082552E" w:rsidRPr="00903174" w:rsidRDefault="0082552E" w:rsidP="00F609CC">
            <w:pPr>
              <w:pStyle w:val="TableText"/>
              <w:keepNext w:val="0"/>
              <w:jc w:val="center"/>
            </w:pPr>
            <w:r w:rsidRPr="00903174">
              <w:t>4 (9.3)</w:t>
            </w:r>
          </w:p>
        </w:tc>
        <w:tc>
          <w:tcPr>
            <w:tcW w:w="1039" w:type="dxa"/>
            <w:vAlign w:val="center"/>
          </w:tcPr>
          <w:p w14:paraId="7342AF2D" w14:textId="77777777" w:rsidR="0082552E" w:rsidRPr="00903174" w:rsidRDefault="0082552E" w:rsidP="00F609CC">
            <w:pPr>
              <w:pStyle w:val="TableText"/>
              <w:keepNext w:val="0"/>
              <w:jc w:val="center"/>
            </w:pPr>
            <w:r w:rsidRPr="00903174">
              <w:t>9 (20.5)</w:t>
            </w:r>
          </w:p>
        </w:tc>
      </w:tr>
      <w:tr w:rsidR="0082552E" w:rsidRPr="00903174" w14:paraId="0C706DB3" w14:textId="77777777" w:rsidTr="00EC10C8">
        <w:tc>
          <w:tcPr>
            <w:tcW w:w="2405" w:type="dxa"/>
            <w:vAlign w:val="center"/>
          </w:tcPr>
          <w:p w14:paraId="29195687" w14:textId="77777777" w:rsidR="0082552E" w:rsidRPr="00903174" w:rsidRDefault="0082552E" w:rsidP="00F609CC">
            <w:pPr>
              <w:pStyle w:val="TableText"/>
              <w:keepNext w:val="0"/>
            </w:pPr>
            <w:r w:rsidRPr="00903174">
              <w:t>Deaths</w:t>
            </w:r>
          </w:p>
        </w:tc>
        <w:tc>
          <w:tcPr>
            <w:tcW w:w="1038" w:type="dxa"/>
            <w:vAlign w:val="center"/>
          </w:tcPr>
          <w:p w14:paraId="4C194AB7" w14:textId="77777777" w:rsidR="0082552E" w:rsidRPr="00903174" w:rsidRDefault="0082552E" w:rsidP="00F609CC">
            <w:pPr>
              <w:pStyle w:val="TableText"/>
              <w:keepNext w:val="0"/>
              <w:jc w:val="center"/>
            </w:pPr>
            <w:r w:rsidRPr="00903174">
              <w:t>0 (0)</w:t>
            </w:r>
          </w:p>
        </w:tc>
        <w:tc>
          <w:tcPr>
            <w:tcW w:w="1039" w:type="dxa"/>
            <w:vAlign w:val="center"/>
          </w:tcPr>
          <w:p w14:paraId="015427E0" w14:textId="77777777" w:rsidR="0082552E" w:rsidRPr="00903174" w:rsidRDefault="0082552E" w:rsidP="00F609CC">
            <w:pPr>
              <w:pStyle w:val="TableText"/>
              <w:keepNext w:val="0"/>
              <w:jc w:val="center"/>
            </w:pPr>
            <w:r w:rsidRPr="00903174">
              <w:t xml:space="preserve">1 (0.8) </w:t>
            </w:r>
            <w:r w:rsidRPr="00903174">
              <w:rPr>
                <w:vertAlign w:val="superscript"/>
              </w:rPr>
              <w:t>a</w:t>
            </w:r>
          </w:p>
        </w:tc>
        <w:tc>
          <w:tcPr>
            <w:tcW w:w="1038" w:type="dxa"/>
            <w:vAlign w:val="center"/>
          </w:tcPr>
          <w:p w14:paraId="148A643D" w14:textId="77777777" w:rsidR="0082552E" w:rsidRPr="00903174" w:rsidRDefault="0082552E" w:rsidP="00F609CC">
            <w:pPr>
              <w:pStyle w:val="TableText"/>
              <w:keepNext w:val="0"/>
              <w:jc w:val="center"/>
            </w:pPr>
            <w:r w:rsidRPr="00903174">
              <w:t>0 (0)</w:t>
            </w:r>
          </w:p>
        </w:tc>
        <w:tc>
          <w:tcPr>
            <w:tcW w:w="1039" w:type="dxa"/>
            <w:vAlign w:val="center"/>
          </w:tcPr>
          <w:p w14:paraId="1C3443EB" w14:textId="77777777" w:rsidR="0082552E" w:rsidRPr="00903174" w:rsidRDefault="0082552E" w:rsidP="00F609CC">
            <w:pPr>
              <w:pStyle w:val="TableText"/>
              <w:keepNext w:val="0"/>
              <w:jc w:val="center"/>
            </w:pPr>
            <w:r w:rsidRPr="00903174">
              <w:t>0 (0)</w:t>
            </w:r>
          </w:p>
        </w:tc>
        <w:tc>
          <w:tcPr>
            <w:tcW w:w="1038" w:type="dxa"/>
            <w:vAlign w:val="center"/>
          </w:tcPr>
          <w:p w14:paraId="1C1E3F7D" w14:textId="77777777" w:rsidR="0082552E" w:rsidRPr="00903174" w:rsidRDefault="0082552E" w:rsidP="00F609CC">
            <w:pPr>
              <w:pStyle w:val="TableText"/>
              <w:keepNext w:val="0"/>
              <w:jc w:val="center"/>
            </w:pPr>
            <w:r w:rsidRPr="00903174">
              <w:t>0 (0)</w:t>
            </w:r>
          </w:p>
        </w:tc>
        <w:tc>
          <w:tcPr>
            <w:tcW w:w="1039" w:type="dxa"/>
            <w:vAlign w:val="center"/>
          </w:tcPr>
          <w:p w14:paraId="4F766794" w14:textId="77777777" w:rsidR="0082552E" w:rsidRPr="00903174" w:rsidRDefault="0082552E" w:rsidP="00F609CC">
            <w:pPr>
              <w:pStyle w:val="TableText"/>
              <w:keepNext w:val="0"/>
              <w:jc w:val="center"/>
            </w:pPr>
            <w:r w:rsidRPr="00903174">
              <w:t>0 (0)</w:t>
            </w:r>
          </w:p>
        </w:tc>
      </w:tr>
      <w:tr w:rsidR="0082552E" w:rsidRPr="00903174" w14:paraId="1D0BFDB0" w14:textId="77777777" w:rsidTr="00EC10C8">
        <w:tc>
          <w:tcPr>
            <w:tcW w:w="2405" w:type="dxa"/>
            <w:vAlign w:val="center"/>
          </w:tcPr>
          <w:p w14:paraId="502D2E6A" w14:textId="77777777" w:rsidR="0082552E" w:rsidRPr="00903174" w:rsidRDefault="0082552E" w:rsidP="00F609CC">
            <w:pPr>
              <w:pStyle w:val="TableText"/>
              <w:keepNext w:val="0"/>
            </w:pPr>
            <w:r w:rsidRPr="00903174">
              <w:t>AE leading to withdrawal</w:t>
            </w:r>
          </w:p>
        </w:tc>
        <w:tc>
          <w:tcPr>
            <w:tcW w:w="1038" w:type="dxa"/>
            <w:vAlign w:val="center"/>
          </w:tcPr>
          <w:p w14:paraId="705A6FCC" w14:textId="77777777" w:rsidR="0082552E" w:rsidRPr="00903174" w:rsidRDefault="0082552E" w:rsidP="00F609CC">
            <w:pPr>
              <w:pStyle w:val="TableText"/>
              <w:keepNext w:val="0"/>
              <w:jc w:val="center"/>
            </w:pPr>
            <w:r w:rsidRPr="00903174">
              <w:t>0 (0)</w:t>
            </w:r>
          </w:p>
        </w:tc>
        <w:tc>
          <w:tcPr>
            <w:tcW w:w="1039" w:type="dxa"/>
            <w:vAlign w:val="center"/>
          </w:tcPr>
          <w:p w14:paraId="587FD666" w14:textId="77777777" w:rsidR="0082552E" w:rsidRPr="00903174" w:rsidRDefault="0082552E" w:rsidP="00F609CC">
            <w:pPr>
              <w:pStyle w:val="TableText"/>
              <w:keepNext w:val="0"/>
              <w:jc w:val="center"/>
              <w:rPr>
                <w:vertAlign w:val="superscript"/>
              </w:rPr>
            </w:pPr>
            <w:r w:rsidRPr="00903174">
              <w:t xml:space="preserve">1 (0.8) </w:t>
            </w:r>
            <w:r w:rsidRPr="00903174">
              <w:rPr>
                <w:vertAlign w:val="superscript"/>
              </w:rPr>
              <w:t>a</w:t>
            </w:r>
          </w:p>
        </w:tc>
        <w:tc>
          <w:tcPr>
            <w:tcW w:w="1038" w:type="dxa"/>
            <w:vAlign w:val="center"/>
          </w:tcPr>
          <w:p w14:paraId="3B50F979" w14:textId="77777777" w:rsidR="0082552E" w:rsidRPr="00903174" w:rsidRDefault="0082552E" w:rsidP="00F609CC">
            <w:pPr>
              <w:pStyle w:val="TableText"/>
              <w:keepNext w:val="0"/>
              <w:jc w:val="center"/>
            </w:pPr>
            <w:r w:rsidRPr="00903174">
              <w:t>0 (0)</w:t>
            </w:r>
          </w:p>
        </w:tc>
        <w:tc>
          <w:tcPr>
            <w:tcW w:w="1039" w:type="dxa"/>
            <w:vAlign w:val="center"/>
          </w:tcPr>
          <w:p w14:paraId="2C7F5872" w14:textId="77777777" w:rsidR="0082552E" w:rsidRPr="00903174" w:rsidRDefault="0082552E" w:rsidP="00F609CC">
            <w:pPr>
              <w:pStyle w:val="TableText"/>
              <w:keepNext w:val="0"/>
              <w:jc w:val="center"/>
            </w:pPr>
            <w:r w:rsidRPr="00903174">
              <w:t>0 (0)</w:t>
            </w:r>
          </w:p>
        </w:tc>
        <w:tc>
          <w:tcPr>
            <w:tcW w:w="1038" w:type="dxa"/>
            <w:vAlign w:val="center"/>
          </w:tcPr>
          <w:p w14:paraId="2C70DDD0" w14:textId="77777777" w:rsidR="0082552E" w:rsidRPr="00903174" w:rsidRDefault="0082552E" w:rsidP="00F609CC">
            <w:pPr>
              <w:pStyle w:val="TableText"/>
              <w:keepNext w:val="0"/>
              <w:jc w:val="center"/>
            </w:pPr>
            <w:r w:rsidRPr="00903174">
              <w:t>1 (2.3)</w:t>
            </w:r>
          </w:p>
        </w:tc>
        <w:tc>
          <w:tcPr>
            <w:tcW w:w="1039" w:type="dxa"/>
            <w:vAlign w:val="center"/>
          </w:tcPr>
          <w:p w14:paraId="00FA4A96" w14:textId="77777777" w:rsidR="0082552E" w:rsidRPr="00903174" w:rsidRDefault="0082552E" w:rsidP="00F609CC">
            <w:pPr>
              <w:pStyle w:val="TableText"/>
              <w:keepNext w:val="0"/>
              <w:jc w:val="center"/>
            </w:pPr>
            <w:r w:rsidRPr="00903174">
              <w:t>0 (0)</w:t>
            </w:r>
          </w:p>
        </w:tc>
      </w:tr>
      <w:tr w:rsidR="0082552E" w:rsidRPr="00903174" w14:paraId="7651A4CA" w14:textId="77777777" w:rsidTr="00EC10C8">
        <w:tc>
          <w:tcPr>
            <w:tcW w:w="2405" w:type="dxa"/>
            <w:vAlign w:val="center"/>
          </w:tcPr>
          <w:p w14:paraId="70100E52" w14:textId="77777777" w:rsidR="0082552E" w:rsidRPr="00903174" w:rsidRDefault="0082552E" w:rsidP="00F609CC">
            <w:pPr>
              <w:pStyle w:val="TableText"/>
              <w:keepNext w:val="0"/>
              <w:rPr>
                <w:vertAlign w:val="superscript"/>
              </w:rPr>
            </w:pPr>
            <w:r w:rsidRPr="00903174">
              <w:t xml:space="preserve">AE related to study drug </w:t>
            </w:r>
            <w:r w:rsidRPr="00903174">
              <w:rPr>
                <w:vertAlign w:val="superscript"/>
              </w:rPr>
              <w:t>b</w:t>
            </w:r>
          </w:p>
        </w:tc>
        <w:tc>
          <w:tcPr>
            <w:tcW w:w="1038" w:type="dxa"/>
            <w:vAlign w:val="center"/>
          </w:tcPr>
          <w:p w14:paraId="33024CC6" w14:textId="77777777" w:rsidR="0082552E" w:rsidRPr="00903174" w:rsidRDefault="0082552E" w:rsidP="00F609CC">
            <w:pPr>
              <w:pStyle w:val="TableText"/>
              <w:keepNext w:val="0"/>
              <w:jc w:val="center"/>
            </w:pPr>
            <w:r w:rsidRPr="00903174">
              <w:t>51 (40.8)</w:t>
            </w:r>
          </w:p>
        </w:tc>
        <w:tc>
          <w:tcPr>
            <w:tcW w:w="1039" w:type="dxa"/>
            <w:vAlign w:val="center"/>
          </w:tcPr>
          <w:p w14:paraId="7A48163A" w14:textId="77777777" w:rsidR="0082552E" w:rsidRPr="00903174" w:rsidRDefault="0082552E" w:rsidP="00F609CC">
            <w:pPr>
              <w:pStyle w:val="TableText"/>
              <w:keepNext w:val="0"/>
              <w:jc w:val="center"/>
            </w:pPr>
            <w:r w:rsidRPr="00903174">
              <w:t>50 (41.3)</w:t>
            </w:r>
          </w:p>
        </w:tc>
        <w:tc>
          <w:tcPr>
            <w:tcW w:w="1038" w:type="dxa"/>
            <w:vAlign w:val="center"/>
          </w:tcPr>
          <w:p w14:paraId="3A89A828" w14:textId="77777777" w:rsidR="0082552E" w:rsidRPr="00903174" w:rsidRDefault="0082552E" w:rsidP="00F609CC">
            <w:pPr>
              <w:pStyle w:val="TableText"/>
              <w:keepNext w:val="0"/>
              <w:jc w:val="center"/>
            </w:pPr>
            <w:r w:rsidRPr="00903174">
              <w:t>24 (24.7)</w:t>
            </w:r>
          </w:p>
        </w:tc>
        <w:tc>
          <w:tcPr>
            <w:tcW w:w="1039" w:type="dxa"/>
            <w:vAlign w:val="center"/>
          </w:tcPr>
          <w:p w14:paraId="4E04CE63" w14:textId="77777777" w:rsidR="0082552E" w:rsidRPr="00903174" w:rsidRDefault="0082552E" w:rsidP="00F609CC">
            <w:pPr>
              <w:pStyle w:val="TableText"/>
              <w:keepNext w:val="0"/>
              <w:jc w:val="center"/>
            </w:pPr>
            <w:r w:rsidRPr="00903174">
              <w:t>14 (14.3)</w:t>
            </w:r>
          </w:p>
        </w:tc>
        <w:tc>
          <w:tcPr>
            <w:tcW w:w="1038" w:type="dxa"/>
            <w:vAlign w:val="center"/>
          </w:tcPr>
          <w:p w14:paraId="296E8D39" w14:textId="77777777" w:rsidR="0082552E" w:rsidRPr="00903174" w:rsidRDefault="0082552E" w:rsidP="00F609CC">
            <w:pPr>
              <w:pStyle w:val="TableText"/>
              <w:keepNext w:val="0"/>
              <w:jc w:val="center"/>
            </w:pPr>
            <w:r w:rsidRPr="00903174">
              <w:t>24 (55.8)</w:t>
            </w:r>
          </w:p>
        </w:tc>
        <w:tc>
          <w:tcPr>
            <w:tcW w:w="1039" w:type="dxa"/>
            <w:vAlign w:val="center"/>
          </w:tcPr>
          <w:p w14:paraId="112C94B5" w14:textId="77777777" w:rsidR="0082552E" w:rsidRPr="00903174" w:rsidRDefault="0082552E" w:rsidP="00F609CC">
            <w:pPr>
              <w:pStyle w:val="TableText"/>
              <w:keepNext w:val="0"/>
              <w:jc w:val="center"/>
            </w:pPr>
            <w:r w:rsidRPr="00903174">
              <w:t>11 (25.0)</w:t>
            </w:r>
          </w:p>
        </w:tc>
      </w:tr>
      <w:tr w:rsidR="0082552E" w:rsidRPr="00903174" w14:paraId="297C90D5" w14:textId="77777777" w:rsidTr="00EC10C8">
        <w:tc>
          <w:tcPr>
            <w:tcW w:w="2405" w:type="dxa"/>
            <w:vAlign w:val="center"/>
          </w:tcPr>
          <w:p w14:paraId="352BCCB3" w14:textId="77777777" w:rsidR="0082552E" w:rsidRPr="00903174" w:rsidRDefault="0082552E" w:rsidP="00F609CC">
            <w:pPr>
              <w:pStyle w:val="TableText"/>
              <w:keepNext w:val="0"/>
              <w:rPr>
                <w:vertAlign w:val="superscript"/>
              </w:rPr>
            </w:pPr>
            <w:r w:rsidRPr="00903174">
              <w:t xml:space="preserve">SAE related to study drug </w:t>
            </w:r>
            <w:r w:rsidRPr="00903174">
              <w:rPr>
                <w:vertAlign w:val="superscript"/>
              </w:rPr>
              <w:t>b</w:t>
            </w:r>
          </w:p>
        </w:tc>
        <w:tc>
          <w:tcPr>
            <w:tcW w:w="1038" w:type="dxa"/>
            <w:vAlign w:val="center"/>
          </w:tcPr>
          <w:p w14:paraId="6C58B77B" w14:textId="77777777" w:rsidR="0082552E" w:rsidRPr="00903174" w:rsidRDefault="0082552E" w:rsidP="00F609CC">
            <w:pPr>
              <w:pStyle w:val="TableText"/>
              <w:keepNext w:val="0"/>
              <w:jc w:val="center"/>
            </w:pPr>
            <w:r w:rsidRPr="00903174">
              <w:t>4 (3.2)</w:t>
            </w:r>
          </w:p>
        </w:tc>
        <w:tc>
          <w:tcPr>
            <w:tcW w:w="1039" w:type="dxa"/>
            <w:vAlign w:val="center"/>
          </w:tcPr>
          <w:p w14:paraId="2283DC53" w14:textId="77777777" w:rsidR="0082552E" w:rsidRPr="00903174" w:rsidRDefault="0082552E" w:rsidP="00F609CC">
            <w:pPr>
              <w:pStyle w:val="TableText"/>
              <w:keepNext w:val="0"/>
              <w:jc w:val="center"/>
            </w:pPr>
            <w:r w:rsidRPr="00903174">
              <w:t>1 (0.8)</w:t>
            </w:r>
          </w:p>
        </w:tc>
        <w:tc>
          <w:tcPr>
            <w:tcW w:w="1038" w:type="dxa"/>
            <w:vAlign w:val="center"/>
          </w:tcPr>
          <w:p w14:paraId="37A832B2" w14:textId="77777777" w:rsidR="0082552E" w:rsidRPr="00903174" w:rsidRDefault="0082552E" w:rsidP="00F609CC">
            <w:pPr>
              <w:pStyle w:val="TableText"/>
              <w:keepNext w:val="0"/>
              <w:jc w:val="center"/>
            </w:pPr>
            <w:r w:rsidRPr="00903174">
              <w:t>1 (1.0)</w:t>
            </w:r>
          </w:p>
        </w:tc>
        <w:tc>
          <w:tcPr>
            <w:tcW w:w="1039" w:type="dxa"/>
            <w:vAlign w:val="center"/>
          </w:tcPr>
          <w:p w14:paraId="4AADA8A3" w14:textId="77777777" w:rsidR="0082552E" w:rsidRPr="00903174" w:rsidRDefault="0082552E" w:rsidP="00F609CC">
            <w:pPr>
              <w:pStyle w:val="TableText"/>
              <w:keepNext w:val="0"/>
              <w:jc w:val="center"/>
            </w:pPr>
            <w:r w:rsidRPr="00903174">
              <w:t>1 (1.0)</w:t>
            </w:r>
          </w:p>
        </w:tc>
        <w:tc>
          <w:tcPr>
            <w:tcW w:w="1038" w:type="dxa"/>
            <w:vAlign w:val="center"/>
          </w:tcPr>
          <w:p w14:paraId="032B441E" w14:textId="77777777" w:rsidR="0082552E" w:rsidRPr="00903174" w:rsidRDefault="0082552E" w:rsidP="00F609CC">
            <w:pPr>
              <w:pStyle w:val="TableText"/>
              <w:keepNext w:val="0"/>
              <w:jc w:val="center"/>
            </w:pPr>
            <w:r w:rsidRPr="00903174">
              <w:t>0 (0)</w:t>
            </w:r>
          </w:p>
        </w:tc>
        <w:tc>
          <w:tcPr>
            <w:tcW w:w="1039" w:type="dxa"/>
            <w:vAlign w:val="center"/>
          </w:tcPr>
          <w:p w14:paraId="2DE0F0A4" w14:textId="77777777" w:rsidR="0082552E" w:rsidRPr="00903174" w:rsidRDefault="0082552E" w:rsidP="00F609CC">
            <w:pPr>
              <w:pStyle w:val="TableText"/>
              <w:keepNext w:val="0"/>
              <w:jc w:val="center"/>
            </w:pPr>
            <w:r w:rsidRPr="00903174">
              <w:t>1 (2.3)</w:t>
            </w:r>
          </w:p>
        </w:tc>
      </w:tr>
      <w:tr w:rsidR="0082552E" w:rsidRPr="00903174" w14:paraId="60449E13" w14:textId="77777777" w:rsidTr="00EC10C8">
        <w:tc>
          <w:tcPr>
            <w:tcW w:w="2405" w:type="dxa"/>
            <w:vAlign w:val="center"/>
          </w:tcPr>
          <w:p w14:paraId="2ACD1046" w14:textId="77777777" w:rsidR="0082552E" w:rsidRPr="00903174" w:rsidRDefault="0082552E" w:rsidP="00F609CC">
            <w:pPr>
              <w:pStyle w:val="TableText"/>
              <w:keepNext w:val="0"/>
            </w:pPr>
            <w:r w:rsidRPr="00903174">
              <w:t>Grade 3+ severe AEs</w:t>
            </w:r>
          </w:p>
        </w:tc>
        <w:tc>
          <w:tcPr>
            <w:tcW w:w="1038" w:type="dxa"/>
            <w:vAlign w:val="center"/>
          </w:tcPr>
          <w:p w14:paraId="17F61F8E" w14:textId="77777777" w:rsidR="0082552E" w:rsidRPr="00903174" w:rsidRDefault="0082552E" w:rsidP="00F609CC">
            <w:pPr>
              <w:pStyle w:val="TableText"/>
              <w:keepNext w:val="0"/>
              <w:jc w:val="center"/>
            </w:pPr>
            <w:r w:rsidRPr="00903174">
              <w:t>26 (20.8)</w:t>
            </w:r>
          </w:p>
        </w:tc>
        <w:tc>
          <w:tcPr>
            <w:tcW w:w="1039" w:type="dxa"/>
            <w:vAlign w:val="center"/>
          </w:tcPr>
          <w:p w14:paraId="5825410F" w14:textId="77777777" w:rsidR="0082552E" w:rsidRPr="00903174" w:rsidRDefault="0082552E" w:rsidP="00F609CC">
            <w:pPr>
              <w:pStyle w:val="TableText"/>
              <w:keepNext w:val="0"/>
              <w:jc w:val="center"/>
            </w:pPr>
            <w:r w:rsidRPr="00903174">
              <w:t>22 (18.2)</w:t>
            </w:r>
          </w:p>
        </w:tc>
        <w:tc>
          <w:tcPr>
            <w:tcW w:w="1038" w:type="dxa"/>
            <w:vAlign w:val="center"/>
          </w:tcPr>
          <w:p w14:paraId="283DB850" w14:textId="77777777" w:rsidR="0082552E" w:rsidRPr="00903174" w:rsidRDefault="0082552E" w:rsidP="00F609CC">
            <w:pPr>
              <w:pStyle w:val="TableText"/>
              <w:keepNext w:val="0"/>
              <w:jc w:val="center"/>
            </w:pPr>
            <w:r w:rsidRPr="00903174">
              <w:t>9 (9.3)</w:t>
            </w:r>
          </w:p>
        </w:tc>
        <w:tc>
          <w:tcPr>
            <w:tcW w:w="1039" w:type="dxa"/>
            <w:vAlign w:val="center"/>
          </w:tcPr>
          <w:p w14:paraId="62D4A310" w14:textId="77777777" w:rsidR="0082552E" w:rsidRPr="00903174" w:rsidRDefault="0082552E" w:rsidP="00F609CC">
            <w:pPr>
              <w:pStyle w:val="TableText"/>
              <w:keepNext w:val="0"/>
              <w:jc w:val="center"/>
            </w:pPr>
            <w:r w:rsidRPr="00903174">
              <w:t>14 (14.3)</w:t>
            </w:r>
          </w:p>
        </w:tc>
        <w:tc>
          <w:tcPr>
            <w:tcW w:w="1038" w:type="dxa"/>
            <w:vAlign w:val="center"/>
          </w:tcPr>
          <w:p w14:paraId="12807A07" w14:textId="77777777" w:rsidR="0082552E" w:rsidRPr="00903174" w:rsidRDefault="0082552E" w:rsidP="00F609CC">
            <w:pPr>
              <w:pStyle w:val="TableText"/>
              <w:keepNext w:val="0"/>
              <w:jc w:val="center"/>
            </w:pPr>
            <w:r w:rsidRPr="00903174">
              <w:t>NR</w:t>
            </w:r>
          </w:p>
        </w:tc>
        <w:tc>
          <w:tcPr>
            <w:tcW w:w="1039" w:type="dxa"/>
            <w:vAlign w:val="center"/>
          </w:tcPr>
          <w:p w14:paraId="65D61085" w14:textId="77777777" w:rsidR="0082552E" w:rsidRPr="00903174" w:rsidRDefault="0082552E" w:rsidP="00F609CC">
            <w:pPr>
              <w:pStyle w:val="TableText"/>
              <w:keepNext w:val="0"/>
              <w:jc w:val="center"/>
            </w:pPr>
            <w:r w:rsidRPr="00903174">
              <w:t>NR</w:t>
            </w:r>
          </w:p>
        </w:tc>
      </w:tr>
      <w:tr w:rsidR="0082552E" w:rsidRPr="00903174" w14:paraId="659839A4" w14:textId="77777777" w:rsidTr="00EC10C8">
        <w:tc>
          <w:tcPr>
            <w:tcW w:w="8636" w:type="dxa"/>
            <w:gridSpan w:val="7"/>
            <w:vAlign w:val="center"/>
          </w:tcPr>
          <w:p w14:paraId="43711DFD" w14:textId="77777777" w:rsidR="0082552E" w:rsidRPr="00903174" w:rsidRDefault="0082552E" w:rsidP="00F609CC">
            <w:pPr>
              <w:pStyle w:val="TableText"/>
              <w:keepNext w:val="0"/>
              <w:rPr>
                <w:b/>
              </w:rPr>
            </w:pPr>
            <w:r w:rsidRPr="00903174">
              <w:rPr>
                <w:b/>
              </w:rPr>
              <w:t>Adverse events of special interest</w:t>
            </w:r>
          </w:p>
        </w:tc>
      </w:tr>
      <w:tr w:rsidR="0082552E" w:rsidRPr="00903174" w14:paraId="7DCC22B9" w14:textId="77777777" w:rsidTr="00EC10C8">
        <w:tc>
          <w:tcPr>
            <w:tcW w:w="2405" w:type="dxa"/>
            <w:vAlign w:val="center"/>
          </w:tcPr>
          <w:p w14:paraId="1BE83467" w14:textId="77777777" w:rsidR="0082552E" w:rsidRPr="00903174" w:rsidRDefault="0082552E" w:rsidP="00F609CC">
            <w:pPr>
              <w:pStyle w:val="TableText"/>
              <w:keepNext w:val="0"/>
            </w:pPr>
            <w:r w:rsidRPr="00903174">
              <w:t>Meningococcal infections</w:t>
            </w:r>
          </w:p>
        </w:tc>
        <w:tc>
          <w:tcPr>
            <w:tcW w:w="1038" w:type="dxa"/>
            <w:vAlign w:val="center"/>
          </w:tcPr>
          <w:p w14:paraId="362F1581" w14:textId="77777777" w:rsidR="0082552E" w:rsidRPr="00903174" w:rsidRDefault="0082552E" w:rsidP="00F609CC">
            <w:pPr>
              <w:pStyle w:val="TableText"/>
              <w:keepNext w:val="0"/>
              <w:jc w:val="center"/>
            </w:pPr>
            <w:r w:rsidRPr="00903174">
              <w:t>0 (0)</w:t>
            </w:r>
          </w:p>
        </w:tc>
        <w:tc>
          <w:tcPr>
            <w:tcW w:w="1039" w:type="dxa"/>
            <w:vAlign w:val="center"/>
          </w:tcPr>
          <w:p w14:paraId="4758D7A5" w14:textId="77777777" w:rsidR="0082552E" w:rsidRPr="00903174" w:rsidRDefault="0082552E" w:rsidP="00F609CC">
            <w:pPr>
              <w:pStyle w:val="TableText"/>
              <w:keepNext w:val="0"/>
              <w:jc w:val="center"/>
            </w:pPr>
            <w:r w:rsidRPr="00903174">
              <w:t>0 (0)</w:t>
            </w:r>
          </w:p>
        </w:tc>
        <w:tc>
          <w:tcPr>
            <w:tcW w:w="1038" w:type="dxa"/>
            <w:vAlign w:val="center"/>
          </w:tcPr>
          <w:p w14:paraId="3655B05B" w14:textId="77777777" w:rsidR="0082552E" w:rsidRPr="00903174" w:rsidRDefault="0082552E" w:rsidP="00F609CC">
            <w:pPr>
              <w:pStyle w:val="TableText"/>
              <w:keepNext w:val="0"/>
              <w:jc w:val="center"/>
            </w:pPr>
            <w:r w:rsidRPr="00903174">
              <w:t>0 (0)</w:t>
            </w:r>
          </w:p>
        </w:tc>
        <w:tc>
          <w:tcPr>
            <w:tcW w:w="1039" w:type="dxa"/>
            <w:vAlign w:val="center"/>
          </w:tcPr>
          <w:p w14:paraId="105B5D9E" w14:textId="77777777" w:rsidR="0082552E" w:rsidRPr="00903174" w:rsidRDefault="0082552E" w:rsidP="00F609CC">
            <w:pPr>
              <w:pStyle w:val="TableText"/>
              <w:keepNext w:val="0"/>
              <w:jc w:val="center"/>
            </w:pPr>
            <w:r w:rsidRPr="00903174">
              <w:t>0 (0)</w:t>
            </w:r>
          </w:p>
        </w:tc>
        <w:tc>
          <w:tcPr>
            <w:tcW w:w="1038" w:type="dxa"/>
            <w:vAlign w:val="center"/>
          </w:tcPr>
          <w:p w14:paraId="1C231F9D" w14:textId="77777777" w:rsidR="0082552E" w:rsidRPr="00903174" w:rsidRDefault="0082552E" w:rsidP="00F609CC">
            <w:pPr>
              <w:pStyle w:val="TableText"/>
              <w:keepNext w:val="0"/>
              <w:jc w:val="center"/>
            </w:pPr>
            <w:r w:rsidRPr="00903174">
              <w:t>0 (0)</w:t>
            </w:r>
          </w:p>
        </w:tc>
        <w:tc>
          <w:tcPr>
            <w:tcW w:w="1039" w:type="dxa"/>
            <w:vAlign w:val="center"/>
          </w:tcPr>
          <w:p w14:paraId="0A8079C5" w14:textId="77777777" w:rsidR="0082552E" w:rsidRPr="00903174" w:rsidRDefault="0082552E" w:rsidP="00F609CC">
            <w:pPr>
              <w:pStyle w:val="TableText"/>
              <w:keepNext w:val="0"/>
              <w:jc w:val="center"/>
            </w:pPr>
            <w:r w:rsidRPr="00903174">
              <w:t>0 (0)</w:t>
            </w:r>
          </w:p>
        </w:tc>
      </w:tr>
      <w:tr w:rsidR="0082552E" w:rsidRPr="00903174" w14:paraId="4569362D" w14:textId="77777777" w:rsidTr="00EC10C8">
        <w:tc>
          <w:tcPr>
            <w:tcW w:w="2405" w:type="dxa"/>
            <w:vAlign w:val="center"/>
          </w:tcPr>
          <w:p w14:paraId="1B5D2133" w14:textId="77777777" w:rsidR="0082552E" w:rsidRPr="00903174" w:rsidRDefault="0082552E" w:rsidP="00F609CC">
            <w:pPr>
              <w:pStyle w:val="TableText"/>
              <w:keepNext w:val="0"/>
            </w:pPr>
            <w:r w:rsidRPr="00903174">
              <w:t>Aspergillus infections</w:t>
            </w:r>
          </w:p>
        </w:tc>
        <w:tc>
          <w:tcPr>
            <w:tcW w:w="1038" w:type="dxa"/>
            <w:vAlign w:val="center"/>
          </w:tcPr>
          <w:p w14:paraId="5ECF5D18" w14:textId="77777777" w:rsidR="0082552E" w:rsidRPr="00903174" w:rsidRDefault="0082552E" w:rsidP="00F609CC">
            <w:pPr>
              <w:pStyle w:val="TableText"/>
              <w:keepNext w:val="0"/>
              <w:jc w:val="center"/>
            </w:pPr>
            <w:r w:rsidRPr="00903174">
              <w:t>0 (0)</w:t>
            </w:r>
          </w:p>
        </w:tc>
        <w:tc>
          <w:tcPr>
            <w:tcW w:w="1039" w:type="dxa"/>
            <w:vAlign w:val="center"/>
          </w:tcPr>
          <w:p w14:paraId="54334B11" w14:textId="77777777" w:rsidR="0082552E" w:rsidRPr="00903174" w:rsidRDefault="0082552E" w:rsidP="00F609CC">
            <w:pPr>
              <w:pStyle w:val="TableText"/>
              <w:keepNext w:val="0"/>
              <w:jc w:val="center"/>
            </w:pPr>
            <w:r w:rsidRPr="00903174">
              <w:t>0 (0)</w:t>
            </w:r>
          </w:p>
        </w:tc>
        <w:tc>
          <w:tcPr>
            <w:tcW w:w="1038" w:type="dxa"/>
            <w:vAlign w:val="center"/>
          </w:tcPr>
          <w:p w14:paraId="4ED3B3DA" w14:textId="77777777" w:rsidR="0082552E" w:rsidRPr="00903174" w:rsidRDefault="0082552E" w:rsidP="00F609CC">
            <w:pPr>
              <w:pStyle w:val="TableText"/>
              <w:keepNext w:val="0"/>
              <w:jc w:val="center"/>
            </w:pPr>
            <w:r w:rsidRPr="00903174">
              <w:t>0 (0)</w:t>
            </w:r>
          </w:p>
        </w:tc>
        <w:tc>
          <w:tcPr>
            <w:tcW w:w="1039" w:type="dxa"/>
            <w:vAlign w:val="center"/>
          </w:tcPr>
          <w:p w14:paraId="2AA78285" w14:textId="77777777" w:rsidR="0082552E" w:rsidRPr="00903174" w:rsidRDefault="0082552E" w:rsidP="00F609CC">
            <w:pPr>
              <w:pStyle w:val="TableText"/>
              <w:keepNext w:val="0"/>
              <w:jc w:val="center"/>
            </w:pPr>
            <w:r w:rsidRPr="00903174">
              <w:t>0 (0)</w:t>
            </w:r>
          </w:p>
        </w:tc>
        <w:tc>
          <w:tcPr>
            <w:tcW w:w="1038" w:type="dxa"/>
            <w:vAlign w:val="center"/>
          </w:tcPr>
          <w:p w14:paraId="7746F75D" w14:textId="77777777" w:rsidR="0082552E" w:rsidRPr="00903174" w:rsidRDefault="0082552E" w:rsidP="00F609CC">
            <w:pPr>
              <w:pStyle w:val="TableText"/>
              <w:keepNext w:val="0"/>
              <w:jc w:val="center"/>
            </w:pPr>
            <w:r w:rsidRPr="00903174">
              <w:t>NR</w:t>
            </w:r>
          </w:p>
        </w:tc>
        <w:tc>
          <w:tcPr>
            <w:tcW w:w="1039" w:type="dxa"/>
            <w:vAlign w:val="center"/>
          </w:tcPr>
          <w:p w14:paraId="788C9CD3" w14:textId="77777777" w:rsidR="0082552E" w:rsidRPr="00903174" w:rsidRDefault="0082552E" w:rsidP="00F609CC">
            <w:pPr>
              <w:pStyle w:val="TableText"/>
              <w:keepNext w:val="0"/>
              <w:jc w:val="center"/>
            </w:pPr>
            <w:r w:rsidRPr="00903174">
              <w:t>NR</w:t>
            </w:r>
          </w:p>
        </w:tc>
      </w:tr>
      <w:tr w:rsidR="0082552E" w:rsidRPr="00903174" w14:paraId="0F4312B1" w14:textId="77777777" w:rsidTr="00EC10C8">
        <w:tc>
          <w:tcPr>
            <w:tcW w:w="2405" w:type="dxa"/>
            <w:vAlign w:val="center"/>
          </w:tcPr>
          <w:p w14:paraId="705028FF" w14:textId="77777777" w:rsidR="0082552E" w:rsidRPr="00903174" w:rsidRDefault="0082552E" w:rsidP="00F609CC">
            <w:pPr>
              <w:pStyle w:val="TableText"/>
              <w:keepNext w:val="0"/>
            </w:pPr>
            <w:r w:rsidRPr="00903174">
              <w:t>Other serious infections</w:t>
            </w:r>
          </w:p>
        </w:tc>
        <w:tc>
          <w:tcPr>
            <w:tcW w:w="1038" w:type="dxa"/>
            <w:vAlign w:val="center"/>
          </w:tcPr>
          <w:p w14:paraId="4E41B7DF" w14:textId="77777777" w:rsidR="0082552E" w:rsidRPr="00903174" w:rsidRDefault="0082552E" w:rsidP="00F609CC">
            <w:pPr>
              <w:pStyle w:val="TableText"/>
              <w:keepNext w:val="0"/>
              <w:jc w:val="center"/>
            </w:pPr>
            <w:r w:rsidRPr="00903174">
              <w:t>2 (1.6)</w:t>
            </w:r>
          </w:p>
        </w:tc>
        <w:tc>
          <w:tcPr>
            <w:tcW w:w="1039" w:type="dxa"/>
            <w:vAlign w:val="center"/>
          </w:tcPr>
          <w:p w14:paraId="4A37BBF4" w14:textId="77777777" w:rsidR="0082552E" w:rsidRPr="00903174" w:rsidRDefault="0082552E" w:rsidP="00F609CC">
            <w:pPr>
              <w:pStyle w:val="TableText"/>
              <w:keepNext w:val="0"/>
              <w:jc w:val="center"/>
            </w:pPr>
            <w:r w:rsidRPr="00903174">
              <w:t>4 (3.3)</w:t>
            </w:r>
          </w:p>
        </w:tc>
        <w:tc>
          <w:tcPr>
            <w:tcW w:w="1038" w:type="dxa"/>
            <w:vAlign w:val="center"/>
          </w:tcPr>
          <w:p w14:paraId="57326697" w14:textId="77777777" w:rsidR="0082552E" w:rsidRPr="00903174" w:rsidRDefault="0082552E" w:rsidP="00F609CC">
            <w:pPr>
              <w:pStyle w:val="TableText"/>
              <w:keepNext w:val="0"/>
              <w:jc w:val="center"/>
            </w:pPr>
            <w:r w:rsidRPr="00903174">
              <w:t>2 (2.1)</w:t>
            </w:r>
          </w:p>
        </w:tc>
        <w:tc>
          <w:tcPr>
            <w:tcW w:w="1039" w:type="dxa"/>
            <w:vAlign w:val="center"/>
          </w:tcPr>
          <w:p w14:paraId="43969EB9" w14:textId="77777777" w:rsidR="0082552E" w:rsidRPr="00903174" w:rsidRDefault="0082552E" w:rsidP="00F609CC">
            <w:pPr>
              <w:pStyle w:val="TableText"/>
              <w:keepNext w:val="0"/>
              <w:jc w:val="center"/>
            </w:pPr>
            <w:r w:rsidRPr="00903174">
              <w:t>1 (1.0)</w:t>
            </w:r>
          </w:p>
        </w:tc>
        <w:tc>
          <w:tcPr>
            <w:tcW w:w="1038" w:type="dxa"/>
            <w:vAlign w:val="center"/>
          </w:tcPr>
          <w:p w14:paraId="04540051" w14:textId="77777777" w:rsidR="0082552E" w:rsidRPr="00903174" w:rsidRDefault="0082552E" w:rsidP="00F609CC">
            <w:pPr>
              <w:pStyle w:val="TableText"/>
              <w:keepNext w:val="0"/>
              <w:jc w:val="center"/>
            </w:pPr>
            <w:r w:rsidRPr="00903174">
              <w:t>0 (0)</w:t>
            </w:r>
          </w:p>
        </w:tc>
        <w:tc>
          <w:tcPr>
            <w:tcW w:w="1039" w:type="dxa"/>
            <w:vAlign w:val="center"/>
          </w:tcPr>
          <w:p w14:paraId="259CE67D" w14:textId="77777777" w:rsidR="0082552E" w:rsidRPr="00903174" w:rsidRDefault="0082552E" w:rsidP="00F609CC">
            <w:pPr>
              <w:pStyle w:val="TableText"/>
              <w:keepNext w:val="0"/>
              <w:jc w:val="center"/>
            </w:pPr>
            <w:r w:rsidRPr="00903174">
              <w:t>4 (9.1)</w:t>
            </w:r>
          </w:p>
        </w:tc>
      </w:tr>
      <w:tr w:rsidR="0082552E" w:rsidRPr="00903174" w14:paraId="260F99D2" w14:textId="77777777" w:rsidTr="00EC10C8">
        <w:tc>
          <w:tcPr>
            <w:tcW w:w="2405" w:type="dxa"/>
            <w:vAlign w:val="center"/>
          </w:tcPr>
          <w:p w14:paraId="1B30DC81" w14:textId="77777777" w:rsidR="0082552E" w:rsidRPr="00903174" w:rsidRDefault="0082552E" w:rsidP="00F609CC">
            <w:pPr>
              <w:pStyle w:val="TableText"/>
              <w:keepNext w:val="0"/>
            </w:pPr>
            <w:r w:rsidRPr="00903174">
              <w:t>Sepsis</w:t>
            </w:r>
          </w:p>
        </w:tc>
        <w:tc>
          <w:tcPr>
            <w:tcW w:w="1038" w:type="dxa"/>
            <w:vAlign w:val="center"/>
          </w:tcPr>
          <w:p w14:paraId="3C88104A" w14:textId="77777777" w:rsidR="0082552E" w:rsidRPr="00903174" w:rsidRDefault="0082552E" w:rsidP="00F609CC">
            <w:pPr>
              <w:pStyle w:val="TableText"/>
              <w:keepNext w:val="0"/>
              <w:jc w:val="center"/>
            </w:pPr>
            <w:r w:rsidRPr="00903174">
              <w:t>0 (0)</w:t>
            </w:r>
          </w:p>
        </w:tc>
        <w:tc>
          <w:tcPr>
            <w:tcW w:w="1039" w:type="dxa"/>
            <w:vAlign w:val="center"/>
          </w:tcPr>
          <w:p w14:paraId="4AE5AF0A" w14:textId="77777777" w:rsidR="0082552E" w:rsidRPr="00903174" w:rsidRDefault="0082552E" w:rsidP="00F609CC">
            <w:pPr>
              <w:pStyle w:val="TableText"/>
              <w:keepNext w:val="0"/>
              <w:jc w:val="center"/>
            </w:pPr>
            <w:r w:rsidRPr="00903174">
              <w:t>0 (0)</w:t>
            </w:r>
          </w:p>
        </w:tc>
        <w:tc>
          <w:tcPr>
            <w:tcW w:w="1038" w:type="dxa"/>
            <w:vAlign w:val="center"/>
          </w:tcPr>
          <w:p w14:paraId="6878E966" w14:textId="77777777" w:rsidR="0082552E" w:rsidRPr="00903174" w:rsidRDefault="0082552E" w:rsidP="00F609CC">
            <w:pPr>
              <w:pStyle w:val="TableText"/>
              <w:keepNext w:val="0"/>
              <w:jc w:val="center"/>
            </w:pPr>
            <w:r w:rsidRPr="00903174">
              <w:t>0 (0)</w:t>
            </w:r>
          </w:p>
        </w:tc>
        <w:tc>
          <w:tcPr>
            <w:tcW w:w="1039" w:type="dxa"/>
            <w:vAlign w:val="center"/>
          </w:tcPr>
          <w:p w14:paraId="019ED4EF" w14:textId="77777777" w:rsidR="0082552E" w:rsidRPr="00903174" w:rsidRDefault="0082552E" w:rsidP="00F609CC">
            <w:pPr>
              <w:pStyle w:val="TableText"/>
              <w:keepNext w:val="0"/>
              <w:jc w:val="center"/>
            </w:pPr>
            <w:r w:rsidRPr="00903174">
              <w:t>0 (0)</w:t>
            </w:r>
          </w:p>
        </w:tc>
        <w:tc>
          <w:tcPr>
            <w:tcW w:w="1038" w:type="dxa"/>
            <w:vAlign w:val="center"/>
          </w:tcPr>
          <w:p w14:paraId="455B975C" w14:textId="77777777" w:rsidR="0082552E" w:rsidRPr="00903174" w:rsidRDefault="0082552E" w:rsidP="00F609CC">
            <w:pPr>
              <w:pStyle w:val="TableText"/>
              <w:keepNext w:val="0"/>
              <w:jc w:val="center"/>
            </w:pPr>
            <w:r w:rsidRPr="00903174">
              <w:t>NR</w:t>
            </w:r>
          </w:p>
        </w:tc>
        <w:tc>
          <w:tcPr>
            <w:tcW w:w="1039" w:type="dxa"/>
            <w:vAlign w:val="center"/>
          </w:tcPr>
          <w:p w14:paraId="65CA89A6" w14:textId="77777777" w:rsidR="0082552E" w:rsidRPr="00903174" w:rsidRDefault="0082552E" w:rsidP="00F609CC">
            <w:pPr>
              <w:pStyle w:val="TableText"/>
              <w:keepNext w:val="0"/>
              <w:jc w:val="center"/>
            </w:pPr>
            <w:r w:rsidRPr="00903174">
              <w:t>NR</w:t>
            </w:r>
          </w:p>
        </w:tc>
      </w:tr>
      <w:tr w:rsidR="0082552E" w:rsidRPr="00903174" w14:paraId="01206298" w14:textId="77777777" w:rsidTr="00EC10C8">
        <w:tc>
          <w:tcPr>
            <w:tcW w:w="2405" w:type="dxa"/>
            <w:vAlign w:val="center"/>
          </w:tcPr>
          <w:p w14:paraId="3F8CD213" w14:textId="77777777" w:rsidR="0082552E" w:rsidRPr="00903174" w:rsidRDefault="0082552E" w:rsidP="00F609CC">
            <w:pPr>
              <w:pStyle w:val="TableText"/>
              <w:keepNext w:val="0"/>
            </w:pPr>
            <w:r w:rsidRPr="00903174">
              <w:t>Infusion reactions</w:t>
            </w:r>
          </w:p>
        </w:tc>
        <w:tc>
          <w:tcPr>
            <w:tcW w:w="1038" w:type="dxa"/>
            <w:vAlign w:val="center"/>
          </w:tcPr>
          <w:p w14:paraId="1863F301" w14:textId="77777777" w:rsidR="0082552E" w:rsidRPr="00903174" w:rsidRDefault="0082552E" w:rsidP="00F609CC">
            <w:pPr>
              <w:pStyle w:val="TableText"/>
              <w:keepNext w:val="0"/>
              <w:jc w:val="center"/>
            </w:pPr>
            <w:r w:rsidRPr="00903174">
              <w:t>11 (8.8)</w:t>
            </w:r>
          </w:p>
        </w:tc>
        <w:tc>
          <w:tcPr>
            <w:tcW w:w="1039" w:type="dxa"/>
            <w:vAlign w:val="center"/>
          </w:tcPr>
          <w:p w14:paraId="4D6E2782" w14:textId="77777777" w:rsidR="0082552E" w:rsidRPr="00903174" w:rsidRDefault="0082552E" w:rsidP="00F609CC">
            <w:pPr>
              <w:pStyle w:val="TableText"/>
              <w:keepNext w:val="0"/>
              <w:jc w:val="center"/>
            </w:pPr>
            <w:r w:rsidRPr="00903174">
              <w:t>10 (8.3)</w:t>
            </w:r>
          </w:p>
        </w:tc>
        <w:tc>
          <w:tcPr>
            <w:tcW w:w="1038" w:type="dxa"/>
            <w:vAlign w:val="center"/>
          </w:tcPr>
          <w:p w14:paraId="15EE7E45" w14:textId="77777777" w:rsidR="0082552E" w:rsidRPr="00903174" w:rsidRDefault="0082552E" w:rsidP="00F609CC">
            <w:pPr>
              <w:pStyle w:val="TableText"/>
              <w:keepNext w:val="0"/>
              <w:jc w:val="center"/>
            </w:pPr>
            <w:r w:rsidRPr="00903174">
              <w:t>8 (8.2)</w:t>
            </w:r>
          </w:p>
        </w:tc>
        <w:tc>
          <w:tcPr>
            <w:tcW w:w="1039" w:type="dxa"/>
            <w:vAlign w:val="center"/>
          </w:tcPr>
          <w:p w14:paraId="796EE0F3" w14:textId="77777777" w:rsidR="0082552E" w:rsidRPr="00903174" w:rsidRDefault="0082552E" w:rsidP="00F609CC">
            <w:pPr>
              <w:pStyle w:val="TableText"/>
              <w:keepNext w:val="0"/>
              <w:jc w:val="center"/>
            </w:pPr>
            <w:r w:rsidRPr="00903174">
              <w:t>3 (3.1)</w:t>
            </w:r>
          </w:p>
        </w:tc>
        <w:tc>
          <w:tcPr>
            <w:tcW w:w="1038" w:type="dxa"/>
            <w:vAlign w:val="center"/>
          </w:tcPr>
          <w:p w14:paraId="2DB8B9D9" w14:textId="77777777" w:rsidR="0082552E" w:rsidRPr="00903174" w:rsidRDefault="0082552E" w:rsidP="00F609CC">
            <w:pPr>
              <w:pStyle w:val="TableText"/>
              <w:keepNext w:val="0"/>
              <w:jc w:val="center"/>
            </w:pPr>
            <w:r w:rsidRPr="00903174">
              <w:t>0 (0)</w:t>
            </w:r>
          </w:p>
        </w:tc>
        <w:tc>
          <w:tcPr>
            <w:tcW w:w="1039" w:type="dxa"/>
            <w:vAlign w:val="center"/>
          </w:tcPr>
          <w:p w14:paraId="22BE7F25" w14:textId="77777777" w:rsidR="0082552E" w:rsidRPr="00903174" w:rsidRDefault="0082552E" w:rsidP="00F609CC">
            <w:pPr>
              <w:pStyle w:val="TableText"/>
              <w:keepNext w:val="0"/>
              <w:jc w:val="center"/>
            </w:pPr>
            <w:r w:rsidRPr="00903174">
              <w:t>1 (2.3)</w:t>
            </w:r>
          </w:p>
        </w:tc>
      </w:tr>
      <w:tr w:rsidR="0082552E" w:rsidRPr="00903174" w14:paraId="1968024A" w14:textId="77777777" w:rsidTr="00EC10C8">
        <w:tc>
          <w:tcPr>
            <w:tcW w:w="2405" w:type="dxa"/>
            <w:vAlign w:val="center"/>
          </w:tcPr>
          <w:p w14:paraId="527324E1" w14:textId="77777777" w:rsidR="0082552E" w:rsidRPr="00903174" w:rsidRDefault="0082552E" w:rsidP="00F609CC">
            <w:pPr>
              <w:pStyle w:val="TableText"/>
              <w:keepNext w:val="0"/>
            </w:pPr>
            <w:r w:rsidRPr="00903174">
              <w:t>Serious cutaneous AEs</w:t>
            </w:r>
          </w:p>
        </w:tc>
        <w:tc>
          <w:tcPr>
            <w:tcW w:w="1038" w:type="dxa"/>
            <w:vAlign w:val="center"/>
          </w:tcPr>
          <w:p w14:paraId="265AA668" w14:textId="77777777" w:rsidR="0082552E" w:rsidRPr="00903174" w:rsidRDefault="0082552E" w:rsidP="00F609CC">
            <w:pPr>
              <w:pStyle w:val="TableText"/>
              <w:keepNext w:val="0"/>
              <w:jc w:val="center"/>
            </w:pPr>
            <w:r w:rsidRPr="00903174">
              <w:t>0 (0)</w:t>
            </w:r>
          </w:p>
        </w:tc>
        <w:tc>
          <w:tcPr>
            <w:tcW w:w="1039" w:type="dxa"/>
            <w:vAlign w:val="center"/>
          </w:tcPr>
          <w:p w14:paraId="7EAE9A7A" w14:textId="77777777" w:rsidR="0082552E" w:rsidRPr="00903174" w:rsidRDefault="0082552E" w:rsidP="00F609CC">
            <w:pPr>
              <w:pStyle w:val="TableText"/>
              <w:keepNext w:val="0"/>
              <w:jc w:val="center"/>
            </w:pPr>
            <w:r w:rsidRPr="00903174">
              <w:t>0 (0)</w:t>
            </w:r>
          </w:p>
        </w:tc>
        <w:tc>
          <w:tcPr>
            <w:tcW w:w="1038" w:type="dxa"/>
            <w:vAlign w:val="center"/>
          </w:tcPr>
          <w:p w14:paraId="0B692B17" w14:textId="77777777" w:rsidR="0082552E" w:rsidRPr="00903174" w:rsidRDefault="0082552E" w:rsidP="00F609CC">
            <w:pPr>
              <w:pStyle w:val="TableText"/>
              <w:keepNext w:val="0"/>
              <w:jc w:val="center"/>
            </w:pPr>
            <w:r w:rsidRPr="00903174">
              <w:t>0 (0)</w:t>
            </w:r>
          </w:p>
        </w:tc>
        <w:tc>
          <w:tcPr>
            <w:tcW w:w="1039" w:type="dxa"/>
            <w:vAlign w:val="center"/>
          </w:tcPr>
          <w:p w14:paraId="5CA6D311" w14:textId="77777777" w:rsidR="0082552E" w:rsidRPr="00903174" w:rsidRDefault="0082552E" w:rsidP="00F609CC">
            <w:pPr>
              <w:pStyle w:val="TableText"/>
              <w:keepNext w:val="0"/>
              <w:jc w:val="center"/>
            </w:pPr>
            <w:r w:rsidRPr="00903174">
              <w:t>0 (0)</w:t>
            </w:r>
          </w:p>
        </w:tc>
        <w:tc>
          <w:tcPr>
            <w:tcW w:w="1038" w:type="dxa"/>
            <w:vAlign w:val="center"/>
          </w:tcPr>
          <w:p w14:paraId="06FC187C" w14:textId="77777777" w:rsidR="0082552E" w:rsidRPr="00903174" w:rsidRDefault="0082552E" w:rsidP="00F609CC">
            <w:pPr>
              <w:pStyle w:val="TableText"/>
              <w:keepNext w:val="0"/>
              <w:jc w:val="center"/>
            </w:pPr>
            <w:r w:rsidRPr="00903174">
              <w:t>NR</w:t>
            </w:r>
          </w:p>
        </w:tc>
        <w:tc>
          <w:tcPr>
            <w:tcW w:w="1039" w:type="dxa"/>
            <w:vAlign w:val="center"/>
          </w:tcPr>
          <w:p w14:paraId="1043F057" w14:textId="77777777" w:rsidR="0082552E" w:rsidRPr="00903174" w:rsidRDefault="0082552E" w:rsidP="00F609CC">
            <w:pPr>
              <w:pStyle w:val="TableText"/>
              <w:keepNext w:val="0"/>
              <w:jc w:val="center"/>
            </w:pPr>
            <w:r w:rsidRPr="00903174">
              <w:t>NR</w:t>
            </w:r>
          </w:p>
        </w:tc>
      </w:tr>
      <w:tr w:rsidR="0082552E" w:rsidRPr="00903174" w14:paraId="7E6F9F6A" w14:textId="77777777" w:rsidTr="00EC10C8">
        <w:tc>
          <w:tcPr>
            <w:tcW w:w="2405" w:type="dxa"/>
            <w:vAlign w:val="center"/>
          </w:tcPr>
          <w:p w14:paraId="462C8BB4" w14:textId="77777777" w:rsidR="0082552E" w:rsidRPr="00903174" w:rsidRDefault="0082552E" w:rsidP="00F609CC">
            <w:pPr>
              <w:pStyle w:val="TableText"/>
              <w:keepNext w:val="0"/>
            </w:pPr>
            <w:r w:rsidRPr="00903174">
              <w:t>Cardiac disorders</w:t>
            </w:r>
          </w:p>
        </w:tc>
        <w:tc>
          <w:tcPr>
            <w:tcW w:w="1038" w:type="dxa"/>
            <w:vAlign w:val="center"/>
          </w:tcPr>
          <w:p w14:paraId="35F8426C" w14:textId="77777777" w:rsidR="0082552E" w:rsidRPr="00903174" w:rsidRDefault="0082552E" w:rsidP="00F609CC">
            <w:pPr>
              <w:pStyle w:val="TableText"/>
              <w:keepNext w:val="0"/>
              <w:jc w:val="center"/>
            </w:pPr>
            <w:r w:rsidRPr="00903174">
              <w:t>2 (1.6)</w:t>
            </w:r>
          </w:p>
        </w:tc>
        <w:tc>
          <w:tcPr>
            <w:tcW w:w="1039" w:type="dxa"/>
            <w:vAlign w:val="center"/>
          </w:tcPr>
          <w:p w14:paraId="1018EE65" w14:textId="77777777" w:rsidR="0082552E" w:rsidRPr="00903174" w:rsidRDefault="0082552E" w:rsidP="00F609CC">
            <w:pPr>
              <w:pStyle w:val="TableText"/>
              <w:keepNext w:val="0"/>
              <w:jc w:val="center"/>
            </w:pPr>
            <w:r w:rsidRPr="00903174">
              <w:t>0 (0)</w:t>
            </w:r>
          </w:p>
        </w:tc>
        <w:tc>
          <w:tcPr>
            <w:tcW w:w="1038" w:type="dxa"/>
            <w:vAlign w:val="center"/>
          </w:tcPr>
          <w:p w14:paraId="277E6545" w14:textId="77777777" w:rsidR="0082552E" w:rsidRPr="00903174" w:rsidRDefault="0082552E" w:rsidP="00F609CC">
            <w:pPr>
              <w:pStyle w:val="TableText"/>
              <w:keepNext w:val="0"/>
              <w:jc w:val="center"/>
            </w:pPr>
            <w:r w:rsidRPr="00903174">
              <w:t>0 (0)</w:t>
            </w:r>
          </w:p>
        </w:tc>
        <w:tc>
          <w:tcPr>
            <w:tcW w:w="1039" w:type="dxa"/>
            <w:vAlign w:val="center"/>
          </w:tcPr>
          <w:p w14:paraId="36FFD3F8" w14:textId="77777777" w:rsidR="0082552E" w:rsidRPr="00903174" w:rsidRDefault="0082552E" w:rsidP="00F609CC">
            <w:pPr>
              <w:pStyle w:val="TableText"/>
              <w:keepNext w:val="0"/>
              <w:jc w:val="center"/>
            </w:pPr>
            <w:r w:rsidRPr="00903174">
              <w:t>1 (1.0)</w:t>
            </w:r>
          </w:p>
        </w:tc>
        <w:tc>
          <w:tcPr>
            <w:tcW w:w="1038" w:type="dxa"/>
            <w:vAlign w:val="center"/>
          </w:tcPr>
          <w:p w14:paraId="0F73AB03" w14:textId="77777777" w:rsidR="0082552E" w:rsidRPr="00903174" w:rsidRDefault="0082552E" w:rsidP="00F609CC">
            <w:pPr>
              <w:pStyle w:val="TableText"/>
              <w:keepNext w:val="0"/>
              <w:jc w:val="center"/>
            </w:pPr>
            <w:r w:rsidRPr="00903174">
              <w:t>2 (4.7)</w:t>
            </w:r>
          </w:p>
        </w:tc>
        <w:tc>
          <w:tcPr>
            <w:tcW w:w="1039" w:type="dxa"/>
            <w:vAlign w:val="center"/>
          </w:tcPr>
          <w:p w14:paraId="6374445D" w14:textId="77777777" w:rsidR="0082552E" w:rsidRPr="00903174" w:rsidRDefault="0082552E" w:rsidP="00F609CC">
            <w:pPr>
              <w:pStyle w:val="TableText"/>
              <w:keepNext w:val="0"/>
              <w:jc w:val="center"/>
            </w:pPr>
            <w:r w:rsidRPr="00903174">
              <w:t>0 (0)</w:t>
            </w:r>
          </w:p>
        </w:tc>
      </w:tr>
      <w:tr w:rsidR="0082552E" w:rsidRPr="00903174" w14:paraId="77855D05" w14:textId="77777777" w:rsidTr="00EC10C8">
        <w:tc>
          <w:tcPr>
            <w:tcW w:w="2405" w:type="dxa"/>
            <w:vAlign w:val="center"/>
          </w:tcPr>
          <w:p w14:paraId="1B439A79" w14:textId="77777777" w:rsidR="0082552E" w:rsidRPr="00903174" w:rsidRDefault="0082552E" w:rsidP="00F609CC">
            <w:pPr>
              <w:pStyle w:val="TableText"/>
              <w:keepNext w:val="0"/>
            </w:pPr>
            <w:r w:rsidRPr="00903174">
              <w:t>Angioedema</w:t>
            </w:r>
          </w:p>
        </w:tc>
        <w:tc>
          <w:tcPr>
            <w:tcW w:w="1038" w:type="dxa"/>
            <w:vAlign w:val="center"/>
          </w:tcPr>
          <w:p w14:paraId="0B89DC44" w14:textId="77777777" w:rsidR="0082552E" w:rsidRPr="00903174" w:rsidRDefault="0082552E" w:rsidP="00F609CC">
            <w:pPr>
              <w:pStyle w:val="TableText"/>
              <w:keepNext w:val="0"/>
              <w:jc w:val="center"/>
            </w:pPr>
            <w:r w:rsidRPr="00903174">
              <w:t>3 (2.4)</w:t>
            </w:r>
          </w:p>
        </w:tc>
        <w:tc>
          <w:tcPr>
            <w:tcW w:w="1039" w:type="dxa"/>
            <w:vAlign w:val="center"/>
          </w:tcPr>
          <w:p w14:paraId="42D3DB0B" w14:textId="77777777" w:rsidR="0082552E" w:rsidRPr="00903174" w:rsidRDefault="0082552E" w:rsidP="00F609CC">
            <w:pPr>
              <w:pStyle w:val="TableText"/>
              <w:keepNext w:val="0"/>
              <w:jc w:val="center"/>
            </w:pPr>
            <w:r w:rsidRPr="00903174">
              <w:t>0 (0)</w:t>
            </w:r>
          </w:p>
        </w:tc>
        <w:tc>
          <w:tcPr>
            <w:tcW w:w="1038" w:type="dxa"/>
            <w:vAlign w:val="center"/>
          </w:tcPr>
          <w:p w14:paraId="548713A1" w14:textId="77777777" w:rsidR="0082552E" w:rsidRPr="00903174" w:rsidRDefault="0082552E" w:rsidP="00F609CC">
            <w:pPr>
              <w:pStyle w:val="TableText"/>
              <w:keepNext w:val="0"/>
              <w:jc w:val="center"/>
            </w:pPr>
            <w:r w:rsidRPr="00903174">
              <w:t>1 (1.0)</w:t>
            </w:r>
          </w:p>
        </w:tc>
        <w:tc>
          <w:tcPr>
            <w:tcW w:w="1039" w:type="dxa"/>
            <w:vAlign w:val="center"/>
          </w:tcPr>
          <w:p w14:paraId="5D08F123" w14:textId="77777777" w:rsidR="0082552E" w:rsidRPr="00903174" w:rsidRDefault="0082552E" w:rsidP="00F609CC">
            <w:pPr>
              <w:pStyle w:val="TableText"/>
              <w:keepNext w:val="0"/>
              <w:jc w:val="center"/>
            </w:pPr>
            <w:r w:rsidRPr="00903174">
              <w:t>0 (0)</w:t>
            </w:r>
          </w:p>
        </w:tc>
        <w:tc>
          <w:tcPr>
            <w:tcW w:w="1038" w:type="dxa"/>
            <w:vAlign w:val="center"/>
          </w:tcPr>
          <w:p w14:paraId="3B17A9E6" w14:textId="77777777" w:rsidR="0082552E" w:rsidRPr="00903174" w:rsidRDefault="0082552E" w:rsidP="00F609CC">
            <w:pPr>
              <w:pStyle w:val="TableText"/>
              <w:keepNext w:val="0"/>
              <w:jc w:val="center"/>
            </w:pPr>
            <w:r w:rsidRPr="00903174">
              <w:t>NR</w:t>
            </w:r>
          </w:p>
        </w:tc>
        <w:tc>
          <w:tcPr>
            <w:tcW w:w="1039" w:type="dxa"/>
            <w:vAlign w:val="center"/>
          </w:tcPr>
          <w:p w14:paraId="15DDC2C3" w14:textId="77777777" w:rsidR="0082552E" w:rsidRPr="00903174" w:rsidRDefault="0082552E" w:rsidP="00F609CC">
            <w:pPr>
              <w:pStyle w:val="TableText"/>
              <w:keepNext w:val="0"/>
              <w:jc w:val="center"/>
            </w:pPr>
            <w:r w:rsidRPr="00903174">
              <w:t>NR</w:t>
            </w:r>
          </w:p>
        </w:tc>
      </w:tr>
    </w:tbl>
    <w:p w14:paraId="524E9322" w14:textId="77777777" w:rsidR="0082552E" w:rsidRPr="00903174" w:rsidRDefault="0082552E" w:rsidP="0082552E">
      <w:pPr>
        <w:pStyle w:val="TableFigureFooter"/>
        <w:rPr>
          <w:sz w:val="20"/>
        </w:rPr>
      </w:pPr>
      <w:r w:rsidRPr="00903174">
        <w:t>Source: Table 75, pp148-149; Table 77, pp151-152</w:t>
      </w:r>
      <w:r w:rsidR="008912ED" w:rsidRPr="00903174">
        <w:t>;</w:t>
      </w:r>
      <w:r w:rsidRPr="00903174">
        <w:t xml:space="preserve"> </w:t>
      </w:r>
      <w:r w:rsidR="008912ED" w:rsidRPr="00903174">
        <w:t>Table 79, pp154-155 of the submission</w:t>
      </w:r>
      <w:r w:rsidRPr="00903174">
        <w:t>; Trial 301 and 302 clinical study reports.</w:t>
      </w:r>
    </w:p>
    <w:p w14:paraId="2B6F652E" w14:textId="77777777" w:rsidR="0082552E" w:rsidRPr="00903174" w:rsidRDefault="0082552E" w:rsidP="0082552E">
      <w:pPr>
        <w:pStyle w:val="TableFigureFooter"/>
        <w:rPr>
          <w:rFonts w:eastAsia="Calibri"/>
        </w:rPr>
      </w:pPr>
      <w:r w:rsidRPr="00903174">
        <w:rPr>
          <w:rFonts w:eastAsia="Calibri"/>
        </w:rPr>
        <w:t>Abbreviations: AE, adverse event; ECU, eculizumab; n, number of participants reporting data; N, total participants in group; NR, not reported; RAV, ravulizumab; SAE, serious adverse events.</w:t>
      </w:r>
    </w:p>
    <w:p w14:paraId="6B8969C7" w14:textId="77777777" w:rsidR="0082552E" w:rsidRPr="00903174" w:rsidRDefault="0082552E" w:rsidP="0082552E">
      <w:pPr>
        <w:pStyle w:val="TableFigureFooter"/>
        <w:rPr>
          <w:rFonts w:eastAsia="Calibri"/>
        </w:rPr>
      </w:pPr>
      <w:r w:rsidRPr="00903174">
        <w:rPr>
          <w:rFonts w:eastAsia="Calibri"/>
          <w:vertAlign w:val="superscript"/>
        </w:rPr>
        <w:t>a</w:t>
      </w:r>
      <w:r w:rsidRPr="00903174">
        <w:rPr>
          <w:rFonts w:eastAsia="Calibri"/>
        </w:rPr>
        <w:t xml:space="preserve"> Patient withdrew during extension period of trial. Adverse event and death (lung cancer) was not attributable to the study drug.</w:t>
      </w:r>
    </w:p>
    <w:p w14:paraId="11ABEFDB" w14:textId="77777777" w:rsidR="0082552E" w:rsidRPr="00903174" w:rsidRDefault="0082552E" w:rsidP="0082552E">
      <w:pPr>
        <w:pStyle w:val="TableFigureFooter"/>
        <w:rPr>
          <w:color w:val="0066FF"/>
        </w:rPr>
      </w:pPr>
      <w:r w:rsidRPr="00903174">
        <w:rPr>
          <w:rFonts w:eastAsia="Calibri"/>
          <w:vertAlign w:val="superscript"/>
        </w:rPr>
        <w:t>b</w:t>
      </w:r>
      <w:r w:rsidRPr="00903174">
        <w:rPr>
          <w:rFonts w:eastAsia="Calibri"/>
        </w:rPr>
        <w:t> classed as definitely, probably, or possibly related to study drug.</w:t>
      </w:r>
      <w:r w:rsidRPr="00903174">
        <w:rPr>
          <w:color w:val="0066FF"/>
        </w:rPr>
        <w:t xml:space="preserve"> </w:t>
      </w:r>
    </w:p>
    <w:p w14:paraId="0C1D6214" w14:textId="77777777" w:rsidR="0082552E" w:rsidRPr="00903174" w:rsidRDefault="0082552E" w:rsidP="0082552E">
      <w:pPr>
        <w:pStyle w:val="TableFigureFooter"/>
        <w:rPr>
          <w:color w:val="0066FF"/>
        </w:rPr>
      </w:pPr>
    </w:p>
    <w:p w14:paraId="5E48519C" w14:textId="77777777" w:rsidR="008912ED" w:rsidRPr="00903174" w:rsidRDefault="008912ED" w:rsidP="00415038">
      <w:pPr>
        <w:pStyle w:val="ExecSumBodyText"/>
        <w:numPr>
          <w:ilvl w:val="1"/>
          <w:numId w:val="1"/>
        </w:numPr>
      </w:pPr>
      <w:r w:rsidRPr="00903174">
        <w:t>In Trial 301, adverse events were similar across treatment arms, with headache (36% versus 33% for ravulizumab and eculizumab, respectively), upper respiratory tract infections (22% vs 36%) and pyrexia (5% vs 11%) the most frequently reported adverse events. There were no adverse events leading to withdrawal or death during the primary evaluation period. One eculizumab-treated patient withdrew during the extension period of the trial and subsequently died from an unrelated condition (lung cancer). In Trial 302, the most frequently reported adverse events were headache (27% versus 17% for ravulizumab and eculizumab, respectively), nasopharyngitis (22% vs 20%) and upper respiratory tract infections (19% vs 10%). The percentage of patients with adverse events assessed as related to the study drug was higher in the ravulizumab group than in the eculizumab group (24.7% vs 14.3%). No patients died and no patients discontinued from the study due to adverse events during the primary evaluation period. The results from the ravulizumab trials suggested that ravulizumab has a similar safety profile to eculizumab.</w:t>
      </w:r>
    </w:p>
    <w:p w14:paraId="176FBE4B" w14:textId="77777777" w:rsidR="005D26B4" w:rsidRPr="00903174" w:rsidRDefault="008912ED" w:rsidP="00415038">
      <w:pPr>
        <w:pStyle w:val="ExecSumBodyText"/>
        <w:numPr>
          <w:ilvl w:val="1"/>
          <w:numId w:val="1"/>
        </w:numPr>
      </w:pPr>
      <w:r w:rsidRPr="00903174">
        <w:t>In the TRIUMPH trial, the most frequently reported adverse events were headaches (44% vs 27% of eculizumab and placebo treated patients, respectively), nasopharyngitis (23% vs 18%), upper respiratory tract infection (14% vs 23%) and back pain (19% vs 9%). Fatigue was reported by more eculizumab-treated patients (11.6%) than placebo treated patients (2.3%). One eculizumab patient withdrew from the trial due to pregnancy</w:t>
      </w:r>
      <w:r w:rsidR="00B4390A" w:rsidRPr="00903174">
        <w:t xml:space="preserve">. </w:t>
      </w:r>
      <w:r w:rsidRPr="00903174">
        <w:t xml:space="preserve">There were no deaths during the study. The submission did not present an indirect comparison of safety between ravulizumab and best supportive </w:t>
      </w:r>
      <w:r w:rsidRPr="00903174">
        <w:lastRenderedPageBreak/>
        <w:t>care, but assumed that the likely inferiority of eculizumab to best supportive care in terms of safety would also apply to ravulizumab. Given the similar mechanism of action between ravulizumab and eculizumab, and similar patterns of adverse events reported in the ravulizumab and eculizumab trials</w:t>
      </w:r>
      <w:r w:rsidRPr="006C1447">
        <w:t>, th</w:t>
      </w:r>
      <w:r w:rsidR="00115C50" w:rsidRPr="006C1447">
        <w:t>e ESC considered this</w:t>
      </w:r>
      <w:r w:rsidRPr="006C1447">
        <w:t xml:space="preserve"> assumption</w:t>
      </w:r>
      <w:r w:rsidRPr="00903174">
        <w:t xml:space="preserve"> was reasonable.</w:t>
      </w:r>
    </w:p>
    <w:p w14:paraId="34E3F6F3" w14:textId="77777777" w:rsidR="00897EAA" w:rsidRPr="00903174" w:rsidRDefault="00897EAA" w:rsidP="00415038">
      <w:pPr>
        <w:pStyle w:val="ExecSumBodyText"/>
        <w:numPr>
          <w:ilvl w:val="1"/>
          <w:numId w:val="1"/>
        </w:numPr>
      </w:pPr>
      <w:r w:rsidRPr="00903174">
        <w:t>An expanded assessment of harms identified important risks including meningococcal infection, which is directly associated with ravulizumab’s mode of action. However, long-term post marketing experience with eculizumab shows stable overall reporting rates of meningococcal infections (0.3-0.5 per 100 patient years), suggesting risk minimisation measures (meningococcal vaccination) appear to be appropriate and effective in reducing this risk. Important potential risks include serious haemolysis after drug discontinuation in PNH patients, immunogenicity, serious infections and malignancies and hematologic abnormalities in PNH patients. There is no information available on use in pregnant and breast-feeding women.</w:t>
      </w:r>
    </w:p>
    <w:p w14:paraId="2885887E" w14:textId="77777777" w:rsidR="007F1017" w:rsidRPr="00903174" w:rsidRDefault="007F1017" w:rsidP="00D86231">
      <w:pPr>
        <w:pStyle w:val="3-SubsectionHeading"/>
      </w:pPr>
      <w:bookmarkStart w:id="21" w:name="_Toc22897643"/>
      <w:bookmarkStart w:id="22" w:name="_Toc40702923"/>
      <w:r w:rsidRPr="00903174">
        <w:t>Benefits/harms</w:t>
      </w:r>
      <w:bookmarkEnd w:id="21"/>
      <w:bookmarkEnd w:id="22"/>
    </w:p>
    <w:p w14:paraId="25D216CD" w14:textId="77777777" w:rsidR="000C1F96" w:rsidRPr="00903174" w:rsidRDefault="000C1F96" w:rsidP="00415038">
      <w:pPr>
        <w:pStyle w:val="ExecSumBodyText"/>
        <w:numPr>
          <w:ilvl w:val="1"/>
          <w:numId w:val="1"/>
        </w:numPr>
        <w:rPr>
          <w:color w:val="000000" w:themeColor="text1"/>
        </w:rPr>
      </w:pPr>
      <w:r w:rsidRPr="00903174">
        <w:rPr>
          <w:snapToGrid/>
          <w:color w:val="000000" w:themeColor="text1"/>
        </w:rPr>
        <w:t xml:space="preserve">A benefits/harms summary for the comparison of ravulizumab and eculizumab was not presented as the clinical claim was based on non-inferiority. </w:t>
      </w:r>
      <w:r w:rsidR="0015345D" w:rsidRPr="00903174">
        <w:rPr>
          <w:snapToGrid/>
          <w:color w:val="000000" w:themeColor="text1"/>
        </w:rPr>
        <w:t>T</w:t>
      </w:r>
      <w:r w:rsidRPr="00903174">
        <w:rPr>
          <w:snapToGrid/>
          <w:color w:val="000000" w:themeColor="text1"/>
        </w:rPr>
        <w:t>he submission</w:t>
      </w:r>
      <w:r w:rsidR="0015345D" w:rsidRPr="00903174">
        <w:rPr>
          <w:snapToGrid/>
          <w:color w:val="000000" w:themeColor="text1"/>
        </w:rPr>
        <w:t>’s</w:t>
      </w:r>
      <w:r w:rsidRPr="00903174">
        <w:rPr>
          <w:snapToGrid/>
          <w:color w:val="000000" w:themeColor="text1"/>
        </w:rPr>
        <w:t xml:space="preserve"> claim</w:t>
      </w:r>
      <w:r w:rsidR="0015345D" w:rsidRPr="00903174">
        <w:rPr>
          <w:snapToGrid/>
          <w:color w:val="000000" w:themeColor="text1"/>
        </w:rPr>
        <w:t xml:space="preserve"> of</w:t>
      </w:r>
      <w:r w:rsidRPr="00903174">
        <w:rPr>
          <w:snapToGrid/>
          <w:color w:val="000000" w:themeColor="text1"/>
        </w:rPr>
        <w:t xml:space="preserve"> superior efficacy for ravulizumab to eculizumab for the outcome of breakthrough </w:t>
      </w:r>
      <w:r w:rsidR="0015345D" w:rsidRPr="00903174">
        <w:rPr>
          <w:snapToGrid/>
          <w:color w:val="000000" w:themeColor="text1"/>
        </w:rPr>
        <w:t>haemolysis relied on a meta-analysis of the two ravulizumab trials that may not be appropriate given differences in the trial populations (treatment-naïve vs treatment experienced). Further, t</w:t>
      </w:r>
      <w:r w:rsidR="0015345D" w:rsidRPr="00903174">
        <w:t xml:space="preserve">he generalisability of these results to the PBS population is uncertain given that no adjustments of up to 2 days (or a higher dose) </w:t>
      </w:r>
      <w:r w:rsidR="00E96BB7" w:rsidRPr="00903174">
        <w:t xml:space="preserve">were </w:t>
      </w:r>
      <w:r w:rsidR="0015345D" w:rsidRPr="00903174">
        <w:t xml:space="preserve">permitted </w:t>
      </w:r>
      <w:r w:rsidR="00E96BB7" w:rsidRPr="00903174">
        <w:t xml:space="preserve">in the trials </w:t>
      </w:r>
      <w:r w:rsidR="0015345D" w:rsidRPr="00903174">
        <w:t>for eculizumab-treated patients to manage breakthrough haemolysis</w:t>
      </w:r>
      <w:r w:rsidRPr="00903174">
        <w:rPr>
          <w:snapToGrid/>
          <w:color w:val="000000" w:themeColor="text1"/>
        </w:rPr>
        <w:t xml:space="preserve">. </w:t>
      </w:r>
    </w:p>
    <w:p w14:paraId="07C185D3" w14:textId="77777777" w:rsidR="00FC1884" w:rsidRPr="00903174" w:rsidRDefault="00DE0769" w:rsidP="00DB64B8">
      <w:pPr>
        <w:pStyle w:val="ExecSumBodyText"/>
        <w:numPr>
          <w:ilvl w:val="1"/>
          <w:numId w:val="4"/>
        </w:numPr>
        <w:rPr>
          <w:color w:val="000000" w:themeColor="text1"/>
        </w:rPr>
      </w:pPr>
      <w:r w:rsidRPr="00903174">
        <w:rPr>
          <w:snapToGrid/>
          <w:color w:val="000000" w:themeColor="text1"/>
        </w:rPr>
        <w:t>A benefits/harms summary for the comparison of ravulizumab and best supportive care was not presented as current data are inadequate to reliably quantify the comparative benefits and harms of ravulizumab and best supportive care.</w:t>
      </w:r>
    </w:p>
    <w:p w14:paraId="2637B0D8" w14:textId="77777777" w:rsidR="00B60939" w:rsidRPr="00903174" w:rsidRDefault="00B60939" w:rsidP="00E9094A">
      <w:pPr>
        <w:pStyle w:val="3-SubsectionHeading"/>
      </w:pPr>
      <w:bookmarkStart w:id="23" w:name="_Toc22897644"/>
      <w:bookmarkStart w:id="24" w:name="_Toc40702924"/>
      <w:r w:rsidRPr="00903174">
        <w:t>Clinical claim</w:t>
      </w:r>
      <w:bookmarkEnd w:id="23"/>
      <w:bookmarkEnd w:id="24"/>
    </w:p>
    <w:p w14:paraId="418802FE" w14:textId="77777777" w:rsidR="008912ED" w:rsidRPr="00903174" w:rsidRDefault="008912ED" w:rsidP="00415038">
      <w:pPr>
        <w:pStyle w:val="ExecSumBodyText"/>
        <w:numPr>
          <w:ilvl w:val="1"/>
          <w:numId w:val="1"/>
        </w:numPr>
      </w:pPr>
      <w:r w:rsidRPr="00903174">
        <w:t>The submission described ravulizumab, administered every 8 weeks, as non-inferior in terms of effectiveness and non-inferior in terms of safety compared to eculizumab, administered every 2 weeks; but that ravulizumab is superior in terms of reduction in risk of breakthrough haemolysis compared to eculizumab.</w:t>
      </w:r>
      <w:r w:rsidRPr="00903174">
        <w:rPr>
          <w:i/>
        </w:rPr>
        <w:t xml:space="preserve"> </w:t>
      </w:r>
    </w:p>
    <w:p w14:paraId="19E7B0C7" w14:textId="77777777" w:rsidR="004E2A16" w:rsidRPr="00903174" w:rsidRDefault="004E2A16" w:rsidP="00FC5D18">
      <w:pPr>
        <w:pStyle w:val="ExecSumBodyText"/>
        <w:numPr>
          <w:ilvl w:val="1"/>
          <w:numId w:val="1"/>
        </w:numPr>
      </w:pPr>
      <w:r w:rsidRPr="00903174">
        <w:t xml:space="preserve">The ESC agreed with the clinical claim that ravulizumab, administered every 8 weeks, </w:t>
      </w:r>
      <w:r w:rsidR="00EA10D5" w:rsidRPr="00903174">
        <w:t>and was</w:t>
      </w:r>
      <w:r w:rsidRPr="00903174">
        <w:t xml:space="preserve"> likely to be non-inferior </w:t>
      </w:r>
      <w:r w:rsidR="00FC5D18" w:rsidRPr="00903174">
        <w:t xml:space="preserve">based on surrogate outcomes and safety </w:t>
      </w:r>
      <w:r w:rsidRPr="00903174">
        <w:t>compared to eculizumab.</w:t>
      </w:r>
    </w:p>
    <w:p w14:paraId="68758859" w14:textId="77777777" w:rsidR="00A87B91" w:rsidRPr="00903174" w:rsidRDefault="008912ED" w:rsidP="00A87B91">
      <w:pPr>
        <w:pStyle w:val="ExecSumBodyText"/>
        <w:numPr>
          <w:ilvl w:val="1"/>
          <w:numId w:val="1"/>
        </w:numPr>
      </w:pPr>
      <w:r w:rsidRPr="00903174">
        <w:t>The therapeutic conclusion of superior efficacy for ravulizumab in terms of reduction in the risk of breakthrough haemolysis was based on the met</w:t>
      </w:r>
      <w:r w:rsidR="006155AD" w:rsidRPr="00903174">
        <w:t>a-analysis of Trials 301 and 302, which</w:t>
      </w:r>
      <w:r w:rsidR="006155AD" w:rsidRPr="00903174">
        <w:rPr>
          <w:color w:val="000000" w:themeColor="text1"/>
        </w:rPr>
        <w:t xml:space="preserve"> may not be appropriate given differences in the trial populations (treatment-naïve vs treatment experienced). </w:t>
      </w:r>
      <w:r w:rsidRPr="00903174">
        <w:t xml:space="preserve">These trials were powered to test non-inferiority based on the primary outcomes (transfusion avoidance and LDH </w:t>
      </w:r>
      <w:r w:rsidRPr="00903174">
        <w:lastRenderedPageBreak/>
        <w:t xml:space="preserve">normalisation in Trial 301, and </w:t>
      </w:r>
      <w:r w:rsidR="00E96BB7" w:rsidRPr="00903174">
        <w:t>percent</w:t>
      </w:r>
      <w:r w:rsidRPr="00903174">
        <w:t xml:space="preserve"> change in LDH from baseline in Trial 301). The individual trials may not have had sufficient power to detect a statistically significant difference between ravulizumab and eculizumab in terms of breakthrough haemolysis. There was a numerical difference in favour of ravulizumab in the number of BTH events, and in the number of events attributable to serum free C5 concentrations rather than other causes such as infection. However, the </w:t>
      </w:r>
      <w:r w:rsidR="00E65C3D" w:rsidRPr="00903174">
        <w:t>evaluation</w:t>
      </w:r>
      <w:r w:rsidR="00DF6CEF" w:rsidRPr="00903174">
        <w:t xml:space="preserve"> suggested</w:t>
      </w:r>
      <w:r w:rsidR="00E65C3D" w:rsidRPr="00903174">
        <w:t xml:space="preserve"> </w:t>
      </w:r>
      <w:r w:rsidRPr="00903174">
        <w:t>generalisability of these results to the PBS population is uncertain given eculizumab treatment was given every 14 days in Trials 301 and 302, meaning that there were no adjustments of up to 2 days (or a higher dose) permitted to manage breakthrough haemolysis.</w:t>
      </w:r>
      <w:r w:rsidR="006155AD" w:rsidRPr="00903174">
        <w:rPr>
          <w:color w:val="000000" w:themeColor="text1"/>
        </w:rPr>
        <w:t xml:space="preserve"> </w:t>
      </w:r>
      <w:r w:rsidR="00497FE6" w:rsidRPr="00903174">
        <w:rPr>
          <w:color w:val="000000" w:themeColor="text1"/>
        </w:rPr>
        <w:t>The ESC considered t</w:t>
      </w:r>
      <w:r w:rsidR="0075618C" w:rsidRPr="00903174">
        <w:rPr>
          <w:color w:val="000000" w:themeColor="text1"/>
        </w:rPr>
        <w:t xml:space="preserve">he </w:t>
      </w:r>
      <w:r w:rsidR="0004020E" w:rsidRPr="00903174">
        <w:rPr>
          <w:color w:val="000000" w:themeColor="text1"/>
        </w:rPr>
        <w:t xml:space="preserve">results are likely to be generalisable to Australian clinical practice if eculizumab for PNH remains on the LSDP as dose increases are not easily accessible on the LSDP and are at the discretion of the </w:t>
      </w:r>
      <w:r w:rsidR="0004020E" w:rsidRPr="00903174">
        <w:t>Minister</w:t>
      </w:r>
      <w:r w:rsidR="00B4390A" w:rsidRPr="00903174">
        <w:t xml:space="preserve">. </w:t>
      </w:r>
      <w:r w:rsidR="00EC05B9" w:rsidRPr="00903174">
        <w:t xml:space="preserve">However, this claim may </w:t>
      </w:r>
      <w:r w:rsidR="00EA10D5" w:rsidRPr="00903174">
        <w:t>no longer be relevant if eculizu</w:t>
      </w:r>
      <w:r w:rsidR="00EC05B9" w:rsidRPr="00903174">
        <w:t>mab were subsidised on the PBS for PNH, as dose adjustments would be possible for eculizumab</w:t>
      </w:r>
      <w:r w:rsidR="0004020E" w:rsidRPr="00903174">
        <w:t>.</w:t>
      </w:r>
    </w:p>
    <w:p w14:paraId="7FFCB829" w14:textId="77777777" w:rsidR="00E65C3D" w:rsidRPr="00903174" w:rsidRDefault="00E65C3D" w:rsidP="00A87B91">
      <w:pPr>
        <w:pStyle w:val="ExecSumBodyText"/>
        <w:numPr>
          <w:ilvl w:val="1"/>
          <w:numId w:val="1"/>
        </w:numPr>
      </w:pPr>
      <w:r w:rsidRPr="00903174">
        <w:t>The ESC noted there was no significant difference in the clinical outcomes reported in any of the individual clinical trials (Table 7) and the reported clinically significant difference in BTH was based on the meta-analysis of Trials 301 and 302</w:t>
      </w:r>
      <w:r w:rsidR="00B4390A" w:rsidRPr="00903174">
        <w:t xml:space="preserve">. </w:t>
      </w:r>
    </w:p>
    <w:p w14:paraId="1D320A70" w14:textId="77777777" w:rsidR="00E65C3D" w:rsidRPr="00903174" w:rsidRDefault="00E65C3D" w:rsidP="00E65C3D">
      <w:pPr>
        <w:pStyle w:val="ExecSumBodyText"/>
        <w:numPr>
          <w:ilvl w:val="1"/>
          <w:numId w:val="1"/>
        </w:numPr>
      </w:pPr>
      <w:r w:rsidRPr="00903174">
        <w:t>The ESC advised BTH alone, marked by an increase in LDH levels is not clinically significant unless it is associated with other clinical features such as fatigue and the requirement for transfusion. The ESC considered transfusion avoidance, reduction in mic</w:t>
      </w:r>
      <w:r w:rsidR="00346D24">
        <w:t>r</w:t>
      </w:r>
      <w:r w:rsidRPr="00903174">
        <w:t xml:space="preserve">othrombosis, macrothrombosis and stabilisation of haemoglobin levels are more clinically significant outcomes than BTH measured by LDH stabilisation. </w:t>
      </w:r>
    </w:p>
    <w:p w14:paraId="23C722D0" w14:textId="77777777" w:rsidR="00F21043" w:rsidRPr="00903174" w:rsidRDefault="00C802EC" w:rsidP="006A07B7">
      <w:pPr>
        <w:pStyle w:val="ExecSumBodyText"/>
        <w:numPr>
          <w:ilvl w:val="1"/>
          <w:numId w:val="1"/>
        </w:numPr>
      </w:pPr>
      <w:r w:rsidRPr="00903174">
        <w:t>G</w:t>
      </w:r>
      <w:r w:rsidR="00F21043" w:rsidRPr="00903174">
        <w:t xml:space="preserve">iven the reduced clinical significance of BTH compared to other clinically meaningful outcomes and the </w:t>
      </w:r>
      <w:r w:rsidR="00EA10D5" w:rsidRPr="00903174">
        <w:t>uncertainty</w:t>
      </w:r>
      <w:r w:rsidR="00F21043" w:rsidRPr="00903174">
        <w:t xml:space="preserve"> of the robustness of th</w:t>
      </w:r>
      <w:r w:rsidR="00C97CD3" w:rsidRPr="00903174">
        <w:t>e</w:t>
      </w:r>
      <w:r w:rsidR="00F21043" w:rsidRPr="00903174">
        <w:t xml:space="preserve"> meta-analysed results</w:t>
      </w:r>
      <w:r w:rsidR="004E2A16" w:rsidRPr="00903174">
        <w:t xml:space="preserve">, </w:t>
      </w:r>
      <w:r w:rsidR="00497FE6" w:rsidRPr="00903174">
        <w:t>the ESC considered that ravulizumab was non-inferior in regards to BTH to eculizumab</w:t>
      </w:r>
      <w:r w:rsidR="00C97CD3" w:rsidRPr="00903174">
        <w:t>.</w:t>
      </w:r>
      <w:r w:rsidR="004E2A16" w:rsidRPr="00903174">
        <w:t xml:space="preserve"> </w:t>
      </w:r>
    </w:p>
    <w:p w14:paraId="298F3AEA" w14:textId="77777777" w:rsidR="008912ED" w:rsidRPr="00903174" w:rsidRDefault="00BC1AF8" w:rsidP="00F00209">
      <w:pPr>
        <w:pStyle w:val="ExecSumBodyText"/>
        <w:numPr>
          <w:ilvl w:val="1"/>
          <w:numId w:val="1"/>
        </w:numPr>
      </w:pPr>
      <w:r w:rsidRPr="00903174">
        <w:t>T</w:t>
      </w:r>
      <w:r w:rsidR="008912ED" w:rsidRPr="00903174">
        <w:t xml:space="preserve">he submission described ravulizumab as superior in terms of effectiveness and inferior in terms of safety compared to best supportive care. </w:t>
      </w:r>
      <w:r w:rsidR="00131FC6" w:rsidRPr="00903174">
        <w:t>The ESC noted the clinical claim against BSC was indirect, made via a comparison of eculizumab</w:t>
      </w:r>
      <w:r w:rsidR="00C97CD3" w:rsidRPr="00903174">
        <w:t xml:space="preserve"> with BSC</w:t>
      </w:r>
      <w:r w:rsidR="00131FC6" w:rsidRPr="00903174">
        <w:t>.</w:t>
      </w:r>
      <w:r w:rsidR="00131FC6" w:rsidRPr="00903174">
        <w:rPr>
          <w:i/>
        </w:rPr>
        <w:t xml:space="preserve"> </w:t>
      </w:r>
      <w:r w:rsidR="008912ED" w:rsidRPr="00903174">
        <w:t xml:space="preserve">The robustness of the indirect comparison was hindered by the limited number of comparable outcomes available between the trials, and issues of exchangeability between the ravulizumab trials and the TRIUMPH trial. However, given ravulizumab is a pharmacological analogue of eculizumab, and results of the direct comparison with eculizumab suggest non-inferior efficacy of ravulizumab to eculizumab, </w:t>
      </w:r>
      <w:r w:rsidR="00E65C3D" w:rsidRPr="00903174">
        <w:t>the E</w:t>
      </w:r>
      <w:r w:rsidR="00414BF7" w:rsidRPr="00903174">
        <w:t>SC</w:t>
      </w:r>
      <w:r w:rsidR="00E65C3D" w:rsidRPr="00903174">
        <w:t xml:space="preserve"> considered it </w:t>
      </w:r>
      <w:r w:rsidR="008912ED" w:rsidRPr="00903174">
        <w:t xml:space="preserve">may be reasonable to assume superior efficacy of ravulizumab to </w:t>
      </w:r>
      <w:r w:rsidR="00C802EC" w:rsidRPr="00903174">
        <w:t>BSC</w:t>
      </w:r>
      <w:r w:rsidR="00F00209" w:rsidRPr="00903174">
        <w:t xml:space="preserve"> in terms of the outcomes reported (transfusion avoidance, change in FACIT-fatigue total score, and percent change from baseline in LDH levels at Week 26)</w:t>
      </w:r>
      <w:r w:rsidR="008912ED" w:rsidRPr="00903174">
        <w:t>.</w:t>
      </w:r>
    </w:p>
    <w:p w14:paraId="76D3E312" w14:textId="77777777" w:rsidR="008912ED" w:rsidRPr="00903174" w:rsidRDefault="008912ED" w:rsidP="00415038">
      <w:pPr>
        <w:pStyle w:val="ExecSumBodyText"/>
        <w:numPr>
          <w:ilvl w:val="1"/>
          <w:numId w:val="1"/>
        </w:numPr>
      </w:pPr>
      <w:r w:rsidRPr="00903174">
        <w:t xml:space="preserve">However, it may not be reasonable to assume that the superior survival benefit previously accepted for eculizumab compared to </w:t>
      </w:r>
      <w:r w:rsidR="00940C7B" w:rsidRPr="00903174">
        <w:t>BSC</w:t>
      </w:r>
      <w:r w:rsidRPr="00903174">
        <w:t xml:space="preserve"> can be applied to ravulizumab compared to best supportive care, in the absence of any long term survival data for ravulizumab. </w:t>
      </w:r>
      <w:r w:rsidR="008843FF" w:rsidRPr="00903174">
        <w:t>Moreover, t</w:t>
      </w:r>
      <w:r w:rsidRPr="00903174">
        <w:t>he magnitude of any survival benefit of</w:t>
      </w:r>
      <w:r w:rsidR="0009247F" w:rsidRPr="00903174">
        <w:t xml:space="preserve"> eculizumab </w:t>
      </w:r>
      <w:r w:rsidR="0022111E" w:rsidRPr="00903174">
        <w:lastRenderedPageBreak/>
        <w:t xml:space="preserve">compared to BSC </w:t>
      </w:r>
      <w:r w:rsidR="00895DEE" w:rsidRPr="00903174">
        <w:t>is itself</w:t>
      </w:r>
      <w:r w:rsidRPr="00903174">
        <w:t xml:space="preserve"> unclear, given the lack of contemporary data for </w:t>
      </w:r>
      <w:r w:rsidR="00940C7B" w:rsidRPr="00903174">
        <w:t xml:space="preserve">BSC </w:t>
      </w:r>
      <w:r w:rsidRPr="00903174">
        <w:t xml:space="preserve">survival outcomes. </w:t>
      </w:r>
    </w:p>
    <w:p w14:paraId="39BB0EFE" w14:textId="77777777" w:rsidR="005F7588" w:rsidRPr="00903174" w:rsidRDefault="008912ED" w:rsidP="00DB64B8">
      <w:pPr>
        <w:pStyle w:val="ExecSumBodyText"/>
        <w:numPr>
          <w:ilvl w:val="1"/>
          <w:numId w:val="4"/>
        </w:numPr>
        <w:rPr>
          <w:rFonts w:eastAsia="Calibri"/>
        </w:rPr>
      </w:pPr>
      <w:r w:rsidRPr="00903174">
        <w:t xml:space="preserve">The therapeutic conclusion of inferior safety of ravulizumab to </w:t>
      </w:r>
      <w:r w:rsidR="00940C7B" w:rsidRPr="00903174">
        <w:t>BSC</w:t>
      </w:r>
      <w:r w:rsidRPr="00903174">
        <w:t xml:space="preserve"> was based on an assumption that the likely inferiority of eculizumab to </w:t>
      </w:r>
      <w:r w:rsidR="00940C7B" w:rsidRPr="00903174">
        <w:t>BSC</w:t>
      </w:r>
      <w:r w:rsidRPr="00903174">
        <w:t xml:space="preserve"> in terms of safety would also apply to ravulizumab. Given the similar mechanism of action between ravulizumab and eculizumab, and similar patterns of adverse events reported in the ravulizumab and eculizumab trials, this assumption was reasonable.</w:t>
      </w:r>
    </w:p>
    <w:p w14:paraId="583AFE03" w14:textId="77777777" w:rsidR="00D73B2A" w:rsidRPr="00903174" w:rsidRDefault="00D73B2A" w:rsidP="00D73B2A">
      <w:pPr>
        <w:pStyle w:val="ExecSumBodyText"/>
        <w:numPr>
          <w:ilvl w:val="1"/>
          <w:numId w:val="4"/>
        </w:numPr>
        <w:rPr>
          <w:rFonts w:eastAsia="Calibri"/>
        </w:rPr>
      </w:pPr>
      <w:r w:rsidRPr="00903174">
        <w:t>The PBAC considered that the claim of superior comparative effectiveness compared to BSC and non-inferior comparative effectiveness to eculizumab was reasonable</w:t>
      </w:r>
      <w:r w:rsidR="00A87B91" w:rsidRPr="00903174">
        <w:t>, although it was uncertain whether a patient’s lifespan would be substantially extended as a direct consequence of the use of ravulizumab</w:t>
      </w:r>
      <w:r w:rsidRPr="00903174">
        <w:rPr>
          <w:rFonts w:eastAsia="Calibri"/>
        </w:rPr>
        <w:t xml:space="preserve">. </w:t>
      </w:r>
    </w:p>
    <w:p w14:paraId="6A2FADD3" w14:textId="77777777" w:rsidR="00D73B2A" w:rsidRPr="00903174" w:rsidRDefault="00D73B2A" w:rsidP="00D73B2A">
      <w:pPr>
        <w:pStyle w:val="ExecSumBodyText"/>
        <w:numPr>
          <w:ilvl w:val="1"/>
          <w:numId w:val="4"/>
        </w:numPr>
        <w:rPr>
          <w:rFonts w:eastAsia="Calibri"/>
        </w:rPr>
      </w:pPr>
      <w:r w:rsidRPr="00903174">
        <w:rPr>
          <w:rFonts w:eastAsia="Calibri"/>
        </w:rPr>
        <w:t xml:space="preserve">The PBAC considered the claim of inferior safety compared to BSC and non-inferior safety compared to eculizumab was reasonable. </w:t>
      </w:r>
    </w:p>
    <w:p w14:paraId="422C77B4" w14:textId="77777777" w:rsidR="00B60939" w:rsidRPr="00903174" w:rsidRDefault="00B60939" w:rsidP="00E9094A">
      <w:pPr>
        <w:pStyle w:val="3-SubsectionHeading"/>
      </w:pPr>
      <w:bookmarkStart w:id="25" w:name="_Toc22897645"/>
      <w:bookmarkStart w:id="26" w:name="_Toc40702925"/>
      <w:r w:rsidRPr="00903174">
        <w:t>Economic analysis</w:t>
      </w:r>
      <w:bookmarkEnd w:id="25"/>
      <w:bookmarkEnd w:id="26"/>
      <w:r w:rsidR="00491B3A" w:rsidRPr="00903174">
        <w:t xml:space="preserve"> </w:t>
      </w:r>
    </w:p>
    <w:p w14:paraId="3EF91E7D" w14:textId="77777777" w:rsidR="00DD2B68" w:rsidRPr="00903174" w:rsidRDefault="00DD2B68" w:rsidP="00415038">
      <w:pPr>
        <w:pStyle w:val="ExecSumBodyText"/>
        <w:numPr>
          <w:ilvl w:val="1"/>
          <w:numId w:val="1"/>
        </w:numPr>
      </w:pPr>
      <w:r w:rsidRPr="00903174">
        <w:t>The submission presented two cost-utility analyses; one comparing ravulizumab with eculizumab and another comparing ravulizumab (using eculizumab as a proxy) with best supportive care. These analyses are presented in their respective sub-sections below.</w:t>
      </w:r>
    </w:p>
    <w:p w14:paraId="7613830A" w14:textId="77777777" w:rsidR="00C41726" w:rsidRPr="00903174" w:rsidRDefault="00C41726" w:rsidP="00415038">
      <w:pPr>
        <w:pStyle w:val="ExecSumBodyText"/>
        <w:numPr>
          <w:ilvl w:val="1"/>
          <w:numId w:val="1"/>
        </w:numPr>
      </w:pPr>
      <w:r w:rsidRPr="00903174">
        <w:t xml:space="preserve">The PBAC previously rejected listing eculizumab on the PBS on the basis of an unacceptably high and highly uncertain cost-effectiveness (eculizumab PSD, March 2009 PBAC meeting). Eculizumab was recommended for inclusion on the LSDP in August 2010 (eculizumab PBAC </w:t>
      </w:r>
      <w:r w:rsidR="000A1C9C">
        <w:t>PSD</w:t>
      </w:r>
      <w:r w:rsidRPr="00903174">
        <w:t xml:space="preserve">, </w:t>
      </w:r>
      <w:r w:rsidR="00FF7745">
        <w:t xml:space="preserve">addendum to </w:t>
      </w:r>
      <w:r w:rsidR="000A1C9C">
        <w:t xml:space="preserve">July </w:t>
      </w:r>
      <w:r w:rsidRPr="00903174">
        <w:t>2010 PBAC meeting).</w:t>
      </w:r>
    </w:p>
    <w:p w14:paraId="65970A78" w14:textId="77777777" w:rsidR="00C41726" w:rsidRPr="00903174" w:rsidRDefault="00C41726" w:rsidP="00415038">
      <w:pPr>
        <w:pStyle w:val="ExecSumBodyText"/>
        <w:numPr>
          <w:ilvl w:val="1"/>
          <w:numId w:val="1"/>
        </w:numPr>
      </w:pPr>
      <w:r w:rsidRPr="00903174">
        <w:t xml:space="preserve">The comparison with eculizumab was used to establish the requested price for ravulizumab (used in the best supportive care model). The requested price was calculated based on </w:t>
      </w:r>
      <w:r w:rsidR="001F7A35">
        <w:rPr>
          <w:noProof/>
          <w:color w:val="000000"/>
          <w:highlight w:val="black"/>
        </w:rPr>
        <w:t>'''''''''''''' '''''''''' '''''''' ''''''''''''''''''''' ''''' ''''''' '''''''''' ''''''''' ''''' '''''''''''''' '''''''''''''''''''''''</w:t>
      </w:r>
      <w:r w:rsidRPr="00903174">
        <w:t xml:space="preserve"> associated with the claimed benefits. </w:t>
      </w:r>
      <w:r w:rsidR="008F28D2" w:rsidRPr="00903174">
        <w:t xml:space="preserve">The ESC noted that </w:t>
      </w:r>
      <w:r w:rsidR="00940C7B" w:rsidRPr="00903174">
        <w:t>this had</w:t>
      </w:r>
      <w:r w:rsidR="008F28D2" w:rsidRPr="00903174">
        <w:t xml:space="preserve"> implications on the economic analysis of the submission, given eculizumab is not PBS-listed. </w:t>
      </w:r>
    </w:p>
    <w:p w14:paraId="6E7996E6" w14:textId="77777777" w:rsidR="00B646B9" w:rsidRPr="00903174" w:rsidRDefault="00C41726" w:rsidP="006B71D6">
      <w:pPr>
        <w:pStyle w:val="ExecSumBodyText"/>
        <w:numPr>
          <w:ilvl w:val="1"/>
          <w:numId w:val="1"/>
        </w:numPr>
        <w:rPr>
          <w:b/>
          <w:bCs/>
          <w:i/>
        </w:rPr>
      </w:pPr>
      <w:r w:rsidRPr="00903174">
        <w:t xml:space="preserve">The comparison with BSC was used to establish the cost-effectiveness of ravulizumab for listing on the PBS. </w:t>
      </w:r>
    </w:p>
    <w:p w14:paraId="499EF8AE" w14:textId="77777777" w:rsidR="007E0221" w:rsidRPr="00903174" w:rsidRDefault="00DD2B68" w:rsidP="00C41726">
      <w:pPr>
        <w:pStyle w:val="ExecSumBodyText"/>
        <w:numPr>
          <w:ilvl w:val="0"/>
          <w:numId w:val="0"/>
        </w:numPr>
      </w:pPr>
      <w:r w:rsidRPr="00903174">
        <w:rPr>
          <w:b/>
          <w:bCs/>
          <w:i/>
        </w:rPr>
        <w:t>Ravulizumab versus eculizumab</w:t>
      </w:r>
    </w:p>
    <w:p w14:paraId="72B70040" w14:textId="77777777" w:rsidR="00DD2B68" w:rsidRPr="00903174" w:rsidRDefault="004D141A" w:rsidP="00D83720">
      <w:pPr>
        <w:pStyle w:val="ExecSumBodyText"/>
        <w:numPr>
          <w:ilvl w:val="1"/>
          <w:numId w:val="1"/>
        </w:numPr>
      </w:pPr>
      <w:r w:rsidRPr="00903174">
        <w:t>The submission presented a simple decision-tree analysis to estimate improved quality of life driven by reduced infusions and rates of breakthrough haemolysis, as well as reduced administration costs when comparing ravulizumab with eculizumab over 1 year.</w:t>
      </w:r>
      <w:r w:rsidR="00D40DA5" w:rsidRPr="00903174">
        <w:t xml:space="preserve"> </w:t>
      </w:r>
    </w:p>
    <w:p w14:paraId="71919DAB" w14:textId="77777777" w:rsidR="00DD2B68" w:rsidRPr="00903174" w:rsidRDefault="00DD2B68" w:rsidP="00DD2B68">
      <w:pPr>
        <w:pStyle w:val="Tableheadingrow"/>
        <w:rPr>
          <w:lang w:val="en-AU"/>
        </w:rPr>
      </w:pPr>
      <w:r w:rsidRPr="00903174">
        <w:rPr>
          <w:lang w:val="en-AU"/>
        </w:rPr>
        <w:lastRenderedPageBreak/>
        <w:t xml:space="preserve">Table </w:t>
      </w:r>
      <w:r w:rsidR="001D6AD7" w:rsidRPr="00903174">
        <w:rPr>
          <w:lang w:val="en-AU"/>
        </w:rPr>
        <w:t>1</w:t>
      </w:r>
      <w:r w:rsidR="00A73E01" w:rsidRPr="00903174">
        <w:rPr>
          <w:lang w:val="en-AU"/>
        </w:rPr>
        <w:t>6</w:t>
      </w:r>
      <w:r w:rsidRPr="00903174">
        <w:rPr>
          <w:lang w:val="en-AU"/>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74"/>
        <w:gridCol w:w="6243"/>
      </w:tblGrid>
      <w:tr w:rsidR="00DD2B68" w:rsidRPr="00903174" w14:paraId="7F41856B" w14:textId="77777777" w:rsidTr="00DD2B68">
        <w:tc>
          <w:tcPr>
            <w:tcW w:w="1538" w:type="pct"/>
            <w:tcBorders>
              <w:top w:val="single" w:sz="4" w:space="0" w:color="auto"/>
              <w:left w:val="single" w:sz="4" w:space="0" w:color="auto"/>
              <w:bottom w:val="single" w:sz="4" w:space="0" w:color="auto"/>
              <w:right w:val="single" w:sz="4" w:space="0" w:color="auto"/>
            </w:tcBorders>
            <w:vAlign w:val="center"/>
            <w:hideMark/>
          </w:tcPr>
          <w:p w14:paraId="7A5AA43A" w14:textId="77777777" w:rsidR="00DD2B68" w:rsidRPr="00903174" w:rsidRDefault="00DD2B68">
            <w:pPr>
              <w:pStyle w:val="Tableheadingrow"/>
              <w:jc w:val="center"/>
              <w:rPr>
                <w:lang w:val="en-AU"/>
              </w:rPr>
            </w:pPr>
            <w:r w:rsidRPr="00903174">
              <w:rPr>
                <w:lang w:val="en-AU"/>
              </w:rPr>
              <w:t>Component</w:t>
            </w:r>
          </w:p>
        </w:tc>
        <w:tc>
          <w:tcPr>
            <w:tcW w:w="3462" w:type="pct"/>
            <w:tcBorders>
              <w:top w:val="single" w:sz="4" w:space="0" w:color="auto"/>
              <w:left w:val="single" w:sz="4" w:space="0" w:color="auto"/>
              <w:bottom w:val="single" w:sz="4" w:space="0" w:color="auto"/>
              <w:right w:val="single" w:sz="4" w:space="0" w:color="auto"/>
            </w:tcBorders>
            <w:hideMark/>
          </w:tcPr>
          <w:p w14:paraId="025B2FB3" w14:textId="77777777" w:rsidR="00DD2B68" w:rsidRPr="00903174" w:rsidRDefault="00DD2B68">
            <w:pPr>
              <w:pStyle w:val="Tableheadingrow"/>
              <w:jc w:val="center"/>
              <w:rPr>
                <w:lang w:val="en-AU"/>
              </w:rPr>
            </w:pPr>
            <w:r w:rsidRPr="00903174">
              <w:rPr>
                <w:lang w:val="en-AU"/>
              </w:rPr>
              <w:t>Description</w:t>
            </w:r>
          </w:p>
        </w:tc>
      </w:tr>
      <w:tr w:rsidR="00DD2B68" w:rsidRPr="00903174" w14:paraId="334664F2" w14:textId="77777777" w:rsidTr="00DD2B68">
        <w:tc>
          <w:tcPr>
            <w:tcW w:w="1538" w:type="pct"/>
            <w:tcBorders>
              <w:top w:val="single" w:sz="4" w:space="0" w:color="auto"/>
              <w:left w:val="single" w:sz="4" w:space="0" w:color="auto"/>
              <w:bottom w:val="single" w:sz="4" w:space="0" w:color="auto"/>
              <w:right w:val="single" w:sz="4" w:space="0" w:color="auto"/>
            </w:tcBorders>
            <w:vAlign w:val="center"/>
            <w:hideMark/>
          </w:tcPr>
          <w:p w14:paraId="0FA85E33" w14:textId="77777777" w:rsidR="00DD2B68" w:rsidRPr="00903174" w:rsidRDefault="00DD2B68">
            <w:pPr>
              <w:pStyle w:val="TableText"/>
            </w:pPr>
            <w:r w:rsidRPr="00903174">
              <w:t>Type of analysis</w:t>
            </w:r>
          </w:p>
        </w:tc>
        <w:tc>
          <w:tcPr>
            <w:tcW w:w="3462" w:type="pct"/>
            <w:tcBorders>
              <w:top w:val="single" w:sz="4" w:space="0" w:color="auto"/>
              <w:left w:val="single" w:sz="4" w:space="0" w:color="auto"/>
              <w:bottom w:val="single" w:sz="4" w:space="0" w:color="auto"/>
              <w:right w:val="single" w:sz="4" w:space="0" w:color="auto"/>
            </w:tcBorders>
            <w:hideMark/>
          </w:tcPr>
          <w:p w14:paraId="49328C8A" w14:textId="77777777" w:rsidR="00DD2B68" w:rsidRPr="00903174" w:rsidRDefault="00DD2B68">
            <w:pPr>
              <w:pStyle w:val="TableText"/>
            </w:pPr>
            <w:r w:rsidRPr="00903174">
              <w:t>Cost utility analysis</w:t>
            </w:r>
          </w:p>
        </w:tc>
      </w:tr>
      <w:tr w:rsidR="00DD2B68" w:rsidRPr="00903174" w14:paraId="11C2CA1A" w14:textId="77777777" w:rsidTr="00DD2B68">
        <w:tc>
          <w:tcPr>
            <w:tcW w:w="1538" w:type="pct"/>
            <w:tcBorders>
              <w:top w:val="single" w:sz="4" w:space="0" w:color="auto"/>
              <w:left w:val="single" w:sz="4" w:space="0" w:color="auto"/>
              <w:bottom w:val="single" w:sz="4" w:space="0" w:color="auto"/>
              <w:right w:val="single" w:sz="4" w:space="0" w:color="auto"/>
            </w:tcBorders>
            <w:vAlign w:val="center"/>
            <w:hideMark/>
          </w:tcPr>
          <w:p w14:paraId="2E9B7773" w14:textId="77777777" w:rsidR="00DD2B68" w:rsidRPr="00903174" w:rsidRDefault="00DD2B68">
            <w:pPr>
              <w:pStyle w:val="TableText"/>
            </w:pPr>
            <w:r w:rsidRPr="00903174">
              <w:t>Outcomes</w:t>
            </w:r>
          </w:p>
        </w:tc>
        <w:tc>
          <w:tcPr>
            <w:tcW w:w="3462" w:type="pct"/>
            <w:tcBorders>
              <w:top w:val="single" w:sz="4" w:space="0" w:color="auto"/>
              <w:left w:val="single" w:sz="4" w:space="0" w:color="auto"/>
              <w:bottom w:val="single" w:sz="4" w:space="0" w:color="auto"/>
              <w:right w:val="single" w:sz="4" w:space="0" w:color="auto"/>
            </w:tcBorders>
            <w:hideMark/>
          </w:tcPr>
          <w:p w14:paraId="1D4240F5" w14:textId="77777777" w:rsidR="00DD2B68" w:rsidRPr="00903174" w:rsidRDefault="00DD2B68">
            <w:pPr>
              <w:pStyle w:val="TableText"/>
            </w:pPr>
            <w:r w:rsidRPr="00903174">
              <w:t>Cost per infusion avoided, cost per day of BTH avoided, QALYs</w:t>
            </w:r>
          </w:p>
        </w:tc>
      </w:tr>
      <w:tr w:rsidR="00DD2B68" w:rsidRPr="00903174" w14:paraId="7B57DDA4" w14:textId="77777777" w:rsidTr="00DD2B68">
        <w:tc>
          <w:tcPr>
            <w:tcW w:w="1538" w:type="pct"/>
            <w:tcBorders>
              <w:top w:val="single" w:sz="4" w:space="0" w:color="auto"/>
              <w:left w:val="single" w:sz="4" w:space="0" w:color="auto"/>
              <w:bottom w:val="single" w:sz="4" w:space="0" w:color="auto"/>
              <w:right w:val="single" w:sz="4" w:space="0" w:color="auto"/>
            </w:tcBorders>
            <w:vAlign w:val="center"/>
            <w:hideMark/>
          </w:tcPr>
          <w:p w14:paraId="78D00BC7" w14:textId="77777777" w:rsidR="00DD2B68" w:rsidRPr="00903174" w:rsidRDefault="00DD2B68">
            <w:pPr>
              <w:pStyle w:val="TableText"/>
            </w:pPr>
            <w:r w:rsidRPr="00903174">
              <w:t>Time horizon</w:t>
            </w:r>
          </w:p>
        </w:tc>
        <w:tc>
          <w:tcPr>
            <w:tcW w:w="3462" w:type="pct"/>
            <w:tcBorders>
              <w:top w:val="single" w:sz="4" w:space="0" w:color="auto"/>
              <w:left w:val="single" w:sz="4" w:space="0" w:color="auto"/>
              <w:bottom w:val="single" w:sz="4" w:space="0" w:color="auto"/>
              <w:right w:val="single" w:sz="4" w:space="0" w:color="auto"/>
            </w:tcBorders>
            <w:hideMark/>
          </w:tcPr>
          <w:p w14:paraId="6060C44E" w14:textId="77777777" w:rsidR="00DD2B68" w:rsidRPr="00903174" w:rsidRDefault="00DD2B68">
            <w:pPr>
              <w:pStyle w:val="TableText"/>
            </w:pPr>
            <w:r w:rsidRPr="00903174">
              <w:t>1 year</w:t>
            </w:r>
          </w:p>
        </w:tc>
      </w:tr>
      <w:tr w:rsidR="00DD2B68" w:rsidRPr="00903174" w14:paraId="0FC76F76" w14:textId="77777777" w:rsidTr="00DD2B68">
        <w:tc>
          <w:tcPr>
            <w:tcW w:w="1538" w:type="pct"/>
            <w:tcBorders>
              <w:top w:val="single" w:sz="4" w:space="0" w:color="auto"/>
              <w:left w:val="single" w:sz="4" w:space="0" w:color="auto"/>
              <w:bottom w:val="single" w:sz="4" w:space="0" w:color="auto"/>
              <w:right w:val="single" w:sz="4" w:space="0" w:color="auto"/>
            </w:tcBorders>
            <w:vAlign w:val="center"/>
            <w:hideMark/>
          </w:tcPr>
          <w:p w14:paraId="74DEDFB3" w14:textId="77777777" w:rsidR="00DD2B68" w:rsidRPr="00903174" w:rsidRDefault="00DD2B68">
            <w:pPr>
              <w:pStyle w:val="TableText"/>
            </w:pPr>
            <w:r w:rsidRPr="00903174">
              <w:t>Methods used to generate results</w:t>
            </w:r>
          </w:p>
        </w:tc>
        <w:tc>
          <w:tcPr>
            <w:tcW w:w="3462" w:type="pct"/>
            <w:tcBorders>
              <w:top w:val="single" w:sz="4" w:space="0" w:color="auto"/>
              <w:left w:val="single" w:sz="4" w:space="0" w:color="auto"/>
              <w:bottom w:val="single" w:sz="4" w:space="0" w:color="auto"/>
              <w:right w:val="single" w:sz="4" w:space="0" w:color="auto"/>
            </w:tcBorders>
            <w:hideMark/>
          </w:tcPr>
          <w:p w14:paraId="2538D170" w14:textId="77777777" w:rsidR="00DD2B68" w:rsidRPr="00903174" w:rsidRDefault="00DD2B68">
            <w:pPr>
              <w:pStyle w:val="TableText"/>
            </w:pPr>
            <w:r w:rsidRPr="00903174">
              <w:t>Decision tree analysis</w:t>
            </w:r>
          </w:p>
        </w:tc>
      </w:tr>
      <w:tr w:rsidR="00DD2B68" w:rsidRPr="00903174" w14:paraId="147A9ADB" w14:textId="77777777" w:rsidTr="00DD2B68">
        <w:tc>
          <w:tcPr>
            <w:tcW w:w="1538" w:type="pct"/>
            <w:tcBorders>
              <w:top w:val="single" w:sz="4" w:space="0" w:color="auto"/>
              <w:left w:val="single" w:sz="4" w:space="0" w:color="auto"/>
              <w:bottom w:val="single" w:sz="4" w:space="0" w:color="auto"/>
              <w:right w:val="single" w:sz="4" w:space="0" w:color="auto"/>
            </w:tcBorders>
            <w:vAlign w:val="center"/>
            <w:hideMark/>
          </w:tcPr>
          <w:p w14:paraId="710BB710" w14:textId="77777777" w:rsidR="00DD2B68" w:rsidRPr="00903174" w:rsidRDefault="00DD2B68">
            <w:pPr>
              <w:pStyle w:val="TableText"/>
            </w:pPr>
            <w:r w:rsidRPr="00903174">
              <w:t>Costs</w:t>
            </w:r>
          </w:p>
        </w:tc>
        <w:tc>
          <w:tcPr>
            <w:tcW w:w="3462" w:type="pct"/>
            <w:tcBorders>
              <w:top w:val="single" w:sz="4" w:space="0" w:color="auto"/>
              <w:left w:val="single" w:sz="4" w:space="0" w:color="auto"/>
              <w:bottom w:val="single" w:sz="4" w:space="0" w:color="auto"/>
              <w:right w:val="single" w:sz="4" w:space="0" w:color="auto"/>
            </w:tcBorders>
            <w:hideMark/>
          </w:tcPr>
          <w:p w14:paraId="697ADFAA" w14:textId="77777777" w:rsidR="00DD2B68" w:rsidRPr="00903174" w:rsidRDefault="00DD2B68">
            <w:pPr>
              <w:pStyle w:val="TableText"/>
            </w:pPr>
            <w:r w:rsidRPr="00903174">
              <w:t>Ravulizumab drug (</w:t>
            </w:r>
            <w:r w:rsidR="00DF28C6">
              <w:rPr>
                <w:noProof/>
                <w:color w:val="000000"/>
                <w:highlight w:val="black"/>
              </w:rPr>
              <w:t>''''''''''</w:t>
            </w:r>
            <w:r w:rsidRPr="00903174">
              <w:t xml:space="preserve"> vials per year, $</w:t>
            </w:r>
            <w:r w:rsidR="00DF28C6">
              <w:rPr>
                <w:noProof/>
                <w:color w:val="000000"/>
                <w:highlight w:val="black"/>
              </w:rPr>
              <w:t>'''''''''''''''''''</w:t>
            </w:r>
            <w:r w:rsidRPr="00903174">
              <w:t xml:space="preserve"> per vial) and administration cost ($99.50, 6.5 infusions per year)</w:t>
            </w:r>
            <w:r w:rsidR="00D40DA5" w:rsidRPr="00903174">
              <w:t xml:space="preserve">. Number of vials required estimated using weight distributions from the key ravulizumab trial, 301, and recommended doses every 8 weeks (40 to &lt;60 kg: </w:t>
            </w:r>
            <w:r w:rsidR="001F7A35">
              <w:rPr>
                <w:noProof/>
                <w:color w:val="000000"/>
                <w:highlight w:val="black"/>
              </w:rPr>
              <w:t>'''''''''''</w:t>
            </w:r>
            <w:r w:rsidR="00D40DA5" w:rsidRPr="00903174">
              <w:t xml:space="preserve">% at 3,000 mg, 60 to &lt;100 kg: </w:t>
            </w:r>
            <w:r w:rsidR="001F7A35">
              <w:rPr>
                <w:noProof/>
                <w:color w:val="000000"/>
                <w:highlight w:val="black"/>
              </w:rPr>
              <w:t>''''''''''</w:t>
            </w:r>
            <w:r w:rsidR="00D40DA5" w:rsidRPr="00903174">
              <w:t xml:space="preserve">% at 3,300 mg, 100+ kg: </w:t>
            </w:r>
            <w:r w:rsidR="001F7A35">
              <w:rPr>
                <w:noProof/>
                <w:color w:val="000000"/>
                <w:highlight w:val="black"/>
              </w:rPr>
              <w:t>''''''''</w:t>
            </w:r>
            <w:r w:rsidR="00D40DA5" w:rsidRPr="00903174">
              <w:t>% at 3,600 mg).</w:t>
            </w:r>
          </w:p>
          <w:p w14:paraId="29E36A88" w14:textId="77777777" w:rsidR="00DD2B68" w:rsidRPr="00903174" w:rsidRDefault="00DD2B68">
            <w:pPr>
              <w:pStyle w:val="TableText"/>
            </w:pPr>
            <w:r w:rsidRPr="00903174">
              <w:t>Eculizumab drug (</w:t>
            </w:r>
            <w:r w:rsidR="00DF28C6">
              <w:rPr>
                <w:noProof/>
                <w:color w:val="000000"/>
                <w:highlight w:val="black"/>
              </w:rPr>
              <w:t>''''''</w:t>
            </w:r>
            <w:r w:rsidRPr="00903174">
              <w:t xml:space="preserve"> vials per year, $</w:t>
            </w:r>
            <w:r w:rsidR="001F7A35">
              <w:rPr>
                <w:noProof/>
                <w:color w:val="000000"/>
                <w:highlight w:val="black"/>
              </w:rPr>
              <w:t>'''''''''''''''''''''''</w:t>
            </w:r>
            <w:r w:rsidRPr="00903174">
              <w:t xml:space="preserve"> per vial) and administration cost ($66.10, 26 infusions per year)</w:t>
            </w:r>
            <w:r w:rsidR="00D40DA5" w:rsidRPr="00903174">
              <w:t>. Number of vials required estimated based on the recommended dose of 900 mg at a fixed 2-weekly dosing interval.</w:t>
            </w:r>
          </w:p>
        </w:tc>
      </w:tr>
      <w:tr w:rsidR="00DD2B68" w:rsidRPr="00903174" w14:paraId="3D192C81" w14:textId="77777777" w:rsidTr="00DD2B68">
        <w:tc>
          <w:tcPr>
            <w:tcW w:w="1538" w:type="pct"/>
            <w:tcBorders>
              <w:top w:val="single" w:sz="4" w:space="0" w:color="auto"/>
              <w:left w:val="single" w:sz="4" w:space="0" w:color="auto"/>
              <w:bottom w:val="single" w:sz="4" w:space="0" w:color="auto"/>
              <w:right w:val="single" w:sz="4" w:space="0" w:color="auto"/>
            </w:tcBorders>
            <w:vAlign w:val="center"/>
            <w:hideMark/>
          </w:tcPr>
          <w:p w14:paraId="3E9386EB" w14:textId="77777777" w:rsidR="00DD2B68" w:rsidRPr="00903174" w:rsidRDefault="00DD2B68">
            <w:pPr>
              <w:pStyle w:val="TableText"/>
            </w:pPr>
            <w:r w:rsidRPr="00903174">
              <w:t>Health related quality of life</w:t>
            </w:r>
          </w:p>
        </w:tc>
        <w:tc>
          <w:tcPr>
            <w:tcW w:w="3462" w:type="pct"/>
            <w:tcBorders>
              <w:top w:val="single" w:sz="4" w:space="0" w:color="auto"/>
              <w:left w:val="single" w:sz="4" w:space="0" w:color="auto"/>
              <w:bottom w:val="single" w:sz="4" w:space="0" w:color="auto"/>
              <w:right w:val="single" w:sz="4" w:space="0" w:color="auto"/>
            </w:tcBorders>
            <w:hideMark/>
          </w:tcPr>
          <w:p w14:paraId="3CABCA86" w14:textId="77777777" w:rsidR="00DD2B68" w:rsidRPr="00903174" w:rsidRDefault="00DD2B68">
            <w:pPr>
              <w:pStyle w:val="TableText"/>
            </w:pPr>
            <w:r w:rsidRPr="00903174">
              <w:t>Baseline PNH utility (0.7470)</w:t>
            </w:r>
          </w:p>
          <w:p w14:paraId="258558C3" w14:textId="77777777" w:rsidR="00DD2B68" w:rsidRPr="00903174" w:rsidRDefault="00DD2B68">
            <w:pPr>
              <w:pStyle w:val="TableText"/>
            </w:pPr>
            <w:r w:rsidRPr="00903174">
              <w:t>Non-specific disease-related utility gain (0.1020)</w:t>
            </w:r>
          </w:p>
          <w:p w14:paraId="07AB01C4" w14:textId="77777777" w:rsidR="00DD2B68" w:rsidRPr="00903174" w:rsidRDefault="00DD2B68">
            <w:pPr>
              <w:pStyle w:val="TableText"/>
            </w:pPr>
            <w:r w:rsidRPr="00903174">
              <w:t>BTH disutility (-0.1828)</w:t>
            </w:r>
          </w:p>
          <w:p w14:paraId="466F7646" w14:textId="77777777" w:rsidR="00DD2B68" w:rsidRPr="00903174" w:rsidRDefault="00DD2B68">
            <w:pPr>
              <w:pStyle w:val="TableText"/>
            </w:pPr>
            <w:r w:rsidRPr="00903174">
              <w:t>Increased infusion frequency disutility (-0.058)</w:t>
            </w:r>
          </w:p>
        </w:tc>
      </w:tr>
      <w:tr w:rsidR="00DD2B68" w:rsidRPr="00903174" w14:paraId="61F520DB" w14:textId="77777777" w:rsidTr="00DD2B68">
        <w:tc>
          <w:tcPr>
            <w:tcW w:w="1538" w:type="pct"/>
            <w:tcBorders>
              <w:top w:val="single" w:sz="4" w:space="0" w:color="auto"/>
              <w:left w:val="single" w:sz="4" w:space="0" w:color="auto"/>
              <w:bottom w:val="single" w:sz="4" w:space="0" w:color="auto"/>
              <w:right w:val="single" w:sz="4" w:space="0" w:color="auto"/>
            </w:tcBorders>
            <w:vAlign w:val="center"/>
            <w:hideMark/>
          </w:tcPr>
          <w:p w14:paraId="09CD18DF" w14:textId="77777777" w:rsidR="00DD2B68" w:rsidRPr="00903174" w:rsidRDefault="00DD2B68">
            <w:pPr>
              <w:pStyle w:val="TableText"/>
            </w:pPr>
            <w:r w:rsidRPr="00903174">
              <w:t>Modelled outcomes</w:t>
            </w:r>
          </w:p>
        </w:tc>
        <w:tc>
          <w:tcPr>
            <w:tcW w:w="3462" w:type="pct"/>
            <w:tcBorders>
              <w:top w:val="single" w:sz="4" w:space="0" w:color="auto"/>
              <w:left w:val="single" w:sz="4" w:space="0" w:color="auto"/>
              <w:bottom w:val="single" w:sz="4" w:space="0" w:color="auto"/>
              <w:right w:val="single" w:sz="4" w:space="0" w:color="auto"/>
            </w:tcBorders>
            <w:hideMark/>
          </w:tcPr>
          <w:p w14:paraId="1C3FEBD8" w14:textId="77777777" w:rsidR="00DD2B68" w:rsidRPr="00903174" w:rsidRDefault="00DD2B68">
            <w:pPr>
              <w:pStyle w:val="TableText"/>
            </w:pPr>
            <w:r w:rsidRPr="00903174">
              <w:t>Number of infusions avoided based on frequency of administration of ravulizumab (8-weekly) versus eculizumab (fixed 2-weekly)</w:t>
            </w:r>
          </w:p>
          <w:p w14:paraId="5B478639" w14:textId="77777777" w:rsidR="00DD2B68" w:rsidRPr="00903174" w:rsidRDefault="00DD2B68">
            <w:pPr>
              <w:pStyle w:val="TableText"/>
            </w:pPr>
            <w:r w:rsidRPr="00903174">
              <w:t>Days of BTH avoided based on the key trials 301 and 302 and assumptions</w:t>
            </w:r>
          </w:p>
        </w:tc>
      </w:tr>
    </w:tbl>
    <w:p w14:paraId="13FA5DD5" w14:textId="77777777" w:rsidR="00DD2B68" w:rsidRPr="00903174" w:rsidRDefault="00DD2B68" w:rsidP="00DD2B68">
      <w:pPr>
        <w:pStyle w:val="TableText"/>
      </w:pPr>
      <w:r w:rsidRPr="00903174">
        <w:t>Source: Table 111, p 241 of the submission</w:t>
      </w:r>
    </w:p>
    <w:p w14:paraId="06EE79EB" w14:textId="77777777" w:rsidR="00DD2B68" w:rsidRPr="00903174" w:rsidRDefault="00DD2B68" w:rsidP="00DD2B68">
      <w:pPr>
        <w:pStyle w:val="TableText"/>
        <w:jc w:val="both"/>
      </w:pPr>
      <w:r w:rsidRPr="00903174">
        <w:t>Abbreviations: BTH, breakthrough haemolysis; PNH, paroxysmal nocturnal haemoglobinuria; QALY, quality adjusted life year</w:t>
      </w:r>
    </w:p>
    <w:p w14:paraId="05C7CF11" w14:textId="77777777" w:rsidR="00DD2B68" w:rsidRPr="00903174" w:rsidRDefault="00DD2B68" w:rsidP="00DD2B68">
      <w:pPr>
        <w:pStyle w:val="TableText"/>
      </w:pPr>
    </w:p>
    <w:p w14:paraId="5D5F7679" w14:textId="77777777" w:rsidR="00D40DA5" w:rsidRPr="00903174" w:rsidRDefault="00D40DA5" w:rsidP="00415038">
      <w:pPr>
        <w:pStyle w:val="ExecSumBodyText"/>
        <w:numPr>
          <w:ilvl w:val="1"/>
          <w:numId w:val="1"/>
        </w:numPr>
      </w:pPr>
      <w:r w:rsidRPr="00903174">
        <w:t xml:space="preserve">The dosing equivalence of ravulizumab and eculizumab was calculated based on recommended doses. Ravulizumab dosing is weight-based, with heavier patients being administered higher doses whereas eculizumab dosing is irrespective of weight. </w:t>
      </w:r>
    </w:p>
    <w:p w14:paraId="3250DBBF" w14:textId="77777777" w:rsidR="00D40DA5" w:rsidRPr="00903174" w:rsidRDefault="00D40DA5" w:rsidP="00D40DA5">
      <w:pPr>
        <w:pStyle w:val="ExecSumBodyText"/>
        <w:numPr>
          <w:ilvl w:val="1"/>
          <w:numId w:val="1"/>
        </w:numPr>
      </w:pPr>
      <w:r w:rsidRPr="00903174">
        <w:t>The submission assumed weight distributions from Trial 301 are applicable to the Australian population. This assumption was inadequately justified. Weight distributions from other sources (Trial 302 and Australian PNH registry patients) suggest that there may be more patients in higher weight categories in the PBS population compared with the Trial 301 population</w:t>
      </w:r>
      <w:r w:rsidR="00B4390A" w:rsidRPr="00903174">
        <w:t xml:space="preserve">. </w:t>
      </w:r>
      <w:r w:rsidRPr="00903174">
        <w:t xml:space="preserve"> </w:t>
      </w:r>
    </w:p>
    <w:p w14:paraId="630AF56B" w14:textId="77777777" w:rsidR="00435644" w:rsidRPr="00903174" w:rsidRDefault="00435644" w:rsidP="00435644">
      <w:pPr>
        <w:pStyle w:val="ExecSumBodyText"/>
        <w:numPr>
          <w:ilvl w:val="1"/>
          <w:numId w:val="1"/>
        </w:numPr>
      </w:pPr>
      <w:r w:rsidRPr="00903174">
        <w:t>Drug costs for ravulizumab (</w:t>
      </w:r>
      <w:r w:rsidR="00DF28C6">
        <w:rPr>
          <w:noProof/>
          <w:color w:val="000000"/>
          <w:highlight w:val="black"/>
        </w:rPr>
        <w:t>'''''''''</w:t>
      </w:r>
      <w:r w:rsidRPr="00903174">
        <w:t xml:space="preserve"> vials) and eculizumab (</w:t>
      </w:r>
      <w:r w:rsidR="00DF28C6">
        <w:rPr>
          <w:noProof/>
          <w:color w:val="000000"/>
          <w:highlight w:val="black"/>
        </w:rPr>
        <w:t xml:space="preserve">''''' </w:t>
      </w:r>
      <w:r w:rsidRPr="00903174">
        <w:t xml:space="preserve">vials) were calculated based on the number of vials in the average maintenance year. The submission claimed the PBAC Guidelines recommend the use of maintenance doses only for costing purposes. </w:t>
      </w:r>
      <w:r w:rsidR="00297FC2" w:rsidRPr="00903174">
        <w:t>T</w:t>
      </w:r>
      <w:r w:rsidRPr="00903174">
        <w:t>he Guidelines were referring to cost-minimisation analyses. The estimated number of vials required during the initiation year for ravulizumab (</w:t>
      </w:r>
      <w:r w:rsidR="00DF28C6">
        <w:rPr>
          <w:noProof/>
          <w:color w:val="000000"/>
          <w:highlight w:val="black"/>
        </w:rPr>
        <w:t xml:space="preserve">''''''''' </w:t>
      </w:r>
      <w:r w:rsidRPr="00903174">
        <w:t>vials) is similar to the required eculizumab vials for the same period (</w:t>
      </w:r>
      <w:r w:rsidR="00DF28C6">
        <w:rPr>
          <w:noProof/>
          <w:color w:val="000000"/>
          <w:highlight w:val="black"/>
        </w:rPr>
        <w:t xml:space="preserve">'''''' </w:t>
      </w:r>
      <w:r w:rsidRPr="00903174">
        <w:t>vials). Consequently, the drug cost for ravulizumab (using a requested price based on the maintenance phase) is higher compared to eculizumab in the initial year.</w:t>
      </w:r>
    </w:p>
    <w:p w14:paraId="3675EB34" w14:textId="77777777" w:rsidR="00D40DA5" w:rsidRPr="00903174" w:rsidRDefault="00435644" w:rsidP="00435644">
      <w:pPr>
        <w:pStyle w:val="ExecSumBodyText"/>
        <w:numPr>
          <w:ilvl w:val="1"/>
          <w:numId w:val="1"/>
        </w:numPr>
      </w:pPr>
      <w:r w:rsidRPr="00903174">
        <w:t>The cost of eculizumab in the model does not incorporate the 10% statutory price reduction. This was inconsistent with the estimated cost of eculizumab used in the budget impact model</w:t>
      </w:r>
      <w:r w:rsidR="004D141A" w:rsidRPr="00903174">
        <w:t xml:space="preserve"> and results in a higher cost per patient for ravulizumab compared with eculizumab after April 2021. </w:t>
      </w:r>
    </w:p>
    <w:p w14:paraId="64CD01DB" w14:textId="77777777" w:rsidR="00D40DA5" w:rsidRPr="00903174" w:rsidRDefault="00435644" w:rsidP="00D40DA5">
      <w:pPr>
        <w:pStyle w:val="ExecSumBodyText"/>
        <w:numPr>
          <w:ilvl w:val="1"/>
          <w:numId w:val="1"/>
        </w:numPr>
      </w:pPr>
      <w:r w:rsidRPr="00903174">
        <w:t xml:space="preserve">The claimed benefits and reduced cost associated with ravulizumab versus eculizumab when assuming pricing parity resulted in </w:t>
      </w:r>
      <w:r w:rsidR="002B69C6">
        <w:rPr>
          <w:noProof/>
          <w:color w:val="000000"/>
          <w:highlight w:val="black"/>
        </w:rPr>
        <w:t>''' '''''''''''''''''''''' ''''''''' ''''''''</w:t>
      </w:r>
      <w:r w:rsidR="0075618C" w:rsidRPr="00903174">
        <w:t xml:space="preserve"> (Table 17)</w:t>
      </w:r>
      <w:r w:rsidRPr="00903174">
        <w:t>.</w:t>
      </w:r>
    </w:p>
    <w:p w14:paraId="27CD11D7" w14:textId="77777777" w:rsidR="0075618C" w:rsidRPr="00903174" w:rsidRDefault="0075618C" w:rsidP="0075618C">
      <w:pPr>
        <w:pStyle w:val="TableFigureCaption"/>
      </w:pPr>
      <w:r w:rsidRPr="00903174">
        <w:lastRenderedPageBreak/>
        <w:t>Table 17: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75618C" w:rsidRPr="00903174" w14:paraId="07BB3DBC" w14:textId="77777777" w:rsidTr="006A07B7">
        <w:trPr>
          <w:tblHeader/>
        </w:trPr>
        <w:tc>
          <w:tcPr>
            <w:tcW w:w="1529" w:type="pct"/>
            <w:tcBorders>
              <w:top w:val="single" w:sz="4" w:space="0" w:color="auto"/>
              <w:left w:val="single" w:sz="4" w:space="0" w:color="auto"/>
              <w:bottom w:val="single" w:sz="4" w:space="0" w:color="auto"/>
              <w:right w:val="single" w:sz="4" w:space="0" w:color="auto"/>
            </w:tcBorders>
            <w:vAlign w:val="center"/>
            <w:hideMark/>
          </w:tcPr>
          <w:p w14:paraId="01323270" w14:textId="77777777" w:rsidR="0075618C" w:rsidRPr="00903174" w:rsidRDefault="0075618C" w:rsidP="006A07B7">
            <w:pPr>
              <w:pStyle w:val="Tableheadingrow"/>
              <w:widowControl w:val="0"/>
              <w:rPr>
                <w:lang w:val="en-AU"/>
              </w:rPr>
            </w:pPr>
            <w:r w:rsidRPr="00903174">
              <w:rPr>
                <w:lang w:val="en-AU"/>
              </w:rPr>
              <w:t>Component</w:t>
            </w:r>
          </w:p>
        </w:tc>
        <w:tc>
          <w:tcPr>
            <w:tcW w:w="1359" w:type="pct"/>
            <w:tcBorders>
              <w:top w:val="single" w:sz="4" w:space="0" w:color="auto"/>
              <w:left w:val="single" w:sz="4" w:space="0" w:color="auto"/>
              <w:bottom w:val="single" w:sz="4" w:space="0" w:color="auto"/>
              <w:right w:val="single" w:sz="4" w:space="0" w:color="auto"/>
            </w:tcBorders>
            <w:vAlign w:val="center"/>
            <w:hideMark/>
          </w:tcPr>
          <w:p w14:paraId="7DC5912E" w14:textId="77777777" w:rsidR="0075618C" w:rsidRPr="00903174" w:rsidRDefault="0075618C" w:rsidP="006A07B7">
            <w:pPr>
              <w:pStyle w:val="Tableheadingrow"/>
              <w:widowControl w:val="0"/>
              <w:jc w:val="center"/>
              <w:rPr>
                <w:lang w:val="en-AU"/>
              </w:rPr>
            </w:pPr>
            <w:r w:rsidRPr="00903174">
              <w:rPr>
                <w:lang w:val="en-AU"/>
              </w:rPr>
              <w:t>Ravulizumab</w:t>
            </w:r>
          </w:p>
        </w:tc>
        <w:tc>
          <w:tcPr>
            <w:tcW w:w="1274" w:type="pct"/>
            <w:tcBorders>
              <w:top w:val="single" w:sz="4" w:space="0" w:color="auto"/>
              <w:left w:val="single" w:sz="4" w:space="0" w:color="auto"/>
              <w:bottom w:val="single" w:sz="4" w:space="0" w:color="auto"/>
              <w:right w:val="single" w:sz="4" w:space="0" w:color="auto"/>
            </w:tcBorders>
            <w:vAlign w:val="center"/>
            <w:hideMark/>
          </w:tcPr>
          <w:p w14:paraId="1F5F8F25" w14:textId="77777777" w:rsidR="0075618C" w:rsidRPr="00903174" w:rsidRDefault="0075618C" w:rsidP="006A07B7">
            <w:pPr>
              <w:pStyle w:val="Tableheadingrow"/>
              <w:widowControl w:val="0"/>
              <w:jc w:val="center"/>
              <w:rPr>
                <w:lang w:val="en-AU"/>
              </w:rPr>
            </w:pPr>
            <w:r w:rsidRPr="00903174">
              <w:rPr>
                <w:lang w:val="en-AU"/>
              </w:rPr>
              <w:t>Eculizumab</w:t>
            </w:r>
          </w:p>
        </w:tc>
        <w:tc>
          <w:tcPr>
            <w:tcW w:w="838" w:type="pct"/>
            <w:tcBorders>
              <w:top w:val="single" w:sz="4" w:space="0" w:color="auto"/>
              <w:left w:val="single" w:sz="4" w:space="0" w:color="auto"/>
              <w:bottom w:val="single" w:sz="4" w:space="0" w:color="auto"/>
              <w:right w:val="single" w:sz="4" w:space="0" w:color="auto"/>
            </w:tcBorders>
            <w:vAlign w:val="center"/>
            <w:hideMark/>
          </w:tcPr>
          <w:p w14:paraId="30034001" w14:textId="77777777" w:rsidR="0075618C" w:rsidRPr="00903174" w:rsidRDefault="0075618C" w:rsidP="006A07B7">
            <w:pPr>
              <w:pStyle w:val="Tableheadingrow"/>
              <w:widowControl w:val="0"/>
              <w:jc w:val="center"/>
              <w:rPr>
                <w:lang w:val="en-AU"/>
              </w:rPr>
            </w:pPr>
            <w:r w:rsidRPr="00903174">
              <w:rPr>
                <w:lang w:val="en-AU"/>
              </w:rPr>
              <w:t>Increment</w:t>
            </w:r>
          </w:p>
        </w:tc>
      </w:tr>
      <w:tr w:rsidR="0075618C" w:rsidRPr="00903174" w14:paraId="0B05F53C" w14:textId="77777777" w:rsidTr="006A07B7">
        <w:tc>
          <w:tcPr>
            <w:tcW w:w="1529" w:type="pct"/>
            <w:tcBorders>
              <w:top w:val="single" w:sz="4" w:space="0" w:color="auto"/>
              <w:left w:val="single" w:sz="4" w:space="0" w:color="auto"/>
              <w:bottom w:val="single" w:sz="4" w:space="0" w:color="auto"/>
              <w:right w:val="single" w:sz="4" w:space="0" w:color="auto"/>
            </w:tcBorders>
            <w:vAlign w:val="center"/>
            <w:hideMark/>
          </w:tcPr>
          <w:p w14:paraId="353C00D5" w14:textId="77777777" w:rsidR="0075618C" w:rsidRPr="00903174" w:rsidRDefault="0075618C" w:rsidP="006A07B7">
            <w:pPr>
              <w:pStyle w:val="TableText"/>
              <w:widowControl w:val="0"/>
              <w:rPr>
                <w:rFonts w:ascii="Times" w:hAnsi="Times"/>
              </w:rPr>
            </w:pPr>
            <w:r w:rsidRPr="00903174">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59F8B34F" w14:textId="77777777" w:rsidR="0075618C" w:rsidRPr="002B69C6" w:rsidRDefault="002B69C6" w:rsidP="006A07B7">
            <w:pPr>
              <w:pStyle w:val="TableText"/>
              <w:widowControl w:val="0"/>
              <w:jc w:val="center"/>
              <w:rPr>
                <w:rFonts w:ascii="Times" w:hAnsi="Times"/>
                <w:highlight w:val="black"/>
              </w:rPr>
            </w:pPr>
            <w:r>
              <w:rPr>
                <w:noProof/>
                <w:color w:val="00000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3503C5ED" w14:textId="77777777" w:rsidR="0075618C" w:rsidRPr="002B69C6" w:rsidRDefault="002B69C6" w:rsidP="006A07B7">
            <w:pPr>
              <w:pStyle w:val="TableText"/>
              <w:widowControl w:val="0"/>
              <w:jc w:val="center"/>
              <w:rPr>
                <w:rFonts w:ascii="Times" w:hAnsi="Times"/>
                <w:highlight w:val="black"/>
              </w:rPr>
            </w:pPr>
            <w:r>
              <w:rPr>
                <w:noProof/>
                <w:color w:val="000000"/>
                <w:highlight w:val="black"/>
              </w:rPr>
              <w:t>''''''''''''''''''''</w:t>
            </w:r>
          </w:p>
        </w:tc>
        <w:tc>
          <w:tcPr>
            <w:tcW w:w="838" w:type="pct"/>
            <w:tcBorders>
              <w:top w:val="single" w:sz="4" w:space="0" w:color="auto"/>
              <w:left w:val="single" w:sz="4" w:space="0" w:color="auto"/>
              <w:bottom w:val="single" w:sz="4" w:space="0" w:color="auto"/>
              <w:right w:val="single" w:sz="4" w:space="0" w:color="auto"/>
            </w:tcBorders>
            <w:vAlign w:val="center"/>
            <w:hideMark/>
          </w:tcPr>
          <w:p w14:paraId="6CCCE1F9" w14:textId="77777777" w:rsidR="0075618C" w:rsidRPr="00903174" w:rsidRDefault="002B69C6" w:rsidP="006A07B7">
            <w:pPr>
              <w:pStyle w:val="TableText"/>
              <w:widowControl w:val="0"/>
              <w:jc w:val="center"/>
              <w:rPr>
                <w:rFonts w:ascii="Times" w:hAnsi="Times"/>
              </w:rPr>
            </w:pPr>
            <w:r>
              <w:rPr>
                <w:noProof/>
                <w:color w:val="000000"/>
                <w:highlight w:val="black"/>
              </w:rPr>
              <w:t>''''''</w:t>
            </w:r>
            <w:r w:rsidR="00DF28C6">
              <w:rPr>
                <w:noProof/>
                <w:color w:val="000000"/>
                <w:highlight w:val="black"/>
              </w:rPr>
              <w:t>'''''''''''</w:t>
            </w:r>
          </w:p>
        </w:tc>
      </w:tr>
      <w:tr w:rsidR="0075618C" w:rsidRPr="00903174" w14:paraId="0A445A56" w14:textId="77777777" w:rsidTr="006A07B7">
        <w:tc>
          <w:tcPr>
            <w:tcW w:w="1529" w:type="pct"/>
            <w:tcBorders>
              <w:top w:val="single" w:sz="4" w:space="0" w:color="auto"/>
              <w:left w:val="single" w:sz="4" w:space="0" w:color="auto"/>
              <w:bottom w:val="single" w:sz="4" w:space="0" w:color="auto"/>
              <w:right w:val="single" w:sz="4" w:space="0" w:color="auto"/>
            </w:tcBorders>
            <w:vAlign w:val="center"/>
            <w:hideMark/>
          </w:tcPr>
          <w:p w14:paraId="7E9DC84C" w14:textId="77777777" w:rsidR="0075618C" w:rsidRPr="00903174" w:rsidRDefault="0075618C" w:rsidP="006A07B7">
            <w:pPr>
              <w:pStyle w:val="TableText"/>
              <w:widowControl w:val="0"/>
              <w:rPr>
                <w:rFonts w:ascii="Times" w:hAnsi="Times"/>
              </w:rPr>
            </w:pPr>
            <w:r w:rsidRPr="00903174">
              <w:t>QALYs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061A1315" w14:textId="77777777" w:rsidR="0075618C" w:rsidRPr="00903174" w:rsidRDefault="0075618C" w:rsidP="006A07B7">
            <w:pPr>
              <w:pStyle w:val="TableText"/>
              <w:widowControl w:val="0"/>
              <w:jc w:val="center"/>
              <w:rPr>
                <w:rFonts w:ascii="Times" w:hAnsi="Times"/>
              </w:rPr>
            </w:pPr>
            <w:r w:rsidRPr="00903174">
              <w:t>0.8488</w:t>
            </w:r>
          </w:p>
        </w:tc>
        <w:tc>
          <w:tcPr>
            <w:tcW w:w="1274" w:type="pct"/>
            <w:tcBorders>
              <w:top w:val="single" w:sz="4" w:space="0" w:color="auto"/>
              <w:left w:val="single" w:sz="4" w:space="0" w:color="auto"/>
              <w:bottom w:val="single" w:sz="4" w:space="0" w:color="auto"/>
              <w:right w:val="single" w:sz="4" w:space="0" w:color="auto"/>
            </w:tcBorders>
            <w:vAlign w:val="center"/>
            <w:hideMark/>
          </w:tcPr>
          <w:p w14:paraId="315ACFB1" w14:textId="77777777" w:rsidR="0075618C" w:rsidRPr="00903174" w:rsidRDefault="0075618C" w:rsidP="006A07B7">
            <w:pPr>
              <w:pStyle w:val="TableText"/>
              <w:widowControl w:val="0"/>
              <w:jc w:val="center"/>
              <w:rPr>
                <w:rFonts w:ascii="Times" w:hAnsi="Times"/>
              </w:rPr>
            </w:pPr>
            <w:r w:rsidRPr="00903174">
              <w:t>0.7889</w:t>
            </w:r>
          </w:p>
        </w:tc>
        <w:tc>
          <w:tcPr>
            <w:tcW w:w="838" w:type="pct"/>
            <w:tcBorders>
              <w:top w:val="single" w:sz="4" w:space="0" w:color="auto"/>
              <w:left w:val="single" w:sz="4" w:space="0" w:color="auto"/>
              <w:bottom w:val="single" w:sz="4" w:space="0" w:color="auto"/>
              <w:right w:val="single" w:sz="4" w:space="0" w:color="auto"/>
            </w:tcBorders>
            <w:vAlign w:val="center"/>
            <w:hideMark/>
          </w:tcPr>
          <w:p w14:paraId="03DE8296" w14:textId="77777777" w:rsidR="0075618C" w:rsidRPr="00903174" w:rsidRDefault="0075618C" w:rsidP="006A07B7">
            <w:pPr>
              <w:pStyle w:val="TableText"/>
              <w:widowControl w:val="0"/>
              <w:jc w:val="center"/>
            </w:pPr>
            <w:r w:rsidRPr="00903174">
              <w:t>0.0600</w:t>
            </w:r>
          </w:p>
        </w:tc>
      </w:tr>
      <w:tr w:rsidR="0075618C" w:rsidRPr="00903174" w14:paraId="73E3FE9D" w14:textId="77777777" w:rsidTr="006A07B7">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7B4A3E4D" w14:textId="77777777" w:rsidR="0075618C" w:rsidRPr="00903174" w:rsidRDefault="0075618C" w:rsidP="006A07B7">
            <w:pPr>
              <w:pStyle w:val="TableText"/>
              <w:widowControl w:val="0"/>
              <w:rPr>
                <w:rFonts w:ascii="Times" w:hAnsi="Times"/>
                <w:b/>
              </w:rPr>
            </w:pPr>
            <w:r w:rsidRPr="00903174">
              <w:rPr>
                <w:b/>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6A44FE7D" w14:textId="77777777" w:rsidR="0075618C" w:rsidRPr="002B69C6" w:rsidRDefault="002B69C6" w:rsidP="006A07B7">
            <w:pPr>
              <w:pStyle w:val="TableText"/>
              <w:widowControl w:val="0"/>
              <w:jc w:val="center"/>
              <w:rPr>
                <w:rFonts w:ascii="Times" w:hAnsi="Times"/>
                <w:b/>
                <w:highlight w:val="black"/>
              </w:rPr>
            </w:pPr>
            <w:r>
              <w:rPr>
                <w:b/>
                <w:noProof/>
                <w:color w:val="000000"/>
                <w:highlight w:val="black"/>
              </w:rPr>
              <w:t>''''''''''''''''''''''</w:t>
            </w:r>
          </w:p>
        </w:tc>
      </w:tr>
    </w:tbl>
    <w:p w14:paraId="0CABBAE2" w14:textId="77777777" w:rsidR="0075618C" w:rsidRPr="00903174" w:rsidRDefault="0075618C" w:rsidP="0075618C">
      <w:pPr>
        <w:pStyle w:val="TableFigureFooter"/>
        <w:keepNext/>
      </w:pPr>
      <w:r w:rsidRPr="00903174">
        <w:t>Source: ‘Attachment 6A. Ultomiris vs Soliris CE – Excel’ of the submission</w:t>
      </w:r>
    </w:p>
    <w:p w14:paraId="332D2EAB" w14:textId="77777777" w:rsidR="0075618C" w:rsidRPr="00903174" w:rsidRDefault="0075618C" w:rsidP="0075618C">
      <w:pPr>
        <w:pStyle w:val="TableFigureFooter"/>
        <w:keepNext/>
      </w:pPr>
      <w:r w:rsidRPr="00903174">
        <w:t>Abbreviation: QALY, quality adjusted life years</w:t>
      </w:r>
    </w:p>
    <w:p w14:paraId="6764234C" w14:textId="77777777" w:rsidR="00D40DA5" w:rsidRPr="00903174" w:rsidRDefault="00D40DA5" w:rsidP="00D40DA5">
      <w:pPr>
        <w:pStyle w:val="ExecSumBodyText"/>
        <w:numPr>
          <w:ilvl w:val="1"/>
          <w:numId w:val="1"/>
        </w:numPr>
      </w:pPr>
      <w:r w:rsidRPr="00903174">
        <w:t>These results should not be considered reliable due to concerns with the modelled outcomes:</w:t>
      </w:r>
    </w:p>
    <w:p w14:paraId="07AAF7E6" w14:textId="77777777" w:rsidR="00DD2B68" w:rsidRPr="00903174" w:rsidRDefault="00DD2B68" w:rsidP="00BB2169">
      <w:pPr>
        <w:pStyle w:val="ExecSumBodyText"/>
        <w:numPr>
          <w:ilvl w:val="1"/>
          <w:numId w:val="13"/>
        </w:numPr>
        <w:spacing w:after="0"/>
        <w:ind w:left="1077" w:hanging="357"/>
      </w:pPr>
      <w:r w:rsidRPr="00903174">
        <w:t>QALYs associated with infusions were dependent on a highly uncertain disutility value due to major concerns with the robustness of the discrete choice experiment and approach used to map preferences to utility values; and</w:t>
      </w:r>
    </w:p>
    <w:p w14:paraId="44F4EB80" w14:textId="77777777" w:rsidR="00DD2B68" w:rsidRPr="00903174" w:rsidRDefault="00DD2B68" w:rsidP="00BB2169">
      <w:pPr>
        <w:pStyle w:val="ExecSumBodyText"/>
        <w:numPr>
          <w:ilvl w:val="1"/>
          <w:numId w:val="13"/>
        </w:numPr>
        <w:ind w:left="1077" w:hanging="357"/>
      </w:pPr>
      <w:r w:rsidRPr="00903174">
        <w:t>There was inadequate justification for the inclusion for BTH events in the model given the claim of fewer BTH events with ravulizumab versus eculizumab was not adequately supported.</w:t>
      </w:r>
    </w:p>
    <w:p w14:paraId="02FB6924" w14:textId="77777777" w:rsidR="00C41726" w:rsidRPr="00903174" w:rsidRDefault="00DD2B68" w:rsidP="00C41726">
      <w:pPr>
        <w:pStyle w:val="ExecSumBodyText"/>
        <w:numPr>
          <w:ilvl w:val="0"/>
          <w:numId w:val="0"/>
        </w:numPr>
      </w:pPr>
      <w:r w:rsidRPr="00903174">
        <w:rPr>
          <w:b/>
          <w:bCs/>
          <w:i/>
        </w:rPr>
        <w:t>Ravulizumab (using eculizumab as a proxy) versus BSC</w:t>
      </w:r>
    </w:p>
    <w:p w14:paraId="01FD432D" w14:textId="77777777" w:rsidR="00B10384" w:rsidRPr="00903174" w:rsidRDefault="00B10384" w:rsidP="00B10384">
      <w:pPr>
        <w:pStyle w:val="ExecSumBodyText"/>
        <w:numPr>
          <w:ilvl w:val="1"/>
          <w:numId w:val="1"/>
        </w:numPr>
      </w:pPr>
      <w:r w:rsidRPr="00903174">
        <w:t>The ESC noted the substantial uncertainty in the modelled economic analyses, and considered the model structure used in the comparison versus BSC lacked face validity and was unlikely to be helpful for decision making.</w:t>
      </w:r>
    </w:p>
    <w:p w14:paraId="6C06D88F" w14:textId="77777777" w:rsidR="0035499B" w:rsidRPr="00903174" w:rsidRDefault="00DD2B68" w:rsidP="0035499B">
      <w:pPr>
        <w:pStyle w:val="ExecSumBodyText"/>
        <w:numPr>
          <w:ilvl w:val="1"/>
          <w:numId w:val="1"/>
        </w:numPr>
      </w:pPr>
      <w:r w:rsidRPr="00903174">
        <w:t xml:space="preserve">The submission presented a stepped economic evaluation of ravulizumab (using eculizumab as a proxy) compared with </w:t>
      </w:r>
      <w:r w:rsidR="00AD1551" w:rsidRPr="00903174">
        <w:t>BSC</w:t>
      </w:r>
      <w:r w:rsidRPr="00903174">
        <w:t xml:space="preserve"> (using historical control as a proxy) for the treatment of paroxysmal nocturnal haemoglobinuria (PNH). The economic model was based on extrapolated survival curves from a retrospective observational study of patients with PNH and other modelled variables. </w:t>
      </w:r>
    </w:p>
    <w:p w14:paraId="5DAED42A" w14:textId="77777777" w:rsidR="00DD2B68" w:rsidRPr="00903174" w:rsidRDefault="00DD2B68" w:rsidP="00DD2B68">
      <w:pPr>
        <w:pStyle w:val="Tableheadingrow"/>
        <w:rPr>
          <w:lang w:val="en-AU"/>
        </w:rPr>
      </w:pPr>
      <w:r w:rsidRPr="00903174">
        <w:rPr>
          <w:lang w:val="en-AU"/>
        </w:rPr>
        <w:t xml:space="preserve">Table </w:t>
      </w:r>
      <w:r w:rsidR="001D6AD7" w:rsidRPr="00903174">
        <w:rPr>
          <w:lang w:val="en-AU"/>
        </w:rPr>
        <w:t>1</w:t>
      </w:r>
      <w:r w:rsidR="0075618C" w:rsidRPr="00903174">
        <w:rPr>
          <w:lang w:val="en-AU"/>
        </w:rPr>
        <w:t>8</w:t>
      </w:r>
      <w:r w:rsidRPr="00903174">
        <w:rPr>
          <w:lang w:val="en-AU"/>
        </w:rPr>
        <w:t>: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3"/>
        <w:gridCol w:w="6894"/>
      </w:tblGrid>
      <w:tr w:rsidR="00DD2B68" w:rsidRPr="00903174" w14:paraId="2E6472B9" w14:textId="77777777" w:rsidTr="0035499B">
        <w:trPr>
          <w:tblHeader/>
        </w:trPr>
        <w:tc>
          <w:tcPr>
            <w:tcW w:w="1177" w:type="pct"/>
            <w:tcBorders>
              <w:top w:val="single" w:sz="4" w:space="0" w:color="auto"/>
              <w:left w:val="single" w:sz="4" w:space="0" w:color="auto"/>
              <w:bottom w:val="single" w:sz="4" w:space="0" w:color="auto"/>
              <w:right w:val="single" w:sz="4" w:space="0" w:color="auto"/>
            </w:tcBorders>
            <w:vAlign w:val="center"/>
            <w:hideMark/>
          </w:tcPr>
          <w:p w14:paraId="170E28F3" w14:textId="77777777" w:rsidR="00DD2B68" w:rsidRPr="00903174" w:rsidRDefault="00DD2B68">
            <w:pPr>
              <w:pStyle w:val="Tableheadingrow"/>
              <w:keepNext w:val="0"/>
              <w:rPr>
                <w:lang w:val="en-AU"/>
              </w:rPr>
            </w:pPr>
            <w:r w:rsidRPr="00903174">
              <w:rPr>
                <w:lang w:val="en-AU"/>
              </w:rPr>
              <w:t>Component</w:t>
            </w:r>
          </w:p>
        </w:tc>
        <w:tc>
          <w:tcPr>
            <w:tcW w:w="3823" w:type="pct"/>
            <w:tcBorders>
              <w:top w:val="single" w:sz="4" w:space="0" w:color="auto"/>
              <w:left w:val="single" w:sz="4" w:space="0" w:color="auto"/>
              <w:bottom w:val="single" w:sz="4" w:space="0" w:color="auto"/>
              <w:right w:val="single" w:sz="4" w:space="0" w:color="auto"/>
            </w:tcBorders>
            <w:hideMark/>
          </w:tcPr>
          <w:p w14:paraId="1545B604" w14:textId="77777777" w:rsidR="00DD2B68" w:rsidRPr="00903174" w:rsidRDefault="00DD2B68">
            <w:pPr>
              <w:pStyle w:val="Tableheadingrow"/>
              <w:keepNext w:val="0"/>
              <w:rPr>
                <w:lang w:val="en-AU"/>
              </w:rPr>
            </w:pPr>
            <w:r w:rsidRPr="00903174">
              <w:rPr>
                <w:lang w:val="en-AU"/>
              </w:rPr>
              <w:t>Description</w:t>
            </w:r>
          </w:p>
        </w:tc>
      </w:tr>
      <w:tr w:rsidR="00DD2B68" w:rsidRPr="00903174" w14:paraId="52D7D756"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5E91F0AE" w14:textId="77777777" w:rsidR="00DD2B68" w:rsidRPr="00903174" w:rsidRDefault="00DD2B68">
            <w:pPr>
              <w:pStyle w:val="TableText"/>
              <w:keepNext w:val="0"/>
            </w:pPr>
            <w:r w:rsidRPr="00903174">
              <w:t>Type of analysis</w:t>
            </w:r>
          </w:p>
        </w:tc>
        <w:tc>
          <w:tcPr>
            <w:tcW w:w="3823" w:type="pct"/>
            <w:tcBorders>
              <w:top w:val="single" w:sz="4" w:space="0" w:color="auto"/>
              <w:left w:val="single" w:sz="4" w:space="0" w:color="auto"/>
              <w:bottom w:val="single" w:sz="4" w:space="0" w:color="auto"/>
              <w:right w:val="single" w:sz="4" w:space="0" w:color="auto"/>
            </w:tcBorders>
            <w:hideMark/>
          </w:tcPr>
          <w:p w14:paraId="1FCB3C5F" w14:textId="77777777" w:rsidR="00DD2B68" w:rsidRPr="00903174" w:rsidRDefault="00DD2B68">
            <w:pPr>
              <w:pStyle w:val="TableText"/>
              <w:keepNext w:val="0"/>
            </w:pPr>
            <w:r w:rsidRPr="00903174">
              <w:t>Cost utility analysis</w:t>
            </w:r>
          </w:p>
        </w:tc>
      </w:tr>
      <w:tr w:rsidR="00DD2B68" w:rsidRPr="00903174" w14:paraId="0096E98E"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3D6CDB61" w14:textId="77777777" w:rsidR="00DD2B68" w:rsidRPr="00903174" w:rsidRDefault="00DD2B68">
            <w:pPr>
              <w:pStyle w:val="TableText"/>
              <w:keepNext w:val="0"/>
            </w:pPr>
            <w:r w:rsidRPr="00903174">
              <w:t>Outcomes</w:t>
            </w:r>
          </w:p>
        </w:tc>
        <w:tc>
          <w:tcPr>
            <w:tcW w:w="3823" w:type="pct"/>
            <w:tcBorders>
              <w:top w:val="single" w:sz="4" w:space="0" w:color="auto"/>
              <w:left w:val="single" w:sz="4" w:space="0" w:color="auto"/>
              <w:bottom w:val="single" w:sz="4" w:space="0" w:color="auto"/>
              <w:right w:val="single" w:sz="4" w:space="0" w:color="auto"/>
            </w:tcBorders>
            <w:hideMark/>
          </w:tcPr>
          <w:p w14:paraId="1428E99D" w14:textId="77777777" w:rsidR="00DD2B68" w:rsidRPr="00903174" w:rsidRDefault="00DD2B68">
            <w:pPr>
              <w:pStyle w:val="TableText"/>
              <w:keepNext w:val="0"/>
            </w:pPr>
            <w:r w:rsidRPr="00903174">
              <w:t>QALYs</w:t>
            </w:r>
          </w:p>
        </w:tc>
      </w:tr>
      <w:tr w:rsidR="00DD2B68" w:rsidRPr="00903174" w14:paraId="4EA8F7CB"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388AA4EF" w14:textId="77777777" w:rsidR="00DD2B68" w:rsidRPr="00903174" w:rsidRDefault="00DD2B68">
            <w:pPr>
              <w:pStyle w:val="TableText"/>
              <w:keepNext w:val="0"/>
            </w:pPr>
            <w:r w:rsidRPr="00903174">
              <w:t>Time horizon</w:t>
            </w:r>
          </w:p>
        </w:tc>
        <w:tc>
          <w:tcPr>
            <w:tcW w:w="3823" w:type="pct"/>
            <w:tcBorders>
              <w:top w:val="single" w:sz="4" w:space="0" w:color="auto"/>
              <w:left w:val="single" w:sz="4" w:space="0" w:color="auto"/>
              <w:bottom w:val="single" w:sz="4" w:space="0" w:color="auto"/>
              <w:right w:val="single" w:sz="4" w:space="0" w:color="auto"/>
            </w:tcBorders>
            <w:hideMark/>
          </w:tcPr>
          <w:p w14:paraId="39E62F14" w14:textId="77777777" w:rsidR="00DD2B68" w:rsidRPr="00903174" w:rsidRDefault="00DD2B68">
            <w:pPr>
              <w:pStyle w:val="TableText"/>
              <w:keepNext w:val="0"/>
            </w:pPr>
            <w:r w:rsidRPr="00903174">
              <w:t>55 years in the model base case versus a maximum of 8 years follow-up in the retrospective observational study (Kelly 2011)</w:t>
            </w:r>
          </w:p>
        </w:tc>
      </w:tr>
      <w:tr w:rsidR="00DD2B68" w:rsidRPr="00903174" w14:paraId="38B0CFC3"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4337054E" w14:textId="77777777" w:rsidR="00DD2B68" w:rsidRPr="00903174" w:rsidRDefault="00DD2B68">
            <w:pPr>
              <w:pStyle w:val="TableText"/>
              <w:keepNext w:val="0"/>
            </w:pPr>
            <w:r w:rsidRPr="00903174">
              <w:t>Methods used to generate results</w:t>
            </w:r>
          </w:p>
        </w:tc>
        <w:tc>
          <w:tcPr>
            <w:tcW w:w="3823" w:type="pct"/>
            <w:tcBorders>
              <w:top w:val="single" w:sz="4" w:space="0" w:color="auto"/>
              <w:left w:val="single" w:sz="4" w:space="0" w:color="auto"/>
              <w:bottom w:val="single" w:sz="4" w:space="0" w:color="auto"/>
              <w:right w:val="single" w:sz="4" w:space="0" w:color="auto"/>
            </w:tcBorders>
            <w:hideMark/>
          </w:tcPr>
          <w:p w14:paraId="30D36405" w14:textId="77777777" w:rsidR="00DD2B68" w:rsidRPr="00903174" w:rsidRDefault="00DD2B68">
            <w:pPr>
              <w:pStyle w:val="TableText"/>
              <w:keepNext w:val="0"/>
            </w:pPr>
            <w:r w:rsidRPr="00903174">
              <w:t xml:space="preserve">Hybrid partitioned survival analysis/Markov cohort model </w:t>
            </w:r>
          </w:p>
        </w:tc>
      </w:tr>
      <w:tr w:rsidR="00DD2B68" w:rsidRPr="00903174" w14:paraId="7D09E5A5"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721F2B4D" w14:textId="77777777" w:rsidR="00DD2B68" w:rsidRPr="00903174" w:rsidRDefault="00DD2B68">
            <w:pPr>
              <w:pStyle w:val="TableText"/>
              <w:keepNext w:val="0"/>
            </w:pPr>
            <w:r w:rsidRPr="00903174">
              <w:t>Health states</w:t>
            </w:r>
          </w:p>
        </w:tc>
        <w:tc>
          <w:tcPr>
            <w:tcW w:w="3823" w:type="pct"/>
            <w:tcBorders>
              <w:top w:val="single" w:sz="4" w:space="0" w:color="auto"/>
              <w:left w:val="single" w:sz="4" w:space="0" w:color="auto"/>
              <w:bottom w:val="single" w:sz="4" w:space="0" w:color="auto"/>
              <w:right w:val="single" w:sz="4" w:space="0" w:color="auto"/>
            </w:tcBorders>
            <w:hideMark/>
          </w:tcPr>
          <w:p w14:paraId="30CD2368" w14:textId="77777777" w:rsidR="00DD2B68" w:rsidRPr="00903174" w:rsidRDefault="00DD2B68">
            <w:pPr>
              <w:pStyle w:val="TableText"/>
              <w:keepNext w:val="0"/>
            </w:pPr>
            <w:r w:rsidRPr="00903174">
              <w:t>Alive with PNH</w:t>
            </w:r>
          </w:p>
          <w:p w14:paraId="48D41F21" w14:textId="77777777" w:rsidR="00DD2B68" w:rsidRPr="00903174" w:rsidRDefault="00DD2B68">
            <w:pPr>
              <w:pStyle w:val="TableText"/>
              <w:keepNext w:val="0"/>
            </w:pPr>
            <w:r w:rsidRPr="00903174">
              <w:t>Alive in remission</w:t>
            </w:r>
          </w:p>
          <w:p w14:paraId="0CBB005F" w14:textId="77777777" w:rsidR="00DD2B68" w:rsidRPr="00903174" w:rsidRDefault="00DD2B68">
            <w:pPr>
              <w:pStyle w:val="TableText"/>
              <w:keepNext w:val="0"/>
            </w:pPr>
            <w:r w:rsidRPr="00903174">
              <w:t>Dead</w:t>
            </w:r>
          </w:p>
        </w:tc>
      </w:tr>
      <w:tr w:rsidR="00DD2B68" w:rsidRPr="00903174" w14:paraId="6D4057A2"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7FBBE06D" w14:textId="77777777" w:rsidR="00DD2B68" w:rsidRPr="00903174" w:rsidRDefault="00DD2B68">
            <w:pPr>
              <w:pStyle w:val="TableText"/>
              <w:keepNext w:val="0"/>
            </w:pPr>
            <w:r w:rsidRPr="00903174">
              <w:t>Cycle length</w:t>
            </w:r>
          </w:p>
        </w:tc>
        <w:tc>
          <w:tcPr>
            <w:tcW w:w="3823" w:type="pct"/>
            <w:tcBorders>
              <w:top w:val="single" w:sz="4" w:space="0" w:color="auto"/>
              <w:left w:val="single" w:sz="4" w:space="0" w:color="auto"/>
              <w:bottom w:val="single" w:sz="4" w:space="0" w:color="auto"/>
              <w:right w:val="single" w:sz="4" w:space="0" w:color="auto"/>
            </w:tcBorders>
            <w:hideMark/>
          </w:tcPr>
          <w:p w14:paraId="659DAE9B" w14:textId="77777777" w:rsidR="00DD2B68" w:rsidRPr="00903174" w:rsidRDefault="00DD2B68">
            <w:pPr>
              <w:pStyle w:val="TableText"/>
              <w:keepNext w:val="0"/>
            </w:pPr>
            <w:r w:rsidRPr="00903174">
              <w:t>1 year</w:t>
            </w:r>
          </w:p>
        </w:tc>
      </w:tr>
      <w:tr w:rsidR="00DD2B68" w:rsidRPr="00903174" w14:paraId="27EA187F"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586ECE32" w14:textId="77777777" w:rsidR="00DD2B68" w:rsidRPr="00903174" w:rsidRDefault="00DD2B68">
            <w:pPr>
              <w:pStyle w:val="TableText"/>
              <w:keepNext w:val="0"/>
            </w:pPr>
            <w:r w:rsidRPr="00903174">
              <w:t>Transition probabilities</w:t>
            </w:r>
          </w:p>
        </w:tc>
        <w:tc>
          <w:tcPr>
            <w:tcW w:w="3823" w:type="pct"/>
            <w:tcBorders>
              <w:top w:val="single" w:sz="4" w:space="0" w:color="auto"/>
              <w:left w:val="single" w:sz="4" w:space="0" w:color="auto"/>
              <w:bottom w:val="single" w:sz="4" w:space="0" w:color="auto"/>
              <w:right w:val="single" w:sz="4" w:space="0" w:color="auto"/>
            </w:tcBorders>
          </w:tcPr>
          <w:p w14:paraId="2DE9472E" w14:textId="77777777" w:rsidR="00DD2B68" w:rsidRPr="00903174" w:rsidRDefault="00DD2B68">
            <w:pPr>
              <w:pStyle w:val="TableText"/>
              <w:keepNext w:val="0"/>
            </w:pPr>
            <w:r w:rsidRPr="00903174">
              <w:t>Separately modelled overall survival curves for ravulizumab (using eculizumab as a proxy) and BSC (using historical control as a proxy) using parametric distributions over the whole model duration. Models were based on reconstructed Kaplan-Meier curves from the Kelly 2011 retrospective study by digitisation of published figures and assumptions.</w:t>
            </w:r>
            <w:r w:rsidR="008F28D2" w:rsidRPr="00903174">
              <w:t xml:space="preserve"> </w:t>
            </w:r>
            <w:r w:rsidR="00711087" w:rsidRPr="00903174">
              <w:t>The ESC considered the applicability of the Kelly 2011 retrospective study to represent contemporary BSC was unclear</w:t>
            </w:r>
            <w:r w:rsidR="00E008E6" w:rsidRPr="00903174">
              <w:t xml:space="preserve"> and likely underestimated survival in the BSC arm</w:t>
            </w:r>
            <w:r w:rsidR="008F28D2" w:rsidRPr="00903174">
              <w:t>.</w:t>
            </w:r>
            <w:r w:rsidRPr="00903174">
              <w:t xml:space="preserve"> A survival cap was included based on age-adjusted mortality in the Australian population. </w:t>
            </w:r>
          </w:p>
          <w:p w14:paraId="695C8294" w14:textId="77777777" w:rsidR="00DD2B68" w:rsidRPr="00903174" w:rsidRDefault="00DD2B68">
            <w:pPr>
              <w:pStyle w:val="TableText"/>
              <w:keepNext w:val="0"/>
            </w:pPr>
          </w:p>
          <w:p w14:paraId="1D0A63ED" w14:textId="77777777" w:rsidR="00DD2B68" w:rsidRPr="00903174" w:rsidRDefault="00DD2B68">
            <w:pPr>
              <w:pStyle w:val="TableText"/>
              <w:keepNext w:val="0"/>
            </w:pPr>
            <w:r w:rsidRPr="00903174">
              <w:t xml:space="preserve">A spontaneous remission transition probability was derived from a natural history study of PNH based on 80 patients in a UK hospital between 1940 and 1970 (Hillmen 1995). The </w:t>
            </w:r>
            <w:r w:rsidRPr="00903174">
              <w:lastRenderedPageBreak/>
              <w:t xml:space="preserve">probability of death in the alive in remission health state was based on age-adjusted general population mortality in the Australian population). </w:t>
            </w:r>
          </w:p>
          <w:p w14:paraId="32A82DC0" w14:textId="77777777" w:rsidR="00DD2B68" w:rsidRPr="00903174" w:rsidRDefault="00DD2B68">
            <w:pPr>
              <w:pStyle w:val="TableText"/>
              <w:keepNext w:val="0"/>
            </w:pPr>
          </w:p>
          <w:p w14:paraId="78EFF07E" w14:textId="77777777" w:rsidR="00DD2B68" w:rsidRPr="00903174" w:rsidRDefault="00DD2B68" w:rsidP="0022111E">
            <w:pPr>
              <w:pStyle w:val="TableText"/>
              <w:keepNext w:val="0"/>
            </w:pPr>
            <w:r w:rsidRPr="00903174">
              <w:t>83% of incremental life years (alive with PNH), 98% of incremental life years (alive in remission), 75% of incremental QALYs and 54% of incremental costs are accr</w:t>
            </w:r>
            <w:r w:rsidR="0022111E" w:rsidRPr="00903174">
              <w:t>ued in the extrapolated period.</w:t>
            </w:r>
          </w:p>
        </w:tc>
      </w:tr>
      <w:tr w:rsidR="00DD2B68" w:rsidRPr="00903174" w14:paraId="6AFBFBA2"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5ABA8A64" w14:textId="77777777" w:rsidR="00DD2B68" w:rsidRPr="00903174" w:rsidRDefault="00DD2B68">
            <w:pPr>
              <w:pStyle w:val="TableText"/>
              <w:keepNext w:val="0"/>
            </w:pPr>
            <w:r w:rsidRPr="00903174">
              <w:lastRenderedPageBreak/>
              <w:t>Health related quality of life</w:t>
            </w:r>
          </w:p>
        </w:tc>
        <w:tc>
          <w:tcPr>
            <w:tcW w:w="3823" w:type="pct"/>
            <w:tcBorders>
              <w:top w:val="single" w:sz="4" w:space="0" w:color="auto"/>
              <w:left w:val="single" w:sz="4" w:space="0" w:color="auto"/>
              <w:bottom w:val="single" w:sz="4" w:space="0" w:color="auto"/>
              <w:right w:val="single" w:sz="4" w:space="0" w:color="auto"/>
            </w:tcBorders>
          </w:tcPr>
          <w:p w14:paraId="415BF864" w14:textId="77777777" w:rsidR="00DD2B68" w:rsidRPr="00903174" w:rsidRDefault="00DD2B68">
            <w:pPr>
              <w:pStyle w:val="TableText"/>
              <w:keepNext w:val="0"/>
            </w:pPr>
            <w:r w:rsidRPr="00903174">
              <w:t>Baseline PNH utility (both arms): 0.7559</w:t>
            </w:r>
          </w:p>
          <w:p w14:paraId="0054FAE9" w14:textId="77777777" w:rsidR="00DD2B68" w:rsidRPr="00903174" w:rsidRDefault="00DD2B68">
            <w:pPr>
              <w:pStyle w:val="TableText"/>
              <w:keepNext w:val="0"/>
            </w:pPr>
            <w:r w:rsidRPr="00903174">
              <w:t>Ravulizumab non-specific disease-related utility gain: 0.1012</w:t>
            </w:r>
          </w:p>
          <w:p w14:paraId="572A634E" w14:textId="77777777" w:rsidR="00DD2B68" w:rsidRPr="00903174" w:rsidRDefault="00DD2B68">
            <w:pPr>
              <w:pStyle w:val="TableText"/>
              <w:keepNext w:val="0"/>
            </w:pPr>
            <w:r w:rsidRPr="00903174">
              <w:t>BSC non-specific disease-related disutility: -0.0610</w:t>
            </w:r>
          </w:p>
          <w:p w14:paraId="10309D0E" w14:textId="77777777" w:rsidR="00DD2B68" w:rsidRPr="00903174" w:rsidRDefault="00DD2B68">
            <w:pPr>
              <w:pStyle w:val="TableText"/>
              <w:keepNext w:val="0"/>
            </w:pPr>
            <w:r w:rsidRPr="00903174">
              <w:t>Thromboembolic events disutility (distributed across treatment arms using rates of thromboembolic events derived from Kelly 2011 and assumptions): -0.0750</w:t>
            </w:r>
          </w:p>
          <w:p w14:paraId="3405CB4C" w14:textId="77777777" w:rsidR="00DD2B68" w:rsidRPr="00903174" w:rsidRDefault="00DD2B68">
            <w:pPr>
              <w:pStyle w:val="TableText"/>
              <w:keepNext w:val="0"/>
            </w:pPr>
            <w:r w:rsidRPr="00903174">
              <w:t>Ravulizumab reduced infusion frequency utility gain: 0.0580</w:t>
            </w:r>
          </w:p>
          <w:p w14:paraId="5D54F8B3" w14:textId="77777777" w:rsidR="00DD2B68" w:rsidRPr="00903174" w:rsidRDefault="00DD2B68">
            <w:pPr>
              <w:pStyle w:val="TableText"/>
              <w:keepNext w:val="0"/>
            </w:pPr>
          </w:p>
          <w:p w14:paraId="1FD5DFEB" w14:textId="77777777" w:rsidR="008F28D2" w:rsidRPr="00903174" w:rsidRDefault="00DD2B68">
            <w:pPr>
              <w:pStyle w:val="TableText"/>
              <w:keepNext w:val="0"/>
            </w:pPr>
            <w:r w:rsidRPr="00903174">
              <w:t xml:space="preserve">Utility data were based on quality of life scores (EORTC QLQ-C30) from TRIUMPH and SHEPHERD eculizumab studies mapped to utility values (EQ-5D-3L), published estimates (Lloyd 2018, Lloyd 2019 unpublished discrete choice experiment, Szende 2014) and assumptions. Utility values were capped in the ravulizumab arm to reflect the utility value of the general population. </w:t>
            </w:r>
          </w:p>
        </w:tc>
      </w:tr>
      <w:tr w:rsidR="00DD2B68" w:rsidRPr="00903174" w14:paraId="4887A0F4" w14:textId="77777777" w:rsidTr="00DD2B68">
        <w:tc>
          <w:tcPr>
            <w:tcW w:w="1177" w:type="pct"/>
            <w:tcBorders>
              <w:top w:val="single" w:sz="4" w:space="0" w:color="auto"/>
              <w:left w:val="single" w:sz="4" w:space="0" w:color="auto"/>
              <w:bottom w:val="single" w:sz="4" w:space="0" w:color="auto"/>
              <w:right w:val="single" w:sz="4" w:space="0" w:color="auto"/>
            </w:tcBorders>
            <w:vAlign w:val="center"/>
            <w:hideMark/>
          </w:tcPr>
          <w:p w14:paraId="5FF157B5" w14:textId="77777777" w:rsidR="00DD2B68" w:rsidRPr="00903174" w:rsidRDefault="00DD2B68">
            <w:pPr>
              <w:pStyle w:val="TableText"/>
              <w:keepNext w:val="0"/>
            </w:pPr>
            <w:r w:rsidRPr="00903174">
              <w:t>Health resource use and costs</w:t>
            </w:r>
          </w:p>
        </w:tc>
        <w:tc>
          <w:tcPr>
            <w:tcW w:w="3823" w:type="pct"/>
            <w:tcBorders>
              <w:top w:val="single" w:sz="4" w:space="0" w:color="auto"/>
              <w:left w:val="single" w:sz="4" w:space="0" w:color="auto"/>
              <w:bottom w:val="single" w:sz="4" w:space="0" w:color="auto"/>
              <w:right w:val="single" w:sz="4" w:space="0" w:color="auto"/>
            </w:tcBorders>
          </w:tcPr>
          <w:p w14:paraId="48BE9D49" w14:textId="77777777" w:rsidR="00DD2B68" w:rsidRPr="00903174" w:rsidRDefault="00DD2B68">
            <w:pPr>
              <w:pStyle w:val="TableText"/>
              <w:keepNext w:val="0"/>
            </w:pPr>
            <w:r w:rsidRPr="00903174">
              <w:t>Ravulizumab drug costs were estimated using the requested price of ravulizumab ($</w:t>
            </w:r>
            <w:r w:rsidR="00DF28C6">
              <w:rPr>
                <w:noProof/>
                <w:color w:val="000000"/>
                <w:highlight w:val="black"/>
              </w:rPr>
              <w:t>''''''''''''''</w:t>
            </w:r>
            <w:r w:rsidRPr="00903174">
              <w:t xml:space="preserve"> per vial) and estimated vial use based on trial-based weight distributions (</w:t>
            </w:r>
            <w:r w:rsidR="00DF28C6">
              <w:rPr>
                <w:noProof/>
                <w:color w:val="000000"/>
                <w:highlight w:val="black"/>
              </w:rPr>
              <w:t>''''''''''''</w:t>
            </w:r>
            <w:r w:rsidRPr="00903174">
              <w:t xml:space="preserve"> initial year, </w:t>
            </w:r>
            <w:r w:rsidR="00DF28C6">
              <w:rPr>
                <w:noProof/>
                <w:color w:val="000000"/>
                <w:highlight w:val="black"/>
              </w:rPr>
              <w:t>''''''''''</w:t>
            </w:r>
            <w:r w:rsidRPr="00903174">
              <w:t xml:space="preserve"> subsequent years). Administration costs were based on the cost of an IV infusion for 2 hours or more ($99.50) and number of infusions per year (8 initial year, 6.5 subsequent years). Meningococcal vaccine one-off drug costs of $71.45. </w:t>
            </w:r>
          </w:p>
          <w:p w14:paraId="53A4CDE3" w14:textId="77777777" w:rsidR="00DD2B68" w:rsidRPr="00903174" w:rsidRDefault="00DD2B68">
            <w:pPr>
              <w:pStyle w:val="TableText"/>
              <w:keepNext w:val="0"/>
            </w:pPr>
          </w:p>
          <w:p w14:paraId="747B6B88" w14:textId="77777777" w:rsidR="00DD2B68" w:rsidRPr="00903174" w:rsidRDefault="00DD2B68">
            <w:pPr>
              <w:pStyle w:val="TableText"/>
              <w:keepNext w:val="0"/>
            </w:pPr>
            <w:r w:rsidRPr="00903174">
              <w:t xml:space="preserve">RBC transfusion costs were estimated based on the manufacturing cost per blood bag ($402) and MBS procedure cost ($121) and an estimated number of transfusions in the ravulizumab (5.0 per year) and BSC (19.3 per year) arms from the Kelly 2011 retrospective study. </w:t>
            </w:r>
          </w:p>
          <w:p w14:paraId="3DD93A17" w14:textId="77777777" w:rsidR="00DD2B68" w:rsidRPr="00903174" w:rsidRDefault="00DD2B68">
            <w:pPr>
              <w:pStyle w:val="TableText"/>
              <w:keepNext w:val="0"/>
            </w:pPr>
          </w:p>
          <w:p w14:paraId="51965D98" w14:textId="77777777" w:rsidR="00DD2B68" w:rsidRPr="00903174" w:rsidRDefault="00DD2B68">
            <w:pPr>
              <w:pStyle w:val="TableText"/>
              <w:keepNext w:val="0"/>
            </w:pPr>
            <w:r w:rsidRPr="00903174">
              <w:t>The cost of specialist visits was based on MBS consultation costs an assumed number of visits per year ($221 initial year, $177 subsequent years). Anticoagulation costs were calculated as an average annual cost based on warfarin/rivaroxaban ($757 per year).</w:t>
            </w:r>
          </w:p>
          <w:p w14:paraId="109176E0" w14:textId="77777777" w:rsidR="00DD2B68" w:rsidRPr="00903174" w:rsidRDefault="00DD2B68">
            <w:pPr>
              <w:pStyle w:val="TableText"/>
              <w:keepNext w:val="0"/>
            </w:pPr>
          </w:p>
          <w:p w14:paraId="378A1D02" w14:textId="77777777" w:rsidR="00DD2B68" w:rsidRPr="00903174" w:rsidRDefault="00DD2B68">
            <w:pPr>
              <w:pStyle w:val="TableText"/>
              <w:keepNext w:val="0"/>
            </w:pPr>
            <w:r w:rsidRPr="00903174">
              <w:t>All costs were only attributed to patients remaining in the alive with PNH health state.</w:t>
            </w:r>
          </w:p>
        </w:tc>
      </w:tr>
    </w:tbl>
    <w:p w14:paraId="16369892" w14:textId="77777777" w:rsidR="00DD2B68" w:rsidRPr="00903174" w:rsidRDefault="00DD2B68" w:rsidP="00DD2B68">
      <w:pPr>
        <w:pStyle w:val="TableFooter"/>
      </w:pPr>
      <w:r w:rsidRPr="00903174">
        <w:t>Source: Table 111, p 241 of the submission</w:t>
      </w:r>
    </w:p>
    <w:p w14:paraId="4787CA0B" w14:textId="77777777" w:rsidR="00DD2B68" w:rsidRPr="00903174" w:rsidRDefault="00DD2B68" w:rsidP="00DD2B68">
      <w:pPr>
        <w:pStyle w:val="TableFooter"/>
      </w:pPr>
      <w:r w:rsidRPr="00903174">
        <w:t>Abbreviations: BSC, best supportive care; EORTC QLQ-C30, European Organization for Research and Treatment of Cancer quality of life questionnaire; EQ-5D-3L, EuroQol 5-dimension 3-level quality of life questionnaire; PNH, paroxysmal nocturnal haemoglobinuria; QALY, quality adjusted life  year; RBC, red blood cell.</w:t>
      </w:r>
    </w:p>
    <w:p w14:paraId="3F5ED9E5" w14:textId="77777777" w:rsidR="00DD2B68" w:rsidRPr="00903174" w:rsidRDefault="00DD2B68" w:rsidP="00DD2B68">
      <w:pPr>
        <w:pStyle w:val="TableFooter"/>
        <w:rPr>
          <w:sz w:val="20"/>
        </w:rPr>
      </w:pPr>
    </w:p>
    <w:p w14:paraId="34D9EE20" w14:textId="77777777" w:rsidR="00DD2B68" w:rsidRPr="00903174" w:rsidRDefault="00DD2B68" w:rsidP="00415038">
      <w:pPr>
        <w:pStyle w:val="ExecSumBodyText"/>
        <w:numPr>
          <w:ilvl w:val="1"/>
          <w:numId w:val="1"/>
        </w:numPr>
      </w:pPr>
      <w:r w:rsidRPr="00903174">
        <w:t>A hybrid partitioned survival/Markov cohort design was used to distribute patients between health states in the model. The modelled overall survival curves for ravulizumab and BSC, and a transition probability for spontaneous remission were used to distribute patients between the model health states:</w:t>
      </w:r>
    </w:p>
    <w:p w14:paraId="2791037D" w14:textId="77777777" w:rsidR="00DD2B68" w:rsidRPr="00903174" w:rsidRDefault="00DD2B68" w:rsidP="00BB2169">
      <w:pPr>
        <w:pStyle w:val="ExecSumBodyText"/>
        <w:numPr>
          <w:ilvl w:val="0"/>
          <w:numId w:val="14"/>
        </w:numPr>
        <w:snapToGrid w:val="0"/>
        <w:spacing w:after="0"/>
        <w:ind w:left="1105" w:hanging="357"/>
      </w:pPr>
      <w:r w:rsidRPr="00903174">
        <w:t>Alive with PNH – based on the area below the overall survival curve minus patients in the alive in remission health state;</w:t>
      </w:r>
    </w:p>
    <w:p w14:paraId="013F9F4A" w14:textId="77777777" w:rsidR="00DD2B68" w:rsidRPr="00903174" w:rsidRDefault="00DD2B68" w:rsidP="00BB2169">
      <w:pPr>
        <w:pStyle w:val="ExecSumBodyText"/>
        <w:numPr>
          <w:ilvl w:val="0"/>
          <w:numId w:val="15"/>
        </w:numPr>
        <w:snapToGrid w:val="0"/>
        <w:spacing w:after="0"/>
      </w:pPr>
      <w:r w:rsidRPr="00903174">
        <w:t xml:space="preserve">Alive in remission – based on the spontaneous remission transition probability applied to the proportion remaining in the alive with PNH health state. Patients in this health state can also progress to death due to background mortality; and </w:t>
      </w:r>
    </w:p>
    <w:p w14:paraId="00CE9B4D" w14:textId="77777777" w:rsidR="0058401B" w:rsidRPr="00903174" w:rsidRDefault="00DD2B68" w:rsidP="0058401B">
      <w:pPr>
        <w:pStyle w:val="ExecSumBodyText"/>
        <w:numPr>
          <w:ilvl w:val="0"/>
          <w:numId w:val="15"/>
        </w:numPr>
        <w:snapToGrid w:val="0"/>
      </w:pPr>
      <w:r w:rsidRPr="00903174">
        <w:t>Dead – based on the area above the overall survival curve</w:t>
      </w:r>
      <w:r w:rsidR="00B4390A" w:rsidRPr="00903174">
        <w:t xml:space="preserve">. </w:t>
      </w:r>
      <w:r w:rsidRPr="00903174">
        <w:t xml:space="preserve"> </w:t>
      </w:r>
    </w:p>
    <w:p w14:paraId="11287C0B" w14:textId="77777777" w:rsidR="00DD2B68" w:rsidRPr="00903174" w:rsidRDefault="00DD2B68" w:rsidP="00415038">
      <w:pPr>
        <w:pStyle w:val="ExecSumBodyText"/>
        <w:numPr>
          <w:ilvl w:val="1"/>
          <w:numId w:val="1"/>
        </w:numPr>
      </w:pPr>
      <w:r w:rsidRPr="00903174">
        <w:t xml:space="preserve">The relationship between survival curves and health states in the economic model is illustrated in the figures below. </w:t>
      </w:r>
    </w:p>
    <w:p w14:paraId="592B7145" w14:textId="77777777" w:rsidR="00D81E68" w:rsidRPr="00903174" w:rsidRDefault="00D81E68" w:rsidP="00E96BB7">
      <w:pPr>
        <w:pStyle w:val="TableHeading"/>
        <w:spacing w:after="0"/>
      </w:pPr>
      <w:r w:rsidRPr="00903174">
        <w:lastRenderedPageBreak/>
        <w:t>Figure 1: Proportion of patients in each health state based on the BSC arm</w:t>
      </w:r>
    </w:p>
    <w:p w14:paraId="72A54941" w14:textId="77777777" w:rsidR="00D81E68" w:rsidRPr="00903174" w:rsidRDefault="00D81E68" w:rsidP="00D81E68">
      <w:pPr>
        <w:pStyle w:val="TableFooter"/>
      </w:pPr>
      <w:r w:rsidRPr="00903174">
        <w:rPr>
          <w:noProof/>
          <w:lang w:eastAsia="en-AU"/>
        </w:rPr>
        <w:drawing>
          <wp:inline distT="0" distB="0" distL="0" distR="0" wp14:anchorId="522043F4" wp14:editId="3ADBC800">
            <wp:extent cx="4305300" cy="3752850"/>
            <wp:effectExtent l="0" t="0" r="0" b="0"/>
            <wp:docPr id="1009" name="Picture 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5300" cy="3752850"/>
                    </a:xfrm>
                    <a:prstGeom prst="rect">
                      <a:avLst/>
                    </a:prstGeom>
                    <a:noFill/>
                    <a:ln>
                      <a:noFill/>
                    </a:ln>
                  </pic:spPr>
                </pic:pic>
              </a:graphicData>
            </a:graphic>
          </wp:inline>
        </w:drawing>
      </w:r>
    </w:p>
    <w:p w14:paraId="49F83B66" w14:textId="77777777" w:rsidR="00D81E68" w:rsidRPr="00903174" w:rsidRDefault="00D81E68" w:rsidP="00D81E68">
      <w:pPr>
        <w:pStyle w:val="TableFooter"/>
      </w:pPr>
      <w:r w:rsidRPr="00903174">
        <w:t>Source: Figure 56, p 244 of the submission</w:t>
      </w:r>
    </w:p>
    <w:p w14:paraId="530B8A66" w14:textId="77777777" w:rsidR="00D81E68" w:rsidRPr="00903174" w:rsidRDefault="00D81E68" w:rsidP="00D81E68">
      <w:pPr>
        <w:pStyle w:val="TableFooter"/>
      </w:pPr>
    </w:p>
    <w:p w14:paraId="7CC95CCB" w14:textId="77777777" w:rsidR="00D81E68" w:rsidRPr="00903174" w:rsidRDefault="00D81E68" w:rsidP="00E96BB7">
      <w:pPr>
        <w:pStyle w:val="TableHeading"/>
        <w:spacing w:after="0"/>
      </w:pPr>
      <w:r w:rsidRPr="00903174">
        <w:t>Figure 2: Proportion of patients in each health state based on the ravulizumab arm</w:t>
      </w:r>
    </w:p>
    <w:p w14:paraId="53F9CD9B" w14:textId="77777777" w:rsidR="00D81E68" w:rsidRPr="00903174" w:rsidRDefault="00D81E68" w:rsidP="00D81E68">
      <w:pPr>
        <w:rPr>
          <w:color w:val="3366FF"/>
        </w:rPr>
      </w:pPr>
      <w:r w:rsidRPr="00903174">
        <w:rPr>
          <w:noProof/>
          <w:color w:val="3366FF"/>
        </w:rPr>
        <w:drawing>
          <wp:inline distT="0" distB="0" distL="0" distR="0" wp14:anchorId="1C94721B" wp14:editId="05EA41F1">
            <wp:extent cx="4095750" cy="3543300"/>
            <wp:effectExtent l="0" t="0" r="0" b="0"/>
            <wp:docPr id="1008" name="Picture 1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3543300"/>
                    </a:xfrm>
                    <a:prstGeom prst="rect">
                      <a:avLst/>
                    </a:prstGeom>
                    <a:noFill/>
                    <a:ln>
                      <a:noFill/>
                    </a:ln>
                  </pic:spPr>
                </pic:pic>
              </a:graphicData>
            </a:graphic>
          </wp:inline>
        </w:drawing>
      </w:r>
    </w:p>
    <w:p w14:paraId="3151A8DF" w14:textId="77777777" w:rsidR="00D81E68" w:rsidRPr="00903174" w:rsidRDefault="00D81E68" w:rsidP="00D81E68">
      <w:pPr>
        <w:pStyle w:val="TableFooter"/>
      </w:pPr>
      <w:r w:rsidRPr="00903174">
        <w:t>Source: Figure 57, p 245 of the submission</w:t>
      </w:r>
    </w:p>
    <w:p w14:paraId="24C84CA1" w14:textId="77777777" w:rsidR="00FB4009" w:rsidRPr="00903174" w:rsidRDefault="00FB4009" w:rsidP="00FB4009">
      <w:pPr>
        <w:pStyle w:val="TableFooter"/>
      </w:pPr>
    </w:p>
    <w:p w14:paraId="33307942" w14:textId="77777777" w:rsidR="00D81E68" w:rsidRPr="00903174" w:rsidRDefault="00D81E68" w:rsidP="00D81E68">
      <w:pPr>
        <w:pStyle w:val="TableFooter"/>
      </w:pPr>
    </w:p>
    <w:p w14:paraId="65A8985D" w14:textId="77777777" w:rsidR="00D81E68" w:rsidRPr="00903174" w:rsidRDefault="00D81E68" w:rsidP="00415038">
      <w:pPr>
        <w:pStyle w:val="ExecSumBodyText"/>
        <w:numPr>
          <w:ilvl w:val="1"/>
          <w:numId w:val="1"/>
        </w:numPr>
      </w:pPr>
      <w:r w:rsidRPr="00903174">
        <w:t>Due to model structure, there was no explicit relationship between treatment effect, the risk of thromboembolic events, blood transfusions and overall survival. This approach may be reasonable in instances where the relationship between these components is fully preserved (e.g. data informing the modelled components is fully captured over the model duration). However, there was considerable uncertainty with the robustness of the comparison between eculizumab and a historical cohort that formed the basis of model inputs in the first 8 years of the model and additional concerns with the reliability of modelled survival curves over the 55 year duration.</w:t>
      </w:r>
    </w:p>
    <w:p w14:paraId="0FEA1B41" w14:textId="77777777" w:rsidR="00D81E68" w:rsidRPr="00903174" w:rsidRDefault="00D81E68" w:rsidP="00415038">
      <w:pPr>
        <w:pStyle w:val="ExecSumBodyText"/>
        <w:numPr>
          <w:ilvl w:val="1"/>
          <w:numId w:val="1"/>
        </w:numPr>
      </w:pPr>
      <w:r w:rsidRPr="00903174">
        <w:t>There was added structural uncertainty due to the inclusion of a spontaneous remission health state within a partitioned survival analysis. A correction in the model was required to ensure that the model meets face validity. Beyond Year 27 in the model, the proportion of patients in the alive in remission health state exceeds the overall survival curve in the BSC arm of the model. The base case was revised during the evaluation with the inclusion of a correction for deaths.</w:t>
      </w:r>
    </w:p>
    <w:p w14:paraId="23243C92" w14:textId="77777777" w:rsidR="00D81E68" w:rsidRPr="00903174" w:rsidRDefault="00D81E68" w:rsidP="00415038">
      <w:pPr>
        <w:pStyle w:val="ExecSumBodyText"/>
        <w:numPr>
          <w:ilvl w:val="1"/>
          <w:numId w:val="1"/>
        </w:numPr>
      </w:pPr>
      <w:r w:rsidRPr="00903174">
        <w:t>The inclusion of a reduced infusion frequency utility gain in patients treated with ravulizumab was inappropriate</w:t>
      </w:r>
      <w:r w:rsidR="004D141A" w:rsidRPr="00903174">
        <w:t>, as</w:t>
      </w:r>
      <w:r w:rsidRPr="00903174">
        <w:t xml:space="preserve"> </w:t>
      </w:r>
      <w:r w:rsidR="004D141A" w:rsidRPr="00903174">
        <w:t>this is a comparison against</w:t>
      </w:r>
      <w:r w:rsidRPr="00903174">
        <w:t xml:space="preserve"> </w:t>
      </w:r>
      <w:r w:rsidR="00940C7B" w:rsidRPr="00903174">
        <w:t>BSC</w:t>
      </w:r>
      <w:r w:rsidRPr="00903174">
        <w:t>.</w:t>
      </w:r>
    </w:p>
    <w:p w14:paraId="40346A1B" w14:textId="77777777" w:rsidR="00D81E68" w:rsidRPr="00903174" w:rsidRDefault="00D81E68" w:rsidP="00415038">
      <w:pPr>
        <w:pStyle w:val="ExecSumBodyText"/>
        <w:numPr>
          <w:ilvl w:val="1"/>
          <w:numId w:val="1"/>
        </w:numPr>
      </w:pPr>
      <w:r w:rsidRPr="00903174">
        <w:t>The submission used data from the Kelly (2011) study of PNH patients treated with eculizumab to estimate the rate of thromboembolic (TE) events in the economic model. There were concerns with the reliability of rates of TE events based on the Kelly (2011) study given the same study sample was used to determine the rates before and after eculizumab treatment. There is potential for survivor bias as well as confounding due to changes in anticoagulation management over time, particularly in patients experiencing a prior event. The submission did not adequately justify the use of an incidence estimate as the rate of events in the BSC arm, or the inappropriate calculation of a rate estimate for ravulizumab using a rate ratio and an incidence</w:t>
      </w:r>
      <w:r w:rsidR="00B4390A" w:rsidRPr="00903174">
        <w:t xml:space="preserve">. </w:t>
      </w:r>
    </w:p>
    <w:p w14:paraId="35D76912" w14:textId="77777777" w:rsidR="00D81E68" w:rsidRPr="00903174" w:rsidRDefault="00D81E68" w:rsidP="00415038">
      <w:pPr>
        <w:pStyle w:val="ExecSumBodyText"/>
        <w:numPr>
          <w:ilvl w:val="1"/>
          <w:numId w:val="1"/>
        </w:numPr>
      </w:pPr>
      <w:r w:rsidRPr="00903174">
        <w:t>Transfusion costs are likely to be overestimated as they were based on transfusion requirements from an older, retrospective observational study that was unlikely to be applicable to the PBS population (Kelly 2011). Data from the key trials suggest considerably lower transfusion requirements with best supportive care, and smaller numbers of transfusions avoided with ravulizumab treatment. The submission inappropriately assumed that each unit of blood represented one transfusion.</w:t>
      </w:r>
    </w:p>
    <w:p w14:paraId="23E6BA85" w14:textId="77777777" w:rsidR="00D81E68" w:rsidRPr="00903174" w:rsidRDefault="00D81E68" w:rsidP="00415038">
      <w:pPr>
        <w:pStyle w:val="ExecSumBodyText"/>
        <w:numPr>
          <w:ilvl w:val="1"/>
          <w:numId w:val="1"/>
        </w:numPr>
      </w:pPr>
      <w:r w:rsidRPr="00903174">
        <w:t>To estimate ravulizumab drug costs, the submission assumed weight distributions from Trial 301 are applicable to the Australian population. This assumption was inadequately justified. Weight distributions from other sources (Trial 302 and Australian PNH registry patients) suggest that there may be more patients in higher weight categories in the PBS population compared with the Trial 301 population.</w:t>
      </w:r>
    </w:p>
    <w:p w14:paraId="658E5821" w14:textId="77777777" w:rsidR="00D81E68" w:rsidRPr="00903174" w:rsidRDefault="00D81E68" w:rsidP="00415038">
      <w:pPr>
        <w:pStyle w:val="ExecSumBodyText"/>
        <w:numPr>
          <w:ilvl w:val="1"/>
          <w:numId w:val="1"/>
        </w:numPr>
      </w:pPr>
      <w:r w:rsidRPr="00903174">
        <w:t>Key drivers of the economic model are summarised in the table below.</w:t>
      </w:r>
    </w:p>
    <w:p w14:paraId="20D7E5B2" w14:textId="77777777" w:rsidR="00D81E68" w:rsidRPr="00903174" w:rsidRDefault="00D81E68" w:rsidP="00D81E68">
      <w:pPr>
        <w:pStyle w:val="TableHeading"/>
        <w:spacing w:after="0"/>
      </w:pPr>
      <w:r w:rsidRPr="00903174">
        <w:t xml:space="preserve">Table </w:t>
      </w:r>
      <w:r w:rsidR="0075618C" w:rsidRPr="00903174">
        <w:t>19</w:t>
      </w:r>
      <w:r w:rsidRPr="00903174">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9"/>
        <w:gridCol w:w="6243"/>
        <w:gridCol w:w="1225"/>
      </w:tblGrid>
      <w:tr w:rsidR="00D81E68" w:rsidRPr="00903174" w14:paraId="38C1BD90" w14:textId="77777777" w:rsidTr="00D81E68">
        <w:trPr>
          <w:tblHeader/>
        </w:trPr>
        <w:tc>
          <w:tcPr>
            <w:tcW w:w="859" w:type="pct"/>
            <w:tcBorders>
              <w:top w:val="single" w:sz="4" w:space="0" w:color="auto"/>
              <w:left w:val="single" w:sz="4" w:space="0" w:color="auto"/>
              <w:bottom w:val="single" w:sz="4" w:space="0" w:color="auto"/>
              <w:right w:val="single" w:sz="4" w:space="0" w:color="auto"/>
            </w:tcBorders>
            <w:vAlign w:val="center"/>
            <w:hideMark/>
          </w:tcPr>
          <w:p w14:paraId="1593B33C" w14:textId="77777777" w:rsidR="00D81E68" w:rsidRPr="00903174" w:rsidRDefault="00D81E68">
            <w:pPr>
              <w:pStyle w:val="Tableheadingrow"/>
              <w:keepNext w:val="0"/>
              <w:widowControl w:val="0"/>
              <w:jc w:val="center"/>
              <w:rPr>
                <w:lang w:val="en-AU"/>
              </w:rPr>
            </w:pPr>
            <w:r w:rsidRPr="00903174">
              <w:rPr>
                <w:lang w:val="en-AU"/>
              </w:rPr>
              <w:t>Description</w:t>
            </w:r>
          </w:p>
        </w:tc>
        <w:tc>
          <w:tcPr>
            <w:tcW w:w="3461" w:type="pct"/>
            <w:tcBorders>
              <w:top w:val="single" w:sz="4" w:space="0" w:color="auto"/>
              <w:left w:val="single" w:sz="4" w:space="0" w:color="auto"/>
              <w:bottom w:val="single" w:sz="4" w:space="0" w:color="auto"/>
              <w:right w:val="single" w:sz="4" w:space="0" w:color="auto"/>
            </w:tcBorders>
            <w:vAlign w:val="center"/>
            <w:hideMark/>
          </w:tcPr>
          <w:p w14:paraId="5E4FC8E8" w14:textId="77777777" w:rsidR="00D81E68" w:rsidRPr="00903174" w:rsidRDefault="00D81E68">
            <w:pPr>
              <w:pStyle w:val="Tableheadingrow"/>
              <w:keepNext w:val="0"/>
              <w:widowControl w:val="0"/>
              <w:jc w:val="center"/>
              <w:rPr>
                <w:lang w:val="en-AU"/>
              </w:rPr>
            </w:pPr>
            <w:r w:rsidRPr="00903174">
              <w:rPr>
                <w:lang w:val="en-AU"/>
              </w:rPr>
              <w:t>Method/Value</w:t>
            </w:r>
          </w:p>
        </w:tc>
        <w:tc>
          <w:tcPr>
            <w:tcW w:w="679" w:type="pct"/>
            <w:tcBorders>
              <w:top w:val="single" w:sz="4" w:space="0" w:color="auto"/>
              <w:left w:val="single" w:sz="4" w:space="0" w:color="auto"/>
              <w:bottom w:val="single" w:sz="4" w:space="0" w:color="auto"/>
              <w:right w:val="single" w:sz="4" w:space="0" w:color="auto"/>
            </w:tcBorders>
            <w:vAlign w:val="center"/>
            <w:hideMark/>
          </w:tcPr>
          <w:p w14:paraId="35DB4A64" w14:textId="77777777" w:rsidR="00D81E68" w:rsidRPr="00903174" w:rsidRDefault="00D81E68">
            <w:pPr>
              <w:pStyle w:val="Tableheadingrow"/>
              <w:keepNext w:val="0"/>
              <w:widowControl w:val="0"/>
              <w:jc w:val="center"/>
              <w:rPr>
                <w:lang w:val="en-AU"/>
              </w:rPr>
            </w:pPr>
            <w:r w:rsidRPr="00903174">
              <w:rPr>
                <w:lang w:val="en-AU"/>
              </w:rPr>
              <w:t>Impact</w:t>
            </w:r>
          </w:p>
        </w:tc>
      </w:tr>
      <w:tr w:rsidR="00D81E68" w:rsidRPr="00903174" w14:paraId="6DF15AE9" w14:textId="77777777" w:rsidTr="00D81E68">
        <w:tc>
          <w:tcPr>
            <w:tcW w:w="859" w:type="pct"/>
            <w:tcBorders>
              <w:top w:val="single" w:sz="4" w:space="0" w:color="auto"/>
              <w:left w:val="single" w:sz="4" w:space="0" w:color="auto"/>
              <w:bottom w:val="single" w:sz="4" w:space="0" w:color="auto"/>
              <w:right w:val="single" w:sz="4" w:space="0" w:color="auto"/>
            </w:tcBorders>
            <w:vAlign w:val="center"/>
            <w:hideMark/>
          </w:tcPr>
          <w:p w14:paraId="7B9211FA" w14:textId="77777777" w:rsidR="00D81E68" w:rsidRPr="00903174" w:rsidRDefault="00D81E68">
            <w:pPr>
              <w:pStyle w:val="TableText"/>
              <w:keepNext w:val="0"/>
              <w:widowControl w:val="0"/>
              <w:jc w:val="center"/>
            </w:pPr>
            <w:r w:rsidRPr="00903174">
              <w:t>Modelled survival</w:t>
            </w:r>
          </w:p>
        </w:tc>
        <w:tc>
          <w:tcPr>
            <w:tcW w:w="3461" w:type="pct"/>
            <w:tcBorders>
              <w:top w:val="single" w:sz="4" w:space="0" w:color="auto"/>
              <w:left w:val="single" w:sz="4" w:space="0" w:color="auto"/>
              <w:bottom w:val="single" w:sz="4" w:space="0" w:color="auto"/>
              <w:right w:val="single" w:sz="4" w:space="0" w:color="auto"/>
            </w:tcBorders>
            <w:vAlign w:val="center"/>
          </w:tcPr>
          <w:p w14:paraId="2DC8ADC4" w14:textId="77777777" w:rsidR="00D81E68" w:rsidRPr="00903174" w:rsidRDefault="00D81E68">
            <w:pPr>
              <w:pStyle w:val="TableText"/>
              <w:widowControl w:val="0"/>
            </w:pPr>
            <w:r w:rsidRPr="00903174">
              <w:t xml:space="preserve">Kaplan-Meier survival curves for ravulizumab and BSC based on a retrospective </w:t>
            </w:r>
            <w:r w:rsidRPr="00903174">
              <w:lastRenderedPageBreak/>
              <w:t>observational study of patients treated with eculizumab (N=79, mean treatment duration 3.3 years) compared with a matched historical control group (N=30, 7-year look-back period prior to eculizumab availability)</w:t>
            </w:r>
            <w:r w:rsidR="007C7199" w:rsidRPr="00903174">
              <w:t xml:space="preserve"> (Kelly 2011). </w:t>
            </w:r>
          </w:p>
          <w:p w14:paraId="06BEFB1E" w14:textId="77777777" w:rsidR="00D81E68" w:rsidRPr="00903174" w:rsidRDefault="00D81E68">
            <w:pPr>
              <w:pStyle w:val="TableText"/>
              <w:keepNext w:val="0"/>
              <w:widowControl w:val="0"/>
            </w:pPr>
          </w:p>
          <w:p w14:paraId="67B4693D" w14:textId="77777777" w:rsidR="00D81E68" w:rsidRPr="00903174" w:rsidRDefault="00D81E68">
            <w:pPr>
              <w:pStyle w:val="TableText"/>
              <w:widowControl w:val="0"/>
            </w:pPr>
            <w:r w:rsidRPr="00903174">
              <w:t xml:space="preserve">The results suggest a reduction in risk of mortality in patients treated with eculizumab versus patients who did not receive eculizumab treatment (HR 0.21, 95% CI: 0.05, 0.88). The 5-year survival rate for patients treated with eculizumab was 95.5% (95% CI: 87.6%, 98.5%) compared to 66.8% (95% CI: 41.4%, 85.1%) who did not receive eculizumab. These results should be interpreted with caution given the wide confidence intervals (particularly for survival rates in the pre-eculizumab group) and the nature of the non-randomised comparison that may be subject to confounding. There is a likelihood of survivor bias as </w:t>
            </w:r>
            <w:r w:rsidR="007C7199" w:rsidRPr="00903174">
              <w:t xml:space="preserve">some </w:t>
            </w:r>
            <w:r w:rsidRPr="00903174">
              <w:t>patients in the eculizumab group acted as their own controls. There was added uncertainty in the robustness of the comparison due to limited reporting (e.g. year of diagnosis unreported, no disaggregated data by type of PNH, no justification for 7-year look-back period for the historical control, number and cause of deaths in historical control not reported, patient and disease characteristics for historical control not reported).</w:t>
            </w:r>
          </w:p>
          <w:p w14:paraId="0F3643F9" w14:textId="77777777" w:rsidR="00D81E68" w:rsidRPr="00903174" w:rsidRDefault="00D81E68">
            <w:pPr>
              <w:pStyle w:val="TableText"/>
              <w:widowControl w:val="0"/>
            </w:pPr>
          </w:p>
          <w:p w14:paraId="2FDA4FC5" w14:textId="77777777" w:rsidR="00D81E68" w:rsidRPr="00903174" w:rsidRDefault="00D81E68">
            <w:pPr>
              <w:pStyle w:val="TableText"/>
              <w:widowControl w:val="0"/>
            </w:pPr>
            <w:r w:rsidRPr="00903174">
              <w:t>Data were reconstructed in the submission using digitisation of published figures, assumed time at risk (as numbers at risk were not reported in the publication) and assumed timings of censoring and death</w:t>
            </w:r>
            <w:r w:rsidR="00B4390A" w:rsidRPr="00903174">
              <w:t xml:space="preserve">. </w:t>
            </w:r>
            <w:r w:rsidRPr="00903174">
              <w:t>Overall, the reliability of reconstructed data used in the submission is highly uncertain given concerns with the robustness and applicability of survival data from the Kelly 2011. There were further concerns with the assumptions used in the submission to estimate the number of patients remaining at risk (and consequently, time at risk in the regression models) that introduced further uncertainty with the survival estimates used in the economic evaluation</w:t>
            </w:r>
          </w:p>
          <w:p w14:paraId="653307C3" w14:textId="77777777" w:rsidR="00D81E68" w:rsidRPr="00903174" w:rsidRDefault="00D81E68">
            <w:pPr>
              <w:pStyle w:val="TableText"/>
              <w:keepNext w:val="0"/>
              <w:widowControl w:val="0"/>
            </w:pPr>
          </w:p>
          <w:p w14:paraId="71BDC3D1" w14:textId="77777777" w:rsidR="00D81E68" w:rsidRPr="00903174" w:rsidRDefault="00D81E68" w:rsidP="00A424DF">
            <w:pPr>
              <w:pStyle w:val="TableText"/>
              <w:keepNext w:val="0"/>
              <w:widowControl w:val="0"/>
            </w:pPr>
            <w:r w:rsidRPr="00903174">
              <w:t xml:space="preserve">Overall survival for ravulizumab (using eculizumab as a proxy) was modelled to 55 years using a Gompertz (proportional hazards) curve. Overall survival for BSC (using historical control) was modelled to 55 years using an exponential (accelerated time failure) curve. The submission did not provide justification for the use of modelled data only, which is inconsistent with the PBAC Guidelines v5.0 recommending the use of observed time to event data up to the time point at which the observed data become unreliable as a result of small number of patients remaining event-free. Based on visual inspection, there is an apparent divergence between the Kaplan-Meier survival curve for best supportive care and the various parametric distributions (see Figure </w:t>
            </w:r>
            <w:r w:rsidR="00E96BB7" w:rsidRPr="00903174">
              <w:t>3</w:t>
            </w:r>
            <w:r w:rsidRPr="00903174">
              <w:t xml:space="preserve"> below). The submission did not provide adequate justification for the choice of survival models aside from AIC and BIC statistical values. The modelled survival curve for BSC using the exponential distribution (accelerated failure time model) assumes an accelerated reduction in life expectancy whereas the choice of a Gompertz (proportional hazards) model for the ravulizumab arm assumes constant hazards over time. Consequently, this approach generates a substantial mortality gain with ravulizumab treatment compared to BSC over the 55-year model duration</w:t>
            </w:r>
            <w:r w:rsidR="00B4390A" w:rsidRPr="00903174">
              <w:t xml:space="preserve">. </w:t>
            </w:r>
            <w:r w:rsidR="00A424DF" w:rsidRPr="00903174">
              <w:t xml:space="preserve">The ESC considered the chosen extrapolation functions were not adequately justified </w:t>
            </w:r>
            <w:r w:rsidR="00CA762C" w:rsidRPr="00903174">
              <w:t xml:space="preserve">and resulted in optimistic survival gain over 55 years compared to published studies </w:t>
            </w:r>
            <w:r w:rsidR="001F6554">
              <w:t>(see F</w:t>
            </w:r>
            <w:r w:rsidR="00A424DF" w:rsidRPr="00903174">
              <w:t>igure 5 below).</w:t>
            </w:r>
          </w:p>
        </w:tc>
        <w:tc>
          <w:tcPr>
            <w:tcW w:w="679" w:type="pct"/>
            <w:tcBorders>
              <w:top w:val="single" w:sz="4" w:space="0" w:color="auto"/>
              <w:left w:val="single" w:sz="4" w:space="0" w:color="auto"/>
              <w:bottom w:val="single" w:sz="4" w:space="0" w:color="auto"/>
              <w:right w:val="single" w:sz="4" w:space="0" w:color="auto"/>
            </w:tcBorders>
            <w:vAlign w:val="center"/>
            <w:hideMark/>
          </w:tcPr>
          <w:p w14:paraId="180E0C0F" w14:textId="77777777" w:rsidR="00D81E68" w:rsidRPr="00903174" w:rsidRDefault="00D81E68">
            <w:pPr>
              <w:pStyle w:val="TableText"/>
              <w:keepNext w:val="0"/>
              <w:widowControl w:val="0"/>
              <w:jc w:val="center"/>
            </w:pPr>
            <w:r w:rsidRPr="00903174">
              <w:lastRenderedPageBreak/>
              <w:t xml:space="preserve">High, favours </w:t>
            </w:r>
            <w:r w:rsidRPr="00903174">
              <w:lastRenderedPageBreak/>
              <w:t>ravulizumab</w:t>
            </w:r>
          </w:p>
        </w:tc>
      </w:tr>
      <w:tr w:rsidR="00D81E68" w:rsidRPr="00903174" w14:paraId="4FDF14D7" w14:textId="77777777" w:rsidTr="00D81E68">
        <w:tc>
          <w:tcPr>
            <w:tcW w:w="859" w:type="pct"/>
            <w:tcBorders>
              <w:top w:val="single" w:sz="4" w:space="0" w:color="auto"/>
              <w:left w:val="single" w:sz="4" w:space="0" w:color="auto"/>
              <w:bottom w:val="single" w:sz="4" w:space="0" w:color="auto"/>
              <w:right w:val="single" w:sz="4" w:space="0" w:color="auto"/>
            </w:tcBorders>
            <w:vAlign w:val="center"/>
            <w:hideMark/>
          </w:tcPr>
          <w:p w14:paraId="5F399713" w14:textId="77777777" w:rsidR="00D81E68" w:rsidRPr="00903174" w:rsidRDefault="00D81E68">
            <w:pPr>
              <w:pStyle w:val="TableText"/>
              <w:keepNext w:val="0"/>
              <w:widowControl w:val="0"/>
              <w:jc w:val="center"/>
            </w:pPr>
            <w:r w:rsidRPr="00903174">
              <w:lastRenderedPageBreak/>
              <w:t>Background mortality</w:t>
            </w:r>
          </w:p>
        </w:tc>
        <w:tc>
          <w:tcPr>
            <w:tcW w:w="3461" w:type="pct"/>
            <w:tcBorders>
              <w:top w:val="single" w:sz="4" w:space="0" w:color="auto"/>
              <w:left w:val="single" w:sz="4" w:space="0" w:color="auto"/>
              <w:bottom w:val="single" w:sz="4" w:space="0" w:color="auto"/>
              <w:right w:val="single" w:sz="4" w:space="0" w:color="auto"/>
            </w:tcBorders>
            <w:vAlign w:val="center"/>
          </w:tcPr>
          <w:p w14:paraId="3F65AC9D" w14:textId="77777777" w:rsidR="00D81E68" w:rsidRPr="00903174" w:rsidRDefault="00D81E68">
            <w:pPr>
              <w:pStyle w:val="TableText"/>
              <w:widowControl w:val="0"/>
            </w:pPr>
            <w:r w:rsidRPr="00903174">
              <w:t>Based on the Australian Bureau of Statistics (ABS) 2012-2014 life tables. The background mortality rate was used in the model as a survival cap to ensure that the proportion remaining alive with PNH did not exceed general population survival estimates. The background mortality was also applied to all patients in the alive with remission health state.</w:t>
            </w:r>
            <w:r w:rsidR="00E367AE" w:rsidRPr="00903174">
              <w:t xml:space="preserve"> </w:t>
            </w:r>
          </w:p>
          <w:p w14:paraId="3A9BCE6A" w14:textId="77777777" w:rsidR="00D81E68" w:rsidRPr="00903174" w:rsidRDefault="00D81E68">
            <w:pPr>
              <w:pStyle w:val="TableText"/>
              <w:widowControl w:val="0"/>
            </w:pPr>
          </w:p>
          <w:p w14:paraId="064A8803" w14:textId="77777777" w:rsidR="00D81E68" w:rsidRPr="00903174" w:rsidRDefault="00D81E68" w:rsidP="00CA762C">
            <w:pPr>
              <w:pStyle w:val="TableText"/>
              <w:widowControl w:val="0"/>
            </w:pPr>
            <w:r w:rsidRPr="00903174">
              <w:t xml:space="preserve">Beyond Year 5 in the model, the survival cap was applied to the ravulizumab arm </w:t>
            </w:r>
            <w:r w:rsidRPr="00903174">
              <w:lastRenderedPageBreak/>
              <w:t xml:space="preserve">because the modelled survival function generated estimates that exceeded survival in the general population. This assumes that after 5 years of treatment, all patients with PNH who are treated with ravulizumab have the same mortality rate as the general population (see Figure </w:t>
            </w:r>
            <w:r w:rsidR="00E96BB7" w:rsidRPr="00903174">
              <w:t>4</w:t>
            </w:r>
            <w:r w:rsidRPr="00903174">
              <w:t xml:space="preserve"> below). </w:t>
            </w:r>
            <w:r w:rsidR="00CA762C" w:rsidRPr="00903174">
              <w:t>The ESC considered the requirement for a cap suggests the model is not capturing survival appropriately.</w:t>
            </w:r>
            <w:r w:rsidR="00CA762C" w:rsidRPr="00903174">
              <w:rPr>
                <w:i/>
              </w:rPr>
              <w:t xml:space="preserve"> </w:t>
            </w:r>
            <w:r w:rsidRPr="00903174">
              <w:t>The submission claimed that this was supported by a comparison of survival between eculizumab treated patients compared to age- and sex-matched controls from the UK population (Kelly 2011). The robustness of these results was uncertain given limitations in the reporting of the study (e.g. numbers at risk and reasons for censoring unreported). A comparison of age at diagnosis (median 37, range 12-79 years) and age at the start of eculizumab (median 46, range 14-84 years) suggests a considerable time lag between diagnosis and initiation of eculizumab, which may contribute to the potential for survivor bias. The survival data in eculizumab-treated patients in this study was immature (mean treatment duration 3.3 years) and may not represent long-term mortality in patients who still have PNH.</w:t>
            </w:r>
          </w:p>
        </w:tc>
        <w:tc>
          <w:tcPr>
            <w:tcW w:w="679" w:type="pct"/>
            <w:tcBorders>
              <w:top w:val="single" w:sz="4" w:space="0" w:color="auto"/>
              <w:left w:val="single" w:sz="4" w:space="0" w:color="auto"/>
              <w:bottom w:val="single" w:sz="4" w:space="0" w:color="auto"/>
              <w:right w:val="single" w:sz="4" w:space="0" w:color="auto"/>
            </w:tcBorders>
            <w:vAlign w:val="center"/>
            <w:hideMark/>
          </w:tcPr>
          <w:p w14:paraId="745083D9" w14:textId="77777777" w:rsidR="00D81E68" w:rsidRPr="00903174" w:rsidRDefault="00D81E68">
            <w:pPr>
              <w:pStyle w:val="TableText"/>
              <w:keepNext w:val="0"/>
              <w:widowControl w:val="0"/>
              <w:jc w:val="center"/>
            </w:pPr>
            <w:r w:rsidRPr="00903174">
              <w:lastRenderedPageBreak/>
              <w:t>High, favours ravulizumab</w:t>
            </w:r>
          </w:p>
        </w:tc>
      </w:tr>
      <w:tr w:rsidR="00D81E68" w:rsidRPr="00903174" w14:paraId="7FD9D85F" w14:textId="77777777" w:rsidTr="00D81E68">
        <w:tc>
          <w:tcPr>
            <w:tcW w:w="859" w:type="pct"/>
            <w:tcBorders>
              <w:top w:val="single" w:sz="4" w:space="0" w:color="auto"/>
              <w:left w:val="single" w:sz="4" w:space="0" w:color="auto"/>
              <w:bottom w:val="single" w:sz="4" w:space="0" w:color="auto"/>
              <w:right w:val="single" w:sz="4" w:space="0" w:color="auto"/>
            </w:tcBorders>
            <w:vAlign w:val="center"/>
            <w:hideMark/>
          </w:tcPr>
          <w:p w14:paraId="3C2F636F" w14:textId="77777777" w:rsidR="00D81E68" w:rsidRPr="00903174" w:rsidRDefault="00D81E68">
            <w:pPr>
              <w:pStyle w:val="TableText"/>
              <w:keepNext w:val="0"/>
              <w:widowControl w:val="0"/>
              <w:jc w:val="center"/>
            </w:pPr>
            <w:r w:rsidRPr="00903174">
              <w:t>Spontaneous remission transition probability</w:t>
            </w:r>
          </w:p>
        </w:tc>
        <w:tc>
          <w:tcPr>
            <w:tcW w:w="3461" w:type="pct"/>
            <w:tcBorders>
              <w:top w:val="single" w:sz="4" w:space="0" w:color="auto"/>
              <w:left w:val="single" w:sz="4" w:space="0" w:color="auto"/>
              <w:bottom w:val="single" w:sz="4" w:space="0" w:color="auto"/>
              <w:right w:val="single" w:sz="4" w:space="0" w:color="auto"/>
            </w:tcBorders>
            <w:vAlign w:val="center"/>
          </w:tcPr>
          <w:p w14:paraId="01065F50" w14:textId="77777777" w:rsidR="00D81E68" w:rsidRPr="00903174" w:rsidRDefault="00D81E68">
            <w:pPr>
              <w:pStyle w:val="TableText"/>
              <w:widowControl w:val="0"/>
              <w:rPr>
                <w:i/>
              </w:rPr>
            </w:pPr>
            <w:r w:rsidRPr="00903174">
              <w:t>Annual transition probability of 0.0158. Natural history study of PNH based on 80 patients referred to a UK hospital between 1940 and 1970 who were followed up until 1994 (Hillmen 1995). Patients were treated with supportive measures only (e.g. anticoagulation, transfusions). The Hillmen 1995 study may not be applicable to the current setting given the age of the data due to changes in diagnostic methods and disease management over time</w:t>
            </w:r>
            <w:r w:rsidRPr="00903174">
              <w:rPr>
                <w:i/>
              </w:rPr>
              <w:t xml:space="preserve">. </w:t>
            </w:r>
            <w:r w:rsidR="00BD0D42" w:rsidRPr="00903174">
              <w:t>The ESC questioned the applicability</w:t>
            </w:r>
            <w:r w:rsidR="001A1181" w:rsidRPr="00903174">
              <w:t xml:space="preserve"> </w:t>
            </w:r>
            <w:r w:rsidR="00BD0D42" w:rsidRPr="00903174">
              <w:t>of this data to the current setting, given the age of the data and potential changes to diagnostic methods and disease management over time.</w:t>
            </w:r>
            <w:r w:rsidR="00BD0D42" w:rsidRPr="00903174">
              <w:rPr>
                <w:i/>
              </w:rPr>
              <w:t xml:space="preserve"> </w:t>
            </w:r>
          </w:p>
          <w:p w14:paraId="6C832633" w14:textId="77777777" w:rsidR="00D81E68" w:rsidRPr="00903174" w:rsidRDefault="00D81E68">
            <w:pPr>
              <w:pStyle w:val="TableText"/>
              <w:widowControl w:val="0"/>
            </w:pPr>
          </w:p>
          <w:p w14:paraId="7E5D5DD3" w14:textId="77777777" w:rsidR="00D81E68" w:rsidRPr="00903174" w:rsidRDefault="00D81E68">
            <w:pPr>
              <w:pStyle w:val="TableText"/>
              <w:widowControl w:val="0"/>
            </w:pPr>
            <w:r w:rsidRPr="00903174">
              <w:t>Patient-level data were estimated based on Figure 1 in the publication, following the disease course of individuals (onset of symptoms, background of aplastic anaemia, positive Ham’s test, clinical cure and negative Ham’s test) and assumed periods at risk (timing of death, censoring and remission are rounded to nearest 5-year increment except for duration &lt;5 years which are rounded to 1 year). Patients who experienced both a clinical cure and negative Ham’s test were assumed to achieve remission at the time of clinical cure. The submission conducted a regression analysis using the extracted data to estimate the rate of spontaneous remission over time and this was converted to an annual probability. The estimated rate of spontaneous remission may not be reliable given the use of data extracted from published figures and multiple assumptions used to determine follow-up durations and timings of death, censoring and remission.</w:t>
            </w:r>
          </w:p>
          <w:p w14:paraId="5EE5513A" w14:textId="77777777" w:rsidR="00D81E68" w:rsidRPr="00903174" w:rsidRDefault="00D81E68">
            <w:pPr>
              <w:pStyle w:val="TableText"/>
              <w:widowControl w:val="0"/>
            </w:pPr>
          </w:p>
          <w:p w14:paraId="1E69F55D" w14:textId="77777777" w:rsidR="00D81E68" w:rsidRPr="00903174" w:rsidRDefault="00D81E68">
            <w:pPr>
              <w:pStyle w:val="TableText"/>
              <w:widowControl w:val="0"/>
            </w:pPr>
            <w:r w:rsidRPr="00903174">
              <w:t>Overall, the occurrence of spontaneous remission appears to be confounded by changes in diagnostic methods, overlapping conditions (e.g. aplastic anaemia) and the development of other conditions (e.g. myelodysplastic syndrome, leukaemia). The rate of spontaneous remission in classic PNH patients is unclear but likely to be small given the use of modern assays and clinical criteria in the proposed restriction (combination of biomarkers and clinical symptoms).</w:t>
            </w:r>
          </w:p>
          <w:p w14:paraId="61F6BBB6" w14:textId="77777777" w:rsidR="00D81E68" w:rsidRPr="00903174" w:rsidRDefault="00D81E68">
            <w:pPr>
              <w:pStyle w:val="TableText"/>
              <w:widowControl w:val="0"/>
            </w:pPr>
          </w:p>
          <w:p w14:paraId="518C2788" w14:textId="77777777" w:rsidR="00D81E68" w:rsidRPr="00903174" w:rsidRDefault="00D81E68">
            <w:pPr>
              <w:pStyle w:val="TableText"/>
              <w:widowControl w:val="0"/>
            </w:pPr>
            <w:r w:rsidRPr="00903174">
              <w:t>The application of a fixed transition probability to both arms in the model biased the results in favour of ravulizumab due to mortality benefit associated with ravulizumab (i.e. greater proportion of patients remaining alive in the ravulizumab arm who achieve spontaneous remission and accrue no ongoing costs or consequences)</w:t>
            </w:r>
            <w:r w:rsidR="00B4390A" w:rsidRPr="00903174">
              <w:t xml:space="preserve">. </w:t>
            </w:r>
          </w:p>
        </w:tc>
        <w:tc>
          <w:tcPr>
            <w:tcW w:w="679" w:type="pct"/>
            <w:tcBorders>
              <w:top w:val="single" w:sz="4" w:space="0" w:color="auto"/>
              <w:left w:val="single" w:sz="4" w:space="0" w:color="auto"/>
              <w:bottom w:val="single" w:sz="4" w:space="0" w:color="auto"/>
              <w:right w:val="single" w:sz="4" w:space="0" w:color="auto"/>
            </w:tcBorders>
            <w:vAlign w:val="center"/>
            <w:hideMark/>
          </w:tcPr>
          <w:p w14:paraId="08D57443" w14:textId="77777777" w:rsidR="00D81E68" w:rsidRPr="00903174" w:rsidRDefault="00D81E68">
            <w:pPr>
              <w:pStyle w:val="TableText"/>
              <w:keepNext w:val="0"/>
              <w:widowControl w:val="0"/>
              <w:jc w:val="center"/>
            </w:pPr>
            <w:r w:rsidRPr="00903174">
              <w:t>High, favours ravulizumab</w:t>
            </w:r>
          </w:p>
        </w:tc>
      </w:tr>
      <w:tr w:rsidR="00D81E68" w:rsidRPr="00903174" w14:paraId="0B2DC041" w14:textId="77777777" w:rsidTr="00D81E68">
        <w:tc>
          <w:tcPr>
            <w:tcW w:w="859" w:type="pct"/>
            <w:tcBorders>
              <w:top w:val="single" w:sz="4" w:space="0" w:color="auto"/>
              <w:left w:val="single" w:sz="4" w:space="0" w:color="auto"/>
              <w:bottom w:val="single" w:sz="4" w:space="0" w:color="auto"/>
              <w:right w:val="single" w:sz="4" w:space="0" w:color="auto"/>
            </w:tcBorders>
            <w:vAlign w:val="center"/>
            <w:hideMark/>
          </w:tcPr>
          <w:p w14:paraId="634EB0E4" w14:textId="77777777" w:rsidR="00D81E68" w:rsidRPr="00903174" w:rsidRDefault="00D81E68">
            <w:pPr>
              <w:pStyle w:val="TableText"/>
              <w:keepNext w:val="0"/>
              <w:widowControl w:val="0"/>
              <w:jc w:val="center"/>
            </w:pPr>
            <w:r w:rsidRPr="00903174">
              <w:t>Non-specific disease-related utility change</w:t>
            </w:r>
          </w:p>
        </w:tc>
        <w:tc>
          <w:tcPr>
            <w:tcW w:w="3461" w:type="pct"/>
            <w:tcBorders>
              <w:top w:val="single" w:sz="4" w:space="0" w:color="auto"/>
              <w:left w:val="single" w:sz="4" w:space="0" w:color="auto"/>
              <w:bottom w:val="single" w:sz="4" w:space="0" w:color="auto"/>
              <w:right w:val="single" w:sz="4" w:space="0" w:color="auto"/>
            </w:tcBorders>
            <w:vAlign w:val="center"/>
          </w:tcPr>
          <w:p w14:paraId="5CE508BF" w14:textId="77777777" w:rsidR="00D81E68" w:rsidRPr="00903174" w:rsidRDefault="00D81E68">
            <w:pPr>
              <w:pStyle w:val="TableText"/>
              <w:keepNext w:val="0"/>
              <w:widowControl w:val="0"/>
              <w:rPr>
                <w:i/>
              </w:rPr>
            </w:pPr>
            <w:r w:rsidRPr="00903174">
              <w:t xml:space="preserve">The submission claimed that treatment with ravulizumab is associated with improvements with disease outcomes such as fatigue, pain and dyspnoea (which are independent of a reduced risk of thromboembolic events) that would translate to non-specific disease-related quality of life changes. The submission claimed that the improvement in these symptoms could be attributed to a reduction in intravascular haemolysis associated with treatment. Both FACIT-fatigue and EORTC QLQ-C30 </w:t>
            </w:r>
            <w:r w:rsidRPr="00903174">
              <w:lastRenderedPageBreak/>
              <w:t xml:space="preserve">results from Trial 301 suggest an improvement in measures of fatigue from baseline to 26 weeks. </w:t>
            </w:r>
            <w:r w:rsidR="00BD0D42" w:rsidRPr="00903174">
              <w:rPr>
                <w:i/>
              </w:rPr>
              <w:t>The ESC noted the</w:t>
            </w:r>
            <w:r w:rsidR="00BD0D42" w:rsidRPr="00903174">
              <w:t xml:space="preserve"> c</w:t>
            </w:r>
            <w:r w:rsidRPr="00903174">
              <w:t>laimed improvements in other domains could not be validated during the evaluation as there was limited detail provided in the submission (no baseline, endpoint and change in baseline for EORTC QLQ-C30 scores).</w:t>
            </w:r>
            <w:r w:rsidR="001A1181" w:rsidRPr="00903174">
              <w:t xml:space="preserve"> Additional data provided in the PSCR suggest no detectable difference in quality of life between </w:t>
            </w:r>
            <w:r w:rsidR="00EA10D5" w:rsidRPr="00903174">
              <w:t>patients</w:t>
            </w:r>
            <w:r w:rsidR="001A1181" w:rsidRPr="00903174">
              <w:t xml:space="preserve"> treated with ravulizumab and eculizumab based on EORTC-QLQ-C30 scores.</w:t>
            </w:r>
          </w:p>
          <w:p w14:paraId="598D7322" w14:textId="77777777" w:rsidR="00D81E68" w:rsidRPr="00903174" w:rsidRDefault="00D81E68">
            <w:pPr>
              <w:pStyle w:val="TableText"/>
              <w:keepNext w:val="0"/>
              <w:widowControl w:val="0"/>
            </w:pPr>
          </w:p>
          <w:p w14:paraId="2286C0D6" w14:textId="77777777" w:rsidR="00D81E68" w:rsidRPr="00903174" w:rsidRDefault="00D81E68">
            <w:pPr>
              <w:pStyle w:val="Tabletext0"/>
            </w:pPr>
            <w:r w:rsidRPr="00903174">
              <w:t>The utility gain applied to ravulizumab (0.1012) was based on a calculated difference between a synthesised EQ-5D-3L utility value at 52 weeks (0.8486) and baseline utility value (0.7474). The disutility applied to BSC (-0.0610) was based on a calculated difference between estimated 26-week utility values for placebo patients in the TRIUMPH trial (0.7254) and the estimated baseline utility for PNH (0.7559).</w:t>
            </w:r>
            <w:r w:rsidR="00BD0D42" w:rsidRPr="00903174">
              <w:t xml:space="preserve"> </w:t>
            </w:r>
          </w:p>
          <w:p w14:paraId="26A09149" w14:textId="77777777" w:rsidR="00D81E68" w:rsidRPr="00903174" w:rsidRDefault="00D81E68">
            <w:pPr>
              <w:pStyle w:val="Tabletext0"/>
            </w:pPr>
          </w:p>
          <w:p w14:paraId="78F25231" w14:textId="77777777" w:rsidR="00D81E68" w:rsidRPr="00903174" w:rsidRDefault="00D81E68">
            <w:pPr>
              <w:pStyle w:val="Tabletext0"/>
            </w:pPr>
            <w:r w:rsidRPr="00903174">
              <w:t>The estimated non-specific disease-related utility changes were highly uncertain due to the following reasons:</w:t>
            </w:r>
          </w:p>
          <w:p w14:paraId="0348163E" w14:textId="77777777" w:rsidR="00D81E68" w:rsidRPr="00903174" w:rsidRDefault="00D81E68" w:rsidP="00BB2169">
            <w:pPr>
              <w:pStyle w:val="Tabletext0"/>
              <w:numPr>
                <w:ilvl w:val="0"/>
                <w:numId w:val="12"/>
              </w:numPr>
            </w:pPr>
            <w:r w:rsidRPr="00903174">
              <w:t xml:space="preserve">The derivation of a non-specific disease-related utility gain associated with ravulizumab treatment was complex and difficult to interpret given the use of synthesised EORTC QLQ-C30 scores from multiple datasets and the use of mapping algorithms based on cancer conditions that have not been validated for PNH. </w:t>
            </w:r>
          </w:p>
          <w:p w14:paraId="7F8A067C" w14:textId="77777777" w:rsidR="00D81E68" w:rsidRPr="00903174" w:rsidRDefault="00D81E68" w:rsidP="00BB2169">
            <w:pPr>
              <w:pStyle w:val="Tabletext0"/>
              <w:numPr>
                <w:ilvl w:val="0"/>
                <w:numId w:val="12"/>
              </w:numPr>
            </w:pPr>
            <w:r w:rsidRPr="00903174">
              <w:t>A non-specific disease-related disutility was derived for the BSC arm using EORTC QLQ-C30 scores from the 26-week TRIUMPH trial, although the approach included a multiplication factor of 2 to account for a 1 year duration</w:t>
            </w:r>
            <w:r w:rsidR="00B4390A" w:rsidRPr="00903174">
              <w:t xml:space="preserve">. </w:t>
            </w:r>
            <w:r w:rsidRPr="00903174">
              <w:t xml:space="preserve">This approach implicitly assumed a worsening trend in quality of life which was inadequately justified in the submission. </w:t>
            </w:r>
          </w:p>
          <w:p w14:paraId="6D27CB91" w14:textId="77777777" w:rsidR="00D81E68" w:rsidRPr="00903174" w:rsidRDefault="00D81E68" w:rsidP="00BB2169">
            <w:pPr>
              <w:pStyle w:val="Tabletext0"/>
              <w:numPr>
                <w:ilvl w:val="0"/>
                <w:numId w:val="12"/>
              </w:numPr>
            </w:pPr>
            <w:r w:rsidRPr="00903174">
              <w:t>The choice of mapping algorithm in the submission appears arbitrary given the lack of validated algorithms for PNH. The predictability of the algorithm (Longworth 2014) when used for a bleeding disorder (unrelated to cancer) is unclear</w:t>
            </w:r>
            <w:r w:rsidR="00B4390A" w:rsidRPr="00903174">
              <w:t xml:space="preserve">. </w:t>
            </w:r>
          </w:p>
          <w:p w14:paraId="2AB968A5" w14:textId="77777777" w:rsidR="00D81E68" w:rsidRPr="00903174" w:rsidRDefault="00D81E68" w:rsidP="00BB2169">
            <w:pPr>
              <w:pStyle w:val="Tabletext0"/>
              <w:numPr>
                <w:ilvl w:val="0"/>
                <w:numId w:val="12"/>
              </w:numPr>
            </w:pPr>
            <w:r w:rsidRPr="00903174">
              <w:t>Although there was an overall improvement in quality of life for eculizumab compared with placebo in the TRIUMPH trial from baseline to endpoint, there were fluctuations within each domain at every visit. When analysed by discrete functional scores and symptom scores, statistically significant differences were not demonstrated at every visit assessment. These fluctuations suggest changes in disease-related symptoms that may not be fully attributable to treatment</w:t>
            </w:r>
            <w:r w:rsidR="00B4390A" w:rsidRPr="00903174">
              <w:t xml:space="preserve">. </w:t>
            </w:r>
          </w:p>
          <w:p w14:paraId="25F05C3B" w14:textId="77777777" w:rsidR="00D81E68" w:rsidRPr="00903174" w:rsidRDefault="00D81E68" w:rsidP="00BD0D42">
            <w:pPr>
              <w:pStyle w:val="Tabletext0"/>
              <w:numPr>
                <w:ilvl w:val="0"/>
                <w:numId w:val="12"/>
              </w:numPr>
            </w:pPr>
            <w:r w:rsidRPr="00903174">
              <w:t>The utility gain/loss were applied as fixed changes over the model duration. No justification was provided for this assumption, which was inconsistent with trial data from the TRIUMPH trial suggesting fluctuations in symptoms over time</w:t>
            </w:r>
            <w:r w:rsidR="004F0321" w:rsidRPr="00903174">
              <w:t xml:space="preserve"> </w:t>
            </w:r>
          </w:p>
        </w:tc>
        <w:tc>
          <w:tcPr>
            <w:tcW w:w="679" w:type="pct"/>
            <w:tcBorders>
              <w:top w:val="single" w:sz="4" w:space="0" w:color="auto"/>
              <w:left w:val="single" w:sz="4" w:space="0" w:color="auto"/>
              <w:bottom w:val="single" w:sz="4" w:space="0" w:color="auto"/>
              <w:right w:val="single" w:sz="4" w:space="0" w:color="auto"/>
            </w:tcBorders>
            <w:vAlign w:val="center"/>
            <w:hideMark/>
          </w:tcPr>
          <w:p w14:paraId="110F188E" w14:textId="77777777" w:rsidR="00D81E68" w:rsidRPr="00903174" w:rsidRDefault="00D81E68">
            <w:pPr>
              <w:pStyle w:val="TableText"/>
              <w:keepNext w:val="0"/>
              <w:widowControl w:val="0"/>
              <w:jc w:val="center"/>
            </w:pPr>
            <w:r w:rsidRPr="00903174">
              <w:lastRenderedPageBreak/>
              <w:t>High, favours ravulizumab</w:t>
            </w:r>
          </w:p>
        </w:tc>
      </w:tr>
    </w:tbl>
    <w:p w14:paraId="753527B8" w14:textId="77777777" w:rsidR="00D81E68" w:rsidRPr="00903174" w:rsidRDefault="00D81E68" w:rsidP="00D81E68">
      <w:pPr>
        <w:pStyle w:val="TableFooter"/>
        <w:spacing w:after="120"/>
        <w:contextualSpacing/>
      </w:pPr>
      <w:r w:rsidRPr="00903174">
        <w:t>Source: Constructed during the evaluation</w:t>
      </w:r>
    </w:p>
    <w:p w14:paraId="1341C132" w14:textId="77777777" w:rsidR="00D81E68" w:rsidRPr="00903174" w:rsidRDefault="00D81E68" w:rsidP="00D81E68">
      <w:pPr>
        <w:pStyle w:val="TableFooter"/>
        <w:spacing w:after="120"/>
        <w:contextualSpacing/>
      </w:pPr>
      <w:r w:rsidRPr="00903174">
        <w:t>Abbreviations: AIC, Akaike information criterion; BIC, Bayesian information criterion; BSC, best supportive care; HR, hazard ratio; PNH, paroxysmal nocturnal haemoglobinuria.</w:t>
      </w:r>
    </w:p>
    <w:p w14:paraId="5C9D5EAC" w14:textId="77777777" w:rsidR="00B1285F" w:rsidRPr="00903174" w:rsidRDefault="00D81E68" w:rsidP="006B71D6">
      <w:pPr>
        <w:pStyle w:val="ExecSumBodyText"/>
        <w:numPr>
          <w:ilvl w:val="1"/>
          <w:numId w:val="1"/>
        </w:numPr>
      </w:pPr>
      <w:r w:rsidRPr="00903174">
        <w:t>Overall,</w:t>
      </w:r>
      <w:r w:rsidR="005C0620" w:rsidRPr="00903174">
        <w:t xml:space="preserve"> the ESC agreed that</w:t>
      </w:r>
      <w:r w:rsidRPr="00903174">
        <w:t xml:space="preserve"> the utility values assigned to patients treated with ravulizumab </w:t>
      </w:r>
      <w:r w:rsidR="00FB4009" w:rsidRPr="00903174">
        <w:t>lacked</w:t>
      </w:r>
      <w:r w:rsidRPr="00903174">
        <w:t xml:space="preserve"> face validity. The calculated utility value (baseline + non-specific disease-related utility gain + reduced infusion frequency utility gain + thromboembolism disutility) for ravulizumab treated patients was 0.912 from cycle 2 onwards which exceeds matching utility values in the general population. </w:t>
      </w:r>
      <w:r w:rsidR="0058401B" w:rsidRPr="00903174">
        <w:t xml:space="preserve">The ESC considered that the need for a utility cap </w:t>
      </w:r>
      <w:r w:rsidR="005C0620" w:rsidRPr="00903174">
        <w:t xml:space="preserve">suggested the application of utility values in the model was inappropriate; noting that even with this forced cap, it is required to assume that ravulizumab treated patients who still have PNH have the same quality </w:t>
      </w:r>
      <w:r w:rsidR="005C0620" w:rsidRPr="00903174">
        <w:lastRenderedPageBreak/>
        <w:t>of life as the general population</w:t>
      </w:r>
      <w:r w:rsidR="0058401B" w:rsidRPr="00903174">
        <w:t>.</w:t>
      </w:r>
      <w:r w:rsidR="0058401B" w:rsidRPr="00903174">
        <w:rPr>
          <w:i/>
        </w:rPr>
        <w:t xml:space="preserve"> </w:t>
      </w:r>
      <w:r w:rsidRPr="00903174">
        <w:t xml:space="preserve">This assumption was inadequately justified given these patients have a life-threatening disease and may still experience lifelong disease-related symptoms. Ravulizumab is not a curative treatment and patients are likely to receive life-long treatments for disease management in addition to IV infused ravulizumab (e.g. blood transfusions). </w:t>
      </w:r>
    </w:p>
    <w:p w14:paraId="1C45DF94" w14:textId="77777777" w:rsidR="0009334F" w:rsidRPr="00903174" w:rsidRDefault="00B1285F" w:rsidP="0009334F">
      <w:pPr>
        <w:pStyle w:val="ExecSumBodyText"/>
        <w:numPr>
          <w:ilvl w:val="1"/>
          <w:numId w:val="1"/>
        </w:numPr>
      </w:pPr>
      <w:r w:rsidRPr="00903174">
        <w:t xml:space="preserve">The ESC also raised significant concerns regarding the methods and applicability of the calculation of the actual utility values, including the use of cancer-specific instruments (EORTC QLQ-C30) and scoring/mapping, and implausible assumptions in the </w:t>
      </w:r>
      <w:r w:rsidR="00293E3B" w:rsidRPr="00903174">
        <w:t>discrete choice experiment (</w:t>
      </w:r>
      <w:r w:rsidRPr="00903174">
        <w:t>DCE</w:t>
      </w:r>
      <w:r w:rsidR="00293E3B" w:rsidRPr="00903174">
        <w:t>)</w:t>
      </w:r>
      <w:r w:rsidRPr="00903174">
        <w:t xml:space="preserve"> methods.</w:t>
      </w:r>
    </w:p>
    <w:p w14:paraId="3F9EE43E" w14:textId="77777777" w:rsidR="00D81E68" w:rsidRPr="00903174" w:rsidRDefault="00D81E68" w:rsidP="00415038">
      <w:pPr>
        <w:pStyle w:val="ExecSumBodyText"/>
        <w:numPr>
          <w:ilvl w:val="1"/>
          <w:numId w:val="1"/>
        </w:numPr>
        <w:rPr>
          <w:i/>
        </w:rPr>
      </w:pPr>
      <w:r w:rsidRPr="00903174">
        <w:t>The submission claimed that ravulizumab is inferior in terms of safety compared to BSC but only included costs associated with meningococcal vaccine. The submission did not account for higher rates of serious infections or infusion reactions.</w:t>
      </w:r>
    </w:p>
    <w:p w14:paraId="4DA6F032" w14:textId="77777777" w:rsidR="00D81E68" w:rsidRPr="00903174" w:rsidRDefault="00D81E68" w:rsidP="00415038">
      <w:pPr>
        <w:pStyle w:val="ExecSumBodyText"/>
        <w:numPr>
          <w:ilvl w:val="1"/>
          <w:numId w:val="1"/>
        </w:numPr>
      </w:pPr>
      <w:r w:rsidRPr="00903174">
        <w:t>The results of the modelled economic evaluation are summarised below.</w:t>
      </w:r>
    </w:p>
    <w:p w14:paraId="1859878E" w14:textId="77777777" w:rsidR="00D81E68" w:rsidRPr="00903174" w:rsidRDefault="00D81E68" w:rsidP="001F6554">
      <w:pPr>
        <w:pStyle w:val="TableFigureCaption"/>
        <w:keepLines/>
      </w:pPr>
      <w:r w:rsidRPr="00903174">
        <w:lastRenderedPageBreak/>
        <w:t xml:space="preserve">Table </w:t>
      </w:r>
      <w:r w:rsidR="001D6AD7" w:rsidRPr="00903174">
        <w:t>2</w:t>
      </w:r>
      <w:r w:rsidR="0075618C" w:rsidRPr="00903174">
        <w:t>0</w:t>
      </w:r>
      <w:r w:rsidRPr="00903174">
        <w:t>: Results of the stepped economic evaluation for ravulizumab versus BSC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D81E68" w:rsidRPr="00903174" w14:paraId="276DC83C" w14:textId="77777777" w:rsidTr="00D81E68">
        <w:trPr>
          <w:tblHeader/>
        </w:trPr>
        <w:tc>
          <w:tcPr>
            <w:tcW w:w="1529" w:type="pct"/>
            <w:tcBorders>
              <w:top w:val="single" w:sz="4" w:space="0" w:color="auto"/>
              <w:left w:val="single" w:sz="4" w:space="0" w:color="auto"/>
              <w:bottom w:val="single" w:sz="4" w:space="0" w:color="auto"/>
              <w:right w:val="single" w:sz="4" w:space="0" w:color="auto"/>
            </w:tcBorders>
            <w:vAlign w:val="center"/>
            <w:hideMark/>
          </w:tcPr>
          <w:p w14:paraId="3DB220D0" w14:textId="77777777" w:rsidR="00D81E68" w:rsidRPr="00903174" w:rsidRDefault="00D81E68" w:rsidP="001F6554">
            <w:pPr>
              <w:pStyle w:val="Tableheadingrow"/>
              <w:keepLines/>
              <w:rPr>
                <w:szCs w:val="20"/>
                <w:lang w:val="en-AU"/>
              </w:rPr>
            </w:pPr>
            <w:r w:rsidRPr="00903174">
              <w:rPr>
                <w:szCs w:val="20"/>
                <w:lang w:val="en-AU"/>
              </w:rPr>
              <w:t>Step and component</w:t>
            </w:r>
          </w:p>
        </w:tc>
        <w:tc>
          <w:tcPr>
            <w:tcW w:w="1359" w:type="pct"/>
            <w:tcBorders>
              <w:top w:val="single" w:sz="4" w:space="0" w:color="auto"/>
              <w:left w:val="single" w:sz="4" w:space="0" w:color="auto"/>
              <w:bottom w:val="single" w:sz="4" w:space="0" w:color="auto"/>
              <w:right w:val="single" w:sz="4" w:space="0" w:color="auto"/>
            </w:tcBorders>
            <w:vAlign w:val="center"/>
            <w:hideMark/>
          </w:tcPr>
          <w:p w14:paraId="75A19750" w14:textId="77777777" w:rsidR="00D81E68" w:rsidRPr="00903174" w:rsidRDefault="00D81E68" w:rsidP="001F6554">
            <w:pPr>
              <w:pStyle w:val="Tableheadingrow"/>
              <w:keepLines/>
              <w:jc w:val="center"/>
              <w:rPr>
                <w:szCs w:val="20"/>
                <w:lang w:val="en-AU"/>
              </w:rPr>
            </w:pPr>
            <w:r w:rsidRPr="00903174">
              <w:rPr>
                <w:szCs w:val="20"/>
                <w:lang w:val="en-AU"/>
              </w:rPr>
              <w:t>Ravulizumab</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336CA67" w14:textId="77777777" w:rsidR="00D81E68" w:rsidRPr="00903174" w:rsidRDefault="00D81E68" w:rsidP="001F6554">
            <w:pPr>
              <w:pStyle w:val="Tableheadingrow"/>
              <w:keepLines/>
              <w:jc w:val="center"/>
              <w:rPr>
                <w:szCs w:val="20"/>
                <w:lang w:val="en-AU"/>
              </w:rPr>
            </w:pPr>
            <w:r w:rsidRPr="00903174">
              <w:rPr>
                <w:szCs w:val="20"/>
                <w:lang w:val="en-AU"/>
              </w:rPr>
              <w:t>BSC</w:t>
            </w:r>
          </w:p>
        </w:tc>
        <w:tc>
          <w:tcPr>
            <w:tcW w:w="838" w:type="pct"/>
            <w:tcBorders>
              <w:top w:val="single" w:sz="4" w:space="0" w:color="auto"/>
              <w:left w:val="single" w:sz="4" w:space="0" w:color="auto"/>
              <w:bottom w:val="single" w:sz="4" w:space="0" w:color="auto"/>
              <w:right w:val="single" w:sz="4" w:space="0" w:color="auto"/>
            </w:tcBorders>
            <w:vAlign w:val="center"/>
            <w:hideMark/>
          </w:tcPr>
          <w:p w14:paraId="77FFB272" w14:textId="77777777" w:rsidR="00D81E68" w:rsidRPr="00903174" w:rsidRDefault="00D81E68" w:rsidP="001F6554">
            <w:pPr>
              <w:pStyle w:val="Tableheadingrow"/>
              <w:keepLines/>
              <w:jc w:val="center"/>
              <w:rPr>
                <w:szCs w:val="20"/>
                <w:lang w:val="en-AU"/>
              </w:rPr>
            </w:pPr>
            <w:r w:rsidRPr="00903174">
              <w:rPr>
                <w:szCs w:val="20"/>
                <w:lang w:val="en-AU"/>
              </w:rPr>
              <w:t>Increment</w:t>
            </w:r>
          </w:p>
        </w:tc>
      </w:tr>
      <w:tr w:rsidR="00D81E68" w:rsidRPr="00903174" w14:paraId="6800F718"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9A77359" w14:textId="77777777" w:rsidR="00D81E68" w:rsidRPr="00903174" w:rsidRDefault="00D81E68" w:rsidP="001F6554">
            <w:pPr>
              <w:pStyle w:val="Tableheadingrow"/>
              <w:keepLines/>
              <w:rPr>
                <w:i/>
                <w:szCs w:val="20"/>
                <w:lang w:val="en-AU"/>
              </w:rPr>
            </w:pPr>
            <w:r w:rsidRPr="00903174">
              <w:rPr>
                <w:i/>
                <w:szCs w:val="20"/>
                <w:lang w:val="en-AU"/>
              </w:rPr>
              <w:t>Step 1a: Overall survival based on Kaplan-Meier curves for ravulizumab (using eculizumab as a proxy) versus BSC (using historical control as proxy) from the Kelly 2011 study, 8 year time horizon, drug and administration costs only</w:t>
            </w:r>
          </w:p>
        </w:tc>
      </w:tr>
      <w:tr w:rsidR="00D81E68" w:rsidRPr="00903174" w14:paraId="3F46D5D5"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081444CA" w14:textId="77777777" w:rsidR="00D81E68" w:rsidRPr="00903174" w:rsidRDefault="00D81E68" w:rsidP="001F6554">
            <w:pPr>
              <w:pStyle w:val="TableText"/>
              <w:keepLines/>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0C9FB089"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65441F41" w14:textId="77777777" w:rsidR="00D81E68" w:rsidRPr="00903174" w:rsidRDefault="00D81E68" w:rsidP="001F6554">
            <w:pPr>
              <w:pStyle w:val="TableText"/>
              <w:keepLines/>
              <w:jc w:val="center"/>
              <w:rPr>
                <w:i/>
                <w:szCs w:val="20"/>
              </w:rPr>
            </w:pPr>
            <w:r w:rsidRPr="00903174">
              <w:rPr>
                <w:i/>
                <w:szCs w:val="20"/>
              </w:rPr>
              <w:t>$0</w:t>
            </w:r>
          </w:p>
        </w:tc>
        <w:tc>
          <w:tcPr>
            <w:tcW w:w="838" w:type="pct"/>
            <w:tcBorders>
              <w:top w:val="single" w:sz="4" w:space="0" w:color="auto"/>
              <w:left w:val="single" w:sz="4" w:space="0" w:color="auto"/>
              <w:bottom w:val="single" w:sz="4" w:space="0" w:color="auto"/>
              <w:right w:val="single" w:sz="4" w:space="0" w:color="auto"/>
            </w:tcBorders>
            <w:vAlign w:val="center"/>
            <w:hideMark/>
          </w:tcPr>
          <w:p w14:paraId="016FF641"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r>
      <w:tr w:rsidR="00D81E68" w:rsidRPr="00903174" w14:paraId="773005E6"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1B862B64" w14:textId="77777777" w:rsidR="00D81E68" w:rsidRPr="00903174" w:rsidRDefault="00D81E68" w:rsidP="001F6554">
            <w:pPr>
              <w:pStyle w:val="TableText"/>
              <w:keepLines/>
              <w:rPr>
                <w:szCs w:val="20"/>
              </w:rPr>
            </w:pPr>
            <w:r w:rsidRPr="00903174">
              <w:rPr>
                <w:szCs w:val="20"/>
              </w:rPr>
              <w:t>LY gained</w:t>
            </w:r>
          </w:p>
        </w:tc>
        <w:tc>
          <w:tcPr>
            <w:tcW w:w="1359" w:type="pct"/>
            <w:tcBorders>
              <w:top w:val="single" w:sz="4" w:space="0" w:color="auto"/>
              <w:left w:val="single" w:sz="4" w:space="0" w:color="auto"/>
              <w:bottom w:val="single" w:sz="4" w:space="0" w:color="auto"/>
              <w:right w:val="single" w:sz="4" w:space="0" w:color="auto"/>
            </w:tcBorders>
            <w:vAlign w:val="center"/>
            <w:hideMark/>
          </w:tcPr>
          <w:p w14:paraId="053B668F" w14:textId="77777777" w:rsidR="00D81E68" w:rsidRPr="00903174" w:rsidRDefault="00D81E68" w:rsidP="001F6554">
            <w:pPr>
              <w:pStyle w:val="TableText"/>
              <w:keepLines/>
              <w:jc w:val="center"/>
              <w:rPr>
                <w:i/>
                <w:szCs w:val="20"/>
              </w:rPr>
            </w:pPr>
            <w:r w:rsidRPr="00903174">
              <w:rPr>
                <w:i/>
                <w:szCs w:val="20"/>
              </w:rPr>
              <w:t>7.68</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2DA3D83" w14:textId="77777777" w:rsidR="00D81E68" w:rsidRPr="00903174" w:rsidRDefault="00D81E68" w:rsidP="001F6554">
            <w:pPr>
              <w:pStyle w:val="TableText"/>
              <w:keepLines/>
              <w:jc w:val="center"/>
              <w:rPr>
                <w:i/>
                <w:szCs w:val="20"/>
              </w:rPr>
            </w:pPr>
            <w:r w:rsidRPr="00903174">
              <w:rPr>
                <w:i/>
                <w:szCs w:val="20"/>
              </w:rPr>
              <w:t>6.07</w:t>
            </w:r>
          </w:p>
        </w:tc>
        <w:tc>
          <w:tcPr>
            <w:tcW w:w="838" w:type="pct"/>
            <w:tcBorders>
              <w:top w:val="single" w:sz="4" w:space="0" w:color="auto"/>
              <w:left w:val="single" w:sz="4" w:space="0" w:color="auto"/>
              <w:bottom w:val="single" w:sz="4" w:space="0" w:color="auto"/>
              <w:right w:val="single" w:sz="4" w:space="0" w:color="auto"/>
            </w:tcBorders>
            <w:vAlign w:val="center"/>
            <w:hideMark/>
          </w:tcPr>
          <w:p w14:paraId="1976A1F5" w14:textId="77777777" w:rsidR="00D81E68" w:rsidRPr="00903174" w:rsidRDefault="00D81E68" w:rsidP="001F6554">
            <w:pPr>
              <w:pStyle w:val="TableText"/>
              <w:keepLines/>
              <w:jc w:val="center"/>
              <w:rPr>
                <w:i/>
                <w:szCs w:val="20"/>
              </w:rPr>
            </w:pPr>
            <w:r w:rsidRPr="00903174">
              <w:rPr>
                <w:i/>
                <w:szCs w:val="20"/>
              </w:rPr>
              <w:t>1.61</w:t>
            </w:r>
          </w:p>
        </w:tc>
      </w:tr>
      <w:tr w:rsidR="00D81E68" w:rsidRPr="00903174" w14:paraId="605D0B53"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085F36DA" w14:textId="77777777" w:rsidR="00D81E68" w:rsidRPr="00903174" w:rsidRDefault="00D81E68" w:rsidP="001F6554">
            <w:pPr>
              <w:pStyle w:val="TableText"/>
              <w:keepLines/>
              <w:rPr>
                <w:b/>
                <w:szCs w:val="20"/>
              </w:rPr>
            </w:pPr>
            <w:r w:rsidRPr="00903174">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47C80B0F"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457BB1E4"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C8856ED" w14:textId="77777777" w:rsidR="00D81E68" w:rsidRPr="00903174" w:rsidRDefault="00D81E68" w:rsidP="001F6554">
            <w:pPr>
              <w:pStyle w:val="Tableheadingrow"/>
              <w:keepLines/>
              <w:rPr>
                <w:i/>
                <w:szCs w:val="20"/>
                <w:lang w:val="en-AU"/>
              </w:rPr>
            </w:pPr>
            <w:r w:rsidRPr="00903174">
              <w:rPr>
                <w:i/>
                <w:szCs w:val="20"/>
                <w:lang w:val="en-AU"/>
              </w:rPr>
              <w:t>Step 1b: Modelled efficacy (Gompertz survival curve for ravulizumab; exponential survival curve for BSC), 8 year time horizon, drug and administration costs only</w:t>
            </w:r>
          </w:p>
        </w:tc>
      </w:tr>
      <w:tr w:rsidR="00D81E68" w:rsidRPr="00903174" w14:paraId="417A25C8"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356451F8" w14:textId="77777777" w:rsidR="00D81E68" w:rsidRPr="00903174" w:rsidRDefault="00D81E68" w:rsidP="001F6554">
            <w:pPr>
              <w:pStyle w:val="TableText"/>
              <w:keepLines/>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64A95E46"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09292B3" w14:textId="77777777" w:rsidR="00D81E68" w:rsidRPr="00903174" w:rsidRDefault="00D81E68" w:rsidP="001F6554">
            <w:pPr>
              <w:pStyle w:val="TableText"/>
              <w:keepLines/>
              <w:jc w:val="center"/>
              <w:rPr>
                <w:i/>
                <w:szCs w:val="20"/>
              </w:rPr>
            </w:pPr>
            <w:r w:rsidRPr="00903174">
              <w:rPr>
                <w:i/>
                <w:szCs w:val="20"/>
              </w:rPr>
              <w:t>$0</w:t>
            </w:r>
          </w:p>
        </w:tc>
        <w:tc>
          <w:tcPr>
            <w:tcW w:w="838" w:type="pct"/>
            <w:tcBorders>
              <w:top w:val="single" w:sz="4" w:space="0" w:color="auto"/>
              <w:left w:val="single" w:sz="4" w:space="0" w:color="auto"/>
              <w:bottom w:val="single" w:sz="4" w:space="0" w:color="auto"/>
              <w:right w:val="single" w:sz="4" w:space="0" w:color="auto"/>
            </w:tcBorders>
            <w:vAlign w:val="center"/>
            <w:hideMark/>
          </w:tcPr>
          <w:p w14:paraId="2212ACC1"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r>
      <w:tr w:rsidR="00D81E68" w:rsidRPr="00903174" w14:paraId="35A00614"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06082FF1" w14:textId="77777777" w:rsidR="00D81E68" w:rsidRPr="00903174" w:rsidRDefault="00D81E68" w:rsidP="001F6554">
            <w:pPr>
              <w:pStyle w:val="TableText"/>
              <w:keepLines/>
              <w:rPr>
                <w:szCs w:val="20"/>
              </w:rPr>
            </w:pPr>
            <w:r w:rsidRPr="00903174">
              <w:rPr>
                <w:szCs w:val="20"/>
              </w:rPr>
              <w:t>LY gained</w:t>
            </w:r>
          </w:p>
        </w:tc>
        <w:tc>
          <w:tcPr>
            <w:tcW w:w="1359" w:type="pct"/>
            <w:tcBorders>
              <w:top w:val="single" w:sz="4" w:space="0" w:color="auto"/>
              <w:left w:val="single" w:sz="4" w:space="0" w:color="auto"/>
              <w:bottom w:val="single" w:sz="4" w:space="0" w:color="auto"/>
              <w:right w:val="single" w:sz="4" w:space="0" w:color="auto"/>
            </w:tcBorders>
            <w:vAlign w:val="center"/>
            <w:hideMark/>
          </w:tcPr>
          <w:p w14:paraId="0323F291" w14:textId="77777777" w:rsidR="00D81E68" w:rsidRPr="00903174" w:rsidRDefault="00D81E68" w:rsidP="001F6554">
            <w:pPr>
              <w:pStyle w:val="TableText"/>
              <w:keepLines/>
              <w:jc w:val="center"/>
              <w:rPr>
                <w:i/>
                <w:szCs w:val="20"/>
              </w:rPr>
            </w:pPr>
            <w:r w:rsidRPr="00903174">
              <w:rPr>
                <w:i/>
                <w:szCs w:val="20"/>
              </w:rPr>
              <w:t>7.69</w:t>
            </w:r>
          </w:p>
        </w:tc>
        <w:tc>
          <w:tcPr>
            <w:tcW w:w="1274" w:type="pct"/>
            <w:tcBorders>
              <w:top w:val="single" w:sz="4" w:space="0" w:color="auto"/>
              <w:left w:val="single" w:sz="4" w:space="0" w:color="auto"/>
              <w:bottom w:val="single" w:sz="4" w:space="0" w:color="auto"/>
              <w:right w:val="single" w:sz="4" w:space="0" w:color="auto"/>
            </w:tcBorders>
            <w:vAlign w:val="center"/>
            <w:hideMark/>
          </w:tcPr>
          <w:p w14:paraId="151D5921" w14:textId="77777777" w:rsidR="00D81E68" w:rsidRPr="00903174" w:rsidRDefault="00D81E68" w:rsidP="001F6554">
            <w:pPr>
              <w:pStyle w:val="TableText"/>
              <w:keepLines/>
              <w:jc w:val="center"/>
              <w:rPr>
                <w:i/>
                <w:szCs w:val="20"/>
              </w:rPr>
            </w:pPr>
            <w:r w:rsidRPr="00903174">
              <w:rPr>
                <w:i/>
                <w:szCs w:val="20"/>
              </w:rPr>
              <w:t>6.30</w:t>
            </w:r>
          </w:p>
        </w:tc>
        <w:tc>
          <w:tcPr>
            <w:tcW w:w="838" w:type="pct"/>
            <w:tcBorders>
              <w:top w:val="single" w:sz="4" w:space="0" w:color="auto"/>
              <w:left w:val="single" w:sz="4" w:space="0" w:color="auto"/>
              <w:bottom w:val="single" w:sz="4" w:space="0" w:color="auto"/>
              <w:right w:val="single" w:sz="4" w:space="0" w:color="auto"/>
            </w:tcBorders>
            <w:vAlign w:val="center"/>
            <w:hideMark/>
          </w:tcPr>
          <w:p w14:paraId="21F1002A" w14:textId="77777777" w:rsidR="00D81E68" w:rsidRPr="00903174" w:rsidRDefault="00D81E68" w:rsidP="001F6554">
            <w:pPr>
              <w:pStyle w:val="TableText"/>
              <w:keepLines/>
              <w:jc w:val="center"/>
              <w:rPr>
                <w:i/>
                <w:szCs w:val="20"/>
              </w:rPr>
            </w:pPr>
            <w:r w:rsidRPr="00903174">
              <w:rPr>
                <w:i/>
                <w:szCs w:val="20"/>
              </w:rPr>
              <w:t>1.39</w:t>
            </w:r>
          </w:p>
        </w:tc>
      </w:tr>
      <w:tr w:rsidR="00D81E68" w:rsidRPr="00903174" w14:paraId="697AC924"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5715F74B" w14:textId="77777777" w:rsidR="00D81E68" w:rsidRPr="00903174" w:rsidRDefault="00D81E68" w:rsidP="001F6554">
            <w:pPr>
              <w:pStyle w:val="TableText"/>
              <w:keepLines/>
              <w:rPr>
                <w:b/>
                <w:szCs w:val="20"/>
              </w:rPr>
            </w:pPr>
            <w:r w:rsidRPr="00903174">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00BCE3C6"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187A8159"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26835C59" w14:textId="77777777" w:rsidR="00D81E68" w:rsidRPr="00903174" w:rsidRDefault="00D81E68" w:rsidP="001F6554">
            <w:pPr>
              <w:pStyle w:val="Tableheadingrow"/>
              <w:keepLines/>
              <w:rPr>
                <w:i/>
                <w:szCs w:val="20"/>
                <w:lang w:val="en-AU"/>
              </w:rPr>
            </w:pPr>
            <w:r w:rsidRPr="00903174">
              <w:rPr>
                <w:i/>
                <w:szCs w:val="20"/>
                <w:lang w:val="en-AU"/>
              </w:rPr>
              <w:t>Step 2: Extrapolate to 55 year time horizon</w:t>
            </w:r>
          </w:p>
        </w:tc>
      </w:tr>
      <w:tr w:rsidR="00D81E68" w:rsidRPr="00903174" w14:paraId="2475493C"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2EC103F5" w14:textId="77777777" w:rsidR="00D81E68" w:rsidRPr="00903174" w:rsidRDefault="00D81E68" w:rsidP="001F6554">
            <w:pPr>
              <w:pStyle w:val="TableText"/>
              <w:keepLines/>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3DC19290"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46207FDE" w14:textId="77777777" w:rsidR="00D81E68" w:rsidRPr="00903174" w:rsidRDefault="00D81E68" w:rsidP="001F6554">
            <w:pPr>
              <w:pStyle w:val="TableText"/>
              <w:keepLines/>
              <w:jc w:val="center"/>
              <w:rPr>
                <w:i/>
                <w:szCs w:val="20"/>
              </w:rPr>
            </w:pPr>
            <w:r w:rsidRPr="00903174">
              <w:rPr>
                <w:i/>
                <w:szCs w:val="20"/>
              </w:rPr>
              <w:t>$0</w:t>
            </w:r>
          </w:p>
        </w:tc>
        <w:tc>
          <w:tcPr>
            <w:tcW w:w="838" w:type="pct"/>
            <w:tcBorders>
              <w:top w:val="single" w:sz="4" w:space="0" w:color="auto"/>
              <w:left w:val="single" w:sz="4" w:space="0" w:color="auto"/>
              <w:bottom w:val="single" w:sz="4" w:space="0" w:color="auto"/>
              <w:right w:val="single" w:sz="4" w:space="0" w:color="auto"/>
            </w:tcBorders>
            <w:vAlign w:val="center"/>
            <w:hideMark/>
          </w:tcPr>
          <w:p w14:paraId="67D65484"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r>
      <w:tr w:rsidR="00D81E68" w:rsidRPr="00903174" w14:paraId="257CA4B0"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4287513F" w14:textId="77777777" w:rsidR="00D81E68" w:rsidRPr="00903174" w:rsidRDefault="00D81E68" w:rsidP="001F6554">
            <w:pPr>
              <w:pStyle w:val="TableText"/>
              <w:keepLines/>
              <w:rPr>
                <w:szCs w:val="20"/>
              </w:rPr>
            </w:pPr>
            <w:r w:rsidRPr="00903174">
              <w:rPr>
                <w:szCs w:val="20"/>
              </w:rPr>
              <w:t>LY gained</w:t>
            </w:r>
          </w:p>
        </w:tc>
        <w:tc>
          <w:tcPr>
            <w:tcW w:w="1359" w:type="pct"/>
            <w:tcBorders>
              <w:top w:val="single" w:sz="4" w:space="0" w:color="auto"/>
              <w:left w:val="single" w:sz="4" w:space="0" w:color="auto"/>
              <w:bottom w:val="single" w:sz="4" w:space="0" w:color="auto"/>
              <w:right w:val="single" w:sz="4" w:space="0" w:color="auto"/>
            </w:tcBorders>
            <w:vAlign w:val="center"/>
            <w:hideMark/>
          </w:tcPr>
          <w:p w14:paraId="5C44BE8B" w14:textId="77777777" w:rsidR="00D81E68" w:rsidRPr="00903174" w:rsidRDefault="00D81E68" w:rsidP="001F6554">
            <w:pPr>
              <w:pStyle w:val="TableText"/>
              <w:keepLines/>
              <w:jc w:val="center"/>
              <w:rPr>
                <w:i/>
                <w:szCs w:val="20"/>
              </w:rPr>
            </w:pPr>
            <w:r w:rsidRPr="00903174">
              <w:rPr>
                <w:i/>
                <w:szCs w:val="20"/>
              </w:rPr>
              <w:t>52.59</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44EC079" w14:textId="77777777" w:rsidR="00D81E68" w:rsidRPr="00903174" w:rsidRDefault="00D81E68" w:rsidP="001F6554">
            <w:pPr>
              <w:pStyle w:val="TableText"/>
              <w:keepLines/>
              <w:jc w:val="center"/>
              <w:rPr>
                <w:i/>
                <w:szCs w:val="20"/>
              </w:rPr>
            </w:pPr>
            <w:r w:rsidRPr="00903174">
              <w:rPr>
                <w:i/>
                <w:szCs w:val="20"/>
              </w:rPr>
              <w:t>15.48</w:t>
            </w:r>
          </w:p>
        </w:tc>
        <w:tc>
          <w:tcPr>
            <w:tcW w:w="838" w:type="pct"/>
            <w:tcBorders>
              <w:top w:val="single" w:sz="4" w:space="0" w:color="auto"/>
              <w:left w:val="single" w:sz="4" w:space="0" w:color="auto"/>
              <w:bottom w:val="single" w:sz="4" w:space="0" w:color="auto"/>
              <w:right w:val="single" w:sz="4" w:space="0" w:color="auto"/>
            </w:tcBorders>
            <w:vAlign w:val="center"/>
            <w:hideMark/>
          </w:tcPr>
          <w:p w14:paraId="6C3AC3F6" w14:textId="77777777" w:rsidR="00D81E68" w:rsidRPr="00903174" w:rsidRDefault="00D81E68" w:rsidP="001F6554">
            <w:pPr>
              <w:pStyle w:val="TableText"/>
              <w:keepLines/>
              <w:jc w:val="center"/>
              <w:rPr>
                <w:i/>
                <w:szCs w:val="20"/>
              </w:rPr>
            </w:pPr>
            <w:r w:rsidRPr="00903174">
              <w:rPr>
                <w:i/>
                <w:szCs w:val="20"/>
              </w:rPr>
              <w:t>37.11</w:t>
            </w:r>
          </w:p>
        </w:tc>
      </w:tr>
      <w:tr w:rsidR="00D81E68" w:rsidRPr="00903174" w14:paraId="5E18D15B"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39C6B234" w14:textId="77777777" w:rsidR="00D81E68" w:rsidRPr="00903174" w:rsidRDefault="00D81E68" w:rsidP="001F6554">
            <w:pPr>
              <w:pStyle w:val="TableText"/>
              <w:keepLines/>
              <w:rPr>
                <w:b/>
                <w:szCs w:val="20"/>
              </w:rPr>
            </w:pPr>
            <w:r w:rsidRPr="00903174">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16AF4C8F"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0597C760"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9246DDE" w14:textId="77777777" w:rsidR="00D81E68" w:rsidRPr="00903174" w:rsidRDefault="00D81E68" w:rsidP="001F6554">
            <w:pPr>
              <w:pStyle w:val="TableText"/>
              <w:keepLines/>
              <w:rPr>
                <w:b/>
                <w:i/>
                <w:szCs w:val="20"/>
              </w:rPr>
            </w:pPr>
            <w:r w:rsidRPr="00903174">
              <w:rPr>
                <w:b/>
                <w:i/>
                <w:szCs w:val="20"/>
              </w:rPr>
              <w:t>Step 3: Incorporate age-adjusted survival cap (i.e. proportion remaining alive with PNH does not exceed general population survival estimates)</w:t>
            </w:r>
          </w:p>
        </w:tc>
      </w:tr>
      <w:tr w:rsidR="00D81E68" w:rsidRPr="00903174" w14:paraId="64D6DF43"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2AC86CBE" w14:textId="77777777" w:rsidR="00D81E68" w:rsidRPr="00903174" w:rsidRDefault="00D81E68" w:rsidP="001F6554">
            <w:pPr>
              <w:pStyle w:val="TableText"/>
              <w:keepLines/>
              <w:rPr>
                <w:b/>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660077B5" w14:textId="77777777" w:rsidR="00D81E68" w:rsidRPr="00903174" w:rsidRDefault="00D81E68" w:rsidP="001F6554">
            <w:pPr>
              <w:pStyle w:val="TableText"/>
              <w:keepLines/>
              <w:jc w:val="center"/>
              <w:rPr>
                <w:b/>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3AFD4DEB" w14:textId="77777777" w:rsidR="00D81E68" w:rsidRPr="00903174" w:rsidRDefault="00D81E68" w:rsidP="001F6554">
            <w:pPr>
              <w:pStyle w:val="TableText"/>
              <w:keepLines/>
              <w:jc w:val="center"/>
              <w:rPr>
                <w:b/>
                <w:szCs w:val="20"/>
              </w:rPr>
            </w:pPr>
            <w:r w:rsidRPr="00903174">
              <w:rPr>
                <w:i/>
                <w:szCs w:val="20"/>
              </w:rPr>
              <w:t>$0</w:t>
            </w:r>
          </w:p>
        </w:tc>
        <w:tc>
          <w:tcPr>
            <w:tcW w:w="838" w:type="pct"/>
            <w:tcBorders>
              <w:top w:val="single" w:sz="4" w:space="0" w:color="auto"/>
              <w:left w:val="single" w:sz="4" w:space="0" w:color="auto"/>
              <w:bottom w:val="single" w:sz="4" w:space="0" w:color="auto"/>
              <w:right w:val="single" w:sz="4" w:space="0" w:color="auto"/>
            </w:tcBorders>
            <w:vAlign w:val="center"/>
            <w:hideMark/>
          </w:tcPr>
          <w:p w14:paraId="22A3112E" w14:textId="77777777" w:rsidR="00D81E68" w:rsidRPr="00903174" w:rsidRDefault="00D81E68" w:rsidP="001F6554">
            <w:pPr>
              <w:pStyle w:val="TableText"/>
              <w:keepLines/>
              <w:jc w:val="center"/>
              <w:rPr>
                <w:b/>
                <w:i/>
                <w:szCs w:val="20"/>
              </w:rPr>
            </w:pPr>
            <w:r w:rsidRPr="00903174">
              <w:rPr>
                <w:i/>
                <w:szCs w:val="20"/>
              </w:rPr>
              <w:t>$</w:t>
            </w:r>
            <w:r w:rsidR="00DF28C6">
              <w:rPr>
                <w:i/>
                <w:noProof/>
                <w:color w:val="000000"/>
                <w:szCs w:val="20"/>
                <w:highlight w:val="black"/>
              </w:rPr>
              <w:t>''''''''''''''''''''''''''''</w:t>
            </w:r>
          </w:p>
        </w:tc>
      </w:tr>
      <w:tr w:rsidR="00D81E68" w:rsidRPr="00903174" w14:paraId="12A2B5E3"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223FE71B" w14:textId="77777777" w:rsidR="00D81E68" w:rsidRPr="00903174" w:rsidRDefault="00D81E68" w:rsidP="001F6554">
            <w:pPr>
              <w:pStyle w:val="TableText"/>
              <w:keepLines/>
              <w:rPr>
                <w:b/>
                <w:szCs w:val="20"/>
              </w:rPr>
            </w:pPr>
            <w:r w:rsidRPr="00903174">
              <w:rPr>
                <w:szCs w:val="20"/>
              </w:rPr>
              <w:t>LY gained</w:t>
            </w:r>
          </w:p>
        </w:tc>
        <w:tc>
          <w:tcPr>
            <w:tcW w:w="1359" w:type="pct"/>
            <w:tcBorders>
              <w:top w:val="single" w:sz="4" w:space="0" w:color="auto"/>
              <w:left w:val="single" w:sz="4" w:space="0" w:color="auto"/>
              <w:bottom w:val="single" w:sz="4" w:space="0" w:color="auto"/>
              <w:right w:val="single" w:sz="4" w:space="0" w:color="auto"/>
            </w:tcBorders>
            <w:vAlign w:val="center"/>
            <w:hideMark/>
          </w:tcPr>
          <w:p w14:paraId="0891C184" w14:textId="77777777" w:rsidR="00D81E68" w:rsidRPr="00903174" w:rsidRDefault="00D81E68" w:rsidP="001F6554">
            <w:pPr>
              <w:pStyle w:val="TableText"/>
              <w:keepLines/>
              <w:jc w:val="center"/>
              <w:rPr>
                <w:b/>
                <w:szCs w:val="20"/>
              </w:rPr>
            </w:pPr>
            <w:r w:rsidRPr="00903174">
              <w:rPr>
                <w:i/>
                <w:szCs w:val="20"/>
              </w:rPr>
              <w:t>42.77</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AB99C19" w14:textId="77777777" w:rsidR="00D81E68" w:rsidRPr="00903174" w:rsidRDefault="00D81E68" w:rsidP="001F6554">
            <w:pPr>
              <w:pStyle w:val="TableText"/>
              <w:keepLines/>
              <w:jc w:val="center"/>
              <w:rPr>
                <w:b/>
                <w:szCs w:val="20"/>
              </w:rPr>
            </w:pPr>
            <w:r w:rsidRPr="00903174">
              <w:rPr>
                <w:i/>
                <w:szCs w:val="20"/>
              </w:rPr>
              <w:t>15.48</w:t>
            </w:r>
          </w:p>
        </w:tc>
        <w:tc>
          <w:tcPr>
            <w:tcW w:w="838" w:type="pct"/>
            <w:tcBorders>
              <w:top w:val="single" w:sz="4" w:space="0" w:color="auto"/>
              <w:left w:val="single" w:sz="4" w:space="0" w:color="auto"/>
              <w:bottom w:val="single" w:sz="4" w:space="0" w:color="auto"/>
              <w:right w:val="single" w:sz="4" w:space="0" w:color="auto"/>
            </w:tcBorders>
            <w:vAlign w:val="center"/>
            <w:hideMark/>
          </w:tcPr>
          <w:p w14:paraId="1DA65F4C" w14:textId="77777777" w:rsidR="00D81E68" w:rsidRPr="00903174" w:rsidRDefault="00D81E68" w:rsidP="001F6554">
            <w:pPr>
              <w:pStyle w:val="TableText"/>
              <w:keepLines/>
              <w:jc w:val="center"/>
              <w:rPr>
                <w:b/>
                <w:i/>
                <w:szCs w:val="20"/>
              </w:rPr>
            </w:pPr>
            <w:r w:rsidRPr="00903174">
              <w:rPr>
                <w:i/>
                <w:szCs w:val="20"/>
              </w:rPr>
              <w:t>27.29</w:t>
            </w:r>
          </w:p>
        </w:tc>
      </w:tr>
      <w:tr w:rsidR="00D81E68" w:rsidRPr="00903174" w14:paraId="0B75A942"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07287FB0" w14:textId="77777777" w:rsidR="00D81E68" w:rsidRPr="00903174" w:rsidRDefault="00D81E68" w:rsidP="001F6554">
            <w:pPr>
              <w:pStyle w:val="TableText"/>
              <w:keepLines/>
              <w:rPr>
                <w:b/>
                <w:szCs w:val="20"/>
              </w:rPr>
            </w:pPr>
            <w:r w:rsidRPr="00903174">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37B73B96"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4433B9A9"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BEB128F" w14:textId="77777777" w:rsidR="00D81E68" w:rsidRPr="00903174" w:rsidRDefault="00D81E68" w:rsidP="001F6554">
            <w:pPr>
              <w:pStyle w:val="Tableheadingrow"/>
              <w:keepLines/>
              <w:rPr>
                <w:i/>
                <w:szCs w:val="20"/>
                <w:lang w:val="en-AU"/>
              </w:rPr>
            </w:pPr>
            <w:r w:rsidRPr="00903174">
              <w:rPr>
                <w:i/>
                <w:szCs w:val="20"/>
                <w:lang w:val="en-AU"/>
              </w:rPr>
              <w:t>Step 4: Incorporate spontaneous remission transition probability (with general population mortality within alive with remission and spontaneous remission health states)</w:t>
            </w:r>
          </w:p>
        </w:tc>
      </w:tr>
      <w:tr w:rsidR="00D81E68" w:rsidRPr="00903174" w14:paraId="60115D23"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0F666DB3" w14:textId="77777777" w:rsidR="00D81E68" w:rsidRPr="00903174" w:rsidRDefault="00D81E68" w:rsidP="001F6554">
            <w:pPr>
              <w:pStyle w:val="TableText"/>
              <w:keepLines/>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678B35AE"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62974341" w14:textId="77777777" w:rsidR="00D81E68" w:rsidRPr="00903174" w:rsidRDefault="00D81E68" w:rsidP="001F6554">
            <w:pPr>
              <w:pStyle w:val="TableText"/>
              <w:keepLines/>
              <w:jc w:val="center"/>
              <w:rPr>
                <w:i/>
                <w:szCs w:val="20"/>
              </w:rPr>
            </w:pPr>
            <w:r w:rsidRPr="00903174">
              <w:rPr>
                <w:i/>
                <w:szCs w:val="20"/>
              </w:rPr>
              <w:t>$0</w:t>
            </w:r>
          </w:p>
        </w:tc>
        <w:tc>
          <w:tcPr>
            <w:tcW w:w="838" w:type="pct"/>
            <w:tcBorders>
              <w:top w:val="single" w:sz="4" w:space="0" w:color="auto"/>
              <w:left w:val="single" w:sz="4" w:space="0" w:color="auto"/>
              <w:bottom w:val="single" w:sz="4" w:space="0" w:color="auto"/>
              <w:right w:val="single" w:sz="4" w:space="0" w:color="auto"/>
            </w:tcBorders>
            <w:vAlign w:val="center"/>
            <w:hideMark/>
          </w:tcPr>
          <w:p w14:paraId="5FFBF5CB"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r>
      <w:tr w:rsidR="00D81E68" w:rsidRPr="00903174" w14:paraId="2D6120B6"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152EF33D" w14:textId="77777777" w:rsidR="00D81E68" w:rsidRPr="00903174" w:rsidRDefault="00D81E68" w:rsidP="001F6554">
            <w:pPr>
              <w:pStyle w:val="TableText"/>
              <w:keepLines/>
              <w:rPr>
                <w:szCs w:val="20"/>
              </w:rPr>
            </w:pPr>
            <w:r w:rsidRPr="00903174">
              <w:rPr>
                <w:szCs w:val="20"/>
              </w:rPr>
              <w:t>LY gained</w:t>
            </w:r>
          </w:p>
        </w:tc>
        <w:tc>
          <w:tcPr>
            <w:tcW w:w="1359" w:type="pct"/>
            <w:tcBorders>
              <w:top w:val="single" w:sz="4" w:space="0" w:color="auto"/>
              <w:left w:val="single" w:sz="4" w:space="0" w:color="auto"/>
              <w:bottom w:val="single" w:sz="4" w:space="0" w:color="auto"/>
              <w:right w:val="single" w:sz="4" w:space="0" w:color="auto"/>
            </w:tcBorders>
            <w:vAlign w:val="center"/>
            <w:hideMark/>
          </w:tcPr>
          <w:p w14:paraId="453637BD" w14:textId="77777777" w:rsidR="00D81E68" w:rsidRPr="00903174" w:rsidRDefault="00D81E68" w:rsidP="001F6554">
            <w:pPr>
              <w:pStyle w:val="TableText"/>
              <w:keepLines/>
              <w:jc w:val="center"/>
              <w:rPr>
                <w:i/>
                <w:szCs w:val="20"/>
              </w:rPr>
            </w:pPr>
            <w:r w:rsidRPr="00903174">
              <w:rPr>
                <w:i/>
                <w:szCs w:val="20"/>
              </w:rPr>
              <w:t>42.77</w:t>
            </w:r>
          </w:p>
        </w:tc>
        <w:tc>
          <w:tcPr>
            <w:tcW w:w="1274" w:type="pct"/>
            <w:tcBorders>
              <w:top w:val="single" w:sz="4" w:space="0" w:color="auto"/>
              <w:left w:val="single" w:sz="4" w:space="0" w:color="auto"/>
              <w:bottom w:val="single" w:sz="4" w:space="0" w:color="auto"/>
              <w:right w:val="single" w:sz="4" w:space="0" w:color="auto"/>
            </w:tcBorders>
            <w:vAlign w:val="center"/>
            <w:hideMark/>
          </w:tcPr>
          <w:p w14:paraId="4C051990" w14:textId="77777777" w:rsidR="00D81E68" w:rsidRPr="00903174" w:rsidRDefault="00D81E68" w:rsidP="001F6554">
            <w:pPr>
              <w:pStyle w:val="TableText"/>
              <w:keepLines/>
              <w:jc w:val="center"/>
              <w:rPr>
                <w:i/>
                <w:szCs w:val="20"/>
              </w:rPr>
            </w:pPr>
            <w:r w:rsidRPr="00903174">
              <w:rPr>
                <w:i/>
                <w:szCs w:val="20"/>
              </w:rPr>
              <w:t>15.48</w:t>
            </w:r>
          </w:p>
        </w:tc>
        <w:tc>
          <w:tcPr>
            <w:tcW w:w="838" w:type="pct"/>
            <w:tcBorders>
              <w:top w:val="single" w:sz="4" w:space="0" w:color="auto"/>
              <w:left w:val="single" w:sz="4" w:space="0" w:color="auto"/>
              <w:bottom w:val="single" w:sz="4" w:space="0" w:color="auto"/>
              <w:right w:val="single" w:sz="4" w:space="0" w:color="auto"/>
            </w:tcBorders>
            <w:vAlign w:val="center"/>
            <w:hideMark/>
          </w:tcPr>
          <w:p w14:paraId="7AB28339" w14:textId="77777777" w:rsidR="00D81E68" w:rsidRPr="00903174" w:rsidRDefault="00D81E68" w:rsidP="001F6554">
            <w:pPr>
              <w:pStyle w:val="TableText"/>
              <w:keepLines/>
              <w:jc w:val="center"/>
              <w:rPr>
                <w:i/>
                <w:szCs w:val="20"/>
              </w:rPr>
            </w:pPr>
            <w:r w:rsidRPr="00903174">
              <w:rPr>
                <w:i/>
                <w:szCs w:val="20"/>
              </w:rPr>
              <w:t>27.29</w:t>
            </w:r>
          </w:p>
        </w:tc>
      </w:tr>
      <w:tr w:rsidR="00D81E68" w:rsidRPr="00903174" w14:paraId="341D53CD"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0230BB77" w14:textId="77777777" w:rsidR="00D81E68" w:rsidRPr="00903174" w:rsidRDefault="00D81E68" w:rsidP="001F6554">
            <w:pPr>
              <w:pStyle w:val="TableText"/>
              <w:keepLines/>
              <w:rPr>
                <w:b/>
                <w:szCs w:val="20"/>
              </w:rPr>
            </w:pPr>
            <w:r w:rsidRPr="00903174">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22947370"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6E3C96DF"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424AE38" w14:textId="77777777" w:rsidR="00D81E68" w:rsidRPr="00903174" w:rsidRDefault="00D81E68" w:rsidP="001F6554">
            <w:pPr>
              <w:pStyle w:val="Tableheadingrow"/>
              <w:keepLines/>
              <w:rPr>
                <w:i/>
                <w:szCs w:val="20"/>
                <w:lang w:val="en-AU"/>
              </w:rPr>
            </w:pPr>
            <w:r w:rsidRPr="00903174">
              <w:rPr>
                <w:i/>
                <w:szCs w:val="20"/>
                <w:lang w:val="en-AU"/>
              </w:rPr>
              <w:t>Step 5: Include anticoagulation drug costs, blood transfusion costs, specialist visit costs and meningococcal vaccine costs</w:t>
            </w:r>
          </w:p>
        </w:tc>
      </w:tr>
      <w:tr w:rsidR="00D81E68" w:rsidRPr="00903174" w14:paraId="2BD75A67"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2574E4DF" w14:textId="77777777" w:rsidR="00D81E68" w:rsidRPr="00903174" w:rsidRDefault="00D81E68" w:rsidP="001F6554">
            <w:pPr>
              <w:pStyle w:val="TableText"/>
              <w:keepLines/>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107CFC3B"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25E52646" w14:textId="77777777" w:rsidR="00D81E68" w:rsidRPr="00903174" w:rsidRDefault="00D81E68" w:rsidP="001F6554">
            <w:pPr>
              <w:pStyle w:val="TableText"/>
              <w:keepLines/>
              <w:jc w:val="center"/>
              <w:rPr>
                <w:i/>
                <w:szCs w:val="20"/>
              </w:rPr>
            </w:pPr>
            <w:r w:rsidRPr="00903174">
              <w:rPr>
                <w:i/>
                <w:szCs w:val="20"/>
              </w:rPr>
              <w:t>$105,255</w:t>
            </w:r>
          </w:p>
        </w:tc>
        <w:tc>
          <w:tcPr>
            <w:tcW w:w="838" w:type="pct"/>
            <w:tcBorders>
              <w:top w:val="single" w:sz="4" w:space="0" w:color="auto"/>
              <w:left w:val="single" w:sz="4" w:space="0" w:color="auto"/>
              <w:bottom w:val="single" w:sz="4" w:space="0" w:color="auto"/>
              <w:right w:val="single" w:sz="4" w:space="0" w:color="auto"/>
            </w:tcBorders>
            <w:vAlign w:val="center"/>
            <w:hideMark/>
          </w:tcPr>
          <w:p w14:paraId="62F9FFCE"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r>
      <w:tr w:rsidR="00D81E68" w:rsidRPr="00903174" w14:paraId="08DA6EC2"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7FB3EFB7" w14:textId="77777777" w:rsidR="00D81E68" w:rsidRPr="00903174" w:rsidRDefault="00D81E68" w:rsidP="001F6554">
            <w:pPr>
              <w:pStyle w:val="TableText"/>
              <w:keepLines/>
              <w:rPr>
                <w:szCs w:val="20"/>
              </w:rPr>
            </w:pPr>
            <w:r w:rsidRPr="00903174">
              <w:rPr>
                <w:szCs w:val="20"/>
              </w:rPr>
              <w:t>LY gained</w:t>
            </w:r>
          </w:p>
        </w:tc>
        <w:tc>
          <w:tcPr>
            <w:tcW w:w="1359" w:type="pct"/>
            <w:tcBorders>
              <w:top w:val="single" w:sz="4" w:space="0" w:color="auto"/>
              <w:left w:val="single" w:sz="4" w:space="0" w:color="auto"/>
              <w:bottom w:val="single" w:sz="4" w:space="0" w:color="auto"/>
              <w:right w:val="single" w:sz="4" w:space="0" w:color="auto"/>
            </w:tcBorders>
            <w:vAlign w:val="center"/>
            <w:hideMark/>
          </w:tcPr>
          <w:p w14:paraId="35003891" w14:textId="77777777" w:rsidR="00D81E68" w:rsidRPr="00903174" w:rsidRDefault="00D81E68" w:rsidP="001F6554">
            <w:pPr>
              <w:pStyle w:val="TableText"/>
              <w:keepLines/>
              <w:jc w:val="center"/>
              <w:rPr>
                <w:i/>
                <w:szCs w:val="20"/>
              </w:rPr>
            </w:pPr>
            <w:r w:rsidRPr="00903174">
              <w:rPr>
                <w:i/>
                <w:szCs w:val="20"/>
              </w:rPr>
              <w:t>32.61</w:t>
            </w:r>
          </w:p>
        </w:tc>
        <w:tc>
          <w:tcPr>
            <w:tcW w:w="1274" w:type="pct"/>
            <w:tcBorders>
              <w:top w:val="single" w:sz="4" w:space="0" w:color="auto"/>
              <w:left w:val="single" w:sz="4" w:space="0" w:color="auto"/>
              <w:bottom w:val="single" w:sz="4" w:space="0" w:color="auto"/>
              <w:right w:val="single" w:sz="4" w:space="0" w:color="auto"/>
            </w:tcBorders>
            <w:vAlign w:val="center"/>
            <w:hideMark/>
          </w:tcPr>
          <w:p w14:paraId="6486DA88" w14:textId="77777777" w:rsidR="00D81E68" w:rsidRPr="00903174" w:rsidRDefault="00D81E68" w:rsidP="001F6554">
            <w:pPr>
              <w:pStyle w:val="TableText"/>
              <w:keepLines/>
              <w:jc w:val="center"/>
              <w:rPr>
                <w:i/>
                <w:szCs w:val="20"/>
              </w:rPr>
            </w:pPr>
            <w:r w:rsidRPr="00903174">
              <w:rPr>
                <w:i/>
                <w:szCs w:val="20"/>
              </w:rPr>
              <w:t>12.01</w:t>
            </w:r>
          </w:p>
        </w:tc>
        <w:tc>
          <w:tcPr>
            <w:tcW w:w="838" w:type="pct"/>
            <w:tcBorders>
              <w:top w:val="single" w:sz="4" w:space="0" w:color="auto"/>
              <w:left w:val="single" w:sz="4" w:space="0" w:color="auto"/>
              <w:bottom w:val="single" w:sz="4" w:space="0" w:color="auto"/>
              <w:right w:val="single" w:sz="4" w:space="0" w:color="auto"/>
            </w:tcBorders>
            <w:vAlign w:val="center"/>
            <w:hideMark/>
          </w:tcPr>
          <w:p w14:paraId="247A74AA" w14:textId="77777777" w:rsidR="00D81E68" w:rsidRPr="00903174" w:rsidRDefault="00D81E68" w:rsidP="001F6554">
            <w:pPr>
              <w:pStyle w:val="TableText"/>
              <w:keepLines/>
              <w:jc w:val="center"/>
              <w:rPr>
                <w:i/>
                <w:szCs w:val="20"/>
              </w:rPr>
            </w:pPr>
            <w:r w:rsidRPr="00903174">
              <w:rPr>
                <w:i/>
                <w:szCs w:val="20"/>
              </w:rPr>
              <w:t>20.60</w:t>
            </w:r>
          </w:p>
        </w:tc>
      </w:tr>
      <w:tr w:rsidR="00D81E68" w:rsidRPr="00903174" w14:paraId="69CF21A9"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3ED7C984" w14:textId="77777777" w:rsidR="00D81E68" w:rsidRPr="00903174" w:rsidRDefault="00D81E68" w:rsidP="001F6554">
            <w:pPr>
              <w:pStyle w:val="TableText"/>
              <w:keepLines/>
              <w:rPr>
                <w:b/>
                <w:szCs w:val="20"/>
              </w:rPr>
            </w:pPr>
            <w:r w:rsidRPr="00903174">
              <w:rPr>
                <w:b/>
                <w:szCs w:val="20"/>
              </w:rPr>
              <w:t>Incremental cost/LY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775A99E7"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4351F26E"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A4B3C37" w14:textId="77777777" w:rsidR="00D81E68" w:rsidRPr="00903174" w:rsidRDefault="00D81E68" w:rsidP="001F6554">
            <w:pPr>
              <w:pStyle w:val="Tableheadingrow"/>
              <w:keepLines/>
              <w:rPr>
                <w:szCs w:val="20"/>
                <w:lang w:val="en-AU"/>
              </w:rPr>
            </w:pPr>
            <w:r w:rsidRPr="00903174">
              <w:rPr>
                <w:i/>
                <w:szCs w:val="20"/>
                <w:lang w:val="en-AU"/>
              </w:rPr>
              <w:t>Step 6:</w:t>
            </w:r>
            <w:r w:rsidRPr="00903174">
              <w:rPr>
                <w:szCs w:val="20"/>
                <w:lang w:val="en-AU"/>
              </w:rPr>
              <w:t xml:space="preserve"> </w:t>
            </w:r>
            <w:r w:rsidRPr="00903174">
              <w:rPr>
                <w:i/>
                <w:szCs w:val="20"/>
                <w:lang w:val="en-AU"/>
              </w:rPr>
              <w:t>Include baseline utilities for the alive with PNH and alive in remission health states</w:t>
            </w:r>
          </w:p>
        </w:tc>
      </w:tr>
      <w:tr w:rsidR="00D81E68" w:rsidRPr="00903174" w14:paraId="241B0D2D"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39CE47BE" w14:textId="77777777" w:rsidR="00D81E68" w:rsidRPr="00903174" w:rsidRDefault="00D81E68" w:rsidP="001F6554">
            <w:pPr>
              <w:pStyle w:val="TableText"/>
              <w:keepLines/>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39A31F70"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41F9D63E" w14:textId="77777777" w:rsidR="00D81E68" w:rsidRPr="00903174" w:rsidRDefault="00D81E68" w:rsidP="001F6554">
            <w:pPr>
              <w:pStyle w:val="TableText"/>
              <w:keepLines/>
              <w:jc w:val="center"/>
              <w:rPr>
                <w:i/>
                <w:szCs w:val="20"/>
              </w:rPr>
            </w:pPr>
            <w:r w:rsidRPr="00903174">
              <w:rPr>
                <w:i/>
                <w:szCs w:val="20"/>
              </w:rPr>
              <w:t>$105,255</w:t>
            </w:r>
          </w:p>
        </w:tc>
        <w:tc>
          <w:tcPr>
            <w:tcW w:w="838" w:type="pct"/>
            <w:tcBorders>
              <w:top w:val="single" w:sz="4" w:space="0" w:color="auto"/>
              <w:left w:val="single" w:sz="4" w:space="0" w:color="auto"/>
              <w:bottom w:val="single" w:sz="4" w:space="0" w:color="auto"/>
              <w:right w:val="single" w:sz="4" w:space="0" w:color="auto"/>
            </w:tcBorders>
            <w:vAlign w:val="center"/>
            <w:hideMark/>
          </w:tcPr>
          <w:p w14:paraId="289CD819"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r>
      <w:tr w:rsidR="00D81E68" w:rsidRPr="00903174" w14:paraId="7346DE2A"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3CD545DF" w14:textId="77777777" w:rsidR="00D81E68" w:rsidRPr="00903174" w:rsidRDefault="00D81E68" w:rsidP="001F6554">
            <w:pPr>
              <w:pStyle w:val="TableText"/>
              <w:keepLines/>
              <w:rPr>
                <w:szCs w:val="20"/>
              </w:rPr>
            </w:pPr>
            <w:r w:rsidRPr="00903174">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5CE663A3" w14:textId="77777777" w:rsidR="00D81E68" w:rsidRPr="00903174" w:rsidRDefault="00D81E68" w:rsidP="001F6554">
            <w:pPr>
              <w:pStyle w:val="TableText"/>
              <w:keepLines/>
              <w:jc w:val="center"/>
              <w:rPr>
                <w:i/>
                <w:szCs w:val="20"/>
              </w:rPr>
            </w:pPr>
            <w:r w:rsidRPr="00903174">
              <w:rPr>
                <w:i/>
                <w:szCs w:val="20"/>
              </w:rPr>
              <w:t>32.61</w:t>
            </w:r>
          </w:p>
        </w:tc>
        <w:tc>
          <w:tcPr>
            <w:tcW w:w="1274" w:type="pct"/>
            <w:tcBorders>
              <w:top w:val="single" w:sz="4" w:space="0" w:color="auto"/>
              <w:left w:val="single" w:sz="4" w:space="0" w:color="auto"/>
              <w:bottom w:val="single" w:sz="4" w:space="0" w:color="auto"/>
              <w:right w:val="single" w:sz="4" w:space="0" w:color="auto"/>
            </w:tcBorders>
            <w:vAlign w:val="center"/>
            <w:hideMark/>
          </w:tcPr>
          <w:p w14:paraId="0D894613" w14:textId="77777777" w:rsidR="00D81E68" w:rsidRPr="00903174" w:rsidRDefault="00D81E68" w:rsidP="001F6554">
            <w:pPr>
              <w:pStyle w:val="TableText"/>
              <w:keepLines/>
              <w:jc w:val="center"/>
              <w:rPr>
                <w:i/>
                <w:szCs w:val="20"/>
              </w:rPr>
            </w:pPr>
            <w:r w:rsidRPr="00903174">
              <w:rPr>
                <w:i/>
                <w:szCs w:val="20"/>
              </w:rPr>
              <w:t>12.01</w:t>
            </w:r>
          </w:p>
        </w:tc>
        <w:tc>
          <w:tcPr>
            <w:tcW w:w="838" w:type="pct"/>
            <w:tcBorders>
              <w:top w:val="single" w:sz="4" w:space="0" w:color="auto"/>
              <w:left w:val="single" w:sz="4" w:space="0" w:color="auto"/>
              <w:bottom w:val="single" w:sz="4" w:space="0" w:color="auto"/>
              <w:right w:val="single" w:sz="4" w:space="0" w:color="auto"/>
            </w:tcBorders>
            <w:vAlign w:val="center"/>
            <w:hideMark/>
          </w:tcPr>
          <w:p w14:paraId="665202EB" w14:textId="77777777" w:rsidR="00D81E68" w:rsidRPr="00903174" w:rsidRDefault="00D81E68" w:rsidP="001F6554">
            <w:pPr>
              <w:pStyle w:val="TableText"/>
              <w:keepLines/>
              <w:jc w:val="center"/>
              <w:rPr>
                <w:i/>
                <w:szCs w:val="20"/>
              </w:rPr>
            </w:pPr>
            <w:r w:rsidRPr="00903174">
              <w:rPr>
                <w:i/>
                <w:szCs w:val="20"/>
              </w:rPr>
              <w:t>20.60</w:t>
            </w:r>
          </w:p>
        </w:tc>
      </w:tr>
      <w:tr w:rsidR="00D81E68" w:rsidRPr="00903174" w14:paraId="2D4186D4"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00C5E793" w14:textId="77777777" w:rsidR="00D81E68" w:rsidRPr="00903174" w:rsidRDefault="00D81E68" w:rsidP="001F6554">
            <w:pPr>
              <w:pStyle w:val="TableText"/>
              <w:keepLines/>
              <w:rPr>
                <w:szCs w:val="20"/>
              </w:rPr>
            </w:pPr>
            <w:r w:rsidRPr="00903174">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43519EAF"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79E9F9BD"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45DE3D7F" w14:textId="77777777" w:rsidR="00D81E68" w:rsidRPr="00903174" w:rsidRDefault="00D81E68" w:rsidP="001F6554">
            <w:pPr>
              <w:pStyle w:val="TableText"/>
              <w:keepLines/>
              <w:rPr>
                <w:szCs w:val="20"/>
              </w:rPr>
            </w:pPr>
            <w:r w:rsidRPr="00903174">
              <w:rPr>
                <w:b/>
                <w:i/>
                <w:szCs w:val="20"/>
              </w:rPr>
              <w:t>Step 7:</w:t>
            </w:r>
            <w:r w:rsidRPr="00903174">
              <w:rPr>
                <w:b/>
                <w:szCs w:val="20"/>
              </w:rPr>
              <w:t xml:space="preserve"> </w:t>
            </w:r>
            <w:r w:rsidRPr="00903174">
              <w:rPr>
                <w:b/>
                <w:i/>
                <w:szCs w:val="20"/>
              </w:rPr>
              <w:t>Include disutility for thromboembolic events (event rates derived from the Kelly 2011 study)</w:t>
            </w:r>
          </w:p>
        </w:tc>
      </w:tr>
      <w:tr w:rsidR="00D81E68" w:rsidRPr="00903174" w14:paraId="7F2399F7"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201EC83D" w14:textId="77777777" w:rsidR="00D81E68" w:rsidRPr="00903174" w:rsidRDefault="00D81E68" w:rsidP="001F6554">
            <w:pPr>
              <w:pStyle w:val="TableText"/>
              <w:keepLines/>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57F49A4F"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DD0B3D8" w14:textId="77777777" w:rsidR="00D81E68" w:rsidRPr="00903174" w:rsidRDefault="00D81E68" w:rsidP="001F6554">
            <w:pPr>
              <w:pStyle w:val="TableText"/>
              <w:keepLines/>
              <w:jc w:val="center"/>
              <w:rPr>
                <w:i/>
                <w:szCs w:val="20"/>
              </w:rPr>
            </w:pPr>
            <w:r w:rsidRPr="00903174">
              <w:rPr>
                <w:i/>
                <w:szCs w:val="20"/>
              </w:rPr>
              <w:t>$105,255</w:t>
            </w:r>
          </w:p>
        </w:tc>
        <w:tc>
          <w:tcPr>
            <w:tcW w:w="838" w:type="pct"/>
            <w:tcBorders>
              <w:top w:val="single" w:sz="4" w:space="0" w:color="auto"/>
              <w:left w:val="single" w:sz="4" w:space="0" w:color="auto"/>
              <w:bottom w:val="single" w:sz="4" w:space="0" w:color="auto"/>
              <w:right w:val="single" w:sz="4" w:space="0" w:color="auto"/>
            </w:tcBorders>
            <w:vAlign w:val="center"/>
            <w:hideMark/>
          </w:tcPr>
          <w:p w14:paraId="2A905BEF"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r>
      <w:tr w:rsidR="00D81E68" w:rsidRPr="00903174" w14:paraId="0BA7722B"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13D69723" w14:textId="77777777" w:rsidR="00D81E68" w:rsidRPr="00903174" w:rsidRDefault="00D81E68" w:rsidP="001F6554">
            <w:pPr>
              <w:pStyle w:val="TableText"/>
              <w:keepLines/>
              <w:rPr>
                <w:szCs w:val="20"/>
              </w:rPr>
            </w:pPr>
            <w:r w:rsidRPr="00903174">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2A70DDAD" w14:textId="77777777" w:rsidR="00D81E68" w:rsidRPr="00903174" w:rsidRDefault="00D81E68" w:rsidP="001F6554">
            <w:pPr>
              <w:pStyle w:val="TableText"/>
              <w:keepLines/>
              <w:jc w:val="center"/>
              <w:rPr>
                <w:i/>
                <w:szCs w:val="20"/>
              </w:rPr>
            </w:pPr>
            <w:r w:rsidRPr="00903174">
              <w:rPr>
                <w:i/>
                <w:szCs w:val="20"/>
              </w:rPr>
              <w:t>32.53</w:t>
            </w:r>
          </w:p>
        </w:tc>
        <w:tc>
          <w:tcPr>
            <w:tcW w:w="1274" w:type="pct"/>
            <w:tcBorders>
              <w:top w:val="single" w:sz="4" w:space="0" w:color="auto"/>
              <w:left w:val="single" w:sz="4" w:space="0" w:color="auto"/>
              <w:bottom w:val="single" w:sz="4" w:space="0" w:color="auto"/>
              <w:right w:val="single" w:sz="4" w:space="0" w:color="auto"/>
            </w:tcBorders>
            <w:vAlign w:val="center"/>
            <w:hideMark/>
          </w:tcPr>
          <w:p w14:paraId="46F50605" w14:textId="77777777" w:rsidR="00D81E68" w:rsidRPr="00903174" w:rsidRDefault="00D81E68" w:rsidP="001F6554">
            <w:pPr>
              <w:pStyle w:val="TableText"/>
              <w:keepLines/>
              <w:jc w:val="center"/>
              <w:rPr>
                <w:i/>
                <w:szCs w:val="20"/>
              </w:rPr>
            </w:pPr>
            <w:r w:rsidRPr="00903174">
              <w:rPr>
                <w:i/>
                <w:szCs w:val="20"/>
              </w:rPr>
              <w:t>11.82</w:t>
            </w:r>
          </w:p>
        </w:tc>
        <w:tc>
          <w:tcPr>
            <w:tcW w:w="838" w:type="pct"/>
            <w:tcBorders>
              <w:top w:val="single" w:sz="4" w:space="0" w:color="auto"/>
              <w:left w:val="single" w:sz="4" w:space="0" w:color="auto"/>
              <w:bottom w:val="single" w:sz="4" w:space="0" w:color="auto"/>
              <w:right w:val="single" w:sz="4" w:space="0" w:color="auto"/>
            </w:tcBorders>
            <w:vAlign w:val="center"/>
            <w:hideMark/>
          </w:tcPr>
          <w:p w14:paraId="40F4D54B" w14:textId="77777777" w:rsidR="00D81E68" w:rsidRPr="00903174" w:rsidRDefault="00D81E68" w:rsidP="001F6554">
            <w:pPr>
              <w:pStyle w:val="TableText"/>
              <w:keepLines/>
              <w:jc w:val="center"/>
              <w:rPr>
                <w:i/>
                <w:szCs w:val="20"/>
              </w:rPr>
            </w:pPr>
            <w:r w:rsidRPr="00903174">
              <w:rPr>
                <w:i/>
                <w:szCs w:val="20"/>
              </w:rPr>
              <w:t>20.71</w:t>
            </w:r>
          </w:p>
        </w:tc>
      </w:tr>
      <w:tr w:rsidR="00D81E68" w:rsidRPr="00903174" w14:paraId="63D90402"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31D39FE2" w14:textId="77777777" w:rsidR="00D81E68" w:rsidRPr="00903174" w:rsidRDefault="00D81E68" w:rsidP="001F6554">
            <w:pPr>
              <w:pStyle w:val="TableText"/>
              <w:keepLines/>
              <w:rPr>
                <w:szCs w:val="20"/>
              </w:rPr>
            </w:pPr>
            <w:r w:rsidRPr="00903174">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1EA966CA"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00FBA3C4"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177BBC83" w14:textId="77777777" w:rsidR="00D81E68" w:rsidRPr="00903174" w:rsidRDefault="00D81E68" w:rsidP="001F6554">
            <w:pPr>
              <w:pStyle w:val="TableText"/>
              <w:keepLines/>
              <w:rPr>
                <w:szCs w:val="20"/>
              </w:rPr>
            </w:pPr>
            <w:r w:rsidRPr="00903174">
              <w:rPr>
                <w:b/>
                <w:i/>
                <w:szCs w:val="20"/>
              </w:rPr>
              <w:t>Step 8:</w:t>
            </w:r>
            <w:r w:rsidRPr="00903174">
              <w:rPr>
                <w:b/>
                <w:szCs w:val="20"/>
              </w:rPr>
              <w:t xml:space="preserve"> </w:t>
            </w:r>
            <w:r w:rsidRPr="00903174">
              <w:rPr>
                <w:b/>
                <w:i/>
                <w:szCs w:val="20"/>
              </w:rPr>
              <w:t>Include utility gain for reduced infusion frequency (applied to ravulizumab arm only, alive with PNH)</w:t>
            </w:r>
          </w:p>
        </w:tc>
      </w:tr>
      <w:tr w:rsidR="00D81E68" w:rsidRPr="00903174" w14:paraId="719D3FA5"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50C65631" w14:textId="77777777" w:rsidR="00D81E68" w:rsidRPr="00903174" w:rsidRDefault="00D81E68" w:rsidP="001F6554">
            <w:pPr>
              <w:pStyle w:val="TableText"/>
              <w:keepLines/>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63E57449"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74AAFBB1" w14:textId="77777777" w:rsidR="00D81E68" w:rsidRPr="00903174" w:rsidRDefault="00D81E68" w:rsidP="001F6554">
            <w:pPr>
              <w:pStyle w:val="TableText"/>
              <w:keepLines/>
              <w:jc w:val="center"/>
              <w:rPr>
                <w:i/>
                <w:szCs w:val="20"/>
              </w:rPr>
            </w:pPr>
            <w:r w:rsidRPr="00903174">
              <w:rPr>
                <w:i/>
                <w:szCs w:val="20"/>
              </w:rPr>
              <w:t>$105,255</w:t>
            </w:r>
          </w:p>
        </w:tc>
        <w:tc>
          <w:tcPr>
            <w:tcW w:w="838" w:type="pct"/>
            <w:tcBorders>
              <w:top w:val="single" w:sz="4" w:space="0" w:color="auto"/>
              <w:left w:val="single" w:sz="4" w:space="0" w:color="auto"/>
              <w:bottom w:val="single" w:sz="4" w:space="0" w:color="auto"/>
              <w:right w:val="single" w:sz="4" w:space="0" w:color="auto"/>
            </w:tcBorders>
            <w:vAlign w:val="center"/>
            <w:hideMark/>
          </w:tcPr>
          <w:p w14:paraId="5E86BA12" w14:textId="77777777" w:rsidR="00D81E68" w:rsidRPr="00903174" w:rsidRDefault="00D81E68" w:rsidP="001F6554">
            <w:pPr>
              <w:pStyle w:val="TableText"/>
              <w:keepLines/>
              <w:jc w:val="center"/>
              <w:rPr>
                <w:i/>
                <w:szCs w:val="20"/>
              </w:rPr>
            </w:pPr>
            <w:r w:rsidRPr="00903174">
              <w:rPr>
                <w:i/>
                <w:szCs w:val="20"/>
              </w:rPr>
              <w:t>$</w:t>
            </w:r>
            <w:r w:rsidR="00DF28C6">
              <w:rPr>
                <w:i/>
                <w:noProof/>
                <w:color w:val="000000"/>
                <w:szCs w:val="20"/>
                <w:highlight w:val="black"/>
              </w:rPr>
              <w:t>'''''''''''''''''''''''''</w:t>
            </w:r>
          </w:p>
        </w:tc>
      </w:tr>
      <w:tr w:rsidR="00D81E68" w:rsidRPr="00903174" w14:paraId="4D02FBAC"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389F877D" w14:textId="77777777" w:rsidR="00D81E68" w:rsidRPr="00903174" w:rsidRDefault="00D81E68" w:rsidP="001F6554">
            <w:pPr>
              <w:pStyle w:val="TableText"/>
              <w:keepLines/>
              <w:rPr>
                <w:szCs w:val="20"/>
              </w:rPr>
            </w:pPr>
            <w:r w:rsidRPr="00903174">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5B1DABA3" w14:textId="77777777" w:rsidR="00D81E68" w:rsidRPr="00903174" w:rsidRDefault="00D81E68" w:rsidP="001F6554">
            <w:pPr>
              <w:pStyle w:val="TableText"/>
              <w:keepLines/>
              <w:jc w:val="center"/>
              <w:rPr>
                <w:i/>
                <w:szCs w:val="20"/>
              </w:rPr>
            </w:pPr>
            <w:r w:rsidRPr="00903174">
              <w:rPr>
                <w:i/>
                <w:szCs w:val="20"/>
              </w:rPr>
              <w:t>34.08</w:t>
            </w:r>
          </w:p>
        </w:tc>
        <w:tc>
          <w:tcPr>
            <w:tcW w:w="1274" w:type="pct"/>
            <w:tcBorders>
              <w:top w:val="single" w:sz="4" w:space="0" w:color="auto"/>
              <w:left w:val="single" w:sz="4" w:space="0" w:color="auto"/>
              <w:bottom w:val="single" w:sz="4" w:space="0" w:color="auto"/>
              <w:right w:val="single" w:sz="4" w:space="0" w:color="auto"/>
            </w:tcBorders>
            <w:vAlign w:val="center"/>
            <w:hideMark/>
          </w:tcPr>
          <w:p w14:paraId="1C4E7544" w14:textId="77777777" w:rsidR="00D81E68" w:rsidRPr="00903174" w:rsidRDefault="00D81E68" w:rsidP="001F6554">
            <w:pPr>
              <w:pStyle w:val="TableText"/>
              <w:keepLines/>
              <w:jc w:val="center"/>
              <w:rPr>
                <w:i/>
                <w:szCs w:val="20"/>
              </w:rPr>
            </w:pPr>
            <w:r w:rsidRPr="00903174">
              <w:rPr>
                <w:i/>
                <w:szCs w:val="20"/>
              </w:rPr>
              <w:t>11.82</w:t>
            </w:r>
          </w:p>
        </w:tc>
        <w:tc>
          <w:tcPr>
            <w:tcW w:w="838" w:type="pct"/>
            <w:tcBorders>
              <w:top w:val="single" w:sz="4" w:space="0" w:color="auto"/>
              <w:left w:val="single" w:sz="4" w:space="0" w:color="auto"/>
              <w:bottom w:val="single" w:sz="4" w:space="0" w:color="auto"/>
              <w:right w:val="single" w:sz="4" w:space="0" w:color="auto"/>
            </w:tcBorders>
            <w:vAlign w:val="center"/>
            <w:hideMark/>
          </w:tcPr>
          <w:p w14:paraId="08F57E82" w14:textId="77777777" w:rsidR="00D81E68" w:rsidRPr="00903174" w:rsidRDefault="00D81E68" w:rsidP="001F6554">
            <w:pPr>
              <w:pStyle w:val="TableText"/>
              <w:keepLines/>
              <w:jc w:val="center"/>
              <w:rPr>
                <w:i/>
                <w:szCs w:val="20"/>
              </w:rPr>
            </w:pPr>
            <w:r w:rsidRPr="00903174">
              <w:rPr>
                <w:i/>
                <w:szCs w:val="20"/>
              </w:rPr>
              <w:t>22.26</w:t>
            </w:r>
          </w:p>
        </w:tc>
      </w:tr>
      <w:tr w:rsidR="00D81E68" w:rsidRPr="00903174" w14:paraId="797DC5F8"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067DC30A" w14:textId="77777777" w:rsidR="00D81E68" w:rsidRPr="00903174" w:rsidRDefault="00D81E68" w:rsidP="001F6554">
            <w:pPr>
              <w:pStyle w:val="TableText"/>
              <w:keepLines/>
              <w:rPr>
                <w:szCs w:val="20"/>
              </w:rPr>
            </w:pPr>
            <w:r w:rsidRPr="00903174">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21B00A09" w14:textId="77777777" w:rsidR="00D81E68" w:rsidRPr="00903174" w:rsidRDefault="00D81E68" w:rsidP="001F6554">
            <w:pPr>
              <w:pStyle w:val="TableText"/>
              <w:keepLines/>
              <w:jc w:val="center"/>
              <w:rPr>
                <w:b/>
                <w:i/>
                <w:szCs w:val="20"/>
              </w:rPr>
            </w:pPr>
            <w:r w:rsidRPr="00903174">
              <w:rPr>
                <w:b/>
                <w:i/>
                <w:szCs w:val="20"/>
              </w:rPr>
              <w:t>$</w:t>
            </w:r>
            <w:r w:rsidR="00DF28C6">
              <w:rPr>
                <w:b/>
                <w:i/>
                <w:noProof/>
                <w:color w:val="000000"/>
                <w:szCs w:val="20"/>
                <w:highlight w:val="black"/>
              </w:rPr>
              <w:t>''''''''''''''''</w:t>
            </w:r>
          </w:p>
        </w:tc>
      </w:tr>
      <w:tr w:rsidR="00D81E68" w:rsidRPr="00903174" w14:paraId="284AFDF2"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6920BEF7" w14:textId="77777777" w:rsidR="00D81E68" w:rsidRPr="00903174" w:rsidRDefault="00D81E68">
            <w:pPr>
              <w:pStyle w:val="TableText"/>
              <w:keepNext w:val="0"/>
              <w:rPr>
                <w:szCs w:val="20"/>
              </w:rPr>
            </w:pPr>
            <w:r w:rsidRPr="00903174">
              <w:rPr>
                <w:b/>
                <w:i/>
                <w:szCs w:val="20"/>
              </w:rPr>
              <w:t>Step 9:</w:t>
            </w:r>
            <w:r w:rsidRPr="00903174">
              <w:rPr>
                <w:b/>
                <w:szCs w:val="20"/>
              </w:rPr>
              <w:t xml:space="preserve"> </w:t>
            </w:r>
            <w:r w:rsidRPr="00903174">
              <w:rPr>
                <w:b/>
                <w:i/>
                <w:szCs w:val="20"/>
              </w:rPr>
              <w:t>Include non-specific disease-related utility gain (applied to ravulizumab arm) and a non-specific disease-related disutility (applied to BSC arm). Utility values were applied to the alive with PNH health state.</w:t>
            </w:r>
          </w:p>
        </w:tc>
      </w:tr>
      <w:tr w:rsidR="00D81E68" w:rsidRPr="00903174" w14:paraId="75A7DA3C"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5FFCFC30" w14:textId="77777777" w:rsidR="00D81E68" w:rsidRPr="00903174" w:rsidRDefault="00D81E68">
            <w:pPr>
              <w:pStyle w:val="TableText"/>
              <w:keepNext w:val="0"/>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07639E06" w14:textId="77777777" w:rsidR="00D81E68" w:rsidRPr="00903174" w:rsidRDefault="00D81E68">
            <w:pPr>
              <w:pStyle w:val="TableText"/>
              <w:keepNext w:val="0"/>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13B204D4" w14:textId="77777777" w:rsidR="00D81E68" w:rsidRPr="00903174" w:rsidRDefault="00D81E68">
            <w:pPr>
              <w:pStyle w:val="TableText"/>
              <w:keepNext w:val="0"/>
              <w:jc w:val="center"/>
              <w:rPr>
                <w:i/>
                <w:szCs w:val="20"/>
              </w:rPr>
            </w:pPr>
            <w:r w:rsidRPr="00903174">
              <w:rPr>
                <w:i/>
                <w:szCs w:val="20"/>
              </w:rPr>
              <w:t>$105,255</w:t>
            </w:r>
          </w:p>
        </w:tc>
        <w:tc>
          <w:tcPr>
            <w:tcW w:w="838" w:type="pct"/>
            <w:tcBorders>
              <w:top w:val="single" w:sz="4" w:space="0" w:color="auto"/>
              <w:left w:val="single" w:sz="4" w:space="0" w:color="auto"/>
              <w:bottom w:val="single" w:sz="4" w:space="0" w:color="auto"/>
              <w:right w:val="single" w:sz="4" w:space="0" w:color="auto"/>
            </w:tcBorders>
            <w:vAlign w:val="center"/>
            <w:hideMark/>
          </w:tcPr>
          <w:p w14:paraId="2F6FF8C8" w14:textId="77777777" w:rsidR="00D81E68" w:rsidRPr="00903174" w:rsidRDefault="00D81E68">
            <w:pPr>
              <w:pStyle w:val="TableText"/>
              <w:keepNext w:val="0"/>
              <w:jc w:val="center"/>
              <w:rPr>
                <w:i/>
                <w:szCs w:val="20"/>
              </w:rPr>
            </w:pPr>
            <w:r w:rsidRPr="00903174">
              <w:rPr>
                <w:i/>
                <w:szCs w:val="20"/>
              </w:rPr>
              <w:t>$</w:t>
            </w:r>
            <w:r w:rsidR="00DF28C6">
              <w:rPr>
                <w:i/>
                <w:noProof/>
                <w:color w:val="000000"/>
                <w:szCs w:val="20"/>
                <w:highlight w:val="black"/>
              </w:rPr>
              <w:t>'''''''''''''''''''''''''''''</w:t>
            </w:r>
          </w:p>
        </w:tc>
      </w:tr>
      <w:tr w:rsidR="00D81E68" w:rsidRPr="00903174" w14:paraId="5FF4EA15"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436C17DF" w14:textId="77777777" w:rsidR="00D81E68" w:rsidRPr="00903174" w:rsidRDefault="00D81E68">
            <w:pPr>
              <w:pStyle w:val="TableText"/>
              <w:keepNext w:val="0"/>
              <w:rPr>
                <w:szCs w:val="20"/>
              </w:rPr>
            </w:pPr>
            <w:r w:rsidRPr="00903174">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24DCAB64" w14:textId="77777777" w:rsidR="00D81E68" w:rsidRPr="00903174" w:rsidRDefault="00D81E68">
            <w:pPr>
              <w:pStyle w:val="TableText"/>
              <w:keepNext w:val="0"/>
              <w:jc w:val="center"/>
              <w:rPr>
                <w:i/>
                <w:szCs w:val="20"/>
              </w:rPr>
            </w:pPr>
            <w:r w:rsidRPr="00903174">
              <w:rPr>
                <w:i/>
                <w:szCs w:val="20"/>
              </w:rPr>
              <w:t>36.77</w:t>
            </w:r>
          </w:p>
        </w:tc>
        <w:tc>
          <w:tcPr>
            <w:tcW w:w="1274" w:type="pct"/>
            <w:tcBorders>
              <w:top w:val="single" w:sz="4" w:space="0" w:color="auto"/>
              <w:left w:val="single" w:sz="4" w:space="0" w:color="auto"/>
              <w:bottom w:val="single" w:sz="4" w:space="0" w:color="auto"/>
              <w:right w:val="single" w:sz="4" w:space="0" w:color="auto"/>
            </w:tcBorders>
            <w:vAlign w:val="center"/>
            <w:hideMark/>
          </w:tcPr>
          <w:p w14:paraId="40A7EBF4" w14:textId="77777777" w:rsidR="00D81E68" w:rsidRPr="00903174" w:rsidRDefault="00D81E68">
            <w:pPr>
              <w:pStyle w:val="TableText"/>
              <w:keepNext w:val="0"/>
              <w:jc w:val="center"/>
              <w:rPr>
                <w:i/>
                <w:szCs w:val="20"/>
              </w:rPr>
            </w:pPr>
            <w:r w:rsidRPr="00903174">
              <w:rPr>
                <w:i/>
                <w:szCs w:val="20"/>
              </w:rPr>
              <w:t>11.25</w:t>
            </w:r>
          </w:p>
        </w:tc>
        <w:tc>
          <w:tcPr>
            <w:tcW w:w="838" w:type="pct"/>
            <w:tcBorders>
              <w:top w:val="single" w:sz="4" w:space="0" w:color="auto"/>
              <w:left w:val="single" w:sz="4" w:space="0" w:color="auto"/>
              <w:bottom w:val="single" w:sz="4" w:space="0" w:color="auto"/>
              <w:right w:val="single" w:sz="4" w:space="0" w:color="auto"/>
            </w:tcBorders>
            <w:vAlign w:val="center"/>
            <w:hideMark/>
          </w:tcPr>
          <w:p w14:paraId="0513B434" w14:textId="77777777" w:rsidR="00D81E68" w:rsidRPr="00903174" w:rsidRDefault="00D81E68">
            <w:pPr>
              <w:pStyle w:val="TableText"/>
              <w:keepNext w:val="0"/>
              <w:jc w:val="center"/>
              <w:rPr>
                <w:i/>
                <w:szCs w:val="20"/>
              </w:rPr>
            </w:pPr>
            <w:r w:rsidRPr="00903174">
              <w:rPr>
                <w:i/>
                <w:szCs w:val="20"/>
              </w:rPr>
              <w:t>25.52</w:t>
            </w:r>
          </w:p>
        </w:tc>
      </w:tr>
      <w:tr w:rsidR="00D81E68" w:rsidRPr="00903174" w14:paraId="55FD5C52"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51C51480" w14:textId="77777777" w:rsidR="00D81E68" w:rsidRPr="00903174" w:rsidRDefault="00D81E68">
            <w:pPr>
              <w:pStyle w:val="TableText"/>
              <w:keepNext w:val="0"/>
              <w:rPr>
                <w:b/>
                <w:szCs w:val="20"/>
              </w:rPr>
            </w:pPr>
            <w:r w:rsidRPr="00903174">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10B0496C" w14:textId="77777777" w:rsidR="00D81E68" w:rsidRPr="00903174" w:rsidRDefault="00D81E68">
            <w:pPr>
              <w:pStyle w:val="TableText"/>
              <w:keepNext w:val="0"/>
              <w:jc w:val="center"/>
              <w:rPr>
                <w:b/>
                <w:i/>
                <w:szCs w:val="20"/>
              </w:rPr>
            </w:pPr>
            <w:r w:rsidRPr="00903174">
              <w:rPr>
                <w:b/>
                <w:i/>
                <w:szCs w:val="20"/>
              </w:rPr>
              <w:t>$</w:t>
            </w:r>
            <w:r w:rsidR="00DF28C6">
              <w:rPr>
                <w:b/>
                <w:i/>
                <w:noProof/>
                <w:color w:val="000000"/>
                <w:szCs w:val="20"/>
                <w:highlight w:val="black"/>
              </w:rPr>
              <w:t>''''''''''''''''</w:t>
            </w:r>
          </w:p>
        </w:tc>
      </w:tr>
      <w:tr w:rsidR="00D81E68" w:rsidRPr="00903174" w14:paraId="64577964"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3CB9672" w14:textId="77777777" w:rsidR="00D81E68" w:rsidRPr="00903174" w:rsidRDefault="00D81E68">
            <w:pPr>
              <w:pStyle w:val="Tableheadingrow"/>
              <w:keepNext w:val="0"/>
              <w:rPr>
                <w:szCs w:val="20"/>
                <w:lang w:val="en-AU"/>
              </w:rPr>
            </w:pPr>
            <w:r w:rsidRPr="00903174">
              <w:rPr>
                <w:i/>
                <w:szCs w:val="20"/>
                <w:lang w:val="en-AU"/>
              </w:rPr>
              <w:t>Step 10:</w:t>
            </w:r>
            <w:r w:rsidRPr="00903174">
              <w:rPr>
                <w:szCs w:val="20"/>
                <w:lang w:val="en-AU"/>
              </w:rPr>
              <w:t xml:space="preserve"> </w:t>
            </w:r>
            <w:r w:rsidRPr="00903174">
              <w:rPr>
                <w:i/>
                <w:szCs w:val="20"/>
                <w:lang w:val="en-AU"/>
              </w:rPr>
              <w:t>Incorporate age-adjusted general population utility cap</w:t>
            </w:r>
          </w:p>
        </w:tc>
      </w:tr>
      <w:tr w:rsidR="00D81E68" w:rsidRPr="00903174" w14:paraId="110D0465"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0AD8D36A" w14:textId="77777777" w:rsidR="00D81E68" w:rsidRPr="00903174" w:rsidRDefault="00D81E68">
            <w:pPr>
              <w:pStyle w:val="TableText"/>
              <w:keepNext w:val="0"/>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3B333411" w14:textId="77777777" w:rsidR="00D81E68" w:rsidRPr="00903174" w:rsidRDefault="00D81E68">
            <w:pPr>
              <w:pStyle w:val="TableText"/>
              <w:keepNext w:val="0"/>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3661509C" w14:textId="77777777" w:rsidR="00D81E68" w:rsidRPr="00903174" w:rsidRDefault="00D81E68">
            <w:pPr>
              <w:pStyle w:val="TableText"/>
              <w:keepNext w:val="0"/>
              <w:jc w:val="center"/>
              <w:rPr>
                <w:i/>
                <w:szCs w:val="20"/>
              </w:rPr>
            </w:pPr>
            <w:r w:rsidRPr="00903174">
              <w:rPr>
                <w:i/>
                <w:szCs w:val="20"/>
              </w:rPr>
              <w:t>$105,255</w:t>
            </w:r>
          </w:p>
        </w:tc>
        <w:tc>
          <w:tcPr>
            <w:tcW w:w="838" w:type="pct"/>
            <w:tcBorders>
              <w:top w:val="single" w:sz="4" w:space="0" w:color="auto"/>
              <w:left w:val="single" w:sz="4" w:space="0" w:color="auto"/>
              <w:bottom w:val="single" w:sz="4" w:space="0" w:color="auto"/>
              <w:right w:val="single" w:sz="4" w:space="0" w:color="auto"/>
            </w:tcBorders>
            <w:vAlign w:val="center"/>
            <w:hideMark/>
          </w:tcPr>
          <w:p w14:paraId="4E5E41BE" w14:textId="77777777" w:rsidR="00D81E68" w:rsidRPr="00903174" w:rsidRDefault="00D81E68">
            <w:pPr>
              <w:pStyle w:val="TableText"/>
              <w:keepNext w:val="0"/>
              <w:jc w:val="center"/>
              <w:rPr>
                <w:i/>
                <w:szCs w:val="20"/>
              </w:rPr>
            </w:pPr>
            <w:r w:rsidRPr="00903174">
              <w:rPr>
                <w:i/>
                <w:szCs w:val="20"/>
              </w:rPr>
              <w:t>$</w:t>
            </w:r>
            <w:r w:rsidR="00DF28C6">
              <w:rPr>
                <w:i/>
                <w:noProof/>
                <w:color w:val="000000"/>
                <w:szCs w:val="20"/>
                <w:highlight w:val="black"/>
              </w:rPr>
              <w:t>''''''''''''''''''''''''</w:t>
            </w:r>
          </w:p>
        </w:tc>
      </w:tr>
      <w:tr w:rsidR="00D81E68" w:rsidRPr="00903174" w14:paraId="4925ECF8"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3B6E5F86" w14:textId="77777777" w:rsidR="00D81E68" w:rsidRPr="00903174" w:rsidRDefault="00D81E68">
            <w:pPr>
              <w:pStyle w:val="TableText"/>
              <w:keepNext w:val="0"/>
              <w:rPr>
                <w:szCs w:val="20"/>
              </w:rPr>
            </w:pPr>
            <w:r w:rsidRPr="00903174">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14536070" w14:textId="77777777" w:rsidR="00D81E68" w:rsidRPr="00903174" w:rsidRDefault="00D81E68">
            <w:pPr>
              <w:pStyle w:val="TableText"/>
              <w:keepNext w:val="0"/>
              <w:jc w:val="center"/>
              <w:rPr>
                <w:i/>
                <w:szCs w:val="20"/>
              </w:rPr>
            </w:pPr>
            <w:r w:rsidRPr="00903174">
              <w:rPr>
                <w:i/>
                <w:szCs w:val="20"/>
              </w:rPr>
              <w:t>34.71</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DA76A79" w14:textId="77777777" w:rsidR="00D81E68" w:rsidRPr="00903174" w:rsidRDefault="00D81E68">
            <w:pPr>
              <w:pStyle w:val="TableText"/>
              <w:keepNext w:val="0"/>
              <w:jc w:val="center"/>
              <w:rPr>
                <w:i/>
                <w:szCs w:val="20"/>
              </w:rPr>
            </w:pPr>
            <w:r w:rsidRPr="00903174">
              <w:rPr>
                <w:i/>
                <w:szCs w:val="20"/>
              </w:rPr>
              <w:t>11.25</w:t>
            </w:r>
          </w:p>
        </w:tc>
        <w:tc>
          <w:tcPr>
            <w:tcW w:w="838" w:type="pct"/>
            <w:tcBorders>
              <w:top w:val="single" w:sz="4" w:space="0" w:color="auto"/>
              <w:left w:val="single" w:sz="4" w:space="0" w:color="auto"/>
              <w:bottom w:val="single" w:sz="4" w:space="0" w:color="auto"/>
              <w:right w:val="single" w:sz="4" w:space="0" w:color="auto"/>
            </w:tcBorders>
            <w:vAlign w:val="center"/>
            <w:hideMark/>
          </w:tcPr>
          <w:p w14:paraId="7AAC903A" w14:textId="77777777" w:rsidR="00D81E68" w:rsidRPr="00903174" w:rsidRDefault="00D81E68">
            <w:pPr>
              <w:pStyle w:val="TableText"/>
              <w:keepNext w:val="0"/>
              <w:jc w:val="center"/>
              <w:rPr>
                <w:i/>
                <w:szCs w:val="20"/>
              </w:rPr>
            </w:pPr>
            <w:r w:rsidRPr="00903174">
              <w:rPr>
                <w:i/>
                <w:szCs w:val="20"/>
              </w:rPr>
              <w:t>23.45</w:t>
            </w:r>
          </w:p>
        </w:tc>
      </w:tr>
      <w:tr w:rsidR="00D81E68" w:rsidRPr="00903174" w14:paraId="4BD30B04"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4F00AF26" w14:textId="77777777" w:rsidR="00D81E68" w:rsidRPr="00903174" w:rsidRDefault="00D81E68">
            <w:pPr>
              <w:pStyle w:val="TableText"/>
              <w:keepNext w:val="0"/>
              <w:rPr>
                <w:b/>
                <w:szCs w:val="20"/>
              </w:rPr>
            </w:pPr>
            <w:r w:rsidRPr="00903174">
              <w:rPr>
                <w:b/>
                <w:szCs w:val="20"/>
              </w:rPr>
              <w:t>Incremental cost/QALY gained</w:t>
            </w:r>
          </w:p>
        </w:tc>
        <w:tc>
          <w:tcPr>
            <w:tcW w:w="838" w:type="pct"/>
            <w:tcBorders>
              <w:top w:val="single" w:sz="4" w:space="0" w:color="auto"/>
              <w:left w:val="single" w:sz="4" w:space="0" w:color="auto"/>
              <w:bottom w:val="single" w:sz="4" w:space="0" w:color="auto"/>
              <w:right w:val="single" w:sz="4" w:space="0" w:color="auto"/>
            </w:tcBorders>
            <w:vAlign w:val="center"/>
            <w:hideMark/>
          </w:tcPr>
          <w:p w14:paraId="684C2277" w14:textId="77777777" w:rsidR="00D81E68" w:rsidRPr="00903174" w:rsidRDefault="00D81E68">
            <w:pPr>
              <w:pStyle w:val="TableText"/>
              <w:keepNext w:val="0"/>
              <w:jc w:val="center"/>
              <w:rPr>
                <w:b/>
                <w:i/>
                <w:szCs w:val="20"/>
              </w:rPr>
            </w:pPr>
            <w:r w:rsidRPr="00903174">
              <w:rPr>
                <w:b/>
                <w:i/>
                <w:szCs w:val="20"/>
              </w:rPr>
              <w:t>$</w:t>
            </w:r>
            <w:r w:rsidR="00DF28C6">
              <w:rPr>
                <w:b/>
                <w:i/>
                <w:noProof/>
                <w:color w:val="000000"/>
                <w:szCs w:val="20"/>
                <w:highlight w:val="black"/>
              </w:rPr>
              <w:t>''''''''''''''</w:t>
            </w:r>
          </w:p>
        </w:tc>
      </w:tr>
      <w:tr w:rsidR="00D81E68" w:rsidRPr="00903174" w14:paraId="7DCDB729" w14:textId="77777777" w:rsidTr="00D81E68">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7A5A85D8" w14:textId="77777777" w:rsidR="00D81E68" w:rsidRPr="00903174" w:rsidRDefault="00D81E68">
            <w:pPr>
              <w:pStyle w:val="Tableheadingrow"/>
              <w:keepNext w:val="0"/>
              <w:rPr>
                <w:i/>
                <w:szCs w:val="20"/>
                <w:lang w:val="en-AU"/>
              </w:rPr>
            </w:pPr>
            <w:r w:rsidRPr="00903174">
              <w:rPr>
                <w:i/>
                <w:szCs w:val="20"/>
                <w:lang w:val="en-AU"/>
              </w:rPr>
              <w:lastRenderedPageBreak/>
              <w:t xml:space="preserve">Step 11: Apply 5% discount rate to costs and consequences </w:t>
            </w:r>
          </w:p>
        </w:tc>
      </w:tr>
      <w:tr w:rsidR="00D81E68" w:rsidRPr="00903174" w14:paraId="4696F132"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57F89E4C" w14:textId="77777777" w:rsidR="00D81E68" w:rsidRPr="00903174" w:rsidRDefault="00D81E68">
            <w:pPr>
              <w:pStyle w:val="TableText"/>
              <w:keepNext w:val="0"/>
              <w:rPr>
                <w:szCs w:val="20"/>
              </w:rPr>
            </w:pPr>
            <w:r w:rsidRPr="00903174">
              <w:rPr>
                <w:szCs w:val="20"/>
              </w:rPr>
              <w:t>Costs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77DDB3EE" w14:textId="77777777" w:rsidR="00D81E68" w:rsidRPr="00903174" w:rsidRDefault="00D81E68">
            <w:pPr>
              <w:pStyle w:val="TableText"/>
              <w:keepNext w:val="0"/>
              <w:jc w:val="center"/>
              <w:rPr>
                <w:i/>
                <w:szCs w:val="20"/>
              </w:rPr>
            </w:pPr>
            <w:r w:rsidRPr="00903174">
              <w:rPr>
                <w:i/>
                <w:szCs w:val="20"/>
              </w:rPr>
              <w:t>$</w:t>
            </w:r>
            <w:r w:rsidR="00DF28C6">
              <w:rPr>
                <w:i/>
                <w:noProof/>
                <w:color w:val="000000"/>
                <w:szCs w:val="20"/>
                <w:highlight w:val="black"/>
              </w:rPr>
              <w:t>''''''''''''''''''''''''</w:t>
            </w:r>
          </w:p>
        </w:tc>
        <w:tc>
          <w:tcPr>
            <w:tcW w:w="1274" w:type="pct"/>
            <w:tcBorders>
              <w:top w:val="single" w:sz="4" w:space="0" w:color="auto"/>
              <w:left w:val="single" w:sz="4" w:space="0" w:color="auto"/>
              <w:bottom w:val="single" w:sz="4" w:space="0" w:color="auto"/>
              <w:right w:val="single" w:sz="4" w:space="0" w:color="auto"/>
            </w:tcBorders>
            <w:vAlign w:val="center"/>
            <w:hideMark/>
          </w:tcPr>
          <w:p w14:paraId="0F4CA800" w14:textId="77777777" w:rsidR="00D81E68" w:rsidRPr="00903174" w:rsidRDefault="00D81E68">
            <w:pPr>
              <w:pStyle w:val="TableText"/>
              <w:keepNext w:val="0"/>
              <w:jc w:val="center"/>
              <w:rPr>
                <w:i/>
                <w:szCs w:val="20"/>
              </w:rPr>
            </w:pPr>
            <w:r w:rsidRPr="00903174">
              <w:rPr>
                <w:i/>
                <w:szCs w:val="20"/>
              </w:rPr>
              <w:t>$76,321</w:t>
            </w:r>
          </w:p>
        </w:tc>
        <w:tc>
          <w:tcPr>
            <w:tcW w:w="838" w:type="pct"/>
            <w:tcBorders>
              <w:top w:val="single" w:sz="4" w:space="0" w:color="auto"/>
              <w:left w:val="single" w:sz="4" w:space="0" w:color="auto"/>
              <w:bottom w:val="single" w:sz="4" w:space="0" w:color="auto"/>
              <w:right w:val="single" w:sz="4" w:space="0" w:color="auto"/>
            </w:tcBorders>
            <w:vAlign w:val="center"/>
            <w:hideMark/>
          </w:tcPr>
          <w:p w14:paraId="0AD5C944" w14:textId="77777777" w:rsidR="00D81E68" w:rsidRPr="00903174" w:rsidRDefault="00D81E68">
            <w:pPr>
              <w:pStyle w:val="TableText"/>
              <w:keepNext w:val="0"/>
              <w:jc w:val="center"/>
              <w:rPr>
                <w:i/>
                <w:szCs w:val="20"/>
              </w:rPr>
            </w:pPr>
            <w:r w:rsidRPr="00903174">
              <w:rPr>
                <w:i/>
                <w:szCs w:val="20"/>
              </w:rPr>
              <w:t>$</w:t>
            </w:r>
            <w:r w:rsidR="00DF28C6">
              <w:rPr>
                <w:i/>
                <w:noProof/>
                <w:color w:val="000000"/>
                <w:szCs w:val="20"/>
                <w:highlight w:val="black"/>
              </w:rPr>
              <w:t>'''''''''''''''''''''''</w:t>
            </w:r>
          </w:p>
        </w:tc>
      </w:tr>
      <w:tr w:rsidR="00D81E68" w:rsidRPr="00903174" w14:paraId="78519394" w14:textId="77777777" w:rsidTr="00D81E68">
        <w:tc>
          <w:tcPr>
            <w:tcW w:w="1529" w:type="pct"/>
            <w:tcBorders>
              <w:top w:val="single" w:sz="4" w:space="0" w:color="auto"/>
              <w:left w:val="single" w:sz="4" w:space="0" w:color="auto"/>
              <w:bottom w:val="single" w:sz="4" w:space="0" w:color="auto"/>
              <w:right w:val="single" w:sz="4" w:space="0" w:color="auto"/>
            </w:tcBorders>
            <w:vAlign w:val="center"/>
            <w:hideMark/>
          </w:tcPr>
          <w:p w14:paraId="27AFED8C" w14:textId="77777777" w:rsidR="00D81E68" w:rsidRPr="00903174" w:rsidRDefault="00D81E68">
            <w:pPr>
              <w:pStyle w:val="TableText"/>
              <w:keepNext w:val="0"/>
              <w:rPr>
                <w:szCs w:val="20"/>
              </w:rPr>
            </w:pPr>
            <w:r w:rsidRPr="00903174">
              <w:rPr>
                <w:szCs w:val="20"/>
              </w:rPr>
              <w:t>QALYs</w:t>
            </w:r>
          </w:p>
        </w:tc>
        <w:tc>
          <w:tcPr>
            <w:tcW w:w="1359" w:type="pct"/>
            <w:tcBorders>
              <w:top w:val="single" w:sz="4" w:space="0" w:color="auto"/>
              <w:left w:val="single" w:sz="4" w:space="0" w:color="auto"/>
              <w:bottom w:val="single" w:sz="4" w:space="0" w:color="auto"/>
              <w:right w:val="single" w:sz="4" w:space="0" w:color="auto"/>
            </w:tcBorders>
            <w:vAlign w:val="center"/>
            <w:hideMark/>
          </w:tcPr>
          <w:p w14:paraId="2338DA4B" w14:textId="77777777" w:rsidR="00D81E68" w:rsidRPr="00903174" w:rsidRDefault="00D81E68">
            <w:pPr>
              <w:pStyle w:val="TableText"/>
              <w:keepNext w:val="0"/>
              <w:jc w:val="center"/>
              <w:rPr>
                <w:i/>
                <w:szCs w:val="20"/>
              </w:rPr>
            </w:pPr>
            <w:r w:rsidRPr="00903174">
              <w:rPr>
                <w:i/>
                <w:szCs w:val="20"/>
              </w:rPr>
              <w:t>14.42</w:t>
            </w:r>
          </w:p>
        </w:tc>
        <w:tc>
          <w:tcPr>
            <w:tcW w:w="1274" w:type="pct"/>
            <w:tcBorders>
              <w:top w:val="single" w:sz="4" w:space="0" w:color="auto"/>
              <w:left w:val="single" w:sz="4" w:space="0" w:color="auto"/>
              <w:bottom w:val="single" w:sz="4" w:space="0" w:color="auto"/>
              <w:right w:val="single" w:sz="4" w:space="0" w:color="auto"/>
            </w:tcBorders>
            <w:vAlign w:val="center"/>
            <w:hideMark/>
          </w:tcPr>
          <w:p w14:paraId="571B3F32" w14:textId="77777777" w:rsidR="00D81E68" w:rsidRPr="00903174" w:rsidRDefault="00D81E68">
            <w:pPr>
              <w:pStyle w:val="TableText"/>
              <w:keepNext w:val="0"/>
              <w:jc w:val="center"/>
              <w:rPr>
                <w:i/>
                <w:szCs w:val="20"/>
              </w:rPr>
            </w:pPr>
            <w:r w:rsidRPr="00903174">
              <w:rPr>
                <w:i/>
                <w:szCs w:val="20"/>
              </w:rPr>
              <w:t>6.41</w:t>
            </w:r>
          </w:p>
        </w:tc>
        <w:tc>
          <w:tcPr>
            <w:tcW w:w="838" w:type="pct"/>
            <w:tcBorders>
              <w:top w:val="single" w:sz="4" w:space="0" w:color="auto"/>
              <w:left w:val="single" w:sz="4" w:space="0" w:color="auto"/>
              <w:bottom w:val="single" w:sz="4" w:space="0" w:color="auto"/>
              <w:right w:val="single" w:sz="4" w:space="0" w:color="auto"/>
            </w:tcBorders>
            <w:vAlign w:val="center"/>
            <w:hideMark/>
          </w:tcPr>
          <w:p w14:paraId="4B5433BC" w14:textId="77777777" w:rsidR="00D81E68" w:rsidRPr="00903174" w:rsidRDefault="00D81E68">
            <w:pPr>
              <w:pStyle w:val="TableText"/>
              <w:keepNext w:val="0"/>
              <w:jc w:val="center"/>
              <w:rPr>
                <w:i/>
                <w:szCs w:val="20"/>
              </w:rPr>
            </w:pPr>
            <w:r w:rsidRPr="00903174">
              <w:rPr>
                <w:i/>
                <w:szCs w:val="20"/>
              </w:rPr>
              <w:t>8.01</w:t>
            </w:r>
          </w:p>
        </w:tc>
      </w:tr>
      <w:tr w:rsidR="00D81E68" w:rsidRPr="00903174" w14:paraId="798446CB" w14:textId="77777777" w:rsidTr="00D81E68">
        <w:tc>
          <w:tcPr>
            <w:tcW w:w="4162" w:type="pct"/>
            <w:gridSpan w:val="3"/>
            <w:tcBorders>
              <w:top w:val="single" w:sz="4" w:space="0" w:color="auto"/>
              <w:left w:val="single" w:sz="4" w:space="0" w:color="auto"/>
              <w:bottom w:val="single" w:sz="4" w:space="0" w:color="auto"/>
              <w:right w:val="single" w:sz="4" w:space="0" w:color="auto"/>
            </w:tcBorders>
            <w:vAlign w:val="center"/>
            <w:hideMark/>
          </w:tcPr>
          <w:p w14:paraId="6C977E43" w14:textId="77777777" w:rsidR="00D81E68" w:rsidRPr="00903174" w:rsidRDefault="00D81E68">
            <w:pPr>
              <w:pStyle w:val="TableText"/>
              <w:keepNext w:val="0"/>
              <w:rPr>
                <w:b/>
                <w:szCs w:val="20"/>
              </w:rPr>
            </w:pPr>
            <w:r w:rsidRPr="00903174">
              <w:rPr>
                <w:b/>
                <w:szCs w:val="20"/>
              </w:rPr>
              <w:t>Incremental cost/QALY gained (revised base case)</w:t>
            </w:r>
          </w:p>
        </w:tc>
        <w:tc>
          <w:tcPr>
            <w:tcW w:w="838" w:type="pct"/>
            <w:tcBorders>
              <w:top w:val="single" w:sz="4" w:space="0" w:color="auto"/>
              <w:left w:val="single" w:sz="4" w:space="0" w:color="auto"/>
              <w:bottom w:val="single" w:sz="4" w:space="0" w:color="auto"/>
              <w:right w:val="single" w:sz="4" w:space="0" w:color="auto"/>
            </w:tcBorders>
            <w:vAlign w:val="center"/>
            <w:hideMark/>
          </w:tcPr>
          <w:p w14:paraId="0AD3C6F4" w14:textId="77777777" w:rsidR="00D81E68" w:rsidRPr="00903174" w:rsidRDefault="00D81E68">
            <w:pPr>
              <w:pStyle w:val="TableText"/>
              <w:keepNext w:val="0"/>
              <w:jc w:val="center"/>
              <w:rPr>
                <w:b/>
                <w:i/>
                <w:szCs w:val="20"/>
              </w:rPr>
            </w:pPr>
            <w:r w:rsidRPr="00903174">
              <w:rPr>
                <w:b/>
                <w:i/>
                <w:szCs w:val="20"/>
              </w:rPr>
              <w:t>$</w:t>
            </w:r>
            <w:r w:rsidR="00DF28C6">
              <w:rPr>
                <w:b/>
                <w:i/>
                <w:noProof/>
                <w:color w:val="000000"/>
                <w:szCs w:val="20"/>
                <w:highlight w:val="black"/>
              </w:rPr>
              <w:t>''''''''''''''</w:t>
            </w:r>
          </w:p>
        </w:tc>
      </w:tr>
    </w:tbl>
    <w:p w14:paraId="629CD6E0" w14:textId="77777777" w:rsidR="00D81E68" w:rsidRPr="00903174" w:rsidRDefault="00D81E68" w:rsidP="00D81E68">
      <w:pPr>
        <w:pStyle w:val="TableFigureFooter"/>
      </w:pPr>
      <w:r w:rsidRPr="00903174">
        <w:t>Source: ‘Attachment 6B. Ultomiris vs BSC for PNH CUA – Excel’ of the submission</w:t>
      </w:r>
    </w:p>
    <w:p w14:paraId="35EC3667" w14:textId="77777777" w:rsidR="00D81E68" w:rsidRPr="00903174" w:rsidRDefault="00D81E68" w:rsidP="00D81E68">
      <w:pPr>
        <w:pStyle w:val="TableFigureFooter"/>
      </w:pPr>
      <w:r w:rsidRPr="00903174">
        <w:t>Abbreviations: LY, life years; PNH, paroxysmal nocturnal haemoglobinuria; QALY, quality adjusted life years</w:t>
      </w:r>
    </w:p>
    <w:p w14:paraId="41EFDDE4" w14:textId="77777777" w:rsidR="00DD2B68" w:rsidRPr="00903174" w:rsidRDefault="00D81E68" w:rsidP="00D81E68">
      <w:pPr>
        <w:pStyle w:val="TableFigureFooter"/>
        <w:rPr>
          <w:i/>
        </w:rPr>
      </w:pPr>
      <w:r w:rsidRPr="00903174">
        <w:rPr>
          <w:i/>
        </w:rPr>
        <w:t>Italicised estimates were calculated during the evaluation with the inclusion of a correction for deaths</w:t>
      </w:r>
    </w:p>
    <w:p w14:paraId="2A2050D1" w14:textId="77777777" w:rsidR="00D81E68" w:rsidRPr="00903174" w:rsidRDefault="00D81E68" w:rsidP="00415038">
      <w:pPr>
        <w:pStyle w:val="ExecSumBodyText"/>
        <w:numPr>
          <w:ilvl w:val="1"/>
          <w:numId w:val="1"/>
        </w:numPr>
      </w:pPr>
      <w:r w:rsidRPr="00903174">
        <w:t>The time horizon (extrapolation to 55 years), incorporation of the spontaneous remission transition probability and discounting had the largest impacts on the stepped economic evaluation.</w:t>
      </w:r>
    </w:p>
    <w:p w14:paraId="34C9255D" w14:textId="77777777" w:rsidR="00D81E68" w:rsidRPr="00903174" w:rsidRDefault="00D81E68" w:rsidP="00415038">
      <w:pPr>
        <w:pStyle w:val="ExecSumBodyText"/>
        <w:numPr>
          <w:ilvl w:val="1"/>
          <w:numId w:val="1"/>
        </w:numPr>
        <w:rPr>
          <w:i/>
        </w:rPr>
      </w:pPr>
      <w:r w:rsidRPr="00903174">
        <w:t>Based on the economic model presented in the submission, treatment with ravulizumab was associated with a</w:t>
      </w:r>
      <w:r w:rsidR="00EF2DC9" w:rsidRPr="00903174">
        <w:t>n</w:t>
      </w:r>
      <w:r w:rsidRPr="00903174">
        <w:t xml:space="preserve"> </w:t>
      </w:r>
      <w:r w:rsidR="00EF2DC9" w:rsidRPr="00903174">
        <w:t xml:space="preserve">incremental </w:t>
      </w:r>
      <w:r w:rsidRPr="00903174">
        <w:t xml:space="preserve">cost per QALY gained of </w:t>
      </w:r>
      <w:r w:rsidR="000903CB">
        <w:t xml:space="preserve">more than $200,000 </w:t>
      </w:r>
      <w:r w:rsidRPr="00903174">
        <w:t>compared to best supportive care for the treatment of patients with PNH.</w:t>
      </w:r>
    </w:p>
    <w:p w14:paraId="23AB268C" w14:textId="77777777" w:rsidR="006B71D6" w:rsidRPr="00903174" w:rsidRDefault="006B71D6" w:rsidP="00415038">
      <w:pPr>
        <w:pStyle w:val="ExecSumBodyText"/>
        <w:numPr>
          <w:ilvl w:val="1"/>
          <w:numId w:val="1"/>
        </w:numPr>
      </w:pPr>
      <w:r w:rsidRPr="00903174">
        <w:t>The ESC noted t</w:t>
      </w:r>
      <w:r w:rsidR="00DF6CEF" w:rsidRPr="00903174">
        <w:t xml:space="preserve">here was </w:t>
      </w:r>
      <w:r w:rsidRPr="00903174">
        <w:t xml:space="preserve">no ravulizumab survival data and significant </w:t>
      </w:r>
      <w:r w:rsidR="00EA10D5" w:rsidRPr="00903174">
        <w:t>uncertainty</w:t>
      </w:r>
      <w:r w:rsidRPr="00903174">
        <w:t xml:space="preserve"> remained regarding the survival data </w:t>
      </w:r>
      <w:r w:rsidR="00EA5357" w:rsidRPr="00903174">
        <w:t xml:space="preserve">for the BSC. </w:t>
      </w:r>
    </w:p>
    <w:p w14:paraId="77F28074" w14:textId="77777777" w:rsidR="00D81E68" w:rsidRPr="00903174" w:rsidRDefault="00D81E68" w:rsidP="00415038">
      <w:pPr>
        <w:pStyle w:val="ExecSumBodyText"/>
        <w:numPr>
          <w:ilvl w:val="1"/>
          <w:numId w:val="1"/>
        </w:numPr>
      </w:pPr>
      <w:r w:rsidRPr="00903174">
        <w:t xml:space="preserve">During the evaluation, modelled survival curves for ravulizumab versus </w:t>
      </w:r>
      <w:r w:rsidR="00E45C77" w:rsidRPr="00903174">
        <w:t xml:space="preserve">BSC </w:t>
      </w:r>
      <w:r w:rsidRPr="00903174">
        <w:t>were compared with Kaplan-Meier survival curves (reconstructed in the submission) from the Kelly 2011 publication.</w:t>
      </w:r>
    </w:p>
    <w:p w14:paraId="2D36D9CD" w14:textId="77777777" w:rsidR="00D81E68" w:rsidRPr="00903174" w:rsidRDefault="00D81E68" w:rsidP="00E96BB7">
      <w:pPr>
        <w:pStyle w:val="TableHeading"/>
        <w:spacing w:after="0"/>
        <w:jc w:val="both"/>
      </w:pPr>
      <w:r w:rsidRPr="00903174">
        <w:t>Figure 3: Comparison of overall survival - reconstructed Kaplan-Meier survival curves based on the Kelly 2011 study and extrapolated curves in the economic model</w:t>
      </w:r>
    </w:p>
    <w:p w14:paraId="2C4E6A76" w14:textId="77777777" w:rsidR="00D81E68" w:rsidRPr="00903174" w:rsidRDefault="00D81E68" w:rsidP="00D81E68">
      <w:pPr>
        <w:pStyle w:val="TableFooter"/>
        <w:rPr>
          <w:color w:val="3366FF"/>
        </w:rPr>
      </w:pPr>
      <w:r w:rsidRPr="00903174">
        <w:rPr>
          <w:noProof/>
          <w:color w:val="3366FF"/>
          <w:lang w:eastAsia="en-AU"/>
        </w:rPr>
        <w:drawing>
          <wp:inline distT="0" distB="0" distL="0" distR="0" wp14:anchorId="06F05CA6" wp14:editId="4E1EF238">
            <wp:extent cx="4991100" cy="3038475"/>
            <wp:effectExtent l="0" t="0" r="0" b="9525"/>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1100" cy="3038475"/>
                    </a:xfrm>
                    <a:prstGeom prst="rect">
                      <a:avLst/>
                    </a:prstGeom>
                    <a:noFill/>
                    <a:ln>
                      <a:noFill/>
                    </a:ln>
                  </pic:spPr>
                </pic:pic>
              </a:graphicData>
            </a:graphic>
          </wp:inline>
        </w:drawing>
      </w:r>
    </w:p>
    <w:p w14:paraId="5756F44D" w14:textId="77777777" w:rsidR="00D81E68" w:rsidRPr="00903174" w:rsidRDefault="00D81E68" w:rsidP="00D81E68">
      <w:pPr>
        <w:pStyle w:val="TableFooter"/>
      </w:pPr>
      <w:r w:rsidRPr="00903174">
        <w:t>Source: Constructed during the evaluation based on ‘Attachment 6B. Ultomiris vs BSC for PNH CUA – Excel’ workbook of the submission</w:t>
      </w:r>
    </w:p>
    <w:p w14:paraId="3DE71A18" w14:textId="77777777" w:rsidR="00D81E68" w:rsidRPr="00903174" w:rsidRDefault="00D81E68" w:rsidP="00D81E68">
      <w:pPr>
        <w:pStyle w:val="TableFooter"/>
      </w:pPr>
      <w:r w:rsidRPr="00903174">
        <w:t>Abbreviation: OS, overall survival</w:t>
      </w:r>
    </w:p>
    <w:p w14:paraId="65E0E8AD" w14:textId="77777777" w:rsidR="00D81E68" w:rsidRPr="00903174" w:rsidRDefault="00D81E68" w:rsidP="00D81E68">
      <w:pPr>
        <w:pStyle w:val="TableFooter"/>
      </w:pPr>
    </w:p>
    <w:p w14:paraId="004B2C83" w14:textId="77777777" w:rsidR="0035499B" w:rsidRPr="00903174" w:rsidRDefault="0035499B" w:rsidP="00D81E68">
      <w:pPr>
        <w:pStyle w:val="TableFooter"/>
      </w:pPr>
    </w:p>
    <w:p w14:paraId="5EF75423" w14:textId="77777777" w:rsidR="00D81E68" w:rsidRPr="00903174" w:rsidRDefault="00D81E68" w:rsidP="00415038">
      <w:pPr>
        <w:pStyle w:val="ExecSumBodyText"/>
        <w:numPr>
          <w:ilvl w:val="1"/>
          <w:numId w:val="1"/>
        </w:numPr>
      </w:pPr>
      <w:r w:rsidRPr="00903174">
        <w:t xml:space="preserve">Visual inspection of the curves suggest poor goodness of fit between the Kaplan-Meier survival curves and the modelled parametric curves, particularly in the first 3 years for the ravulizumab arm and for most of the data for the BSC arm. The Kaplan-Meier data </w:t>
      </w:r>
      <w:r w:rsidRPr="00903174">
        <w:lastRenderedPageBreak/>
        <w:t>appears to be heavily affected by censoring events, which were poorly reported in the Kelly 2011 study.</w:t>
      </w:r>
    </w:p>
    <w:p w14:paraId="5163A58C" w14:textId="77777777" w:rsidR="00D81E68" w:rsidRPr="00903174" w:rsidRDefault="00D81E68" w:rsidP="00415038">
      <w:pPr>
        <w:pStyle w:val="ExecSumBodyText"/>
        <w:numPr>
          <w:ilvl w:val="1"/>
          <w:numId w:val="1"/>
        </w:numPr>
      </w:pPr>
      <w:r w:rsidRPr="00903174">
        <w:t>During the evaluation, the following figure and table were constructed to illustrate overall survival between treatment arms and the distribution of patients in each health state (alive with PNH, alive in remission and dead) over the model duration.</w:t>
      </w:r>
    </w:p>
    <w:p w14:paraId="76D2C41F" w14:textId="77777777" w:rsidR="00D81E68" w:rsidRPr="00903174" w:rsidRDefault="00D81E68" w:rsidP="00E96BB7">
      <w:pPr>
        <w:pStyle w:val="TableHeading"/>
        <w:spacing w:after="0"/>
      </w:pPr>
      <w:r w:rsidRPr="00903174">
        <w:t>Figure 4: Overall survival curves for ravulizumab and BSC in the economic model</w:t>
      </w:r>
    </w:p>
    <w:p w14:paraId="0EBAD86B" w14:textId="77777777" w:rsidR="00D81E68" w:rsidRPr="00903174" w:rsidRDefault="00D81E68" w:rsidP="00D81E68">
      <w:r w:rsidRPr="00903174">
        <w:rPr>
          <w:noProof/>
        </w:rPr>
        <w:drawing>
          <wp:inline distT="0" distB="0" distL="0" distR="0" wp14:anchorId="143F24BD" wp14:editId="55712AB2">
            <wp:extent cx="5334000" cy="2781300"/>
            <wp:effectExtent l="0" t="0" r="0" b="0"/>
            <wp:docPr id="1010" name="Picture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781300"/>
                    </a:xfrm>
                    <a:prstGeom prst="rect">
                      <a:avLst/>
                    </a:prstGeom>
                    <a:noFill/>
                    <a:ln>
                      <a:noFill/>
                    </a:ln>
                  </pic:spPr>
                </pic:pic>
              </a:graphicData>
            </a:graphic>
          </wp:inline>
        </w:drawing>
      </w:r>
    </w:p>
    <w:p w14:paraId="310D3DCA" w14:textId="77777777" w:rsidR="00D81E68" w:rsidRPr="00903174" w:rsidRDefault="00D81E68" w:rsidP="00D81E68">
      <w:pPr>
        <w:pStyle w:val="TableFooter"/>
      </w:pPr>
      <w:r w:rsidRPr="00903174">
        <w:t>Source: Constructed during the evaluation using ‘Attachment 6B. Ultomiris vs BSC for PNH CUA – Excel’ of the submission’</w:t>
      </w:r>
    </w:p>
    <w:p w14:paraId="64083BB5" w14:textId="77777777" w:rsidR="00D81E68" w:rsidRPr="00903174" w:rsidRDefault="00D81E68" w:rsidP="00D81E68"/>
    <w:p w14:paraId="2AE779FA" w14:textId="77777777" w:rsidR="00D81E68" w:rsidRPr="00903174" w:rsidRDefault="00D81E68" w:rsidP="00D81E68">
      <w:pPr>
        <w:pStyle w:val="TableHeading"/>
        <w:spacing w:after="0"/>
      </w:pPr>
      <w:r w:rsidRPr="00903174">
        <w:t xml:space="preserve">Table </w:t>
      </w:r>
      <w:r w:rsidR="001D6AD7" w:rsidRPr="00903174">
        <w:t>2</w:t>
      </w:r>
      <w:r w:rsidR="0075618C" w:rsidRPr="00903174">
        <w:t>1</w:t>
      </w:r>
      <w:r w:rsidRPr="00903174">
        <w:t>: Cumulative incidence over time in the model</w:t>
      </w:r>
    </w:p>
    <w:tbl>
      <w:tblPr>
        <w:tblStyle w:val="TableGrid"/>
        <w:tblW w:w="5000" w:type="pct"/>
        <w:tblCellMar>
          <w:left w:w="57" w:type="dxa"/>
          <w:right w:w="57" w:type="dxa"/>
        </w:tblCellMar>
        <w:tblLook w:val="04A0" w:firstRow="1" w:lastRow="0" w:firstColumn="1" w:lastColumn="0" w:noHBand="0" w:noVBand="1"/>
      </w:tblPr>
      <w:tblGrid>
        <w:gridCol w:w="1232"/>
        <w:gridCol w:w="789"/>
        <w:gridCol w:w="636"/>
        <w:gridCol w:w="636"/>
        <w:gridCol w:w="636"/>
        <w:gridCol w:w="636"/>
        <w:gridCol w:w="636"/>
        <w:gridCol w:w="636"/>
        <w:gridCol w:w="636"/>
        <w:gridCol w:w="636"/>
        <w:gridCol w:w="636"/>
        <w:gridCol w:w="636"/>
        <w:gridCol w:w="636"/>
      </w:tblGrid>
      <w:tr w:rsidR="00D81E68" w:rsidRPr="00903174" w14:paraId="48D9B59C" w14:textId="77777777" w:rsidTr="00D81E68">
        <w:tc>
          <w:tcPr>
            <w:tcW w:w="123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3F42E4" w14:textId="77777777" w:rsidR="00D81E68" w:rsidRPr="00903174" w:rsidRDefault="00D81E68">
            <w:pPr>
              <w:rPr>
                <w:rFonts w:ascii="Arial Narrow" w:hAnsi="Arial Narrow"/>
                <w:b/>
                <w:sz w:val="20"/>
                <w:szCs w:val="20"/>
              </w:rPr>
            </w:pPr>
            <w:r w:rsidRPr="00903174">
              <w:rPr>
                <w:rFonts w:ascii="Arial Narrow" w:hAnsi="Arial Narrow"/>
                <w:b/>
                <w:sz w:val="20"/>
                <w:szCs w:val="20"/>
              </w:rPr>
              <w:t>Health state</w:t>
            </w:r>
          </w:p>
        </w:tc>
        <w:tc>
          <w:tcPr>
            <w:tcW w:w="7785"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F5DADA"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Years</w:t>
            </w:r>
          </w:p>
        </w:tc>
      </w:tr>
      <w:tr w:rsidR="00D81E68" w:rsidRPr="00903174" w14:paraId="1FAFB889" w14:textId="77777777" w:rsidTr="00D81E68">
        <w:tc>
          <w:tcPr>
            <w:tcW w:w="0" w:type="auto"/>
            <w:vMerge/>
            <w:tcBorders>
              <w:top w:val="single" w:sz="4" w:space="0" w:color="auto"/>
              <w:left w:val="single" w:sz="4" w:space="0" w:color="auto"/>
              <w:bottom w:val="single" w:sz="4" w:space="0" w:color="auto"/>
              <w:right w:val="single" w:sz="4" w:space="0" w:color="auto"/>
            </w:tcBorders>
            <w:vAlign w:val="center"/>
            <w:hideMark/>
          </w:tcPr>
          <w:p w14:paraId="63190866" w14:textId="77777777" w:rsidR="00D81E68" w:rsidRPr="00903174" w:rsidRDefault="00D81E68">
            <w:pPr>
              <w:jc w:val="left"/>
              <w:rPr>
                <w:rFonts w:ascii="Arial Narrow" w:hAnsi="Arial Narrow"/>
                <w:b/>
                <w:sz w:val="20"/>
                <w:szCs w:val="20"/>
              </w:rPr>
            </w:pPr>
          </w:p>
        </w:tc>
        <w:tc>
          <w:tcPr>
            <w:tcW w:w="7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640C04"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Baseline</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2DE2EC"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 xml:space="preserve">5 </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76008"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 xml:space="preserve">10 </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DC0D1E"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 xml:space="preserve">15 </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FF544"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 xml:space="preserve">20 </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A1027A"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 xml:space="preserve">25 </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E8EBD2"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 xml:space="preserve">30 </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ABA78B"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 xml:space="preserve">35 </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472136"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40</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D20AC7"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45</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45F4B"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50</w:t>
            </w:r>
          </w:p>
        </w:tc>
        <w:tc>
          <w:tcPr>
            <w:tcW w:w="63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F88268" w14:textId="77777777" w:rsidR="00D81E68" w:rsidRPr="00903174" w:rsidRDefault="00D81E68">
            <w:pPr>
              <w:jc w:val="center"/>
              <w:rPr>
                <w:rFonts w:ascii="Arial Narrow" w:hAnsi="Arial Narrow"/>
                <w:b/>
                <w:sz w:val="20"/>
                <w:szCs w:val="20"/>
              </w:rPr>
            </w:pPr>
            <w:r w:rsidRPr="00903174">
              <w:rPr>
                <w:rFonts w:ascii="Arial Narrow" w:hAnsi="Arial Narrow"/>
                <w:b/>
                <w:sz w:val="20"/>
                <w:szCs w:val="20"/>
              </w:rPr>
              <w:t>55</w:t>
            </w:r>
          </w:p>
        </w:tc>
      </w:tr>
      <w:tr w:rsidR="00D81E68" w:rsidRPr="00903174" w14:paraId="4BCDC61F" w14:textId="77777777" w:rsidTr="00D81E68">
        <w:tc>
          <w:tcPr>
            <w:tcW w:w="9017" w:type="dxa"/>
            <w:gridSpan w:val="13"/>
            <w:tcBorders>
              <w:top w:val="single" w:sz="4" w:space="0" w:color="auto"/>
              <w:left w:val="single" w:sz="4" w:space="0" w:color="auto"/>
              <w:bottom w:val="single" w:sz="4" w:space="0" w:color="auto"/>
              <w:right w:val="single" w:sz="4" w:space="0" w:color="auto"/>
            </w:tcBorders>
            <w:vAlign w:val="center"/>
            <w:hideMark/>
          </w:tcPr>
          <w:p w14:paraId="334727C7" w14:textId="77777777" w:rsidR="00D81E68" w:rsidRPr="00903174" w:rsidRDefault="00D81E68">
            <w:pPr>
              <w:jc w:val="left"/>
              <w:rPr>
                <w:rFonts w:ascii="Arial Narrow" w:hAnsi="Arial Narrow" w:cs="Times New Roman"/>
                <w:b/>
                <w:color w:val="000000"/>
                <w:sz w:val="20"/>
                <w:szCs w:val="20"/>
              </w:rPr>
            </w:pPr>
            <w:r w:rsidRPr="00903174">
              <w:rPr>
                <w:rFonts w:ascii="Arial Narrow" w:hAnsi="Arial Narrow"/>
                <w:b/>
                <w:sz w:val="20"/>
                <w:szCs w:val="20"/>
              </w:rPr>
              <w:t>Alive with PNH</w:t>
            </w:r>
          </w:p>
        </w:tc>
      </w:tr>
      <w:tr w:rsidR="00D81E68" w:rsidRPr="00903174" w14:paraId="4325C52C" w14:textId="77777777" w:rsidTr="00D81E68">
        <w:tc>
          <w:tcPr>
            <w:tcW w:w="1232" w:type="dxa"/>
            <w:tcBorders>
              <w:top w:val="single" w:sz="4" w:space="0" w:color="auto"/>
              <w:left w:val="single" w:sz="4" w:space="0" w:color="auto"/>
              <w:bottom w:val="single" w:sz="4" w:space="0" w:color="auto"/>
              <w:right w:val="single" w:sz="4" w:space="0" w:color="auto"/>
            </w:tcBorders>
            <w:vAlign w:val="center"/>
            <w:hideMark/>
          </w:tcPr>
          <w:p w14:paraId="30368262" w14:textId="77777777" w:rsidR="00D81E68" w:rsidRPr="00903174" w:rsidRDefault="00D81E68">
            <w:pPr>
              <w:jc w:val="left"/>
              <w:rPr>
                <w:rFonts w:ascii="Arial Narrow" w:hAnsi="Arial Narrow"/>
                <w:sz w:val="20"/>
                <w:szCs w:val="20"/>
              </w:rPr>
            </w:pPr>
            <w:r w:rsidRPr="00903174">
              <w:rPr>
                <w:rFonts w:ascii="Arial Narrow" w:hAnsi="Arial Narrow"/>
                <w:sz w:val="20"/>
                <w:szCs w:val="20"/>
              </w:rPr>
              <w:t>Ravulizumab</w:t>
            </w:r>
          </w:p>
        </w:tc>
        <w:tc>
          <w:tcPr>
            <w:tcW w:w="789" w:type="dxa"/>
            <w:tcBorders>
              <w:top w:val="single" w:sz="4" w:space="0" w:color="auto"/>
              <w:left w:val="single" w:sz="4" w:space="0" w:color="auto"/>
              <w:bottom w:val="single" w:sz="4" w:space="0" w:color="auto"/>
              <w:right w:val="single" w:sz="4" w:space="0" w:color="auto"/>
            </w:tcBorders>
            <w:vAlign w:val="center"/>
            <w:hideMark/>
          </w:tcPr>
          <w:p w14:paraId="3634AB64" w14:textId="77777777" w:rsidR="00D81E68" w:rsidRPr="00903174" w:rsidRDefault="00D81E68">
            <w:pPr>
              <w:jc w:val="center"/>
              <w:rPr>
                <w:rFonts w:ascii="Arial Narrow" w:hAnsi="Arial Narrow"/>
                <w:sz w:val="20"/>
                <w:szCs w:val="20"/>
              </w:rPr>
            </w:pPr>
            <w:r w:rsidRPr="00903174">
              <w:rPr>
                <w:rFonts w:ascii="Arial Narrow" w:hAnsi="Arial Narrow"/>
                <w:sz w:val="20"/>
                <w:szCs w:val="20"/>
              </w:rPr>
              <w:t>100%</w:t>
            </w:r>
          </w:p>
        </w:tc>
        <w:tc>
          <w:tcPr>
            <w:tcW w:w="636" w:type="dxa"/>
            <w:tcBorders>
              <w:top w:val="single" w:sz="4" w:space="0" w:color="auto"/>
              <w:left w:val="single" w:sz="4" w:space="0" w:color="auto"/>
              <w:bottom w:val="single" w:sz="4" w:space="0" w:color="auto"/>
              <w:right w:val="single" w:sz="4" w:space="0" w:color="auto"/>
            </w:tcBorders>
            <w:vAlign w:val="bottom"/>
            <w:hideMark/>
          </w:tcPr>
          <w:p w14:paraId="1D9FE13D"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87.9%</w:t>
            </w:r>
          </w:p>
        </w:tc>
        <w:tc>
          <w:tcPr>
            <w:tcW w:w="636" w:type="dxa"/>
            <w:tcBorders>
              <w:top w:val="single" w:sz="4" w:space="0" w:color="auto"/>
              <w:left w:val="single" w:sz="4" w:space="0" w:color="auto"/>
              <w:bottom w:val="single" w:sz="4" w:space="0" w:color="auto"/>
              <w:right w:val="single" w:sz="4" w:space="0" w:color="auto"/>
            </w:tcBorders>
            <w:vAlign w:val="bottom"/>
            <w:hideMark/>
          </w:tcPr>
          <w:p w14:paraId="1990A6B2"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79.6%</w:t>
            </w:r>
          </w:p>
        </w:tc>
        <w:tc>
          <w:tcPr>
            <w:tcW w:w="636" w:type="dxa"/>
            <w:tcBorders>
              <w:top w:val="single" w:sz="4" w:space="0" w:color="auto"/>
              <w:left w:val="single" w:sz="4" w:space="0" w:color="auto"/>
              <w:bottom w:val="single" w:sz="4" w:space="0" w:color="auto"/>
              <w:right w:val="single" w:sz="4" w:space="0" w:color="auto"/>
            </w:tcBorders>
            <w:vAlign w:val="bottom"/>
            <w:hideMark/>
          </w:tcPr>
          <w:p w14:paraId="5D57C3B8"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71.2%</w:t>
            </w:r>
          </w:p>
        </w:tc>
        <w:tc>
          <w:tcPr>
            <w:tcW w:w="636" w:type="dxa"/>
            <w:tcBorders>
              <w:top w:val="single" w:sz="4" w:space="0" w:color="auto"/>
              <w:left w:val="single" w:sz="4" w:space="0" w:color="auto"/>
              <w:bottom w:val="single" w:sz="4" w:space="0" w:color="auto"/>
              <w:right w:val="single" w:sz="4" w:space="0" w:color="auto"/>
            </w:tcBorders>
            <w:vAlign w:val="bottom"/>
            <w:hideMark/>
          </w:tcPr>
          <w:p w14:paraId="0AFC4782"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62.6%</w:t>
            </w:r>
          </w:p>
        </w:tc>
        <w:tc>
          <w:tcPr>
            <w:tcW w:w="636" w:type="dxa"/>
            <w:tcBorders>
              <w:top w:val="single" w:sz="4" w:space="0" w:color="auto"/>
              <w:left w:val="single" w:sz="4" w:space="0" w:color="auto"/>
              <w:bottom w:val="single" w:sz="4" w:space="0" w:color="auto"/>
              <w:right w:val="single" w:sz="4" w:space="0" w:color="auto"/>
            </w:tcBorders>
            <w:vAlign w:val="bottom"/>
            <w:hideMark/>
          </w:tcPr>
          <w:p w14:paraId="0B4FFBA7"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53.8%</w:t>
            </w:r>
          </w:p>
        </w:tc>
        <w:tc>
          <w:tcPr>
            <w:tcW w:w="636" w:type="dxa"/>
            <w:tcBorders>
              <w:top w:val="single" w:sz="4" w:space="0" w:color="auto"/>
              <w:left w:val="single" w:sz="4" w:space="0" w:color="auto"/>
              <w:bottom w:val="single" w:sz="4" w:space="0" w:color="auto"/>
              <w:right w:val="single" w:sz="4" w:space="0" w:color="auto"/>
            </w:tcBorders>
            <w:vAlign w:val="bottom"/>
            <w:hideMark/>
          </w:tcPr>
          <w:p w14:paraId="1675FCB4"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44.6%</w:t>
            </w:r>
          </w:p>
        </w:tc>
        <w:tc>
          <w:tcPr>
            <w:tcW w:w="636" w:type="dxa"/>
            <w:tcBorders>
              <w:top w:val="single" w:sz="4" w:space="0" w:color="auto"/>
              <w:left w:val="single" w:sz="4" w:space="0" w:color="auto"/>
              <w:bottom w:val="single" w:sz="4" w:space="0" w:color="auto"/>
              <w:right w:val="single" w:sz="4" w:space="0" w:color="auto"/>
            </w:tcBorders>
            <w:vAlign w:val="bottom"/>
            <w:hideMark/>
          </w:tcPr>
          <w:p w14:paraId="476C405C"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35.2%</w:t>
            </w:r>
          </w:p>
        </w:tc>
        <w:tc>
          <w:tcPr>
            <w:tcW w:w="636" w:type="dxa"/>
            <w:tcBorders>
              <w:top w:val="single" w:sz="4" w:space="0" w:color="auto"/>
              <w:left w:val="single" w:sz="4" w:space="0" w:color="auto"/>
              <w:bottom w:val="single" w:sz="4" w:space="0" w:color="auto"/>
              <w:right w:val="single" w:sz="4" w:space="0" w:color="auto"/>
            </w:tcBorders>
            <w:hideMark/>
          </w:tcPr>
          <w:p w14:paraId="1EEDE164"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25.8%</w:t>
            </w:r>
          </w:p>
        </w:tc>
        <w:tc>
          <w:tcPr>
            <w:tcW w:w="636" w:type="dxa"/>
            <w:tcBorders>
              <w:top w:val="single" w:sz="4" w:space="0" w:color="auto"/>
              <w:left w:val="single" w:sz="4" w:space="0" w:color="auto"/>
              <w:bottom w:val="single" w:sz="4" w:space="0" w:color="auto"/>
              <w:right w:val="single" w:sz="4" w:space="0" w:color="auto"/>
            </w:tcBorders>
            <w:hideMark/>
          </w:tcPr>
          <w:p w14:paraId="26EC763F"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16.5%</w:t>
            </w:r>
          </w:p>
        </w:tc>
        <w:tc>
          <w:tcPr>
            <w:tcW w:w="636" w:type="dxa"/>
            <w:tcBorders>
              <w:top w:val="single" w:sz="4" w:space="0" w:color="auto"/>
              <w:left w:val="single" w:sz="4" w:space="0" w:color="auto"/>
              <w:bottom w:val="single" w:sz="4" w:space="0" w:color="auto"/>
              <w:right w:val="single" w:sz="4" w:space="0" w:color="auto"/>
            </w:tcBorders>
            <w:hideMark/>
          </w:tcPr>
          <w:p w14:paraId="58811C36"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8.5%</w:t>
            </w:r>
          </w:p>
        </w:tc>
        <w:tc>
          <w:tcPr>
            <w:tcW w:w="636" w:type="dxa"/>
            <w:tcBorders>
              <w:top w:val="single" w:sz="4" w:space="0" w:color="auto"/>
              <w:left w:val="single" w:sz="4" w:space="0" w:color="auto"/>
              <w:bottom w:val="single" w:sz="4" w:space="0" w:color="auto"/>
              <w:right w:val="single" w:sz="4" w:space="0" w:color="auto"/>
            </w:tcBorders>
            <w:hideMark/>
          </w:tcPr>
          <w:p w14:paraId="6C242ED6"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2.9%</w:t>
            </w:r>
          </w:p>
        </w:tc>
      </w:tr>
      <w:tr w:rsidR="00D81E68" w:rsidRPr="00903174" w14:paraId="4359FC9A" w14:textId="77777777" w:rsidTr="00D81E68">
        <w:tc>
          <w:tcPr>
            <w:tcW w:w="1232" w:type="dxa"/>
            <w:tcBorders>
              <w:top w:val="single" w:sz="4" w:space="0" w:color="auto"/>
              <w:left w:val="single" w:sz="4" w:space="0" w:color="auto"/>
              <w:bottom w:val="single" w:sz="4" w:space="0" w:color="auto"/>
              <w:right w:val="single" w:sz="4" w:space="0" w:color="auto"/>
            </w:tcBorders>
            <w:vAlign w:val="center"/>
            <w:hideMark/>
          </w:tcPr>
          <w:p w14:paraId="1B0A0586" w14:textId="77777777" w:rsidR="00D81E68" w:rsidRPr="00903174" w:rsidRDefault="00D81E68">
            <w:pPr>
              <w:jc w:val="left"/>
              <w:rPr>
                <w:rFonts w:ascii="Arial Narrow" w:hAnsi="Arial Narrow"/>
                <w:sz w:val="20"/>
                <w:szCs w:val="20"/>
              </w:rPr>
            </w:pPr>
            <w:r w:rsidRPr="00903174">
              <w:rPr>
                <w:rFonts w:ascii="Arial Narrow" w:hAnsi="Arial Narrow"/>
                <w:sz w:val="20"/>
                <w:szCs w:val="20"/>
              </w:rPr>
              <w:t>BSC</w:t>
            </w:r>
          </w:p>
        </w:tc>
        <w:tc>
          <w:tcPr>
            <w:tcW w:w="789" w:type="dxa"/>
            <w:tcBorders>
              <w:top w:val="single" w:sz="4" w:space="0" w:color="auto"/>
              <w:left w:val="single" w:sz="4" w:space="0" w:color="auto"/>
              <w:bottom w:val="single" w:sz="4" w:space="0" w:color="auto"/>
              <w:right w:val="single" w:sz="4" w:space="0" w:color="auto"/>
            </w:tcBorders>
            <w:vAlign w:val="center"/>
            <w:hideMark/>
          </w:tcPr>
          <w:p w14:paraId="6A82A5AB" w14:textId="77777777" w:rsidR="00D81E68" w:rsidRPr="00903174" w:rsidRDefault="00D81E68">
            <w:pPr>
              <w:jc w:val="center"/>
              <w:rPr>
                <w:rFonts w:ascii="Arial Narrow" w:hAnsi="Arial Narrow"/>
                <w:sz w:val="20"/>
                <w:szCs w:val="20"/>
              </w:rPr>
            </w:pPr>
            <w:r w:rsidRPr="00903174">
              <w:rPr>
                <w:rFonts w:ascii="Arial Narrow" w:hAnsi="Arial Narrow"/>
                <w:sz w:val="20"/>
                <w:szCs w:val="20"/>
              </w:rPr>
              <w:t>100%</w:t>
            </w:r>
          </w:p>
        </w:tc>
        <w:tc>
          <w:tcPr>
            <w:tcW w:w="636" w:type="dxa"/>
            <w:tcBorders>
              <w:top w:val="single" w:sz="4" w:space="0" w:color="auto"/>
              <w:left w:val="single" w:sz="4" w:space="0" w:color="auto"/>
              <w:bottom w:val="single" w:sz="4" w:space="0" w:color="auto"/>
              <w:right w:val="single" w:sz="4" w:space="0" w:color="auto"/>
            </w:tcBorders>
            <w:vAlign w:val="bottom"/>
            <w:hideMark/>
          </w:tcPr>
          <w:p w14:paraId="311A6F9B"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66.2%</w:t>
            </w:r>
          </w:p>
        </w:tc>
        <w:tc>
          <w:tcPr>
            <w:tcW w:w="636" w:type="dxa"/>
            <w:tcBorders>
              <w:top w:val="single" w:sz="4" w:space="0" w:color="auto"/>
              <w:left w:val="single" w:sz="4" w:space="0" w:color="auto"/>
              <w:bottom w:val="single" w:sz="4" w:space="0" w:color="auto"/>
              <w:right w:val="single" w:sz="4" w:space="0" w:color="auto"/>
            </w:tcBorders>
            <w:vAlign w:val="bottom"/>
            <w:hideMark/>
          </w:tcPr>
          <w:p w14:paraId="5E386905"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41.6%</w:t>
            </w:r>
          </w:p>
        </w:tc>
        <w:tc>
          <w:tcPr>
            <w:tcW w:w="636" w:type="dxa"/>
            <w:tcBorders>
              <w:top w:val="single" w:sz="4" w:space="0" w:color="auto"/>
              <w:left w:val="single" w:sz="4" w:space="0" w:color="auto"/>
              <w:bottom w:val="single" w:sz="4" w:space="0" w:color="auto"/>
              <w:right w:val="single" w:sz="4" w:space="0" w:color="auto"/>
            </w:tcBorders>
            <w:vAlign w:val="bottom"/>
            <w:hideMark/>
          </w:tcPr>
          <w:p w14:paraId="3521CB3F"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23.7%</w:t>
            </w:r>
          </w:p>
        </w:tc>
        <w:tc>
          <w:tcPr>
            <w:tcW w:w="636" w:type="dxa"/>
            <w:tcBorders>
              <w:top w:val="single" w:sz="4" w:space="0" w:color="auto"/>
              <w:left w:val="single" w:sz="4" w:space="0" w:color="auto"/>
              <w:bottom w:val="single" w:sz="4" w:space="0" w:color="auto"/>
              <w:right w:val="single" w:sz="4" w:space="0" w:color="auto"/>
            </w:tcBorders>
            <w:vAlign w:val="bottom"/>
            <w:hideMark/>
          </w:tcPr>
          <w:p w14:paraId="6C7EEEF9"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10.8%</w:t>
            </w:r>
          </w:p>
        </w:tc>
        <w:tc>
          <w:tcPr>
            <w:tcW w:w="636" w:type="dxa"/>
            <w:tcBorders>
              <w:top w:val="single" w:sz="4" w:space="0" w:color="auto"/>
              <w:left w:val="single" w:sz="4" w:space="0" w:color="auto"/>
              <w:bottom w:val="single" w:sz="4" w:space="0" w:color="auto"/>
              <w:right w:val="single" w:sz="4" w:space="0" w:color="auto"/>
            </w:tcBorders>
            <w:vAlign w:val="bottom"/>
            <w:hideMark/>
          </w:tcPr>
          <w:p w14:paraId="5CA2C469"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1.6%</w:t>
            </w:r>
          </w:p>
        </w:tc>
        <w:tc>
          <w:tcPr>
            <w:tcW w:w="636" w:type="dxa"/>
            <w:tcBorders>
              <w:top w:val="single" w:sz="4" w:space="0" w:color="auto"/>
              <w:left w:val="single" w:sz="4" w:space="0" w:color="auto"/>
              <w:bottom w:val="single" w:sz="4" w:space="0" w:color="auto"/>
              <w:right w:val="single" w:sz="4" w:space="0" w:color="auto"/>
            </w:tcBorders>
            <w:vAlign w:val="bottom"/>
            <w:hideMark/>
          </w:tcPr>
          <w:p w14:paraId="6B55D705"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0%</w:t>
            </w:r>
          </w:p>
        </w:tc>
        <w:tc>
          <w:tcPr>
            <w:tcW w:w="636" w:type="dxa"/>
            <w:tcBorders>
              <w:top w:val="single" w:sz="4" w:space="0" w:color="auto"/>
              <w:left w:val="single" w:sz="4" w:space="0" w:color="auto"/>
              <w:bottom w:val="single" w:sz="4" w:space="0" w:color="auto"/>
              <w:right w:val="single" w:sz="4" w:space="0" w:color="auto"/>
            </w:tcBorders>
            <w:vAlign w:val="bottom"/>
            <w:hideMark/>
          </w:tcPr>
          <w:p w14:paraId="5726C3B7"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0%</w:t>
            </w:r>
          </w:p>
        </w:tc>
        <w:tc>
          <w:tcPr>
            <w:tcW w:w="636" w:type="dxa"/>
            <w:tcBorders>
              <w:top w:val="single" w:sz="4" w:space="0" w:color="auto"/>
              <w:left w:val="single" w:sz="4" w:space="0" w:color="auto"/>
              <w:bottom w:val="single" w:sz="4" w:space="0" w:color="auto"/>
              <w:right w:val="single" w:sz="4" w:space="0" w:color="auto"/>
            </w:tcBorders>
            <w:hideMark/>
          </w:tcPr>
          <w:p w14:paraId="052F28B6"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0%</w:t>
            </w:r>
          </w:p>
        </w:tc>
        <w:tc>
          <w:tcPr>
            <w:tcW w:w="636" w:type="dxa"/>
            <w:tcBorders>
              <w:top w:val="single" w:sz="4" w:space="0" w:color="auto"/>
              <w:left w:val="single" w:sz="4" w:space="0" w:color="auto"/>
              <w:bottom w:val="single" w:sz="4" w:space="0" w:color="auto"/>
              <w:right w:val="single" w:sz="4" w:space="0" w:color="auto"/>
            </w:tcBorders>
            <w:hideMark/>
          </w:tcPr>
          <w:p w14:paraId="7D3990CD"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0%</w:t>
            </w:r>
          </w:p>
        </w:tc>
        <w:tc>
          <w:tcPr>
            <w:tcW w:w="636" w:type="dxa"/>
            <w:tcBorders>
              <w:top w:val="single" w:sz="4" w:space="0" w:color="auto"/>
              <w:left w:val="single" w:sz="4" w:space="0" w:color="auto"/>
              <w:bottom w:val="single" w:sz="4" w:space="0" w:color="auto"/>
              <w:right w:val="single" w:sz="4" w:space="0" w:color="auto"/>
            </w:tcBorders>
            <w:hideMark/>
          </w:tcPr>
          <w:p w14:paraId="2474FBA4"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0%</w:t>
            </w:r>
          </w:p>
        </w:tc>
        <w:tc>
          <w:tcPr>
            <w:tcW w:w="636" w:type="dxa"/>
            <w:tcBorders>
              <w:top w:val="single" w:sz="4" w:space="0" w:color="auto"/>
              <w:left w:val="single" w:sz="4" w:space="0" w:color="auto"/>
              <w:bottom w:val="single" w:sz="4" w:space="0" w:color="auto"/>
              <w:right w:val="single" w:sz="4" w:space="0" w:color="auto"/>
            </w:tcBorders>
            <w:hideMark/>
          </w:tcPr>
          <w:p w14:paraId="36E67D19"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0%</w:t>
            </w:r>
          </w:p>
        </w:tc>
      </w:tr>
      <w:tr w:rsidR="00D81E68" w:rsidRPr="00903174" w14:paraId="2077ECF0" w14:textId="77777777" w:rsidTr="00D81E68">
        <w:tc>
          <w:tcPr>
            <w:tcW w:w="9017" w:type="dxa"/>
            <w:gridSpan w:val="13"/>
            <w:tcBorders>
              <w:top w:val="single" w:sz="4" w:space="0" w:color="auto"/>
              <w:left w:val="single" w:sz="4" w:space="0" w:color="auto"/>
              <w:bottom w:val="single" w:sz="4" w:space="0" w:color="auto"/>
              <w:right w:val="single" w:sz="4" w:space="0" w:color="auto"/>
            </w:tcBorders>
            <w:vAlign w:val="center"/>
            <w:hideMark/>
          </w:tcPr>
          <w:p w14:paraId="6E3C7596" w14:textId="77777777" w:rsidR="00D81E68" w:rsidRPr="00903174" w:rsidRDefault="00D81E68">
            <w:pPr>
              <w:jc w:val="left"/>
              <w:rPr>
                <w:rFonts w:ascii="Arial Narrow" w:hAnsi="Arial Narrow" w:cs="Times New Roman"/>
                <w:b/>
                <w:color w:val="000000"/>
                <w:sz w:val="20"/>
                <w:szCs w:val="20"/>
              </w:rPr>
            </w:pPr>
            <w:r w:rsidRPr="00903174">
              <w:rPr>
                <w:rFonts w:ascii="Arial Narrow" w:hAnsi="Arial Narrow"/>
                <w:b/>
                <w:sz w:val="20"/>
                <w:szCs w:val="20"/>
              </w:rPr>
              <w:t>Alive in remission</w:t>
            </w:r>
          </w:p>
        </w:tc>
      </w:tr>
      <w:tr w:rsidR="00D81E68" w:rsidRPr="00903174" w14:paraId="682F3561" w14:textId="77777777" w:rsidTr="00D81E68">
        <w:tc>
          <w:tcPr>
            <w:tcW w:w="1232" w:type="dxa"/>
            <w:tcBorders>
              <w:top w:val="single" w:sz="4" w:space="0" w:color="auto"/>
              <w:left w:val="single" w:sz="4" w:space="0" w:color="auto"/>
              <w:bottom w:val="single" w:sz="4" w:space="0" w:color="auto"/>
              <w:right w:val="single" w:sz="4" w:space="0" w:color="auto"/>
            </w:tcBorders>
            <w:vAlign w:val="center"/>
            <w:hideMark/>
          </w:tcPr>
          <w:p w14:paraId="33C966F7" w14:textId="77777777" w:rsidR="00D81E68" w:rsidRPr="00903174" w:rsidRDefault="00D81E68">
            <w:pPr>
              <w:jc w:val="left"/>
              <w:rPr>
                <w:rFonts w:ascii="Arial Narrow" w:hAnsi="Arial Narrow"/>
                <w:sz w:val="20"/>
                <w:szCs w:val="20"/>
              </w:rPr>
            </w:pPr>
            <w:r w:rsidRPr="00903174">
              <w:rPr>
                <w:rFonts w:ascii="Arial Narrow" w:hAnsi="Arial Narrow"/>
                <w:sz w:val="20"/>
                <w:szCs w:val="20"/>
              </w:rPr>
              <w:t>Ravulizumab</w:t>
            </w:r>
          </w:p>
        </w:tc>
        <w:tc>
          <w:tcPr>
            <w:tcW w:w="789" w:type="dxa"/>
            <w:tcBorders>
              <w:top w:val="single" w:sz="4" w:space="0" w:color="auto"/>
              <w:left w:val="single" w:sz="4" w:space="0" w:color="auto"/>
              <w:bottom w:val="single" w:sz="4" w:space="0" w:color="auto"/>
              <w:right w:val="single" w:sz="4" w:space="0" w:color="auto"/>
            </w:tcBorders>
            <w:vAlign w:val="center"/>
            <w:hideMark/>
          </w:tcPr>
          <w:p w14:paraId="507FD8E9" w14:textId="77777777" w:rsidR="00D81E68" w:rsidRPr="00903174" w:rsidRDefault="00D81E68">
            <w:pPr>
              <w:jc w:val="center"/>
              <w:rPr>
                <w:rFonts w:ascii="Arial Narrow" w:hAnsi="Arial Narrow"/>
                <w:sz w:val="20"/>
                <w:szCs w:val="20"/>
              </w:rPr>
            </w:pPr>
            <w:r w:rsidRPr="00903174">
              <w:rPr>
                <w:rFonts w:ascii="Arial Narrow" w:hAnsi="Arial Narrow"/>
                <w:sz w:val="20"/>
                <w:szCs w:val="20"/>
              </w:rPr>
              <w:t>0%</w:t>
            </w:r>
          </w:p>
        </w:tc>
        <w:tc>
          <w:tcPr>
            <w:tcW w:w="636" w:type="dxa"/>
            <w:tcBorders>
              <w:top w:val="single" w:sz="4" w:space="0" w:color="auto"/>
              <w:left w:val="single" w:sz="4" w:space="0" w:color="auto"/>
              <w:bottom w:val="single" w:sz="4" w:space="0" w:color="auto"/>
              <w:right w:val="single" w:sz="4" w:space="0" w:color="auto"/>
            </w:tcBorders>
            <w:vAlign w:val="center"/>
            <w:hideMark/>
          </w:tcPr>
          <w:p w14:paraId="53B151EA"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7.6%</w:t>
            </w:r>
          </w:p>
        </w:tc>
        <w:tc>
          <w:tcPr>
            <w:tcW w:w="636" w:type="dxa"/>
            <w:tcBorders>
              <w:top w:val="single" w:sz="4" w:space="0" w:color="auto"/>
              <w:left w:val="single" w:sz="4" w:space="0" w:color="auto"/>
              <w:bottom w:val="single" w:sz="4" w:space="0" w:color="auto"/>
              <w:right w:val="single" w:sz="4" w:space="0" w:color="auto"/>
            </w:tcBorders>
            <w:vAlign w:val="center"/>
            <w:hideMark/>
          </w:tcPr>
          <w:p w14:paraId="54A04DBB"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15.0%</w:t>
            </w:r>
          </w:p>
        </w:tc>
        <w:tc>
          <w:tcPr>
            <w:tcW w:w="636" w:type="dxa"/>
            <w:tcBorders>
              <w:top w:val="single" w:sz="4" w:space="0" w:color="auto"/>
              <w:left w:val="single" w:sz="4" w:space="0" w:color="auto"/>
              <w:bottom w:val="single" w:sz="4" w:space="0" w:color="auto"/>
              <w:right w:val="single" w:sz="4" w:space="0" w:color="auto"/>
            </w:tcBorders>
            <w:vAlign w:val="center"/>
            <w:hideMark/>
          </w:tcPr>
          <w:p w14:paraId="24D2E2F7"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22.2%</w:t>
            </w:r>
          </w:p>
        </w:tc>
        <w:tc>
          <w:tcPr>
            <w:tcW w:w="636" w:type="dxa"/>
            <w:tcBorders>
              <w:top w:val="single" w:sz="4" w:space="0" w:color="auto"/>
              <w:left w:val="single" w:sz="4" w:space="0" w:color="auto"/>
              <w:bottom w:val="single" w:sz="4" w:space="0" w:color="auto"/>
              <w:right w:val="single" w:sz="4" w:space="0" w:color="auto"/>
            </w:tcBorders>
            <w:vAlign w:val="center"/>
            <w:hideMark/>
          </w:tcPr>
          <w:p w14:paraId="4959E403"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29.0%</w:t>
            </w:r>
          </w:p>
        </w:tc>
        <w:tc>
          <w:tcPr>
            <w:tcW w:w="636" w:type="dxa"/>
            <w:tcBorders>
              <w:top w:val="single" w:sz="4" w:space="0" w:color="auto"/>
              <w:left w:val="single" w:sz="4" w:space="0" w:color="auto"/>
              <w:bottom w:val="single" w:sz="4" w:space="0" w:color="auto"/>
              <w:right w:val="single" w:sz="4" w:space="0" w:color="auto"/>
            </w:tcBorders>
            <w:vAlign w:val="center"/>
            <w:hideMark/>
          </w:tcPr>
          <w:p w14:paraId="188D2F78"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35.1%</w:t>
            </w:r>
          </w:p>
        </w:tc>
        <w:tc>
          <w:tcPr>
            <w:tcW w:w="636" w:type="dxa"/>
            <w:tcBorders>
              <w:top w:val="single" w:sz="4" w:space="0" w:color="auto"/>
              <w:left w:val="single" w:sz="4" w:space="0" w:color="auto"/>
              <w:bottom w:val="single" w:sz="4" w:space="0" w:color="auto"/>
              <w:right w:val="single" w:sz="4" w:space="0" w:color="auto"/>
            </w:tcBorders>
            <w:vAlign w:val="center"/>
            <w:hideMark/>
          </w:tcPr>
          <w:p w14:paraId="7B62C30A"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35.1%</w:t>
            </w:r>
          </w:p>
        </w:tc>
        <w:tc>
          <w:tcPr>
            <w:tcW w:w="636" w:type="dxa"/>
            <w:tcBorders>
              <w:top w:val="single" w:sz="4" w:space="0" w:color="auto"/>
              <w:left w:val="single" w:sz="4" w:space="0" w:color="auto"/>
              <w:bottom w:val="single" w:sz="4" w:space="0" w:color="auto"/>
              <w:right w:val="single" w:sz="4" w:space="0" w:color="auto"/>
            </w:tcBorders>
            <w:vAlign w:val="center"/>
            <w:hideMark/>
          </w:tcPr>
          <w:p w14:paraId="16E15C88"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43.5%</w:t>
            </w:r>
          </w:p>
        </w:tc>
        <w:tc>
          <w:tcPr>
            <w:tcW w:w="636" w:type="dxa"/>
            <w:tcBorders>
              <w:top w:val="single" w:sz="4" w:space="0" w:color="auto"/>
              <w:left w:val="single" w:sz="4" w:space="0" w:color="auto"/>
              <w:bottom w:val="single" w:sz="4" w:space="0" w:color="auto"/>
              <w:right w:val="single" w:sz="4" w:space="0" w:color="auto"/>
            </w:tcBorders>
            <w:hideMark/>
          </w:tcPr>
          <w:p w14:paraId="5EA797A9"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44.2%</w:t>
            </w:r>
          </w:p>
        </w:tc>
        <w:tc>
          <w:tcPr>
            <w:tcW w:w="636" w:type="dxa"/>
            <w:tcBorders>
              <w:top w:val="single" w:sz="4" w:space="0" w:color="auto"/>
              <w:left w:val="single" w:sz="4" w:space="0" w:color="auto"/>
              <w:bottom w:val="single" w:sz="4" w:space="0" w:color="auto"/>
              <w:right w:val="single" w:sz="4" w:space="0" w:color="auto"/>
            </w:tcBorders>
            <w:hideMark/>
          </w:tcPr>
          <w:p w14:paraId="5E720875"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40.6%</w:t>
            </w:r>
          </w:p>
        </w:tc>
        <w:tc>
          <w:tcPr>
            <w:tcW w:w="636" w:type="dxa"/>
            <w:tcBorders>
              <w:top w:val="single" w:sz="4" w:space="0" w:color="auto"/>
              <w:left w:val="single" w:sz="4" w:space="0" w:color="auto"/>
              <w:bottom w:val="single" w:sz="4" w:space="0" w:color="auto"/>
              <w:right w:val="single" w:sz="4" w:space="0" w:color="auto"/>
            </w:tcBorders>
            <w:hideMark/>
          </w:tcPr>
          <w:p w14:paraId="57BB5714"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31.7%</w:t>
            </w:r>
          </w:p>
        </w:tc>
        <w:tc>
          <w:tcPr>
            <w:tcW w:w="636" w:type="dxa"/>
            <w:tcBorders>
              <w:top w:val="single" w:sz="4" w:space="0" w:color="auto"/>
              <w:left w:val="single" w:sz="4" w:space="0" w:color="auto"/>
              <w:bottom w:val="single" w:sz="4" w:space="0" w:color="auto"/>
              <w:right w:val="single" w:sz="4" w:space="0" w:color="auto"/>
            </w:tcBorders>
            <w:hideMark/>
          </w:tcPr>
          <w:p w14:paraId="49088DA8"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18.8%</w:t>
            </w:r>
          </w:p>
        </w:tc>
      </w:tr>
      <w:tr w:rsidR="00D81E68" w:rsidRPr="00903174" w14:paraId="1D591130" w14:textId="77777777" w:rsidTr="00D81E68">
        <w:tc>
          <w:tcPr>
            <w:tcW w:w="1232" w:type="dxa"/>
            <w:tcBorders>
              <w:top w:val="single" w:sz="4" w:space="0" w:color="auto"/>
              <w:left w:val="single" w:sz="4" w:space="0" w:color="auto"/>
              <w:bottom w:val="single" w:sz="4" w:space="0" w:color="auto"/>
              <w:right w:val="single" w:sz="4" w:space="0" w:color="auto"/>
            </w:tcBorders>
            <w:vAlign w:val="center"/>
            <w:hideMark/>
          </w:tcPr>
          <w:p w14:paraId="761FB1C9" w14:textId="77777777" w:rsidR="00D81E68" w:rsidRPr="00903174" w:rsidRDefault="00D81E68">
            <w:pPr>
              <w:jc w:val="left"/>
              <w:rPr>
                <w:rFonts w:ascii="Arial Narrow" w:hAnsi="Arial Narrow"/>
                <w:sz w:val="20"/>
                <w:szCs w:val="20"/>
              </w:rPr>
            </w:pPr>
            <w:r w:rsidRPr="00903174">
              <w:rPr>
                <w:rFonts w:ascii="Arial Narrow" w:hAnsi="Arial Narrow"/>
                <w:sz w:val="20"/>
                <w:szCs w:val="20"/>
              </w:rPr>
              <w:t>BSC</w:t>
            </w:r>
          </w:p>
        </w:tc>
        <w:tc>
          <w:tcPr>
            <w:tcW w:w="789" w:type="dxa"/>
            <w:tcBorders>
              <w:top w:val="single" w:sz="4" w:space="0" w:color="auto"/>
              <w:left w:val="single" w:sz="4" w:space="0" w:color="auto"/>
              <w:bottom w:val="single" w:sz="4" w:space="0" w:color="auto"/>
              <w:right w:val="single" w:sz="4" w:space="0" w:color="auto"/>
            </w:tcBorders>
            <w:vAlign w:val="center"/>
            <w:hideMark/>
          </w:tcPr>
          <w:p w14:paraId="38F46D46" w14:textId="77777777" w:rsidR="00D81E68" w:rsidRPr="00903174" w:rsidRDefault="00D81E68">
            <w:pPr>
              <w:jc w:val="center"/>
              <w:rPr>
                <w:rFonts w:ascii="Arial Narrow" w:hAnsi="Arial Narrow"/>
                <w:i/>
                <w:sz w:val="20"/>
                <w:szCs w:val="20"/>
              </w:rPr>
            </w:pPr>
            <w:r w:rsidRPr="00903174">
              <w:rPr>
                <w:rFonts w:ascii="Arial Narrow" w:hAnsi="Arial Narrow"/>
                <w:i/>
                <w:sz w:val="20"/>
                <w:szCs w:val="20"/>
              </w:rPr>
              <w:t>0%</w:t>
            </w:r>
          </w:p>
        </w:tc>
        <w:tc>
          <w:tcPr>
            <w:tcW w:w="636" w:type="dxa"/>
            <w:tcBorders>
              <w:top w:val="single" w:sz="4" w:space="0" w:color="auto"/>
              <w:left w:val="single" w:sz="4" w:space="0" w:color="auto"/>
              <w:bottom w:val="single" w:sz="4" w:space="0" w:color="auto"/>
              <w:right w:val="single" w:sz="4" w:space="0" w:color="auto"/>
            </w:tcBorders>
            <w:vAlign w:val="center"/>
            <w:hideMark/>
          </w:tcPr>
          <w:p w14:paraId="1410D6A5"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7.0%</w:t>
            </w:r>
          </w:p>
        </w:tc>
        <w:tc>
          <w:tcPr>
            <w:tcW w:w="636" w:type="dxa"/>
            <w:tcBorders>
              <w:top w:val="single" w:sz="4" w:space="0" w:color="auto"/>
              <w:left w:val="single" w:sz="4" w:space="0" w:color="auto"/>
              <w:bottom w:val="single" w:sz="4" w:space="0" w:color="auto"/>
              <w:right w:val="single" w:sz="4" w:space="0" w:color="auto"/>
            </w:tcBorders>
            <w:vAlign w:val="center"/>
            <w:hideMark/>
          </w:tcPr>
          <w:p w14:paraId="650744F7"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12.0%</w:t>
            </w:r>
          </w:p>
        </w:tc>
        <w:tc>
          <w:tcPr>
            <w:tcW w:w="636" w:type="dxa"/>
            <w:tcBorders>
              <w:top w:val="single" w:sz="4" w:space="0" w:color="auto"/>
              <w:left w:val="single" w:sz="4" w:space="0" w:color="auto"/>
              <w:bottom w:val="single" w:sz="4" w:space="0" w:color="auto"/>
              <w:right w:val="single" w:sz="4" w:space="0" w:color="auto"/>
            </w:tcBorders>
            <w:vAlign w:val="center"/>
            <w:hideMark/>
          </w:tcPr>
          <w:p w14:paraId="62EDAD71"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15.5%</w:t>
            </w:r>
          </w:p>
        </w:tc>
        <w:tc>
          <w:tcPr>
            <w:tcW w:w="636" w:type="dxa"/>
            <w:tcBorders>
              <w:top w:val="single" w:sz="4" w:space="0" w:color="auto"/>
              <w:left w:val="single" w:sz="4" w:space="0" w:color="auto"/>
              <w:bottom w:val="single" w:sz="4" w:space="0" w:color="auto"/>
              <w:right w:val="single" w:sz="4" w:space="0" w:color="auto"/>
            </w:tcBorders>
            <w:vAlign w:val="center"/>
            <w:hideMark/>
          </w:tcPr>
          <w:p w14:paraId="5323AF9A"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17.9%</w:t>
            </w:r>
          </w:p>
        </w:tc>
        <w:tc>
          <w:tcPr>
            <w:tcW w:w="636" w:type="dxa"/>
            <w:tcBorders>
              <w:top w:val="single" w:sz="4" w:space="0" w:color="auto"/>
              <w:left w:val="single" w:sz="4" w:space="0" w:color="auto"/>
              <w:bottom w:val="single" w:sz="4" w:space="0" w:color="auto"/>
              <w:right w:val="single" w:sz="4" w:space="0" w:color="auto"/>
            </w:tcBorders>
            <w:vAlign w:val="center"/>
            <w:hideMark/>
          </w:tcPr>
          <w:p w14:paraId="1B1481D6"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19.4%</w:t>
            </w:r>
          </w:p>
        </w:tc>
        <w:tc>
          <w:tcPr>
            <w:tcW w:w="636" w:type="dxa"/>
            <w:tcBorders>
              <w:top w:val="single" w:sz="4" w:space="0" w:color="auto"/>
              <w:left w:val="single" w:sz="4" w:space="0" w:color="auto"/>
              <w:bottom w:val="single" w:sz="4" w:space="0" w:color="auto"/>
              <w:right w:val="single" w:sz="4" w:space="0" w:color="auto"/>
            </w:tcBorders>
            <w:vAlign w:val="center"/>
            <w:hideMark/>
          </w:tcPr>
          <w:p w14:paraId="7CC5AEE1"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15.4%</w:t>
            </w:r>
          </w:p>
        </w:tc>
        <w:tc>
          <w:tcPr>
            <w:tcW w:w="636" w:type="dxa"/>
            <w:tcBorders>
              <w:top w:val="single" w:sz="4" w:space="0" w:color="auto"/>
              <w:left w:val="single" w:sz="4" w:space="0" w:color="auto"/>
              <w:bottom w:val="single" w:sz="4" w:space="0" w:color="auto"/>
              <w:right w:val="single" w:sz="4" w:space="0" w:color="auto"/>
            </w:tcBorders>
            <w:vAlign w:val="center"/>
            <w:hideMark/>
          </w:tcPr>
          <w:p w14:paraId="46D2DA29"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11.3%</w:t>
            </w:r>
          </w:p>
        </w:tc>
        <w:tc>
          <w:tcPr>
            <w:tcW w:w="636" w:type="dxa"/>
            <w:tcBorders>
              <w:top w:val="single" w:sz="4" w:space="0" w:color="auto"/>
              <w:left w:val="single" w:sz="4" w:space="0" w:color="auto"/>
              <w:bottom w:val="single" w:sz="4" w:space="0" w:color="auto"/>
              <w:right w:val="single" w:sz="4" w:space="0" w:color="auto"/>
            </w:tcBorders>
            <w:hideMark/>
          </w:tcPr>
          <w:p w14:paraId="22082A71"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8.2%</w:t>
            </w:r>
          </w:p>
        </w:tc>
        <w:tc>
          <w:tcPr>
            <w:tcW w:w="636" w:type="dxa"/>
            <w:tcBorders>
              <w:top w:val="single" w:sz="4" w:space="0" w:color="auto"/>
              <w:left w:val="single" w:sz="4" w:space="0" w:color="auto"/>
              <w:bottom w:val="single" w:sz="4" w:space="0" w:color="auto"/>
              <w:right w:val="single" w:sz="4" w:space="0" w:color="auto"/>
            </w:tcBorders>
            <w:hideMark/>
          </w:tcPr>
          <w:p w14:paraId="2E50F8D5"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6.0%</w:t>
            </w:r>
          </w:p>
        </w:tc>
        <w:tc>
          <w:tcPr>
            <w:tcW w:w="636" w:type="dxa"/>
            <w:tcBorders>
              <w:top w:val="single" w:sz="4" w:space="0" w:color="auto"/>
              <w:left w:val="single" w:sz="4" w:space="0" w:color="auto"/>
              <w:bottom w:val="single" w:sz="4" w:space="0" w:color="auto"/>
              <w:right w:val="single" w:sz="4" w:space="0" w:color="auto"/>
            </w:tcBorders>
            <w:hideMark/>
          </w:tcPr>
          <w:p w14:paraId="7366DDAA"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4.2%</w:t>
            </w:r>
          </w:p>
        </w:tc>
        <w:tc>
          <w:tcPr>
            <w:tcW w:w="636" w:type="dxa"/>
            <w:tcBorders>
              <w:top w:val="single" w:sz="4" w:space="0" w:color="auto"/>
              <w:left w:val="single" w:sz="4" w:space="0" w:color="auto"/>
              <w:bottom w:val="single" w:sz="4" w:space="0" w:color="auto"/>
              <w:right w:val="single" w:sz="4" w:space="0" w:color="auto"/>
            </w:tcBorders>
            <w:hideMark/>
          </w:tcPr>
          <w:p w14:paraId="4C52BE3D" w14:textId="77777777" w:rsidR="00D81E68" w:rsidRPr="00903174" w:rsidRDefault="00D81E68">
            <w:pPr>
              <w:jc w:val="center"/>
              <w:rPr>
                <w:rFonts w:ascii="Arial Narrow" w:hAnsi="Arial Narrow" w:cs="Times New Roman"/>
                <w:i/>
                <w:color w:val="000000"/>
                <w:sz w:val="20"/>
                <w:szCs w:val="20"/>
              </w:rPr>
            </w:pPr>
            <w:r w:rsidRPr="00903174">
              <w:rPr>
                <w:rFonts w:ascii="Arial Narrow" w:hAnsi="Arial Narrow" w:cs="Times New Roman"/>
                <w:i/>
                <w:color w:val="000000"/>
                <w:sz w:val="20"/>
                <w:szCs w:val="20"/>
              </w:rPr>
              <w:t>2.3%</w:t>
            </w:r>
          </w:p>
        </w:tc>
      </w:tr>
      <w:tr w:rsidR="00D81E68" w:rsidRPr="00903174" w14:paraId="65157DA1" w14:textId="77777777" w:rsidTr="00D81E68">
        <w:tc>
          <w:tcPr>
            <w:tcW w:w="9017" w:type="dxa"/>
            <w:gridSpan w:val="13"/>
            <w:tcBorders>
              <w:top w:val="single" w:sz="4" w:space="0" w:color="auto"/>
              <w:left w:val="single" w:sz="4" w:space="0" w:color="auto"/>
              <w:bottom w:val="single" w:sz="4" w:space="0" w:color="auto"/>
              <w:right w:val="single" w:sz="4" w:space="0" w:color="auto"/>
            </w:tcBorders>
            <w:vAlign w:val="center"/>
            <w:hideMark/>
          </w:tcPr>
          <w:p w14:paraId="7CF52EE8" w14:textId="77777777" w:rsidR="00D81E68" w:rsidRPr="00903174" w:rsidRDefault="00D81E68">
            <w:pPr>
              <w:jc w:val="left"/>
              <w:rPr>
                <w:rFonts w:ascii="Arial Narrow" w:hAnsi="Arial Narrow" w:cs="Times New Roman"/>
                <w:b/>
                <w:color w:val="000000"/>
                <w:sz w:val="20"/>
                <w:szCs w:val="20"/>
              </w:rPr>
            </w:pPr>
            <w:r w:rsidRPr="00903174">
              <w:rPr>
                <w:rFonts w:ascii="Arial Narrow" w:hAnsi="Arial Narrow"/>
                <w:b/>
                <w:sz w:val="20"/>
                <w:szCs w:val="20"/>
              </w:rPr>
              <w:t xml:space="preserve">Total death </w:t>
            </w:r>
          </w:p>
        </w:tc>
      </w:tr>
      <w:tr w:rsidR="00D81E68" w:rsidRPr="00903174" w14:paraId="54F12067" w14:textId="77777777" w:rsidTr="00D81E68">
        <w:tc>
          <w:tcPr>
            <w:tcW w:w="1232" w:type="dxa"/>
            <w:tcBorders>
              <w:top w:val="single" w:sz="4" w:space="0" w:color="auto"/>
              <w:left w:val="single" w:sz="4" w:space="0" w:color="auto"/>
              <w:bottom w:val="single" w:sz="4" w:space="0" w:color="auto"/>
              <w:right w:val="single" w:sz="4" w:space="0" w:color="auto"/>
            </w:tcBorders>
            <w:vAlign w:val="center"/>
            <w:hideMark/>
          </w:tcPr>
          <w:p w14:paraId="0481735E" w14:textId="77777777" w:rsidR="00D81E68" w:rsidRPr="00903174" w:rsidRDefault="00D81E68">
            <w:pPr>
              <w:jc w:val="left"/>
              <w:rPr>
                <w:rFonts w:ascii="Arial Narrow" w:hAnsi="Arial Narrow"/>
                <w:sz w:val="20"/>
                <w:szCs w:val="20"/>
              </w:rPr>
            </w:pPr>
            <w:r w:rsidRPr="00903174">
              <w:rPr>
                <w:rFonts w:ascii="Arial Narrow" w:hAnsi="Arial Narrow"/>
                <w:sz w:val="20"/>
                <w:szCs w:val="20"/>
              </w:rPr>
              <w:t>Ravulizumab</w:t>
            </w:r>
          </w:p>
        </w:tc>
        <w:tc>
          <w:tcPr>
            <w:tcW w:w="789" w:type="dxa"/>
            <w:tcBorders>
              <w:top w:val="single" w:sz="4" w:space="0" w:color="auto"/>
              <w:left w:val="single" w:sz="4" w:space="0" w:color="auto"/>
              <w:bottom w:val="single" w:sz="4" w:space="0" w:color="auto"/>
              <w:right w:val="single" w:sz="4" w:space="0" w:color="auto"/>
            </w:tcBorders>
            <w:vAlign w:val="center"/>
            <w:hideMark/>
          </w:tcPr>
          <w:p w14:paraId="75338382" w14:textId="77777777" w:rsidR="00D81E68" w:rsidRPr="00903174" w:rsidRDefault="00D81E68">
            <w:pPr>
              <w:jc w:val="center"/>
              <w:rPr>
                <w:rFonts w:ascii="Arial Narrow" w:hAnsi="Arial Narrow"/>
                <w:sz w:val="20"/>
                <w:szCs w:val="20"/>
              </w:rPr>
            </w:pPr>
            <w:r w:rsidRPr="00903174">
              <w:rPr>
                <w:rFonts w:ascii="Arial Narrow" w:hAnsi="Arial Narrow"/>
                <w:sz w:val="20"/>
                <w:szCs w:val="20"/>
              </w:rPr>
              <w:t>0%</w:t>
            </w:r>
          </w:p>
        </w:tc>
        <w:tc>
          <w:tcPr>
            <w:tcW w:w="636" w:type="dxa"/>
            <w:tcBorders>
              <w:top w:val="single" w:sz="4" w:space="0" w:color="auto"/>
              <w:left w:val="single" w:sz="4" w:space="0" w:color="auto"/>
              <w:bottom w:val="single" w:sz="4" w:space="0" w:color="auto"/>
              <w:right w:val="single" w:sz="4" w:space="0" w:color="auto"/>
            </w:tcBorders>
            <w:vAlign w:val="center"/>
            <w:hideMark/>
          </w:tcPr>
          <w:p w14:paraId="5449126E"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4.5%</w:t>
            </w:r>
          </w:p>
        </w:tc>
        <w:tc>
          <w:tcPr>
            <w:tcW w:w="636" w:type="dxa"/>
            <w:tcBorders>
              <w:top w:val="single" w:sz="4" w:space="0" w:color="auto"/>
              <w:left w:val="single" w:sz="4" w:space="0" w:color="auto"/>
              <w:bottom w:val="single" w:sz="4" w:space="0" w:color="auto"/>
              <w:right w:val="single" w:sz="4" w:space="0" w:color="auto"/>
            </w:tcBorders>
            <w:vAlign w:val="center"/>
            <w:hideMark/>
          </w:tcPr>
          <w:p w14:paraId="1254D7B6"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5.4%</w:t>
            </w:r>
          </w:p>
        </w:tc>
        <w:tc>
          <w:tcPr>
            <w:tcW w:w="636" w:type="dxa"/>
            <w:tcBorders>
              <w:top w:val="single" w:sz="4" w:space="0" w:color="auto"/>
              <w:left w:val="single" w:sz="4" w:space="0" w:color="auto"/>
              <w:bottom w:val="single" w:sz="4" w:space="0" w:color="auto"/>
              <w:right w:val="single" w:sz="4" w:space="0" w:color="auto"/>
            </w:tcBorders>
            <w:vAlign w:val="center"/>
            <w:hideMark/>
          </w:tcPr>
          <w:p w14:paraId="5BE41B1C"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6.7%</w:t>
            </w:r>
          </w:p>
        </w:tc>
        <w:tc>
          <w:tcPr>
            <w:tcW w:w="636" w:type="dxa"/>
            <w:tcBorders>
              <w:top w:val="single" w:sz="4" w:space="0" w:color="auto"/>
              <w:left w:val="single" w:sz="4" w:space="0" w:color="auto"/>
              <w:bottom w:val="single" w:sz="4" w:space="0" w:color="auto"/>
              <w:right w:val="single" w:sz="4" w:space="0" w:color="auto"/>
            </w:tcBorders>
            <w:vAlign w:val="center"/>
            <w:hideMark/>
          </w:tcPr>
          <w:p w14:paraId="58F0F1A3"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8.4%</w:t>
            </w:r>
          </w:p>
        </w:tc>
        <w:tc>
          <w:tcPr>
            <w:tcW w:w="636" w:type="dxa"/>
            <w:tcBorders>
              <w:top w:val="single" w:sz="4" w:space="0" w:color="auto"/>
              <w:left w:val="single" w:sz="4" w:space="0" w:color="auto"/>
              <w:bottom w:val="single" w:sz="4" w:space="0" w:color="auto"/>
              <w:right w:val="single" w:sz="4" w:space="0" w:color="auto"/>
            </w:tcBorders>
            <w:vAlign w:val="center"/>
            <w:hideMark/>
          </w:tcPr>
          <w:p w14:paraId="2E72ECB5"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11.1%</w:t>
            </w:r>
          </w:p>
        </w:tc>
        <w:tc>
          <w:tcPr>
            <w:tcW w:w="636" w:type="dxa"/>
            <w:tcBorders>
              <w:top w:val="single" w:sz="4" w:space="0" w:color="auto"/>
              <w:left w:val="single" w:sz="4" w:space="0" w:color="auto"/>
              <w:bottom w:val="single" w:sz="4" w:space="0" w:color="auto"/>
              <w:right w:val="single" w:sz="4" w:space="0" w:color="auto"/>
            </w:tcBorders>
            <w:vAlign w:val="center"/>
            <w:hideMark/>
          </w:tcPr>
          <w:p w14:paraId="09EFA437"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15.3%</w:t>
            </w:r>
          </w:p>
        </w:tc>
        <w:tc>
          <w:tcPr>
            <w:tcW w:w="636" w:type="dxa"/>
            <w:tcBorders>
              <w:top w:val="single" w:sz="4" w:space="0" w:color="auto"/>
              <w:left w:val="single" w:sz="4" w:space="0" w:color="auto"/>
              <w:bottom w:val="single" w:sz="4" w:space="0" w:color="auto"/>
              <w:right w:val="single" w:sz="4" w:space="0" w:color="auto"/>
            </w:tcBorders>
            <w:vAlign w:val="center"/>
            <w:hideMark/>
          </w:tcPr>
          <w:p w14:paraId="497B77E5"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21.2%</w:t>
            </w:r>
          </w:p>
        </w:tc>
        <w:tc>
          <w:tcPr>
            <w:tcW w:w="636" w:type="dxa"/>
            <w:tcBorders>
              <w:top w:val="single" w:sz="4" w:space="0" w:color="auto"/>
              <w:left w:val="single" w:sz="4" w:space="0" w:color="auto"/>
              <w:bottom w:val="single" w:sz="4" w:space="0" w:color="auto"/>
              <w:right w:val="single" w:sz="4" w:space="0" w:color="auto"/>
            </w:tcBorders>
            <w:hideMark/>
          </w:tcPr>
          <w:p w14:paraId="20B36296"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30.1%</w:t>
            </w:r>
          </w:p>
        </w:tc>
        <w:tc>
          <w:tcPr>
            <w:tcW w:w="636" w:type="dxa"/>
            <w:tcBorders>
              <w:top w:val="single" w:sz="4" w:space="0" w:color="auto"/>
              <w:left w:val="single" w:sz="4" w:space="0" w:color="auto"/>
              <w:bottom w:val="single" w:sz="4" w:space="0" w:color="auto"/>
              <w:right w:val="single" w:sz="4" w:space="0" w:color="auto"/>
            </w:tcBorders>
            <w:hideMark/>
          </w:tcPr>
          <w:p w14:paraId="1CD9D888"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42.9%</w:t>
            </w:r>
          </w:p>
        </w:tc>
        <w:tc>
          <w:tcPr>
            <w:tcW w:w="636" w:type="dxa"/>
            <w:tcBorders>
              <w:top w:val="single" w:sz="4" w:space="0" w:color="auto"/>
              <w:left w:val="single" w:sz="4" w:space="0" w:color="auto"/>
              <w:bottom w:val="single" w:sz="4" w:space="0" w:color="auto"/>
              <w:right w:val="single" w:sz="4" w:space="0" w:color="auto"/>
            </w:tcBorders>
            <w:hideMark/>
          </w:tcPr>
          <w:p w14:paraId="6C548A2F"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59.9%</w:t>
            </w:r>
          </w:p>
        </w:tc>
        <w:tc>
          <w:tcPr>
            <w:tcW w:w="636" w:type="dxa"/>
            <w:tcBorders>
              <w:top w:val="single" w:sz="4" w:space="0" w:color="auto"/>
              <w:left w:val="single" w:sz="4" w:space="0" w:color="auto"/>
              <w:bottom w:val="single" w:sz="4" w:space="0" w:color="auto"/>
              <w:right w:val="single" w:sz="4" w:space="0" w:color="auto"/>
            </w:tcBorders>
            <w:hideMark/>
          </w:tcPr>
          <w:p w14:paraId="0246106F"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78.4%</w:t>
            </w:r>
          </w:p>
        </w:tc>
      </w:tr>
      <w:tr w:rsidR="00D81E68" w:rsidRPr="00903174" w14:paraId="51B1CCB8" w14:textId="77777777" w:rsidTr="00D81E68">
        <w:tc>
          <w:tcPr>
            <w:tcW w:w="1232" w:type="dxa"/>
            <w:tcBorders>
              <w:top w:val="single" w:sz="4" w:space="0" w:color="auto"/>
              <w:left w:val="single" w:sz="4" w:space="0" w:color="auto"/>
              <w:bottom w:val="single" w:sz="4" w:space="0" w:color="auto"/>
              <w:right w:val="single" w:sz="4" w:space="0" w:color="auto"/>
            </w:tcBorders>
            <w:vAlign w:val="center"/>
            <w:hideMark/>
          </w:tcPr>
          <w:p w14:paraId="41750475" w14:textId="77777777" w:rsidR="00D81E68" w:rsidRPr="00903174" w:rsidRDefault="00D81E68">
            <w:pPr>
              <w:jc w:val="left"/>
              <w:rPr>
                <w:rFonts w:ascii="Arial Narrow" w:hAnsi="Arial Narrow"/>
                <w:sz w:val="20"/>
                <w:szCs w:val="20"/>
              </w:rPr>
            </w:pPr>
            <w:r w:rsidRPr="00903174">
              <w:rPr>
                <w:rFonts w:ascii="Arial Narrow" w:hAnsi="Arial Narrow"/>
                <w:sz w:val="20"/>
                <w:szCs w:val="20"/>
              </w:rPr>
              <w:t>BSC</w:t>
            </w:r>
          </w:p>
        </w:tc>
        <w:tc>
          <w:tcPr>
            <w:tcW w:w="789" w:type="dxa"/>
            <w:tcBorders>
              <w:top w:val="single" w:sz="4" w:space="0" w:color="auto"/>
              <w:left w:val="single" w:sz="4" w:space="0" w:color="auto"/>
              <w:bottom w:val="single" w:sz="4" w:space="0" w:color="auto"/>
              <w:right w:val="single" w:sz="4" w:space="0" w:color="auto"/>
            </w:tcBorders>
            <w:vAlign w:val="center"/>
            <w:hideMark/>
          </w:tcPr>
          <w:p w14:paraId="4138E2B5" w14:textId="77777777" w:rsidR="00D81E68" w:rsidRPr="00903174" w:rsidRDefault="00D81E68">
            <w:pPr>
              <w:jc w:val="center"/>
              <w:rPr>
                <w:rFonts w:ascii="Arial Narrow" w:hAnsi="Arial Narrow"/>
                <w:sz w:val="20"/>
                <w:szCs w:val="20"/>
              </w:rPr>
            </w:pPr>
            <w:r w:rsidRPr="00903174">
              <w:rPr>
                <w:rFonts w:ascii="Arial Narrow" w:hAnsi="Arial Narrow"/>
                <w:sz w:val="20"/>
                <w:szCs w:val="20"/>
              </w:rPr>
              <w:t>0%</w:t>
            </w:r>
          </w:p>
        </w:tc>
        <w:tc>
          <w:tcPr>
            <w:tcW w:w="636" w:type="dxa"/>
            <w:tcBorders>
              <w:top w:val="single" w:sz="4" w:space="0" w:color="auto"/>
              <w:left w:val="single" w:sz="4" w:space="0" w:color="auto"/>
              <w:bottom w:val="single" w:sz="4" w:space="0" w:color="auto"/>
              <w:right w:val="single" w:sz="4" w:space="0" w:color="auto"/>
            </w:tcBorders>
            <w:vAlign w:val="center"/>
            <w:hideMark/>
          </w:tcPr>
          <w:p w14:paraId="3E5E0A4D"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26.8%</w:t>
            </w:r>
          </w:p>
        </w:tc>
        <w:tc>
          <w:tcPr>
            <w:tcW w:w="636" w:type="dxa"/>
            <w:tcBorders>
              <w:top w:val="single" w:sz="4" w:space="0" w:color="auto"/>
              <w:left w:val="single" w:sz="4" w:space="0" w:color="auto"/>
              <w:bottom w:val="single" w:sz="4" w:space="0" w:color="auto"/>
              <w:right w:val="single" w:sz="4" w:space="0" w:color="auto"/>
            </w:tcBorders>
            <w:vAlign w:val="center"/>
            <w:hideMark/>
          </w:tcPr>
          <w:p w14:paraId="38BE0FEE"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46.4%</w:t>
            </w:r>
          </w:p>
        </w:tc>
        <w:tc>
          <w:tcPr>
            <w:tcW w:w="636" w:type="dxa"/>
            <w:tcBorders>
              <w:top w:val="single" w:sz="4" w:space="0" w:color="auto"/>
              <w:left w:val="single" w:sz="4" w:space="0" w:color="auto"/>
              <w:bottom w:val="single" w:sz="4" w:space="0" w:color="auto"/>
              <w:right w:val="single" w:sz="4" w:space="0" w:color="auto"/>
            </w:tcBorders>
            <w:vAlign w:val="center"/>
            <w:hideMark/>
          </w:tcPr>
          <w:p w14:paraId="6E75DCC6"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60.8%</w:t>
            </w:r>
          </w:p>
        </w:tc>
        <w:tc>
          <w:tcPr>
            <w:tcW w:w="636" w:type="dxa"/>
            <w:tcBorders>
              <w:top w:val="single" w:sz="4" w:space="0" w:color="auto"/>
              <w:left w:val="single" w:sz="4" w:space="0" w:color="auto"/>
              <w:bottom w:val="single" w:sz="4" w:space="0" w:color="auto"/>
              <w:right w:val="single" w:sz="4" w:space="0" w:color="auto"/>
            </w:tcBorders>
            <w:vAlign w:val="center"/>
            <w:hideMark/>
          </w:tcPr>
          <w:p w14:paraId="3AA3846D"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71.3%</w:t>
            </w:r>
          </w:p>
        </w:tc>
        <w:tc>
          <w:tcPr>
            <w:tcW w:w="636" w:type="dxa"/>
            <w:tcBorders>
              <w:top w:val="single" w:sz="4" w:space="0" w:color="auto"/>
              <w:left w:val="single" w:sz="4" w:space="0" w:color="auto"/>
              <w:bottom w:val="single" w:sz="4" w:space="0" w:color="auto"/>
              <w:right w:val="single" w:sz="4" w:space="0" w:color="auto"/>
            </w:tcBorders>
            <w:vAlign w:val="center"/>
            <w:hideMark/>
          </w:tcPr>
          <w:p w14:paraId="2E1C240A"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79.0%</w:t>
            </w:r>
          </w:p>
        </w:tc>
        <w:tc>
          <w:tcPr>
            <w:tcW w:w="636" w:type="dxa"/>
            <w:tcBorders>
              <w:top w:val="single" w:sz="4" w:space="0" w:color="auto"/>
              <w:left w:val="single" w:sz="4" w:space="0" w:color="auto"/>
              <w:bottom w:val="single" w:sz="4" w:space="0" w:color="auto"/>
              <w:right w:val="single" w:sz="4" w:space="0" w:color="auto"/>
            </w:tcBorders>
            <w:vAlign w:val="center"/>
            <w:hideMark/>
          </w:tcPr>
          <w:p w14:paraId="089F5054"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84.6%</w:t>
            </w:r>
          </w:p>
        </w:tc>
        <w:tc>
          <w:tcPr>
            <w:tcW w:w="636" w:type="dxa"/>
            <w:tcBorders>
              <w:top w:val="single" w:sz="4" w:space="0" w:color="auto"/>
              <w:left w:val="single" w:sz="4" w:space="0" w:color="auto"/>
              <w:bottom w:val="single" w:sz="4" w:space="0" w:color="auto"/>
              <w:right w:val="single" w:sz="4" w:space="0" w:color="auto"/>
            </w:tcBorders>
            <w:vAlign w:val="center"/>
            <w:hideMark/>
          </w:tcPr>
          <w:p w14:paraId="62D95EEF"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88.8%</w:t>
            </w:r>
          </w:p>
        </w:tc>
        <w:tc>
          <w:tcPr>
            <w:tcW w:w="636" w:type="dxa"/>
            <w:tcBorders>
              <w:top w:val="single" w:sz="4" w:space="0" w:color="auto"/>
              <w:left w:val="single" w:sz="4" w:space="0" w:color="auto"/>
              <w:bottom w:val="single" w:sz="4" w:space="0" w:color="auto"/>
              <w:right w:val="single" w:sz="4" w:space="0" w:color="auto"/>
            </w:tcBorders>
            <w:hideMark/>
          </w:tcPr>
          <w:p w14:paraId="481BEE69"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91.8%</w:t>
            </w:r>
          </w:p>
        </w:tc>
        <w:tc>
          <w:tcPr>
            <w:tcW w:w="636" w:type="dxa"/>
            <w:tcBorders>
              <w:top w:val="single" w:sz="4" w:space="0" w:color="auto"/>
              <w:left w:val="single" w:sz="4" w:space="0" w:color="auto"/>
              <w:bottom w:val="single" w:sz="4" w:space="0" w:color="auto"/>
              <w:right w:val="single" w:sz="4" w:space="0" w:color="auto"/>
            </w:tcBorders>
            <w:hideMark/>
          </w:tcPr>
          <w:p w14:paraId="72960816"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94.0%</w:t>
            </w:r>
          </w:p>
        </w:tc>
        <w:tc>
          <w:tcPr>
            <w:tcW w:w="636" w:type="dxa"/>
            <w:tcBorders>
              <w:top w:val="single" w:sz="4" w:space="0" w:color="auto"/>
              <w:left w:val="single" w:sz="4" w:space="0" w:color="auto"/>
              <w:bottom w:val="single" w:sz="4" w:space="0" w:color="auto"/>
              <w:right w:val="single" w:sz="4" w:space="0" w:color="auto"/>
            </w:tcBorders>
            <w:hideMark/>
          </w:tcPr>
          <w:p w14:paraId="00C11AF3"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95.8%</w:t>
            </w:r>
          </w:p>
        </w:tc>
        <w:tc>
          <w:tcPr>
            <w:tcW w:w="636" w:type="dxa"/>
            <w:tcBorders>
              <w:top w:val="single" w:sz="4" w:space="0" w:color="auto"/>
              <w:left w:val="single" w:sz="4" w:space="0" w:color="auto"/>
              <w:bottom w:val="single" w:sz="4" w:space="0" w:color="auto"/>
              <w:right w:val="single" w:sz="4" w:space="0" w:color="auto"/>
            </w:tcBorders>
            <w:hideMark/>
          </w:tcPr>
          <w:p w14:paraId="0B337F92" w14:textId="77777777" w:rsidR="00D81E68" w:rsidRPr="00903174" w:rsidRDefault="00D81E68">
            <w:pPr>
              <w:jc w:val="center"/>
              <w:rPr>
                <w:rFonts w:ascii="Arial Narrow" w:hAnsi="Arial Narrow" w:cs="Times New Roman"/>
                <w:color w:val="000000"/>
                <w:sz w:val="20"/>
                <w:szCs w:val="20"/>
              </w:rPr>
            </w:pPr>
            <w:r w:rsidRPr="00903174">
              <w:rPr>
                <w:rFonts w:ascii="Arial Narrow" w:hAnsi="Arial Narrow" w:cs="Times New Roman"/>
                <w:color w:val="000000"/>
                <w:sz w:val="20"/>
                <w:szCs w:val="20"/>
              </w:rPr>
              <w:t>97.7%</w:t>
            </w:r>
          </w:p>
        </w:tc>
      </w:tr>
    </w:tbl>
    <w:p w14:paraId="2D079B87" w14:textId="77777777" w:rsidR="00D81E68" w:rsidRPr="00903174" w:rsidRDefault="00D81E68" w:rsidP="00D81E68">
      <w:pPr>
        <w:pStyle w:val="TableFooter"/>
      </w:pPr>
      <w:r w:rsidRPr="00903174">
        <w:t>Source: ‘Attachment 6B. Ultomiris vs BSC for PNH CUA – Excel’ of the submission’</w:t>
      </w:r>
    </w:p>
    <w:p w14:paraId="17E662C3" w14:textId="77777777" w:rsidR="00D81E68" w:rsidRPr="00903174" w:rsidRDefault="00D81E68" w:rsidP="00D81E68">
      <w:pPr>
        <w:pStyle w:val="TableFigureFooter"/>
        <w:rPr>
          <w:i/>
        </w:rPr>
      </w:pPr>
      <w:r w:rsidRPr="00903174">
        <w:rPr>
          <w:i/>
        </w:rPr>
        <w:t>Italicised estimates were calculated during the evaluation with the inclusion of a correction for deaths</w:t>
      </w:r>
    </w:p>
    <w:p w14:paraId="7C6788B6" w14:textId="77777777" w:rsidR="00D81E68" w:rsidRPr="00903174" w:rsidRDefault="00D81E68" w:rsidP="00415038">
      <w:pPr>
        <w:pStyle w:val="ExecSumBodyText"/>
        <w:numPr>
          <w:ilvl w:val="1"/>
          <w:numId w:val="1"/>
        </w:numPr>
        <w:rPr>
          <w:i/>
        </w:rPr>
      </w:pPr>
      <w:r w:rsidRPr="00903174">
        <w:t>The estimates indicate a rapid separation between arms in terms of survival from the start of the model to approximately 35 years in the model, after which the curves begin to converge. Beyond 5 years in the model, patients in the ravulizumab arm can only die due to age-adjusted mortality whereas patients in the BSC arm experience an acceleration in mortality, with almost no patients remaining in the alive with PNH health state by 25 years</w:t>
      </w:r>
      <w:r w:rsidRPr="00903174">
        <w:rPr>
          <w:i/>
        </w:rPr>
        <w:t xml:space="preserve">. </w:t>
      </w:r>
    </w:p>
    <w:p w14:paraId="2AF49EF6" w14:textId="77777777" w:rsidR="00D81E68" w:rsidRPr="00903174" w:rsidRDefault="00D81E68" w:rsidP="00415038">
      <w:pPr>
        <w:pStyle w:val="ExecSumBodyText"/>
        <w:numPr>
          <w:ilvl w:val="1"/>
          <w:numId w:val="1"/>
        </w:numPr>
        <w:rPr>
          <w:i/>
        </w:rPr>
      </w:pPr>
      <w:r w:rsidRPr="00903174">
        <w:t xml:space="preserve">The proportion of patients who transitioned to the remission state (and remain there or die of background mortality) was substantial. At 25 years in the model, almost all </w:t>
      </w:r>
      <w:r w:rsidRPr="00903174">
        <w:lastRenderedPageBreak/>
        <w:t>surviving BSC patients were in this state and there were more surviving ravulizumab patients in this state at 35 years</w:t>
      </w:r>
      <w:r w:rsidRPr="00903174">
        <w:rPr>
          <w:i/>
        </w:rPr>
        <w:t xml:space="preserve">. </w:t>
      </w:r>
    </w:p>
    <w:p w14:paraId="05830C20" w14:textId="77777777" w:rsidR="00FD153A" w:rsidRPr="00903174" w:rsidRDefault="00D81E68" w:rsidP="00AD6C4A">
      <w:pPr>
        <w:pStyle w:val="ExecSumBodyText"/>
        <w:numPr>
          <w:ilvl w:val="1"/>
          <w:numId w:val="1"/>
        </w:numPr>
        <w:rPr>
          <w:i/>
        </w:rPr>
      </w:pPr>
      <w:r w:rsidRPr="00903174">
        <w:t>The</w:t>
      </w:r>
      <w:r w:rsidR="00436C60" w:rsidRPr="00903174">
        <w:t xml:space="preserve"> ESC</w:t>
      </w:r>
      <w:r w:rsidR="00436C60" w:rsidRPr="00903174">
        <w:rPr>
          <w:i/>
        </w:rPr>
        <w:t xml:space="preserve"> </w:t>
      </w:r>
      <w:r w:rsidR="00436C60" w:rsidRPr="00903174">
        <w:t>noted the</w:t>
      </w:r>
      <w:r w:rsidRPr="00903174">
        <w:t xml:space="preserve"> submission also presented a comparison of modelled survival estimates with other estimates reported in the literature (Figure </w:t>
      </w:r>
      <w:r w:rsidR="00436C60" w:rsidRPr="00903174">
        <w:t>5</w:t>
      </w:r>
      <w:r w:rsidRPr="00903174">
        <w:t xml:space="preserve">). </w:t>
      </w:r>
    </w:p>
    <w:p w14:paraId="0F74E96A" w14:textId="77777777" w:rsidR="00FD153A" w:rsidRPr="00903174" w:rsidRDefault="00FD153A" w:rsidP="001F6554">
      <w:pPr>
        <w:pStyle w:val="TableHeading"/>
        <w:keepLines/>
        <w:spacing w:after="0"/>
      </w:pPr>
      <w:r w:rsidRPr="00903174">
        <w:t>Figure 5: Overall survival modelled in the CUA, compared to published estimates</w:t>
      </w:r>
    </w:p>
    <w:p w14:paraId="132B4D6B" w14:textId="77777777" w:rsidR="00FD153A" w:rsidRPr="00903174" w:rsidRDefault="00FD153A" w:rsidP="001F6554">
      <w:pPr>
        <w:keepNext/>
      </w:pPr>
      <w:r w:rsidRPr="00903174">
        <w:rPr>
          <w:noProof/>
        </w:rPr>
        <w:drawing>
          <wp:anchor distT="0" distB="0" distL="114300" distR="114300" simplePos="0" relativeHeight="251661312" behindDoc="0" locked="0" layoutInCell="1" allowOverlap="1" wp14:anchorId="717FC5CE" wp14:editId="4DD45331">
            <wp:simplePos x="0" y="0"/>
            <wp:positionH relativeFrom="column">
              <wp:posOffset>2968625</wp:posOffset>
            </wp:positionH>
            <wp:positionV relativeFrom="paragraph">
              <wp:posOffset>2358390</wp:posOffset>
            </wp:positionV>
            <wp:extent cx="1574800" cy="755015"/>
            <wp:effectExtent l="0" t="0" r="635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4800" cy="755015"/>
                    </a:xfrm>
                    <a:prstGeom prst="rect">
                      <a:avLst/>
                    </a:prstGeom>
                    <a:noFill/>
                  </pic:spPr>
                </pic:pic>
              </a:graphicData>
            </a:graphic>
            <wp14:sizeRelH relativeFrom="page">
              <wp14:pctWidth>0</wp14:pctWidth>
            </wp14:sizeRelH>
            <wp14:sizeRelV relativeFrom="page">
              <wp14:pctHeight>0</wp14:pctHeight>
            </wp14:sizeRelV>
          </wp:anchor>
        </w:drawing>
      </w:r>
      <w:r w:rsidR="001F6554" w:rsidRPr="00903174">
        <w:rPr>
          <w:noProof/>
        </w:rPr>
        <w:drawing>
          <wp:inline distT="0" distB="0" distL="0" distR="0" wp14:anchorId="6588533E" wp14:editId="39EE6690">
            <wp:extent cx="5528393" cy="438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9966" cy="4382747"/>
                    </a:xfrm>
                    <a:prstGeom prst="rect">
                      <a:avLst/>
                    </a:prstGeom>
                    <a:noFill/>
                    <a:ln>
                      <a:noFill/>
                    </a:ln>
                  </pic:spPr>
                </pic:pic>
              </a:graphicData>
            </a:graphic>
          </wp:inline>
        </w:drawing>
      </w:r>
    </w:p>
    <w:p w14:paraId="7F45C767" w14:textId="77777777" w:rsidR="00FD153A" w:rsidRPr="00903174" w:rsidRDefault="001F6554" w:rsidP="001F6554">
      <w:pPr>
        <w:keepNext/>
      </w:pPr>
      <w:r w:rsidRPr="00903174">
        <w:rPr>
          <w:noProof/>
        </w:rPr>
        <w:drawing>
          <wp:inline distT="0" distB="0" distL="0" distR="0" wp14:anchorId="09E17184" wp14:editId="28CC8835">
            <wp:extent cx="5732145" cy="856965"/>
            <wp:effectExtent l="0" t="0" r="190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856965"/>
                    </a:xfrm>
                    <a:prstGeom prst="rect">
                      <a:avLst/>
                    </a:prstGeom>
                    <a:noFill/>
                    <a:ln>
                      <a:noFill/>
                    </a:ln>
                  </pic:spPr>
                </pic:pic>
              </a:graphicData>
            </a:graphic>
          </wp:inline>
        </w:drawing>
      </w:r>
    </w:p>
    <w:p w14:paraId="32FFA9D6" w14:textId="77777777" w:rsidR="00FD153A" w:rsidRPr="00903174" w:rsidRDefault="00FD153A" w:rsidP="001F6554">
      <w:pPr>
        <w:pStyle w:val="TableFooter"/>
        <w:keepNext/>
        <w:spacing w:after="120"/>
      </w:pPr>
      <w:r w:rsidRPr="00903174">
        <w:t>Source: Figure 62, p 244 of the submission</w:t>
      </w:r>
    </w:p>
    <w:p w14:paraId="1523547B" w14:textId="77777777" w:rsidR="00D81E68" w:rsidRPr="00903174" w:rsidRDefault="00D81E68" w:rsidP="00EF2DC9">
      <w:pPr>
        <w:pStyle w:val="ExecSumBodyText"/>
        <w:numPr>
          <w:ilvl w:val="1"/>
          <w:numId w:val="1"/>
        </w:numPr>
      </w:pPr>
      <w:r w:rsidRPr="00903174">
        <w:t>The submission noted that modelled survival for BSC did not fit well with published survival estimates but suggested that the base case extrapolation was representative of long term survival</w:t>
      </w:r>
      <w:r w:rsidRPr="00903174">
        <w:rPr>
          <w:i/>
        </w:rPr>
        <w:t xml:space="preserve">. </w:t>
      </w:r>
      <w:r w:rsidR="001F3E86" w:rsidRPr="00903174">
        <w:t xml:space="preserve">The ESC considered this </w:t>
      </w:r>
      <w:r w:rsidRPr="00903174">
        <w:t xml:space="preserve">claim was inadequately justified. </w:t>
      </w:r>
      <w:r w:rsidR="00AD6C4A" w:rsidRPr="00903174">
        <w:t>The ESC noted the p</w:t>
      </w:r>
      <w:r w:rsidRPr="00903174">
        <w:t>ublished estimates suggest a wide range in survival rates.</w:t>
      </w:r>
      <w:r w:rsidR="00AD6C4A" w:rsidRPr="00903174">
        <w:t xml:space="preserve"> The ESC considered the BSC arm could be significantly closer to the modelled survival of eculizumab and that the most optimistic function</w:t>
      </w:r>
      <w:r w:rsidR="001F3E86" w:rsidRPr="00903174">
        <w:t>s</w:t>
      </w:r>
      <w:r w:rsidR="00AD6C4A" w:rsidRPr="00903174">
        <w:t xml:space="preserve"> w</w:t>
      </w:r>
      <w:r w:rsidR="001F3E86" w:rsidRPr="00903174">
        <w:t>ere</w:t>
      </w:r>
      <w:r w:rsidR="00AD6C4A" w:rsidRPr="00903174">
        <w:t xml:space="preserve"> selected</w:t>
      </w:r>
      <w:r w:rsidR="004354A6" w:rsidRPr="00903174">
        <w:t xml:space="preserve"> and then adjusted for ravulizumab to fit mortality of the general population</w:t>
      </w:r>
      <w:r w:rsidR="00AD6C4A" w:rsidRPr="00903174">
        <w:t>, giving</w:t>
      </w:r>
      <w:r w:rsidR="001F3E86" w:rsidRPr="00903174">
        <w:t xml:space="preserve"> the</w:t>
      </w:r>
      <w:r w:rsidR="00AD6C4A" w:rsidRPr="00903174">
        <w:t xml:space="preserve"> largest difference between the two. </w:t>
      </w:r>
    </w:p>
    <w:p w14:paraId="076CAF14" w14:textId="77777777" w:rsidR="00D81E68" w:rsidRPr="00903174" w:rsidRDefault="00D81E68" w:rsidP="00415038">
      <w:pPr>
        <w:pStyle w:val="ExecSumBodyText"/>
        <w:numPr>
          <w:ilvl w:val="1"/>
          <w:numId w:val="1"/>
        </w:numPr>
      </w:pPr>
      <w:r w:rsidRPr="00903174">
        <w:lastRenderedPageBreak/>
        <w:t>The submission claimed that the survival of eculizumab-treated patients are similar to that of the general population. Published data and an ad-hoc analysis using Australian patients in the International PNH registry (source not provided, collected in 2019) suggest relatively high rates of survival in treated patients. However, the follow-up durations of these studies were relatively short given the median age of patients at diagnosis, and a lack of useful comparative data means that it is difficult to determine the magnitude of any survival benefit for eculizumab.</w:t>
      </w:r>
    </w:p>
    <w:p w14:paraId="6F85552D" w14:textId="77777777" w:rsidR="00436C60" w:rsidRPr="00903174" w:rsidRDefault="00436C60" w:rsidP="00E45C77">
      <w:pPr>
        <w:pStyle w:val="ExecSumBodyText"/>
        <w:numPr>
          <w:ilvl w:val="1"/>
          <w:numId w:val="1"/>
        </w:numPr>
        <w:rPr>
          <w:szCs w:val="22"/>
        </w:rPr>
      </w:pPr>
      <w:r w:rsidRPr="00903174">
        <w:rPr>
          <w:szCs w:val="22"/>
        </w:rPr>
        <w:t>The ESC considered the magnitude of survival benefit attributed to ravulizumab (based on eculizumab as a proxy) versus BSC in the model was optimistic and implausible. The ESC consi</w:t>
      </w:r>
      <w:r w:rsidR="004354A6" w:rsidRPr="00903174">
        <w:rPr>
          <w:szCs w:val="22"/>
        </w:rPr>
        <w:t>d</w:t>
      </w:r>
      <w:r w:rsidRPr="00903174">
        <w:rPr>
          <w:szCs w:val="22"/>
        </w:rPr>
        <w:t xml:space="preserve">ered the applicability of the Kelly 2011 retrospective study to represent contemporary BSC was unclear, and likely underestimated survival in the BSC arm. </w:t>
      </w:r>
    </w:p>
    <w:p w14:paraId="6921810D" w14:textId="77777777" w:rsidR="00D81E68" w:rsidRPr="00903174" w:rsidRDefault="00D81E68" w:rsidP="00415038">
      <w:pPr>
        <w:pStyle w:val="ExecSumBodyText"/>
        <w:numPr>
          <w:ilvl w:val="1"/>
          <w:numId w:val="1"/>
        </w:numPr>
      </w:pPr>
      <w:r w:rsidRPr="00903174">
        <w:t>The results of sensitivity analyses presented in the submission and conducted during the evaluation are summarised in following table.</w:t>
      </w:r>
    </w:p>
    <w:p w14:paraId="4560CA88" w14:textId="77777777" w:rsidR="00D81E68" w:rsidRPr="00903174" w:rsidRDefault="00D81E68" w:rsidP="006C1447">
      <w:pPr>
        <w:pStyle w:val="TableFigureCaption"/>
      </w:pPr>
      <w:r w:rsidRPr="00903174">
        <w:t xml:space="preserve">Table </w:t>
      </w:r>
      <w:r w:rsidR="001D6AD7" w:rsidRPr="00903174">
        <w:t>2</w:t>
      </w:r>
      <w:r w:rsidR="0075618C" w:rsidRPr="00903174">
        <w:t>2</w:t>
      </w:r>
      <w:r w:rsidRPr="00903174">
        <w:t>: Results of sensitivity analyses</w:t>
      </w: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559"/>
        <w:gridCol w:w="1701"/>
        <w:gridCol w:w="1502"/>
      </w:tblGrid>
      <w:tr w:rsidR="00D81E68" w:rsidRPr="00903174" w14:paraId="5401AE26" w14:textId="77777777" w:rsidTr="00D81E68">
        <w:trPr>
          <w:tblHeader/>
        </w:trPr>
        <w:tc>
          <w:tcPr>
            <w:tcW w:w="4248" w:type="dxa"/>
            <w:tcBorders>
              <w:top w:val="single" w:sz="4" w:space="0" w:color="auto"/>
              <w:left w:val="single" w:sz="4" w:space="0" w:color="auto"/>
              <w:bottom w:val="single" w:sz="4" w:space="0" w:color="auto"/>
              <w:right w:val="single" w:sz="4" w:space="0" w:color="auto"/>
            </w:tcBorders>
            <w:vAlign w:val="center"/>
            <w:hideMark/>
          </w:tcPr>
          <w:p w14:paraId="2D469215" w14:textId="77777777" w:rsidR="00D81E68" w:rsidRPr="00903174" w:rsidRDefault="00D81E68" w:rsidP="006C1447">
            <w:pPr>
              <w:pStyle w:val="Tableheadingrow"/>
              <w:rPr>
                <w:lang w:val="en-AU"/>
              </w:rPr>
            </w:pPr>
            <w:r w:rsidRPr="00903174">
              <w:rPr>
                <w:lang w:val="en-AU"/>
              </w:rPr>
              <w:t>Analyses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5EFED5" w14:textId="77777777" w:rsidR="00D81E68" w:rsidRPr="00903174" w:rsidRDefault="00D81E68" w:rsidP="006C1447">
            <w:pPr>
              <w:pStyle w:val="Tableheadingrow"/>
              <w:jc w:val="center"/>
              <w:rPr>
                <w:lang w:val="en-AU"/>
              </w:rPr>
            </w:pPr>
            <w:r w:rsidRPr="00903174">
              <w:rPr>
                <w:lang w:val="en-AU"/>
              </w:rPr>
              <w:t>Incremental cost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62E4A1" w14:textId="77777777" w:rsidR="00D81E68" w:rsidRPr="00903174" w:rsidRDefault="00D81E68" w:rsidP="006C1447">
            <w:pPr>
              <w:pStyle w:val="Tableheadingrow"/>
              <w:jc w:val="center"/>
              <w:rPr>
                <w:lang w:val="en-AU"/>
              </w:rPr>
            </w:pPr>
            <w:r w:rsidRPr="00903174">
              <w:rPr>
                <w:lang w:val="en-AU"/>
              </w:rPr>
              <w:t>Incremental QALY</w:t>
            </w:r>
          </w:p>
        </w:tc>
        <w:tc>
          <w:tcPr>
            <w:tcW w:w="1502" w:type="dxa"/>
            <w:tcBorders>
              <w:top w:val="single" w:sz="4" w:space="0" w:color="auto"/>
              <w:left w:val="single" w:sz="4" w:space="0" w:color="auto"/>
              <w:bottom w:val="single" w:sz="4" w:space="0" w:color="auto"/>
              <w:right w:val="single" w:sz="4" w:space="0" w:color="auto"/>
            </w:tcBorders>
            <w:vAlign w:val="center"/>
            <w:hideMark/>
          </w:tcPr>
          <w:p w14:paraId="06E9D79F" w14:textId="77777777" w:rsidR="00D81E68" w:rsidRPr="00903174" w:rsidRDefault="00D81E68" w:rsidP="006C1447">
            <w:pPr>
              <w:pStyle w:val="Tableheadingrow"/>
              <w:jc w:val="center"/>
              <w:rPr>
                <w:lang w:val="en-AU"/>
              </w:rPr>
            </w:pPr>
            <w:r w:rsidRPr="00903174">
              <w:rPr>
                <w:lang w:val="en-AU"/>
              </w:rPr>
              <w:t>ICER</w:t>
            </w:r>
          </w:p>
        </w:tc>
      </w:tr>
      <w:tr w:rsidR="00D81E68" w:rsidRPr="00903174" w14:paraId="0FFD819B"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5F82DB45" w14:textId="77777777" w:rsidR="00D81E68" w:rsidRPr="00903174" w:rsidRDefault="00D81E68" w:rsidP="006C1447">
            <w:pPr>
              <w:pStyle w:val="TableText"/>
              <w:rPr>
                <w:b/>
              </w:rPr>
            </w:pPr>
            <w:r w:rsidRPr="00903174">
              <w:rPr>
                <w:b/>
              </w:rPr>
              <w:t>Revised base case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22BC62" w14:textId="77777777" w:rsidR="00D81E68" w:rsidRPr="00DF28C6" w:rsidRDefault="00DF28C6" w:rsidP="006C1447">
            <w:pPr>
              <w:pStyle w:val="TableText"/>
              <w:jc w:val="center"/>
              <w:rPr>
                <w:b/>
                <w:highlight w:val="black"/>
              </w:rPr>
            </w:pPr>
            <w:r>
              <w:rPr>
                <w:b/>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A1DF08" w14:textId="77777777" w:rsidR="00D81E68" w:rsidRPr="00903174" w:rsidRDefault="00D81E68" w:rsidP="006C1447">
            <w:pPr>
              <w:pStyle w:val="TableText"/>
              <w:jc w:val="center"/>
              <w:rPr>
                <w:b/>
              </w:rPr>
            </w:pPr>
            <w:r w:rsidRPr="00903174">
              <w:rPr>
                <w:b/>
              </w:rPr>
              <w:t>8.01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9F6112C" w14:textId="77777777" w:rsidR="00D81E68" w:rsidRPr="00903174" w:rsidRDefault="00D81E68" w:rsidP="006C1447">
            <w:pPr>
              <w:pStyle w:val="TableText"/>
              <w:jc w:val="center"/>
              <w:rPr>
                <w:b/>
              </w:rPr>
            </w:pPr>
            <w:r w:rsidRPr="00903174">
              <w:rPr>
                <w:b/>
              </w:rPr>
              <w:t>$</w:t>
            </w:r>
            <w:r w:rsidR="00DF28C6">
              <w:rPr>
                <w:b/>
                <w:noProof/>
                <w:color w:val="000000"/>
                <w:highlight w:val="black"/>
              </w:rPr>
              <w:t>'''''''''''''''</w:t>
            </w:r>
          </w:p>
        </w:tc>
      </w:tr>
      <w:tr w:rsidR="00D81E68" w:rsidRPr="00903174" w14:paraId="415FB62F" w14:textId="77777777" w:rsidTr="00D81E68">
        <w:tc>
          <w:tcPr>
            <w:tcW w:w="9010" w:type="dxa"/>
            <w:gridSpan w:val="4"/>
            <w:tcBorders>
              <w:top w:val="single" w:sz="4" w:space="0" w:color="auto"/>
              <w:left w:val="single" w:sz="4" w:space="0" w:color="auto"/>
              <w:bottom w:val="single" w:sz="4" w:space="0" w:color="auto"/>
              <w:right w:val="single" w:sz="4" w:space="0" w:color="auto"/>
            </w:tcBorders>
            <w:vAlign w:val="center"/>
            <w:hideMark/>
          </w:tcPr>
          <w:p w14:paraId="0B61C8C4" w14:textId="77777777" w:rsidR="00D81E68" w:rsidRPr="00903174" w:rsidRDefault="00D81E68" w:rsidP="006C1447">
            <w:pPr>
              <w:pStyle w:val="TableText"/>
              <w:rPr>
                <w:b/>
              </w:rPr>
            </w:pPr>
            <w:r w:rsidRPr="00903174">
              <w:rPr>
                <w:b/>
              </w:rPr>
              <w:t>Correction for deaths in BSC arm (revised base case includes correction)</w:t>
            </w:r>
          </w:p>
        </w:tc>
      </w:tr>
      <w:tr w:rsidR="00D81E68" w:rsidRPr="00903174" w14:paraId="485FE1B4"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0FDCFEA5" w14:textId="77777777" w:rsidR="00D81E68" w:rsidRPr="00903174" w:rsidRDefault="00D81E68" w:rsidP="006C1447">
            <w:pPr>
              <w:pStyle w:val="TableText"/>
            </w:pPr>
            <w:r w:rsidRPr="00903174">
              <w:t>Remove correction (base case in submission)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21C40E"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6B04D6" w14:textId="77777777" w:rsidR="00D81E68" w:rsidRPr="00903174" w:rsidRDefault="00D81E68" w:rsidP="006C1447">
            <w:pPr>
              <w:pStyle w:val="TableText"/>
              <w:jc w:val="center"/>
            </w:pPr>
            <w:r w:rsidRPr="00903174">
              <w:t>7.99</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2A53E9C"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5EBF6808" w14:textId="77777777" w:rsidTr="00D81E68">
        <w:tc>
          <w:tcPr>
            <w:tcW w:w="9010" w:type="dxa"/>
            <w:gridSpan w:val="4"/>
            <w:tcBorders>
              <w:top w:val="single" w:sz="4" w:space="0" w:color="auto"/>
              <w:left w:val="single" w:sz="4" w:space="0" w:color="auto"/>
              <w:bottom w:val="single" w:sz="4" w:space="0" w:color="auto"/>
              <w:right w:val="single" w:sz="4" w:space="0" w:color="auto"/>
            </w:tcBorders>
            <w:vAlign w:val="center"/>
            <w:hideMark/>
          </w:tcPr>
          <w:p w14:paraId="21629A1F" w14:textId="77777777" w:rsidR="00D81E68" w:rsidRPr="00903174" w:rsidRDefault="00D81E68" w:rsidP="006C1447">
            <w:pPr>
              <w:pStyle w:val="TableText"/>
            </w:pPr>
            <w:r w:rsidRPr="00903174">
              <w:rPr>
                <w:b/>
              </w:rPr>
              <w:t>Baseline age (base case: 35 years)</w:t>
            </w:r>
          </w:p>
        </w:tc>
      </w:tr>
      <w:tr w:rsidR="00D81E68" w:rsidRPr="00903174" w14:paraId="6CFD2265"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7006F3C3" w14:textId="77777777" w:rsidR="00D81E68" w:rsidRPr="00903174" w:rsidRDefault="00D81E68" w:rsidP="006C1447">
            <w:pPr>
              <w:pStyle w:val="TableText"/>
            </w:pPr>
            <w:r w:rsidRPr="00903174">
              <w:t>41 years (average of median age at diagnosis and treatment initiation from Kelly 2011)</w:t>
            </w:r>
          </w:p>
        </w:tc>
        <w:tc>
          <w:tcPr>
            <w:tcW w:w="1559" w:type="dxa"/>
            <w:tcBorders>
              <w:top w:val="single" w:sz="4" w:space="0" w:color="auto"/>
              <w:left w:val="nil"/>
              <w:bottom w:val="single" w:sz="4" w:space="0" w:color="auto"/>
              <w:right w:val="single" w:sz="4" w:space="0" w:color="auto"/>
            </w:tcBorders>
            <w:vAlign w:val="center"/>
            <w:hideMark/>
          </w:tcPr>
          <w:p w14:paraId="55C27F84" w14:textId="77777777" w:rsidR="00D81E68" w:rsidRPr="00903174" w:rsidRDefault="00D81E68" w:rsidP="006C1447">
            <w:pPr>
              <w:pStyle w:val="TableText"/>
              <w:jc w:val="center"/>
            </w:pPr>
            <w:r w:rsidRPr="00903174">
              <w:rPr>
                <w:rFonts w:cs="Calibri"/>
                <w:color w:val="000000"/>
                <w:szCs w:val="22"/>
              </w:rPr>
              <w:t>$</w:t>
            </w:r>
            <w:r w:rsidR="00DF28C6">
              <w:rPr>
                <w:rFonts w:cs="Calibri"/>
                <w:noProof/>
                <w:color w:val="000000"/>
                <w:szCs w:val="22"/>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2D893" w14:textId="77777777" w:rsidR="00D81E68" w:rsidRPr="00903174" w:rsidRDefault="00D81E68" w:rsidP="006C1447">
            <w:pPr>
              <w:pStyle w:val="TableText"/>
              <w:jc w:val="center"/>
            </w:pPr>
            <w:r w:rsidRPr="00903174">
              <w:rPr>
                <w:rFonts w:cs="Calibri"/>
                <w:color w:val="000000"/>
                <w:szCs w:val="22"/>
              </w:rPr>
              <w:t>7.19</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F5B4F46" w14:textId="77777777" w:rsidR="00D81E68" w:rsidRPr="00903174" w:rsidRDefault="00D81E68" w:rsidP="006C1447">
            <w:pPr>
              <w:pStyle w:val="TableText"/>
              <w:jc w:val="center"/>
            </w:pPr>
            <w:r w:rsidRPr="00903174">
              <w:rPr>
                <w:rFonts w:cs="Calibri"/>
                <w:color w:val="000000"/>
                <w:szCs w:val="22"/>
              </w:rPr>
              <w:t>$</w:t>
            </w:r>
            <w:r w:rsidR="00DF28C6">
              <w:rPr>
                <w:rFonts w:cs="Calibri"/>
                <w:noProof/>
                <w:color w:val="000000"/>
                <w:szCs w:val="22"/>
                <w:highlight w:val="black"/>
              </w:rPr>
              <w:t>''''''''''''''''''''</w:t>
            </w:r>
          </w:p>
        </w:tc>
      </w:tr>
      <w:tr w:rsidR="00D81E68" w:rsidRPr="00903174" w14:paraId="319C7268"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461D612C" w14:textId="77777777" w:rsidR="00D81E68" w:rsidRPr="00903174" w:rsidRDefault="00D81E68" w:rsidP="006C1447">
            <w:pPr>
              <w:pStyle w:val="TableText"/>
            </w:pPr>
            <w:r w:rsidRPr="00903174">
              <w:t>46 years (median age at treatment initiation from Kelly 2011)</w:t>
            </w:r>
          </w:p>
        </w:tc>
        <w:tc>
          <w:tcPr>
            <w:tcW w:w="1559" w:type="dxa"/>
            <w:tcBorders>
              <w:top w:val="single" w:sz="4" w:space="0" w:color="auto"/>
              <w:left w:val="nil"/>
              <w:bottom w:val="single" w:sz="4" w:space="0" w:color="auto"/>
              <w:right w:val="single" w:sz="4" w:space="0" w:color="auto"/>
            </w:tcBorders>
            <w:vAlign w:val="center"/>
            <w:hideMark/>
          </w:tcPr>
          <w:p w14:paraId="70259EC9" w14:textId="77777777" w:rsidR="00D81E68" w:rsidRPr="00903174" w:rsidRDefault="00D81E68" w:rsidP="006C1447">
            <w:pPr>
              <w:pStyle w:val="TableText"/>
              <w:jc w:val="center"/>
            </w:pPr>
            <w:r w:rsidRPr="00903174">
              <w:rPr>
                <w:rFonts w:cs="Calibri"/>
                <w:color w:val="000000"/>
                <w:szCs w:val="22"/>
              </w:rPr>
              <w:t>$</w:t>
            </w:r>
            <w:r w:rsidR="00DF28C6">
              <w:rPr>
                <w:rFonts w:cs="Calibri"/>
                <w:noProof/>
                <w:color w:val="000000"/>
                <w:szCs w:val="22"/>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4981FF" w14:textId="77777777" w:rsidR="00D81E68" w:rsidRPr="00903174" w:rsidRDefault="00D81E68" w:rsidP="006C1447">
            <w:pPr>
              <w:pStyle w:val="TableText"/>
              <w:jc w:val="center"/>
            </w:pPr>
            <w:r w:rsidRPr="00903174">
              <w:rPr>
                <w:rFonts w:cs="Calibri"/>
                <w:color w:val="000000"/>
                <w:szCs w:val="22"/>
              </w:rPr>
              <w:t>6.37</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50D12F1" w14:textId="77777777" w:rsidR="00D81E68" w:rsidRPr="00903174" w:rsidRDefault="00D81E68" w:rsidP="006C1447">
            <w:pPr>
              <w:pStyle w:val="TableText"/>
              <w:jc w:val="center"/>
            </w:pPr>
            <w:r w:rsidRPr="00903174">
              <w:rPr>
                <w:rFonts w:cs="Calibri"/>
                <w:color w:val="000000"/>
                <w:szCs w:val="22"/>
              </w:rPr>
              <w:t>$</w:t>
            </w:r>
            <w:r w:rsidR="00DF28C6">
              <w:rPr>
                <w:rFonts w:cs="Calibri"/>
                <w:noProof/>
                <w:color w:val="000000"/>
                <w:szCs w:val="22"/>
                <w:highlight w:val="black"/>
              </w:rPr>
              <w:t>'''''''''''''''''''</w:t>
            </w:r>
          </w:p>
        </w:tc>
      </w:tr>
      <w:tr w:rsidR="00D81E68" w:rsidRPr="00903174" w14:paraId="2BD63E42" w14:textId="77777777" w:rsidTr="00D81E68">
        <w:tc>
          <w:tcPr>
            <w:tcW w:w="9010" w:type="dxa"/>
            <w:gridSpan w:val="4"/>
            <w:tcBorders>
              <w:top w:val="single" w:sz="4" w:space="0" w:color="auto"/>
              <w:left w:val="single" w:sz="4" w:space="0" w:color="auto"/>
              <w:bottom w:val="single" w:sz="4" w:space="0" w:color="auto"/>
              <w:right w:val="single" w:sz="4" w:space="0" w:color="auto"/>
            </w:tcBorders>
            <w:vAlign w:val="center"/>
            <w:hideMark/>
          </w:tcPr>
          <w:p w14:paraId="59DDC4DD" w14:textId="77777777" w:rsidR="00D81E68" w:rsidRPr="00903174" w:rsidRDefault="00D81E68" w:rsidP="006C1447">
            <w:pPr>
              <w:pStyle w:val="TableText"/>
            </w:pPr>
            <w:r w:rsidRPr="00903174">
              <w:rPr>
                <w:b/>
              </w:rPr>
              <w:t>Time horizon (base case: 55 years)</w:t>
            </w:r>
          </w:p>
        </w:tc>
      </w:tr>
      <w:tr w:rsidR="00D81E68" w:rsidRPr="00903174" w14:paraId="49758DFD"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551F3A00" w14:textId="77777777" w:rsidR="00D81E68" w:rsidRPr="00903174" w:rsidRDefault="00D81E68" w:rsidP="006C1447">
            <w:pPr>
              <w:pStyle w:val="TableText"/>
            </w:pPr>
            <w:r w:rsidRPr="00903174">
              <w:t>5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00EB8A"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58E94C" w14:textId="77777777" w:rsidR="00D81E68" w:rsidRPr="00903174" w:rsidRDefault="00D81E68" w:rsidP="006C1447">
            <w:pPr>
              <w:pStyle w:val="TableText"/>
              <w:jc w:val="center"/>
            </w:pPr>
            <w:r w:rsidRPr="00903174">
              <w:t>1.17</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DFACC1E"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3D896E4C"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3DD50B23" w14:textId="77777777" w:rsidR="00D81E68" w:rsidRPr="00903174" w:rsidRDefault="00D81E68" w:rsidP="006C1447">
            <w:pPr>
              <w:pStyle w:val="TableText"/>
            </w:pPr>
            <w:r w:rsidRPr="00903174">
              <w:t>10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190A98"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B82AA2" w14:textId="77777777" w:rsidR="00D81E68" w:rsidRPr="00903174" w:rsidRDefault="00D81E68" w:rsidP="006C1447">
            <w:pPr>
              <w:pStyle w:val="TableText"/>
              <w:jc w:val="center"/>
            </w:pPr>
            <w:r w:rsidRPr="00903174">
              <w:t>2.55</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C485248"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664919B4"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5C5920CA" w14:textId="77777777" w:rsidR="00D81E68" w:rsidRPr="00903174" w:rsidRDefault="00D81E68" w:rsidP="006C1447">
            <w:pPr>
              <w:pStyle w:val="TableText"/>
            </w:pPr>
            <w:r w:rsidRPr="00903174">
              <w:t>20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4BD4A6"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29DA65" w14:textId="77777777" w:rsidR="00D81E68" w:rsidRPr="00903174" w:rsidRDefault="00D81E68" w:rsidP="006C1447">
            <w:pPr>
              <w:pStyle w:val="TableText"/>
              <w:jc w:val="center"/>
            </w:pPr>
            <w:r w:rsidRPr="00903174">
              <w:t>4.95</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AAC125B"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429FD973"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1D6BF6C5" w14:textId="77777777" w:rsidR="00D81E68" w:rsidRPr="00903174" w:rsidRDefault="00D81E68" w:rsidP="006C1447">
            <w:pPr>
              <w:pStyle w:val="TableText"/>
            </w:pPr>
            <w:r w:rsidRPr="00903174">
              <w:t>35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E69804"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62B0FD" w14:textId="77777777" w:rsidR="00D81E68" w:rsidRPr="00903174" w:rsidRDefault="00D81E68" w:rsidP="006C1447">
            <w:pPr>
              <w:pStyle w:val="TableText"/>
              <w:jc w:val="center"/>
            </w:pPr>
            <w:r w:rsidRPr="00903174">
              <w:t>7.13</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32CA416"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286D43F9" w14:textId="77777777" w:rsidTr="00D81E68">
        <w:tc>
          <w:tcPr>
            <w:tcW w:w="9010" w:type="dxa"/>
            <w:gridSpan w:val="4"/>
            <w:tcBorders>
              <w:top w:val="single" w:sz="4" w:space="0" w:color="auto"/>
              <w:left w:val="single" w:sz="4" w:space="0" w:color="auto"/>
              <w:bottom w:val="single" w:sz="4" w:space="0" w:color="auto"/>
              <w:right w:val="single" w:sz="4" w:space="0" w:color="auto"/>
            </w:tcBorders>
            <w:hideMark/>
          </w:tcPr>
          <w:p w14:paraId="0965FB7B" w14:textId="77777777" w:rsidR="00D81E68" w:rsidRPr="00903174" w:rsidRDefault="00D81E68" w:rsidP="006C1447">
            <w:pPr>
              <w:pStyle w:val="TableText"/>
            </w:pPr>
            <w:r w:rsidRPr="00903174">
              <w:rPr>
                <w:b/>
              </w:rPr>
              <w:t>Parametric extrapolation of survival curves (base case separate models, ravulizumab: Gompertz PH, BSC: exponential AFT)</w:t>
            </w:r>
          </w:p>
        </w:tc>
      </w:tr>
      <w:tr w:rsidR="00D81E68" w:rsidRPr="00903174" w14:paraId="622CACB9" w14:textId="77777777" w:rsidTr="00D81E68">
        <w:tc>
          <w:tcPr>
            <w:tcW w:w="4248" w:type="dxa"/>
            <w:tcBorders>
              <w:top w:val="single" w:sz="4" w:space="0" w:color="auto"/>
              <w:left w:val="single" w:sz="4" w:space="0" w:color="auto"/>
              <w:bottom w:val="single" w:sz="4" w:space="0" w:color="auto"/>
              <w:right w:val="single" w:sz="4" w:space="0" w:color="auto"/>
            </w:tcBorders>
            <w:hideMark/>
          </w:tcPr>
          <w:p w14:paraId="02D57A55" w14:textId="77777777" w:rsidR="00D81E68" w:rsidRPr="00903174" w:rsidRDefault="00D81E68" w:rsidP="006C1447">
            <w:pPr>
              <w:pStyle w:val="TableText"/>
            </w:pPr>
            <w:r w:rsidRPr="00903174">
              <w:t>Most favourable (exponential (AFT) both arms)</w:t>
            </w:r>
          </w:p>
        </w:tc>
        <w:tc>
          <w:tcPr>
            <w:tcW w:w="1559" w:type="dxa"/>
            <w:tcBorders>
              <w:top w:val="single" w:sz="4" w:space="0" w:color="auto"/>
              <w:left w:val="single" w:sz="4" w:space="0" w:color="auto"/>
              <w:bottom w:val="single" w:sz="4" w:space="0" w:color="auto"/>
              <w:right w:val="single" w:sz="4" w:space="0" w:color="auto"/>
            </w:tcBorders>
            <w:hideMark/>
          </w:tcPr>
          <w:p w14:paraId="52C2BE4F"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14:paraId="140BB5B8" w14:textId="77777777" w:rsidR="00D81E68" w:rsidRPr="00903174" w:rsidRDefault="00D81E68" w:rsidP="006C1447">
            <w:pPr>
              <w:pStyle w:val="TableText"/>
              <w:jc w:val="center"/>
            </w:pPr>
            <w:r w:rsidRPr="00903174">
              <w:t>7.19</w:t>
            </w:r>
          </w:p>
        </w:tc>
        <w:tc>
          <w:tcPr>
            <w:tcW w:w="1502" w:type="dxa"/>
            <w:tcBorders>
              <w:top w:val="single" w:sz="4" w:space="0" w:color="auto"/>
              <w:left w:val="single" w:sz="4" w:space="0" w:color="auto"/>
              <w:bottom w:val="single" w:sz="4" w:space="0" w:color="auto"/>
              <w:right w:val="single" w:sz="4" w:space="0" w:color="auto"/>
            </w:tcBorders>
            <w:hideMark/>
          </w:tcPr>
          <w:p w14:paraId="2047163C"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5B70BE10" w14:textId="77777777" w:rsidTr="00D81E68">
        <w:tc>
          <w:tcPr>
            <w:tcW w:w="4248" w:type="dxa"/>
            <w:tcBorders>
              <w:top w:val="single" w:sz="4" w:space="0" w:color="auto"/>
              <w:left w:val="single" w:sz="4" w:space="0" w:color="auto"/>
              <w:bottom w:val="single" w:sz="4" w:space="0" w:color="auto"/>
              <w:right w:val="single" w:sz="4" w:space="0" w:color="auto"/>
            </w:tcBorders>
            <w:hideMark/>
          </w:tcPr>
          <w:p w14:paraId="66EB267F" w14:textId="77777777" w:rsidR="00D81E68" w:rsidRPr="00903174" w:rsidRDefault="00D81E68" w:rsidP="006C1447">
            <w:pPr>
              <w:pStyle w:val="TableText"/>
            </w:pPr>
            <w:r w:rsidRPr="00903174">
              <w:t>Least favourable (Gompertz (PH) both arms)</w:t>
            </w:r>
          </w:p>
        </w:tc>
        <w:tc>
          <w:tcPr>
            <w:tcW w:w="1559" w:type="dxa"/>
            <w:tcBorders>
              <w:top w:val="single" w:sz="4" w:space="0" w:color="auto"/>
              <w:left w:val="single" w:sz="4" w:space="0" w:color="auto"/>
              <w:bottom w:val="single" w:sz="4" w:space="0" w:color="auto"/>
              <w:right w:val="single" w:sz="4" w:space="0" w:color="auto"/>
            </w:tcBorders>
            <w:hideMark/>
          </w:tcPr>
          <w:p w14:paraId="6630C88D"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14:paraId="788AB112" w14:textId="77777777" w:rsidR="00D81E68" w:rsidRPr="00903174" w:rsidRDefault="00D81E68" w:rsidP="006C1447">
            <w:pPr>
              <w:pStyle w:val="TableText"/>
              <w:jc w:val="center"/>
            </w:pPr>
            <w:r w:rsidRPr="00903174">
              <w:t>5.03</w:t>
            </w:r>
          </w:p>
        </w:tc>
        <w:tc>
          <w:tcPr>
            <w:tcW w:w="1502" w:type="dxa"/>
            <w:tcBorders>
              <w:top w:val="single" w:sz="4" w:space="0" w:color="auto"/>
              <w:left w:val="single" w:sz="4" w:space="0" w:color="auto"/>
              <w:bottom w:val="single" w:sz="4" w:space="0" w:color="auto"/>
              <w:right w:val="single" w:sz="4" w:space="0" w:color="auto"/>
            </w:tcBorders>
            <w:hideMark/>
          </w:tcPr>
          <w:p w14:paraId="7BB7F64C"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00E57A87" w14:textId="77777777" w:rsidTr="00D81E68">
        <w:tc>
          <w:tcPr>
            <w:tcW w:w="9010" w:type="dxa"/>
            <w:gridSpan w:val="4"/>
            <w:tcBorders>
              <w:top w:val="single" w:sz="4" w:space="0" w:color="auto"/>
              <w:left w:val="single" w:sz="4" w:space="0" w:color="auto"/>
              <w:bottom w:val="single" w:sz="4" w:space="0" w:color="auto"/>
              <w:right w:val="single" w:sz="4" w:space="0" w:color="auto"/>
            </w:tcBorders>
            <w:hideMark/>
          </w:tcPr>
          <w:p w14:paraId="0F3860C7" w14:textId="77777777" w:rsidR="00D81E68" w:rsidRPr="00903174" w:rsidRDefault="00D81E68" w:rsidP="006C1447">
            <w:pPr>
              <w:pStyle w:val="TableText"/>
              <w:rPr>
                <w:b/>
              </w:rPr>
            </w:pPr>
            <w:r w:rsidRPr="00903174">
              <w:rPr>
                <w:b/>
              </w:rPr>
              <w:t>Parametric extrapolation of BSC survival curve (base case exponential AFT)</w:t>
            </w:r>
          </w:p>
        </w:tc>
      </w:tr>
      <w:tr w:rsidR="00D81E68" w:rsidRPr="00903174" w14:paraId="0662D081" w14:textId="77777777" w:rsidTr="00D81E68">
        <w:tc>
          <w:tcPr>
            <w:tcW w:w="4248" w:type="dxa"/>
            <w:tcBorders>
              <w:top w:val="single" w:sz="4" w:space="0" w:color="auto"/>
              <w:left w:val="single" w:sz="4" w:space="0" w:color="auto"/>
              <w:bottom w:val="single" w:sz="4" w:space="0" w:color="auto"/>
              <w:right w:val="single" w:sz="4" w:space="0" w:color="auto"/>
            </w:tcBorders>
            <w:hideMark/>
          </w:tcPr>
          <w:p w14:paraId="7E9A4469" w14:textId="77777777" w:rsidR="00D81E68" w:rsidRPr="00903174" w:rsidRDefault="00D81E68" w:rsidP="006C1447">
            <w:pPr>
              <w:pStyle w:val="TableText"/>
            </w:pPr>
            <w:r w:rsidRPr="00903174">
              <w:t>Least favourable (log-normal (AFT))</w:t>
            </w:r>
          </w:p>
        </w:tc>
        <w:tc>
          <w:tcPr>
            <w:tcW w:w="1559" w:type="dxa"/>
            <w:tcBorders>
              <w:top w:val="single" w:sz="4" w:space="0" w:color="auto"/>
              <w:left w:val="single" w:sz="4" w:space="0" w:color="auto"/>
              <w:bottom w:val="single" w:sz="4" w:space="0" w:color="auto"/>
              <w:right w:val="single" w:sz="4" w:space="0" w:color="auto"/>
            </w:tcBorders>
            <w:hideMark/>
          </w:tcPr>
          <w:p w14:paraId="7F3F7943"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14:paraId="411BF427" w14:textId="77777777" w:rsidR="00D81E68" w:rsidRPr="00903174" w:rsidRDefault="00D81E68" w:rsidP="006C1447">
            <w:pPr>
              <w:pStyle w:val="TableText"/>
              <w:jc w:val="center"/>
            </w:pPr>
            <w:r w:rsidRPr="00903174">
              <w:t>5.91</w:t>
            </w:r>
          </w:p>
        </w:tc>
        <w:tc>
          <w:tcPr>
            <w:tcW w:w="1502" w:type="dxa"/>
            <w:tcBorders>
              <w:top w:val="single" w:sz="4" w:space="0" w:color="auto"/>
              <w:left w:val="single" w:sz="4" w:space="0" w:color="auto"/>
              <w:bottom w:val="single" w:sz="4" w:space="0" w:color="auto"/>
              <w:right w:val="single" w:sz="4" w:space="0" w:color="auto"/>
            </w:tcBorders>
            <w:hideMark/>
          </w:tcPr>
          <w:p w14:paraId="68725CE6"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475E1CA7" w14:textId="77777777" w:rsidTr="00D81E68">
        <w:tc>
          <w:tcPr>
            <w:tcW w:w="4248" w:type="dxa"/>
            <w:tcBorders>
              <w:top w:val="single" w:sz="4" w:space="0" w:color="auto"/>
              <w:left w:val="single" w:sz="4" w:space="0" w:color="auto"/>
              <w:bottom w:val="single" w:sz="4" w:space="0" w:color="auto"/>
              <w:right w:val="single" w:sz="4" w:space="0" w:color="auto"/>
            </w:tcBorders>
            <w:hideMark/>
          </w:tcPr>
          <w:p w14:paraId="17E59C63" w14:textId="77777777" w:rsidR="00D81E68" w:rsidRPr="00903174" w:rsidRDefault="00D81E68" w:rsidP="006C1447">
            <w:pPr>
              <w:pStyle w:val="TableText"/>
            </w:pPr>
            <w:r w:rsidRPr="00903174">
              <w:t>Most favourable (log-logistic (AFT))</w:t>
            </w:r>
          </w:p>
        </w:tc>
        <w:tc>
          <w:tcPr>
            <w:tcW w:w="1559" w:type="dxa"/>
            <w:tcBorders>
              <w:top w:val="single" w:sz="4" w:space="0" w:color="auto"/>
              <w:left w:val="single" w:sz="4" w:space="0" w:color="auto"/>
              <w:bottom w:val="single" w:sz="4" w:space="0" w:color="auto"/>
              <w:right w:val="single" w:sz="4" w:space="0" w:color="auto"/>
            </w:tcBorders>
            <w:hideMark/>
          </w:tcPr>
          <w:p w14:paraId="5EAD4C4B"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14:paraId="3954BA47" w14:textId="77777777" w:rsidR="00D81E68" w:rsidRPr="00903174" w:rsidRDefault="00D81E68" w:rsidP="006C1447">
            <w:pPr>
              <w:pStyle w:val="TableText"/>
              <w:jc w:val="center"/>
            </w:pPr>
            <w:r w:rsidRPr="00903174">
              <w:t>8.31</w:t>
            </w:r>
          </w:p>
        </w:tc>
        <w:tc>
          <w:tcPr>
            <w:tcW w:w="1502" w:type="dxa"/>
            <w:tcBorders>
              <w:top w:val="single" w:sz="4" w:space="0" w:color="auto"/>
              <w:left w:val="single" w:sz="4" w:space="0" w:color="auto"/>
              <w:bottom w:val="single" w:sz="4" w:space="0" w:color="auto"/>
              <w:right w:val="single" w:sz="4" w:space="0" w:color="auto"/>
            </w:tcBorders>
            <w:hideMark/>
          </w:tcPr>
          <w:p w14:paraId="027B1841"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7C993815" w14:textId="77777777" w:rsidTr="00D81E68">
        <w:tc>
          <w:tcPr>
            <w:tcW w:w="9010" w:type="dxa"/>
            <w:gridSpan w:val="4"/>
            <w:tcBorders>
              <w:top w:val="single" w:sz="4" w:space="0" w:color="auto"/>
              <w:left w:val="single" w:sz="4" w:space="0" w:color="auto"/>
              <w:bottom w:val="single" w:sz="4" w:space="0" w:color="auto"/>
              <w:right w:val="single" w:sz="4" w:space="0" w:color="auto"/>
            </w:tcBorders>
            <w:hideMark/>
          </w:tcPr>
          <w:p w14:paraId="007DFE80" w14:textId="77777777" w:rsidR="00D81E68" w:rsidRPr="00903174" w:rsidRDefault="00D81E68" w:rsidP="006C1447">
            <w:pPr>
              <w:pStyle w:val="TableText"/>
            </w:pPr>
            <w:r w:rsidRPr="00903174">
              <w:rPr>
                <w:b/>
              </w:rPr>
              <w:t>Parametric extrapolation of ravulizumab survival curve (base case Gompertz PH)</w:t>
            </w:r>
          </w:p>
        </w:tc>
      </w:tr>
      <w:tr w:rsidR="00D81E68" w:rsidRPr="00903174" w14:paraId="23844FC4" w14:textId="77777777" w:rsidTr="00D81E68">
        <w:tc>
          <w:tcPr>
            <w:tcW w:w="4248" w:type="dxa"/>
            <w:tcBorders>
              <w:top w:val="single" w:sz="4" w:space="0" w:color="auto"/>
              <w:left w:val="single" w:sz="4" w:space="0" w:color="auto"/>
              <w:bottom w:val="single" w:sz="4" w:space="0" w:color="auto"/>
              <w:right w:val="single" w:sz="4" w:space="0" w:color="auto"/>
            </w:tcBorders>
            <w:hideMark/>
          </w:tcPr>
          <w:p w14:paraId="1D0977B1" w14:textId="77777777" w:rsidR="00D81E68" w:rsidRPr="00903174" w:rsidRDefault="00D81E68" w:rsidP="006C1447">
            <w:pPr>
              <w:pStyle w:val="TableText"/>
            </w:pPr>
            <w:r w:rsidRPr="00903174">
              <w:t>Most favourable (Weibull (AFT))</w:t>
            </w:r>
          </w:p>
        </w:tc>
        <w:tc>
          <w:tcPr>
            <w:tcW w:w="1559" w:type="dxa"/>
            <w:tcBorders>
              <w:top w:val="single" w:sz="4" w:space="0" w:color="auto"/>
              <w:left w:val="single" w:sz="4" w:space="0" w:color="auto"/>
              <w:bottom w:val="single" w:sz="4" w:space="0" w:color="auto"/>
              <w:right w:val="single" w:sz="4" w:space="0" w:color="auto"/>
            </w:tcBorders>
            <w:hideMark/>
          </w:tcPr>
          <w:p w14:paraId="0F417C46"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14:paraId="5E493B08" w14:textId="77777777" w:rsidR="00D81E68" w:rsidRPr="00903174" w:rsidRDefault="00D81E68" w:rsidP="006C1447">
            <w:pPr>
              <w:pStyle w:val="TableText"/>
              <w:jc w:val="center"/>
            </w:pPr>
            <w:r w:rsidRPr="00903174">
              <w:t>7.82</w:t>
            </w:r>
          </w:p>
        </w:tc>
        <w:tc>
          <w:tcPr>
            <w:tcW w:w="1502" w:type="dxa"/>
            <w:tcBorders>
              <w:top w:val="single" w:sz="4" w:space="0" w:color="auto"/>
              <w:left w:val="single" w:sz="4" w:space="0" w:color="auto"/>
              <w:bottom w:val="single" w:sz="4" w:space="0" w:color="auto"/>
              <w:right w:val="single" w:sz="4" w:space="0" w:color="auto"/>
            </w:tcBorders>
            <w:hideMark/>
          </w:tcPr>
          <w:p w14:paraId="3A6A8530"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7735E15B" w14:textId="77777777" w:rsidTr="00D81E68">
        <w:tc>
          <w:tcPr>
            <w:tcW w:w="4248" w:type="dxa"/>
            <w:tcBorders>
              <w:top w:val="single" w:sz="4" w:space="0" w:color="auto"/>
              <w:left w:val="single" w:sz="4" w:space="0" w:color="auto"/>
              <w:bottom w:val="single" w:sz="4" w:space="0" w:color="auto"/>
              <w:right w:val="single" w:sz="4" w:space="0" w:color="auto"/>
            </w:tcBorders>
            <w:hideMark/>
          </w:tcPr>
          <w:p w14:paraId="25F4D710" w14:textId="77777777" w:rsidR="00D81E68" w:rsidRPr="00903174" w:rsidRDefault="00D81E68" w:rsidP="006C1447">
            <w:pPr>
              <w:pStyle w:val="TableText"/>
            </w:pPr>
            <w:r w:rsidRPr="00903174">
              <w:t>Least favourable (log-normal (AFT))</w:t>
            </w:r>
          </w:p>
        </w:tc>
        <w:tc>
          <w:tcPr>
            <w:tcW w:w="1559" w:type="dxa"/>
            <w:tcBorders>
              <w:top w:val="single" w:sz="4" w:space="0" w:color="auto"/>
              <w:left w:val="single" w:sz="4" w:space="0" w:color="auto"/>
              <w:bottom w:val="single" w:sz="4" w:space="0" w:color="auto"/>
              <w:right w:val="single" w:sz="4" w:space="0" w:color="auto"/>
            </w:tcBorders>
            <w:hideMark/>
          </w:tcPr>
          <w:p w14:paraId="3CEB57E1"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hideMark/>
          </w:tcPr>
          <w:p w14:paraId="2B972F20" w14:textId="77777777" w:rsidR="00D81E68" w:rsidRPr="00903174" w:rsidRDefault="00D81E68" w:rsidP="006C1447">
            <w:pPr>
              <w:pStyle w:val="TableText"/>
              <w:jc w:val="center"/>
            </w:pPr>
            <w:r w:rsidRPr="00903174">
              <w:t>7.17</w:t>
            </w:r>
          </w:p>
        </w:tc>
        <w:tc>
          <w:tcPr>
            <w:tcW w:w="1502" w:type="dxa"/>
            <w:tcBorders>
              <w:top w:val="single" w:sz="4" w:space="0" w:color="auto"/>
              <w:left w:val="single" w:sz="4" w:space="0" w:color="auto"/>
              <w:bottom w:val="single" w:sz="4" w:space="0" w:color="auto"/>
              <w:right w:val="single" w:sz="4" w:space="0" w:color="auto"/>
            </w:tcBorders>
            <w:hideMark/>
          </w:tcPr>
          <w:p w14:paraId="61F7B70A"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278BDA39" w14:textId="77777777" w:rsidTr="00D81E68">
        <w:tc>
          <w:tcPr>
            <w:tcW w:w="9010" w:type="dxa"/>
            <w:gridSpan w:val="4"/>
            <w:tcBorders>
              <w:top w:val="single" w:sz="4" w:space="0" w:color="auto"/>
              <w:left w:val="single" w:sz="4" w:space="0" w:color="auto"/>
              <w:bottom w:val="single" w:sz="4" w:space="0" w:color="auto"/>
              <w:right w:val="single" w:sz="4" w:space="0" w:color="auto"/>
            </w:tcBorders>
            <w:vAlign w:val="center"/>
            <w:hideMark/>
          </w:tcPr>
          <w:p w14:paraId="69136162" w14:textId="77777777" w:rsidR="00D81E68" w:rsidRPr="00903174" w:rsidRDefault="00D81E68" w:rsidP="006C1447">
            <w:pPr>
              <w:pStyle w:val="Tableheadingrow"/>
              <w:rPr>
                <w:lang w:val="en-AU"/>
              </w:rPr>
            </w:pPr>
            <w:r w:rsidRPr="00903174">
              <w:rPr>
                <w:lang w:val="en-AU"/>
              </w:rPr>
              <w:t>Spontaneous remission transition probability (base case 0.0158)</w:t>
            </w:r>
          </w:p>
        </w:tc>
      </w:tr>
      <w:tr w:rsidR="00D81E68" w:rsidRPr="00903174" w14:paraId="5AC0A6EB"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3B3F8C95" w14:textId="77777777" w:rsidR="00D81E68" w:rsidRPr="00903174" w:rsidRDefault="00D81E68" w:rsidP="006C1447">
            <w:pPr>
              <w:pStyle w:val="TableText"/>
            </w:pPr>
            <w:r w:rsidRPr="00903174">
              <w:t>No spontaneous remission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00FBBC"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C61957" w14:textId="77777777" w:rsidR="00D81E68" w:rsidRPr="00903174" w:rsidRDefault="00D81E68" w:rsidP="006C1447">
            <w:pPr>
              <w:pStyle w:val="TableText"/>
              <w:jc w:val="center"/>
            </w:pPr>
            <w:r w:rsidRPr="00903174">
              <w:t>8.34</w:t>
            </w:r>
          </w:p>
        </w:tc>
        <w:tc>
          <w:tcPr>
            <w:tcW w:w="1502" w:type="dxa"/>
            <w:tcBorders>
              <w:top w:val="single" w:sz="4" w:space="0" w:color="auto"/>
              <w:left w:val="single" w:sz="4" w:space="0" w:color="auto"/>
              <w:bottom w:val="single" w:sz="4" w:space="0" w:color="auto"/>
              <w:right w:val="single" w:sz="4" w:space="0" w:color="auto"/>
            </w:tcBorders>
            <w:vAlign w:val="center"/>
            <w:hideMark/>
          </w:tcPr>
          <w:p w14:paraId="1AC6E15F"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49639BAD"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2BD0620F" w14:textId="77777777" w:rsidR="00D81E68" w:rsidRPr="00903174" w:rsidRDefault="00D81E68" w:rsidP="006C1447">
            <w:pPr>
              <w:pStyle w:val="TableText"/>
            </w:pPr>
            <w:r w:rsidRPr="00903174">
              <w:t>0.0031 (Korkama 2018)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4EA75F"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77E41F" w14:textId="77777777" w:rsidR="00D81E68" w:rsidRPr="00903174" w:rsidRDefault="00D81E68" w:rsidP="006C1447">
            <w:pPr>
              <w:pStyle w:val="TableText"/>
              <w:jc w:val="center"/>
            </w:pPr>
            <w:r w:rsidRPr="00903174">
              <w:t>8.27</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A772F6E"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07FCCA56" w14:textId="77777777" w:rsidTr="00D81E68">
        <w:tc>
          <w:tcPr>
            <w:tcW w:w="9010" w:type="dxa"/>
            <w:gridSpan w:val="4"/>
            <w:tcBorders>
              <w:top w:val="single" w:sz="4" w:space="0" w:color="auto"/>
              <w:left w:val="single" w:sz="4" w:space="0" w:color="auto"/>
              <w:bottom w:val="single" w:sz="4" w:space="0" w:color="auto"/>
              <w:right w:val="single" w:sz="4" w:space="0" w:color="auto"/>
            </w:tcBorders>
            <w:vAlign w:val="center"/>
            <w:hideMark/>
          </w:tcPr>
          <w:p w14:paraId="0D581A7C" w14:textId="77777777" w:rsidR="00D81E68" w:rsidRPr="00903174" w:rsidRDefault="00D81E68" w:rsidP="006C1447">
            <w:pPr>
              <w:pStyle w:val="TableText"/>
              <w:rPr>
                <w:b/>
              </w:rPr>
            </w:pPr>
            <w:r w:rsidRPr="00903174">
              <w:rPr>
                <w:b/>
              </w:rPr>
              <w:t>Non-specific disease-related utility change (base case ravulizumab: 0.101, BSC: -0.061, both applied in Year 1 and ongoing)</w:t>
            </w:r>
          </w:p>
        </w:tc>
      </w:tr>
      <w:tr w:rsidR="00D81E68" w:rsidRPr="00903174" w14:paraId="54AC3051"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07EAFD11" w14:textId="77777777" w:rsidR="00D81E68" w:rsidRPr="00903174" w:rsidRDefault="00D81E68" w:rsidP="006C1447">
            <w:pPr>
              <w:pStyle w:val="TableText"/>
            </w:pPr>
            <w:r w:rsidRPr="00903174">
              <w:t>No utility change in BSC arm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FB3503"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2DAB01" w14:textId="77777777" w:rsidR="00D81E68" w:rsidRPr="00903174" w:rsidRDefault="00D81E68" w:rsidP="006C1447">
            <w:pPr>
              <w:pStyle w:val="TableText"/>
              <w:jc w:val="center"/>
            </w:pPr>
            <w:r w:rsidRPr="00903174">
              <w:t>7.61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6F0602F4"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67DC3176"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6CC67FFF" w14:textId="77777777" w:rsidR="00D81E68" w:rsidRPr="00903174" w:rsidRDefault="00D81E68" w:rsidP="006C1447">
            <w:pPr>
              <w:pStyle w:val="TableText"/>
            </w:pPr>
            <w:r w:rsidRPr="00903174">
              <w:t>No utility change in ravulizumab arm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293B0C"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CAF3EE" w14:textId="77777777" w:rsidR="00D81E68" w:rsidRPr="00903174" w:rsidRDefault="00D81E68" w:rsidP="006C1447">
            <w:pPr>
              <w:pStyle w:val="TableText"/>
              <w:jc w:val="center"/>
            </w:pPr>
            <w:r w:rsidRPr="00903174">
              <w:t>7.31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72FCD09E" w14:textId="77777777" w:rsidR="00D81E68" w:rsidRPr="00903174" w:rsidRDefault="00D81E68" w:rsidP="006C1447">
            <w:pPr>
              <w:pStyle w:val="TableText"/>
              <w:jc w:val="center"/>
            </w:pPr>
            <w:r w:rsidRPr="00903174">
              <w:t>$</w:t>
            </w:r>
            <w:r w:rsidR="00DF28C6">
              <w:rPr>
                <w:noProof/>
                <w:color w:val="000000"/>
                <w:highlight w:val="black"/>
              </w:rPr>
              <w:t>''''''''''''''''''''''</w:t>
            </w:r>
          </w:p>
        </w:tc>
      </w:tr>
      <w:tr w:rsidR="00D81E68" w:rsidRPr="00903174" w14:paraId="70149519" w14:textId="77777777" w:rsidTr="00D81E68">
        <w:tc>
          <w:tcPr>
            <w:tcW w:w="4248" w:type="dxa"/>
            <w:tcBorders>
              <w:top w:val="single" w:sz="4" w:space="0" w:color="auto"/>
              <w:left w:val="single" w:sz="4" w:space="0" w:color="auto"/>
              <w:bottom w:val="single" w:sz="4" w:space="0" w:color="auto"/>
              <w:right w:val="single" w:sz="4" w:space="0" w:color="auto"/>
            </w:tcBorders>
            <w:vAlign w:val="center"/>
            <w:hideMark/>
          </w:tcPr>
          <w:p w14:paraId="056263A6" w14:textId="77777777" w:rsidR="00D81E68" w:rsidRPr="00903174" w:rsidRDefault="00D81E68" w:rsidP="006C1447">
            <w:pPr>
              <w:pStyle w:val="TableText"/>
            </w:pPr>
            <w:r w:rsidRPr="00903174">
              <w:t>No utility change in both arms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957A5F" w14:textId="77777777" w:rsidR="00D81E68" w:rsidRPr="00903174" w:rsidRDefault="00D81E68" w:rsidP="006C1447">
            <w:pPr>
              <w:pStyle w:val="TableText"/>
              <w:jc w:val="center"/>
            </w:pPr>
            <w:r w:rsidRPr="00903174">
              <w:t>$</w:t>
            </w:r>
            <w:r w:rsidR="00DF28C6">
              <w:rPr>
                <w:noProof/>
                <w:color w:val="000000"/>
                <w:highlight w:val="black"/>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8468A7" w14:textId="77777777" w:rsidR="00D81E68" w:rsidRPr="00903174" w:rsidRDefault="00D81E68" w:rsidP="006C1447">
            <w:pPr>
              <w:pStyle w:val="TableText"/>
              <w:jc w:val="center"/>
            </w:pPr>
            <w:r w:rsidRPr="00903174">
              <w:t>6.91</w:t>
            </w:r>
          </w:p>
        </w:tc>
        <w:tc>
          <w:tcPr>
            <w:tcW w:w="1502" w:type="dxa"/>
            <w:tcBorders>
              <w:top w:val="single" w:sz="4" w:space="0" w:color="auto"/>
              <w:left w:val="single" w:sz="4" w:space="0" w:color="auto"/>
              <w:bottom w:val="single" w:sz="4" w:space="0" w:color="auto"/>
              <w:right w:val="single" w:sz="4" w:space="0" w:color="auto"/>
            </w:tcBorders>
            <w:vAlign w:val="center"/>
            <w:hideMark/>
          </w:tcPr>
          <w:p w14:paraId="49AF95D9" w14:textId="77777777" w:rsidR="00D81E68" w:rsidRPr="00903174" w:rsidRDefault="00D81E68" w:rsidP="006C1447">
            <w:pPr>
              <w:pStyle w:val="TableText"/>
              <w:jc w:val="center"/>
            </w:pPr>
            <w:r w:rsidRPr="00903174">
              <w:t>$</w:t>
            </w:r>
            <w:r w:rsidR="00DF28C6">
              <w:rPr>
                <w:noProof/>
                <w:color w:val="000000"/>
                <w:highlight w:val="black"/>
              </w:rPr>
              <w:t>'''''''''''''''''''''</w:t>
            </w:r>
          </w:p>
        </w:tc>
      </w:tr>
    </w:tbl>
    <w:p w14:paraId="60A8D62B" w14:textId="77777777" w:rsidR="00D81E68" w:rsidRPr="00903174" w:rsidRDefault="00D81E68" w:rsidP="00D81E68">
      <w:pPr>
        <w:pStyle w:val="TableFigureFooter"/>
      </w:pPr>
      <w:r w:rsidRPr="00903174">
        <w:t>Source: Table 144, p 256 and ‘Attachment 6B. Ultomiris vs BSC for PNH CUA – Excel’ of the submission</w:t>
      </w:r>
    </w:p>
    <w:p w14:paraId="482D13A6" w14:textId="77777777" w:rsidR="00D81E68" w:rsidRDefault="00D81E68" w:rsidP="00D81E68">
      <w:pPr>
        <w:pStyle w:val="TableFigureFooter"/>
      </w:pPr>
      <w:r w:rsidRPr="00903174">
        <w:t>Abbreviations: AFT, accelerated time failure; PH, proportional hazards</w:t>
      </w:r>
    </w:p>
    <w:p w14:paraId="0457B3F4" w14:textId="77777777" w:rsidR="00D81E68" w:rsidRPr="00C35C40" w:rsidRDefault="00D81E68" w:rsidP="00415038">
      <w:pPr>
        <w:pStyle w:val="ExecSumBodyText"/>
        <w:numPr>
          <w:ilvl w:val="1"/>
          <w:numId w:val="1"/>
        </w:numPr>
      </w:pPr>
      <w:r w:rsidRPr="00903174">
        <w:lastRenderedPageBreak/>
        <w:t xml:space="preserve">The submission claimed that changes to parameters had a meaningful impact on the ICER per QALY gained. However, the submission noted that in all cases, ravulizumab was not cost-effective compared with best supportive care and in some scenarios </w:t>
      </w:r>
      <w:r w:rsidRPr="00C35C40">
        <w:t xml:space="preserve">ICERs exceeded </w:t>
      </w:r>
      <w:r w:rsidR="00DD76F5" w:rsidRPr="00C35C40">
        <w:t xml:space="preserve">more than $200,000 </w:t>
      </w:r>
      <w:r w:rsidRPr="00C35C40">
        <w:t>per QALY gained. The results of the sensitivity analyses indicated that the model is most sensitive to time horizon, modelled survival curves, spontaneous remission transition probability, baseline age and the non-specific disease-related utility change.</w:t>
      </w:r>
    </w:p>
    <w:p w14:paraId="339F59A7" w14:textId="77777777" w:rsidR="00D81E68" w:rsidRPr="00C35C40" w:rsidRDefault="00D81E68" w:rsidP="00415038">
      <w:pPr>
        <w:pStyle w:val="ExecSumBodyText"/>
        <w:numPr>
          <w:ilvl w:val="1"/>
          <w:numId w:val="1"/>
        </w:numPr>
      </w:pPr>
      <w:r w:rsidRPr="00C35C40">
        <w:t>Changing the parametric extrapolation method for overall survival in the ravulizumab arm has minimal impact on the ICER. This is because survival is informed by general population mortality for the majority of the model duration. In the base case, for example, overall survival in the ravulizumab arm is informed by the Gompertz distribution for up to 5 years before switching to general population mortality for the remaining 50 years in the model.</w:t>
      </w:r>
    </w:p>
    <w:p w14:paraId="033F367C" w14:textId="77777777" w:rsidR="00D81E68" w:rsidRPr="00C35C40" w:rsidRDefault="00D81E68" w:rsidP="00415038">
      <w:pPr>
        <w:pStyle w:val="ExecSumBodyText"/>
        <w:numPr>
          <w:ilvl w:val="1"/>
          <w:numId w:val="1"/>
        </w:numPr>
      </w:pPr>
      <w:r w:rsidRPr="00C35C40">
        <w:t>The submission presented multivariate sensitivity analyses based on modelled overall survival using PNH mortality risk extrapolations (10, 20 and 40 years), model specification (joint, separate) and parametric distributions (exponential, Weibull, log-normal, log-logistic, Gompertz).</w:t>
      </w:r>
      <w:r w:rsidRPr="00C35C40">
        <w:rPr>
          <w:i/>
        </w:rPr>
        <w:t xml:space="preserve"> </w:t>
      </w:r>
      <w:r w:rsidRPr="00C35C40">
        <w:t xml:space="preserve">During the evaluation, the analyses were conducted based on a revised base case including a correction for deaths in the model. The ICER was sensitive to changes in modelling parameters, ranging from around </w:t>
      </w:r>
      <w:r w:rsidR="00C35C40" w:rsidRPr="00C35C40">
        <w:t xml:space="preserve">more than $200,000 </w:t>
      </w:r>
      <w:r w:rsidRPr="00C35C40">
        <w:t xml:space="preserve">to more than </w:t>
      </w:r>
      <w:r w:rsidR="00C35C40" w:rsidRPr="00C35C40">
        <w:t xml:space="preserve">$200,000 </w:t>
      </w:r>
      <w:r w:rsidRPr="00C35C40">
        <w:t>per QALY gained.</w:t>
      </w:r>
    </w:p>
    <w:p w14:paraId="2B19EC38" w14:textId="77777777" w:rsidR="00BC2DE5" w:rsidRPr="00903174" w:rsidRDefault="00BC2DE5" w:rsidP="00BC2DE5">
      <w:pPr>
        <w:pStyle w:val="ExecSumBodyText"/>
        <w:numPr>
          <w:ilvl w:val="1"/>
          <w:numId w:val="1"/>
        </w:numPr>
      </w:pPr>
      <w:r w:rsidRPr="00903174">
        <w:t xml:space="preserve">During the evaluation, a number of threshold analyses were conducted to determine the price reduction required for ravulizumab to be </w:t>
      </w:r>
      <w:r w:rsidR="000F4512" w:rsidRPr="00903174">
        <w:t xml:space="preserve">more </w:t>
      </w:r>
      <w:r w:rsidRPr="00903174">
        <w:t xml:space="preserve">cost-effective. In order to achieve </w:t>
      </w:r>
      <w:r w:rsidR="000F4512" w:rsidRPr="00903174">
        <w:t xml:space="preserve">high </w:t>
      </w:r>
      <w:r w:rsidRPr="00903174">
        <w:t xml:space="preserve">cost-effectiveness thresholds of </w:t>
      </w:r>
      <w:r w:rsidR="00D154A6" w:rsidRPr="00903174">
        <w:t>$</w:t>
      </w:r>
      <w:r w:rsidRPr="00903174">
        <w:t>100,000, $200,000 and $300,000 per QALY gained the corresponding price reductions requi</w:t>
      </w:r>
      <w:r w:rsidR="00FC7B67" w:rsidRPr="00903174">
        <w:t xml:space="preserve">red would be </w:t>
      </w:r>
      <w:r w:rsidR="00DF28C6">
        <w:rPr>
          <w:noProof/>
          <w:color w:val="000000"/>
          <w:highlight w:val="black"/>
        </w:rPr>
        <w:t>'''''</w:t>
      </w:r>
      <w:r w:rsidR="00FC7B67" w:rsidRPr="00903174">
        <w:t xml:space="preserve">%, </w:t>
      </w:r>
      <w:r w:rsidR="00DF28C6">
        <w:rPr>
          <w:noProof/>
          <w:color w:val="000000"/>
          <w:highlight w:val="black"/>
        </w:rPr>
        <w:t>'''''</w:t>
      </w:r>
      <w:r w:rsidR="00FC7B67" w:rsidRPr="00903174">
        <w:t xml:space="preserve">% and </w:t>
      </w:r>
      <w:r w:rsidR="00DF28C6">
        <w:rPr>
          <w:noProof/>
          <w:color w:val="000000"/>
          <w:highlight w:val="black"/>
        </w:rPr>
        <w:t>''''''</w:t>
      </w:r>
      <w:r w:rsidR="00FC7B67" w:rsidRPr="00903174">
        <w:t>%. The ESC noted that ICERs of around this magnitude have previously been considered by PBAC for other rare conditions. The ESC also acknowledged these required price reductions are based on the economic model presented in the submission, which was considered highly uncertain</w:t>
      </w:r>
      <w:r w:rsidR="007529DE" w:rsidRPr="00903174">
        <w:t xml:space="preserve">. </w:t>
      </w:r>
    </w:p>
    <w:p w14:paraId="1C87EA87" w14:textId="77777777" w:rsidR="007529DE" w:rsidRPr="00903174" w:rsidRDefault="007529DE" w:rsidP="00BC2DE5">
      <w:pPr>
        <w:pStyle w:val="ExecSumBodyText"/>
        <w:numPr>
          <w:ilvl w:val="1"/>
          <w:numId w:val="1"/>
        </w:numPr>
      </w:pPr>
      <w:r w:rsidRPr="00903174">
        <w:t>The ESC noted that in the event eculizumab for PNH was made available on the PBS, a cost-minimisation analysis of ravulizumab versus eculizumab would be appropriate, given ravulizumab appears to have no clinically meaningful advantage compared to ecul</w:t>
      </w:r>
      <w:r w:rsidR="00EA10D5" w:rsidRPr="00903174">
        <w:t>izu</w:t>
      </w:r>
      <w:r w:rsidRPr="00903174">
        <w:t xml:space="preserve">mab. </w:t>
      </w:r>
    </w:p>
    <w:p w14:paraId="253D00C8" w14:textId="77777777" w:rsidR="00C25D9C" w:rsidRPr="00903174" w:rsidRDefault="00C25D9C" w:rsidP="00BB732D">
      <w:pPr>
        <w:pStyle w:val="3-SubsectionHeading"/>
      </w:pPr>
      <w:bookmarkStart w:id="27" w:name="_Toc22897646"/>
      <w:bookmarkStart w:id="28" w:name="_Toc40702926"/>
      <w:r w:rsidRPr="00903174">
        <w:t>Drug cost/patient/</w:t>
      </w:r>
      <w:r w:rsidR="00DD2B68" w:rsidRPr="00903174">
        <w:t>y</w:t>
      </w:r>
      <w:r w:rsidRPr="00903174">
        <w:t>ear</w:t>
      </w:r>
      <w:bookmarkEnd w:id="27"/>
      <w:bookmarkEnd w:id="28"/>
    </w:p>
    <w:p w14:paraId="3053B3ED" w14:textId="77777777" w:rsidR="00DD2B68" w:rsidRPr="00903174" w:rsidRDefault="00DD2B68" w:rsidP="00415038">
      <w:pPr>
        <w:pStyle w:val="ExecSumBodyText"/>
        <w:numPr>
          <w:ilvl w:val="1"/>
          <w:numId w:val="1"/>
        </w:numPr>
      </w:pPr>
      <w:r w:rsidRPr="00903174">
        <w:t>The estimated drug cost for ravulizumab per patient per year was $</w:t>
      </w:r>
      <w:r w:rsidR="00DF28C6">
        <w:rPr>
          <w:noProof/>
          <w:color w:val="000000"/>
          <w:highlight w:val="black"/>
        </w:rPr>
        <w:t>''''''''''''''''</w:t>
      </w:r>
      <w:r w:rsidRPr="00903174">
        <w:t xml:space="preserve"> in the first year (including loading dose and additional maintenance dose, based on the proposed AEMP of $</w:t>
      </w:r>
      <w:r w:rsidR="00DF28C6">
        <w:rPr>
          <w:noProof/>
          <w:color w:val="000000"/>
          <w:highlight w:val="black"/>
        </w:rPr>
        <w:t>'''''''''''''''''</w:t>
      </w:r>
      <w:r w:rsidRPr="00903174">
        <w:t xml:space="preserve"> per vial and an average of </w:t>
      </w:r>
      <w:r w:rsidR="00DF28C6">
        <w:rPr>
          <w:noProof/>
          <w:color w:val="000000"/>
          <w:highlight w:val="black"/>
        </w:rPr>
        <w:t>'''''''''</w:t>
      </w:r>
      <w:r w:rsidRPr="00903174">
        <w:t xml:space="preserve"> vials using trial-based weight distribution).</w:t>
      </w:r>
    </w:p>
    <w:p w14:paraId="162A5894" w14:textId="77777777" w:rsidR="00DD2B68" w:rsidRPr="00903174" w:rsidRDefault="00DD2B68" w:rsidP="00415038">
      <w:pPr>
        <w:pStyle w:val="ExecSumBodyText"/>
        <w:numPr>
          <w:ilvl w:val="1"/>
          <w:numId w:val="1"/>
        </w:numPr>
      </w:pPr>
      <w:r w:rsidRPr="00903174">
        <w:t>The estimated drug cost for ravulizumab per patient per year, was $</w:t>
      </w:r>
      <w:r w:rsidR="00DF28C6">
        <w:rPr>
          <w:noProof/>
          <w:color w:val="000000"/>
          <w:highlight w:val="black"/>
        </w:rPr>
        <w:t>''''''''''''''</w:t>
      </w:r>
      <w:r w:rsidRPr="00903174">
        <w:t xml:space="preserve"> in subsequent years based on the proposed AEMP of $</w:t>
      </w:r>
      <w:r w:rsidR="00DF28C6">
        <w:rPr>
          <w:noProof/>
          <w:color w:val="000000"/>
          <w:highlight w:val="black"/>
        </w:rPr>
        <w:t>''''''''''''''''</w:t>
      </w:r>
      <w:r w:rsidRPr="00903174">
        <w:t xml:space="preserve"> per vial and 69.6 vials per year (calculated using trial-based weight distribution and 8-weekly dosing interval </w:t>
      </w:r>
      <w:r w:rsidRPr="00903174">
        <w:lastRenderedPageBreak/>
        <w:t>in a calendar year). There was a difference in costs estimated using an average over 10 years (accounting for differences in total doses in odd and even years) used in the comparison of ravulizumab versus BSC, calculated as $</w:t>
      </w:r>
      <w:r w:rsidR="00DF28C6">
        <w:rPr>
          <w:noProof/>
          <w:color w:val="000000"/>
          <w:highlight w:val="black"/>
        </w:rPr>
        <w:t>''''''''''''''''</w:t>
      </w:r>
      <w:r w:rsidRPr="00903174">
        <w:t xml:space="preserve"> in subsequent years (based on the proposed AEMP of $</w:t>
      </w:r>
      <w:r w:rsidR="00DF28C6">
        <w:rPr>
          <w:noProof/>
          <w:color w:val="000000"/>
          <w:highlight w:val="black"/>
        </w:rPr>
        <w:t>''''''''''''''''</w:t>
      </w:r>
      <w:r w:rsidRPr="00903174">
        <w:t xml:space="preserve"> per vial and an average of </w:t>
      </w:r>
      <w:r w:rsidR="00DF28C6">
        <w:rPr>
          <w:noProof/>
          <w:color w:val="000000"/>
          <w:highlight w:val="black"/>
        </w:rPr>
        <w:t>'''''''''</w:t>
      </w:r>
      <w:r w:rsidRPr="00903174">
        <w:t xml:space="preserve"> vials using trial-based weight distribution). </w:t>
      </w:r>
    </w:p>
    <w:p w14:paraId="7194D232" w14:textId="77777777" w:rsidR="00494207" w:rsidRPr="00903174" w:rsidRDefault="00DD2B68" w:rsidP="00415038">
      <w:pPr>
        <w:pStyle w:val="ExecSumBodyText"/>
        <w:numPr>
          <w:ilvl w:val="1"/>
          <w:numId w:val="1"/>
        </w:numPr>
      </w:pPr>
      <w:r w:rsidRPr="00903174">
        <w:t>The estimated drug cost for eculizumab per patient per year, during maintenance years was $</w:t>
      </w:r>
      <w:r w:rsidR="00DF28C6">
        <w:rPr>
          <w:noProof/>
          <w:color w:val="000000"/>
          <w:highlight w:val="black"/>
        </w:rPr>
        <w:t>'''''''''''''''''</w:t>
      </w:r>
      <w:r w:rsidRPr="00903174">
        <w:t xml:space="preserve"> based on an AEMP of $</w:t>
      </w:r>
      <w:r w:rsidR="00DF28C6">
        <w:rPr>
          <w:noProof/>
          <w:color w:val="000000"/>
          <w:highlight w:val="black"/>
        </w:rPr>
        <w:t>''''''''''''''''''</w:t>
      </w:r>
      <w:r w:rsidRPr="00903174">
        <w:t xml:space="preserve"> per vial and </w:t>
      </w:r>
      <w:r w:rsidR="00DF28C6">
        <w:rPr>
          <w:noProof/>
          <w:color w:val="000000"/>
          <w:highlight w:val="black"/>
        </w:rPr>
        <w:t>'''''</w:t>
      </w:r>
      <w:r w:rsidRPr="00903174">
        <w:t xml:space="preserve"> vials per year (calculated using fixed maintenance dose and 2-weekly dosing interval).</w:t>
      </w:r>
    </w:p>
    <w:p w14:paraId="7550BD59" w14:textId="77777777" w:rsidR="00535C1F" w:rsidRPr="00903174" w:rsidRDefault="00717EC0" w:rsidP="00357547">
      <w:pPr>
        <w:pStyle w:val="ExecSumBodyText"/>
        <w:numPr>
          <w:ilvl w:val="1"/>
          <w:numId w:val="1"/>
        </w:numPr>
        <w:rPr>
          <w:i/>
          <w:color w:val="1F497D"/>
          <w:lang w:eastAsia="en-US"/>
        </w:rPr>
      </w:pPr>
      <w:r w:rsidRPr="00903174">
        <w:t>The average eculizu</w:t>
      </w:r>
      <w:r w:rsidR="00CD012C" w:rsidRPr="00903174">
        <w:t>mab cost per patient to the LSDP for the period 1 April 2019 to 31</w:t>
      </w:r>
      <w:r w:rsidR="00EA10D5" w:rsidRPr="00903174">
        <w:t> March</w:t>
      </w:r>
      <w:r w:rsidR="00CD012C" w:rsidRPr="00903174">
        <w:t xml:space="preserve"> 2020 was $</w:t>
      </w:r>
      <w:r w:rsidR="00DF28C6">
        <w:rPr>
          <w:noProof/>
          <w:color w:val="000000"/>
          <w:highlight w:val="black"/>
        </w:rPr>
        <w:t>''''''''''''''''''''''</w:t>
      </w:r>
      <w:r w:rsidR="00CD012C" w:rsidRPr="00903174">
        <w:t xml:space="preserve"> (incl GST). This cost incorporates both the additional cost</w:t>
      </w:r>
      <w:r w:rsidR="006F0F44" w:rsidRPr="00903174">
        <w:t>s</w:t>
      </w:r>
      <w:r w:rsidR="00CD012C" w:rsidRPr="00903174">
        <w:t xml:space="preserve"> </w:t>
      </w:r>
      <w:r w:rsidR="006F0F44" w:rsidRPr="00903174">
        <w:t xml:space="preserve">for </w:t>
      </w:r>
      <w:r w:rsidR="00CD012C" w:rsidRPr="00903174">
        <w:t>loading doses</w:t>
      </w:r>
      <w:r w:rsidR="006F0F44" w:rsidRPr="00903174">
        <w:t xml:space="preserve"> for new patients</w:t>
      </w:r>
      <w:r w:rsidR="00CD012C" w:rsidRPr="00903174">
        <w:t xml:space="preserve"> and the reduction in costs associated with </w:t>
      </w:r>
      <w:r w:rsidR="006F0F44" w:rsidRPr="00903174">
        <w:t xml:space="preserve">new </w:t>
      </w:r>
      <w:r w:rsidR="00CD012C" w:rsidRPr="00903174">
        <w:t>patients commencing part way through the year</w:t>
      </w:r>
      <w:r w:rsidR="00CD012C" w:rsidRPr="00903174">
        <w:rPr>
          <w:i/>
        </w:rPr>
        <w:t xml:space="preserve">. </w:t>
      </w:r>
    </w:p>
    <w:p w14:paraId="357D02D5" w14:textId="77777777" w:rsidR="00781CF6" w:rsidRPr="00903174" w:rsidRDefault="00781CF6" w:rsidP="00781CF6">
      <w:pPr>
        <w:pStyle w:val="3-SubsectionHeading"/>
      </w:pPr>
      <w:bookmarkStart w:id="29" w:name="_Toc22897647"/>
      <w:bookmarkStart w:id="30" w:name="_Toc40702927"/>
      <w:bookmarkStart w:id="31" w:name="_Toc22897648"/>
      <w:r w:rsidRPr="00903174">
        <w:t>Estimated PBS usage &amp; financial implications</w:t>
      </w:r>
      <w:bookmarkEnd w:id="29"/>
      <w:bookmarkEnd w:id="30"/>
    </w:p>
    <w:p w14:paraId="17E276D4" w14:textId="77777777" w:rsidR="00781CF6" w:rsidRPr="00903174" w:rsidRDefault="00781CF6" w:rsidP="00415038">
      <w:pPr>
        <w:pStyle w:val="ExecSumBodyText"/>
        <w:numPr>
          <w:ilvl w:val="1"/>
          <w:numId w:val="1"/>
        </w:numPr>
        <w:rPr>
          <w:color w:val="0066FF"/>
        </w:rPr>
      </w:pPr>
      <w:r w:rsidRPr="00903174">
        <w:t xml:space="preserve">This submission </w:t>
      </w:r>
      <w:r w:rsidR="00ED3EFA" w:rsidRPr="00903174">
        <w:t>was not</w:t>
      </w:r>
      <w:r w:rsidRPr="00903174">
        <w:t xml:space="preserve"> considered by DUSC</w:t>
      </w:r>
      <w:r w:rsidRPr="00903174">
        <w:rPr>
          <w:color w:val="0070C0"/>
        </w:rPr>
        <w:t xml:space="preserve">. </w:t>
      </w:r>
      <w:r w:rsidRPr="00903174">
        <w:t>The submission used a mixed market share/epidemiological approach to estimate the utilisation and financial impact for ravulizumab using three sets of patients (key inputs summarised in the table below):</w:t>
      </w:r>
    </w:p>
    <w:p w14:paraId="65F56780" w14:textId="77777777" w:rsidR="00781CF6" w:rsidRPr="00903174" w:rsidRDefault="00781CF6" w:rsidP="00BB2169">
      <w:pPr>
        <w:pStyle w:val="ExecSumBodyText"/>
        <w:numPr>
          <w:ilvl w:val="0"/>
          <w:numId w:val="10"/>
        </w:numPr>
        <w:spacing w:after="0"/>
        <w:ind w:left="1077" w:hanging="357"/>
      </w:pPr>
      <w:r w:rsidRPr="00903174">
        <w:t xml:space="preserve">Incident PNH patients who meet eligibility criteria and were previously untreated with eculizumab (treatment-naïve), based on an agreed growth in the Deed of Agreement for eculizumab on the LSDP; </w:t>
      </w:r>
    </w:p>
    <w:p w14:paraId="12907417" w14:textId="77777777" w:rsidR="00781CF6" w:rsidRPr="00903174" w:rsidRDefault="00781CF6" w:rsidP="00BB2169">
      <w:pPr>
        <w:pStyle w:val="ExecSumBodyText"/>
        <w:numPr>
          <w:ilvl w:val="0"/>
          <w:numId w:val="10"/>
        </w:numPr>
        <w:spacing w:after="0"/>
        <w:ind w:left="1077" w:hanging="357"/>
      </w:pPr>
      <w:r w:rsidRPr="00903174">
        <w:t>Prevalent PNH patients who are currently or previously treated with eculizumab (treatment-experienced) based on epidemiological data; and</w:t>
      </w:r>
    </w:p>
    <w:p w14:paraId="4AC260FC" w14:textId="77777777" w:rsidR="00781CF6" w:rsidRPr="00903174" w:rsidRDefault="00781CF6" w:rsidP="00BB2169">
      <w:pPr>
        <w:pStyle w:val="ExecSumBodyText"/>
        <w:numPr>
          <w:ilvl w:val="0"/>
          <w:numId w:val="10"/>
        </w:numPr>
      </w:pPr>
      <w:r w:rsidRPr="00903174">
        <w:t>Grandfathered ravulizumab patients.</w:t>
      </w:r>
    </w:p>
    <w:p w14:paraId="1E0F7A17" w14:textId="77777777" w:rsidR="00781CF6" w:rsidRPr="00903174" w:rsidRDefault="00781CF6" w:rsidP="006C1447">
      <w:pPr>
        <w:pStyle w:val="TableFigureCaption"/>
      </w:pPr>
      <w:r w:rsidRPr="00903174">
        <w:lastRenderedPageBreak/>
        <w:t xml:space="preserve">Table </w:t>
      </w:r>
      <w:r w:rsidR="001D6AD7" w:rsidRPr="00903174">
        <w:t>2</w:t>
      </w:r>
      <w:r w:rsidR="0075618C" w:rsidRPr="00903174">
        <w:t>3</w:t>
      </w:r>
      <w:r w:rsidRPr="00903174">
        <w:t>: Key inputs for eligible population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4"/>
        <w:gridCol w:w="3544"/>
        <w:gridCol w:w="3919"/>
      </w:tblGrid>
      <w:tr w:rsidR="00781CF6" w:rsidRPr="00903174" w14:paraId="68A77D49" w14:textId="77777777" w:rsidTr="00781CF6">
        <w:trPr>
          <w:cantSplit/>
          <w:tblHeader/>
        </w:trPr>
        <w:tc>
          <w:tcPr>
            <w:tcW w:w="862" w:type="pct"/>
            <w:shd w:val="clear" w:color="auto" w:fill="auto"/>
            <w:vAlign w:val="center"/>
          </w:tcPr>
          <w:p w14:paraId="52CB9654" w14:textId="77777777" w:rsidR="00781CF6" w:rsidRPr="00903174" w:rsidRDefault="00781CF6" w:rsidP="006C1447">
            <w:pPr>
              <w:pStyle w:val="Tableheadingrow"/>
              <w:rPr>
                <w:lang w:val="en-AU"/>
              </w:rPr>
            </w:pPr>
            <w:r w:rsidRPr="00903174">
              <w:rPr>
                <w:lang w:val="en-AU"/>
              </w:rPr>
              <w:t>Parameter</w:t>
            </w:r>
          </w:p>
        </w:tc>
        <w:tc>
          <w:tcPr>
            <w:tcW w:w="1965" w:type="pct"/>
            <w:shd w:val="clear" w:color="auto" w:fill="auto"/>
            <w:vAlign w:val="center"/>
          </w:tcPr>
          <w:p w14:paraId="6752E36A" w14:textId="77777777" w:rsidR="00781CF6" w:rsidRPr="00903174" w:rsidRDefault="00781CF6" w:rsidP="006C1447">
            <w:pPr>
              <w:pStyle w:val="Tableheadingrow"/>
              <w:rPr>
                <w:lang w:val="en-AU"/>
              </w:rPr>
            </w:pPr>
            <w:r w:rsidRPr="00903174">
              <w:rPr>
                <w:lang w:val="en-AU"/>
              </w:rPr>
              <w:t>Value applied and source</w:t>
            </w:r>
          </w:p>
        </w:tc>
        <w:tc>
          <w:tcPr>
            <w:tcW w:w="2173" w:type="pct"/>
            <w:shd w:val="clear" w:color="auto" w:fill="auto"/>
            <w:vAlign w:val="center"/>
          </w:tcPr>
          <w:p w14:paraId="71EB3D9C" w14:textId="77777777" w:rsidR="00781CF6" w:rsidRPr="00903174" w:rsidRDefault="00781CF6" w:rsidP="006C1447">
            <w:pPr>
              <w:pStyle w:val="Tableheadingrow"/>
              <w:rPr>
                <w:lang w:val="en-AU"/>
              </w:rPr>
            </w:pPr>
            <w:r w:rsidRPr="00903174">
              <w:rPr>
                <w:lang w:val="en-AU"/>
              </w:rPr>
              <w:t>Comment</w:t>
            </w:r>
          </w:p>
        </w:tc>
      </w:tr>
      <w:tr w:rsidR="00781CF6" w:rsidRPr="00903174" w14:paraId="12178FFE" w14:textId="77777777" w:rsidTr="00781CF6">
        <w:trPr>
          <w:cantSplit/>
        </w:trPr>
        <w:tc>
          <w:tcPr>
            <w:tcW w:w="5000" w:type="pct"/>
            <w:gridSpan w:val="3"/>
            <w:shd w:val="clear" w:color="auto" w:fill="auto"/>
            <w:vAlign w:val="center"/>
          </w:tcPr>
          <w:p w14:paraId="7C7E3DD8" w14:textId="77777777" w:rsidR="00781CF6" w:rsidRPr="00903174" w:rsidRDefault="00781CF6" w:rsidP="006C1447">
            <w:pPr>
              <w:pStyle w:val="Tableheadingrow"/>
              <w:rPr>
                <w:lang w:val="en-AU"/>
              </w:rPr>
            </w:pPr>
            <w:r w:rsidRPr="00903174">
              <w:rPr>
                <w:lang w:val="en-AU"/>
              </w:rPr>
              <w:t>Treatment-naïve patients</w:t>
            </w:r>
          </w:p>
        </w:tc>
      </w:tr>
      <w:tr w:rsidR="00781CF6" w:rsidRPr="00903174" w14:paraId="2EF6487C" w14:textId="77777777" w:rsidTr="00781CF6">
        <w:trPr>
          <w:cantSplit/>
        </w:trPr>
        <w:tc>
          <w:tcPr>
            <w:tcW w:w="862" w:type="pct"/>
            <w:shd w:val="clear" w:color="auto" w:fill="auto"/>
            <w:vAlign w:val="center"/>
          </w:tcPr>
          <w:p w14:paraId="2CFBB4F4" w14:textId="77777777" w:rsidR="00781CF6" w:rsidRPr="00903174" w:rsidRDefault="00781CF6" w:rsidP="006C1447">
            <w:pPr>
              <w:pStyle w:val="TableText"/>
            </w:pPr>
            <w:r w:rsidRPr="00903174">
              <w:t>Incident patients previously untreated</w:t>
            </w:r>
          </w:p>
        </w:tc>
        <w:tc>
          <w:tcPr>
            <w:tcW w:w="1965" w:type="pct"/>
            <w:shd w:val="clear" w:color="auto" w:fill="auto"/>
            <w:vAlign w:val="center"/>
          </w:tcPr>
          <w:p w14:paraId="4F59B886" w14:textId="77777777" w:rsidR="00781CF6" w:rsidRPr="00903174" w:rsidRDefault="001F7A35" w:rsidP="006C1447">
            <w:pPr>
              <w:pStyle w:val="TableText"/>
            </w:pPr>
            <w:r>
              <w:rPr>
                <w:noProof/>
                <w:color w:val="000000"/>
                <w:highlight w:val="black"/>
              </w:rPr>
              <w:t>'''''''</w:t>
            </w:r>
            <w:r w:rsidR="00781CF6" w:rsidRPr="00903174">
              <w:t xml:space="preserve"> patients per year based on agreed growth in the current Deed of Agreement for eculizumab on the LSDP</w:t>
            </w:r>
          </w:p>
        </w:tc>
        <w:tc>
          <w:tcPr>
            <w:tcW w:w="2173" w:type="pct"/>
            <w:shd w:val="clear" w:color="auto" w:fill="auto"/>
            <w:vAlign w:val="center"/>
          </w:tcPr>
          <w:p w14:paraId="4008DC40" w14:textId="77777777" w:rsidR="00781CF6" w:rsidRPr="00903174" w:rsidRDefault="00781CF6" w:rsidP="006C1447">
            <w:pPr>
              <w:pStyle w:val="TableText"/>
              <w:rPr>
                <w:i/>
              </w:rPr>
            </w:pPr>
            <w:r w:rsidRPr="00903174">
              <w:rPr>
                <w:i/>
              </w:rPr>
              <w:t>Data informing the fixed growth were not provided in the submission. The numbers appeared inconsistent with the difference in patient estimates in the current Deed of Agreement provided in the submission</w:t>
            </w:r>
          </w:p>
        </w:tc>
      </w:tr>
      <w:tr w:rsidR="00781CF6" w:rsidRPr="00903174" w14:paraId="4E833500" w14:textId="77777777" w:rsidTr="00781CF6">
        <w:trPr>
          <w:cantSplit/>
        </w:trPr>
        <w:tc>
          <w:tcPr>
            <w:tcW w:w="862" w:type="pct"/>
            <w:shd w:val="clear" w:color="auto" w:fill="auto"/>
            <w:vAlign w:val="center"/>
          </w:tcPr>
          <w:p w14:paraId="39479098" w14:textId="77777777" w:rsidR="00781CF6" w:rsidRPr="00903174" w:rsidRDefault="00781CF6" w:rsidP="006C1447">
            <w:pPr>
              <w:pStyle w:val="TableText"/>
            </w:pPr>
            <w:r w:rsidRPr="00903174">
              <w:t>Complement inhibitor uptake</w:t>
            </w:r>
          </w:p>
        </w:tc>
        <w:tc>
          <w:tcPr>
            <w:tcW w:w="1965" w:type="pct"/>
            <w:shd w:val="clear" w:color="auto" w:fill="auto"/>
            <w:vAlign w:val="center"/>
          </w:tcPr>
          <w:p w14:paraId="0982DF01" w14:textId="77777777" w:rsidR="00781CF6" w:rsidRPr="00903174" w:rsidRDefault="00781CF6" w:rsidP="006C1447">
            <w:pPr>
              <w:pStyle w:val="TableText"/>
            </w:pPr>
            <w:r w:rsidRPr="00903174">
              <w:t>100%, assumed.</w:t>
            </w:r>
          </w:p>
        </w:tc>
        <w:tc>
          <w:tcPr>
            <w:tcW w:w="2173" w:type="pct"/>
            <w:shd w:val="clear" w:color="auto" w:fill="auto"/>
            <w:vAlign w:val="center"/>
          </w:tcPr>
          <w:p w14:paraId="7CB1DD49" w14:textId="77777777" w:rsidR="00781CF6" w:rsidRPr="00903174" w:rsidRDefault="00781CF6" w:rsidP="006C1447">
            <w:pPr>
              <w:pStyle w:val="TableText"/>
              <w:rPr>
                <w:i/>
              </w:rPr>
            </w:pPr>
            <w:r w:rsidRPr="00903174">
              <w:rPr>
                <w:i/>
              </w:rPr>
              <w:t>No data were provided to support this assumption.</w:t>
            </w:r>
          </w:p>
        </w:tc>
      </w:tr>
      <w:tr w:rsidR="00781CF6" w:rsidRPr="00903174" w14:paraId="4FBADD7C" w14:textId="77777777" w:rsidTr="00781CF6">
        <w:trPr>
          <w:cantSplit/>
        </w:trPr>
        <w:tc>
          <w:tcPr>
            <w:tcW w:w="862" w:type="pct"/>
            <w:shd w:val="clear" w:color="auto" w:fill="auto"/>
            <w:vAlign w:val="center"/>
          </w:tcPr>
          <w:p w14:paraId="1A952807" w14:textId="77777777" w:rsidR="00781CF6" w:rsidRPr="00903174" w:rsidRDefault="00781CF6" w:rsidP="006C1447">
            <w:pPr>
              <w:pStyle w:val="TableText"/>
            </w:pPr>
            <w:r w:rsidRPr="00903174">
              <w:t>Ravulizumab uptake</w:t>
            </w:r>
          </w:p>
        </w:tc>
        <w:tc>
          <w:tcPr>
            <w:tcW w:w="1965" w:type="pct"/>
            <w:shd w:val="clear" w:color="auto" w:fill="auto"/>
            <w:vAlign w:val="center"/>
          </w:tcPr>
          <w:p w14:paraId="672D6504" w14:textId="77777777" w:rsidR="00781CF6" w:rsidRPr="00903174" w:rsidRDefault="00781CF6" w:rsidP="006C1447">
            <w:pPr>
              <w:pStyle w:val="TableText"/>
            </w:pPr>
            <w:r w:rsidRPr="00903174">
              <w:t>93%, based on sponsor-commissioned patient preference study in patients treated with eculizumab (Trial 302)</w:t>
            </w:r>
          </w:p>
        </w:tc>
        <w:tc>
          <w:tcPr>
            <w:tcW w:w="2173" w:type="pct"/>
            <w:shd w:val="clear" w:color="auto" w:fill="auto"/>
            <w:vAlign w:val="center"/>
          </w:tcPr>
          <w:p w14:paraId="53892770" w14:textId="77777777" w:rsidR="00781CF6" w:rsidRPr="00903174" w:rsidRDefault="00781CF6" w:rsidP="006C1447">
            <w:pPr>
              <w:pStyle w:val="TableText"/>
              <w:rPr>
                <w:i/>
              </w:rPr>
            </w:pPr>
            <w:r w:rsidRPr="00903174">
              <w:rPr>
                <w:i/>
              </w:rPr>
              <w:t xml:space="preserve">Preferences elicited from a treatment-experienced population are unlikely to represent preferences in a treatment-naïve population. Uptake rates in a treatment-naïve population may be higher. </w:t>
            </w:r>
          </w:p>
        </w:tc>
      </w:tr>
      <w:tr w:rsidR="00781CF6" w:rsidRPr="00903174" w14:paraId="00BA9C83" w14:textId="77777777" w:rsidTr="00781CF6">
        <w:trPr>
          <w:cantSplit/>
        </w:trPr>
        <w:tc>
          <w:tcPr>
            <w:tcW w:w="862" w:type="pct"/>
            <w:shd w:val="clear" w:color="auto" w:fill="auto"/>
            <w:vAlign w:val="center"/>
          </w:tcPr>
          <w:p w14:paraId="4ECFCA2B" w14:textId="77777777" w:rsidR="00781CF6" w:rsidRPr="00903174" w:rsidRDefault="00781CF6" w:rsidP="006C1447">
            <w:pPr>
              <w:pStyle w:val="TableText"/>
            </w:pPr>
            <w:r w:rsidRPr="00903174">
              <w:t>Ravulizumab persistence</w:t>
            </w:r>
          </w:p>
        </w:tc>
        <w:tc>
          <w:tcPr>
            <w:tcW w:w="1965" w:type="pct"/>
            <w:shd w:val="clear" w:color="auto" w:fill="auto"/>
            <w:vAlign w:val="center"/>
          </w:tcPr>
          <w:p w14:paraId="148BB196" w14:textId="77777777" w:rsidR="00781CF6" w:rsidRPr="00903174" w:rsidRDefault="00781CF6" w:rsidP="006C1447">
            <w:pPr>
              <w:pStyle w:val="TableText"/>
            </w:pPr>
            <w:r w:rsidRPr="00903174">
              <w:t>90% in the initial year, then 100% in continuing patients, assumed</w:t>
            </w:r>
          </w:p>
        </w:tc>
        <w:tc>
          <w:tcPr>
            <w:tcW w:w="2173" w:type="pct"/>
            <w:shd w:val="clear" w:color="auto" w:fill="auto"/>
            <w:vAlign w:val="center"/>
          </w:tcPr>
          <w:p w14:paraId="4E28726D" w14:textId="77777777" w:rsidR="00781CF6" w:rsidRPr="00903174" w:rsidRDefault="00781CF6" w:rsidP="006C1447">
            <w:pPr>
              <w:pStyle w:val="TableText"/>
              <w:rPr>
                <w:i/>
              </w:rPr>
            </w:pPr>
            <w:r w:rsidRPr="00903174">
              <w:rPr>
                <w:i/>
              </w:rPr>
              <w:t>No data were provided to support this assumption.</w:t>
            </w:r>
          </w:p>
        </w:tc>
      </w:tr>
      <w:tr w:rsidR="00781CF6" w:rsidRPr="00903174" w14:paraId="7F75AB53" w14:textId="77777777" w:rsidTr="00781CF6">
        <w:trPr>
          <w:cantSplit/>
        </w:trPr>
        <w:tc>
          <w:tcPr>
            <w:tcW w:w="5000" w:type="pct"/>
            <w:gridSpan w:val="3"/>
            <w:shd w:val="clear" w:color="auto" w:fill="auto"/>
            <w:vAlign w:val="center"/>
          </w:tcPr>
          <w:p w14:paraId="12130A0F" w14:textId="77777777" w:rsidR="00781CF6" w:rsidRPr="00903174" w:rsidRDefault="00781CF6" w:rsidP="006C1447">
            <w:pPr>
              <w:pStyle w:val="TableText"/>
              <w:rPr>
                <w:b/>
              </w:rPr>
            </w:pPr>
            <w:r w:rsidRPr="00903174">
              <w:rPr>
                <w:b/>
              </w:rPr>
              <w:t>Treatment-experienced patients</w:t>
            </w:r>
          </w:p>
        </w:tc>
      </w:tr>
      <w:tr w:rsidR="00781CF6" w:rsidRPr="00903174" w14:paraId="67E58079" w14:textId="77777777" w:rsidTr="00781CF6">
        <w:trPr>
          <w:cantSplit/>
        </w:trPr>
        <w:tc>
          <w:tcPr>
            <w:tcW w:w="862" w:type="pct"/>
            <w:shd w:val="clear" w:color="auto" w:fill="auto"/>
            <w:vAlign w:val="center"/>
          </w:tcPr>
          <w:p w14:paraId="603A9E9A" w14:textId="77777777" w:rsidR="00781CF6" w:rsidRPr="00903174" w:rsidRDefault="00781CF6" w:rsidP="006C1447">
            <w:pPr>
              <w:pStyle w:val="TableText"/>
            </w:pPr>
            <w:r w:rsidRPr="00903174">
              <w:t>Adult Australian population</w:t>
            </w:r>
          </w:p>
        </w:tc>
        <w:tc>
          <w:tcPr>
            <w:tcW w:w="1965" w:type="pct"/>
            <w:shd w:val="clear" w:color="auto" w:fill="auto"/>
            <w:vAlign w:val="center"/>
          </w:tcPr>
          <w:p w14:paraId="43E35D86" w14:textId="77777777" w:rsidR="00781CF6" w:rsidRPr="00903174" w:rsidRDefault="00781CF6" w:rsidP="006C1447">
            <w:pPr>
              <w:pStyle w:val="TableText"/>
            </w:pPr>
            <w:r w:rsidRPr="00903174">
              <w:t>20,100,838 in Year 1 increasing to 21,744,502 in Year 6. Australian Bureau of Statistics Population Projection (2020-2025)– 3222.0 Series B, adults 18-100 years inclusive.</w:t>
            </w:r>
          </w:p>
        </w:tc>
        <w:tc>
          <w:tcPr>
            <w:tcW w:w="2173" w:type="pct"/>
            <w:shd w:val="clear" w:color="auto" w:fill="auto"/>
            <w:vAlign w:val="center"/>
          </w:tcPr>
          <w:p w14:paraId="0487C6E2" w14:textId="77777777" w:rsidR="00781CF6" w:rsidRPr="00903174" w:rsidRDefault="00781CF6" w:rsidP="006C1447">
            <w:pPr>
              <w:pStyle w:val="TableText"/>
              <w:rPr>
                <w:i/>
              </w:rPr>
            </w:pPr>
            <w:r w:rsidRPr="00903174">
              <w:rPr>
                <w:i/>
              </w:rPr>
              <w:t>The submission inappropriately used 2020-2025 population estimates as inputs for 2021-2026 estimates without any adjustment.</w:t>
            </w:r>
          </w:p>
        </w:tc>
      </w:tr>
      <w:tr w:rsidR="00781CF6" w:rsidRPr="00903174" w14:paraId="35101AF4" w14:textId="77777777" w:rsidTr="00781CF6">
        <w:trPr>
          <w:cantSplit/>
        </w:trPr>
        <w:tc>
          <w:tcPr>
            <w:tcW w:w="862" w:type="pct"/>
            <w:shd w:val="clear" w:color="auto" w:fill="auto"/>
            <w:vAlign w:val="center"/>
          </w:tcPr>
          <w:p w14:paraId="6A7EA0E2" w14:textId="77777777" w:rsidR="00781CF6" w:rsidRPr="00903174" w:rsidRDefault="00781CF6" w:rsidP="006C1447">
            <w:pPr>
              <w:pStyle w:val="TableText"/>
            </w:pPr>
            <w:r w:rsidRPr="00903174">
              <w:t>Prevalence</w:t>
            </w:r>
          </w:p>
        </w:tc>
        <w:tc>
          <w:tcPr>
            <w:tcW w:w="1965" w:type="pct"/>
            <w:shd w:val="clear" w:color="auto" w:fill="auto"/>
            <w:vAlign w:val="center"/>
          </w:tcPr>
          <w:p w14:paraId="16EEF2C5" w14:textId="77777777" w:rsidR="00781CF6" w:rsidRPr="00903174" w:rsidRDefault="00781CF6" w:rsidP="006C1447">
            <w:pPr>
              <w:pStyle w:val="TableText"/>
            </w:pPr>
            <w:r w:rsidRPr="00903174">
              <w:t>0.0016%, based on Hill 2006 epidemiological study in Yorkshire, England in patients diagnosed with PNH between 1991 and 2006.</w:t>
            </w:r>
          </w:p>
        </w:tc>
        <w:tc>
          <w:tcPr>
            <w:tcW w:w="2173" w:type="pct"/>
            <w:shd w:val="clear" w:color="auto" w:fill="auto"/>
            <w:vAlign w:val="center"/>
          </w:tcPr>
          <w:p w14:paraId="67E41BEC" w14:textId="77777777" w:rsidR="00781CF6" w:rsidRPr="00903174" w:rsidRDefault="00781CF6" w:rsidP="006C1447">
            <w:pPr>
              <w:pStyle w:val="TableText"/>
              <w:rPr>
                <w:i/>
              </w:rPr>
            </w:pPr>
            <w:r w:rsidRPr="00903174">
              <w:rPr>
                <w:i/>
              </w:rPr>
              <w:t>Overall, the prevalence of PNH is likely to be an underestimate as it is based on diagnosed patients only. The data were captured over a 15-year period and likely to be higher over longer time frames.</w:t>
            </w:r>
          </w:p>
        </w:tc>
      </w:tr>
      <w:tr w:rsidR="00781CF6" w:rsidRPr="00903174" w14:paraId="53D3A613" w14:textId="77777777" w:rsidTr="00781CF6">
        <w:trPr>
          <w:cantSplit/>
        </w:trPr>
        <w:tc>
          <w:tcPr>
            <w:tcW w:w="862" w:type="pct"/>
            <w:shd w:val="clear" w:color="auto" w:fill="auto"/>
            <w:vAlign w:val="center"/>
          </w:tcPr>
          <w:p w14:paraId="45E6E3E6" w14:textId="77777777" w:rsidR="00781CF6" w:rsidRPr="00903174" w:rsidRDefault="00781CF6" w:rsidP="006C1447">
            <w:pPr>
              <w:pStyle w:val="TableText"/>
            </w:pPr>
            <w:r w:rsidRPr="00903174">
              <w:t>Proportion of eligible patients</w:t>
            </w:r>
          </w:p>
        </w:tc>
        <w:tc>
          <w:tcPr>
            <w:tcW w:w="1965" w:type="pct"/>
            <w:shd w:val="clear" w:color="auto" w:fill="auto"/>
            <w:vAlign w:val="center"/>
          </w:tcPr>
          <w:p w14:paraId="45C1BF8D" w14:textId="77777777" w:rsidR="00781CF6" w:rsidRPr="00903174" w:rsidRDefault="00781CF6" w:rsidP="006C1447">
            <w:pPr>
              <w:pStyle w:val="TableText"/>
            </w:pPr>
            <w:r w:rsidRPr="00903174">
              <w:t>43%, based on proportion with clone size greater than 10% in Hill 2006 study.</w:t>
            </w:r>
          </w:p>
        </w:tc>
        <w:tc>
          <w:tcPr>
            <w:tcW w:w="2173" w:type="pct"/>
            <w:shd w:val="clear" w:color="auto" w:fill="auto"/>
            <w:vAlign w:val="center"/>
          </w:tcPr>
          <w:p w14:paraId="34DE6BA0" w14:textId="77777777" w:rsidR="00781CF6" w:rsidRPr="00903174" w:rsidRDefault="00781CF6" w:rsidP="006C1447">
            <w:pPr>
              <w:pStyle w:val="TableText"/>
              <w:rPr>
                <w:i/>
              </w:rPr>
            </w:pPr>
            <w:r w:rsidRPr="00903174">
              <w:rPr>
                <w:i/>
              </w:rPr>
              <w:t>It was unclear if the clone size distribution reported was at diagnosis only due to limited detail in the abstract. Eligibility was based on clone size only; and did not account for other biochemical measures (e.g. LDH levels, blood counts) and clinical symptoms that were part of the requested restriction.</w:t>
            </w:r>
          </w:p>
        </w:tc>
      </w:tr>
      <w:tr w:rsidR="00781CF6" w:rsidRPr="00903174" w14:paraId="4B7CF7C1" w14:textId="77777777" w:rsidTr="00781CF6">
        <w:trPr>
          <w:cantSplit/>
        </w:trPr>
        <w:tc>
          <w:tcPr>
            <w:tcW w:w="862" w:type="pct"/>
            <w:shd w:val="clear" w:color="auto" w:fill="auto"/>
            <w:vAlign w:val="center"/>
          </w:tcPr>
          <w:p w14:paraId="799715A5" w14:textId="77777777" w:rsidR="00781CF6" w:rsidRPr="00903174" w:rsidRDefault="00781CF6" w:rsidP="006C1447">
            <w:pPr>
              <w:pStyle w:val="TableText"/>
            </w:pPr>
            <w:r w:rsidRPr="00903174">
              <w:t>Complement inhibitor uptake</w:t>
            </w:r>
          </w:p>
        </w:tc>
        <w:tc>
          <w:tcPr>
            <w:tcW w:w="1965" w:type="pct"/>
            <w:shd w:val="clear" w:color="auto" w:fill="auto"/>
            <w:vAlign w:val="center"/>
          </w:tcPr>
          <w:p w14:paraId="3426469D" w14:textId="77777777" w:rsidR="00781CF6" w:rsidRPr="00903174" w:rsidRDefault="00781CF6" w:rsidP="006C1447">
            <w:pPr>
              <w:pStyle w:val="TableText"/>
            </w:pPr>
            <w:r w:rsidRPr="00903174">
              <w:t xml:space="preserve">100%, assumed. </w:t>
            </w:r>
          </w:p>
        </w:tc>
        <w:tc>
          <w:tcPr>
            <w:tcW w:w="2173" w:type="pct"/>
            <w:shd w:val="clear" w:color="auto" w:fill="auto"/>
            <w:vAlign w:val="center"/>
          </w:tcPr>
          <w:p w14:paraId="3B6FCFA0" w14:textId="77777777" w:rsidR="00781CF6" w:rsidRPr="00903174" w:rsidRDefault="00781CF6" w:rsidP="006C1447">
            <w:pPr>
              <w:pStyle w:val="TableText"/>
              <w:rPr>
                <w:i/>
              </w:rPr>
            </w:pPr>
            <w:r w:rsidRPr="00903174">
              <w:rPr>
                <w:i/>
              </w:rPr>
              <w:t>No data were provided to support this assumption.</w:t>
            </w:r>
          </w:p>
        </w:tc>
      </w:tr>
      <w:tr w:rsidR="00781CF6" w:rsidRPr="00903174" w14:paraId="50099785" w14:textId="77777777" w:rsidTr="00781CF6">
        <w:trPr>
          <w:cantSplit/>
        </w:trPr>
        <w:tc>
          <w:tcPr>
            <w:tcW w:w="862" w:type="pct"/>
            <w:shd w:val="clear" w:color="auto" w:fill="auto"/>
            <w:vAlign w:val="center"/>
          </w:tcPr>
          <w:p w14:paraId="14397DA9" w14:textId="77777777" w:rsidR="00781CF6" w:rsidRPr="00903174" w:rsidRDefault="00781CF6" w:rsidP="006C1447">
            <w:pPr>
              <w:pStyle w:val="TableText"/>
            </w:pPr>
            <w:r w:rsidRPr="00903174">
              <w:t>Previously treated patients who are restarting treatment</w:t>
            </w:r>
          </w:p>
        </w:tc>
        <w:tc>
          <w:tcPr>
            <w:tcW w:w="1965" w:type="pct"/>
            <w:shd w:val="clear" w:color="auto" w:fill="auto"/>
            <w:vAlign w:val="center"/>
          </w:tcPr>
          <w:p w14:paraId="7C966800" w14:textId="77777777" w:rsidR="00781CF6" w:rsidRPr="00903174" w:rsidRDefault="0032244E" w:rsidP="006C1447">
            <w:pPr>
              <w:pStyle w:val="TableText"/>
            </w:pPr>
            <w:r>
              <w:t>Less than 10,000</w:t>
            </w:r>
            <w:r w:rsidR="00781CF6" w:rsidRPr="00903174">
              <w:t xml:space="preserve"> per patient per year, assumed based on sponsor’s experience with eculizumab on the LSDP</w:t>
            </w:r>
          </w:p>
        </w:tc>
        <w:tc>
          <w:tcPr>
            <w:tcW w:w="2173" w:type="pct"/>
            <w:shd w:val="clear" w:color="auto" w:fill="auto"/>
            <w:vAlign w:val="center"/>
          </w:tcPr>
          <w:p w14:paraId="3120BD44" w14:textId="77777777" w:rsidR="00781CF6" w:rsidRPr="00903174" w:rsidRDefault="00781CF6" w:rsidP="006C1447">
            <w:pPr>
              <w:pStyle w:val="TableText"/>
              <w:rPr>
                <w:i/>
              </w:rPr>
            </w:pPr>
            <w:r w:rsidRPr="00903174">
              <w:rPr>
                <w:i/>
              </w:rPr>
              <w:t>No data were provided to support this assumption.</w:t>
            </w:r>
          </w:p>
        </w:tc>
      </w:tr>
      <w:tr w:rsidR="00781CF6" w:rsidRPr="00903174" w14:paraId="6F622C2C" w14:textId="77777777" w:rsidTr="00781CF6">
        <w:trPr>
          <w:cantSplit/>
        </w:trPr>
        <w:tc>
          <w:tcPr>
            <w:tcW w:w="862" w:type="pct"/>
            <w:shd w:val="clear" w:color="auto" w:fill="auto"/>
            <w:vAlign w:val="center"/>
          </w:tcPr>
          <w:p w14:paraId="1B069D8A" w14:textId="77777777" w:rsidR="00781CF6" w:rsidRPr="00903174" w:rsidRDefault="00781CF6" w:rsidP="006C1447">
            <w:pPr>
              <w:pStyle w:val="TableText"/>
            </w:pPr>
            <w:r w:rsidRPr="00903174">
              <w:rPr>
                <w:i/>
                <w:snapToGrid w:val="0"/>
                <w:szCs w:val="20"/>
              </w:rPr>
              <w:t>Proportion of treated patients switching to and initiating ravulizumab</w:t>
            </w:r>
          </w:p>
        </w:tc>
        <w:tc>
          <w:tcPr>
            <w:tcW w:w="1965" w:type="pct"/>
            <w:shd w:val="clear" w:color="auto" w:fill="auto"/>
            <w:vAlign w:val="center"/>
          </w:tcPr>
          <w:p w14:paraId="67D670E7" w14:textId="77777777" w:rsidR="00781CF6" w:rsidRPr="00903174" w:rsidRDefault="00DF28C6" w:rsidP="006C1447">
            <w:pPr>
              <w:keepNext/>
              <w:rPr>
                <w:rFonts w:ascii="Arial Narrow" w:eastAsiaTheme="majorEastAsia" w:hAnsi="Arial Narrow" w:cstheme="majorBidi"/>
                <w:bCs/>
                <w:i/>
                <w:sz w:val="20"/>
                <w:szCs w:val="20"/>
              </w:rPr>
            </w:pPr>
            <w:r>
              <w:rPr>
                <w:rFonts w:ascii="Arial Narrow" w:hAnsi="Arial Narrow"/>
                <w:i/>
                <w:noProof/>
                <w:color w:val="000000"/>
                <w:sz w:val="20"/>
                <w:szCs w:val="20"/>
                <w:highlight w:val="black"/>
              </w:rPr>
              <w:t>''''''</w:t>
            </w:r>
            <w:r w:rsidR="00781CF6" w:rsidRPr="00903174">
              <w:rPr>
                <w:rFonts w:ascii="Arial Narrow" w:hAnsi="Arial Narrow"/>
                <w:i/>
                <w:sz w:val="20"/>
                <w:szCs w:val="20"/>
              </w:rPr>
              <w:t xml:space="preserve">% in Year 1, decreasing to </w:t>
            </w:r>
            <w:r>
              <w:rPr>
                <w:rFonts w:ascii="Arial Narrow" w:hAnsi="Arial Narrow"/>
                <w:i/>
                <w:noProof/>
                <w:color w:val="000000"/>
                <w:sz w:val="20"/>
                <w:szCs w:val="20"/>
                <w:highlight w:val="black"/>
              </w:rPr>
              <w:t>'''</w:t>
            </w:r>
            <w:r w:rsidR="00781CF6" w:rsidRPr="00903174">
              <w:rPr>
                <w:rFonts w:ascii="Arial Narrow" w:hAnsi="Arial Narrow"/>
                <w:i/>
                <w:sz w:val="20"/>
                <w:szCs w:val="20"/>
              </w:rPr>
              <w:t xml:space="preserve">% in Year 6. </w:t>
            </w:r>
            <w:r w:rsidR="00781CF6" w:rsidRPr="00903174">
              <w:rPr>
                <w:rFonts w:ascii="Arial Narrow" w:eastAsiaTheme="majorEastAsia" w:hAnsi="Arial Narrow" w:cstheme="majorBidi"/>
                <w:bCs/>
                <w:i/>
                <w:sz w:val="20"/>
                <w:szCs w:val="20"/>
              </w:rPr>
              <w:t>The approach in the submission assumes the majority of switching from eculizumab to ravulizumab occurs within 2-3 years and subsequently, new ravulizumab use was driven by restarting patients.</w:t>
            </w:r>
          </w:p>
        </w:tc>
        <w:tc>
          <w:tcPr>
            <w:tcW w:w="2173" w:type="pct"/>
            <w:shd w:val="clear" w:color="auto" w:fill="auto"/>
            <w:vAlign w:val="center"/>
          </w:tcPr>
          <w:p w14:paraId="28B6297B" w14:textId="77777777" w:rsidR="00781CF6" w:rsidRPr="00903174" w:rsidRDefault="00781CF6" w:rsidP="006C1447">
            <w:pPr>
              <w:pStyle w:val="TableText"/>
              <w:rPr>
                <w:i/>
              </w:rPr>
            </w:pPr>
            <w:r w:rsidRPr="00903174">
              <w:rPr>
                <w:i/>
              </w:rPr>
              <w:t>No data were provided to support this assumption</w:t>
            </w:r>
          </w:p>
        </w:tc>
      </w:tr>
      <w:tr w:rsidR="00781CF6" w:rsidRPr="00903174" w14:paraId="1C3D3E75" w14:textId="77777777" w:rsidTr="00781CF6">
        <w:trPr>
          <w:cantSplit/>
        </w:trPr>
        <w:tc>
          <w:tcPr>
            <w:tcW w:w="862" w:type="pct"/>
            <w:shd w:val="clear" w:color="auto" w:fill="auto"/>
            <w:vAlign w:val="center"/>
          </w:tcPr>
          <w:p w14:paraId="244581AE" w14:textId="77777777" w:rsidR="00781CF6" w:rsidRPr="00903174" w:rsidRDefault="00781CF6" w:rsidP="006C1447">
            <w:pPr>
              <w:pStyle w:val="TableText"/>
            </w:pPr>
            <w:r w:rsidRPr="00903174">
              <w:t>Ravulizumab persistence</w:t>
            </w:r>
          </w:p>
        </w:tc>
        <w:tc>
          <w:tcPr>
            <w:tcW w:w="1965" w:type="pct"/>
            <w:shd w:val="clear" w:color="auto" w:fill="auto"/>
            <w:vAlign w:val="center"/>
          </w:tcPr>
          <w:p w14:paraId="198CC70E" w14:textId="77777777" w:rsidR="00781CF6" w:rsidRPr="00903174" w:rsidRDefault="00781CF6" w:rsidP="006C1447">
            <w:pPr>
              <w:pStyle w:val="TableText"/>
            </w:pPr>
            <w:r w:rsidRPr="00903174">
              <w:t>90% in the initial year, then 100% in continuing patients, assumed</w:t>
            </w:r>
          </w:p>
        </w:tc>
        <w:tc>
          <w:tcPr>
            <w:tcW w:w="2173" w:type="pct"/>
            <w:shd w:val="clear" w:color="auto" w:fill="auto"/>
            <w:vAlign w:val="center"/>
          </w:tcPr>
          <w:p w14:paraId="48BD2B91" w14:textId="77777777" w:rsidR="00781CF6" w:rsidRPr="00903174" w:rsidRDefault="00781CF6" w:rsidP="006C1447">
            <w:pPr>
              <w:pStyle w:val="TableText"/>
              <w:rPr>
                <w:i/>
              </w:rPr>
            </w:pPr>
            <w:r w:rsidRPr="00903174">
              <w:rPr>
                <w:i/>
              </w:rPr>
              <w:t>No data were provided to support this assumption.</w:t>
            </w:r>
          </w:p>
        </w:tc>
      </w:tr>
      <w:tr w:rsidR="00781CF6" w:rsidRPr="00903174" w14:paraId="188ED78E" w14:textId="77777777" w:rsidTr="00781CF6">
        <w:trPr>
          <w:cantSplit/>
        </w:trPr>
        <w:tc>
          <w:tcPr>
            <w:tcW w:w="5000" w:type="pct"/>
            <w:gridSpan w:val="3"/>
            <w:shd w:val="clear" w:color="auto" w:fill="auto"/>
            <w:vAlign w:val="center"/>
          </w:tcPr>
          <w:p w14:paraId="7491CDBE" w14:textId="77777777" w:rsidR="00781CF6" w:rsidRPr="00903174" w:rsidRDefault="00781CF6" w:rsidP="006C1447">
            <w:pPr>
              <w:pStyle w:val="TableText"/>
              <w:jc w:val="both"/>
              <w:rPr>
                <w:b/>
              </w:rPr>
            </w:pPr>
            <w:r w:rsidRPr="00903174">
              <w:rPr>
                <w:b/>
              </w:rPr>
              <w:t>Grandfathered patients</w:t>
            </w:r>
          </w:p>
        </w:tc>
      </w:tr>
      <w:tr w:rsidR="00781CF6" w:rsidRPr="00903174" w14:paraId="505E36E4" w14:textId="77777777" w:rsidTr="00781CF6">
        <w:trPr>
          <w:cantSplit/>
        </w:trPr>
        <w:tc>
          <w:tcPr>
            <w:tcW w:w="862" w:type="pct"/>
            <w:shd w:val="clear" w:color="auto" w:fill="auto"/>
            <w:vAlign w:val="center"/>
          </w:tcPr>
          <w:p w14:paraId="3AF01ADC" w14:textId="77777777" w:rsidR="00781CF6" w:rsidRPr="00903174" w:rsidRDefault="00781CF6" w:rsidP="006C1447">
            <w:pPr>
              <w:pStyle w:val="TableText"/>
            </w:pPr>
            <w:r w:rsidRPr="00903174">
              <w:t>Grandfathered ravulizumab patients</w:t>
            </w:r>
          </w:p>
        </w:tc>
        <w:tc>
          <w:tcPr>
            <w:tcW w:w="1965" w:type="pct"/>
            <w:shd w:val="clear" w:color="auto" w:fill="auto"/>
            <w:vAlign w:val="center"/>
          </w:tcPr>
          <w:p w14:paraId="28432D36" w14:textId="77777777" w:rsidR="00781CF6" w:rsidRPr="00903174" w:rsidRDefault="0032244E" w:rsidP="006C1447">
            <w:pPr>
              <w:pStyle w:val="TableText"/>
            </w:pPr>
            <w:r>
              <w:t>Less than 10,000</w:t>
            </w:r>
            <w:r w:rsidRPr="00903174">
              <w:t xml:space="preserve"> </w:t>
            </w:r>
            <w:r w:rsidR="00781CF6" w:rsidRPr="00903174">
              <w:t>Australian patients currently receiving ravulizumab through sponsor’s trials (Study 103, dose-escalation trial; Trials 301 and 302). The submission requested grandfathering provision for these patients.</w:t>
            </w:r>
          </w:p>
        </w:tc>
        <w:tc>
          <w:tcPr>
            <w:tcW w:w="2173" w:type="pct"/>
            <w:shd w:val="clear" w:color="auto" w:fill="auto"/>
            <w:vAlign w:val="center"/>
          </w:tcPr>
          <w:p w14:paraId="342A2871" w14:textId="77777777" w:rsidR="00781CF6" w:rsidRPr="00903174" w:rsidRDefault="00781CF6" w:rsidP="006C1447">
            <w:pPr>
              <w:pStyle w:val="TableText"/>
              <w:rPr>
                <w:i/>
              </w:rPr>
            </w:pPr>
            <w:r w:rsidRPr="00903174">
              <w:rPr>
                <w:i/>
              </w:rPr>
              <w:t>The submission did not provide an assessment of patient eligibility based on the requested restriction for ravulizumab. The submission only accounted for maintenance costs in Year 1, after which there were no further costs attributed to this population.</w:t>
            </w:r>
          </w:p>
        </w:tc>
      </w:tr>
    </w:tbl>
    <w:p w14:paraId="496C9960" w14:textId="77777777" w:rsidR="00781CF6" w:rsidRPr="00903174" w:rsidRDefault="00781CF6" w:rsidP="00781CF6">
      <w:pPr>
        <w:pStyle w:val="TableFigureFooter"/>
      </w:pPr>
      <w:r w:rsidRPr="00903174">
        <w:t>Source: Section 4, p 259-279 and ‘Attachment 7. Ultomiris Utilisation and Cost Model – Excel’ workbook of the submission</w:t>
      </w:r>
    </w:p>
    <w:p w14:paraId="6644DBD4" w14:textId="77777777" w:rsidR="00781CF6" w:rsidRPr="00903174" w:rsidRDefault="00781CF6" w:rsidP="00781CF6">
      <w:pPr>
        <w:pStyle w:val="TableFigureFooter"/>
        <w:rPr>
          <w:i/>
        </w:rPr>
      </w:pPr>
      <w:r w:rsidRPr="00903174">
        <w:rPr>
          <w:i/>
        </w:rPr>
        <w:t>Italicised estimates were used during the evaluation to simplify the overly complex approach used in the submission</w:t>
      </w:r>
    </w:p>
    <w:p w14:paraId="7AB239B1" w14:textId="77777777" w:rsidR="00781CF6" w:rsidRPr="00903174" w:rsidRDefault="00781CF6" w:rsidP="00415038">
      <w:pPr>
        <w:pStyle w:val="ExecSumBodyText"/>
        <w:numPr>
          <w:ilvl w:val="1"/>
          <w:numId w:val="1"/>
        </w:numPr>
      </w:pPr>
      <w:r w:rsidRPr="00903174">
        <w:t xml:space="preserve">The total market size for complement inhibitors was estimated using an overly complex, multi-step derivation of a treatment-naïve population (market share </w:t>
      </w:r>
      <w:r w:rsidRPr="00903174">
        <w:lastRenderedPageBreak/>
        <w:t xml:space="preserve">approach) and treatment-experienced population (epidemiological approach) with the addition of grandfathered patients. There is likely to be considerable overlap between these populations, which cannot be reliably estimated using mutually exclusive approaches. The reliability of combined patient estimates in this model was uncertain. It may be more appropriate to use a single, market share approach given available estimates of eculizumab use on the LSDP. </w:t>
      </w:r>
    </w:p>
    <w:p w14:paraId="225C27CD" w14:textId="77777777" w:rsidR="00781CF6" w:rsidRPr="00903174" w:rsidRDefault="00781CF6" w:rsidP="00415038">
      <w:pPr>
        <w:pStyle w:val="ExecSumBodyText"/>
        <w:numPr>
          <w:ilvl w:val="1"/>
          <w:numId w:val="1"/>
        </w:numPr>
      </w:pPr>
      <w:r w:rsidRPr="00903174">
        <w:t>There were multiple key assumptions used that were inadequately supported in the submission:</w:t>
      </w:r>
    </w:p>
    <w:p w14:paraId="446F978C" w14:textId="77777777" w:rsidR="00781CF6" w:rsidRPr="00903174" w:rsidRDefault="00781CF6" w:rsidP="00BB2169">
      <w:pPr>
        <w:pStyle w:val="ListParagraph"/>
        <w:numPr>
          <w:ilvl w:val="0"/>
          <w:numId w:val="8"/>
        </w:numPr>
      </w:pPr>
      <w:r w:rsidRPr="00903174">
        <w:t>Agreed growth numbers (</w:t>
      </w:r>
      <w:r w:rsidR="00DF28C6">
        <w:rPr>
          <w:noProof/>
          <w:color w:val="000000"/>
          <w:highlight w:val="black"/>
        </w:rPr>
        <w:t>'''''</w:t>
      </w:r>
      <w:r w:rsidRPr="00903174">
        <w:t xml:space="preserve"> per year) could not be reconciled with year-to-year differences in patient estimates of between </w:t>
      </w:r>
      <w:r w:rsidR="00FD7FD9">
        <w:t>less than 10,000</w:t>
      </w:r>
      <w:r w:rsidR="00FD7FD9" w:rsidRPr="00903174">
        <w:t xml:space="preserve"> </w:t>
      </w:r>
      <w:r w:rsidRPr="00903174">
        <w:t xml:space="preserve">to </w:t>
      </w:r>
      <w:r w:rsidR="00FD7FD9">
        <w:t>less than 10,000</w:t>
      </w:r>
      <w:r w:rsidR="00FD7FD9" w:rsidRPr="00903174">
        <w:t xml:space="preserve"> </w:t>
      </w:r>
      <w:r w:rsidRPr="00903174">
        <w:t>patients based on the current Deed of Agreement;</w:t>
      </w:r>
    </w:p>
    <w:p w14:paraId="0815B8EB" w14:textId="77777777" w:rsidR="00781CF6" w:rsidRPr="00903174" w:rsidRDefault="00781CF6" w:rsidP="00BB2169">
      <w:pPr>
        <w:pStyle w:val="ListParagraph"/>
        <w:numPr>
          <w:ilvl w:val="0"/>
          <w:numId w:val="8"/>
        </w:numPr>
      </w:pPr>
      <w:r w:rsidRPr="00903174">
        <w:t xml:space="preserve">The number of eligible patients in the treatment-experienced population was based on a prevalence of diagnosed patients only and the proportion reported having a clone size greater than 10% (which can fluctuate over time). The submission did not account for other criteria in the requested restriction; </w:t>
      </w:r>
    </w:p>
    <w:p w14:paraId="4463C7CB" w14:textId="77777777" w:rsidR="00781CF6" w:rsidRPr="00903174" w:rsidRDefault="00781CF6" w:rsidP="00BB2169">
      <w:pPr>
        <w:pStyle w:val="ListParagraph"/>
        <w:numPr>
          <w:ilvl w:val="0"/>
          <w:numId w:val="8"/>
        </w:numPr>
      </w:pPr>
      <w:r w:rsidRPr="00903174">
        <w:t>The submission assumed 100% of eligible patients would be treated with a complement inhibitor. In practice, it is likely that there is a prevalent pool of patients who would not receive treatment due to patient- and physician-related factors (e.g. safety concerns, co-morbidities, treatment burden);</w:t>
      </w:r>
    </w:p>
    <w:p w14:paraId="42F487F8" w14:textId="77777777" w:rsidR="00781CF6" w:rsidRPr="00903174" w:rsidRDefault="00781CF6" w:rsidP="00BB2169">
      <w:pPr>
        <w:pStyle w:val="ListParagraph"/>
        <w:numPr>
          <w:ilvl w:val="0"/>
          <w:numId w:val="8"/>
        </w:numPr>
      </w:pPr>
      <w:r w:rsidRPr="00903174">
        <w:t>The submission assumed no market growth due to the availability of ravulizumab. This assumption was inadequately justified given the clinical claim of non-inferior (potentially superior) efficacy and reduced treatment burden associated with ravulizumab compared with eculizumab;</w:t>
      </w:r>
    </w:p>
    <w:p w14:paraId="3A110B0A" w14:textId="77777777" w:rsidR="00781CF6" w:rsidRPr="00903174" w:rsidRDefault="00781CF6" w:rsidP="00BB2169">
      <w:pPr>
        <w:pStyle w:val="ListParagraph"/>
        <w:numPr>
          <w:ilvl w:val="0"/>
          <w:numId w:val="8"/>
        </w:numPr>
      </w:pPr>
      <w:r w:rsidRPr="00903174">
        <w:t xml:space="preserve">No data were presented in support of persistence estimates, the assumed </w:t>
      </w:r>
      <w:r w:rsidR="00B07AEE">
        <w:t>less than 10,000</w:t>
      </w:r>
      <w:r w:rsidR="00B07AEE" w:rsidRPr="00903174">
        <w:t xml:space="preserve"> </w:t>
      </w:r>
      <w:r w:rsidRPr="00903174">
        <w:t xml:space="preserve">patients per year who previously ceased treatment and were restarting therapy, and the assumed proportions of patients switching from eculizumab to ravulizumab. </w:t>
      </w:r>
    </w:p>
    <w:p w14:paraId="3AE13F39" w14:textId="77777777" w:rsidR="00781CF6" w:rsidRPr="00903174" w:rsidRDefault="00781CF6" w:rsidP="00415038">
      <w:pPr>
        <w:pStyle w:val="ExecSumBodyText"/>
        <w:numPr>
          <w:ilvl w:val="1"/>
          <w:numId w:val="1"/>
        </w:numPr>
      </w:pPr>
      <w:r w:rsidRPr="00903174">
        <w:t>There was a significant number of patients discontinuing treatment in the first year (90% persistence rate) who were not adequately accounted for and could not be reconciled with prevalence and incidence estimates.</w:t>
      </w:r>
    </w:p>
    <w:p w14:paraId="6E433736" w14:textId="77777777" w:rsidR="00781CF6" w:rsidRPr="00903174" w:rsidRDefault="00781CF6" w:rsidP="00415038">
      <w:pPr>
        <w:pStyle w:val="ExecSumBodyText"/>
        <w:numPr>
          <w:ilvl w:val="1"/>
          <w:numId w:val="1"/>
        </w:numPr>
      </w:pPr>
      <w:r w:rsidRPr="00903174">
        <w:t>It was unclear if there was any overlap between the grandfathered ravulizumab patients and the prevalent pool informing the treatment-experienced population. There was no assessment of these patients against eligibility criteria in the requested PBS restriction.</w:t>
      </w:r>
    </w:p>
    <w:p w14:paraId="23A9F3BA" w14:textId="77777777" w:rsidR="00781CF6" w:rsidRPr="00903174" w:rsidRDefault="00781CF6" w:rsidP="00415038">
      <w:pPr>
        <w:pStyle w:val="ExecSumBodyText"/>
        <w:numPr>
          <w:ilvl w:val="1"/>
          <w:numId w:val="1"/>
        </w:numPr>
      </w:pPr>
      <w:r w:rsidRPr="00903174">
        <w:t xml:space="preserve">The table below presents the estimated use and financial impact of ravulizumab listing on the PBS. </w:t>
      </w:r>
    </w:p>
    <w:p w14:paraId="49F7E9A1" w14:textId="77777777" w:rsidR="00E93AAD" w:rsidRDefault="00E93AAD">
      <w:pPr>
        <w:jc w:val="left"/>
        <w:rPr>
          <w:rFonts w:ascii="Arial Narrow" w:eastAsiaTheme="minorHAnsi" w:hAnsi="Arial Narrow" w:cstheme="minorBidi"/>
          <w:b/>
          <w:sz w:val="20"/>
          <w:szCs w:val="22"/>
          <w:lang w:eastAsia="en-US"/>
        </w:rPr>
      </w:pPr>
      <w:r>
        <w:br w:type="page"/>
      </w:r>
    </w:p>
    <w:p w14:paraId="46CAB522" w14:textId="77777777" w:rsidR="00781CF6" w:rsidRPr="00903174" w:rsidRDefault="00781CF6" w:rsidP="00D81E68">
      <w:pPr>
        <w:pStyle w:val="TableHeading"/>
        <w:spacing w:after="0"/>
      </w:pPr>
      <w:r w:rsidRPr="00903174">
        <w:lastRenderedPageBreak/>
        <w:t xml:space="preserve">Table </w:t>
      </w:r>
      <w:r w:rsidR="001D6AD7" w:rsidRPr="00903174">
        <w:t>2</w:t>
      </w:r>
      <w:r w:rsidR="0075618C" w:rsidRPr="00903174">
        <w:t>4</w:t>
      </w:r>
      <w:r w:rsidRPr="00903174">
        <w:t>: Estimated use and financial impact of ravulizumab to the 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7"/>
        <w:gridCol w:w="1102"/>
        <w:gridCol w:w="1102"/>
        <w:gridCol w:w="1102"/>
        <w:gridCol w:w="1102"/>
        <w:gridCol w:w="1118"/>
        <w:gridCol w:w="1084"/>
      </w:tblGrid>
      <w:tr w:rsidR="00781CF6" w:rsidRPr="00903174" w14:paraId="4EEF89ED" w14:textId="77777777" w:rsidTr="001F6554">
        <w:trPr>
          <w:tblHeader/>
        </w:trPr>
        <w:tc>
          <w:tcPr>
            <w:tcW w:w="1335" w:type="pct"/>
            <w:tcBorders>
              <w:left w:val="single" w:sz="4" w:space="0" w:color="auto"/>
              <w:bottom w:val="single" w:sz="4" w:space="0" w:color="auto"/>
            </w:tcBorders>
            <w:shd w:val="clear" w:color="auto" w:fill="auto"/>
            <w:tcMar>
              <w:left w:w="28" w:type="dxa"/>
              <w:right w:w="28" w:type="dxa"/>
            </w:tcMar>
            <w:vAlign w:val="center"/>
            <w:hideMark/>
          </w:tcPr>
          <w:p w14:paraId="6993A58D" w14:textId="77777777" w:rsidR="00781CF6" w:rsidRPr="00903174" w:rsidRDefault="00781CF6" w:rsidP="00781CF6">
            <w:pPr>
              <w:rPr>
                <w:rFonts w:ascii="Arial Narrow" w:hAnsi="Arial Narrow"/>
                <w:snapToGrid w:val="0"/>
                <w:sz w:val="20"/>
                <w:szCs w:val="20"/>
              </w:rPr>
            </w:pPr>
          </w:p>
        </w:tc>
        <w:tc>
          <w:tcPr>
            <w:tcW w:w="611" w:type="pct"/>
            <w:tcBorders>
              <w:bottom w:val="single" w:sz="4" w:space="0" w:color="auto"/>
            </w:tcBorders>
            <w:shd w:val="clear" w:color="auto" w:fill="auto"/>
            <w:tcMar>
              <w:left w:w="28" w:type="dxa"/>
              <w:right w:w="28" w:type="dxa"/>
            </w:tcMar>
            <w:vAlign w:val="center"/>
            <w:hideMark/>
          </w:tcPr>
          <w:p w14:paraId="60430802"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Year 1</w:t>
            </w:r>
          </w:p>
          <w:p w14:paraId="06972340"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(2021)</w:t>
            </w:r>
          </w:p>
        </w:tc>
        <w:tc>
          <w:tcPr>
            <w:tcW w:w="611" w:type="pct"/>
            <w:tcBorders>
              <w:bottom w:val="single" w:sz="4" w:space="0" w:color="auto"/>
            </w:tcBorders>
            <w:shd w:val="clear" w:color="auto" w:fill="auto"/>
            <w:tcMar>
              <w:left w:w="28" w:type="dxa"/>
              <w:right w:w="28" w:type="dxa"/>
            </w:tcMar>
            <w:vAlign w:val="center"/>
            <w:hideMark/>
          </w:tcPr>
          <w:p w14:paraId="6F2FFEA7"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Year 2</w:t>
            </w:r>
          </w:p>
          <w:p w14:paraId="1F49338C"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(2022)</w:t>
            </w:r>
          </w:p>
        </w:tc>
        <w:tc>
          <w:tcPr>
            <w:tcW w:w="611" w:type="pct"/>
            <w:tcBorders>
              <w:bottom w:val="single" w:sz="4" w:space="0" w:color="auto"/>
            </w:tcBorders>
            <w:shd w:val="clear" w:color="auto" w:fill="auto"/>
            <w:tcMar>
              <w:left w:w="28" w:type="dxa"/>
              <w:right w:w="28" w:type="dxa"/>
            </w:tcMar>
            <w:vAlign w:val="center"/>
            <w:hideMark/>
          </w:tcPr>
          <w:p w14:paraId="564B4478"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Year 3</w:t>
            </w:r>
            <w:r w:rsidRPr="00903174">
              <w:rPr>
                <w:rFonts w:ascii="Arial Narrow" w:hAnsi="Arial Narrow"/>
                <w:b/>
                <w:bCs/>
                <w:snapToGrid w:val="0"/>
                <w:sz w:val="20"/>
                <w:szCs w:val="20"/>
              </w:rPr>
              <w:br/>
              <w:t>(2023)</w:t>
            </w:r>
          </w:p>
        </w:tc>
        <w:tc>
          <w:tcPr>
            <w:tcW w:w="611" w:type="pct"/>
            <w:tcBorders>
              <w:bottom w:val="single" w:sz="4" w:space="0" w:color="auto"/>
            </w:tcBorders>
            <w:shd w:val="clear" w:color="auto" w:fill="auto"/>
            <w:tcMar>
              <w:left w:w="28" w:type="dxa"/>
              <w:right w:w="28" w:type="dxa"/>
            </w:tcMar>
            <w:vAlign w:val="center"/>
            <w:hideMark/>
          </w:tcPr>
          <w:p w14:paraId="208E9BCB"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Year 4</w:t>
            </w:r>
          </w:p>
          <w:p w14:paraId="19FB7950"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(2024)</w:t>
            </w:r>
          </w:p>
        </w:tc>
        <w:tc>
          <w:tcPr>
            <w:tcW w:w="620" w:type="pct"/>
            <w:tcBorders>
              <w:bottom w:val="single" w:sz="4" w:space="0" w:color="auto"/>
              <w:right w:val="single" w:sz="4" w:space="0" w:color="auto"/>
            </w:tcBorders>
            <w:shd w:val="clear" w:color="auto" w:fill="auto"/>
            <w:tcMar>
              <w:left w:w="28" w:type="dxa"/>
              <w:right w:w="28" w:type="dxa"/>
            </w:tcMar>
            <w:vAlign w:val="center"/>
            <w:hideMark/>
          </w:tcPr>
          <w:p w14:paraId="5F69BF3D"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Year 5</w:t>
            </w:r>
          </w:p>
          <w:p w14:paraId="76DA6471"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(2025)</w:t>
            </w:r>
          </w:p>
        </w:tc>
        <w:tc>
          <w:tcPr>
            <w:tcW w:w="601" w:type="pct"/>
            <w:tcBorders>
              <w:bottom w:val="single" w:sz="4" w:space="0" w:color="auto"/>
              <w:right w:val="single" w:sz="4" w:space="0" w:color="auto"/>
            </w:tcBorders>
            <w:tcMar>
              <w:left w:w="28" w:type="dxa"/>
              <w:right w:w="28" w:type="dxa"/>
            </w:tcMar>
            <w:vAlign w:val="center"/>
          </w:tcPr>
          <w:p w14:paraId="334C48B9"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Year 6</w:t>
            </w:r>
          </w:p>
          <w:p w14:paraId="108EBCD9" w14:textId="77777777" w:rsidR="00781CF6" w:rsidRPr="00903174" w:rsidRDefault="00781CF6" w:rsidP="00781CF6">
            <w:pPr>
              <w:jc w:val="center"/>
              <w:rPr>
                <w:rFonts w:ascii="Arial Narrow" w:hAnsi="Arial Narrow"/>
                <w:b/>
                <w:bCs/>
                <w:snapToGrid w:val="0"/>
                <w:sz w:val="20"/>
                <w:szCs w:val="20"/>
              </w:rPr>
            </w:pPr>
            <w:r w:rsidRPr="00903174">
              <w:rPr>
                <w:rFonts w:ascii="Arial Narrow" w:hAnsi="Arial Narrow"/>
                <w:b/>
                <w:bCs/>
                <w:snapToGrid w:val="0"/>
                <w:sz w:val="20"/>
                <w:szCs w:val="20"/>
              </w:rPr>
              <w:t>(2026)</w:t>
            </w:r>
          </w:p>
        </w:tc>
      </w:tr>
      <w:tr w:rsidR="00781CF6" w:rsidRPr="00903174" w14:paraId="3523C7B4" w14:textId="77777777" w:rsidTr="001F6554">
        <w:tc>
          <w:tcPr>
            <w:tcW w:w="5000" w:type="pct"/>
            <w:gridSpan w:val="7"/>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568B32AC" w14:textId="77777777" w:rsidR="00781CF6" w:rsidRPr="00903174" w:rsidRDefault="00781CF6" w:rsidP="00781CF6">
            <w:pPr>
              <w:jc w:val="left"/>
              <w:rPr>
                <w:rFonts w:ascii="Arial Narrow" w:hAnsi="Arial Narrow"/>
                <w:sz w:val="20"/>
              </w:rPr>
            </w:pPr>
            <w:r w:rsidRPr="00903174">
              <w:rPr>
                <w:rFonts w:ascii="Arial Narrow" w:hAnsi="Arial Narrow"/>
                <w:b/>
                <w:sz w:val="20"/>
                <w:szCs w:val="20"/>
              </w:rPr>
              <w:t>Estimated use of ravulizumab</w:t>
            </w:r>
          </w:p>
        </w:tc>
      </w:tr>
      <w:tr w:rsidR="00781CF6" w:rsidRPr="00903174" w14:paraId="220B7712"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38B1085A" w14:textId="77777777" w:rsidR="00781CF6" w:rsidRPr="00903174" w:rsidRDefault="00781CF6" w:rsidP="00781CF6">
            <w:pPr>
              <w:rPr>
                <w:rFonts w:ascii="Arial Narrow" w:hAnsi="Arial Narrow"/>
                <w:snapToGrid w:val="0"/>
                <w:sz w:val="20"/>
                <w:szCs w:val="20"/>
              </w:rPr>
            </w:pPr>
            <w:r w:rsidRPr="00903174">
              <w:rPr>
                <w:rFonts w:ascii="Arial Narrow" w:hAnsi="Arial Narrow"/>
                <w:snapToGrid w:val="0"/>
                <w:sz w:val="20"/>
                <w:szCs w:val="20"/>
              </w:rPr>
              <w:t>Ravulizumab initial patients</w:t>
            </w:r>
          </w:p>
        </w:tc>
        <w:tc>
          <w:tcPr>
            <w:tcW w:w="611" w:type="pct"/>
            <w:tcBorders>
              <w:bottom w:val="single" w:sz="4" w:space="0" w:color="auto"/>
            </w:tcBorders>
            <w:shd w:val="clear" w:color="auto" w:fill="auto"/>
            <w:tcMar>
              <w:left w:w="28" w:type="dxa"/>
              <w:right w:w="28" w:type="dxa"/>
            </w:tcMar>
            <w:vAlign w:val="center"/>
          </w:tcPr>
          <w:p w14:paraId="7A9A34DE"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08EB1021"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3CD66F9F"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0984F1FE"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4C445ED6"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1" w:type="pct"/>
            <w:tcBorders>
              <w:bottom w:val="single" w:sz="4" w:space="0" w:color="auto"/>
              <w:right w:val="single" w:sz="4" w:space="0" w:color="auto"/>
            </w:tcBorders>
            <w:tcMar>
              <w:left w:w="28" w:type="dxa"/>
              <w:right w:w="28" w:type="dxa"/>
            </w:tcMar>
            <w:vAlign w:val="center"/>
          </w:tcPr>
          <w:p w14:paraId="75F70F1B"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81CF6" w:rsidRPr="00903174" w14:paraId="325CFD6D"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2CE3B58C" w14:textId="77777777" w:rsidR="00781CF6" w:rsidRPr="00903174" w:rsidRDefault="00781CF6" w:rsidP="00781CF6">
            <w:pPr>
              <w:rPr>
                <w:rFonts w:ascii="Arial Narrow" w:hAnsi="Arial Narrow"/>
                <w:snapToGrid w:val="0"/>
                <w:sz w:val="20"/>
                <w:szCs w:val="20"/>
              </w:rPr>
            </w:pPr>
            <w:r w:rsidRPr="00903174">
              <w:rPr>
                <w:rFonts w:ascii="Arial Narrow" w:hAnsi="Arial Narrow"/>
                <w:snapToGrid w:val="0"/>
                <w:sz w:val="20"/>
                <w:szCs w:val="20"/>
              </w:rPr>
              <w:t xml:space="preserve">- Treatment naïve </w:t>
            </w:r>
          </w:p>
        </w:tc>
        <w:tc>
          <w:tcPr>
            <w:tcW w:w="611" w:type="pct"/>
            <w:tcBorders>
              <w:bottom w:val="single" w:sz="4" w:space="0" w:color="auto"/>
            </w:tcBorders>
            <w:shd w:val="clear" w:color="auto" w:fill="auto"/>
            <w:tcMar>
              <w:left w:w="28" w:type="dxa"/>
              <w:right w:w="28" w:type="dxa"/>
            </w:tcMar>
            <w:vAlign w:val="center"/>
          </w:tcPr>
          <w:p w14:paraId="36B884B1"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5FC7430E"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7A64583C"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7699E211"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08829227"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1" w:type="pct"/>
            <w:tcBorders>
              <w:bottom w:val="single" w:sz="4" w:space="0" w:color="auto"/>
              <w:right w:val="single" w:sz="4" w:space="0" w:color="auto"/>
            </w:tcBorders>
            <w:tcMar>
              <w:left w:w="28" w:type="dxa"/>
              <w:right w:w="28" w:type="dxa"/>
            </w:tcMar>
            <w:vAlign w:val="center"/>
          </w:tcPr>
          <w:p w14:paraId="142D8BE8"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81CF6" w:rsidRPr="00903174" w14:paraId="4A738870"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347316A4" w14:textId="77777777" w:rsidR="00781CF6" w:rsidRPr="00903174" w:rsidRDefault="00781CF6" w:rsidP="00781CF6">
            <w:pPr>
              <w:rPr>
                <w:rFonts w:ascii="Arial Narrow" w:hAnsi="Arial Narrow"/>
                <w:snapToGrid w:val="0"/>
                <w:sz w:val="20"/>
                <w:szCs w:val="20"/>
              </w:rPr>
            </w:pPr>
            <w:r w:rsidRPr="00903174">
              <w:rPr>
                <w:rFonts w:ascii="Arial Narrow" w:hAnsi="Arial Narrow"/>
                <w:snapToGrid w:val="0"/>
                <w:sz w:val="20"/>
                <w:szCs w:val="20"/>
              </w:rPr>
              <w:t>- Treatment experienced</w:t>
            </w:r>
          </w:p>
        </w:tc>
        <w:tc>
          <w:tcPr>
            <w:tcW w:w="611" w:type="pct"/>
            <w:tcBorders>
              <w:bottom w:val="single" w:sz="4" w:space="0" w:color="auto"/>
            </w:tcBorders>
            <w:shd w:val="clear" w:color="auto" w:fill="auto"/>
            <w:tcMar>
              <w:left w:w="28" w:type="dxa"/>
              <w:right w:w="28" w:type="dxa"/>
            </w:tcMar>
            <w:vAlign w:val="center"/>
          </w:tcPr>
          <w:p w14:paraId="3E385577"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12337F70"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5CACB0EB"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680C2147"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34658EF0"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1" w:type="pct"/>
            <w:tcBorders>
              <w:bottom w:val="single" w:sz="4" w:space="0" w:color="auto"/>
              <w:right w:val="single" w:sz="4" w:space="0" w:color="auto"/>
            </w:tcBorders>
            <w:tcMar>
              <w:left w:w="28" w:type="dxa"/>
              <w:right w:w="28" w:type="dxa"/>
            </w:tcMar>
            <w:vAlign w:val="center"/>
          </w:tcPr>
          <w:p w14:paraId="3729677A"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81CF6" w:rsidRPr="00903174" w14:paraId="4B3595F2"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4D4617B7"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Ravulizumab continuing patients</w:t>
            </w:r>
          </w:p>
        </w:tc>
        <w:tc>
          <w:tcPr>
            <w:tcW w:w="611" w:type="pct"/>
            <w:tcBorders>
              <w:bottom w:val="single" w:sz="4" w:space="0" w:color="auto"/>
            </w:tcBorders>
            <w:shd w:val="clear" w:color="auto" w:fill="auto"/>
            <w:tcMar>
              <w:left w:w="28" w:type="dxa"/>
              <w:right w:w="28" w:type="dxa"/>
            </w:tcMar>
            <w:vAlign w:val="center"/>
          </w:tcPr>
          <w:p w14:paraId="150897F5"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05BA48A1"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56810BEC"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2FB348DB"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0BFED786"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1" w:type="pct"/>
            <w:tcBorders>
              <w:bottom w:val="single" w:sz="4" w:space="0" w:color="auto"/>
              <w:right w:val="single" w:sz="4" w:space="0" w:color="auto"/>
            </w:tcBorders>
            <w:tcMar>
              <w:left w:w="28" w:type="dxa"/>
              <w:right w:w="28" w:type="dxa"/>
            </w:tcMar>
            <w:vAlign w:val="center"/>
          </w:tcPr>
          <w:p w14:paraId="4A9EDA9D"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81CF6" w:rsidRPr="00903174" w14:paraId="73B05AE6"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61C647BE"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 xml:space="preserve">- Treatment naïve </w:t>
            </w:r>
          </w:p>
        </w:tc>
        <w:tc>
          <w:tcPr>
            <w:tcW w:w="611" w:type="pct"/>
            <w:tcBorders>
              <w:bottom w:val="single" w:sz="4" w:space="0" w:color="auto"/>
            </w:tcBorders>
            <w:shd w:val="clear" w:color="auto" w:fill="auto"/>
            <w:tcMar>
              <w:left w:w="28" w:type="dxa"/>
              <w:right w:w="28" w:type="dxa"/>
            </w:tcMar>
            <w:vAlign w:val="center"/>
          </w:tcPr>
          <w:p w14:paraId="0EBB3445"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3ED0F24A"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70EBD5B3"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2272258C"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10172688"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1" w:type="pct"/>
            <w:tcBorders>
              <w:bottom w:val="single" w:sz="4" w:space="0" w:color="auto"/>
              <w:right w:val="single" w:sz="4" w:space="0" w:color="auto"/>
            </w:tcBorders>
            <w:tcMar>
              <w:left w:w="28" w:type="dxa"/>
              <w:right w:w="28" w:type="dxa"/>
            </w:tcMar>
            <w:vAlign w:val="center"/>
          </w:tcPr>
          <w:p w14:paraId="632DEB7F"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81CF6" w:rsidRPr="00903174" w14:paraId="312F27B4"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4F9C1BBF"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 Treatment experienced</w:t>
            </w:r>
          </w:p>
        </w:tc>
        <w:tc>
          <w:tcPr>
            <w:tcW w:w="611" w:type="pct"/>
            <w:tcBorders>
              <w:bottom w:val="single" w:sz="4" w:space="0" w:color="auto"/>
            </w:tcBorders>
            <w:shd w:val="clear" w:color="auto" w:fill="auto"/>
            <w:tcMar>
              <w:left w:w="28" w:type="dxa"/>
              <w:right w:w="28" w:type="dxa"/>
            </w:tcMar>
            <w:vAlign w:val="center"/>
          </w:tcPr>
          <w:p w14:paraId="32E14155"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069436A5"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7F010678"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65622214"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00C2361B"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1" w:type="pct"/>
            <w:tcBorders>
              <w:bottom w:val="single" w:sz="4" w:space="0" w:color="auto"/>
              <w:right w:val="single" w:sz="4" w:space="0" w:color="auto"/>
            </w:tcBorders>
            <w:tcMar>
              <w:left w:w="28" w:type="dxa"/>
              <w:right w:w="28" w:type="dxa"/>
            </w:tcMar>
            <w:vAlign w:val="center"/>
          </w:tcPr>
          <w:p w14:paraId="35A25F4F"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81CF6" w:rsidRPr="00903174" w14:paraId="2AD1C3CC"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7912E6B3"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 Grandfathered</w:t>
            </w:r>
          </w:p>
        </w:tc>
        <w:tc>
          <w:tcPr>
            <w:tcW w:w="611" w:type="pct"/>
            <w:tcBorders>
              <w:bottom w:val="single" w:sz="4" w:space="0" w:color="auto"/>
            </w:tcBorders>
            <w:shd w:val="clear" w:color="auto" w:fill="auto"/>
            <w:tcMar>
              <w:left w:w="28" w:type="dxa"/>
              <w:right w:w="28" w:type="dxa"/>
            </w:tcMar>
            <w:vAlign w:val="center"/>
          </w:tcPr>
          <w:p w14:paraId="652957B6"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7E16D687"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4D30EB15"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bottom w:val="single" w:sz="4" w:space="0" w:color="auto"/>
            </w:tcBorders>
            <w:shd w:val="clear" w:color="auto" w:fill="auto"/>
            <w:tcMar>
              <w:left w:w="28" w:type="dxa"/>
              <w:right w:w="28" w:type="dxa"/>
            </w:tcMar>
            <w:vAlign w:val="center"/>
          </w:tcPr>
          <w:p w14:paraId="68B77026"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605654BE"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01" w:type="pct"/>
            <w:tcBorders>
              <w:bottom w:val="single" w:sz="4" w:space="0" w:color="auto"/>
              <w:right w:val="single" w:sz="4" w:space="0" w:color="auto"/>
            </w:tcBorders>
            <w:tcMar>
              <w:left w:w="28" w:type="dxa"/>
              <w:right w:w="28" w:type="dxa"/>
            </w:tcMar>
            <w:vAlign w:val="center"/>
          </w:tcPr>
          <w:p w14:paraId="6AFDEF49"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81CF6" w:rsidRPr="00903174" w14:paraId="63C8D991"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4C5141C0" w14:textId="77777777" w:rsidR="00781CF6" w:rsidRPr="00903174" w:rsidRDefault="00781CF6" w:rsidP="00781CF6">
            <w:pPr>
              <w:rPr>
                <w:rFonts w:ascii="Arial Narrow" w:hAnsi="Arial Narrow"/>
                <w:snapToGrid w:val="0"/>
                <w:sz w:val="20"/>
                <w:szCs w:val="20"/>
              </w:rPr>
            </w:pPr>
            <w:r w:rsidRPr="00903174">
              <w:rPr>
                <w:rFonts w:ascii="Arial Narrow" w:hAnsi="Arial Narrow"/>
                <w:snapToGrid w:val="0"/>
                <w:sz w:val="20"/>
                <w:szCs w:val="20"/>
              </w:rPr>
              <w:t>Total initial year scripts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 xml:space="preserve"> vials per patient)</w:t>
            </w:r>
          </w:p>
        </w:tc>
        <w:tc>
          <w:tcPr>
            <w:tcW w:w="611" w:type="pct"/>
            <w:tcBorders>
              <w:bottom w:val="single" w:sz="4" w:space="0" w:color="auto"/>
            </w:tcBorders>
            <w:shd w:val="clear" w:color="auto" w:fill="auto"/>
            <w:tcMar>
              <w:left w:w="28" w:type="dxa"/>
              <w:right w:w="28" w:type="dxa"/>
            </w:tcMar>
            <w:vAlign w:val="center"/>
          </w:tcPr>
          <w:p w14:paraId="64543804"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 </w:t>
            </w:r>
          </w:p>
        </w:tc>
        <w:tc>
          <w:tcPr>
            <w:tcW w:w="611" w:type="pct"/>
            <w:tcBorders>
              <w:bottom w:val="single" w:sz="4" w:space="0" w:color="auto"/>
            </w:tcBorders>
            <w:shd w:val="clear" w:color="auto" w:fill="auto"/>
            <w:tcMar>
              <w:left w:w="28" w:type="dxa"/>
              <w:right w:w="28" w:type="dxa"/>
            </w:tcMar>
            <w:vAlign w:val="center"/>
          </w:tcPr>
          <w:p w14:paraId="0DF5E66B"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 </w:t>
            </w:r>
          </w:p>
        </w:tc>
        <w:tc>
          <w:tcPr>
            <w:tcW w:w="611" w:type="pct"/>
            <w:tcBorders>
              <w:bottom w:val="single" w:sz="4" w:space="0" w:color="auto"/>
            </w:tcBorders>
            <w:shd w:val="clear" w:color="auto" w:fill="auto"/>
            <w:tcMar>
              <w:left w:w="28" w:type="dxa"/>
              <w:right w:w="28" w:type="dxa"/>
            </w:tcMar>
            <w:vAlign w:val="center"/>
          </w:tcPr>
          <w:p w14:paraId="2D955F1A"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 </w:t>
            </w:r>
          </w:p>
        </w:tc>
        <w:tc>
          <w:tcPr>
            <w:tcW w:w="611" w:type="pct"/>
            <w:tcBorders>
              <w:bottom w:val="single" w:sz="4" w:space="0" w:color="auto"/>
            </w:tcBorders>
            <w:shd w:val="clear" w:color="auto" w:fill="auto"/>
            <w:tcMar>
              <w:left w:w="28" w:type="dxa"/>
              <w:right w:w="28" w:type="dxa"/>
            </w:tcMar>
            <w:vAlign w:val="center"/>
          </w:tcPr>
          <w:p w14:paraId="566E462E"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 </w:t>
            </w:r>
          </w:p>
        </w:tc>
        <w:tc>
          <w:tcPr>
            <w:tcW w:w="620" w:type="pct"/>
            <w:tcBorders>
              <w:bottom w:val="single" w:sz="4" w:space="0" w:color="auto"/>
              <w:right w:val="single" w:sz="4" w:space="0" w:color="auto"/>
            </w:tcBorders>
            <w:shd w:val="clear" w:color="auto" w:fill="auto"/>
            <w:tcMar>
              <w:left w:w="28" w:type="dxa"/>
              <w:right w:w="28" w:type="dxa"/>
            </w:tcMar>
            <w:vAlign w:val="center"/>
          </w:tcPr>
          <w:p w14:paraId="5F873577"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 </w:t>
            </w:r>
          </w:p>
        </w:tc>
        <w:tc>
          <w:tcPr>
            <w:tcW w:w="601" w:type="pct"/>
            <w:tcBorders>
              <w:bottom w:val="single" w:sz="4" w:space="0" w:color="auto"/>
              <w:right w:val="single" w:sz="4" w:space="0" w:color="auto"/>
            </w:tcBorders>
            <w:tcMar>
              <w:left w:w="28" w:type="dxa"/>
              <w:right w:w="28" w:type="dxa"/>
            </w:tcMar>
            <w:vAlign w:val="center"/>
          </w:tcPr>
          <w:p w14:paraId="611AFF81"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 </w:t>
            </w:r>
          </w:p>
        </w:tc>
      </w:tr>
      <w:tr w:rsidR="00781CF6" w:rsidRPr="00903174" w14:paraId="51F4C779"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2B4F8A7C" w14:textId="77777777" w:rsidR="00781CF6" w:rsidRPr="00903174" w:rsidRDefault="00781CF6" w:rsidP="00781CF6">
            <w:pPr>
              <w:rPr>
                <w:rFonts w:ascii="Arial Narrow" w:hAnsi="Arial Narrow"/>
                <w:snapToGrid w:val="0"/>
                <w:sz w:val="20"/>
                <w:szCs w:val="20"/>
              </w:rPr>
            </w:pPr>
            <w:r w:rsidRPr="00903174">
              <w:rPr>
                <w:rFonts w:ascii="Arial Narrow" w:hAnsi="Arial Narrow"/>
                <w:snapToGrid w:val="0"/>
                <w:sz w:val="20"/>
                <w:szCs w:val="20"/>
              </w:rPr>
              <w:t>Total subsequent year scripts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 xml:space="preserve"> vials per patient)</w:t>
            </w:r>
          </w:p>
        </w:tc>
        <w:tc>
          <w:tcPr>
            <w:tcW w:w="611" w:type="pct"/>
            <w:tcBorders>
              <w:bottom w:val="single" w:sz="4" w:space="0" w:color="auto"/>
            </w:tcBorders>
            <w:shd w:val="clear" w:color="auto" w:fill="auto"/>
            <w:tcMar>
              <w:left w:w="28" w:type="dxa"/>
              <w:right w:w="28" w:type="dxa"/>
            </w:tcMar>
            <w:vAlign w:val="center"/>
          </w:tcPr>
          <w:p w14:paraId="258085B9"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4E96D968"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0C1F4466"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268FB9D3"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vAlign w:val="center"/>
          </w:tcPr>
          <w:p w14:paraId="72D8930A"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w:t>
            </w:r>
          </w:p>
        </w:tc>
        <w:tc>
          <w:tcPr>
            <w:tcW w:w="601" w:type="pct"/>
            <w:tcBorders>
              <w:bottom w:val="single" w:sz="4" w:space="0" w:color="auto"/>
              <w:right w:val="single" w:sz="4" w:space="0" w:color="auto"/>
            </w:tcBorders>
            <w:tcMar>
              <w:left w:w="28" w:type="dxa"/>
              <w:right w:w="28" w:type="dxa"/>
            </w:tcMar>
            <w:vAlign w:val="center"/>
          </w:tcPr>
          <w:p w14:paraId="798DDA18" w14:textId="77777777" w:rsidR="00781CF6" w:rsidRPr="00DF28C6" w:rsidRDefault="00DF28C6" w:rsidP="00781CF6">
            <w:pPr>
              <w:jc w:val="center"/>
              <w:rPr>
                <w:rFonts w:ascii="Arial Narrow" w:hAnsi="Arial Narrow"/>
                <w:sz w:val="20"/>
                <w:szCs w:val="20"/>
                <w:highlight w:val="black"/>
              </w:rPr>
            </w:pPr>
            <w:r>
              <w:rPr>
                <w:rFonts w:ascii="Arial Narrow" w:hAnsi="Arial Narrow"/>
                <w:noProof/>
                <w:color w:val="000000"/>
                <w:sz w:val="20"/>
                <w:highlight w:val="black"/>
              </w:rPr>
              <w:t xml:space="preserve">'''''''''''''''''' </w:t>
            </w:r>
          </w:p>
        </w:tc>
      </w:tr>
      <w:tr w:rsidR="00781CF6" w:rsidRPr="00903174" w14:paraId="0E9FE513"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3695576E" w14:textId="77777777" w:rsidR="00781CF6" w:rsidRPr="00903174" w:rsidRDefault="00781CF6" w:rsidP="00781CF6">
            <w:pPr>
              <w:rPr>
                <w:rFonts w:ascii="Arial Narrow" w:hAnsi="Arial Narrow"/>
                <w:snapToGrid w:val="0"/>
                <w:sz w:val="20"/>
                <w:szCs w:val="20"/>
              </w:rPr>
            </w:pPr>
            <w:r w:rsidRPr="00903174">
              <w:rPr>
                <w:rFonts w:ascii="Arial Narrow" w:hAnsi="Arial Narrow"/>
                <w:snapToGrid w:val="0"/>
                <w:sz w:val="20"/>
                <w:szCs w:val="20"/>
              </w:rPr>
              <w:t>Total scripts</w:t>
            </w:r>
          </w:p>
        </w:tc>
        <w:tc>
          <w:tcPr>
            <w:tcW w:w="611" w:type="pct"/>
            <w:tcBorders>
              <w:bottom w:val="single" w:sz="4" w:space="0" w:color="auto"/>
            </w:tcBorders>
            <w:shd w:val="clear" w:color="auto" w:fill="auto"/>
            <w:tcMar>
              <w:left w:w="28" w:type="dxa"/>
              <w:right w:w="28" w:type="dxa"/>
            </w:tcMar>
          </w:tcPr>
          <w:p w14:paraId="1A47F513"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559192C6"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4CB88A99"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5EA9F329"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tcPr>
          <w:p w14:paraId="38E25518"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01" w:type="pct"/>
            <w:tcBorders>
              <w:bottom w:val="single" w:sz="4" w:space="0" w:color="auto"/>
              <w:right w:val="single" w:sz="4" w:space="0" w:color="auto"/>
            </w:tcBorders>
            <w:tcMar>
              <w:left w:w="28" w:type="dxa"/>
              <w:right w:w="28" w:type="dxa"/>
            </w:tcMar>
          </w:tcPr>
          <w:p w14:paraId="5DE75475"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r>
      <w:tr w:rsidR="00781CF6" w:rsidRPr="00903174" w14:paraId="29619F35"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2723B1D7" w14:textId="77777777" w:rsidR="00781CF6" w:rsidRPr="00903174" w:rsidRDefault="00781CF6" w:rsidP="00781CF6">
            <w:pPr>
              <w:jc w:val="left"/>
              <w:rPr>
                <w:rFonts w:ascii="Arial Narrow" w:hAnsi="Arial Narrow"/>
                <w:b/>
                <w:snapToGrid w:val="0"/>
                <w:sz w:val="20"/>
                <w:szCs w:val="20"/>
              </w:rPr>
            </w:pPr>
            <w:r w:rsidRPr="00903174">
              <w:rPr>
                <w:rFonts w:ascii="Arial Narrow" w:hAnsi="Arial Narrow"/>
                <w:b/>
                <w:snapToGrid w:val="0"/>
                <w:sz w:val="20"/>
                <w:szCs w:val="20"/>
              </w:rPr>
              <w:t>Net cost of ravulizumab to the PBS (weighted DPMQ $</w:t>
            </w:r>
            <w:r w:rsidR="00DF28C6">
              <w:rPr>
                <w:rFonts w:ascii="Arial Narrow" w:hAnsi="Arial Narrow"/>
                <w:b/>
                <w:noProof/>
                <w:snapToGrid w:val="0"/>
                <w:color w:val="000000"/>
                <w:sz w:val="20"/>
                <w:szCs w:val="20"/>
                <w:highlight w:val="black"/>
              </w:rPr>
              <w:t>''''''''''''''''''</w:t>
            </w:r>
            <w:r w:rsidRPr="00903174">
              <w:rPr>
                <w:rFonts w:ascii="Arial Narrow" w:hAnsi="Arial Narrow"/>
                <w:b/>
                <w:snapToGrid w:val="0"/>
                <w:sz w:val="20"/>
                <w:szCs w:val="20"/>
              </w:rPr>
              <w:t xml:space="preserve"> per script)</w:t>
            </w:r>
          </w:p>
        </w:tc>
        <w:tc>
          <w:tcPr>
            <w:tcW w:w="611" w:type="pct"/>
            <w:tcBorders>
              <w:bottom w:val="single" w:sz="4" w:space="0" w:color="auto"/>
            </w:tcBorders>
            <w:shd w:val="clear" w:color="auto" w:fill="auto"/>
            <w:tcMar>
              <w:left w:w="28" w:type="dxa"/>
              <w:right w:w="28" w:type="dxa"/>
            </w:tcMar>
            <w:vAlign w:val="center"/>
          </w:tcPr>
          <w:p w14:paraId="1F6A57D4"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11" w:type="pct"/>
            <w:tcBorders>
              <w:bottom w:val="single" w:sz="4" w:space="0" w:color="auto"/>
            </w:tcBorders>
            <w:shd w:val="clear" w:color="auto" w:fill="auto"/>
            <w:tcMar>
              <w:left w:w="28" w:type="dxa"/>
              <w:right w:w="28" w:type="dxa"/>
            </w:tcMar>
            <w:vAlign w:val="center"/>
          </w:tcPr>
          <w:p w14:paraId="4DB827DF"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11" w:type="pct"/>
            <w:tcBorders>
              <w:bottom w:val="single" w:sz="4" w:space="0" w:color="auto"/>
            </w:tcBorders>
            <w:shd w:val="clear" w:color="auto" w:fill="auto"/>
            <w:tcMar>
              <w:left w:w="28" w:type="dxa"/>
              <w:right w:w="28" w:type="dxa"/>
            </w:tcMar>
            <w:vAlign w:val="center"/>
          </w:tcPr>
          <w:p w14:paraId="2CDE7745"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11" w:type="pct"/>
            <w:tcBorders>
              <w:bottom w:val="single" w:sz="4" w:space="0" w:color="auto"/>
            </w:tcBorders>
            <w:shd w:val="clear" w:color="auto" w:fill="auto"/>
            <w:tcMar>
              <w:left w:w="28" w:type="dxa"/>
              <w:right w:w="28" w:type="dxa"/>
            </w:tcMar>
            <w:vAlign w:val="center"/>
          </w:tcPr>
          <w:p w14:paraId="6D926310"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20" w:type="pct"/>
            <w:tcBorders>
              <w:bottom w:val="single" w:sz="4" w:space="0" w:color="auto"/>
              <w:right w:val="single" w:sz="4" w:space="0" w:color="auto"/>
            </w:tcBorders>
            <w:shd w:val="clear" w:color="auto" w:fill="auto"/>
            <w:tcMar>
              <w:left w:w="28" w:type="dxa"/>
              <w:right w:w="28" w:type="dxa"/>
            </w:tcMar>
            <w:vAlign w:val="center"/>
          </w:tcPr>
          <w:p w14:paraId="23EF4437"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01" w:type="pct"/>
            <w:tcBorders>
              <w:bottom w:val="single" w:sz="4" w:space="0" w:color="auto"/>
              <w:right w:val="single" w:sz="4" w:space="0" w:color="auto"/>
            </w:tcBorders>
            <w:tcMar>
              <w:left w:w="28" w:type="dxa"/>
              <w:right w:w="28" w:type="dxa"/>
            </w:tcMar>
            <w:vAlign w:val="center"/>
          </w:tcPr>
          <w:p w14:paraId="2D18BEEF"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r>
      <w:tr w:rsidR="00781CF6" w:rsidRPr="00903174" w14:paraId="36172872"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21257991" w14:textId="77777777" w:rsidR="00781CF6" w:rsidRPr="00903174" w:rsidRDefault="00781CF6" w:rsidP="00781CF6">
            <w:pPr>
              <w:rPr>
                <w:rFonts w:ascii="Arial Narrow" w:hAnsi="Arial Narrow"/>
                <w:snapToGrid w:val="0"/>
                <w:sz w:val="20"/>
                <w:szCs w:val="20"/>
              </w:rPr>
            </w:pPr>
            <w:r w:rsidRPr="00903174">
              <w:rPr>
                <w:rFonts w:ascii="Arial Narrow" w:hAnsi="Arial Narrow"/>
                <w:snapToGrid w:val="0"/>
                <w:sz w:val="20"/>
                <w:szCs w:val="20"/>
              </w:rPr>
              <w:t>Initial scripts from treatment-experienced patients switching to ravulizumab (8.7 vials loading dose only)</w:t>
            </w:r>
            <w:r w:rsidRPr="00903174">
              <w:rPr>
                <w:rFonts w:ascii="Arial Narrow" w:hAnsi="Arial Narrow"/>
                <w:snapToGrid w:val="0"/>
                <w:sz w:val="20"/>
                <w:szCs w:val="20"/>
                <w:vertAlign w:val="superscript"/>
              </w:rPr>
              <w:t>a</w:t>
            </w:r>
          </w:p>
        </w:tc>
        <w:tc>
          <w:tcPr>
            <w:tcW w:w="611" w:type="pct"/>
            <w:tcBorders>
              <w:bottom w:val="single" w:sz="4" w:space="0" w:color="auto"/>
            </w:tcBorders>
            <w:shd w:val="clear" w:color="auto" w:fill="auto"/>
            <w:tcMar>
              <w:left w:w="28" w:type="dxa"/>
              <w:right w:w="28" w:type="dxa"/>
            </w:tcMar>
            <w:vAlign w:val="center"/>
          </w:tcPr>
          <w:p w14:paraId="35B563D4" w14:textId="77777777" w:rsidR="00781CF6" w:rsidRPr="00903174" w:rsidRDefault="00781CF6" w:rsidP="00781CF6">
            <w:pPr>
              <w:jc w:val="center"/>
              <w:rPr>
                <w:rFonts w:ascii="Arial Narrow" w:hAnsi="Arial Narrow"/>
                <w:b/>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0AC37FAE" w14:textId="77777777" w:rsidR="00781CF6" w:rsidRPr="00903174" w:rsidRDefault="00781CF6" w:rsidP="00781CF6">
            <w:pPr>
              <w:jc w:val="center"/>
              <w:rPr>
                <w:rFonts w:ascii="Arial Narrow" w:hAnsi="Arial Narrow"/>
                <w:b/>
                <w:sz w:val="20"/>
              </w:rPr>
            </w:pPr>
            <w:r w:rsidRPr="00903174">
              <w:rPr>
                <w:rFonts w:ascii="Arial Narrow" w:hAnsi="Arial Narrow"/>
                <w:sz w:val="20"/>
              </w:rPr>
              <w:t>-</w:t>
            </w:r>
            <w:r w:rsidR="00DF28C6">
              <w:rPr>
                <w:rFonts w:ascii="Arial Narrow" w:hAnsi="Arial Narrow"/>
                <w:noProof/>
                <w:color w:val="000000"/>
                <w:sz w:val="20"/>
                <w:highlight w:val="black"/>
              </w:rPr>
              <w:t>''''''''''</w:t>
            </w:r>
            <w:r w:rsidRPr="00903174">
              <w:rPr>
                <w:rFonts w:ascii="Arial Narrow" w:hAnsi="Arial Narrow"/>
                <w:sz w:val="20"/>
              </w:rPr>
              <w:t xml:space="preserve"> </w:t>
            </w:r>
          </w:p>
        </w:tc>
        <w:tc>
          <w:tcPr>
            <w:tcW w:w="611" w:type="pct"/>
            <w:tcBorders>
              <w:bottom w:val="single" w:sz="4" w:space="0" w:color="auto"/>
            </w:tcBorders>
            <w:shd w:val="clear" w:color="auto" w:fill="auto"/>
            <w:tcMar>
              <w:left w:w="28" w:type="dxa"/>
              <w:right w:w="28" w:type="dxa"/>
            </w:tcMar>
            <w:vAlign w:val="center"/>
          </w:tcPr>
          <w:p w14:paraId="0905EA84" w14:textId="77777777" w:rsidR="00781CF6" w:rsidRPr="00903174" w:rsidRDefault="00781CF6" w:rsidP="00781CF6">
            <w:pPr>
              <w:jc w:val="center"/>
              <w:rPr>
                <w:rFonts w:ascii="Arial Narrow" w:hAnsi="Arial Narrow"/>
                <w:b/>
                <w:sz w:val="20"/>
              </w:rPr>
            </w:pPr>
            <w:r w:rsidRPr="00903174">
              <w:rPr>
                <w:rFonts w:ascii="Arial Narrow" w:hAnsi="Arial Narrow"/>
                <w:sz w:val="20"/>
              </w:rPr>
              <w:t>-</w:t>
            </w:r>
            <w:r w:rsidR="00DF28C6">
              <w:rPr>
                <w:rFonts w:ascii="Arial Narrow" w:hAnsi="Arial Narrow"/>
                <w:noProof/>
                <w:color w:val="000000"/>
                <w:sz w:val="20"/>
                <w:highlight w:val="black"/>
              </w:rPr>
              <w:t>'''''''</w:t>
            </w:r>
            <w:r w:rsidRPr="00903174">
              <w:rPr>
                <w:rFonts w:ascii="Arial Narrow" w:hAnsi="Arial Narrow"/>
                <w:sz w:val="20"/>
              </w:rPr>
              <w:t xml:space="preserve">1 </w:t>
            </w:r>
          </w:p>
        </w:tc>
        <w:tc>
          <w:tcPr>
            <w:tcW w:w="611" w:type="pct"/>
            <w:tcBorders>
              <w:bottom w:val="single" w:sz="4" w:space="0" w:color="auto"/>
            </w:tcBorders>
            <w:shd w:val="clear" w:color="auto" w:fill="auto"/>
            <w:tcMar>
              <w:left w:w="28" w:type="dxa"/>
              <w:right w:w="28" w:type="dxa"/>
            </w:tcMar>
            <w:vAlign w:val="center"/>
          </w:tcPr>
          <w:p w14:paraId="43027530" w14:textId="77777777" w:rsidR="00781CF6" w:rsidRPr="00903174" w:rsidRDefault="00781CF6" w:rsidP="00781CF6">
            <w:pPr>
              <w:jc w:val="center"/>
              <w:rPr>
                <w:rFonts w:ascii="Arial Narrow" w:hAnsi="Arial Narrow"/>
                <w:b/>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vAlign w:val="center"/>
          </w:tcPr>
          <w:p w14:paraId="505684DC" w14:textId="77777777" w:rsidR="00781CF6" w:rsidRPr="00903174" w:rsidRDefault="00781CF6" w:rsidP="00781CF6">
            <w:pPr>
              <w:jc w:val="center"/>
              <w:rPr>
                <w:rFonts w:ascii="Arial Narrow" w:hAnsi="Arial Narrow"/>
                <w:b/>
                <w:sz w:val="20"/>
              </w:rPr>
            </w:pPr>
            <w:r w:rsidRPr="00903174">
              <w:rPr>
                <w:rFonts w:ascii="Arial Narrow" w:hAnsi="Arial Narrow"/>
                <w:sz w:val="20"/>
              </w:rPr>
              <w:t>-</w:t>
            </w:r>
            <w:r w:rsidR="00DF28C6">
              <w:rPr>
                <w:rFonts w:ascii="Arial Narrow" w:hAnsi="Arial Narrow"/>
                <w:noProof/>
                <w:color w:val="000000"/>
                <w:sz w:val="20"/>
                <w:highlight w:val="black"/>
              </w:rPr>
              <w:t>''''''</w:t>
            </w:r>
            <w:r w:rsidRPr="00903174">
              <w:rPr>
                <w:rFonts w:ascii="Arial Narrow" w:hAnsi="Arial Narrow"/>
                <w:sz w:val="20"/>
              </w:rPr>
              <w:t xml:space="preserve"> </w:t>
            </w:r>
          </w:p>
        </w:tc>
        <w:tc>
          <w:tcPr>
            <w:tcW w:w="601" w:type="pct"/>
            <w:tcBorders>
              <w:bottom w:val="single" w:sz="4" w:space="0" w:color="auto"/>
              <w:right w:val="single" w:sz="4" w:space="0" w:color="auto"/>
            </w:tcBorders>
            <w:tcMar>
              <w:left w:w="28" w:type="dxa"/>
              <w:right w:w="28" w:type="dxa"/>
            </w:tcMar>
            <w:vAlign w:val="center"/>
          </w:tcPr>
          <w:p w14:paraId="2233BE45" w14:textId="77777777" w:rsidR="00781CF6" w:rsidRPr="00903174" w:rsidRDefault="00781CF6" w:rsidP="00781CF6">
            <w:pPr>
              <w:jc w:val="center"/>
              <w:rPr>
                <w:rFonts w:ascii="Arial Narrow" w:hAnsi="Arial Narrow"/>
                <w:b/>
                <w:sz w:val="20"/>
              </w:rPr>
            </w:pPr>
            <w:r w:rsidRPr="00903174">
              <w:rPr>
                <w:rFonts w:ascii="Arial Narrow" w:hAnsi="Arial Narrow"/>
                <w:sz w:val="20"/>
              </w:rPr>
              <w:t>-</w:t>
            </w:r>
            <w:r w:rsidR="00DF28C6">
              <w:rPr>
                <w:rFonts w:ascii="Arial Narrow" w:hAnsi="Arial Narrow"/>
                <w:noProof/>
                <w:color w:val="000000"/>
                <w:sz w:val="20"/>
                <w:highlight w:val="black"/>
              </w:rPr>
              <w:t>'''''</w:t>
            </w:r>
            <w:r w:rsidRPr="00903174">
              <w:rPr>
                <w:rFonts w:ascii="Arial Narrow" w:hAnsi="Arial Narrow"/>
                <w:sz w:val="20"/>
              </w:rPr>
              <w:t xml:space="preserve"> </w:t>
            </w:r>
          </w:p>
        </w:tc>
      </w:tr>
      <w:tr w:rsidR="00781CF6" w:rsidRPr="00903174" w14:paraId="5996CD6C"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31776CEA"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Cost offset (weighted DPMQ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w:t>
            </w:r>
          </w:p>
        </w:tc>
        <w:tc>
          <w:tcPr>
            <w:tcW w:w="611" w:type="pct"/>
            <w:tcBorders>
              <w:bottom w:val="single" w:sz="4" w:space="0" w:color="auto"/>
            </w:tcBorders>
            <w:shd w:val="clear" w:color="auto" w:fill="auto"/>
            <w:tcMar>
              <w:left w:w="28" w:type="dxa"/>
              <w:right w:w="28" w:type="dxa"/>
            </w:tcMar>
            <w:vAlign w:val="center"/>
          </w:tcPr>
          <w:p w14:paraId="4D9A1C22"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2C361700"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321D1BE4"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21C3B8D8"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vAlign w:val="center"/>
          </w:tcPr>
          <w:p w14:paraId="6C970717"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01" w:type="pct"/>
            <w:tcBorders>
              <w:bottom w:val="single" w:sz="4" w:space="0" w:color="auto"/>
              <w:right w:val="single" w:sz="4" w:space="0" w:color="auto"/>
            </w:tcBorders>
            <w:tcMar>
              <w:left w:w="28" w:type="dxa"/>
              <w:right w:w="28" w:type="dxa"/>
            </w:tcMar>
            <w:vAlign w:val="center"/>
          </w:tcPr>
          <w:p w14:paraId="78F7E846"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r>
      <w:tr w:rsidR="00781CF6" w:rsidRPr="00903174" w14:paraId="00C28706" w14:textId="77777777" w:rsidTr="001F6554">
        <w:tc>
          <w:tcPr>
            <w:tcW w:w="1335" w:type="pct"/>
            <w:tcBorders>
              <w:left w:val="single" w:sz="4" w:space="0" w:color="auto"/>
            </w:tcBorders>
            <w:shd w:val="clear" w:color="auto" w:fill="auto"/>
            <w:noWrap/>
            <w:tcMar>
              <w:left w:w="28" w:type="dxa"/>
              <w:right w:w="28" w:type="dxa"/>
            </w:tcMar>
            <w:vAlign w:val="center"/>
          </w:tcPr>
          <w:p w14:paraId="09539C27" w14:textId="77777777" w:rsidR="00781CF6" w:rsidRPr="00903174" w:rsidRDefault="00781CF6" w:rsidP="00781CF6">
            <w:pPr>
              <w:rPr>
                <w:rFonts w:ascii="Arial Narrow" w:hAnsi="Arial Narrow"/>
                <w:b/>
                <w:snapToGrid w:val="0"/>
                <w:sz w:val="20"/>
                <w:szCs w:val="20"/>
              </w:rPr>
            </w:pPr>
            <w:r w:rsidRPr="00903174">
              <w:rPr>
                <w:rFonts w:ascii="Arial Narrow" w:hAnsi="Arial Narrow"/>
                <w:b/>
                <w:snapToGrid w:val="0"/>
                <w:sz w:val="20"/>
                <w:szCs w:val="20"/>
              </w:rPr>
              <w:t>Net cost of ravulizumab to PBS including RSA rebate for loading dose</w:t>
            </w:r>
          </w:p>
        </w:tc>
        <w:tc>
          <w:tcPr>
            <w:tcW w:w="611" w:type="pct"/>
            <w:shd w:val="clear" w:color="auto" w:fill="auto"/>
            <w:tcMar>
              <w:left w:w="28" w:type="dxa"/>
              <w:right w:w="28" w:type="dxa"/>
            </w:tcMar>
            <w:vAlign w:val="center"/>
          </w:tcPr>
          <w:p w14:paraId="679A3791"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11" w:type="pct"/>
            <w:shd w:val="clear" w:color="auto" w:fill="auto"/>
            <w:tcMar>
              <w:left w:w="28" w:type="dxa"/>
              <w:right w:w="28" w:type="dxa"/>
            </w:tcMar>
            <w:vAlign w:val="center"/>
          </w:tcPr>
          <w:p w14:paraId="2252A6BF"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11" w:type="pct"/>
            <w:shd w:val="clear" w:color="auto" w:fill="auto"/>
            <w:tcMar>
              <w:left w:w="28" w:type="dxa"/>
              <w:right w:w="28" w:type="dxa"/>
            </w:tcMar>
            <w:vAlign w:val="center"/>
          </w:tcPr>
          <w:p w14:paraId="57D3A488"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11" w:type="pct"/>
            <w:shd w:val="clear" w:color="auto" w:fill="auto"/>
            <w:tcMar>
              <w:left w:w="28" w:type="dxa"/>
              <w:right w:w="28" w:type="dxa"/>
            </w:tcMar>
            <w:vAlign w:val="center"/>
          </w:tcPr>
          <w:p w14:paraId="6D5BE99E"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20" w:type="pct"/>
            <w:tcBorders>
              <w:right w:val="single" w:sz="4" w:space="0" w:color="auto"/>
            </w:tcBorders>
            <w:shd w:val="clear" w:color="auto" w:fill="auto"/>
            <w:tcMar>
              <w:left w:w="28" w:type="dxa"/>
              <w:right w:w="28" w:type="dxa"/>
            </w:tcMar>
            <w:vAlign w:val="center"/>
          </w:tcPr>
          <w:p w14:paraId="7A1E4808"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c>
          <w:tcPr>
            <w:tcW w:w="601" w:type="pct"/>
            <w:tcBorders>
              <w:right w:val="single" w:sz="4" w:space="0" w:color="auto"/>
            </w:tcBorders>
            <w:tcMar>
              <w:left w:w="28" w:type="dxa"/>
              <w:right w:w="28" w:type="dxa"/>
            </w:tcMar>
            <w:vAlign w:val="center"/>
          </w:tcPr>
          <w:p w14:paraId="76BE6200"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r w:rsidRPr="00903174">
              <w:rPr>
                <w:rFonts w:ascii="Arial Narrow" w:hAnsi="Arial Narrow"/>
                <w:b/>
                <w:sz w:val="20"/>
              </w:rPr>
              <w:t xml:space="preserve"> </w:t>
            </w:r>
          </w:p>
        </w:tc>
      </w:tr>
      <w:tr w:rsidR="00781CF6" w:rsidRPr="00903174" w14:paraId="64DCFF90" w14:textId="77777777" w:rsidTr="001F6554">
        <w:tc>
          <w:tcPr>
            <w:tcW w:w="5000" w:type="pct"/>
            <w:gridSpan w:val="7"/>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41C2AFBF" w14:textId="77777777" w:rsidR="00781CF6" w:rsidRPr="00903174" w:rsidRDefault="00781CF6" w:rsidP="00781CF6">
            <w:pPr>
              <w:jc w:val="left"/>
              <w:rPr>
                <w:rFonts w:ascii="Arial Narrow" w:hAnsi="Arial Narrow"/>
                <w:b/>
                <w:sz w:val="20"/>
              </w:rPr>
            </w:pPr>
            <w:r w:rsidRPr="00903174">
              <w:rPr>
                <w:rFonts w:ascii="Arial Narrow" w:hAnsi="Arial Narrow"/>
                <w:b/>
                <w:sz w:val="20"/>
              </w:rPr>
              <w:t>Cost offsets due to substitution of eculizumab use on the LSDP</w:t>
            </w:r>
          </w:p>
        </w:tc>
      </w:tr>
      <w:tr w:rsidR="00781CF6" w:rsidRPr="00903174" w14:paraId="6C950A4D"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0D452011"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Substituted initial patients</w:t>
            </w:r>
          </w:p>
        </w:tc>
        <w:tc>
          <w:tcPr>
            <w:tcW w:w="611" w:type="pct"/>
            <w:tcBorders>
              <w:bottom w:val="single" w:sz="4" w:space="0" w:color="auto"/>
            </w:tcBorders>
            <w:shd w:val="clear" w:color="auto" w:fill="auto"/>
            <w:tcMar>
              <w:left w:w="28" w:type="dxa"/>
              <w:right w:w="28" w:type="dxa"/>
            </w:tcMar>
            <w:vAlign w:val="center"/>
          </w:tcPr>
          <w:p w14:paraId="2FEBDD1B"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068E1FBE"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156461B7"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47056AF8"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35E57C7E"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01" w:type="pct"/>
            <w:tcBorders>
              <w:bottom w:val="single" w:sz="4" w:space="0" w:color="auto"/>
              <w:right w:val="single" w:sz="4" w:space="0" w:color="auto"/>
            </w:tcBorders>
            <w:tcMar>
              <w:left w:w="28" w:type="dxa"/>
              <w:right w:w="28" w:type="dxa"/>
            </w:tcMar>
            <w:vAlign w:val="center"/>
          </w:tcPr>
          <w:p w14:paraId="3FE5C3CB"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r>
      <w:tr w:rsidR="00781CF6" w:rsidRPr="00903174" w14:paraId="5FB7A845"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2CB917B9"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Substituted continuing patients</w:t>
            </w:r>
          </w:p>
        </w:tc>
        <w:tc>
          <w:tcPr>
            <w:tcW w:w="611" w:type="pct"/>
            <w:tcBorders>
              <w:bottom w:val="single" w:sz="4" w:space="0" w:color="auto"/>
            </w:tcBorders>
            <w:shd w:val="clear" w:color="auto" w:fill="auto"/>
            <w:tcMar>
              <w:left w:w="28" w:type="dxa"/>
              <w:right w:w="28" w:type="dxa"/>
            </w:tcMar>
            <w:vAlign w:val="center"/>
          </w:tcPr>
          <w:p w14:paraId="53CFCF79"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665748CB"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3D908CE8"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6D7A6F1A"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0D053BF3"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01" w:type="pct"/>
            <w:tcBorders>
              <w:bottom w:val="single" w:sz="4" w:space="0" w:color="auto"/>
              <w:right w:val="single" w:sz="4" w:space="0" w:color="auto"/>
            </w:tcBorders>
            <w:tcMar>
              <w:left w:w="28" w:type="dxa"/>
              <w:right w:w="28" w:type="dxa"/>
            </w:tcMar>
            <w:vAlign w:val="center"/>
          </w:tcPr>
          <w:p w14:paraId="1CD9845D"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r>
      <w:tr w:rsidR="00781CF6" w:rsidRPr="00903174" w14:paraId="5C6D0909"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23BF39A8"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Grandfathered ravulizumab patients (continuing)</w:t>
            </w:r>
          </w:p>
        </w:tc>
        <w:tc>
          <w:tcPr>
            <w:tcW w:w="611" w:type="pct"/>
            <w:tcBorders>
              <w:bottom w:val="single" w:sz="4" w:space="0" w:color="auto"/>
            </w:tcBorders>
            <w:shd w:val="clear" w:color="auto" w:fill="auto"/>
            <w:tcMar>
              <w:left w:w="28" w:type="dxa"/>
              <w:right w:w="28" w:type="dxa"/>
            </w:tcMar>
            <w:vAlign w:val="center"/>
          </w:tcPr>
          <w:p w14:paraId="7A13ACA8"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5FD3A5EF"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5591BA3C"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52A265AA"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3B230ABE"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c>
          <w:tcPr>
            <w:tcW w:w="601" w:type="pct"/>
            <w:tcBorders>
              <w:bottom w:val="single" w:sz="4" w:space="0" w:color="auto"/>
              <w:right w:val="single" w:sz="4" w:space="0" w:color="auto"/>
            </w:tcBorders>
            <w:tcMar>
              <w:left w:w="28" w:type="dxa"/>
              <w:right w:w="28" w:type="dxa"/>
            </w:tcMar>
            <w:vAlign w:val="center"/>
          </w:tcPr>
          <w:p w14:paraId="4A5FE8A6"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w:t>
            </w:r>
          </w:p>
        </w:tc>
      </w:tr>
      <w:tr w:rsidR="00781CF6" w:rsidRPr="00903174" w14:paraId="06F43B4D"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5E008B37"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Initial year scripts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 xml:space="preserve"> vials/patient)</w:t>
            </w:r>
          </w:p>
        </w:tc>
        <w:tc>
          <w:tcPr>
            <w:tcW w:w="611" w:type="pct"/>
            <w:tcBorders>
              <w:bottom w:val="single" w:sz="4" w:space="0" w:color="auto"/>
            </w:tcBorders>
            <w:shd w:val="clear" w:color="auto" w:fill="auto"/>
            <w:tcMar>
              <w:left w:w="28" w:type="dxa"/>
              <w:right w:w="28" w:type="dxa"/>
            </w:tcMar>
            <w:vAlign w:val="center"/>
          </w:tcPr>
          <w:p w14:paraId="55E99ADD"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7DE700F9"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221D57DB"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5AC028BA"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vAlign w:val="center"/>
          </w:tcPr>
          <w:p w14:paraId="18E73BF1"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01" w:type="pct"/>
            <w:tcBorders>
              <w:bottom w:val="single" w:sz="4" w:space="0" w:color="auto"/>
              <w:right w:val="single" w:sz="4" w:space="0" w:color="auto"/>
            </w:tcBorders>
            <w:tcMar>
              <w:left w:w="28" w:type="dxa"/>
              <w:right w:w="28" w:type="dxa"/>
            </w:tcMar>
            <w:vAlign w:val="center"/>
          </w:tcPr>
          <w:p w14:paraId="79F35441"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r>
      <w:tr w:rsidR="00781CF6" w:rsidRPr="00903174" w14:paraId="4E476874"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6293ABD9"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Subsequent year scripts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 xml:space="preserve"> vials/patient)</w:t>
            </w:r>
          </w:p>
        </w:tc>
        <w:tc>
          <w:tcPr>
            <w:tcW w:w="611" w:type="pct"/>
            <w:tcBorders>
              <w:bottom w:val="single" w:sz="4" w:space="0" w:color="auto"/>
            </w:tcBorders>
            <w:shd w:val="clear" w:color="auto" w:fill="auto"/>
            <w:tcMar>
              <w:left w:w="28" w:type="dxa"/>
              <w:right w:w="28" w:type="dxa"/>
            </w:tcMar>
            <w:vAlign w:val="center"/>
          </w:tcPr>
          <w:p w14:paraId="56348A7C"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38B18B0B"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0E2FF03A"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601FA2A2"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vAlign w:val="center"/>
          </w:tcPr>
          <w:p w14:paraId="38AEF838"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01" w:type="pct"/>
            <w:tcBorders>
              <w:bottom w:val="single" w:sz="4" w:space="0" w:color="auto"/>
              <w:right w:val="single" w:sz="4" w:space="0" w:color="auto"/>
            </w:tcBorders>
            <w:tcMar>
              <w:left w:w="28" w:type="dxa"/>
              <w:right w:w="28" w:type="dxa"/>
            </w:tcMar>
            <w:vAlign w:val="center"/>
          </w:tcPr>
          <w:p w14:paraId="2B754E3E"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r>
      <w:tr w:rsidR="00781CF6" w:rsidRPr="00903174" w14:paraId="06D7A73C"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247F125E"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Total scripts</w:t>
            </w:r>
          </w:p>
        </w:tc>
        <w:tc>
          <w:tcPr>
            <w:tcW w:w="611" w:type="pct"/>
            <w:tcBorders>
              <w:bottom w:val="single" w:sz="4" w:space="0" w:color="auto"/>
            </w:tcBorders>
            <w:shd w:val="clear" w:color="auto" w:fill="auto"/>
            <w:tcMar>
              <w:left w:w="28" w:type="dxa"/>
              <w:right w:w="28" w:type="dxa"/>
            </w:tcMar>
          </w:tcPr>
          <w:p w14:paraId="39F06D07"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579366F4"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4CE18E6F"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04221278"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tcPr>
          <w:p w14:paraId="2A2B266A"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01" w:type="pct"/>
            <w:tcBorders>
              <w:bottom w:val="single" w:sz="4" w:space="0" w:color="auto"/>
              <w:right w:val="single" w:sz="4" w:space="0" w:color="auto"/>
            </w:tcBorders>
            <w:tcMar>
              <w:left w:w="28" w:type="dxa"/>
              <w:right w:w="28" w:type="dxa"/>
            </w:tcMar>
          </w:tcPr>
          <w:p w14:paraId="546D796A"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r>
      <w:tr w:rsidR="00781CF6" w:rsidRPr="00903174" w14:paraId="4F4836B1"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1A376677" w14:textId="77777777" w:rsidR="00781CF6" w:rsidRPr="00903174" w:rsidRDefault="00781CF6" w:rsidP="00781CF6">
            <w:pPr>
              <w:jc w:val="left"/>
              <w:rPr>
                <w:rFonts w:ascii="Arial Narrow" w:hAnsi="Arial Narrow"/>
                <w:snapToGrid w:val="0"/>
                <w:sz w:val="20"/>
                <w:szCs w:val="20"/>
                <w:vertAlign w:val="superscript"/>
              </w:rPr>
            </w:pPr>
            <w:r w:rsidRPr="00903174">
              <w:rPr>
                <w:rFonts w:ascii="Arial Narrow" w:hAnsi="Arial Narrow"/>
                <w:snapToGrid w:val="0"/>
                <w:sz w:val="20"/>
                <w:szCs w:val="20"/>
              </w:rPr>
              <w:t>Cost offset due to substitution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 xml:space="preserve"> per vial)</w:t>
            </w:r>
            <w:r w:rsidRPr="00903174">
              <w:rPr>
                <w:rFonts w:ascii="Arial Narrow" w:hAnsi="Arial Narrow"/>
                <w:snapToGrid w:val="0"/>
                <w:sz w:val="20"/>
                <w:szCs w:val="20"/>
                <w:vertAlign w:val="superscript"/>
              </w:rPr>
              <w:t>b</w:t>
            </w:r>
          </w:p>
        </w:tc>
        <w:tc>
          <w:tcPr>
            <w:tcW w:w="611" w:type="pct"/>
            <w:tcBorders>
              <w:bottom w:val="single" w:sz="4" w:space="0" w:color="auto"/>
            </w:tcBorders>
            <w:shd w:val="clear" w:color="auto" w:fill="auto"/>
            <w:tcMar>
              <w:left w:w="28" w:type="dxa"/>
              <w:right w:w="28" w:type="dxa"/>
            </w:tcMar>
            <w:vAlign w:val="center"/>
          </w:tcPr>
          <w:p w14:paraId="5A62A983"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160DEEF8"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2F95548B"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0ED93808"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3E475516"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01" w:type="pct"/>
            <w:tcBorders>
              <w:bottom w:val="single" w:sz="4" w:space="0" w:color="auto"/>
              <w:right w:val="single" w:sz="4" w:space="0" w:color="auto"/>
            </w:tcBorders>
            <w:tcMar>
              <w:left w:w="28" w:type="dxa"/>
              <w:right w:w="28" w:type="dxa"/>
            </w:tcMar>
            <w:vAlign w:val="center"/>
          </w:tcPr>
          <w:p w14:paraId="51980016"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r>
      <w:tr w:rsidR="00781CF6" w:rsidRPr="00903174" w14:paraId="28369383" w14:textId="77777777" w:rsidTr="001F6554">
        <w:tc>
          <w:tcPr>
            <w:tcW w:w="5000" w:type="pct"/>
            <w:gridSpan w:val="7"/>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2066F0F4" w14:textId="77777777" w:rsidR="00781CF6" w:rsidRPr="00903174" w:rsidRDefault="00781CF6" w:rsidP="00781CF6">
            <w:pPr>
              <w:jc w:val="left"/>
              <w:rPr>
                <w:rFonts w:ascii="Arial Narrow" w:hAnsi="Arial Narrow"/>
                <w:b/>
                <w:sz w:val="20"/>
              </w:rPr>
            </w:pPr>
            <w:r w:rsidRPr="00903174">
              <w:rPr>
                <w:rFonts w:ascii="Arial Narrow" w:hAnsi="Arial Narrow"/>
                <w:b/>
                <w:sz w:val="20"/>
              </w:rPr>
              <w:t>Cost of treatment administration</w:t>
            </w:r>
          </w:p>
        </w:tc>
      </w:tr>
      <w:tr w:rsidR="00781CF6" w:rsidRPr="00903174" w14:paraId="0ABD3896"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50C5DE62" w14:textId="77777777" w:rsidR="00781CF6" w:rsidRPr="00903174" w:rsidRDefault="00781CF6" w:rsidP="00781CF6">
            <w:pPr>
              <w:jc w:val="left"/>
              <w:rPr>
                <w:rFonts w:ascii="Arial Narrow" w:hAnsi="Arial Narrow"/>
                <w:snapToGrid w:val="0"/>
                <w:sz w:val="20"/>
                <w:szCs w:val="20"/>
              </w:rPr>
            </w:pPr>
            <w:r w:rsidRPr="00903174">
              <w:rPr>
                <w:rFonts w:ascii="Arial Narrow" w:hAnsi="Arial Narrow"/>
                <w:snapToGrid w:val="0"/>
                <w:sz w:val="20"/>
                <w:szCs w:val="20"/>
              </w:rPr>
              <w:t>Total ravulizumab patients</w:t>
            </w:r>
          </w:p>
        </w:tc>
        <w:tc>
          <w:tcPr>
            <w:tcW w:w="611" w:type="pct"/>
            <w:tcBorders>
              <w:bottom w:val="single" w:sz="4" w:space="0" w:color="auto"/>
            </w:tcBorders>
            <w:shd w:val="clear" w:color="auto" w:fill="auto"/>
            <w:tcMar>
              <w:left w:w="28" w:type="dxa"/>
              <w:right w:w="28" w:type="dxa"/>
            </w:tcMar>
          </w:tcPr>
          <w:p w14:paraId="51F12E9E"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2C963526"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1981ACCD"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tcPr>
          <w:p w14:paraId="1ECEFE94"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tcPr>
          <w:p w14:paraId="06093FE6"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c>
          <w:tcPr>
            <w:tcW w:w="601" w:type="pct"/>
            <w:tcBorders>
              <w:bottom w:val="single" w:sz="4" w:space="0" w:color="auto"/>
              <w:right w:val="single" w:sz="4" w:space="0" w:color="auto"/>
            </w:tcBorders>
            <w:tcMar>
              <w:left w:w="28" w:type="dxa"/>
              <w:right w:w="28" w:type="dxa"/>
            </w:tcMar>
          </w:tcPr>
          <w:p w14:paraId="2BE4FCA6" w14:textId="77777777" w:rsidR="00781CF6" w:rsidRPr="00DF28C6" w:rsidRDefault="00DF28C6" w:rsidP="00781CF6">
            <w:pPr>
              <w:jc w:val="center"/>
              <w:rPr>
                <w:rFonts w:ascii="Arial Narrow" w:hAnsi="Arial Narrow"/>
                <w:sz w:val="20"/>
                <w:highlight w:val="black"/>
              </w:rPr>
            </w:pPr>
            <w:r>
              <w:rPr>
                <w:rFonts w:ascii="Arial Narrow" w:hAnsi="Arial Narrow"/>
                <w:noProof/>
                <w:color w:val="000000"/>
                <w:sz w:val="20"/>
                <w:highlight w:val="black"/>
              </w:rPr>
              <w:t xml:space="preserve">'''''''''' </w:t>
            </w:r>
          </w:p>
        </w:tc>
      </w:tr>
      <w:tr w:rsidR="00781CF6" w:rsidRPr="00903174" w14:paraId="0671A04A"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18308286" w14:textId="77777777" w:rsidR="00781CF6" w:rsidRPr="00903174" w:rsidRDefault="00781CF6" w:rsidP="00781CF6">
            <w:pPr>
              <w:jc w:val="left"/>
              <w:rPr>
                <w:rFonts w:ascii="Arial Narrow" w:hAnsi="Arial Narrow"/>
                <w:snapToGrid w:val="0"/>
                <w:sz w:val="20"/>
                <w:szCs w:val="20"/>
                <w:vertAlign w:val="superscript"/>
              </w:rPr>
            </w:pPr>
            <w:r w:rsidRPr="00903174">
              <w:rPr>
                <w:rFonts w:ascii="Arial Narrow" w:hAnsi="Arial Narrow"/>
                <w:snapToGrid w:val="0"/>
                <w:sz w:val="20"/>
                <w:szCs w:val="20"/>
              </w:rPr>
              <w:t>MBS costs for ravulizumab infusions ($646.75/year)</w:t>
            </w:r>
            <w:r w:rsidRPr="00903174">
              <w:rPr>
                <w:rFonts w:ascii="Arial Narrow" w:hAnsi="Arial Narrow"/>
                <w:snapToGrid w:val="0"/>
                <w:sz w:val="20"/>
                <w:szCs w:val="20"/>
                <w:vertAlign w:val="superscript"/>
              </w:rPr>
              <w:t>c</w:t>
            </w:r>
          </w:p>
        </w:tc>
        <w:tc>
          <w:tcPr>
            <w:tcW w:w="611" w:type="pct"/>
            <w:tcBorders>
              <w:bottom w:val="single" w:sz="4" w:space="0" w:color="auto"/>
            </w:tcBorders>
            <w:shd w:val="clear" w:color="auto" w:fill="auto"/>
            <w:tcMar>
              <w:left w:w="28" w:type="dxa"/>
              <w:right w:w="28" w:type="dxa"/>
            </w:tcMar>
            <w:vAlign w:val="center"/>
          </w:tcPr>
          <w:p w14:paraId="180C12B8"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2236CDA0"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2B7B301E"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11" w:type="pct"/>
            <w:tcBorders>
              <w:bottom w:val="single" w:sz="4" w:space="0" w:color="auto"/>
            </w:tcBorders>
            <w:shd w:val="clear" w:color="auto" w:fill="auto"/>
            <w:tcMar>
              <w:left w:w="28" w:type="dxa"/>
              <w:right w:w="28" w:type="dxa"/>
            </w:tcMar>
            <w:vAlign w:val="center"/>
          </w:tcPr>
          <w:p w14:paraId="2FF1C332"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20" w:type="pct"/>
            <w:tcBorders>
              <w:bottom w:val="single" w:sz="4" w:space="0" w:color="auto"/>
              <w:right w:val="single" w:sz="4" w:space="0" w:color="auto"/>
            </w:tcBorders>
            <w:shd w:val="clear" w:color="auto" w:fill="auto"/>
            <w:tcMar>
              <w:left w:w="28" w:type="dxa"/>
              <w:right w:w="28" w:type="dxa"/>
            </w:tcMar>
            <w:vAlign w:val="center"/>
          </w:tcPr>
          <w:p w14:paraId="68DA15E6"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 xml:space="preserve">''''''''''''''''''' </w:t>
            </w:r>
          </w:p>
        </w:tc>
        <w:tc>
          <w:tcPr>
            <w:tcW w:w="601" w:type="pct"/>
            <w:tcBorders>
              <w:bottom w:val="single" w:sz="4" w:space="0" w:color="auto"/>
              <w:right w:val="single" w:sz="4" w:space="0" w:color="auto"/>
            </w:tcBorders>
            <w:tcMar>
              <w:left w:w="28" w:type="dxa"/>
              <w:right w:w="28" w:type="dxa"/>
            </w:tcMar>
            <w:vAlign w:val="center"/>
          </w:tcPr>
          <w:p w14:paraId="1187165D"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r w:rsidRPr="00903174">
              <w:rPr>
                <w:rFonts w:ascii="Arial Narrow" w:hAnsi="Arial Narrow"/>
                <w:sz w:val="20"/>
              </w:rPr>
              <w:t xml:space="preserve"> </w:t>
            </w:r>
          </w:p>
        </w:tc>
      </w:tr>
      <w:tr w:rsidR="00781CF6" w:rsidRPr="00903174" w14:paraId="4C250C30"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501EFAB1" w14:textId="77777777" w:rsidR="00781CF6" w:rsidRPr="00903174" w:rsidRDefault="00781CF6" w:rsidP="00781CF6">
            <w:pPr>
              <w:jc w:val="left"/>
              <w:rPr>
                <w:rFonts w:ascii="Arial Narrow" w:hAnsi="Arial Narrow"/>
                <w:snapToGrid w:val="0"/>
                <w:sz w:val="20"/>
                <w:szCs w:val="20"/>
                <w:vertAlign w:val="superscript"/>
              </w:rPr>
            </w:pPr>
            <w:r w:rsidRPr="00903174">
              <w:rPr>
                <w:rFonts w:ascii="Arial Narrow" w:hAnsi="Arial Narrow"/>
                <w:snapToGrid w:val="0"/>
                <w:sz w:val="20"/>
                <w:szCs w:val="20"/>
              </w:rPr>
              <w:t>MBS costs offset for eculizumab infusions ($1,718.60/year)</w:t>
            </w:r>
            <w:r w:rsidRPr="00903174">
              <w:rPr>
                <w:rFonts w:ascii="Arial Narrow" w:hAnsi="Arial Narrow"/>
                <w:snapToGrid w:val="0"/>
                <w:sz w:val="20"/>
                <w:szCs w:val="20"/>
                <w:vertAlign w:val="superscript"/>
              </w:rPr>
              <w:t>c</w:t>
            </w:r>
          </w:p>
        </w:tc>
        <w:tc>
          <w:tcPr>
            <w:tcW w:w="611" w:type="pct"/>
            <w:tcBorders>
              <w:bottom w:val="single" w:sz="4" w:space="0" w:color="auto"/>
            </w:tcBorders>
            <w:shd w:val="clear" w:color="auto" w:fill="auto"/>
            <w:tcMar>
              <w:left w:w="28" w:type="dxa"/>
              <w:right w:w="28" w:type="dxa"/>
            </w:tcMar>
            <w:vAlign w:val="center"/>
          </w:tcPr>
          <w:p w14:paraId="4F8440E6"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1FBAA746"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56AFFB99"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38540E40"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0BB375C9"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01" w:type="pct"/>
            <w:tcBorders>
              <w:bottom w:val="single" w:sz="4" w:space="0" w:color="auto"/>
              <w:right w:val="single" w:sz="4" w:space="0" w:color="auto"/>
            </w:tcBorders>
            <w:tcMar>
              <w:left w:w="28" w:type="dxa"/>
              <w:right w:w="28" w:type="dxa"/>
            </w:tcMar>
            <w:vAlign w:val="center"/>
          </w:tcPr>
          <w:p w14:paraId="7EBA4CE6"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r>
      <w:tr w:rsidR="00781CF6" w:rsidRPr="00903174" w14:paraId="6FF291B2"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4451785C" w14:textId="77777777" w:rsidR="00781CF6" w:rsidRPr="00903174" w:rsidRDefault="00781CF6" w:rsidP="00781CF6">
            <w:pPr>
              <w:rPr>
                <w:rFonts w:ascii="Arial Narrow" w:hAnsi="Arial Narrow"/>
                <w:snapToGrid w:val="0"/>
                <w:sz w:val="20"/>
                <w:szCs w:val="20"/>
              </w:rPr>
            </w:pPr>
            <w:r w:rsidRPr="00903174">
              <w:rPr>
                <w:rFonts w:ascii="Arial Narrow" w:hAnsi="Arial Narrow"/>
                <w:snapToGrid w:val="0"/>
                <w:sz w:val="20"/>
                <w:szCs w:val="20"/>
              </w:rPr>
              <w:t>Net cost to MBS</w:t>
            </w:r>
          </w:p>
        </w:tc>
        <w:tc>
          <w:tcPr>
            <w:tcW w:w="611" w:type="pct"/>
            <w:tcBorders>
              <w:bottom w:val="single" w:sz="4" w:space="0" w:color="auto"/>
            </w:tcBorders>
            <w:shd w:val="clear" w:color="auto" w:fill="auto"/>
            <w:tcMar>
              <w:left w:w="28" w:type="dxa"/>
              <w:right w:w="28" w:type="dxa"/>
            </w:tcMar>
          </w:tcPr>
          <w:p w14:paraId="048342FC"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tcPr>
          <w:p w14:paraId="3AAD5DB1"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tcPr>
          <w:p w14:paraId="27F02638"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tcMar>
              <w:left w:w="28" w:type="dxa"/>
              <w:right w:w="28" w:type="dxa"/>
            </w:tcMar>
          </w:tcPr>
          <w:p w14:paraId="42F700CB"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20" w:type="pct"/>
            <w:tcBorders>
              <w:bottom w:val="single" w:sz="4" w:space="0" w:color="auto"/>
              <w:right w:val="single" w:sz="4" w:space="0" w:color="auto"/>
            </w:tcBorders>
            <w:shd w:val="clear" w:color="auto" w:fill="auto"/>
            <w:tcMar>
              <w:left w:w="28" w:type="dxa"/>
              <w:right w:w="28" w:type="dxa"/>
            </w:tcMar>
          </w:tcPr>
          <w:p w14:paraId="18E64C68"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01" w:type="pct"/>
            <w:tcBorders>
              <w:bottom w:val="single" w:sz="4" w:space="0" w:color="auto"/>
              <w:right w:val="single" w:sz="4" w:space="0" w:color="auto"/>
            </w:tcBorders>
            <w:tcMar>
              <w:left w:w="28" w:type="dxa"/>
              <w:right w:w="28" w:type="dxa"/>
            </w:tcMar>
          </w:tcPr>
          <w:p w14:paraId="560DF165" w14:textId="77777777" w:rsidR="00781CF6" w:rsidRPr="00903174" w:rsidRDefault="00781CF6" w:rsidP="00781CF6">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r>
      <w:tr w:rsidR="00781CF6" w:rsidRPr="00903174" w14:paraId="033F06D1" w14:textId="77777777" w:rsidTr="001F6554">
        <w:tc>
          <w:tcPr>
            <w:tcW w:w="5000" w:type="pct"/>
            <w:gridSpan w:val="7"/>
            <w:tcBorders>
              <w:left w:val="single" w:sz="4" w:space="0" w:color="auto"/>
              <w:bottom w:val="single" w:sz="4" w:space="0" w:color="auto"/>
              <w:right w:val="single" w:sz="4" w:space="0" w:color="auto"/>
            </w:tcBorders>
            <w:shd w:val="clear" w:color="auto" w:fill="auto"/>
            <w:noWrap/>
            <w:tcMar>
              <w:left w:w="28" w:type="dxa"/>
              <w:right w:w="28" w:type="dxa"/>
            </w:tcMar>
            <w:vAlign w:val="center"/>
          </w:tcPr>
          <w:p w14:paraId="47CC49FB" w14:textId="77777777" w:rsidR="00781CF6" w:rsidRPr="00903174" w:rsidRDefault="00781CF6" w:rsidP="00781CF6">
            <w:pPr>
              <w:jc w:val="left"/>
              <w:rPr>
                <w:rFonts w:ascii="Arial Narrow" w:hAnsi="Arial Narrow"/>
                <w:b/>
                <w:sz w:val="20"/>
              </w:rPr>
            </w:pPr>
            <w:r w:rsidRPr="00903174">
              <w:rPr>
                <w:rFonts w:ascii="Arial Narrow" w:hAnsi="Arial Narrow"/>
                <w:b/>
                <w:sz w:val="20"/>
              </w:rPr>
              <w:t>Net cost to Government due to ravulizumab listing</w:t>
            </w:r>
          </w:p>
        </w:tc>
      </w:tr>
      <w:tr w:rsidR="00781CF6" w:rsidRPr="00903174" w14:paraId="7124DDA8" w14:textId="77777777" w:rsidTr="001F6554">
        <w:tc>
          <w:tcPr>
            <w:tcW w:w="1335" w:type="pct"/>
            <w:tcBorders>
              <w:left w:val="single" w:sz="4" w:space="0" w:color="auto"/>
              <w:bottom w:val="single" w:sz="4" w:space="0" w:color="auto"/>
            </w:tcBorders>
            <w:shd w:val="clear" w:color="auto" w:fill="auto"/>
            <w:noWrap/>
            <w:tcMar>
              <w:left w:w="28" w:type="dxa"/>
              <w:right w:w="28" w:type="dxa"/>
            </w:tcMar>
            <w:vAlign w:val="center"/>
          </w:tcPr>
          <w:p w14:paraId="23F5313B" w14:textId="77777777" w:rsidR="00781CF6" w:rsidRPr="00903174" w:rsidRDefault="00781CF6" w:rsidP="00781CF6">
            <w:pPr>
              <w:rPr>
                <w:rFonts w:ascii="Arial Narrow" w:hAnsi="Arial Narrow"/>
                <w:b/>
                <w:snapToGrid w:val="0"/>
                <w:sz w:val="20"/>
                <w:szCs w:val="20"/>
              </w:rPr>
            </w:pPr>
            <w:r w:rsidRPr="00903174">
              <w:rPr>
                <w:rFonts w:ascii="Arial Narrow" w:hAnsi="Arial Narrow"/>
                <w:b/>
                <w:snapToGrid w:val="0"/>
                <w:sz w:val="20"/>
                <w:szCs w:val="20"/>
              </w:rPr>
              <w:t>Net cost of ravulizumab including all cost offsets</w:t>
            </w:r>
          </w:p>
        </w:tc>
        <w:tc>
          <w:tcPr>
            <w:tcW w:w="611" w:type="pct"/>
            <w:tcBorders>
              <w:bottom w:val="single" w:sz="4" w:space="0" w:color="auto"/>
            </w:tcBorders>
            <w:shd w:val="clear" w:color="auto" w:fill="auto"/>
            <w:tcMar>
              <w:left w:w="28" w:type="dxa"/>
              <w:right w:w="28" w:type="dxa"/>
            </w:tcMar>
            <w:vAlign w:val="center"/>
          </w:tcPr>
          <w:p w14:paraId="106E6BD9"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772C0BEA"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6FD21707"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tcBorders>
              <w:bottom w:val="single" w:sz="4" w:space="0" w:color="auto"/>
            </w:tcBorders>
            <w:shd w:val="clear" w:color="auto" w:fill="auto"/>
            <w:tcMar>
              <w:left w:w="28" w:type="dxa"/>
              <w:right w:w="28" w:type="dxa"/>
            </w:tcMar>
            <w:vAlign w:val="center"/>
          </w:tcPr>
          <w:p w14:paraId="69CA4DAB"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20" w:type="pct"/>
            <w:tcBorders>
              <w:bottom w:val="single" w:sz="4" w:space="0" w:color="auto"/>
              <w:right w:val="single" w:sz="4" w:space="0" w:color="auto"/>
            </w:tcBorders>
            <w:shd w:val="clear" w:color="auto" w:fill="auto"/>
            <w:tcMar>
              <w:left w:w="28" w:type="dxa"/>
              <w:right w:w="28" w:type="dxa"/>
            </w:tcMar>
            <w:vAlign w:val="center"/>
          </w:tcPr>
          <w:p w14:paraId="11128924"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01" w:type="pct"/>
            <w:tcBorders>
              <w:bottom w:val="single" w:sz="4" w:space="0" w:color="auto"/>
              <w:right w:val="single" w:sz="4" w:space="0" w:color="auto"/>
            </w:tcBorders>
            <w:tcMar>
              <w:left w:w="28" w:type="dxa"/>
              <w:right w:w="28" w:type="dxa"/>
            </w:tcMar>
            <w:vAlign w:val="center"/>
          </w:tcPr>
          <w:p w14:paraId="0F23F2C3" w14:textId="77777777" w:rsidR="00781CF6" w:rsidRPr="00903174" w:rsidRDefault="00781CF6" w:rsidP="00781CF6">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r>
    </w:tbl>
    <w:p w14:paraId="2E58666D" w14:textId="77777777" w:rsidR="00781CF6" w:rsidRPr="00903174" w:rsidRDefault="00781CF6" w:rsidP="00781CF6">
      <w:pPr>
        <w:pStyle w:val="TableFooter"/>
      </w:pPr>
      <w:r w:rsidRPr="00903174">
        <w:t>Source: Section 4, 259-279 and ‘Attachment 7. Ultomiris Utilisation and Cost Model – Excel’ workbook of the submission</w:t>
      </w:r>
    </w:p>
    <w:p w14:paraId="105E28C2" w14:textId="77777777" w:rsidR="00781CF6" w:rsidRPr="00903174" w:rsidRDefault="00781CF6" w:rsidP="00781CF6">
      <w:pPr>
        <w:pStyle w:val="TableFooter"/>
      </w:pPr>
      <w:r w:rsidRPr="00903174">
        <w:rPr>
          <w:vertAlign w:val="superscript"/>
        </w:rPr>
        <w:t>a</w:t>
      </w:r>
      <w:r w:rsidRPr="00903174">
        <w:t xml:space="preserve"> The sponsor proposed a risk sharing arrangement to provide </w:t>
      </w:r>
      <w:r w:rsidR="00DF28C6">
        <w:rPr>
          <w:noProof/>
          <w:color w:val="000000"/>
          <w:highlight w:val="black"/>
        </w:rPr>
        <w:t>'''''''''''''''''' ''''''''''''''' ''''' '''''''''''''''''''''''''''' ''''' '''''' ''''''''''' ''''' '''''''''''''''''''''''''''''''''''''''''''''''' '''''''''''''''''' '''''''''''''''''''''' ''''' '''''''''''''''''''''''''''</w:t>
      </w:r>
    </w:p>
    <w:p w14:paraId="074E670F" w14:textId="77777777" w:rsidR="00781CF6" w:rsidRPr="00903174" w:rsidRDefault="00781CF6" w:rsidP="00781CF6">
      <w:pPr>
        <w:pStyle w:val="TableFooter"/>
      </w:pPr>
      <w:r w:rsidRPr="00903174">
        <w:rPr>
          <w:vertAlign w:val="superscript"/>
        </w:rPr>
        <w:lastRenderedPageBreak/>
        <w:t>b</w:t>
      </w:r>
      <w:r w:rsidRPr="00903174">
        <w:t xml:space="preserve"> AEMP per vial of eculizumab including 10% statutory price reduction in 2021</w:t>
      </w:r>
    </w:p>
    <w:p w14:paraId="65D44FFC" w14:textId="77777777" w:rsidR="00781CF6" w:rsidRPr="00903174" w:rsidRDefault="00781CF6" w:rsidP="00781CF6">
      <w:pPr>
        <w:pStyle w:val="TableFooter"/>
      </w:pPr>
      <w:r w:rsidRPr="00903174">
        <w:rPr>
          <w:vertAlign w:val="superscript"/>
        </w:rPr>
        <w:t>c</w:t>
      </w:r>
      <w:r w:rsidRPr="00903174">
        <w:t xml:space="preserve"> Based on annual number of infusions during maintenance phase only for ravulizumab (6.5) and eculizumab (26)</w:t>
      </w:r>
    </w:p>
    <w:p w14:paraId="1D0D76D4" w14:textId="77777777" w:rsidR="00781CF6" w:rsidRPr="00903174" w:rsidRDefault="00781CF6" w:rsidP="00781CF6">
      <w:pPr>
        <w:pStyle w:val="TableFooter"/>
      </w:pPr>
      <w:r w:rsidRPr="00903174">
        <w:t>Note: The weighted DPMQ for ravulizumab was estimated based on 90% public hospital and 10% private hospital use</w:t>
      </w:r>
    </w:p>
    <w:p w14:paraId="2894554B" w14:textId="77777777" w:rsidR="00781CF6" w:rsidRPr="00903174" w:rsidRDefault="00781CF6" w:rsidP="00781CF6">
      <w:pPr>
        <w:pStyle w:val="TableFooter"/>
      </w:pPr>
      <w:r w:rsidRPr="00903174">
        <w:t xml:space="preserve">There was an error in the budget impact model in the submission. The submission counted the loading doses for eculizumab twice in treatment-experienced patients switching to ravulizumab (i.e. </w:t>
      </w:r>
      <w:r w:rsidR="00DF28C6">
        <w:rPr>
          <w:noProof/>
          <w:color w:val="000000"/>
          <w:highlight w:val="black"/>
        </w:rPr>
        <w:t>'''''''</w:t>
      </w:r>
      <w:r w:rsidRPr="00903174">
        <w:t xml:space="preserve"> vials instead of </w:t>
      </w:r>
      <w:r w:rsidR="00DF28C6">
        <w:rPr>
          <w:noProof/>
          <w:color w:val="000000"/>
          <w:highlight w:val="black"/>
        </w:rPr>
        <w:t xml:space="preserve">''''''' </w:t>
      </w:r>
      <w:r w:rsidRPr="00903174">
        <w:t xml:space="preserve">vials). These estimates were corrected during the evaluation. </w:t>
      </w:r>
    </w:p>
    <w:p w14:paraId="5D98F383" w14:textId="77777777" w:rsidR="00781CF6" w:rsidRPr="00DD76F5" w:rsidRDefault="00781CF6" w:rsidP="00781CF6">
      <w:pPr>
        <w:rPr>
          <w:i/>
        </w:rPr>
      </w:pPr>
    </w:p>
    <w:p w14:paraId="4FC2DD8D" w14:textId="77777777" w:rsidR="00DD76F5" w:rsidRPr="00DD76F5" w:rsidRDefault="00DD76F5" w:rsidP="00781CF6">
      <w:pPr>
        <w:rPr>
          <w:i/>
        </w:rPr>
      </w:pPr>
      <w:r w:rsidRPr="00DD76F5">
        <w:rPr>
          <w:rFonts w:asciiTheme="minorHAnsi" w:hAnsiTheme="minorHAnsi"/>
          <w:i/>
        </w:rPr>
        <w:t>The redacted table shows that at Year 6, the estimated number of patients was less than 500 and the net cost to the PBS would be less than $10 million.</w:t>
      </w:r>
    </w:p>
    <w:p w14:paraId="01BA58D2" w14:textId="77777777" w:rsidR="00DD76F5" w:rsidRPr="00903174" w:rsidRDefault="00DD76F5" w:rsidP="00781CF6"/>
    <w:p w14:paraId="64EE27A9" w14:textId="77777777" w:rsidR="00E479A6" w:rsidRPr="00903174" w:rsidRDefault="00E479A6" w:rsidP="00E479A6">
      <w:pPr>
        <w:pStyle w:val="ExecSumBodyText"/>
        <w:numPr>
          <w:ilvl w:val="1"/>
          <w:numId w:val="1"/>
        </w:numPr>
      </w:pPr>
      <w:r w:rsidRPr="00903174">
        <w:t>Overall, both the estimated total number of patients who will be eligible for treatment with ravuliz</w:t>
      </w:r>
      <w:r w:rsidR="00717EC0" w:rsidRPr="00903174">
        <w:t>umab or eculizu</w:t>
      </w:r>
      <w:r w:rsidRPr="00903174">
        <w:t>mab via the LSDP and the expected annual increase in patients (see also Table 26) are higher than currently (current LSDP patients =</w:t>
      </w:r>
      <w:r w:rsidR="00DF28C6">
        <w:rPr>
          <w:noProof/>
          <w:color w:val="000000"/>
          <w:highlight w:val="black"/>
        </w:rPr>
        <w:t>''''''</w:t>
      </w:r>
      <w:r w:rsidRPr="00903174">
        <w:t xml:space="preserve">, new patients: </w:t>
      </w:r>
      <w:r w:rsidR="00DF28C6">
        <w:rPr>
          <w:noProof/>
          <w:color w:val="000000"/>
          <w:highlight w:val="black"/>
        </w:rPr>
        <w:t>'''</w:t>
      </w:r>
      <w:r w:rsidRPr="00903174">
        <w:t xml:space="preserve"> in 2018; </w:t>
      </w:r>
      <w:r w:rsidR="00DF28C6">
        <w:rPr>
          <w:noProof/>
          <w:color w:val="000000"/>
          <w:highlight w:val="black"/>
        </w:rPr>
        <w:t>'''''</w:t>
      </w:r>
      <w:r w:rsidRPr="00903174">
        <w:t xml:space="preserve"> in 2019; and</w:t>
      </w:r>
      <w:r w:rsidR="00DF28C6">
        <w:rPr>
          <w:noProof/>
          <w:color w:val="000000"/>
          <w:highlight w:val="black"/>
        </w:rPr>
        <w:t xml:space="preserve"> '''</w:t>
      </w:r>
      <w:r w:rsidRPr="00903174">
        <w:t xml:space="preserve"> in 2020), even taking into account the number of patients currently receiving alternative treatments in clinical trials (n = </w:t>
      </w:r>
      <w:r w:rsidR="00DF28C6">
        <w:rPr>
          <w:noProof/>
          <w:color w:val="000000"/>
          <w:highlight w:val="black"/>
        </w:rPr>
        <w:t>'''''</w:t>
      </w:r>
      <w:r w:rsidRPr="00903174">
        <w:t>)</w:t>
      </w:r>
      <w:r w:rsidR="00B4390A" w:rsidRPr="00903174">
        <w:t xml:space="preserve">. </w:t>
      </w:r>
      <w:r w:rsidRPr="00903174">
        <w:t>[Communication LSDP, 6 May 2020].</w:t>
      </w:r>
    </w:p>
    <w:p w14:paraId="1F746128" w14:textId="77777777" w:rsidR="00781CF6" w:rsidRPr="00903174" w:rsidRDefault="00781CF6" w:rsidP="00415038">
      <w:pPr>
        <w:pStyle w:val="ExecSumBodyText"/>
        <w:numPr>
          <w:ilvl w:val="1"/>
          <w:numId w:val="1"/>
        </w:numPr>
      </w:pPr>
      <w:r w:rsidRPr="00903174">
        <w:t xml:space="preserve">The net cost of ravulizumab to the PBS for patients with paroxysmal nocturnal haemoglobinuria was </w:t>
      </w:r>
      <w:r w:rsidR="002931B7">
        <w:t>$30 - $60</w:t>
      </w:r>
      <w:r w:rsidRPr="00903174">
        <w:t xml:space="preserve"> million in Year 1, increasing to </w:t>
      </w:r>
      <w:r w:rsidR="002931B7">
        <w:t xml:space="preserve">$60 - $100 </w:t>
      </w:r>
      <w:r w:rsidRPr="00903174">
        <w:t xml:space="preserve">million in Year 6, a total of </w:t>
      </w:r>
      <w:r w:rsidR="002931B7">
        <w:t xml:space="preserve">more than $100 </w:t>
      </w:r>
      <w:r w:rsidRPr="00903174">
        <w:t>million over 6 years. The net cost including a cost offset due to a proposed risk sharing agreement (</w:t>
      </w:r>
      <w:r w:rsidR="00DF28C6">
        <w:rPr>
          <w:noProof/>
          <w:color w:val="000000"/>
          <w:highlight w:val="black"/>
        </w:rPr>
        <w:t>''''''''''''''''''' ''''''''''''''' '''''''''''' '''' '''''''''''''''''''''' ''''' ''''' ''''''''' '''' '''''''''''''''''''''''''''''''''''''' ''''''''''''''''' '''''''''''''''''' ''''' '''''''''''''''''''''''</w:t>
      </w:r>
      <w:r w:rsidRPr="00903174">
        <w:t xml:space="preserve">) was </w:t>
      </w:r>
      <w:r w:rsidR="002931B7">
        <w:t>$30 - $60</w:t>
      </w:r>
      <w:r w:rsidRPr="00903174">
        <w:t xml:space="preserve"> million in Year 1, increasing to  </w:t>
      </w:r>
      <w:r w:rsidR="002931B7">
        <w:t xml:space="preserve">$60 - $100 </w:t>
      </w:r>
      <w:r w:rsidRPr="00903174">
        <w:t xml:space="preserve">million in Year 6, a total of </w:t>
      </w:r>
      <w:r w:rsidR="002931B7">
        <w:t xml:space="preserve">more than $100 </w:t>
      </w:r>
      <w:r w:rsidRPr="00903174">
        <w:t>million over 6 years.</w:t>
      </w:r>
    </w:p>
    <w:p w14:paraId="4EBFEF15" w14:textId="77777777" w:rsidR="00781CF6" w:rsidRPr="00903174" w:rsidRDefault="00781CF6" w:rsidP="00415038">
      <w:pPr>
        <w:pStyle w:val="ExecSumBodyText"/>
        <w:numPr>
          <w:ilvl w:val="1"/>
          <w:numId w:val="1"/>
        </w:numPr>
      </w:pPr>
      <w:r w:rsidRPr="00903174">
        <w:t xml:space="preserve">The net cost of ravulizumab to the Government including cost offsets due to substitution of eculizumab (LSDP drug acquisition and treatment administration costs) was </w:t>
      </w:r>
      <w:r w:rsidR="002931B7">
        <w:t>less than $10</w:t>
      </w:r>
      <w:r w:rsidRPr="00903174">
        <w:t xml:space="preserve"> million in Year 1, increasing to </w:t>
      </w:r>
      <w:r w:rsidR="002931B7">
        <w:t>less than $10</w:t>
      </w:r>
      <w:r w:rsidRPr="00903174">
        <w:t xml:space="preserve"> million in Year 6, a total of </w:t>
      </w:r>
      <w:r w:rsidR="002931B7">
        <w:t>$30 - $60</w:t>
      </w:r>
      <w:r w:rsidRPr="00903174">
        <w:t xml:space="preserve"> million over 6 years.</w:t>
      </w:r>
      <w:r w:rsidR="000B326B" w:rsidRPr="00903174">
        <w:t xml:space="preserve"> </w:t>
      </w:r>
    </w:p>
    <w:p w14:paraId="3443D145" w14:textId="77777777" w:rsidR="00781CF6" w:rsidRPr="00903174" w:rsidRDefault="00781CF6" w:rsidP="00415038">
      <w:pPr>
        <w:pStyle w:val="ExecSumBodyText"/>
        <w:numPr>
          <w:ilvl w:val="1"/>
          <w:numId w:val="1"/>
        </w:numPr>
      </w:pPr>
      <w:r w:rsidRPr="00903174">
        <w:t>The submission claimed the increased cost to Government was due to the price differential between the requested price for ravulizumab which was based on the current price of eculizumab, and the expected price of eculizumab used in the model which includes a 10% price reduction from April 2021. Although the price differential for eculizumab accounted for the majority of increased costs, there was still an increase in cost to Government when using the current price of eculizumab (</w:t>
      </w:r>
      <w:r w:rsidR="002931B7">
        <w:t>less than $10</w:t>
      </w:r>
      <w:r w:rsidRPr="00903174">
        <w:t xml:space="preserve"> million over 6 years, calculated as a sensitivity analysis during the evaluation). </w:t>
      </w:r>
    </w:p>
    <w:p w14:paraId="28C01956" w14:textId="77777777" w:rsidR="0035499B" w:rsidRPr="00903174" w:rsidRDefault="00781CF6" w:rsidP="00327B2D">
      <w:pPr>
        <w:pStyle w:val="ExecSumBodyText"/>
        <w:numPr>
          <w:ilvl w:val="1"/>
          <w:numId w:val="1"/>
        </w:numPr>
        <w:rPr>
          <w:color w:val="0066FF"/>
        </w:rPr>
      </w:pPr>
      <w:r w:rsidRPr="00903174">
        <w:t xml:space="preserve">The requested price of ravulizumab was based on the economic analysis of ravulizumab versus eculizumab, but priced using dosing regimens in the maintenance phase only. The drug cost for ravulizumab is higher compared to eculizumab during the initiation year, which contributes to the increased cost to Government. There were also additional costs associated with dispensing fees and mark-ups for ravulizumab supplied in private hospitals. However, the impact on financial estimates was minimal given relatively low use </w:t>
      </w:r>
      <w:r w:rsidR="00327B2D" w:rsidRPr="00903174">
        <w:t>(10%) assumed in the submission.</w:t>
      </w:r>
    </w:p>
    <w:p w14:paraId="6C98C6D7" w14:textId="77777777" w:rsidR="00781CF6" w:rsidRPr="00903174" w:rsidRDefault="00781CF6" w:rsidP="00415038">
      <w:pPr>
        <w:pStyle w:val="ExecSumBodyText"/>
        <w:numPr>
          <w:ilvl w:val="1"/>
          <w:numId w:val="1"/>
        </w:numPr>
        <w:rPr>
          <w:color w:val="0066FF"/>
        </w:rPr>
      </w:pPr>
      <w:r w:rsidRPr="00903174">
        <w:t>The</w:t>
      </w:r>
      <w:r w:rsidRPr="00903174">
        <w:rPr>
          <w:color w:val="0066FF"/>
        </w:rPr>
        <w:t xml:space="preserve"> </w:t>
      </w:r>
      <w:r w:rsidRPr="00903174">
        <w:t>estimated net cost of ravulizumab is highly uncertain due to the following reasons:</w:t>
      </w:r>
    </w:p>
    <w:p w14:paraId="3C1114B3" w14:textId="77777777" w:rsidR="00781CF6" w:rsidRPr="00903174" w:rsidRDefault="00781CF6" w:rsidP="00BB2169">
      <w:pPr>
        <w:pStyle w:val="ExecSumBodyText"/>
        <w:numPr>
          <w:ilvl w:val="0"/>
          <w:numId w:val="9"/>
        </w:numPr>
        <w:spacing w:after="0"/>
        <w:ind w:left="1077" w:hanging="357"/>
      </w:pPr>
      <w:r w:rsidRPr="00903174">
        <w:lastRenderedPageBreak/>
        <w:t>Costs associated with grandfathered ravulizumab patients were only attributed in Year 1 of the model. This was inappropriate and would substantially underestimate ravulizumab costs in subsequent years;</w:t>
      </w:r>
    </w:p>
    <w:p w14:paraId="7653F4C2" w14:textId="77777777" w:rsidR="00781CF6" w:rsidRPr="00903174" w:rsidRDefault="00781CF6" w:rsidP="00BB2169">
      <w:pPr>
        <w:pStyle w:val="ExecSumBodyText"/>
        <w:numPr>
          <w:ilvl w:val="0"/>
          <w:numId w:val="9"/>
        </w:numPr>
        <w:spacing w:after="0"/>
        <w:ind w:left="1077" w:hanging="357"/>
      </w:pPr>
      <w:r w:rsidRPr="00903174">
        <w:t>Grandfathered ravulizumab patients were inappropriately included as part of cost offsets due to substitution of eculizumab;</w:t>
      </w:r>
    </w:p>
    <w:p w14:paraId="0DE1BF99" w14:textId="77777777" w:rsidR="00781CF6" w:rsidRPr="00903174" w:rsidRDefault="00781CF6" w:rsidP="00BB2169">
      <w:pPr>
        <w:pStyle w:val="ExecSumBodyText"/>
        <w:numPr>
          <w:ilvl w:val="0"/>
          <w:numId w:val="9"/>
        </w:numPr>
        <w:spacing w:after="0"/>
        <w:ind w:left="1077" w:hanging="357"/>
      </w:pPr>
      <w:r w:rsidRPr="00903174">
        <w:t xml:space="preserve">The submission inappropriately assumed that each vial of ravulizumab would represent one prescription. While there is no impact to estimated costs for treatments on the LSDP, this approach was inconsistent with the requested restriction for ravulizumab on the PBS (number of vials per script would be requested by the treating physician); </w:t>
      </w:r>
    </w:p>
    <w:p w14:paraId="288013A5" w14:textId="77777777" w:rsidR="00781CF6" w:rsidRPr="00903174" w:rsidRDefault="00781CF6" w:rsidP="00BB2169">
      <w:pPr>
        <w:pStyle w:val="ExecSumBodyText"/>
        <w:numPr>
          <w:ilvl w:val="0"/>
          <w:numId w:val="9"/>
        </w:numPr>
        <w:spacing w:after="0"/>
        <w:ind w:left="1077" w:hanging="357"/>
      </w:pPr>
      <w:r w:rsidRPr="00903174">
        <w:t xml:space="preserve">The submission did not include estimates for patient co-payments, which would result in reduced costs to Government; </w:t>
      </w:r>
    </w:p>
    <w:p w14:paraId="547E6A38" w14:textId="77777777" w:rsidR="00781CF6" w:rsidRPr="00903174" w:rsidRDefault="00781CF6" w:rsidP="00BB2169">
      <w:pPr>
        <w:pStyle w:val="ExecSumBodyText"/>
        <w:numPr>
          <w:ilvl w:val="0"/>
          <w:numId w:val="9"/>
        </w:numPr>
        <w:spacing w:after="0"/>
        <w:ind w:left="1077" w:hanging="357"/>
      </w:pPr>
      <w:r w:rsidRPr="00903174">
        <w:t>Cost offsets due to substitution of eculizumab were inappropriately calculated based on the distribution of initial and continuing ravulizumab patients. Cost offsets should be calculated based on continuing patient costs only which are lower than initial year costs; and</w:t>
      </w:r>
    </w:p>
    <w:p w14:paraId="10BDD8EA" w14:textId="77777777" w:rsidR="00781CF6" w:rsidRPr="00903174" w:rsidRDefault="00781CF6" w:rsidP="00BB2169">
      <w:pPr>
        <w:pStyle w:val="ExecSumBodyText"/>
        <w:numPr>
          <w:ilvl w:val="0"/>
          <w:numId w:val="9"/>
        </w:numPr>
        <w:spacing w:after="160"/>
        <w:ind w:left="1077" w:hanging="357"/>
      </w:pPr>
      <w:r w:rsidRPr="00903174">
        <w:t>Cost offsets due to reduced infusion frequency with ravulizumab were overestimated as infusion costs were based on the maintenance phase only and did not account for a higher infusion frequency during the initial year of ravulizumab.</w:t>
      </w:r>
    </w:p>
    <w:p w14:paraId="5E373211" w14:textId="77777777" w:rsidR="00576972" w:rsidRPr="00903174" w:rsidRDefault="00576972" w:rsidP="00606FBA">
      <w:pPr>
        <w:pStyle w:val="3-SubsectionHeading"/>
      </w:pPr>
      <w:bookmarkStart w:id="32" w:name="_Toc40702928"/>
      <w:r w:rsidRPr="00903174">
        <w:t>Quality Use of Medicines</w:t>
      </w:r>
      <w:bookmarkEnd w:id="31"/>
      <w:bookmarkEnd w:id="32"/>
    </w:p>
    <w:p w14:paraId="0688A4B3" w14:textId="77777777" w:rsidR="00283B2D" w:rsidRPr="00903174" w:rsidRDefault="00283B2D" w:rsidP="00415038">
      <w:pPr>
        <w:pStyle w:val="ExecSumBodyText"/>
        <w:numPr>
          <w:ilvl w:val="1"/>
          <w:numId w:val="1"/>
        </w:numPr>
        <w:rPr>
          <w:color w:val="000000" w:themeColor="text1"/>
        </w:rPr>
      </w:pPr>
      <w:bookmarkStart w:id="33" w:name="_Toc22897649"/>
      <w:r w:rsidRPr="00903174">
        <w:rPr>
          <w:color w:val="000000" w:themeColor="text1"/>
        </w:rPr>
        <w:t xml:space="preserve">The submission detailed the implementation of risk minimisation measures, including targeted education materials, controlled distribution in Australia, and annual meningococcal vaccination reminder, to be managed via a digital risk minimisation platform. The sponsor will require a completed certificate of vaccination against N. meningitides and/or treatment with prophylactic antibiotics to allow distribution to occur. The sponsor also indicated the potential use of existing Patient Support Programs that are in place for eculizumab. </w:t>
      </w:r>
    </w:p>
    <w:p w14:paraId="4323176E" w14:textId="77777777" w:rsidR="008C5D38" w:rsidRPr="00903174" w:rsidRDefault="008C5D38" w:rsidP="008C5D38">
      <w:pPr>
        <w:pStyle w:val="3-SubsectionHeading"/>
      </w:pPr>
      <w:bookmarkStart w:id="34" w:name="_Toc40702929"/>
      <w:bookmarkStart w:id="35" w:name="_Toc22897650"/>
      <w:bookmarkEnd w:id="33"/>
      <w:r w:rsidRPr="00903174">
        <w:t>Financial Management – Risk Sharing Arrangements</w:t>
      </w:r>
      <w:bookmarkEnd w:id="34"/>
    </w:p>
    <w:p w14:paraId="3446BDD7" w14:textId="77777777" w:rsidR="008C5D38" w:rsidRPr="00903174" w:rsidRDefault="008C5D38" w:rsidP="008C5D38">
      <w:pPr>
        <w:pStyle w:val="ExecSumBodyText"/>
        <w:numPr>
          <w:ilvl w:val="1"/>
          <w:numId w:val="1"/>
        </w:numPr>
      </w:pPr>
      <w:r w:rsidRPr="00903174">
        <w:t xml:space="preserve">The submission proposed a risk sharing arrangement to manage uncertainty in costs to Government should ravulizumab be listed on the PBS. The proposal is based on two linked components; </w:t>
      </w:r>
      <w:r w:rsidR="00DF28C6">
        <w:rPr>
          <w:noProof/>
          <w:color w:val="000000"/>
          <w:highlight w:val="black"/>
        </w:rPr>
        <w:t>'''''''''''''''''''''' '''''''''</w:t>
      </w:r>
      <w:r w:rsidRPr="00903174">
        <w:t xml:space="preserve"> and a </w:t>
      </w:r>
      <w:r w:rsidR="00DF28C6">
        <w:rPr>
          <w:noProof/>
          <w:color w:val="000000"/>
          <w:highlight w:val="black"/>
        </w:rPr>
        <w:t>''''''''''''' '''''' '''''' '''''''' '''' ''''''''''''''''''''' ''''''''''''''' ''''''''''</w:t>
      </w:r>
      <w:r w:rsidRPr="00903174">
        <w:t xml:space="preserve"> in patients previously treated with eculizumab. </w:t>
      </w:r>
    </w:p>
    <w:p w14:paraId="18EDA3A5" w14:textId="77777777" w:rsidR="008C5D38" w:rsidRPr="00903174" w:rsidRDefault="008C5D38" w:rsidP="008C5D38">
      <w:pPr>
        <w:pStyle w:val="ExecSumBodyText"/>
        <w:numPr>
          <w:ilvl w:val="1"/>
          <w:numId w:val="1"/>
        </w:numPr>
      </w:pPr>
      <w:r w:rsidRPr="00903174">
        <w:t xml:space="preserve">The submission noted that eculizumab is available on the LSDP </w:t>
      </w:r>
      <w:r w:rsidR="00DF28C6">
        <w:rPr>
          <w:noProof/>
          <w:color w:val="000000"/>
          <w:highlight w:val="black"/>
        </w:rPr>
        <w:t>'''''''' ''' ''''''''''' ''''' '''''''''''''''''''</w:t>
      </w:r>
      <w:r w:rsidRPr="00903174">
        <w:t xml:space="preserve"> between the Government and the sponsor. The proposal in the submission was based on the assumption that ravulizumab could </w:t>
      </w:r>
      <w:r w:rsidR="00DF28C6">
        <w:rPr>
          <w:noProof/>
          <w:color w:val="000000"/>
          <w:highlight w:val="black"/>
        </w:rPr>
        <w:t>'''''''' '''''' ''''''''''''''''' '''' '''''' '''''''''' ''''''''''</w:t>
      </w:r>
      <w:r w:rsidRPr="00903174">
        <w:t xml:space="preserve">. </w:t>
      </w:r>
    </w:p>
    <w:p w14:paraId="6FABAFCE" w14:textId="77777777" w:rsidR="008C5D38" w:rsidRPr="00903174" w:rsidRDefault="008C5D38" w:rsidP="008C5D38">
      <w:pPr>
        <w:pStyle w:val="ExecSumBodyText"/>
        <w:numPr>
          <w:ilvl w:val="1"/>
          <w:numId w:val="1"/>
        </w:numPr>
      </w:pPr>
      <w:r w:rsidRPr="00903174">
        <w:t xml:space="preserve">The submission stated that the requested price of ravulizumab is </w:t>
      </w:r>
      <w:r w:rsidR="00DF28C6">
        <w:rPr>
          <w:noProof/>
          <w:color w:val="000000"/>
          <w:highlight w:val="black"/>
        </w:rPr>
        <w:t>'''' ''''''''''' '''' '''''' '''''''''''''' '''''''''' ''''' ''''''''''''''''''' ''''' ''''' ''''''''''''' ''''''''''</w:t>
      </w:r>
      <w:r w:rsidRPr="00903174">
        <w:t xml:space="preserve">. The sponsor acknowledges that the price of eculizumab will decrease in April 2021 by </w:t>
      </w:r>
      <w:r w:rsidR="00DF28C6">
        <w:rPr>
          <w:noProof/>
          <w:color w:val="000000"/>
          <w:highlight w:val="black"/>
        </w:rPr>
        <w:t>''''''</w:t>
      </w:r>
      <w:r w:rsidRPr="00903174">
        <w:t>% (</w:t>
      </w:r>
      <w:r w:rsidR="00DF28C6">
        <w:rPr>
          <w:noProof/>
          <w:color w:val="000000"/>
          <w:highlight w:val="black"/>
        </w:rPr>
        <w:t>''''' ''''''' ''''''' '''''''''''</w:t>
      </w:r>
      <w:r w:rsidRPr="00903174">
        <w:t xml:space="preserve">) while the </w:t>
      </w:r>
      <w:r w:rsidRPr="00903174">
        <w:lastRenderedPageBreak/>
        <w:t xml:space="preserve">requested price of ravulizumab will remain unchanged. The sponsor proposed a risk share agreement to ensure Government expenditure per patient on ravulizumab </w:t>
      </w:r>
      <w:r w:rsidR="00DF28C6">
        <w:rPr>
          <w:noProof/>
          <w:color w:val="000000"/>
          <w:highlight w:val="black"/>
        </w:rPr>
        <w:t>'''''''''''' '''''''' '''''''''''' ''''''' ''''''''''''''''''' '''''''' ''''' '''''''''''''''''''''</w:t>
      </w:r>
      <w:r w:rsidRPr="00903174">
        <w:t xml:space="preserve">. </w:t>
      </w:r>
    </w:p>
    <w:p w14:paraId="28845AE3" w14:textId="77777777" w:rsidR="008C5D38" w:rsidRPr="00903174" w:rsidRDefault="008C5D38" w:rsidP="008C5D38">
      <w:pPr>
        <w:pStyle w:val="ExecSumBodyText"/>
        <w:numPr>
          <w:ilvl w:val="1"/>
          <w:numId w:val="1"/>
        </w:numPr>
      </w:pPr>
      <w:r w:rsidRPr="00903174">
        <w:t xml:space="preserve">The submission proposed a </w:t>
      </w:r>
      <w:r w:rsidR="00DF28C6">
        <w:rPr>
          <w:noProof/>
          <w:color w:val="000000"/>
          <w:highlight w:val="black"/>
        </w:rPr>
        <w:t>'''''''' ''''''''''' '''' ''''''''''''''''''''''' '''''''''''' '''''' ''''''' '''''''''' '''' ''''''''''''''''''''</w:t>
      </w:r>
      <w:r w:rsidRPr="00903174">
        <w:t xml:space="preserve"> without the listing of ravulizumab over 6 financial years.</w:t>
      </w:r>
    </w:p>
    <w:p w14:paraId="789F836A" w14:textId="77777777" w:rsidR="008C5D38" w:rsidRPr="00903174" w:rsidRDefault="008C5D38" w:rsidP="008C5D38">
      <w:pPr>
        <w:pStyle w:val="TableHeading"/>
        <w:spacing w:after="0"/>
        <w:jc w:val="both"/>
      </w:pPr>
      <w:r w:rsidRPr="00903174">
        <w:t xml:space="preserve">Table 25: Proposed Commonwealth Payment Thresholds for </w:t>
      </w:r>
      <w:r w:rsidR="00DF28C6">
        <w:rPr>
          <w:noProof/>
          <w:color w:val="000000"/>
          <w:highlight w:val="black"/>
        </w:rPr>
        <w:t>'''''''' ''''''''''</w:t>
      </w:r>
      <w:r w:rsidRPr="00903174">
        <w:t xml:space="preserve"> based on estimated use of eculizumab without listing of ravulizumab over 6 financial years (based on calendar year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7"/>
        <w:gridCol w:w="1102"/>
        <w:gridCol w:w="1102"/>
        <w:gridCol w:w="1102"/>
        <w:gridCol w:w="1102"/>
        <w:gridCol w:w="1102"/>
        <w:gridCol w:w="1100"/>
      </w:tblGrid>
      <w:tr w:rsidR="008C5D38" w:rsidRPr="00903174" w14:paraId="7AE9F092" w14:textId="77777777" w:rsidTr="00FB06BC">
        <w:trPr>
          <w:tblHeader/>
        </w:trPr>
        <w:tc>
          <w:tcPr>
            <w:tcW w:w="1335" w:type="pct"/>
            <w:tcBorders>
              <w:left w:val="single" w:sz="4" w:space="0" w:color="auto"/>
              <w:bottom w:val="single" w:sz="4" w:space="0" w:color="auto"/>
            </w:tcBorders>
            <w:shd w:val="clear" w:color="auto" w:fill="auto"/>
            <w:vAlign w:val="center"/>
            <w:hideMark/>
          </w:tcPr>
          <w:p w14:paraId="1A816841" w14:textId="77777777" w:rsidR="008C5D38" w:rsidRPr="00903174" w:rsidRDefault="008C5D38" w:rsidP="00FB06BC">
            <w:pPr>
              <w:rPr>
                <w:rFonts w:ascii="Arial Narrow" w:hAnsi="Arial Narrow"/>
                <w:snapToGrid w:val="0"/>
                <w:sz w:val="20"/>
                <w:szCs w:val="20"/>
              </w:rPr>
            </w:pPr>
          </w:p>
        </w:tc>
        <w:tc>
          <w:tcPr>
            <w:tcW w:w="611" w:type="pct"/>
            <w:tcBorders>
              <w:bottom w:val="single" w:sz="4" w:space="0" w:color="auto"/>
            </w:tcBorders>
            <w:shd w:val="clear" w:color="auto" w:fill="auto"/>
            <w:vAlign w:val="center"/>
            <w:hideMark/>
          </w:tcPr>
          <w:p w14:paraId="71894B12"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1</w:t>
            </w:r>
          </w:p>
          <w:p w14:paraId="3B11D9FD"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(2021-22)</w:t>
            </w:r>
          </w:p>
        </w:tc>
        <w:tc>
          <w:tcPr>
            <w:tcW w:w="611" w:type="pct"/>
            <w:tcBorders>
              <w:bottom w:val="single" w:sz="4" w:space="0" w:color="auto"/>
            </w:tcBorders>
            <w:shd w:val="clear" w:color="auto" w:fill="auto"/>
            <w:vAlign w:val="center"/>
            <w:hideMark/>
          </w:tcPr>
          <w:p w14:paraId="36E4A0D8"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2</w:t>
            </w:r>
          </w:p>
          <w:p w14:paraId="7BFB4174"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(2022-23)</w:t>
            </w:r>
          </w:p>
        </w:tc>
        <w:tc>
          <w:tcPr>
            <w:tcW w:w="611" w:type="pct"/>
            <w:tcBorders>
              <w:bottom w:val="single" w:sz="4" w:space="0" w:color="auto"/>
            </w:tcBorders>
            <w:shd w:val="clear" w:color="auto" w:fill="auto"/>
            <w:vAlign w:val="center"/>
            <w:hideMark/>
          </w:tcPr>
          <w:p w14:paraId="710AE7D0"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3</w:t>
            </w:r>
            <w:r w:rsidRPr="00903174">
              <w:rPr>
                <w:rFonts w:ascii="Arial Narrow" w:hAnsi="Arial Narrow"/>
                <w:b/>
                <w:bCs/>
                <w:snapToGrid w:val="0"/>
                <w:sz w:val="20"/>
                <w:szCs w:val="20"/>
              </w:rPr>
              <w:br/>
              <w:t>(2023-24)</w:t>
            </w:r>
          </w:p>
        </w:tc>
        <w:tc>
          <w:tcPr>
            <w:tcW w:w="611" w:type="pct"/>
            <w:tcBorders>
              <w:bottom w:val="single" w:sz="4" w:space="0" w:color="auto"/>
            </w:tcBorders>
            <w:shd w:val="clear" w:color="auto" w:fill="auto"/>
            <w:vAlign w:val="center"/>
            <w:hideMark/>
          </w:tcPr>
          <w:p w14:paraId="4A6C0D53"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4</w:t>
            </w:r>
          </w:p>
          <w:p w14:paraId="2E47FF3F"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(2024-25)</w:t>
            </w:r>
          </w:p>
        </w:tc>
        <w:tc>
          <w:tcPr>
            <w:tcW w:w="611" w:type="pct"/>
            <w:tcBorders>
              <w:bottom w:val="single" w:sz="4" w:space="0" w:color="auto"/>
              <w:right w:val="single" w:sz="4" w:space="0" w:color="auto"/>
            </w:tcBorders>
            <w:shd w:val="clear" w:color="auto" w:fill="auto"/>
            <w:vAlign w:val="center"/>
            <w:hideMark/>
          </w:tcPr>
          <w:p w14:paraId="1B17E26A"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5</w:t>
            </w:r>
          </w:p>
          <w:p w14:paraId="7E55BDC4"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(2025-26)</w:t>
            </w:r>
          </w:p>
        </w:tc>
        <w:tc>
          <w:tcPr>
            <w:tcW w:w="610" w:type="pct"/>
            <w:tcBorders>
              <w:bottom w:val="single" w:sz="4" w:space="0" w:color="auto"/>
              <w:right w:val="single" w:sz="4" w:space="0" w:color="auto"/>
            </w:tcBorders>
            <w:vAlign w:val="center"/>
          </w:tcPr>
          <w:p w14:paraId="3A5E106C"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6</w:t>
            </w:r>
          </w:p>
          <w:p w14:paraId="45A8E1C4"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(2026-27)</w:t>
            </w:r>
          </w:p>
        </w:tc>
      </w:tr>
      <w:tr w:rsidR="008C5D38" w:rsidRPr="00903174" w14:paraId="40DEAF0D" w14:textId="77777777" w:rsidTr="00FB06BC">
        <w:tc>
          <w:tcPr>
            <w:tcW w:w="1335" w:type="pct"/>
            <w:tcBorders>
              <w:left w:val="single" w:sz="4" w:space="0" w:color="auto"/>
            </w:tcBorders>
            <w:shd w:val="clear" w:color="auto" w:fill="auto"/>
            <w:vAlign w:val="center"/>
          </w:tcPr>
          <w:p w14:paraId="7BBEFF1B"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Total patients treated with eculizumab (world without ravulizumab)</w:t>
            </w:r>
          </w:p>
        </w:tc>
        <w:tc>
          <w:tcPr>
            <w:tcW w:w="611" w:type="pct"/>
            <w:shd w:val="clear" w:color="auto" w:fill="auto"/>
            <w:vAlign w:val="center"/>
          </w:tcPr>
          <w:p w14:paraId="694DA891"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6348A2F5"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74A07A80"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4B88771C"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right w:val="single" w:sz="4" w:space="0" w:color="auto"/>
            </w:tcBorders>
            <w:shd w:val="clear" w:color="auto" w:fill="auto"/>
            <w:vAlign w:val="center"/>
          </w:tcPr>
          <w:p w14:paraId="4D4E5BB1"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vAlign w:val="center"/>
          </w:tcPr>
          <w:p w14:paraId="52206C11"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C5D38" w:rsidRPr="00903174" w14:paraId="2619A4C5" w14:textId="77777777" w:rsidTr="00FB06BC">
        <w:tc>
          <w:tcPr>
            <w:tcW w:w="1335" w:type="pct"/>
            <w:tcBorders>
              <w:left w:val="single" w:sz="4" w:space="0" w:color="auto"/>
            </w:tcBorders>
            <w:shd w:val="clear" w:color="auto" w:fill="auto"/>
            <w:vAlign w:val="center"/>
          </w:tcPr>
          <w:p w14:paraId="39EE6E9F"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 Patients otherwise treated with ravulizumab (from budget impact model)</w:t>
            </w:r>
          </w:p>
        </w:tc>
        <w:tc>
          <w:tcPr>
            <w:tcW w:w="611" w:type="pct"/>
            <w:shd w:val="clear" w:color="auto" w:fill="auto"/>
            <w:vAlign w:val="center"/>
          </w:tcPr>
          <w:p w14:paraId="0B16AEFE"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vAlign w:val="center"/>
          </w:tcPr>
          <w:p w14:paraId="004408F7"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vAlign w:val="center"/>
          </w:tcPr>
          <w:p w14:paraId="4D18922B"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vAlign w:val="center"/>
          </w:tcPr>
          <w:p w14:paraId="42AC5C6E"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tcBorders>
              <w:right w:val="single" w:sz="4" w:space="0" w:color="auto"/>
            </w:tcBorders>
            <w:shd w:val="clear" w:color="auto" w:fill="auto"/>
            <w:vAlign w:val="center"/>
          </w:tcPr>
          <w:p w14:paraId="6962C3E5"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0" w:type="pct"/>
            <w:tcBorders>
              <w:right w:val="single" w:sz="4" w:space="0" w:color="auto"/>
            </w:tcBorders>
            <w:vAlign w:val="center"/>
          </w:tcPr>
          <w:p w14:paraId="0D022387"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r>
      <w:tr w:rsidR="008C5D38" w:rsidRPr="00903174" w14:paraId="47B1C9D4" w14:textId="77777777" w:rsidTr="00FB06BC">
        <w:tc>
          <w:tcPr>
            <w:tcW w:w="1335" w:type="pct"/>
            <w:tcBorders>
              <w:left w:val="single" w:sz="4" w:space="0" w:color="auto"/>
            </w:tcBorders>
            <w:shd w:val="clear" w:color="auto" w:fill="auto"/>
            <w:vAlign w:val="center"/>
          </w:tcPr>
          <w:p w14:paraId="40D2F248"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 Treatment naïve (complement of ravulizumab estimates)</w:t>
            </w:r>
          </w:p>
        </w:tc>
        <w:tc>
          <w:tcPr>
            <w:tcW w:w="611" w:type="pct"/>
            <w:shd w:val="clear" w:color="auto" w:fill="auto"/>
            <w:vAlign w:val="center"/>
          </w:tcPr>
          <w:p w14:paraId="77A59064"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vAlign w:val="center"/>
          </w:tcPr>
          <w:p w14:paraId="25A13D2C"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35B489BE"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6A14FFCF"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right w:val="single" w:sz="4" w:space="0" w:color="auto"/>
            </w:tcBorders>
            <w:shd w:val="clear" w:color="auto" w:fill="auto"/>
            <w:vAlign w:val="center"/>
          </w:tcPr>
          <w:p w14:paraId="42A69479"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vAlign w:val="center"/>
          </w:tcPr>
          <w:p w14:paraId="0B9AAB7E"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C5D38" w:rsidRPr="00903174" w14:paraId="47A88652" w14:textId="77777777" w:rsidTr="00FB06BC">
        <w:tc>
          <w:tcPr>
            <w:tcW w:w="1335" w:type="pct"/>
            <w:tcBorders>
              <w:left w:val="single" w:sz="4" w:space="0" w:color="auto"/>
            </w:tcBorders>
            <w:shd w:val="clear" w:color="auto" w:fill="auto"/>
            <w:vAlign w:val="center"/>
          </w:tcPr>
          <w:p w14:paraId="0A98A7AE"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 Treatment experienced (complement of ravulizumab estimates)</w:t>
            </w:r>
          </w:p>
        </w:tc>
        <w:tc>
          <w:tcPr>
            <w:tcW w:w="611" w:type="pct"/>
            <w:shd w:val="clear" w:color="auto" w:fill="auto"/>
            <w:vAlign w:val="center"/>
          </w:tcPr>
          <w:p w14:paraId="1D6573A3"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5811FB3F"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44E08138"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73CA194F"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right w:val="single" w:sz="4" w:space="0" w:color="auto"/>
            </w:tcBorders>
            <w:shd w:val="clear" w:color="auto" w:fill="auto"/>
            <w:vAlign w:val="center"/>
          </w:tcPr>
          <w:p w14:paraId="2B39CEFB"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vAlign w:val="center"/>
          </w:tcPr>
          <w:p w14:paraId="63C64095"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C5D38" w:rsidRPr="00903174" w14:paraId="4CE8E9B0" w14:textId="77777777" w:rsidTr="00FB06BC">
        <w:tc>
          <w:tcPr>
            <w:tcW w:w="1335" w:type="pct"/>
            <w:tcBorders>
              <w:left w:val="single" w:sz="4" w:space="0" w:color="auto"/>
            </w:tcBorders>
            <w:shd w:val="clear" w:color="auto" w:fill="auto"/>
            <w:vAlign w:val="center"/>
          </w:tcPr>
          <w:p w14:paraId="2735CABD"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Initial year patients</w:t>
            </w:r>
          </w:p>
        </w:tc>
        <w:tc>
          <w:tcPr>
            <w:tcW w:w="611" w:type="pct"/>
            <w:shd w:val="clear" w:color="auto" w:fill="auto"/>
            <w:vAlign w:val="center"/>
          </w:tcPr>
          <w:p w14:paraId="55AF6B0F"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45AAF358"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4A464917"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056ED432"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right w:val="single" w:sz="4" w:space="0" w:color="auto"/>
            </w:tcBorders>
            <w:shd w:val="clear" w:color="auto" w:fill="auto"/>
            <w:vAlign w:val="center"/>
          </w:tcPr>
          <w:p w14:paraId="07CF37AB"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vAlign w:val="center"/>
          </w:tcPr>
          <w:p w14:paraId="339742C2"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C5D38" w:rsidRPr="00903174" w14:paraId="024281D8" w14:textId="77777777" w:rsidTr="00FB06BC">
        <w:tc>
          <w:tcPr>
            <w:tcW w:w="1335" w:type="pct"/>
            <w:tcBorders>
              <w:left w:val="single" w:sz="4" w:space="0" w:color="auto"/>
            </w:tcBorders>
            <w:shd w:val="clear" w:color="auto" w:fill="auto"/>
            <w:vAlign w:val="center"/>
          </w:tcPr>
          <w:p w14:paraId="1E59DD48"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Continuing year patients</w:t>
            </w:r>
          </w:p>
        </w:tc>
        <w:tc>
          <w:tcPr>
            <w:tcW w:w="611" w:type="pct"/>
            <w:shd w:val="clear" w:color="auto" w:fill="auto"/>
          </w:tcPr>
          <w:p w14:paraId="788ACC8C"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tcPr>
          <w:p w14:paraId="7FD61C4E"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tcPr>
          <w:p w14:paraId="5408C981"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tcPr>
          <w:p w14:paraId="70274CBA"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tcBorders>
              <w:right w:val="single" w:sz="4" w:space="0" w:color="auto"/>
            </w:tcBorders>
            <w:shd w:val="clear" w:color="auto" w:fill="auto"/>
          </w:tcPr>
          <w:p w14:paraId="2EB766DE"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0" w:type="pct"/>
            <w:tcBorders>
              <w:right w:val="single" w:sz="4" w:space="0" w:color="auto"/>
            </w:tcBorders>
          </w:tcPr>
          <w:p w14:paraId="4CF230AF"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r>
      <w:tr w:rsidR="008C5D38" w:rsidRPr="00903174" w14:paraId="519E3C9C" w14:textId="77777777" w:rsidTr="00FB06BC">
        <w:tc>
          <w:tcPr>
            <w:tcW w:w="1335" w:type="pct"/>
            <w:tcBorders>
              <w:left w:val="single" w:sz="4" w:space="0" w:color="auto"/>
              <w:bottom w:val="single" w:sz="4" w:space="0" w:color="auto"/>
            </w:tcBorders>
            <w:shd w:val="clear" w:color="auto" w:fill="auto"/>
            <w:vAlign w:val="center"/>
          </w:tcPr>
          <w:p w14:paraId="4C7BEDE5"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Total initial year scripts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 xml:space="preserve"> vials/patient) </w:t>
            </w:r>
          </w:p>
        </w:tc>
        <w:tc>
          <w:tcPr>
            <w:tcW w:w="611" w:type="pct"/>
            <w:shd w:val="clear" w:color="auto" w:fill="auto"/>
            <w:vAlign w:val="center"/>
          </w:tcPr>
          <w:p w14:paraId="49624D66"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5B401F6A"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46020BC9"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shd w:val="clear" w:color="auto" w:fill="auto"/>
            <w:vAlign w:val="center"/>
          </w:tcPr>
          <w:p w14:paraId="578AF589"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1" w:type="pct"/>
            <w:tcBorders>
              <w:right w:val="single" w:sz="4" w:space="0" w:color="auto"/>
            </w:tcBorders>
            <w:shd w:val="clear" w:color="auto" w:fill="auto"/>
            <w:vAlign w:val="center"/>
          </w:tcPr>
          <w:p w14:paraId="08FA689B"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10" w:type="pct"/>
            <w:tcBorders>
              <w:right w:val="single" w:sz="4" w:space="0" w:color="auto"/>
            </w:tcBorders>
            <w:vAlign w:val="center"/>
          </w:tcPr>
          <w:p w14:paraId="098BC200"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8C5D38" w:rsidRPr="00903174" w14:paraId="079BA151" w14:textId="77777777" w:rsidTr="00FB06BC">
        <w:tc>
          <w:tcPr>
            <w:tcW w:w="1335" w:type="pct"/>
            <w:tcBorders>
              <w:left w:val="single" w:sz="4" w:space="0" w:color="auto"/>
              <w:bottom w:val="single" w:sz="4" w:space="0" w:color="auto"/>
            </w:tcBorders>
            <w:shd w:val="clear" w:color="auto" w:fill="auto"/>
            <w:vAlign w:val="center"/>
          </w:tcPr>
          <w:p w14:paraId="3E8818DE"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Total continuing year scripts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 xml:space="preserve"> vials/patient)</w:t>
            </w:r>
          </w:p>
        </w:tc>
        <w:tc>
          <w:tcPr>
            <w:tcW w:w="611" w:type="pct"/>
            <w:shd w:val="clear" w:color="auto" w:fill="auto"/>
            <w:vAlign w:val="center"/>
          </w:tcPr>
          <w:p w14:paraId="062EE195"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vAlign w:val="center"/>
          </w:tcPr>
          <w:p w14:paraId="4F90B7F1"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vAlign w:val="center"/>
          </w:tcPr>
          <w:p w14:paraId="7DED75D5"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shd w:val="clear" w:color="auto" w:fill="auto"/>
            <w:vAlign w:val="center"/>
          </w:tcPr>
          <w:p w14:paraId="19CE720E"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1" w:type="pct"/>
            <w:tcBorders>
              <w:right w:val="single" w:sz="4" w:space="0" w:color="auto"/>
            </w:tcBorders>
            <w:shd w:val="clear" w:color="auto" w:fill="auto"/>
            <w:vAlign w:val="center"/>
          </w:tcPr>
          <w:p w14:paraId="1FFA385D"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c>
          <w:tcPr>
            <w:tcW w:w="610" w:type="pct"/>
            <w:tcBorders>
              <w:right w:val="single" w:sz="4" w:space="0" w:color="auto"/>
            </w:tcBorders>
            <w:vAlign w:val="center"/>
          </w:tcPr>
          <w:p w14:paraId="5D5100E1" w14:textId="77777777" w:rsidR="008C5D38" w:rsidRPr="00DF28C6" w:rsidRDefault="00DF28C6" w:rsidP="00FB06BC">
            <w:pPr>
              <w:jc w:val="center"/>
              <w:rPr>
                <w:rFonts w:ascii="Arial Narrow" w:hAnsi="Arial Narrow"/>
                <w:sz w:val="20"/>
                <w:szCs w:val="20"/>
                <w:highlight w:val="black"/>
              </w:rPr>
            </w:pPr>
            <w:r>
              <w:rPr>
                <w:rFonts w:ascii="Arial Narrow" w:hAnsi="Arial Narrow"/>
                <w:noProof/>
                <w:color w:val="000000"/>
                <w:sz w:val="20"/>
                <w:highlight w:val="black"/>
              </w:rPr>
              <w:t>''''''''''''''''''</w:t>
            </w:r>
          </w:p>
        </w:tc>
      </w:tr>
      <w:tr w:rsidR="008C5D38" w:rsidRPr="00903174" w14:paraId="46C50497" w14:textId="77777777" w:rsidTr="00FB06BC">
        <w:tc>
          <w:tcPr>
            <w:tcW w:w="1335" w:type="pct"/>
            <w:tcBorders>
              <w:left w:val="single" w:sz="4" w:space="0" w:color="auto"/>
              <w:bottom w:val="single" w:sz="4" w:space="0" w:color="auto"/>
            </w:tcBorders>
            <w:shd w:val="clear" w:color="auto" w:fill="auto"/>
            <w:vAlign w:val="center"/>
          </w:tcPr>
          <w:p w14:paraId="78885147"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Total eculizumab scripts</w:t>
            </w:r>
          </w:p>
        </w:tc>
        <w:tc>
          <w:tcPr>
            <w:tcW w:w="611" w:type="pct"/>
            <w:shd w:val="clear" w:color="auto" w:fill="auto"/>
          </w:tcPr>
          <w:p w14:paraId="20A2FB1E" w14:textId="77777777" w:rsidR="008C5D38" w:rsidRPr="00DF28C6" w:rsidRDefault="00DF28C6" w:rsidP="00FB06BC">
            <w:pPr>
              <w:jc w:val="center"/>
              <w:rPr>
                <w:rFonts w:ascii="Arial Narrow" w:hAnsi="Arial Narrow"/>
                <w:sz w:val="20"/>
                <w:highlight w:val="black"/>
              </w:rPr>
            </w:pPr>
            <w:r>
              <w:rPr>
                <w:rFonts w:ascii="Arial Narrow" w:hAnsi="Arial Narrow"/>
                <w:noProof/>
                <w:color w:val="000000"/>
                <w:sz w:val="20"/>
                <w:highlight w:val="black"/>
              </w:rPr>
              <w:t>''''''''''''''''''</w:t>
            </w:r>
          </w:p>
        </w:tc>
        <w:tc>
          <w:tcPr>
            <w:tcW w:w="611" w:type="pct"/>
            <w:shd w:val="clear" w:color="auto" w:fill="auto"/>
          </w:tcPr>
          <w:p w14:paraId="27887E26" w14:textId="77777777" w:rsidR="008C5D38" w:rsidRPr="00DF28C6" w:rsidRDefault="00DF28C6" w:rsidP="00FB06BC">
            <w:pPr>
              <w:jc w:val="center"/>
              <w:rPr>
                <w:rFonts w:ascii="Arial Narrow" w:hAnsi="Arial Narrow"/>
                <w:sz w:val="20"/>
                <w:highlight w:val="black"/>
              </w:rPr>
            </w:pPr>
            <w:r>
              <w:rPr>
                <w:rFonts w:ascii="Arial Narrow" w:hAnsi="Arial Narrow"/>
                <w:noProof/>
                <w:color w:val="000000"/>
                <w:sz w:val="20"/>
                <w:highlight w:val="black"/>
              </w:rPr>
              <w:t>'''''''''''''''''</w:t>
            </w:r>
          </w:p>
        </w:tc>
        <w:tc>
          <w:tcPr>
            <w:tcW w:w="611" w:type="pct"/>
            <w:shd w:val="clear" w:color="auto" w:fill="auto"/>
          </w:tcPr>
          <w:p w14:paraId="3A5C3FE3" w14:textId="77777777" w:rsidR="008C5D38" w:rsidRPr="00DF28C6" w:rsidRDefault="00DF28C6" w:rsidP="00FB06BC">
            <w:pPr>
              <w:jc w:val="center"/>
              <w:rPr>
                <w:rFonts w:ascii="Arial Narrow" w:hAnsi="Arial Narrow"/>
                <w:sz w:val="20"/>
                <w:highlight w:val="black"/>
              </w:rPr>
            </w:pPr>
            <w:r>
              <w:rPr>
                <w:rFonts w:ascii="Arial Narrow" w:hAnsi="Arial Narrow"/>
                <w:noProof/>
                <w:color w:val="000000"/>
                <w:sz w:val="20"/>
                <w:highlight w:val="black"/>
              </w:rPr>
              <w:t>'''''''''''''''''</w:t>
            </w:r>
          </w:p>
        </w:tc>
        <w:tc>
          <w:tcPr>
            <w:tcW w:w="611" w:type="pct"/>
            <w:shd w:val="clear" w:color="auto" w:fill="auto"/>
          </w:tcPr>
          <w:p w14:paraId="000BB745" w14:textId="77777777" w:rsidR="008C5D38" w:rsidRPr="00DF28C6" w:rsidRDefault="00DF28C6" w:rsidP="00FB06BC">
            <w:pPr>
              <w:jc w:val="center"/>
              <w:rPr>
                <w:rFonts w:ascii="Arial Narrow" w:hAnsi="Arial Narrow"/>
                <w:sz w:val="20"/>
                <w:highlight w:val="black"/>
              </w:rPr>
            </w:pPr>
            <w:r>
              <w:rPr>
                <w:rFonts w:ascii="Arial Narrow" w:hAnsi="Arial Narrow"/>
                <w:noProof/>
                <w:color w:val="000000"/>
                <w:sz w:val="20"/>
                <w:highlight w:val="black"/>
              </w:rPr>
              <w:t>'''''''''''''''''</w:t>
            </w:r>
          </w:p>
        </w:tc>
        <w:tc>
          <w:tcPr>
            <w:tcW w:w="611" w:type="pct"/>
            <w:tcBorders>
              <w:right w:val="single" w:sz="4" w:space="0" w:color="auto"/>
            </w:tcBorders>
            <w:shd w:val="clear" w:color="auto" w:fill="auto"/>
          </w:tcPr>
          <w:p w14:paraId="5C827056" w14:textId="77777777" w:rsidR="008C5D38" w:rsidRPr="00DF28C6" w:rsidRDefault="00DF28C6" w:rsidP="00FB06BC">
            <w:pPr>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right w:val="single" w:sz="4" w:space="0" w:color="auto"/>
            </w:tcBorders>
          </w:tcPr>
          <w:p w14:paraId="131C7BC6" w14:textId="77777777" w:rsidR="008C5D38" w:rsidRPr="00DF28C6" w:rsidRDefault="00DF28C6" w:rsidP="00FB06BC">
            <w:pPr>
              <w:jc w:val="center"/>
              <w:rPr>
                <w:rFonts w:ascii="Arial Narrow" w:hAnsi="Arial Narrow"/>
                <w:sz w:val="20"/>
                <w:highlight w:val="black"/>
              </w:rPr>
            </w:pPr>
            <w:r>
              <w:rPr>
                <w:rFonts w:ascii="Arial Narrow" w:hAnsi="Arial Narrow"/>
                <w:noProof/>
                <w:color w:val="000000"/>
                <w:sz w:val="20"/>
                <w:highlight w:val="black"/>
              </w:rPr>
              <w:t>''''''''''''''''</w:t>
            </w:r>
          </w:p>
        </w:tc>
      </w:tr>
      <w:tr w:rsidR="008C5D38" w:rsidRPr="00903174" w14:paraId="56BEFC50" w14:textId="77777777" w:rsidTr="00FB06BC">
        <w:tc>
          <w:tcPr>
            <w:tcW w:w="1335" w:type="pct"/>
            <w:tcBorders>
              <w:left w:val="single" w:sz="4" w:space="0" w:color="auto"/>
              <w:bottom w:val="single" w:sz="4" w:space="0" w:color="auto"/>
            </w:tcBorders>
            <w:shd w:val="clear" w:color="auto" w:fill="auto"/>
            <w:vAlign w:val="center"/>
          </w:tcPr>
          <w:p w14:paraId="0F4DEE66" w14:textId="77777777" w:rsidR="008C5D38" w:rsidRPr="00903174" w:rsidRDefault="008C5D38" w:rsidP="00FB06BC">
            <w:pPr>
              <w:jc w:val="left"/>
              <w:rPr>
                <w:rFonts w:ascii="Arial Narrow" w:hAnsi="Arial Narrow"/>
                <w:b/>
                <w:snapToGrid w:val="0"/>
                <w:sz w:val="20"/>
                <w:szCs w:val="20"/>
              </w:rPr>
            </w:pPr>
            <w:r w:rsidRPr="00903174">
              <w:rPr>
                <w:rFonts w:ascii="Arial Narrow" w:hAnsi="Arial Narrow"/>
                <w:b/>
                <w:snapToGrid w:val="0"/>
                <w:sz w:val="20"/>
                <w:szCs w:val="20"/>
              </w:rPr>
              <w:t>Total cost to the LSDP ($</w:t>
            </w:r>
            <w:r w:rsidR="00DF28C6">
              <w:rPr>
                <w:rFonts w:ascii="Arial Narrow" w:hAnsi="Arial Narrow"/>
                <w:b/>
                <w:noProof/>
                <w:snapToGrid w:val="0"/>
                <w:color w:val="000000"/>
                <w:sz w:val="20"/>
                <w:szCs w:val="20"/>
                <w:highlight w:val="black"/>
              </w:rPr>
              <w:t xml:space="preserve">'''''''''''''''' </w:t>
            </w:r>
            <w:r w:rsidRPr="00903174">
              <w:rPr>
                <w:rFonts w:ascii="Arial Narrow" w:hAnsi="Arial Narrow"/>
                <w:b/>
                <w:snapToGrid w:val="0"/>
                <w:sz w:val="20"/>
                <w:szCs w:val="20"/>
              </w:rPr>
              <w:t>per script)</w:t>
            </w:r>
            <w:r w:rsidRPr="00903174">
              <w:rPr>
                <w:rFonts w:ascii="Arial Narrow" w:hAnsi="Arial Narrow"/>
                <w:snapToGrid w:val="0"/>
                <w:sz w:val="20"/>
                <w:szCs w:val="20"/>
                <w:vertAlign w:val="superscript"/>
              </w:rPr>
              <w:t>a</w:t>
            </w:r>
            <w:r w:rsidRPr="00903174">
              <w:rPr>
                <w:rFonts w:ascii="Arial Narrow" w:hAnsi="Arial Narrow"/>
                <w:b/>
                <w:snapToGrid w:val="0"/>
                <w:sz w:val="20"/>
                <w:szCs w:val="20"/>
              </w:rPr>
              <w:t xml:space="preserve"> [Proposed Commonwealth Payment Threshold]</w:t>
            </w:r>
          </w:p>
        </w:tc>
        <w:tc>
          <w:tcPr>
            <w:tcW w:w="611" w:type="pct"/>
            <w:shd w:val="clear" w:color="auto" w:fill="auto"/>
            <w:vAlign w:val="center"/>
          </w:tcPr>
          <w:p w14:paraId="3BBF74DB" w14:textId="77777777" w:rsidR="008C5D38" w:rsidRPr="00903174" w:rsidRDefault="008C5D38" w:rsidP="00FB06BC">
            <w:pPr>
              <w:jc w:val="center"/>
              <w:rPr>
                <w:rFonts w:ascii="Arial Narrow" w:hAnsi="Arial Narrow"/>
                <w:b/>
                <w:sz w:val="20"/>
                <w:szCs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shd w:val="clear" w:color="auto" w:fill="auto"/>
            <w:vAlign w:val="center"/>
          </w:tcPr>
          <w:p w14:paraId="3AF2B912" w14:textId="77777777" w:rsidR="008C5D38" w:rsidRPr="00903174" w:rsidRDefault="008C5D38" w:rsidP="00FB06BC">
            <w:pPr>
              <w:jc w:val="center"/>
              <w:rPr>
                <w:rFonts w:ascii="Arial Narrow" w:hAnsi="Arial Narrow"/>
                <w:b/>
                <w:sz w:val="20"/>
                <w:szCs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shd w:val="clear" w:color="auto" w:fill="auto"/>
            <w:vAlign w:val="center"/>
          </w:tcPr>
          <w:p w14:paraId="0CB2B445" w14:textId="77777777" w:rsidR="008C5D38" w:rsidRPr="00903174" w:rsidRDefault="008C5D38" w:rsidP="00FB06BC">
            <w:pPr>
              <w:jc w:val="center"/>
              <w:rPr>
                <w:rFonts w:ascii="Arial Narrow" w:hAnsi="Arial Narrow"/>
                <w:b/>
                <w:sz w:val="20"/>
                <w:szCs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shd w:val="clear" w:color="auto" w:fill="auto"/>
            <w:vAlign w:val="center"/>
          </w:tcPr>
          <w:p w14:paraId="3EBA6E8B" w14:textId="77777777" w:rsidR="008C5D38" w:rsidRPr="00903174" w:rsidRDefault="008C5D38" w:rsidP="00FB06BC">
            <w:pPr>
              <w:jc w:val="center"/>
              <w:rPr>
                <w:rFonts w:ascii="Arial Narrow" w:hAnsi="Arial Narrow"/>
                <w:b/>
                <w:sz w:val="20"/>
                <w:szCs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tcBorders>
              <w:right w:val="single" w:sz="4" w:space="0" w:color="auto"/>
            </w:tcBorders>
            <w:shd w:val="clear" w:color="auto" w:fill="auto"/>
            <w:vAlign w:val="center"/>
          </w:tcPr>
          <w:p w14:paraId="112F9C2C" w14:textId="77777777" w:rsidR="008C5D38" w:rsidRPr="00903174" w:rsidRDefault="008C5D38" w:rsidP="00FB06BC">
            <w:pPr>
              <w:jc w:val="center"/>
              <w:rPr>
                <w:rFonts w:ascii="Arial Narrow" w:hAnsi="Arial Narrow"/>
                <w:b/>
                <w:sz w:val="20"/>
                <w:szCs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0" w:type="pct"/>
            <w:tcBorders>
              <w:right w:val="single" w:sz="4" w:space="0" w:color="auto"/>
            </w:tcBorders>
            <w:vAlign w:val="center"/>
          </w:tcPr>
          <w:p w14:paraId="6A86F702" w14:textId="77777777" w:rsidR="008C5D38" w:rsidRPr="00903174" w:rsidRDefault="008C5D38" w:rsidP="00FB06BC">
            <w:pPr>
              <w:jc w:val="center"/>
              <w:rPr>
                <w:rFonts w:ascii="Arial Narrow" w:hAnsi="Arial Narrow"/>
                <w:b/>
                <w:sz w:val="20"/>
                <w:szCs w:val="20"/>
              </w:rPr>
            </w:pPr>
            <w:r w:rsidRPr="00903174">
              <w:rPr>
                <w:rFonts w:ascii="Arial Narrow" w:hAnsi="Arial Narrow"/>
                <w:b/>
                <w:sz w:val="20"/>
              </w:rPr>
              <w:t>$</w:t>
            </w:r>
            <w:r w:rsidR="00DF28C6">
              <w:rPr>
                <w:rFonts w:ascii="Arial Narrow" w:hAnsi="Arial Narrow"/>
                <w:b/>
                <w:noProof/>
                <w:color w:val="000000"/>
                <w:sz w:val="20"/>
                <w:highlight w:val="black"/>
              </w:rPr>
              <w:t>''''''''''''''''''''''</w:t>
            </w:r>
          </w:p>
        </w:tc>
      </w:tr>
    </w:tbl>
    <w:p w14:paraId="77E27B2D" w14:textId="77777777" w:rsidR="008C5D38" w:rsidRPr="00903174" w:rsidRDefault="008C5D38" w:rsidP="008C5D38">
      <w:pPr>
        <w:pStyle w:val="TableFooter"/>
      </w:pPr>
      <w:r w:rsidRPr="00903174">
        <w:t>Source: Table 170, p 283 and ‘Total PNH calculation’ spreadsheet of ‘Attachment 7. Ultomiris Utilisation and Cost Model – Excel’ workbook of the submission’</w:t>
      </w:r>
    </w:p>
    <w:p w14:paraId="469C5FB0" w14:textId="77777777" w:rsidR="008C5D38" w:rsidRPr="00903174" w:rsidRDefault="008C5D38" w:rsidP="008C5D38">
      <w:pPr>
        <w:pStyle w:val="TableFooter"/>
      </w:pPr>
      <w:r w:rsidRPr="00903174">
        <w:rPr>
          <w:vertAlign w:val="superscript"/>
        </w:rPr>
        <w:t>a</w:t>
      </w:r>
      <w:r w:rsidRPr="00903174">
        <w:t xml:space="preserve"> Estimated price based on AEMP $</w:t>
      </w:r>
      <w:r w:rsidR="00DF28C6">
        <w:rPr>
          <w:noProof/>
          <w:color w:val="000000"/>
          <w:highlight w:val="black"/>
        </w:rPr>
        <w:t>''''''''''''''''''</w:t>
      </w:r>
      <w:r w:rsidRPr="00903174">
        <w:t xml:space="preserve"> x </w:t>
      </w:r>
      <w:r w:rsidR="00DF28C6">
        <w:rPr>
          <w:noProof/>
          <w:color w:val="000000"/>
          <w:highlight w:val="black"/>
        </w:rPr>
        <w:t>'''''''</w:t>
      </w:r>
      <w:r w:rsidRPr="00903174">
        <w:t xml:space="preserve"> (incorporating 10% statutory price reduction from April 2021)</w:t>
      </w:r>
    </w:p>
    <w:p w14:paraId="780FC3F7" w14:textId="77777777" w:rsidR="008C5D38" w:rsidRDefault="008C5D38" w:rsidP="008C5D38">
      <w:pPr>
        <w:pStyle w:val="TableFooter"/>
      </w:pPr>
    </w:p>
    <w:p w14:paraId="0FDDE38E" w14:textId="77777777" w:rsidR="000B5F20" w:rsidRPr="00DD76F5" w:rsidRDefault="000B5F20" w:rsidP="000B5F20">
      <w:pPr>
        <w:rPr>
          <w:i/>
        </w:rPr>
      </w:pPr>
      <w:r w:rsidRPr="00DD76F5">
        <w:rPr>
          <w:rFonts w:asciiTheme="minorHAnsi" w:hAnsiTheme="minorHAnsi"/>
          <w:i/>
        </w:rPr>
        <w:t xml:space="preserve">The redacted table shows that at Year 6, the estimated number of patients was less than 500 and the net cost to the PBS would be </w:t>
      </w:r>
      <w:r>
        <w:rPr>
          <w:rFonts w:asciiTheme="minorHAnsi" w:hAnsiTheme="minorHAnsi"/>
          <w:i/>
        </w:rPr>
        <w:t>between $60 - $100 million</w:t>
      </w:r>
      <w:r w:rsidRPr="00DD76F5">
        <w:rPr>
          <w:rFonts w:asciiTheme="minorHAnsi" w:hAnsiTheme="minorHAnsi"/>
          <w:i/>
        </w:rPr>
        <w:t>.</w:t>
      </w:r>
    </w:p>
    <w:p w14:paraId="4E6F65C6" w14:textId="77777777" w:rsidR="000B5F20" w:rsidRPr="00903174" w:rsidRDefault="000B5F20" w:rsidP="008C5D38">
      <w:pPr>
        <w:pStyle w:val="TableFooter"/>
      </w:pPr>
    </w:p>
    <w:p w14:paraId="22A036B2" w14:textId="77777777" w:rsidR="008C5D38" w:rsidRPr="00903174" w:rsidRDefault="008C5D38" w:rsidP="008C5D38">
      <w:pPr>
        <w:pStyle w:val="ExecSumBodyText"/>
        <w:numPr>
          <w:ilvl w:val="1"/>
          <w:numId w:val="1"/>
        </w:numPr>
      </w:pPr>
      <w:r w:rsidRPr="00903174">
        <w:t xml:space="preserve">The submission stated that the thresholds in the table above would apply to both eculizumab and ravulizumab and the sponsor would provide a </w:t>
      </w:r>
      <w:r w:rsidR="00DF28C6">
        <w:rPr>
          <w:noProof/>
          <w:color w:val="000000"/>
          <w:highlight w:val="black"/>
        </w:rPr>
        <w:t>''''''''''''' '''''' ''''' ''''''''''''''''''''' '''' ''''''''''''''''''''''''' '''''''''''''''''''' '''''''''''' '''''''''''''''''''</w:t>
      </w:r>
      <w:r w:rsidRPr="00903174">
        <w:t>. The submission noted that this proposal was based on calendar years and may require amendment to correspond to the time of listing.</w:t>
      </w:r>
    </w:p>
    <w:p w14:paraId="775F155D" w14:textId="77777777" w:rsidR="008C5D38" w:rsidRPr="00903174" w:rsidRDefault="008C5D38" w:rsidP="008C5D38">
      <w:pPr>
        <w:pStyle w:val="ExecSumBodyText"/>
        <w:numPr>
          <w:ilvl w:val="1"/>
          <w:numId w:val="1"/>
        </w:numPr>
      </w:pPr>
      <w:r w:rsidRPr="00903174">
        <w:t xml:space="preserve">The approach used to estimate the use of eculizumab without listing of ravulizumab was poorly documented. The estimated use of eculizumab appeared to be based on ravulizumab estimates from the budget impact model, and a calculated complement number for the treatment-naïve population and treatment-experienced populations. This approach incorporates all uncertainties with estimates that were derived using a complex, poorly justified approach and the use of inadequately justified key </w:t>
      </w:r>
      <w:r w:rsidRPr="00903174">
        <w:lastRenderedPageBreak/>
        <w:t>assumptions surrounding: market growth, prevalence and treated estimates, and circumstances of use. This resulted in both the estimated patient numbers and proposed payment thresholds being higher than justified by current LSDP expenditure, even taking into account patients currently receiving treatment through clinical trials.</w:t>
      </w:r>
    </w:p>
    <w:p w14:paraId="15C394A9" w14:textId="77777777" w:rsidR="008C5D38" w:rsidRPr="00903174" w:rsidRDefault="008C5D38" w:rsidP="008C5D38">
      <w:pPr>
        <w:pStyle w:val="ExecSumBodyText"/>
        <w:numPr>
          <w:ilvl w:val="1"/>
          <w:numId w:val="1"/>
        </w:numPr>
      </w:pPr>
      <w:r w:rsidRPr="00903174">
        <w:t>There were additional concerns with these estimates due to a significant number of ravulizumab patients discontinuing treatment in the first year (90% persistence rate) who were not adequately accounted for; the assumption that patients who restart treatment (included in ravulizumab estimates) are attributed the cost of continuing patients; and the inclusion of grandfathered ravulizumab patients in Year 1 eculizumab estimates. Overall, the proposed payment thresholds should not be considered reliable.</w:t>
      </w:r>
    </w:p>
    <w:p w14:paraId="0B2AE540" w14:textId="77777777" w:rsidR="008C5D38" w:rsidRPr="00903174" w:rsidRDefault="008C5D38" w:rsidP="008C5D38">
      <w:pPr>
        <w:pStyle w:val="ExecSumBodyText"/>
        <w:numPr>
          <w:ilvl w:val="1"/>
          <w:numId w:val="1"/>
        </w:numPr>
      </w:pPr>
      <w:r w:rsidRPr="00903174">
        <w:t xml:space="preserve">The submission claimed that a </w:t>
      </w:r>
      <w:r w:rsidR="00DF28C6">
        <w:rPr>
          <w:noProof/>
          <w:color w:val="000000"/>
          <w:highlight w:val="black"/>
        </w:rPr>
        <w:t>'''''''''''' '''''' ''''''''''''''''''''' ''''''''''''' '''''''''''</w:t>
      </w:r>
      <w:r w:rsidRPr="00903174">
        <w:t xml:space="preserve"> can be inferred through the proposed </w:t>
      </w:r>
      <w:r w:rsidR="00DF28C6">
        <w:rPr>
          <w:noProof/>
          <w:color w:val="000000"/>
          <w:highlight w:val="black"/>
        </w:rPr>
        <w:t>''''''''''''''''''''''' ''''''''</w:t>
      </w:r>
      <w:r w:rsidRPr="00903174">
        <w:t xml:space="preserve">, based on the assumed split between eculizumab patients incurring initial year versus maintenance year costs (i.e. only agreed growth patients incur initial year costs). Consequently, the submission claimed that the use of these </w:t>
      </w:r>
      <w:r w:rsidR="00DF28C6">
        <w:rPr>
          <w:noProof/>
          <w:color w:val="000000"/>
          <w:highlight w:val="black"/>
        </w:rPr>
        <w:t>''''''''''''''''''''''' '''''''''</w:t>
      </w:r>
      <w:r w:rsidRPr="00903174">
        <w:t xml:space="preserve"> suggests no additional expense to Government due to the loading dose of ravulizumab in patients switching from eculizumab.</w:t>
      </w:r>
    </w:p>
    <w:p w14:paraId="07A9712A" w14:textId="77777777" w:rsidR="008C5D38" w:rsidRPr="00DF28C6" w:rsidRDefault="008C5D38" w:rsidP="008C5D38">
      <w:pPr>
        <w:pStyle w:val="ExecSumBodyText"/>
        <w:numPr>
          <w:ilvl w:val="1"/>
          <w:numId w:val="1"/>
        </w:numPr>
      </w:pPr>
      <w:r w:rsidRPr="00903174">
        <w:t xml:space="preserve">Alternatively, if the preference for Government is for </w:t>
      </w:r>
      <w:r w:rsidR="00DF28C6">
        <w:rPr>
          <w:noProof/>
          <w:color w:val="000000"/>
          <w:highlight w:val="black"/>
        </w:rPr>
        <w:t>'''''''''''''''''''''''''' '''''''''''''</w:t>
      </w:r>
      <w:r w:rsidRPr="00903174">
        <w:t xml:space="preserve">, then the sponsor is willing to monitor the loading dose at </w:t>
      </w:r>
      <w:r w:rsidR="00DF28C6">
        <w:rPr>
          <w:noProof/>
          <w:color w:val="000000"/>
          <w:highlight w:val="black"/>
        </w:rPr>
        <w:t>'''''' ''''''''''''''' ''''''''' ''''''' '''''''''''' '''''''''''''''''''''' '''''''' ''''''''''''''' '''''''''''''''''' '''''''' '''''' '''''''''''''' '''''''''''' ''''' '''''''''''''''''' ''''''''''''''''''' ''''''''''' ''''''' '''''''''' '''''''''' '''''' '''''''''''''' ''''''''''''''</w:t>
      </w:r>
    </w:p>
    <w:tbl>
      <w:tblPr>
        <w:tblW w:w="0" w:type="auto"/>
        <w:tblInd w:w="988" w:type="dxa"/>
        <w:tblLook w:val="04A0" w:firstRow="1" w:lastRow="0" w:firstColumn="1" w:lastColumn="0" w:noHBand="0" w:noVBand="1"/>
      </w:tblPr>
      <w:tblGrid>
        <w:gridCol w:w="3118"/>
        <w:gridCol w:w="425"/>
        <w:gridCol w:w="2135"/>
        <w:gridCol w:w="417"/>
        <w:gridCol w:w="1276"/>
      </w:tblGrid>
      <w:tr w:rsidR="008C5D38" w:rsidRPr="00FA30B8" w14:paraId="551B67A1" w14:textId="77777777" w:rsidTr="00FB06BC">
        <w:tc>
          <w:tcPr>
            <w:tcW w:w="3118" w:type="dxa"/>
            <w:shd w:val="clear" w:color="auto" w:fill="auto"/>
            <w:vAlign w:val="center"/>
          </w:tcPr>
          <w:p w14:paraId="0A67127B" w14:textId="77777777" w:rsidR="008C5D38" w:rsidRPr="00DF28C6" w:rsidRDefault="00DF28C6" w:rsidP="00FB06BC">
            <w:pPr>
              <w:pStyle w:val="NoSpacing"/>
              <w:keepNext/>
              <w:spacing w:line="240" w:lineRule="auto"/>
              <w:jc w:val="center"/>
              <w:rPr>
                <w:rFonts w:ascii="Arial Narrow" w:hAnsi="Arial Narrow"/>
                <w:sz w:val="20"/>
                <w:highlight w:val="black"/>
              </w:rPr>
            </w:pPr>
            <w:r>
              <w:rPr>
                <w:rFonts w:ascii="Arial Narrow" w:hAnsi="Arial Narrow"/>
                <w:noProof/>
                <w:color w:val="000000"/>
                <w:sz w:val="20"/>
                <w:highlight w:val="black"/>
              </w:rPr>
              <w:t>'''''''''''''''''''' '''' ''''''''''''''''''' ''''''''''''''''''''''''' '''''''''''''''''' ''''''''''''''''''' ''''' '''''''''''''''''''''''''' ''''''''''''''''''</w:t>
            </w:r>
          </w:p>
        </w:tc>
        <w:tc>
          <w:tcPr>
            <w:tcW w:w="425" w:type="dxa"/>
            <w:shd w:val="clear" w:color="auto" w:fill="auto"/>
            <w:vAlign w:val="center"/>
          </w:tcPr>
          <w:p w14:paraId="2F3CB155" w14:textId="77777777" w:rsidR="008C5D38" w:rsidRPr="00DF28C6" w:rsidRDefault="00DF28C6" w:rsidP="00FB06BC">
            <w:pPr>
              <w:pStyle w:val="NoSpacing"/>
              <w:keepNext/>
              <w:spacing w:line="240" w:lineRule="auto"/>
              <w:jc w:val="center"/>
              <w:rPr>
                <w:rFonts w:ascii="Arial Narrow" w:hAnsi="Arial Narrow"/>
                <w:bCs/>
                <w:sz w:val="20"/>
                <w:highlight w:val="black"/>
              </w:rPr>
            </w:pPr>
            <w:r>
              <w:rPr>
                <w:rFonts w:ascii="Arial Narrow" w:hAnsi="Arial Narrow"/>
                <w:bCs/>
                <w:noProof/>
                <w:color w:val="000000"/>
                <w:sz w:val="24"/>
                <w:highlight w:val="black"/>
              </w:rPr>
              <w:t>'''</w:t>
            </w:r>
          </w:p>
        </w:tc>
        <w:tc>
          <w:tcPr>
            <w:tcW w:w="2135" w:type="dxa"/>
            <w:shd w:val="clear" w:color="auto" w:fill="auto"/>
            <w:vAlign w:val="center"/>
          </w:tcPr>
          <w:p w14:paraId="466BC9A5" w14:textId="77777777" w:rsidR="008C5D38" w:rsidRPr="00DF28C6" w:rsidRDefault="00DF28C6" w:rsidP="00FB06BC">
            <w:pPr>
              <w:pStyle w:val="NoSpacing"/>
              <w:keepNext/>
              <w:spacing w:line="240" w:lineRule="auto"/>
              <w:jc w:val="center"/>
              <w:rPr>
                <w:rFonts w:ascii="Arial Narrow" w:hAnsi="Arial Narrow"/>
                <w:sz w:val="20"/>
                <w:highlight w:val="black"/>
              </w:rPr>
            </w:pPr>
            <w:r>
              <w:rPr>
                <w:rFonts w:ascii="Arial Narrow" w:hAnsi="Arial Narrow"/>
                <w:noProof/>
                <w:color w:val="000000"/>
                <w:sz w:val="20"/>
                <w:highlight w:val="black"/>
              </w:rPr>
              <w:t>'''''''''''''''''' ''''' ''''''''''''''''' '''''''''''' '''''''''' '''' '''''''''''''''''''''''''''''</w:t>
            </w:r>
          </w:p>
        </w:tc>
        <w:tc>
          <w:tcPr>
            <w:tcW w:w="417" w:type="dxa"/>
            <w:shd w:val="clear" w:color="auto" w:fill="auto"/>
            <w:vAlign w:val="center"/>
          </w:tcPr>
          <w:p w14:paraId="30238886" w14:textId="77777777" w:rsidR="008C5D38" w:rsidRPr="00DF28C6" w:rsidRDefault="00DF28C6" w:rsidP="00FB06BC">
            <w:pPr>
              <w:pStyle w:val="NoSpacing"/>
              <w:keepNext/>
              <w:spacing w:line="240" w:lineRule="auto"/>
              <w:jc w:val="center"/>
              <w:rPr>
                <w:rFonts w:ascii="Arial Narrow" w:hAnsi="Arial Narrow"/>
                <w:bCs/>
                <w:sz w:val="20"/>
                <w:highlight w:val="black"/>
              </w:rPr>
            </w:pPr>
            <w:r>
              <w:rPr>
                <w:rFonts w:ascii="Arial Narrow" w:hAnsi="Arial Narrow"/>
                <w:bCs/>
                <w:noProof/>
                <w:color w:val="000000"/>
                <w:sz w:val="24"/>
                <w:highlight w:val="black"/>
              </w:rPr>
              <w:t>''''</w:t>
            </w:r>
          </w:p>
        </w:tc>
        <w:tc>
          <w:tcPr>
            <w:tcW w:w="1276" w:type="dxa"/>
            <w:shd w:val="clear" w:color="auto" w:fill="auto"/>
            <w:vAlign w:val="center"/>
          </w:tcPr>
          <w:p w14:paraId="5E393E64" w14:textId="77777777" w:rsidR="008C5D38" w:rsidRPr="00DF28C6" w:rsidRDefault="00DF28C6" w:rsidP="00FB06BC">
            <w:pPr>
              <w:pStyle w:val="NoSpacing"/>
              <w:keepNext/>
              <w:spacing w:line="240" w:lineRule="auto"/>
              <w:jc w:val="center"/>
              <w:rPr>
                <w:rFonts w:ascii="Arial Narrow" w:hAnsi="Arial Narrow"/>
                <w:sz w:val="20"/>
                <w:highlight w:val="black"/>
              </w:rPr>
            </w:pPr>
            <w:r>
              <w:rPr>
                <w:rFonts w:ascii="Arial Narrow" w:hAnsi="Arial Narrow"/>
                <w:noProof/>
                <w:color w:val="000000"/>
                <w:sz w:val="20"/>
                <w:highlight w:val="black"/>
              </w:rPr>
              <w:t>'''''''''''' ''''''''' '''''''''</w:t>
            </w:r>
          </w:p>
        </w:tc>
      </w:tr>
    </w:tbl>
    <w:p w14:paraId="17637B82" w14:textId="77777777" w:rsidR="008C5D38" w:rsidRPr="00903174" w:rsidRDefault="008C5D38" w:rsidP="008C5D38">
      <w:pPr>
        <w:pStyle w:val="ExecSumBodyText"/>
        <w:numPr>
          <w:ilvl w:val="0"/>
          <w:numId w:val="0"/>
        </w:numPr>
        <w:spacing w:after="0"/>
        <w:ind w:left="720"/>
      </w:pPr>
    </w:p>
    <w:p w14:paraId="5E85F2E8" w14:textId="77777777" w:rsidR="008C5D38" w:rsidRPr="00903174" w:rsidRDefault="008C5D38" w:rsidP="008C5D38">
      <w:pPr>
        <w:pStyle w:val="ExecSumBodyText"/>
        <w:numPr>
          <w:ilvl w:val="1"/>
          <w:numId w:val="1"/>
        </w:numPr>
      </w:pPr>
      <w:r w:rsidRPr="00903174">
        <w:t xml:space="preserve">Loading dose cost offsets for ravulizumab were based on </w:t>
      </w:r>
      <w:r w:rsidR="00DF28C6">
        <w:rPr>
          <w:noProof/>
          <w:color w:val="000000"/>
          <w:highlight w:val="black"/>
        </w:rPr>
        <w:t xml:space="preserve">'''''' '''''''' '''''''' '''''''' ''''''''''''''''''''' '''''''''''''''' '''' '''''' </w:t>
      </w:r>
      <w:r w:rsidRPr="00903174">
        <w:t xml:space="preserve">vials), and does not fully account for the increased cost due to a higher number of vials administered during the initial year (estimated average of </w:t>
      </w:r>
      <w:r w:rsidR="00DF28C6">
        <w:rPr>
          <w:noProof/>
          <w:color w:val="000000"/>
          <w:highlight w:val="black"/>
        </w:rPr>
        <w:t>''''''''</w:t>
      </w:r>
      <w:r w:rsidRPr="00903174">
        <w:t xml:space="preserve"> vials based on trial-based weight distributions)</w:t>
      </w:r>
      <w:r w:rsidR="00B4390A" w:rsidRPr="00903174">
        <w:t xml:space="preserve">. </w:t>
      </w:r>
    </w:p>
    <w:p w14:paraId="53C48F76" w14:textId="77777777" w:rsidR="008C5D38" w:rsidRPr="00903174" w:rsidRDefault="008C5D38" w:rsidP="008C5D38">
      <w:pPr>
        <w:pStyle w:val="ExecSumBodyText"/>
        <w:numPr>
          <w:ilvl w:val="1"/>
          <w:numId w:val="1"/>
        </w:numPr>
      </w:pPr>
      <w:r w:rsidRPr="00903174">
        <w:t>The table below presents the net cost to Government of ravulizumab listing on the PBS with the application of the risk share agreement.</w:t>
      </w:r>
    </w:p>
    <w:p w14:paraId="36C09243" w14:textId="77777777" w:rsidR="00E93AAD" w:rsidRDefault="00E93AAD">
      <w:pPr>
        <w:jc w:val="left"/>
        <w:rPr>
          <w:rFonts w:ascii="Arial Narrow" w:eastAsiaTheme="minorHAnsi" w:hAnsi="Arial Narrow" w:cstheme="minorBidi"/>
          <w:b/>
          <w:sz w:val="20"/>
          <w:szCs w:val="22"/>
          <w:lang w:eastAsia="en-US"/>
        </w:rPr>
      </w:pPr>
      <w:r>
        <w:br w:type="page"/>
      </w:r>
    </w:p>
    <w:p w14:paraId="14B7D980" w14:textId="77777777" w:rsidR="008C5D38" w:rsidRPr="00903174" w:rsidRDefault="008C5D38" w:rsidP="008C5D38">
      <w:pPr>
        <w:pStyle w:val="TableHeading"/>
        <w:spacing w:after="0"/>
      </w:pPr>
      <w:r w:rsidRPr="00903174">
        <w:lastRenderedPageBreak/>
        <w:t>Table 26: Net cost to Government of ravulizumab listing on the PBS (with RSA)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07"/>
        <w:gridCol w:w="1102"/>
        <w:gridCol w:w="1102"/>
        <w:gridCol w:w="1102"/>
        <w:gridCol w:w="1102"/>
        <w:gridCol w:w="1102"/>
        <w:gridCol w:w="1100"/>
      </w:tblGrid>
      <w:tr w:rsidR="008C5D38" w:rsidRPr="00903174" w14:paraId="5585ED07" w14:textId="77777777" w:rsidTr="00FB06BC">
        <w:trPr>
          <w:tblHeader/>
        </w:trPr>
        <w:tc>
          <w:tcPr>
            <w:tcW w:w="1335" w:type="pct"/>
            <w:tcBorders>
              <w:left w:val="single" w:sz="4" w:space="0" w:color="auto"/>
              <w:bottom w:val="single" w:sz="4" w:space="0" w:color="auto"/>
            </w:tcBorders>
            <w:shd w:val="clear" w:color="auto" w:fill="auto"/>
            <w:vAlign w:val="center"/>
            <w:hideMark/>
          </w:tcPr>
          <w:p w14:paraId="6C1FD013" w14:textId="77777777" w:rsidR="008C5D38" w:rsidRPr="00903174" w:rsidRDefault="008C5D38" w:rsidP="00FB06BC">
            <w:pPr>
              <w:rPr>
                <w:rFonts w:ascii="Arial Narrow" w:hAnsi="Arial Narrow"/>
                <w:snapToGrid w:val="0"/>
                <w:sz w:val="20"/>
                <w:szCs w:val="20"/>
              </w:rPr>
            </w:pPr>
          </w:p>
        </w:tc>
        <w:tc>
          <w:tcPr>
            <w:tcW w:w="611" w:type="pct"/>
            <w:tcBorders>
              <w:bottom w:val="single" w:sz="4" w:space="0" w:color="auto"/>
            </w:tcBorders>
            <w:shd w:val="clear" w:color="auto" w:fill="auto"/>
            <w:vAlign w:val="center"/>
            <w:hideMark/>
          </w:tcPr>
          <w:p w14:paraId="1B7E5B2C"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1</w:t>
            </w:r>
          </w:p>
          <w:p w14:paraId="597C5A9C"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(2021-22)</w:t>
            </w:r>
          </w:p>
        </w:tc>
        <w:tc>
          <w:tcPr>
            <w:tcW w:w="611" w:type="pct"/>
            <w:tcBorders>
              <w:bottom w:val="single" w:sz="4" w:space="0" w:color="auto"/>
            </w:tcBorders>
            <w:shd w:val="clear" w:color="auto" w:fill="auto"/>
            <w:vAlign w:val="center"/>
            <w:hideMark/>
          </w:tcPr>
          <w:p w14:paraId="12ACF249"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2</w:t>
            </w:r>
          </w:p>
          <w:p w14:paraId="0FD7854F"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(2022-23)</w:t>
            </w:r>
          </w:p>
        </w:tc>
        <w:tc>
          <w:tcPr>
            <w:tcW w:w="611" w:type="pct"/>
            <w:tcBorders>
              <w:bottom w:val="single" w:sz="4" w:space="0" w:color="auto"/>
            </w:tcBorders>
            <w:shd w:val="clear" w:color="auto" w:fill="auto"/>
            <w:vAlign w:val="center"/>
            <w:hideMark/>
          </w:tcPr>
          <w:p w14:paraId="5A21D04F"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3</w:t>
            </w:r>
            <w:r w:rsidRPr="00903174">
              <w:rPr>
                <w:rFonts w:ascii="Arial Narrow" w:hAnsi="Arial Narrow"/>
                <w:b/>
                <w:bCs/>
                <w:snapToGrid w:val="0"/>
                <w:sz w:val="20"/>
                <w:szCs w:val="20"/>
              </w:rPr>
              <w:br/>
              <w:t>(2023-24)</w:t>
            </w:r>
          </w:p>
        </w:tc>
        <w:tc>
          <w:tcPr>
            <w:tcW w:w="611" w:type="pct"/>
            <w:tcBorders>
              <w:bottom w:val="single" w:sz="4" w:space="0" w:color="auto"/>
            </w:tcBorders>
            <w:shd w:val="clear" w:color="auto" w:fill="auto"/>
            <w:vAlign w:val="center"/>
            <w:hideMark/>
          </w:tcPr>
          <w:p w14:paraId="5E4151C5"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4</w:t>
            </w:r>
          </w:p>
          <w:p w14:paraId="0AEAE210"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(2024-25)</w:t>
            </w:r>
          </w:p>
        </w:tc>
        <w:tc>
          <w:tcPr>
            <w:tcW w:w="611" w:type="pct"/>
            <w:tcBorders>
              <w:bottom w:val="single" w:sz="4" w:space="0" w:color="auto"/>
              <w:right w:val="single" w:sz="4" w:space="0" w:color="auto"/>
            </w:tcBorders>
            <w:shd w:val="clear" w:color="auto" w:fill="auto"/>
            <w:vAlign w:val="center"/>
            <w:hideMark/>
          </w:tcPr>
          <w:p w14:paraId="6FEF3E13"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5</w:t>
            </w:r>
          </w:p>
          <w:p w14:paraId="482D5CEE"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(2025-26)</w:t>
            </w:r>
          </w:p>
        </w:tc>
        <w:tc>
          <w:tcPr>
            <w:tcW w:w="610" w:type="pct"/>
            <w:tcBorders>
              <w:bottom w:val="single" w:sz="4" w:space="0" w:color="auto"/>
              <w:right w:val="single" w:sz="4" w:space="0" w:color="auto"/>
            </w:tcBorders>
            <w:vAlign w:val="center"/>
          </w:tcPr>
          <w:p w14:paraId="0F530462"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Year 6</w:t>
            </w:r>
          </w:p>
          <w:p w14:paraId="7EDBE8FB" w14:textId="77777777" w:rsidR="008C5D38" w:rsidRPr="00903174" w:rsidRDefault="008C5D38" w:rsidP="00FB06BC">
            <w:pPr>
              <w:jc w:val="center"/>
              <w:rPr>
                <w:rFonts w:ascii="Arial Narrow" w:hAnsi="Arial Narrow"/>
                <w:b/>
                <w:bCs/>
                <w:snapToGrid w:val="0"/>
                <w:sz w:val="20"/>
                <w:szCs w:val="20"/>
              </w:rPr>
            </w:pPr>
            <w:r w:rsidRPr="00903174">
              <w:rPr>
                <w:rFonts w:ascii="Arial Narrow" w:hAnsi="Arial Narrow"/>
                <w:b/>
                <w:bCs/>
                <w:snapToGrid w:val="0"/>
                <w:sz w:val="20"/>
                <w:szCs w:val="20"/>
              </w:rPr>
              <w:t>(2026-27)</w:t>
            </w:r>
          </w:p>
        </w:tc>
      </w:tr>
      <w:tr w:rsidR="008C5D38" w:rsidRPr="00903174" w14:paraId="6D49CBFC" w14:textId="77777777" w:rsidTr="00FB06BC">
        <w:tc>
          <w:tcPr>
            <w:tcW w:w="1335" w:type="pct"/>
            <w:tcBorders>
              <w:left w:val="single" w:sz="4" w:space="0" w:color="auto"/>
            </w:tcBorders>
            <w:shd w:val="clear" w:color="auto" w:fill="auto"/>
            <w:noWrap/>
            <w:vAlign w:val="center"/>
          </w:tcPr>
          <w:p w14:paraId="0DE30B86"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Net cost of ravulizumab to the PBS with loading dose RSA rebate (weighted DPMQ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w:t>
            </w:r>
          </w:p>
        </w:tc>
        <w:tc>
          <w:tcPr>
            <w:tcW w:w="611" w:type="pct"/>
            <w:shd w:val="clear" w:color="auto" w:fill="auto"/>
            <w:vAlign w:val="center"/>
          </w:tcPr>
          <w:p w14:paraId="5A3DCF52"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r w:rsidRPr="00903174">
              <w:rPr>
                <w:rFonts w:ascii="Arial Narrow" w:hAnsi="Arial Narrow"/>
                <w:sz w:val="20"/>
              </w:rPr>
              <w:t xml:space="preserve"> </w:t>
            </w:r>
          </w:p>
        </w:tc>
        <w:tc>
          <w:tcPr>
            <w:tcW w:w="611" w:type="pct"/>
            <w:shd w:val="clear" w:color="auto" w:fill="auto"/>
            <w:vAlign w:val="center"/>
          </w:tcPr>
          <w:p w14:paraId="10476D1C"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r w:rsidRPr="00903174">
              <w:rPr>
                <w:rFonts w:ascii="Arial Narrow" w:hAnsi="Arial Narrow"/>
                <w:sz w:val="20"/>
              </w:rPr>
              <w:t xml:space="preserve"> </w:t>
            </w:r>
          </w:p>
        </w:tc>
        <w:tc>
          <w:tcPr>
            <w:tcW w:w="611" w:type="pct"/>
            <w:shd w:val="clear" w:color="auto" w:fill="auto"/>
            <w:vAlign w:val="center"/>
          </w:tcPr>
          <w:p w14:paraId="1F31895D"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0A1C9C">
              <w:rPr>
                <w:rFonts w:ascii="Arial Narrow" w:hAnsi="Arial Narrow"/>
                <w:noProof/>
                <w:color w:val="000000"/>
                <w:sz w:val="20"/>
                <w:highlight w:val="black"/>
              </w:rPr>
              <w:t>''''''''''''''''''''''''''''</w:t>
            </w:r>
          </w:p>
        </w:tc>
        <w:tc>
          <w:tcPr>
            <w:tcW w:w="611" w:type="pct"/>
            <w:shd w:val="clear" w:color="auto" w:fill="auto"/>
            <w:vAlign w:val="center"/>
          </w:tcPr>
          <w:p w14:paraId="4A6F857C"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0A1C9C">
              <w:rPr>
                <w:rFonts w:ascii="Arial Narrow" w:hAnsi="Arial Narrow"/>
                <w:noProof/>
                <w:color w:val="000000"/>
                <w:sz w:val="20"/>
                <w:highlight w:val="black"/>
              </w:rPr>
              <w:t>''''''''''''''''''''''''''''</w:t>
            </w:r>
          </w:p>
        </w:tc>
        <w:tc>
          <w:tcPr>
            <w:tcW w:w="611" w:type="pct"/>
            <w:tcBorders>
              <w:right w:val="single" w:sz="4" w:space="0" w:color="auto"/>
            </w:tcBorders>
            <w:shd w:val="clear" w:color="auto" w:fill="auto"/>
            <w:vAlign w:val="center"/>
          </w:tcPr>
          <w:p w14:paraId="3360B193"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r w:rsidRPr="00903174">
              <w:rPr>
                <w:rFonts w:ascii="Arial Narrow" w:hAnsi="Arial Narrow"/>
                <w:sz w:val="20"/>
              </w:rPr>
              <w:t xml:space="preserve"> </w:t>
            </w:r>
          </w:p>
        </w:tc>
        <w:tc>
          <w:tcPr>
            <w:tcW w:w="610" w:type="pct"/>
            <w:tcBorders>
              <w:right w:val="single" w:sz="4" w:space="0" w:color="auto"/>
            </w:tcBorders>
            <w:vAlign w:val="center"/>
          </w:tcPr>
          <w:p w14:paraId="1F8931D7"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0A1C9C">
              <w:rPr>
                <w:rFonts w:ascii="Arial Narrow" w:hAnsi="Arial Narrow"/>
                <w:noProof/>
                <w:color w:val="000000"/>
                <w:sz w:val="20"/>
                <w:highlight w:val="black"/>
              </w:rPr>
              <w:t>''''''''''''''''''''''''''''</w:t>
            </w:r>
          </w:p>
        </w:tc>
      </w:tr>
      <w:tr w:rsidR="008C5D38" w:rsidRPr="00903174" w14:paraId="1190A3DC" w14:textId="77777777" w:rsidTr="00FB06BC">
        <w:tc>
          <w:tcPr>
            <w:tcW w:w="1335" w:type="pct"/>
            <w:tcBorders>
              <w:left w:val="single" w:sz="4" w:space="0" w:color="auto"/>
              <w:bottom w:val="single" w:sz="4" w:space="0" w:color="auto"/>
            </w:tcBorders>
            <w:shd w:val="clear" w:color="auto" w:fill="auto"/>
            <w:noWrap/>
            <w:vAlign w:val="center"/>
          </w:tcPr>
          <w:p w14:paraId="43237C4E"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Cost of eculizumab on the LSDP ($</w:t>
            </w:r>
            <w:r w:rsidR="00DF28C6">
              <w:rPr>
                <w:rFonts w:ascii="Arial Narrow" w:hAnsi="Arial Narrow"/>
                <w:noProof/>
                <w:snapToGrid w:val="0"/>
                <w:color w:val="000000"/>
                <w:sz w:val="20"/>
                <w:szCs w:val="20"/>
                <w:highlight w:val="black"/>
              </w:rPr>
              <w:t>''''''''''''''''''''</w:t>
            </w:r>
            <w:r w:rsidRPr="00903174">
              <w:rPr>
                <w:rFonts w:ascii="Arial Narrow" w:hAnsi="Arial Narrow"/>
                <w:snapToGrid w:val="0"/>
                <w:sz w:val="20"/>
                <w:szCs w:val="20"/>
              </w:rPr>
              <w:t xml:space="preserve"> per vial)</w:t>
            </w:r>
          </w:p>
        </w:tc>
        <w:tc>
          <w:tcPr>
            <w:tcW w:w="611" w:type="pct"/>
            <w:tcBorders>
              <w:bottom w:val="single" w:sz="4" w:space="0" w:color="auto"/>
            </w:tcBorders>
            <w:shd w:val="clear" w:color="auto" w:fill="auto"/>
            <w:vAlign w:val="center"/>
          </w:tcPr>
          <w:p w14:paraId="43649C9E"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vAlign w:val="center"/>
          </w:tcPr>
          <w:p w14:paraId="05D942E7"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vAlign w:val="center"/>
          </w:tcPr>
          <w:p w14:paraId="7AE841CD"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tcBorders>
            <w:shd w:val="clear" w:color="auto" w:fill="auto"/>
            <w:vAlign w:val="center"/>
          </w:tcPr>
          <w:p w14:paraId="3B3143EB"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single" w:sz="4" w:space="0" w:color="auto"/>
              <w:right w:val="single" w:sz="4" w:space="0" w:color="auto"/>
            </w:tcBorders>
            <w:shd w:val="clear" w:color="auto" w:fill="auto"/>
            <w:vAlign w:val="center"/>
          </w:tcPr>
          <w:p w14:paraId="6C075E51"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0" w:type="pct"/>
            <w:tcBorders>
              <w:bottom w:val="single" w:sz="4" w:space="0" w:color="auto"/>
              <w:right w:val="single" w:sz="4" w:space="0" w:color="auto"/>
            </w:tcBorders>
            <w:vAlign w:val="center"/>
          </w:tcPr>
          <w:p w14:paraId="71BA425B"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r>
      <w:tr w:rsidR="008C5D38" w:rsidRPr="00903174" w14:paraId="1123CAE4" w14:textId="77777777" w:rsidTr="00FB06BC">
        <w:tc>
          <w:tcPr>
            <w:tcW w:w="1335" w:type="pct"/>
            <w:tcBorders>
              <w:left w:val="single" w:sz="4" w:space="0" w:color="auto"/>
              <w:bottom w:val="double" w:sz="4" w:space="0" w:color="auto"/>
            </w:tcBorders>
            <w:shd w:val="clear" w:color="auto" w:fill="auto"/>
            <w:noWrap/>
            <w:vAlign w:val="center"/>
          </w:tcPr>
          <w:p w14:paraId="74EAD9B4"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Cost of ravulizumab and eculizumab to the Government</w:t>
            </w:r>
          </w:p>
        </w:tc>
        <w:tc>
          <w:tcPr>
            <w:tcW w:w="611" w:type="pct"/>
            <w:tcBorders>
              <w:bottom w:val="double" w:sz="4" w:space="0" w:color="auto"/>
            </w:tcBorders>
            <w:shd w:val="clear" w:color="auto" w:fill="auto"/>
            <w:vAlign w:val="center"/>
          </w:tcPr>
          <w:p w14:paraId="70AEC3BA"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double" w:sz="4" w:space="0" w:color="auto"/>
            </w:tcBorders>
            <w:shd w:val="clear" w:color="auto" w:fill="auto"/>
            <w:vAlign w:val="center"/>
          </w:tcPr>
          <w:p w14:paraId="7B97A1CA"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double" w:sz="4" w:space="0" w:color="auto"/>
            </w:tcBorders>
            <w:shd w:val="clear" w:color="auto" w:fill="auto"/>
            <w:vAlign w:val="center"/>
          </w:tcPr>
          <w:p w14:paraId="0326BFE4"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double" w:sz="4" w:space="0" w:color="auto"/>
            </w:tcBorders>
            <w:shd w:val="clear" w:color="auto" w:fill="auto"/>
            <w:vAlign w:val="center"/>
          </w:tcPr>
          <w:p w14:paraId="009C4AE6"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bottom w:val="double" w:sz="4" w:space="0" w:color="auto"/>
              <w:right w:val="single" w:sz="4" w:space="0" w:color="auto"/>
            </w:tcBorders>
            <w:shd w:val="clear" w:color="auto" w:fill="auto"/>
            <w:vAlign w:val="center"/>
          </w:tcPr>
          <w:p w14:paraId="06F20E76"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0A1C9C">
              <w:rPr>
                <w:rFonts w:ascii="Arial Narrow" w:hAnsi="Arial Narrow"/>
                <w:noProof/>
                <w:color w:val="000000"/>
                <w:sz w:val="20"/>
                <w:highlight w:val="black"/>
              </w:rPr>
              <w:t>''''''''''''''''''''''''''''</w:t>
            </w:r>
          </w:p>
        </w:tc>
        <w:tc>
          <w:tcPr>
            <w:tcW w:w="610" w:type="pct"/>
            <w:tcBorders>
              <w:bottom w:val="double" w:sz="4" w:space="0" w:color="auto"/>
              <w:right w:val="single" w:sz="4" w:space="0" w:color="auto"/>
            </w:tcBorders>
            <w:vAlign w:val="center"/>
          </w:tcPr>
          <w:p w14:paraId="0F21721F"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r>
      <w:tr w:rsidR="008C5D38" w:rsidRPr="00903174" w14:paraId="65DA707B" w14:textId="77777777" w:rsidTr="00FB06BC">
        <w:tc>
          <w:tcPr>
            <w:tcW w:w="1335" w:type="pct"/>
            <w:tcBorders>
              <w:top w:val="double" w:sz="4" w:space="0" w:color="auto"/>
              <w:left w:val="single" w:sz="4" w:space="0" w:color="auto"/>
            </w:tcBorders>
            <w:shd w:val="clear" w:color="auto" w:fill="auto"/>
            <w:noWrap/>
            <w:vAlign w:val="center"/>
          </w:tcPr>
          <w:p w14:paraId="252B3845" w14:textId="77777777" w:rsidR="008C5D38" w:rsidRPr="00903174" w:rsidRDefault="008C5D38" w:rsidP="00FB06BC">
            <w:pPr>
              <w:jc w:val="left"/>
              <w:rPr>
                <w:rFonts w:ascii="Arial Narrow" w:hAnsi="Arial Narrow"/>
                <w:snapToGrid w:val="0"/>
                <w:sz w:val="20"/>
                <w:szCs w:val="20"/>
              </w:rPr>
            </w:pPr>
            <w:r w:rsidRPr="00903174">
              <w:rPr>
                <w:rFonts w:ascii="Arial Narrow" w:hAnsi="Arial Narrow"/>
                <w:snapToGrid w:val="0"/>
                <w:sz w:val="20"/>
                <w:szCs w:val="20"/>
              </w:rPr>
              <w:t>Proposed Commonwealth Payment Threshold</w:t>
            </w:r>
          </w:p>
        </w:tc>
        <w:tc>
          <w:tcPr>
            <w:tcW w:w="611" w:type="pct"/>
            <w:tcBorders>
              <w:top w:val="double" w:sz="4" w:space="0" w:color="auto"/>
            </w:tcBorders>
            <w:shd w:val="clear" w:color="auto" w:fill="auto"/>
            <w:vAlign w:val="center"/>
          </w:tcPr>
          <w:p w14:paraId="061A77E2"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top w:val="double" w:sz="4" w:space="0" w:color="auto"/>
            </w:tcBorders>
            <w:shd w:val="clear" w:color="auto" w:fill="auto"/>
            <w:vAlign w:val="center"/>
          </w:tcPr>
          <w:p w14:paraId="4075C35D"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top w:val="double" w:sz="4" w:space="0" w:color="auto"/>
            </w:tcBorders>
            <w:shd w:val="clear" w:color="auto" w:fill="auto"/>
            <w:vAlign w:val="center"/>
          </w:tcPr>
          <w:p w14:paraId="00D48B59"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top w:val="double" w:sz="4" w:space="0" w:color="auto"/>
            </w:tcBorders>
            <w:shd w:val="clear" w:color="auto" w:fill="auto"/>
            <w:vAlign w:val="center"/>
          </w:tcPr>
          <w:p w14:paraId="74F29086"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1" w:type="pct"/>
            <w:tcBorders>
              <w:top w:val="double" w:sz="4" w:space="0" w:color="auto"/>
              <w:right w:val="single" w:sz="4" w:space="0" w:color="auto"/>
            </w:tcBorders>
            <w:shd w:val="clear" w:color="auto" w:fill="auto"/>
            <w:vAlign w:val="center"/>
          </w:tcPr>
          <w:p w14:paraId="189F518E"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c>
          <w:tcPr>
            <w:tcW w:w="610" w:type="pct"/>
            <w:tcBorders>
              <w:top w:val="double" w:sz="4" w:space="0" w:color="auto"/>
              <w:right w:val="single" w:sz="4" w:space="0" w:color="auto"/>
            </w:tcBorders>
            <w:vAlign w:val="center"/>
          </w:tcPr>
          <w:p w14:paraId="330870C1" w14:textId="77777777" w:rsidR="008C5D38" w:rsidRPr="00903174" w:rsidRDefault="008C5D38" w:rsidP="00FB06BC">
            <w:pPr>
              <w:jc w:val="center"/>
              <w:rPr>
                <w:rFonts w:ascii="Arial Narrow" w:hAnsi="Arial Narrow"/>
                <w:sz w:val="20"/>
              </w:rPr>
            </w:pPr>
            <w:r w:rsidRPr="00903174">
              <w:rPr>
                <w:rFonts w:ascii="Arial Narrow" w:hAnsi="Arial Narrow"/>
                <w:sz w:val="20"/>
              </w:rPr>
              <w:t>$</w:t>
            </w:r>
            <w:r w:rsidR="00DF28C6">
              <w:rPr>
                <w:rFonts w:ascii="Arial Narrow" w:hAnsi="Arial Narrow"/>
                <w:noProof/>
                <w:color w:val="000000"/>
                <w:sz w:val="20"/>
                <w:highlight w:val="black"/>
              </w:rPr>
              <w:t>''''''''''''''''''''''''</w:t>
            </w:r>
          </w:p>
        </w:tc>
      </w:tr>
      <w:tr w:rsidR="008C5D38" w:rsidRPr="00903174" w14:paraId="6B4B4BA2" w14:textId="77777777" w:rsidTr="00FB06BC">
        <w:tc>
          <w:tcPr>
            <w:tcW w:w="1335" w:type="pct"/>
            <w:tcBorders>
              <w:left w:val="single" w:sz="4" w:space="0" w:color="auto"/>
              <w:bottom w:val="single" w:sz="4" w:space="0" w:color="auto"/>
            </w:tcBorders>
            <w:shd w:val="clear" w:color="auto" w:fill="auto"/>
            <w:noWrap/>
            <w:vAlign w:val="center"/>
          </w:tcPr>
          <w:p w14:paraId="081A0CC2" w14:textId="77777777" w:rsidR="008C5D38" w:rsidRPr="00903174" w:rsidRDefault="008C5D38" w:rsidP="00FB06BC">
            <w:pPr>
              <w:jc w:val="left"/>
              <w:rPr>
                <w:rFonts w:ascii="Arial Narrow" w:hAnsi="Arial Narrow"/>
                <w:b/>
                <w:snapToGrid w:val="0"/>
                <w:sz w:val="20"/>
                <w:szCs w:val="20"/>
              </w:rPr>
            </w:pPr>
            <w:r w:rsidRPr="00903174">
              <w:rPr>
                <w:rFonts w:ascii="Arial Narrow" w:hAnsi="Arial Narrow"/>
                <w:b/>
                <w:snapToGrid w:val="0"/>
                <w:sz w:val="20"/>
                <w:szCs w:val="20"/>
              </w:rPr>
              <w:t>Estimated rebate from sponsor</w:t>
            </w:r>
          </w:p>
        </w:tc>
        <w:tc>
          <w:tcPr>
            <w:tcW w:w="611" w:type="pct"/>
            <w:tcBorders>
              <w:bottom w:val="single" w:sz="4" w:space="0" w:color="auto"/>
            </w:tcBorders>
            <w:shd w:val="clear" w:color="auto" w:fill="auto"/>
            <w:vAlign w:val="center"/>
          </w:tcPr>
          <w:p w14:paraId="6A681B6E" w14:textId="77777777" w:rsidR="008C5D38" w:rsidRPr="00903174" w:rsidRDefault="008C5D38" w:rsidP="00FB06BC">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tcBorders>
              <w:bottom w:val="single" w:sz="4" w:space="0" w:color="auto"/>
            </w:tcBorders>
            <w:shd w:val="clear" w:color="auto" w:fill="auto"/>
            <w:vAlign w:val="center"/>
          </w:tcPr>
          <w:p w14:paraId="36F14A91" w14:textId="77777777" w:rsidR="008C5D38" w:rsidRPr="00903174" w:rsidRDefault="008C5D38" w:rsidP="00FB06BC">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tcBorders>
              <w:bottom w:val="single" w:sz="4" w:space="0" w:color="auto"/>
            </w:tcBorders>
            <w:shd w:val="clear" w:color="auto" w:fill="auto"/>
            <w:vAlign w:val="center"/>
          </w:tcPr>
          <w:p w14:paraId="61C65CF6" w14:textId="77777777" w:rsidR="008C5D38" w:rsidRPr="00903174" w:rsidRDefault="008C5D38" w:rsidP="00FB06BC">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tcBorders>
              <w:bottom w:val="single" w:sz="4" w:space="0" w:color="auto"/>
            </w:tcBorders>
            <w:shd w:val="clear" w:color="auto" w:fill="auto"/>
            <w:vAlign w:val="center"/>
          </w:tcPr>
          <w:p w14:paraId="11E943BA" w14:textId="77777777" w:rsidR="008C5D38" w:rsidRPr="00903174" w:rsidRDefault="008C5D38" w:rsidP="00FB06BC">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1" w:type="pct"/>
            <w:tcBorders>
              <w:bottom w:val="single" w:sz="4" w:space="0" w:color="auto"/>
              <w:right w:val="single" w:sz="4" w:space="0" w:color="auto"/>
            </w:tcBorders>
            <w:shd w:val="clear" w:color="auto" w:fill="auto"/>
            <w:vAlign w:val="center"/>
          </w:tcPr>
          <w:p w14:paraId="3CD801CD" w14:textId="77777777" w:rsidR="008C5D38" w:rsidRPr="00903174" w:rsidRDefault="008C5D38" w:rsidP="00FB06BC">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c>
          <w:tcPr>
            <w:tcW w:w="610" w:type="pct"/>
            <w:tcBorders>
              <w:bottom w:val="single" w:sz="4" w:space="0" w:color="auto"/>
              <w:right w:val="single" w:sz="4" w:space="0" w:color="auto"/>
            </w:tcBorders>
            <w:vAlign w:val="center"/>
          </w:tcPr>
          <w:p w14:paraId="45C9D709" w14:textId="77777777" w:rsidR="008C5D38" w:rsidRPr="00903174" w:rsidRDefault="008C5D38" w:rsidP="00FB06BC">
            <w:pPr>
              <w:jc w:val="center"/>
              <w:rPr>
                <w:rFonts w:ascii="Arial Narrow" w:hAnsi="Arial Narrow"/>
                <w:b/>
                <w:sz w:val="20"/>
              </w:rPr>
            </w:pPr>
            <w:r w:rsidRPr="00903174">
              <w:rPr>
                <w:rFonts w:ascii="Arial Narrow" w:hAnsi="Arial Narrow"/>
                <w:b/>
                <w:sz w:val="20"/>
              </w:rPr>
              <w:t>$</w:t>
            </w:r>
            <w:r w:rsidR="00DF28C6">
              <w:rPr>
                <w:rFonts w:ascii="Arial Narrow" w:hAnsi="Arial Narrow"/>
                <w:b/>
                <w:noProof/>
                <w:color w:val="000000"/>
                <w:sz w:val="20"/>
                <w:highlight w:val="black"/>
              </w:rPr>
              <w:t>'''''''''''''''''''</w:t>
            </w:r>
          </w:p>
        </w:tc>
      </w:tr>
    </w:tbl>
    <w:p w14:paraId="42A17E1D" w14:textId="77777777" w:rsidR="008C5D38" w:rsidRPr="00903174" w:rsidRDefault="008C5D38" w:rsidP="008C5D38">
      <w:pPr>
        <w:pStyle w:val="TableFooter"/>
      </w:pPr>
      <w:r w:rsidRPr="00903174">
        <w:t>Source: Table 166, p 279 of the submission</w:t>
      </w:r>
    </w:p>
    <w:p w14:paraId="486FE68B" w14:textId="77777777" w:rsidR="008C5D38" w:rsidRPr="00903174" w:rsidRDefault="008C5D38" w:rsidP="008C5D38">
      <w:pPr>
        <w:pStyle w:val="TableFooter"/>
      </w:pPr>
    </w:p>
    <w:p w14:paraId="07EC2B55" w14:textId="77777777" w:rsidR="008C5D38" w:rsidRPr="00903174" w:rsidRDefault="008C5D38" w:rsidP="008C5D38">
      <w:pPr>
        <w:pStyle w:val="ExecSumBodyText"/>
        <w:numPr>
          <w:ilvl w:val="1"/>
          <w:numId w:val="1"/>
        </w:numPr>
      </w:pPr>
      <w:r w:rsidRPr="00903174">
        <w:t>The submission claimed the increasing net cost of ravulizumab and eculizumab over time was due to the 10% price reduction of eculizumab from 2021. Although the price differential was the primary driver of increased costs, there were also additional costs due to higher initial year costs for ravulizumab compared with eculizumab.</w:t>
      </w:r>
    </w:p>
    <w:p w14:paraId="0A46FE46" w14:textId="77777777" w:rsidR="008C5D38" w:rsidRPr="00903174" w:rsidRDefault="008C5D38" w:rsidP="00346D24">
      <w:pPr>
        <w:ind w:firstLine="720"/>
        <w:rPr>
          <w:i/>
        </w:rPr>
      </w:pPr>
      <w:r w:rsidRPr="00903174">
        <w:rPr>
          <w:i/>
        </w:rPr>
        <w:t>For more detail on PBAC’s view, see section 7 PBAC outcome.</w:t>
      </w:r>
    </w:p>
    <w:p w14:paraId="60958537" w14:textId="77777777" w:rsidR="00D73B2A" w:rsidRPr="00903174" w:rsidRDefault="00D73B2A" w:rsidP="00D73B2A">
      <w:pPr>
        <w:pStyle w:val="2-SectionHeading"/>
        <w:numPr>
          <w:ilvl w:val="0"/>
          <w:numId w:val="1"/>
        </w:numPr>
        <w:rPr>
          <w:rFonts w:ascii="Times New Roman" w:hAnsi="Times New Roman" w:cs="Times New Roman"/>
          <w:b w:val="0"/>
          <w:bCs/>
        </w:rPr>
      </w:pPr>
      <w:r w:rsidRPr="00903174">
        <w:t>PBAC</w:t>
      </w:r>
      <w:r w:rsidRPr="00903174">
        <w:rPr>
          <w:rFonts w:ascii="Times New Roman" w:hAnsi="Times New Roman" w:cs="Times New Roman"/>
          <w:b w:val="0"/>
          <w:bCs/>
        </w:rPr>
        <w:t xml:space="preserve"> </w:t>
      </w:r>
      <w:r w:rsidRPr="00903174">
        <w:t>Outcome</w:t>
      </w:r>
    </w:p>
    <w:p w14:paraId="63247B40" w14:textId="77777777" w:rsidR="00D73B2A" w:rsidRPr="00903174" w:rsidRDefault="00D73B2A" w:rsidP="00D73B2A">
      <w:pPr>
        <w:pStyle w:val="ExecSumBodyText"/>
        <w:numPr>
          <w:ilvl w:val="1"/>
          <w:numId w:val="1"/>
        </w:numPr>
      </w:pPr>
      <w:r w:rsidRPr="00903174">
        <w:t>The PBAC did not recommend</w:t>
      </w:r>
      <w:r w:rsidR="00D84ADB" w:rsidRPr="00903174">
        <w:t xml:space="preserve"> </w:t>
      </w:r>
      <w:r w:rsidR="00012540" w:rsidRPr="00903174">
        <w:t>ravulizumab for the treatment of patients with paroxysmal nocturnal haemoglobinuria (PNH). The PBAC considered the clinical evidence presented in the submission demonstrated that ravulizum</w:t>
      </w:r>
      <w:r w:rsidR="003D419B" w:rsidRPr="00903174">
        <w:t xml:space="preserve">ab is likely to be non-inferior </w:t>
      </w:r>
      <w:r w:rsidR="00012540" w:rsidRPr="00903174">
        <w:t>comp</w:t>
      </w:r>
      <w:r w:rsidR="00FB06BC" w:rsidRPr="00903174">
        <w:t>ared to eculizumab in the short-</w:t>
      </w:r>
      <w:r w:rsidR="00012540" w:rsidRPr="00903174">
        <w:t xml:space="preserve">term. However, the PBAC considered that due to the lack of long-term follow-up data available, it was uncertain whether a patient’s lifespan would be substantially extended as a direct consequence of the use of ravulizumab. The PBAC also considered the </w:t>
      </w:r>
      <w:r w:rsidR="00E84BD6" w:rsidRPr="00903174">
        <w:t xml:space="preserve">applicant’s </w:t>
      </w:r>
      <w:r w:rsidR="00012540" w:rsidRPr="00903174">
        <w:t>economic model d</w:t>
      </w:r>
      <w:r w:rsidR="005F77B8" w:rsidRPr="00903174">
        <w:t xml:space="preserve">id not provide a valid means of </w:t>
      </w:r>
      <w:r w:rsidR="00012540" w:rsidRPr="00903174">
        <w:t>estimating</w:t>
      </w:r>
      <w:r w:rsidR="005F77B8" w:rsidRPr="00903174">
        <w:t xml:space="preserve"> the</w:t>
      </w:r>
      <w:r w:rsidR="00012540" w:rsidRPr="00903174">
        <w:t xml:space="preserve"> cost-effectiveness of ravulizumab for PBS listing and was therefore not informative for </w:t>
      </w:r>
      <w:r w:rsidR="003D419B" w:rsidRPr="00903174">
        <w:t>decision-making</w:t>
      </w:r>
      <w:r w:rsidR="00012540" w:rsidRPr="00903174">
        <w:t xml:space="preserve">. </w:t>
      </w:r>
    </w:p>
    <w:p w14:paraId="09993226" w14:textId="77777777" w:rsidR="00B42D1D" w:rsidRPr="00903174" w:rsidRDefault="005F77B8" w:rsidP="00D73B2A">
      <w:pPr>
        <w:pStyle w:val="ExecSumBodyText"/>
        <w:numPr>
          <w:ilvl w:val="1"/>
          <w:numId w:val="1"/>
        </w:numPr>
      </w:pPr>
      <w:r w:rsidRPr="00903174">
        <w:t>The PBAC considered eculizumab</w:t>
      </w:r>
      <w:r w:rsidR="00FC1284" w:rsidRPr="00903174">
        <w:t>, which is subsidised through the Life Saving Drugs Program (LSDP),</w:t>
      </w:r>
      <w:r w:rsidRPr="00903174">
        <w:t xml:space="preserve"> was the appropriate </w:t>
      </w:r>
      <w:r w:rsidR="00030DD3" w:rsidRPr="00903174">
        <w:t>primary</w:t>
      </w:r>
      <w:r w:rsidRPr="00903174">
        <w:t xml:space="preserve"> comparator. </w:t>
      </w:r>
      <w:r w:rsidR="00030DD3" w:rsidRPr="00903174">
        <w:t xml:space="preserve">The PBAC noted BSC was included as a secondary comparator as </w:t>
      </w:r>
      <w:r w:rsidR="00030DD3" w:rsidRPr="00903174">
        <w:rPr>
          <w:snapToGrid/>
          <w:color w:val="000000" w:themeColor="text1"/>
        </w:rPr>
        <w:t>there is currently no PBS-listed medicine available specifically for the treatment of patients with PNH</w:t>
      </w:r>
      <w:r w:rsidR="00030DD3" w:rsidRPr="00903174">
        <w:t xml:space="preserve">. The PBAC considered this was </w:t>
      </w:r>
      <w:r w:rsidR="00E334F7" w:rsidRPr="00903174">
        <w:t xml:space="preserve">an </w:t>
      </w:r>
      <w:r w:rsidR="00030DD3" w:rsidRPr="00903174">
        <w:t xml:space="preserve">appropriate </w:t>
      </w:r>
      <w:r w:rsidR="00E334F7" w:rsidRPr="00903174">
        <w:t xml:space="preserve">way to </w:t>
      </w:r>
      <w:r w:rsidR="00E334F7" w:rsidRPr="00903174">
        <w:rPr>
          <w:snapToGrid/>
          <w:color w:val="000000" w:themeColor="text1"/>
        </w:rPr>
        <w:t>determine the cost-effectiveness of a PBS listing for ravulizumab</w:t>
      </w:r>
      <w:r w:rsidR="00030DD3" w:rsidRPr="00903174">
        <w:t xml:space="preserve">, however </w:t>
      </w:r>
      <w:r w:rsidR="00E334F7" w:rsidRPr="00903174">
        <w:t xml:space="preserve">it was </w:t>
      </w:r>
      <w:r w:rsidR="00030DD3" w:rsidRPr="00903174">
        <w:t>noted all data comparing ravulizumab to BSC was indirect</w:t>
      </w:r>
      <w:r w:rsidR="00FB06BC" w:rsidRPr="00903174">
        <w:t xml:space="preserve">, </w:t>
      </w:r>
      <w:r w:rsidR="00B42D1D" w:rsidRPr="00903174">
        <w:t>via</w:t>
      </w:r>
      <w:r w:rsidR="00FB06BC" w:rsidRPr="00903174">
        <w:t xml:space="preserve"> a comparison of eculizumab against BSC</w:t>
      </w:r>
      <w:r w:rsidR="00EC1C5C" w:rsidRPr="00903174">
        <w:t>, or from using eculizumab vs BSC as a proxy</w:t>
      </w:r>
      <w:r w:rsidR="00030DD3" w:rsidRPr="00903174">
        <w:t>.</w:t>
      </w:r>
    </w:p>
    <w:p w14:paraId="5525A4DC" w14:textId="77777777" w:rsidR="00735AD9" w:rsidRPr="00903174" w:rsidRDefault="00B34A2E" w:rsidP="00A87B91">
      <w:pPr>
        <w:pStyle w:val="ExecSumBodyText"/>
        <w:numPr>
          <w:ilvl w:val="1"/>
          <w:numId w:val="1"/>
        </w:numPr>
      </w:pPr>
      <w:r w:rsidRPr="00903174">
        <w:rPr>
          <w:snapToGrid/>
          <w:color w:val="000000" w:themeColor="text1"/>
        </w:rPr>
        <w:t xml:space="preserve">The PBAC noted the submission was based on two </w:t>
      </w:r>
      <w:r w:rsidR="00EF5E30" w:rsidRPr="00903174">
        <w:rPr>
          <w:snapToGrid/>
          <w:color w:val="000000" w:themeColor="text1"/>
        </w:rPr>
        <w:t xml:space="preserve">short </w:t>
      </w:r>
      <w:r w:rsidRPr="00903174">
        <w:rPr>
          <w:snapToGrid/>
          <w:color w:val="000000" w:themeColor="text1"/>
        </w:rPr>
        <w:t>head-to-head randomised non-inferiority trials comparing ravulizumab to eculizumab</w:t>
      </w:r>
      <w:r w:rsidR="00FC1284" w:rsidRPr="00903174">
        <w:rPr>
          <w:snapToGrid/>
          <w:color w:val="000000" w:themeColor="text1"/>
        </w:rPr>
        <w:t xml:space="preserve"> over 26 weeks</w:t>
      </w:r>
      <w:r w:rsidRPr="00903174">
        <w:rPr>
          <w:snapToGrid/>
          <w:color w:val="000000" w:themeColor="text1"/>
        </w:rPr>
        <w:t xml:space="preserve">, Trial 301 (treatment-naïve patients) and Trial 302 (previously stable on treatment with eculizumab). The PBAC also noted all </w:t>
      </w:r>
      <w:r w:rsidR="00FC1284" w:rsidRPr="00903174">
        <w:rPr>
          <w:snapToGrid/>
          <w:color w:val="000000" w:themeColor="text1"/>
        </w:rPr>
        <w:t>comparative effectiveness</w:t>
      </w:r>
      <w:r w:rsidRPr="00903174">
        <w:rPr>
          <w:snapToGrid/>
          <w:color w:val="000000" w:themeColor="text1"/>
        </w:rPr>
        <w:t xml:space="preserve"> outcomes were </w:t>
      </w:r>
      <w:r w:rsidRPr="00903174">
        <w:rPr>
          <w:snapToGrid/>
          <w:color w:val="000000" w:themeColor="text1"/>
        </w:rPr>
        <w:lastRenderedPageBreak/>
        <w:t>within the bounds of the pre-specified non-inferiority margins from the trials, and the results indicated non-inferiority of ravulizumab to eculizumab for all measured outcomes</w:t>
      </w:r>
      <w:r w:rsidR="00FC1284" w:rsidRPr="00903174">
        <w:rPr>
          <w:snapToGrid/>
          <w:color w:val="000000" w:themeColor="text1"/>
        </w:rPr>
        <w:t xml:space="preserve">, including </w:t>
      </w:r>
      <w:r w:rsidR="00634D9A" w:rsidRPr="00903174">
        <w:rPr>
          <w:color w:val="000000" w:themeColor="text1"/>
        </w:rPr>
        <w:t xml:space="preserve">transfusion avoidance; haemolysis (measured by LDH change); </w:t>
      </w:r>
      <w:r w:rsidR="00634D9A" w:rsidRPr="00903174">
        <w:t>breakthrough haemolysis</w:t>
      </w:r>
      <w:r w:rsidR="00735AD9" w:rsidRPr="00903174">
        <w:t xml:space="preserve"> (BTH)</w:t>
      </w:r>
      <w:r w:rsidR="00634D9A" w:rsidRPr="00903174">
        <w:t>; quality of life; and stabilised haemoglobin</w:t>
      </w:r>
      <w:r w:rsidRPr="00903174">
        <w:t xml:space="preserve"> (</w:t>
      </w:r>
      <w:r w:rsidR="00FA4ED1" w:rsidRPr="00903174">
        <w:t xml:space="preserve">see </w:t>
      </w:r>
      <w:r w:rsidR="00FC1284" w:rsidRPr="00903174">
        <w:t>Comparative effectiveness section</w:t>
      </w:r>
      <w:r w:rsidRPr="00903174">
        <w:t>)</w:t>
      </w:r>
      <w:r w:rsidR="00B4390A" w:rsidRPr="00903174">
        <w:t xml:space="preserve">. </w:t>
      </w:r>
    </w:p>
    <w:p w14:paraId="20326996" w14:textId="77777777" w:rsidR="00A87B91" w:rsidRPr="00903174" w:rsidRDefault="00416A72" w:rsidP="00A87B91">
      <w:pPr>
        <w:pStyle w:val="ExecSumBodyText"/>
        <w:numPr>
          <w:ilvl w:val="1"/>
          <w:numId w:val="1"/>
        </w:numPr>
      </w:pPr>
      <w:r w:rsidRPr="00903174">
        <w:t>The PBAC noted the submission’s claim of non-inferior survival of ravulizumab compared to eculizumab, and superior survival compared to BSC</w:t>
      </w:r>
      <w:r w:rsidR="00FB06BC" w:rsidRPr="00903174">
        <w:t xml:space="preserve">, </w:t>
      </w:r>
      <w:r w:rsidRPr="00903174">
        <w:t xml:space="preserve">was entirely based on the available survival data for eculizumab, and an assumption that non-inferiority for measured </w:t>
      </w:r>
      <w:r w:rsidR="00665E37" w:rsidRPr="00903174">
        <w:t xml:space="preserve">surrogate </w:t>
      </w:r>
      <w:r w:rsidRPr="00903174">
        <w:t>outcomes</w:t>
      </w:r>
      <w:r w:rsidR="00FA4ED1" w:rsidRPr="00903174">
        <w:t xml:space="preserve"> (Tables 5-8)</w:t>
      </w:r>
      <w:r w:rsidRPr="00903174">
        <w:t xml:space="preserve"> may be extended to survival</w:t>
      </w:r>
      <w:r w:rsidR="00D25525" w:rsidRPr="00903174">
        <w:t>, and that ravulizumab is a modified eculizumab molecule</w:t>
      </w:r>
      <w:r w:rsidRPr="00903174">
        <w:t>. The</w:t>
      </w:r>
      <w:r w:rsidR="007F6D2C" w:rsidRPr="00903174">
        <w:t xml:space="preserve"> PBAC</w:t>
      </w:r>
      <w:r w:rsidR="00FB06BC" w:rsidRPr="00903174">
        <w:t xml:space="preserve"> also</w:t>
      </w:r>
      <w:r w:rsidR="007F6D2C" w:rsidRPr="00903174">
        <w:t xml:space="preserve"> noted </w:t>
      </w:r>
      <w:r w:rsidR="00FB06BC" w:rsidRPr="00903174">
        <w:t xml:space="preserve">eculizumab’s </w:t>
      </w:r>
      <w:r w:rsidRPr="00903174">
        <w:t>survival data presented in the submission</w:t>
      </w:r>
      <w:r w:rsidR="007F6D2C" w:rsidRPr="00903174">
        <w:t xml:space="preserve"> varied significantly in relation to duration of follow-up</w:t>
      </w:r>
      <w:r w:rsidRPr="00903174">
        <w:t xml:space="preserve"> </w:t>
      </w:r>
      <w:r w:rsidR="007F6D2C" w:rsidRPr="00903174">
        <w:t xml:space="preserve">(refer to </w:t>
      </w:r>
      <w:r w:rsidRPr="00903174">
        <w:t>Table 14</w:t>
      </w:r>
      <w:r w:rsidR="007F6D2C" w:rsidRPr="00903174">
        <w:t>) and that the submission used survival data from a retrospective study of eculizumab versus a matched historical control (Kelly 2011) as a proxy for ravulizumab</w:t>
      </w:r>
      <w:r w:rsidRPr="00903174">
        <w:t xml:space="preserve"> </w:t>
      </w:r>
      <w:r w:rsidR="007F6D2C" w:rsidRPr="00903174">
        <w:t xml:space="preserve">to inform the economic model against BSC. </w:t>
      </w:r>
      <w:r w:rsidR="00D25525" w:rsidRPr="00903174">
        <w:t xml:space="preserve">The PBAC noted the </w:t>
      </w:r>
      <w:r w:rsidR="006D3252" w:rsidRPr="00903174">
        <w:t xml:space="preserve">draft </w:t>
      </w:r>
      <w:r w:rsidR="00D25525" w:rsidRPr="00903174">
        <w:t xml:space="preserve">report </w:t>
      </w:r>
      <w:r w:rsidR="00F73ED3" w:rsidRPr="00903174">
        <w:t>of</w:t>
      </w:r>
      <w:r w:rsidR="00D25525" w:rsidRPr="00903174">
        <w:t xml:space="preserve"> the </w:t>
      </w:r>
      <w:r w:rsidR="00F73ED3" w:rsidRPr="00903174">
        <w:t>LSDP R</w:t>
      </w:r>
      <w:r w:rsidR="006D3252" w:rsidRPr="00903174">
        <w:t xml:space="preserve">eview </w:t>
      </w:r>
      <w:r w:rsidR="00F73ED3" w:rsidRPr="00903174">
        <w:t xml:space="preserve">of eculizumab </w:t>
      </w:r>
      <w:r w:rsidR="006D3252" w:rsidRPr="00903174">
        <w:t>state</w:t>
      </w:r>
      <w:r w:rsidR="00D25525" w:rsidRPr="00903174">
        <w:t>d</w:t>
      </w:r>
      <w:r w:rsidR="006D3252" w:rsidRPr="00903174">
        <w:t xml:space="preserve"> </w:t>
      </w:r>
      <w:r w:rsidR="00D25525" w:rsidRPr="00903174">
        <w:t xml:space="preserve">that </w:t>
      </w:r>
      <w:r w:rsidR="006D3252" w:rsidRPr="00903174">
        <w:t>‘published medical literature demonstrates survival in PNH patients treated with eculizumab is higher than that of untreated patients’</w:t>
      </w:r>
      <w:r w:rsidR="00F73ED3" w:rsidRPr="00903174">
        <w:t>,</w:t>
      </w:r>
      <w:r w:rsidR="006D3252" w:rsidRPr="00903174">
        <w:t xml:space="preserve"> whilst also noting that studies had a significant risk of bias</w:t>
      </w:r>
      <w:r w:rsidR="00D25525" w:rsidRPr="00903174">
        <w:t>.</w:t>
      </w:r>
      <w:r w:rsidR="00A87B91" w:rsidRPr="00903174">
        <w:t xml:space="preserve"> The PBAC agreed with the ESC (see paragraph 6.46) that it may not be reasonable to assume that the superior survival benefit previously accepted for eculizumab compared to BSC can be applied to ravulizumab compared to best supportive care, in the absence of any long term survival data for ravulizumab. Moreover, the magnitude of any survival benefit of eculizumab compared to BSC is itself unclear, given the lack of contemporary data for BSC survival outcomes. </w:t>
      </w:r>
    </w:p>
    <w:p w14:paraId="490954EA" w14:textId="77777777" w:rsidR="00DC01AB" w:rsidRPr="00903174" w:rsidRDefault="00B34A2E" w:rsidP="00DC01AB">
      <w:pPr>
        <w:pStyle w:val="ExecSumBodyText"/>
        <w:numPr>
          <w:ilvl w:val="1"/>
          <w:numId w:val="1"/>
        </w:numPr>
      </w:pPr>
      <w:r w:rsidRPr="00903174">
        <w:t xml:space="preserve">The PBAC noted the submission’s claim that based on results of the meta-analysed data from </w:t>
      </w:r>
      <w:r w:rsidR="00EF4DCE" w:rsidRPr="00903174">
        <w:t>the key trials</w:t>
      </w:r>
      <w:r w:rsidRPr="00903174">
        <w:t>, ravulizumab is superior in terms of reduction in risk of BTH compared to eculizumab</w:t>
      </w:r>
      <w:r w:rsidR="00FA4ED1" w:rsidRPr="00903174">
        <w:t xml:space="preserve">. </w:t>
      </w:r>
      <w:r w:rsidR="00CA390C" w:rsidRPr="00903174">
        <w:t xml:space="preserve">However, the PBAC agreed with the ESC and considered </w:t>
      </w:r>
      <w:r w:rsidR="00FA4ED1" w:rsidRPr="00903174">
        <w:t>t</w:t>
      </w:r>
      <w:r w:rsidR="00EE4990" w:rsidRPr="00903174">
        <w:t>hat ravulizumab was non-inferior to eculizumab in regards to BTH</w:t>
      </w:r>
      <w:r w:rsidR="008C5D38" w:rsidRPr="00903174">
        <w:t xml:space="preserve"> (see paragraph</w:t>
      </w:r>
      <w:r w:rsidR="00EE4990" w:rsidRPr="00903174">
        <w:t>s</w:t>
      </w:r>
      <w:r w:rsidR="00B45888" w:rsidRPr="00903174">
        <w:t xml:space="preserve"> 6.43 &amp; 6.44</w:t>
      </w:r>
      <w:r w:rsidR="008C5D38" w:rsidRPr="00903174">
        <w:t>)</w:t>
      </w:r>
      <w:r w:rsidR="00CA390C" w:rsidRPr="00903174">
        <w:t xml:space="preserve">. </w:t>
      </w:r>
    </w:p>
    <w:p w14:paraId="060B8268" w14:textId="77777777" w:rsidR="00BC6489" w:rsidRPr="00903174" w:rsidRDefault="00DC01AB" w:rsidP="00BC6489">
      <w:pPr>
        <w:pStyle w:val="ExecSumBodyText"/>
        <w:numPr>
          <w:ilvl w:val="1"/>
          <w:numId w:val="1"/>
        </w:numPr>
      </w:pPr>
      <w:r w:rsidRPr="00903174">
        <w:t xml:space="preserve">The PBAC </w:t>
      </w:r>
      <w:r w:rsidR="006B79A3" w:rsidRPr="00903174">
        <w:t xml:space="preserve">noted the </w:t>
      </w:r>
      <w:r w:rsidR="00EF2DC9" w:rsidRPr="00903174">
        <w:t xml:space="preserve">Sponsor Hearing and </w:t>
      </w:r>
      <w:r w:rsidR="006B79A3" w:rsidRPr="00903174">
        <w:t xml:space="preserve">Consumer </w:t>
      </w:r>
      <w:r w:rsidR="00EF2DC9" w:rsidRPr="00903174">
        <w:t>C</w:t>
      </w:r>
      <w:r w:rsidR="006B79A3" w:rsidRPr="00903174">
        <w:t>omments, recognising the strong sentiments expressed arou</w:t>
      </w:r>
      <w:r w:rsidR="00EF2DC9" w:rsidRPr="00903174">
        <w:t>n</w:t>
      </w:r>
      <w:r w:rsidR="006B79A3" w:rsidRPr="00903174">
        <w:t>d the preference for</w:t>
      </w:r>
      <w:r w:rsidR="00EF4DCE" w:rsidRPr="00903174">
        <w:t xml:space="preserve"> ravulizumab’s</w:t>
      </w:r>
      <w:r w:rsidR="006B79A3" w:rsidRPr="00903174">
        <w:t xml:space="preserve"> reduced infusion frequency</w:t>
      </w:r>
      <w:r w:rsidR="005B62EC" w:rsidRPr="00903174">
        <w:t xml:space="preserve"> compared to ecul</w:t>
      </w:r>
      <w:r w:rsidR="00244CD3">
        <w:t>i</w:t>
      </w:r>
      <w:r w:rsidR="005B62EC" w:rsidRPr="00903174">
        <w:t>zumab</w:t>
      </w:r>
      <w:r w:rsidR="00B4390A" w:rsidRPr="00903174">
        <w:t xml:space="preserve">. </w:t>
      </w:r>
      <w:r w:rsidR="005B62EC" w:rsidRPr="00903174">
        <w:t>H</w:t>
      </w:r>
      <w:r w:rsidR="006B79A3" w:rsidRPr="00903174">
        <w:t>owever</w:t>
      </w:r>
      <w:r w:rsidR="005B62EC" w:rsidRPr="00903174">
        <w:t xml:space="preserve">, the Committee </w:t>
      </w:r>
      <w:r w:rsidR="006B79A3" w:rsidRPr="00903174">
        <w:t>con</w:t>
      </w:r>
      <w:r w:rsidR="00EF4DCE" w:rsidRPr="00903174">
        <w:t>sidered any QoL improvement potentially offered</w:t>
      </w:r>
      <w:r w:rsidR="005B62EC" w:rsidRPr="00903174">
        <w:t xml:space="preserve"> by swapping to the eight-weekly dosing regimen </w:t>
      </w:r>
      <w:r w:rsidR="006B79A3" w:rsidRPr="00903174">
        <w:t xml:space="preserve">was not </w:t>
      </w:r>
      <w:r w:rsidR="005B62EC" w:rsidRPr="00903174">
        <w:t>captured by</w:t>
      </w:r>
      <w:r w:rsidR="006B79A3" w:rsidRPr="00903174">
        <w:t xml:space="preserve"> the QoL measures used in the clinical trials</w:t>
      </w:r>
      <w:r w:rsidR="005B62EC" w:rsidRPr="00903174">
        <w:t xml:space="preserve"> and therefore the submission’s claim of improved QoL was not adequately supported</w:t>
      </w:r>
      <w:r w:rsidR="00B4390A" w:rsidRPr="00903174">
        <w:t xml:space="preserve">. </w:t>
      </w:r>
    </w:p>
    <w:p w14:paraId="02968AC1" w14:textId="77777777" w:rsidR="00BC6489" w:rsidRPr="00903174" w:rsidRDefault="00BC6489" w:rsidP="00BC6489">
      <w:pPr>
        <w:pStyle w:val="ExecSumBodyText"/>
        <w:numPr>
          <w:ilvl w:val="1"/>
          <w:numId w:val="1"/>
        </w:numPr>
      </w:pPr>
      <w:r w:rsidRPr="00903174">
        <w:t xml:space="preserve">The PBAC </w:t>
      </w:r>
      <w:r w:rsidR="00C31C54" w:rsidRPr="00903174">
        <w:t xml:space="preserve">did not accept the </w:t>
      </w:r>
      <w:r w:rsidRPr="00903174">
        <w:t xml:space="preserve">sponsor’s </w:t>
      </w:r>
      <w:r w:rsidR="00C31C54" w:rsidRPr="00903174">
        <w:t xml:space="preserve">assertion in the </w:t>
      </w:r>
      <w:r w:rsidRPr="00903174">
        <w:t xml:space="preserve">pre-PBAC response, that “Patients in the trial were still required to have the same number of clinic visits and ongoing fortnightly monitoring regardless of which arm they were randomised to, hence patients in the ravulizumab arm did not experience the benefit of 8 weekly infusions. It is therefore not surprising that QoL results did not reach significance in the trial.” </w:t>
      </w:r>
      <w:r w:rsidR="00C31C54" w:rsidRPr="00903174">
        <w:t xml:space="preserve"> If </w:t>
      </w:r>
      <w:r w:rsidR="00244CD3" w:rsidRPr="00903174">
        <w:t>ravulizumab</w:t>
      </w:r>
      <w:r w:rsidR="00C31C54" w:rsidRPr="00903174">
        <w:t xml:space="preserve"> does lead to a significant improvement in QoL versus </w:t>
      </w:r>
      <w:r w:rsidR="00244CD3" w:rsidRPr="00903174">
        <w:t>eculizumab</w:t>
      </w:r>
      <w:r w:rsidR="00C31C54" w:rsidRPr="00903174">
        <w:t xml:space="preserve">, PBAC would have expected to see this reflected in a </w:t>
      </w:r>
      <w:r w:rsidRPr="00903174">
        <w:t xml:space="preserve">significant improvement reported in FACIT-fatigue scores (Table 8) for patients on ravulizumab </w:t>
      </w:r>
      <w:r w:rsidRPr="00903174">
        <w:lastRenderedPageBreak/>
        <w:t>versus eculizumab</w:t>
      </w:r>
      <w:r w:rsidR="00C31C54" w:rsidRPr="00903174">
        <w:t>. However, this was not observed. PBAC also</w:t>
      </w:r>
      <w:r w:rsidRPr="00903174">
        <w:t xml:space="preserve"> questioned the appropriateness of the EORTC QLQ-C30 scores reported in the trials, noting the EORTC QLQ-C30 is specifically used to assess the health-related QoL of cancer patients.</w:t>
      </w:r>
    </w:p>
    <w:p w14:paraId="6455BFB7" w14:textId="77777777" w:rsidR="00735AD9" w:rsidRPr="00903174" w:rsidRDefault="00A87B91" w:rsidP="00735AD9">
      <w:pPr>
        <w:pStyle w:val="ExecSumBodyText"/>
        <w:numPr>
          <w:ilvl w:val="1"/>
          <w:numId w:val="1"/>
        </w:numPr>
      </w:pPr>
      <w:r w:rsidRPr="00903174">
        <w:t>Overall, t</w:t>
      </w:r>
      <w:r w:rsidR="00735AD9" w:rsidRPr="00903174">
        <w:t>he PBAC considered the submission’s claim of non-inferior effectiveness compared to eculizumab was reasonable</w:t>
      </w:r>
      <w:r w:rsidRPr="00903174">
        <w:t xml:space="preserve"> in the short-term</w:t>
      </w:r>
      <w:r w:rsidR="00735AD9" w:rsidRPr="00903174">
        <w:t xml:space="preserve">. </w:t>
      </w:r>
      <w:r w:rsidR="008C19D5" w:rsidRPr="00903174">
        <w:t>However, PBAC</w:t>
      </w:r>
      <w:r w:rsidR="00735AD9" w:rsidRPr="00903174">
        <w:t xml:space="preserve"> considered that due to the lack of long-term follow-up data available for ravulizumab, it was uncertain whether a patient’s lifespan would be substantially extended as a direct consequence of the use of ravulizumab. </w:t>
      </w:r>
    </w:p>
    <w:p w14:paraId="48A8B2C3" w14:textId="77777777" w:rsidR="00735AD9" w:rsidRPr="00903174" w:rsidRDefault="00735AD9" w:rsidP="00735AD9">
      <w:pPr>
        <w:pStyle w:val="ExecSumBodyText"/>
        <w:numPr>
          <w:ilvl w:val="1"/>
          <w:numId w:val="1"/>
        </w:numPr>
      </w:pPr>
      <w:r w:rsidRPr="00903174">
        <w:t>The PBAC considered the submission’s claim of non-</w:t>
      </w:r>
      <w:r w:rsidR="00244CD3" w:rsidRPr="00903174">
        <w:t>inferior</w:t>
      </w:r>
      <w:r w:rsidRPr="00903174">
        <w:t xml:space="preserve"> safety compared to eculizumab and inferior safety compared to BSC was appropriate.</w:t>
      </w:r>
    </w:p>
    <w:p w14:paraId="0ADEC72C" w14:textId="77777777" w:rsidR="00DC01AB" w:rsidRPr="00903174" w:rsidRDefault="00DE5643" w:rsidP="00416A72">
      <w:pPr>
        <w:pStyle w:val="ExecSumBodyText"/>
        <w:numPr>
          <w:ilvl w:val="1"/>
          <w:numId w:val="1"/>
        </w:numPr>
      </w:pPr>
      <w:r w:rsidRPr="00903174">
        <w:t xml:space="preserve">The PBAC noted the submission presented a cost-utility analysis of ravulizumab versus BSC to establish the cost-effectiveness of ravulizumab for listing on the PBS. However, the PBAC agreed with the ESC and considered there was substantial </w:t>
      </w:r>
      <w:r w:rsidR="00244CD3" w:rsidRPr="00903174">
        <w:t>uncertainty</w:t>
      </w:r>
      <w:r w:rsidRPr="00903174">
        <w:t xml:space="preserve"> in the modelled economic analyses, and considered the model structure used in the comparison versus BSC lacked face validity and was therefore not </w:t>
      </w:r>
      <w:r w:rsidR="00244CD3" w:rsidRPr="00903174">
        <w:t>reliable</w:t>
      </w:r>
      <w:r w:rsidRPr="00903174">
        <w:t xml:space="preserve"> for PBAC decision making</w:t>
      </w:r>
      <w:r w:rsidR="00B4390A" w:rsidRPr="00903174">
        <w:t xml:space="preserve">. </w:t>
      </w:r>
    </w:p>
    <w:p w14:paraId="1F8B9EC8" w14:textId="77777777" w:rsidR="002A0E69" w:rsidRPr="00903174" w:rsidRDefault="00DE5643" w:rsidP="0009133F">
      <w:pPr>
        <w:pStyle w:val="ExecSumBodyText"/>
        <w:numPr>
          <w:ilvl w:val="1"/>
          <w:numId w:val="1"/>
        </w:numPr>
        <w:rPr>
          <w:szCs w:val="22"/>
        </w:rPr>
      </w:pPr>
      <w:r w:rsidRPr="00903174">
        <w:t xml:space="preserve">The PBAC </w:t>
      </w:r>
      <w:r w:rsidR="002A0E69" w:rsidRPr="00903174">
        <w:t xml:space="preserve">noted </w:t>
      </w:r>
      <w:r w:rsidR="0009133F" w:rsidRPr="00903174">
        <w:t>that</w:t>
      </w:r>
      <w:r w:rsidR="002A0E69" w:rsidRPr="00903174">
        <w:t xml:space="preserve"> </w:t>
      </w:r>
      <w:r w:rsidR="0009133F" w:rsidRPr="00903174">
        <w:t xml:space="preserve">during the evaluation, modelled survival curves for ravulizumab versus BSC were compared with Kaplan-Meier survival curves (reconstructed in the submission) from the Kelly 2011 publication. The PBAC agreed with the ESC that the </w:t>
      </w:r>
      <w:r w:rsidR="0009133F" w:rsidRPr="00903174">
        <w:rPr>
          <w:szCs w:val="22"/>
        </w:rPr>
        <w:t>magnitude of survival benefit attributed to ravulizumab (based on eculizumab as a proxy) versus BSC in the model was optimistic and implausible</w:t>
      </w:r>
      <w:r w:rsidR="00F017A3" w:rsidRPr="00903174">
        <w:rPr>
          <w:szCs w:val="22"/>
        </w:rPr>
        <w:t>, with most of the outcomes accrued in the extrapolated period</w:t>
      </w:r>
      <w:r w:rsidR="00500603" w:rsidRPr="00903174">
        <w:rPr>
          <w:szCs w:val="22"/>
        </w:rPr>
        <w:t>.</w:t>
      </w:r>
      <w:r w:rsidR="0009133F" w:rsidRPr="00903174">
        <w:t xml:space="preserve"> </w:t>
      </w:r>
      <w:r w:rsidR="00500603" w:rsidRPr="00903174">
        <w:t>T</w:t>
      </w:r>
      <w:r w:rsidR="0009133F" w:rsidRPr="00903174">
        <w:t xml:space="preserve">he </w:t>
      </w:r>
      <w:r w:rsidR="0009133F" w:rsidRPr="00903174">
        <w:rPr>
          <w:szCs w:val="22"/>
        </w:rPr>
        <w:t>applicability of the Kelly 2011 retrospective study to represent contemporary BSC was unclear, and likely underestimated survival in the BSC arm (</w:t>
      </w:r>
      <w:r w:rsidR="00B45888" w:rsidRPr="00903174">
        <w:rPr>
          <w:szCs w:val="22"/>
        </w:rPr>
        <w:t>see paragraph 6.87</w:t>
      </w:r>
      <w:r w:rsidR="0009133F" w:rsidRPr="00903174">
        <w:rPr>
          <w:szCs w:val="22"/>
        </w:rPr>
        <w:t xml:space="preserve">). </w:t>
      </w:r>
    </w:p>
    <w:p w14:paraId="4A57102F" w14:textId="77777777" w:rsidR="0009133F" w:rsidRPr="00903174" w:rsidRDefault="0009133F" w:rsidP="002A0E69">
      <w:pPr>
        <w:pStyle w:val="ExecSumBodyText"/>
        <w:numPr>
          <w:ilvl w:val="1"/>
          <w:numId w:val="1"/>
        </w:numPr>
      </w:pPr>
      <w:r w:rsidRPr="00903174">
        <w:t xml:space="preserve">The PBAC agreed with the ESC that the utility values assigned to patients treated with ravulizumab lacked face validity, considering the need for a utility cap in the ravulizumab arm suggested the application of utility values in the model was </w:t>
      </w:r>
      <w:r w:rsidR="00244CD3" w:rsidRPr="00903174">
        <w:t>inappropriate</w:t>
      </w:r>
      <w:r w:rsidRPr="00903174">
        <w:t xml:space="preserve"> (</w:t>
      </w:r>
      <w:r w:rsidR="00B45888" w:rsidRPr="00903174">
        <w:t>see paragraph 6.72</w:t>
      </w:r>
      <w:r w:rsidRPr="00903174">
        <w:t xml:space="preserve">). </w:t>
      </w:r>
    </w:p>
    <w:p w14:paraId="0914B764" w14:textId="77777777" w:rsidR="009D729E" w:rsidRPr="00903174" w:rsidRDefault="00F017A3" w:rsidP="009D729E">
      <w:pPr>
        <w:pStyle w:val="ExecSumBodyText"/>
        <w:numPr>
          <w:ilvl w:val="1"/>
          <w:numId w:val="1"/>
        </w:numPr>
      </w:pPr>
      <w:r w:rsidRPr="00903174">
        <w:t>The PBAC noted that based on the economic model presented in the submission, treatment with ravulizumab was associated with a</w:t>
      </w:r>
      <w:r w:rsidR="00500603" w:rsidRPr="00903174">
        <w:t>n incremental</w:t>
      </w:r>
      <w:r w:rsidRPr="00903174">
        <w:t xml:space="preserve"> cost per QALY gained of  </w:t>
      </w:r>
      <w:r w:rsidR="009A0FC0">
        <w:t xml:space="preserve">more than $200,000 </w:t>
      </w:r>
      <w:r w:rsidRPr="00903174">
        <w:t>compared to BSC for the treatment of patients with PNH. The PBAC further noted the ICER was most sensitive to the time horizon, modelled survival curves, spontaneous remission probability, the baseline age of 35 years and non-specific d</w:t>
      </w:r>
      <w:r w:rsidR="004933FE" w:rsidRPr="00903174">
        <w:t>isease related utility change</w:t>
      </w:r>
      <w:r w:rsidR="006B5387" w:rsidRPr="00903174">
        <w:t xml:space="preserve"> (Table 22)</w:t>
      </w:r>
      <w:r w:rsidRPr="00903174">
        <w:t xml:space="preserve">. However, given the PBAC considered the model lacked face validity and was unreliable for decision making, it also considered the ICER of </w:t>
      </w:r>
      <w:r w:rsidR="00AA3A82">
        <w:t xml:space="preserve">more than </w:t>
      </w:r>
      <w:r w:rsidR="009A0FC0">
        <w:t xml:space="preserve">$200,000 </w:t>
      </w:r>
      <w:r w:rsidR="00500603" w:rsidRPr="00903174">
        <w:t xml:space="preserve">per </w:t>
      </w:r>
      <w:r w:rsidRPr="00903174">
        <w:t xml:space="preserve">QALY gained was </w:t>
      </w:r>
      <w:r w:rsidR="00244CD3" w:rsidRPr="00903174">
        <w:t>inaccurate</w:t>
      </w:r>
      <w:r w:rsidRPr="00903174">
        <w:t xml:space="preserve"> and did not reflect the true cost-effectiveness of ravulizumab versus BSC.</w:t>
      </w:r>
    </w:p>
    <w:p w14:paraId="7ACC2269" w14:textId="77777777" w:rsidR="00DE5643" w:rsidRPr="00903174" w:rsidRDefault="0016099B" w:rsidP="00903174">
      <w:pPr>
        <w:pStyle w:val="ExecSumBodyText"/>
        <w:numPr>
          <w:ilvl w:val="1"/>
          <w:numId w:val="1"/>
        </w:numPr>
      </w:pPr>
      <w:r w:rsidRPr="00903174">
        <w:t xml:space="preserve">The PBAC considered that based on the threshold analyses conducted during the evaluation, a price reduction would be required in order for ravulizumab to be considered cost-effective, however the magnitude of the reduction remained </w:t>
      </w:r>
      <w:r w:rsidRPr="00903174">
        <w:lastRenderedPageBreak/>
        <w:t xml:space="preserve">uncertain given the analyses were based on the economic model provided in the submission, which was considered unreliable </w:t>
      </w:r>
      <w:r w:rsidR="009D729E" w:rsidRPr="00903174">
        <w:t>(</w:t>
      </w:r>
      <w:r w:rsidR="00B45888" w:rsidRPr="00903174">
        <w:t>paragraph 6.92</w:t>
      </w:r>
      <w:r w:rsidR="009D729E" w:rsidRPr="00903174">
        <w:t>)</w:t>
      </w:r>
      <w:r w:rsidR="00B4390A" w:rsidRPr="00903174">
        <w:t xml:space="preserve">. </w:t>
      </w:r>
      <w:r w:rsidR="009D729E" w:rsidRPr="00903174">
        <w:t>The PBAC recalled that it has accepted high</w:t>
      </w:r>
      <w:r w:rsidR="008C19D5" w:rsidRPr="00903174">
        <w:t>er</w:t>
      </w:r>
      <w:r w:rsidR="009D729E" w:rsidRPr="00903174">
        <w:t xml:space="preserve"> cost-effectiveness thresholds for other rare conditions</w:t>
      </w:r>
      <w:r w:rsidR="008C19D5" w:rsidRPr="00903174">
        <w:t xml:space="preserve"> in recent years, whereas</w:t>
      </w:r>
      <w:r w:rsidR="009D729E" w:rsidRPr="00903174">
        <w:t xml:space="preserve"> </w:t>
      </w:r>
      <w:r w:rsidR="008C19D5" w:rsidRPr="00903174">
        <w:t xml:space="preserve">this was not the case </w:t>
      </w:r>
      <w:r w:rsidR="009D729E" w:rsidRPr="00903174">
        <w:t xml:space="preserve">at the time of </w:t>
      </w:r>
      <w:r w:rsidR="00244CD3" w:rsidRPr="00903174">
        <w:t>eculizumab</w:t>
      </w:r>
      <w:r w:rsidR="000343DD" w:rsidRPr="00903174">
        <w:t xml:space="preserve"> </w:t>
      </w:r>
      <w:r w:rsidR="008C19D5" w:rsidRPr="00903174">
        <w:t>consideration</w:t>
      </w:r>
      <w:r w:rsidR="000343DD" w:rsidRPr="00903174">
        <w:t xml:space="preserve"> in 2010</w:t>
      </w:r>
      <w:r w:rsidRPr="00903174">
        <w:t>.</w:t>
      </w:r>
      <w:r w:rsidR="009D729E" w:rsidRPr="00903174">
        <w:t xml:space="preserve"> </w:t>
      </w:r>
    </w:p>
    <w:p w14:paraId="045100FF" w14:textId="77777777" w:rsidR="003B1466" w:rsidRPr="00903174" w:rsidRDefault="003E0844" w:rsidP="002A7687">
      <w:pPr>
        <w:pStyle w:val="ExecSumBodyText"/>
        <w:numPr>
          <w:ilvl w:val="1"/>
          <w:numId w:val="1"/>
        </w:numPr>
      </w:pPr>
      <w:r w:rsidRPr="00903174">
        <w:t>The PBAC considered the net cost</w:t>
      </w:r>
      <w:r w:rsidR="003B1466" w:rsidRPr="00903174">
        <w:t xml:space="preserve"> of </w:t>
      </w:r>
      <w:r w:rsidR="00244CD3" w:rsidRPr="00903174">
        <w:t>treatment</w:t>
      </w:r>
      <w:r w:rsidR="003B1466" w:rsidRPr="00903174">
        <w:t xml:space="preserve"> with ra</w:t>
      </w:r>
      <w:r w:rsidR="002A7687" w:rsidRPr="00903174">
        <w:t>vulizumab was highly uncertain and should be re</w:t>
      </w:r>
      <w:r w:rsidR="008C19D5" w:rsidRPr="00903174">
        <w:t xml:space="preserve">-examined  </w:t>
      </w:r>
      <w:r w:rsidR="002A7687" w:rsidRPr="00903174">
        <w:t>in any resubmission (</w:t>
      </w:r>
      <w:r w:rsidR="00B45888" w:rsidRPr="00903174">
        <w:t xml:space="preserve">see </w:t>
      </w:r>
      <w:r w:rsidR="002A7687" w:rsidRPr="00903174">
        <w:t xml:space="preserve">paragraph 6.109). </w:t>
      </w:r>
    </w:p>
    <w:p w14:paraId="329FEB03" w14:textId="77777777" w:rsidR="00E31F68" w:rsidRPr="00903174" w:rsidRDefault="003B1466" w:rsidP="00032D25">
      <w:pPr>
        <w:pStyle w:val="ExecSumBodyText"/>
        <w:numPr>
          <w:ilvl w:val="1"/>
          <w:numId w:val="1"/>
        </w:numPr>
      </w:pPr>
      <w:r w:rsidRPr="00903174">
        <w:t xml:space="preserve">The PBAC </w:t>
      </w:r>
      <w:r w:rsidR="00E31F68" w:rsidRPr="00903174">
        <w:t xml:space="preserve">noted the submission proposed a </w:t>
      </w:r>
      <w:r w:rsidR="009051DC" w:rsidRPr="00903174">
        <w:t xml:space="preserve">risk share </w:t>
      </w:r>
      <w:r w:rsidR="00244CD3" w:rsidRPr="00903174">
        <w:t>arrangement</w:t>
      </w:r>
      <w:r w:rsidR="009051DC" w:rsidRPr="00903174">
        <w:t xml:space="preserve"> </w:t>
      </w:r>
      <w:r w:rsidR="00DA6AFD" w:rsidRPr="00903174">
        <w:t>to manage uncertainty in cost</w:t>
      </w:r>
      <w:r w:rsidR="00E31F68" w:rsidRPr="00903174">
        <w:t xml:space="preserve"> to Government should ravulizumab be listed on the PBS</w:t>
      </w:r>
      <w:r w:rsidR="00DA6AFD" w:rsidRPr="00903174">
        <w:t>, with the proposal based on the assumption</w:t>
      </w:r>
      <w:r w:rsidR="00E31F68" w:rsidRPr="00903174">
        <w:t xml:space="preserve"> ravulizumab could be </w:t>
      </w:r>
      <w:r w:rsidR="00DF28C6">
        <w:rPr>
          <w:noProof/>
          <w:color w:val="000000"/>
          <w:highlight w:val="black"/>
        </w:rPr>
        <w:t>''''''''''''''' '''' ''''''' '''''''''''''' '''''''''' ''''' ''''''''''''''''''''''' ''' '''''''''' '''''' ''''''''''''''''''''' ''''' ''''''' '''''''''</w:t>
      </w:r>
      <w:r w:rsidR="00E31F68" w:rsidRPr="00903174">
        <w:t xml:space="preserve">. </w:t>
      </w:r>
      <w:r w:rsidR="00DA6AFD" w:rsidRPr="00903174">
        <w:t>The PBAC considered the estimated patient numbers and proposed payment thresholds were over-estimated and higher than justified by current LSDP expenditure, even taking into account patients currently receiving treatment through clinical trials.</w:t>
      </w:r>
    </w:p>
    <w:p w14:paraId="3C07AAA8" w14:textId="77777777" w:rsidR="00747425" w:rsidRPr="00903174" w:rsidRDefault="00747425" w:rsidP="00747425">
      <w:pPr>
        <w:pStyle w:val="ExecSumBodyText"/>
        <w:numPr>
          <w:ilvl w:val="1"/>
          <w:numId w:val="1"/>
        </w:numPr>
      </w:pPr>
      <w:r w:rsidRPr="00903174">
        <w:t>The PBAC</w:t>
      </w:r>
      <w:r w:rsidR="00DB1232" w:rsidRPr="00903174">
        <w:t xml:space="preserve"> considered any resubmission should be a major resubmission and </w:t>
      </w:r>
      <w:r w:rsidR="007F6512" w:rsidRPr="00903174">
        <w:t>require</w:t>
      </w:r>
      <w:r w:rsidR="00082C23" w:rsidRPr="00903174">
        <w:t xml:space="preserve"> a new economic model and, potentially, a significant price reduction.</w:t>
      </w:r>
      <w:r w:rsidR="0016099B" w:rsidRPr="00903174">
        <w:t xml:space="preserve"> </w:t>
      </w:r>
    </w:p>
    <w:p w14:paraId="0D2ABD56" w14:textId="77777777" w:rsidR="000D6F48" w:rsidRPr="00903174" w:rsidRDefault="00244CD3" w:rsidP="008E01E5">
      <w:pPr>
        <w:pStyle w:val="ExecSumBodyText"/>
        <w:numPr>
          <w:ilvl w:val="1"/>
          <w:numId w:val="1"/>
        </w:numPr>
      </w:pPr>
      <w:r w:rsidRPr="00903174">
        <w:t>Further</w:t>
      </w:r>
      <w:r w:rsidR="008E01E5" w:rsidRPr="00903174">
        <w:t xml:space="preserve">, the PBAC noted that eculizumab is currently subject to a post-market review by the LSDP Panel and the recommendation to the Chief Medical Officer at the end of that review may include advice on the possibility of </w:t>
      </w:r>
      <w:r w:rsidR="001319A5" w:rsidRPr="00903174">
        <w:t xml:space="preserve">re-considering </w:t>
      </w:r>
      <w:r w:rsidR="008E01E5" w:rsidRPr="00903174">
        <w:t xml:space="preserve">eculizumab </w:t>
      </w:r>
      <w:r w:rsidR="001319A5" w:rsidRPr="00903174">
        <w:t>for</w:t>
      </w:r>
      <w:r w:rsidR="008E01E5" w:rsidRPr="00903174">
        <w:t xml:space="preserve"> the PBS</w:t>
      </w:r>
      <w:r w:rsidR="001319A5" w:rsidRPr="00903174">
        <w:t>.</w:t>
      </w:r>
      <w:r w:rsidR="008E01E5" w:rsidRPr="00903174">
        <w:t xml:space="preserve"> </w:t>
      </w:r>
      <w:r w:rsidR="001319A5" w:rsidRPr="00903174">
        <w:t>A</w:t>
      </w:r>
      <w:r w:rsidR="008E01E5" w:rsidRPr="00903174">
        <w:t xml:space="preserve">s such the ravulizumab consideration for PBS listing would be impacted by this outcome. </w:t>
      </w:r>
    </w:p>
    <w:p w14:paraId="3BAE389A" w14:textId="77777777" w:rsidR="005F33E6" w:rsidRPr="00903174" w:rsidRDefault="005F33E6" w:rsidP="008E01E5">
      <w:pPr>
        <w:pStyle w:val="ExecSumBodyText"/>
        <w:numPr>
          <w:ilvl w:val="1"/>
          <w:numId w:val="1"/>
        </w:numPr>
      </w:pPr>
      <w:r w:rsidRPr="00903174">
        <w:t>The PBAC considered the outcome for this submission</w:t>
      </w:r>
      <w:r w:rsidR="00C87A08" w:rsidRPr="00903174">
        <w:t xml:space="preserve"> </w:t>
      </w:r>
      <w:r w:rsidRPr="00903174">
        <w:t xml:space="preserve">should be formally communicated to the LSDP Panel, noting the LSDP’s mandate to provide advice on future funding arrangements of currently listed drugs, including referral back to the PBAC for further consideration for PBS </w:t>
      </w:r>
      <w:r w:rsidR="00244CD3" w:rsidRPr="00903174">
        <w:t>listing</w:t>
      </w:r>
      <w:r w:rsidRPr="00903174">
        <w:t xml:space="preserve">. </w:t>
      </w:r>
    </w:p>
    <w:p w14:paraId="25BE33CE" w14:textId="77777777" w:rsidR="00DC01AB" w:rsidRPr="00903174" w:rsidRDefault="002743C5" w:rsidP="0070120C">
      <w:pPr>
        <w:pStyle w:val="ExecSumBodyText"/>
        <w:numPr>
          <w:ilvl w:val="1"/>
          <w:numId w:val="1"/>
        </w:numPr>
      </w:pPr>
      <w:r w:rsidRPr="00903174">
        <w:t xml:space="preserve">The PBAC noted that this submission is eligible for an Independent Review. </w:t>
      </w:r>
    </w:p>
    <w:p w14:paraId="0CD620BC" w14:textId="77777777" w:rsidR="00D73B2A" w:rsidRPr="00346D24" w:rsidRDefault="00D73B2A" w:rsidP="00845A12">
      <w:pPr>
        <w:pStyle w:val="ExecSumBodyText"/>
        <w:numPr>
          <w:ilvl w:val="0"/>
          <w:numId w:val="0"/>
        </w:numPr>
        <w:ind w:left="720" w:hanging="720"/>
        <w:rPr>
          <w:b/>
        </w:rPr>
      </w:pPr>
      <w:r w:rsidRPr="00346D24">
        <w:rPr>
          <w:b/>
        </w:rPr>
        <w:t>Outcome:</w:t>
      </w:r>
    </w:p>
    <w:p w14:paraId="0DB276EF" w14:textId="77777777" w:rsidR="00D73B2A" w:rsidRDefault="00D73B2A" w:rsidP="00845A12">
      <w:pPr>
        <w:pStyle w:val="ExecSumBodyText"/>
        <w:numPr>
          <w:ilvl w:val="0"/>
          <w:numId w:val="0"/>
        </w:numPr>
        <w:ind w:left="720" w:hanging="720"/>
      </w:pPr>
      <w:r w:rsidRPr="00903174">
        <w:t xml:space="preserve">Rejected </w:t>
      </w:r>
    </w:p>
    <w:p w14:paraId="12896FDD" w14:textId="77777777" w:rsidR="00B109F9" w:rsidRDefault="00B109F9" w:rsidP="00B109F9">
      <w:pPr>
        <w:pStyle w:val="2-SectionHeading"/>
        <w:numPr>
          <w:ilvl w:val="0"/>
          <w:numId w:val="1"/>
        </w:numPr>
        <w:rPr>
          <w:color w:val="1F497D"/>
        </w:rPr>
      </w:pPr>
      <w:r w:rsidRPr="00C07617">
        <w:t>Context for Decision</w:t>
      </w:r>
    </w:p>
    <w:p w14:paraId="3D953E3D" w14:textId="77777777" w:rsidR="00B109F9" w:rsidRPr="007129F2" w:rsidRDefault="00B109F9" w:rsidP="00B109F9">
      <w:pPr>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181728B" w14:textId="77777777" w:rsidR="00B109F9" w:rsidRPr="00C07617" w:rsidRDefault="00B109F9" w:rsidP="00B109F9">
      <w:pPr>
        <w:pStyle w:val="2-SectionHeading"/>
        <w:numPr>
          <w:ilvl w:val="0"/>
          <w:numId w:val="1"/>
        </w:numPr>
        <w:rPr>
          <w:b w:val="0"/>
        </w:rPr>
      </w:pPr>
      <w:r>
        <w:lastRenderedPageBreak/>
        <w:t>Sponsor’s Comment</w:t>
      </w:r>
    </w:p>
    <w:p w14:paraId="7E1403CD" w14:textId="77777777" w:rsidR="00FA30B8" w:rsidRPr="008B03EA" w:rsidRDefault="00FA30B8" w:rsidP="00FA30B8">
      <w:pPr>
        <w:rPr>
          <w:rFonts w:asciiTheme="minorHAnsi" w:hAnsiTheme="minorHAnsi"/>
          <w:bCs/>
          <w:lang w:val="en-GB"/>
        </w:rPr>
      </w:pPr>
      <w:r w:rsidRPr="008B03EA">
        <w:rPr>
          <w:rFonts w:asciiTheme="minorHAnsi" w:hAnsiTheme="minorHAnsi"/>
          <w:bCs/>
          <w:lang w:val="en-GB"/>
        </w:rPr>
        <w:t xml:space="preserve">Alexion welcomes the PBAC’s acknowledgement that ravulizumab is non-inferior to eculizumab, however is disappointed with the PBAC decision to reject. We are committed to working with the PBAC and the Department of Health to pursue access for adult patients with PNH who are calling for this new 8-weekly treatment option, which will reduce the burden of fortnightly infusions. </w:t>
      </w:r>
    </w:p>
    <w:p w14:paraId="60E2D059" w14:textId="77777777" w:rsidR="00B109F9" w:rsidRPr="00903174" w:rsidRDefault="00B109F9" w:rsidP="00845A12">
      <w:pPr>
        <w:pStyle w:val="ExecSumBodyText"/>
        <w:numPr>
          <w:ilvl w:val="0"/>
          <w:numId w:val="0"/>
        </w:numPr>
        <w:ind w:left="720" w:hanging="720"/>
      </w:pPr>
    </w:p>
    <w:p w14:paraId="785FD05A" w14:textId="77777777" w:rsidR="00D73B2A" w:rsidRPr="00903174" w:rsidRDefault="00D73B2A" w:rsidP="00845A12">
      <w:pPr>
        <w:pStyle w:val="ExecSumBodyText"/>
        <w:numPr>
          <w:ilvl w:val="0"/>
          <w:numId w:val="0"/>
        </w:numPr>
        <w:ind w:left="720"/>
      </w:pPr>
    </w:p>
    <w:bookmarkEnd w:id="35"/>
    <w:p w14:paraId="0EC90DBA" w14:textId="77777777" w:rsidR="008365D8" w:rsidRPr="00B4390A" w:rsidRDefault="008365D8" w:rsidP="008365D8">
      <w:pPr>
        <w:spacing w:after="120"/>
        <w:rPr>
          <w:rFonts w:asciiTheme="minorHAnsi" w:hAnsiTheme="minorHAnsi" w:cstheme="minorHAnsi"/>
          <w:b/>
        </w:rPr>
      </w:pPr>
    </w:p>
    <w:sectPr w:rsidR="008365D8" w:rsidRPr="00B4390A" w:rsidSect="008365D8">
      <w:headerReference w:type="even" r:id="rId15"/>
      <w:headerReference w:type="default" r:id="rId16"/>
      <w:footerReference w:type="even" r:id="rId17"/>
      <w:footerReference w:type="default" r:id="rId18"/>
      <w:headerReference w:type="first" r:id="rId19"/>
      <w:footerReference w:type="first" r:id="rId20"/>
      <w:pgSz w:w="11907" w:h="16840"/>
      <w:pgMar w:top="1440" w:right="1440" w:bottom="1440" w:left="1440" w:header="1440" w:footer="144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A4DF8" w16cex:dateUtc="2020-06-21T11:22:00Z"/>
  <w16cex:commentExtensible w16cex:durableId="229A4ECC" w16cex:dateUtc="2020-06-21T1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6695C8" w16cid:durableId="229A3A88"/>
  <w16cid:commentId w16cid:paraId="4A57C671" w16cid:durableId="229A4DF8"/>
  <w16cid:commentId w16cid:paraId="2652F982" w16cid:durableId="229A3A89"/>
  <w16cid:commentId w16cid:paraId="5CE68A0E" w16cid:durableId="229A3A8A"/>
  <w16cid:commentId w16cid:paraId="3064938D" w16cid:durableId="229A3A8B"/>
  <w16cid:commentId w16cid:paraId="5EE49218" w16cid:durableId="229A4ECC"/>
  <w16cid:commentId w16cid:paraId="0599ECD2" w16cid:durableId="229A3A8C"/>
  <w16cid:commentId w16cid:paraId="0B7E8582" w16cid:durableId="229A3A8D"/>
  <w16cid:commentId w16cid:paraId="29C2433C" w16cid:durableId="229A3A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5AC16" w14:textId="77777777" w:rsidR="002B69C6" w:rsidRDefault="002B69C6" w:rsidP="00124A51">
      <w:r>
        <w:separator/>
      </w:r>
    </w:p>
    <w:p w14:paraId="6F17C053" w14:textId="77777777" w:rsidR="002B69C6" w:rsidRDefault="002B69C6"/>
    <w:p w14:paraId="7D3A2569" w14:textId="77777777" w:rsidR="002B69C6" w:rsidRDefault="002B69C6"/>
  </w:endnote>
  <w:endnote w:type="continuationSeparator" w:id="0">
    <w:p w14:paraId="14F72F3C" w14:textId="77777777" w:rsidR="002B69C6" w:rsidRDefault="002B69C6" w:rsidP="00124A51">
      <w:r>
        <w:continuationSeparator/>
      </w:r>
    </w:p>
    <w:p w14:paraId="69DBD188" w14:textId="77777777" w:rsidR="002B69C6" w:rsidRDefault="002B69C6"/>
    <w:p w14:paraId="31024C36" w14:textId="77777777" w:rsidR="002B69C6" w:rsidRDefault="002B6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2E67A" w14:textId="77777777" w:rsidR="0024172B" w:rsidRDefault="00241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126329"/>
      <w:docPartObj>
        <w:docPartGallery w:val="Page Numbers (Bottom of Page)"/>
        <w:docPartUnique/>
      </w:docPartObj>
    </w:sdtPr>
    <w:sdtEndPr>
      <w:rPr>
        <w:noProof/>
      </w:rPr>
    </w:sdtEndPr>
    <w:sdtContent>
      <w:p w14:paraId="0604D216" w14:textId="77777777" w:rsidR="0024172B" w:rsidRDefault="0024172B">
        <w:pPr>
          <w:pStyle w:val="Footer"/>
          <w:jc w:val="center"/>
        </w:pPr>
      </w:p>
      <w:p w14:paraId="01FC3B50" w14:textId="139F350E" w:rsidR="0024172B" w:rsidRPr="00DF3DB0" w:rsidRDefault="0024172B" w:rsidP="00DF3DB0">
        <w:pPr>
          <w:pStyle w:val="Footer"/>
          <w:jc w:val="center"/>
        </w:pPr>
        <w:r w:rsidRPr="00535C1F">
          <w:rPr>
            <w:b/>
          </w:rPr>
          <w:fldChar w:fldCharType="begin"/>
        </w:r>
        <w:r w:rsidRPr="00535C1F">
          <w:rPr>
            <w:b/>
          </w:rPr>
          <w:instrText xml:space="preserve"> PAGE   \* MERGEFORMAT </w:instrText>
        </w:r>
        <w:r w:rsidRPr="00535C1F">
          <w:rPr>
            <w:b/>
          </w:rPr>
          <w:fldChar w:fldCharType="separate"/>
        </w:r>
        <w:r w:rsidR="00423BCF">
          <w:rPr>
            <w:b/>
            <w:noProof/>
          </w:rPr>
          <w:t>14</w:t>
        </w:r>
        <w:r w:rsidRPr="00535C1F">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F093A" w14:textId="77777777" w:rsidR="0024172B" w:rsidRDefault="00241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D7A86" w14:textId="77777777" w:rsidR="002B69C6" w:rsidRDefault="002B69C6" w:rsidP="00124A51">
      <w:r>
        <w:separator/>
      </w:r>
    </w:p>
    <w:p w14:paraId="44A249A9" w14:textId="77777777" w:rsidR="002B69C6" w:rsidRDefault="002B69C6"/>
    <w:p w14:paraId="20F0B04A" w14:textId="77777777" w:rsidR="002B69C6" w:rsidRDefault="002B69C6"/>
  </w:footnote>
  <w:footnote w:type="continuationSeparator" w:id="0">
    <w:p w14:paraId="5A0408D3" w14:textId="77777777" w:rsidR="002B69C6" w:rsidRDefault="002B69C6" w:rsidP="00124A51">
      <w:r>
        <w:continuationSeparator/>
      </w:r>
    </w:p>
    <w:p w14:paraId="67D3717F" w14:textId="77777777" w:rsidR="002B69C6" w:rsidRDefault="002B69C6"/>
    <w:p w14:paraId="35B61617" w14:textId="77777777" w:rsidR="002B69C6" w:rsidRDefault="002B69C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34DB" w14:textId="77777777" w:rsidR="0024172B" w:rsidRDefault="00241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C543F" w14:textId="77777777" w:rsidR="0024172B" w:rsidRDefault="0024172B" w:rsidP="00535C1F">
    <w:pPr>
      <w:tabs>
        <w:tab w:val="left" w:pos="142"/>
        <w:tab w:val="right" w:pos="9027"/>
      </w:tabs>
      <w:jc w:val="center"/>
      <w:rPr>
        <w:i/>
      </w:rPr>
    </w:pPr>
    <w:r>
      <w:rPr>
        <w:i/>
      </w:rPr>
      <w:t>Public Summary Document - July 2020 PBAC Meeting</w:t>
    </w:r>
  </w:p>
  <w:p w14:paraId="6B78EE6B" w14:textId="77777777" w:rsidR="0024172B" w:rsidRDefault="0024172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3A6C2" w14:textId="77777777" w:rsidR="0024172B" w:rsidRDefault="0024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3C22A2"/>
    <w:multiLevelType w:val="hybridMultilevel"/>
    <w:tmpl w:val="A5C4F8D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D383609"/>
    <w:multiLevelType w:val="hybridMultilevel"/>
    <w:tmpl w:val="60B8EDC2"/>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584220"/>
    <w:multiLevelType w:val="hybridMultilevel"/>
    <w:tmpl w:val="15EEB6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715071"/>
    <w:multiLevelType w:val="hybridMultilevel"/>
    <w:tmpl w:val="94481B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9D6036F"/>
    <w:multiLevelType w:val="hybridMultilevel"/>
    <w:tmpl w:val="D4E62C3E"/>
    <w:lvl w:ilvl="0" w:tplc="0C090001">
      <w:start w:val="1"/>
      <w:numFmt w:val="bullet"/>
      <w:lvlText w:val=""/>
      <w:lvlJc w:val="left"/>
      <w:pPr>
        <w:ind w:left="1107" w:hanging="360"/>
      </w:pPr>
      <w:rPr>
        <w:rFonts w:ascii="Symbol" w:hAnsi="Symbol" w:hint="default"/>
      </w:rPr>
    </w:lvl>
    <w:lvl w:ilvl="1" w:tplc="0C090003">
      <w:start w:val="1"/>
      <w:numFmt w:val="bullet"/>
      <w:lvlText w:val="o"/>
      <w:lvlJc w:val="left"/>
      <w:pPr>
        <w:ind w:left="1827" w:hanging="360"/>
      </w:pPr>
      <w:rPr>
        <w:rFonts w:ascii="Courier New" w:hAnsi="Courier New" w:cs="Courier New" w:hint="default"/>
      </w:rPr>
    </w:lvl>
    <w:lvl w:ilvl="2" w:tplc="0C090005">
      <w:start w:val="1"/>
      <w:numFmt w:val="bullet"/>
      <w:lvlText w:val=""/>
      <w:lvlJc w:val="left"/>
      <w:pPr>
        <w:ind w:left="2547" w:hanging="360"/>
      </w:pPr>
      <w:rPr>
        <w:rFonts w:ascii="Wingdings" w:hAnsi="Wingdings" w:hint="default"/>
      </w:rPr>
    </w:lvl>
    <w:lvl w:ilvl="3" w:tplc="0C090001">
      <w:start w:val="1"/>
      <w:numFmt w:val="bullet"/>
      <w:lvlText w:val=""/>
      <w:lvlJc w:val="left"/>
      <w:pPr>
        <w:ind w:left="3267" w:hanging="360"/>
      </w:pPr>
      <w:rPr>
        <w:rFonts w:ascii="Symbol" w:hAnsi="Symbol" w:hint="default"/>
      </w:rPr>
    </w:lvl>
    <w:lvl w:ilvl="4" w:tplc="0C090003">
      <w:start w:val="1"/>
      <w:numFmt w:val="bullet"/>
      <w:lvlText w:val="o"/>
      <w:lvlJc w:val="left"/>
      <w:pPr>
        <w:ind w:left="3987" w:hanging="360"/>
      </w:pPr>
      <w:rPr>
        <w:rFonts w:ascii="Courier New" w:hAnsi="Courier New" w:cs="Courier New" w:hint="default"/>
      </w:rPr>
    </w:lvl>
    <w:lvl w:ilvl="5" w:tplc="0C090005">
      <w:start w:val="1"/>
      <w:numFmt w:val="bullet"/>
      <w:lvlText w:val=""/>
      <w:lvlJc w:val="left"/>
      <w:pPr>
        <w:ind w:left="4707" w:hanging="360"/>
      </w:pPr>
      <w:rPr>
        <w:rFonts w:ascii="Wingdings" w:hAnsi="Wingdings" w:hint="default"/>
      </w:rPr>
    </w:lvl>
    <w:lvl w:ilvl="6" w:tplc="0C090001">
      <w:start w:val="1"/>
      <w:numFmt w:val="bullet"/>
      <w:lvlText w:val=""/>
      <w:lvlJc w:val="left"/>
      <w:pPr>
        <w:ind w:left="5427" w:hanging="360"/>
      </w:pPr>
      <w:rPr>
        <w:rFonts w:ascii="Symbol" w:hAnsi="Symbol" w:hint="default"/>
      </w:rPr>
    </w:lvl>
    <w:lvl w:ilvl="7" w:tplc="0C090003">
      <w:start w:val="1"/>
      <w:numFmt w:val="bullet"/>
      <w:lvlText w:val="o"/>
      <w:lvlJc w:val="left"/>
      <w:pPr>
        <w:ind w:left="6147" w:hanging="360"/>
      </w:pPr>
      <w:rPr>
        <w:rFonts w:ascii="Courier New" w:hAnsi="Courier New" w:cs="Courier New" w:hint="default"/>
      </w:rPr>
    </w:lvl>
    <w:lvl w:ilvl="8" w:tplc="0C090005">
      <w:start w:val="1"/>
      <w:numFmt w:val="bullet"/>
      <w:lvlText w:val=""/>
      <w:lvlJc w:val="left"/>
      <w:pPr>
        <w:ind w:left="6867" w:hanging="360"/>
      </w:pPr>
      <w:rPr>
        <w:rFonts w:ascii="Wingdings" w:hAnsi="Wingdings" w:hint="default"/>
      </w:rPr>
    </w:lvl>
  </w:abstractNum>
  <w:abstractNum w:abstractNumId="6" w15:restartNumberingAfterBreak="0">
    <w:nsid w:val="437A4FCB"/>
    <w:multiLevelType w:val="hybridMultilevel"/>
    <w:tmpl w:val="DE9A3A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4442297"/>
    <w:multiLevelType w:val="hybridMultilevel"/>
    <w:tmpl w:val="5CE63E62"/>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5505C"/>
    <w:multiLevelType w:val="hybridMultilevel"/>
    <w:tmpl w:val="28A223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5482528A"/>
    <w:multiLevelType w:val="hybridMultilevel"/>
    <w:tmpl w:val="5FD49F7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6151275D"/>
    <w:multiLevelType w:val="hybridMultilevel"/>
    <w:tmpl w:val="178CC9E8"/>
    <w:lvl w:ilvl="0" w:tplc="1A6ADC5A">
      <w:start w:val="2"/>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CF5BCC"/>
    <w:multiLevelType w:val="multilevel"/>
    <w:tmpl w:val="89305F4C"/>
    <w:lvl w:ilvl="0">
      <w:start w:val="1"/>
      <w:numFmt w:val="decimal"/>
      <w:pStyle w:val="Header"/>
      <w:lvlText w:val="%1"/>
      <w:lvlJc w:val="left"/>
      <w:pPr>
        <w:ind w:left="720" w:hanging="720"/>
      </w:pPr>
      <w:rPr>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webHidden w:val="0"/>
        <w:color w:val="auto"/>
        <w:spacing w:val="0"/>
        <w:kern w:val="0"/>
        <w:position w:val="0"/>
        <w:sz w:val="24"/>
        <w:szCs w:val="24"/>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6A836E8B"/>
    <w:multiLevelType w:val="multilevel"/>
    <w:tmpl w:val="E9A063C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630C53"/>
    <w:multiLevelType w:val="multilevel"/>
    <w:tmpl w:val="F23C8A7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4D033C"/>
    <w:multiLevelType w:val="multilevel"/>
    <w:tmpl w:val="733A0758"/>
    <w:lvl w:ilvl="0">
      <w:start w:val="6"/>
      <w:numFmt w:val="decimal"/>
      <w:lvlText w:val="%1"/>
      <w:lvlJc w:val="left"/>
      <w:pPr>
        <w:ind w:left="720" w:hanging="720"/>
      </w:pPr>
      <w:rPr>
        <w:rFonts w:asciiTheme="minorHAnsi" w:hAnsiTheme="minorHAnsi" w:cstheme="minorHAnsi" w:hint="default"/>
        <w:b/>
        <w:color w:val="auto"/>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7"/>
  </w:num>
  <w:num w:numId="3">
    <w:abstractNumId w:val="0"/>
  </w:num>
  <w:num w:numId="4">
    <w:abstractNumId w:val="14"/>
  </w:num>
  <w:num w:numId="5">
    <w:abstractNumId w:val="2"/>
  </w:num>
  <w:num w:numId="6">
    <w:abstractNumId w:val="10"/>
  </w:num>
  <w:num w:numId="7">
    <w:abstractNumId w:val="12"/>
  </w:num>
  <w:num w:numId="8">
    <w:abstractNumId w:val="1"/>
  </w:num>
  <w:num w:numId="9">
    <w:abstractNumId w:val="4"/>
  </w:num>
  <w:num w:numId="10">
    <w:abstractNumId w:val="3"/>
  </w:num>
  <w:num w:numId="11">
    <w:abstractNumId w:val="11"/>
  </w:num>
  <w:num w:numId="12">
    <w:abstractNumId w:val="8"/>
  </w:num>
  <w:num w:numId="13">
    <w:abstractNumId w:val="13"/>
  </w:num>
  <w:num w:numId="14">
    <w:abstractNumId w:val="5"/>
  </w:num>
  <w:num w:numId="15">
    <w:abstractNumId w:val="9"/>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39A"/>
    <w:rsid w:val="0000705D"/>
    <w:rsid w:val="0000760F"/>
    <w:rsid w:val="00007645"/>
    <w:rsid w:val="000120BF"/>
    <w:rsid w:val="00012540"/>
    <w:rsid w:val="00013247"/>
    <w:rsid w:val="00015886"/>
    <w:rsid w:val="0001591E"/>
    <w:rsid w:val="000162EF"/>
    <w:rsid w:val="000207C9"/>
    <w:rsid w:val="0002185C"/>
    <w:rsid w:val="0002225F"/>
    <w:rsid w:val="00023763"/>
    <w:rsid w:val="000239A8"/>
    <w:rsid w:val="000274B8"/>
    <w:rsid w:val="000276A5"/>
    <w:rsid w:val="00030DD3"/>
    <w:rsid w:val="0003160B"/>
    <w:rsid w:val="000319FF"/>
    <w:rsid w:val="00032D25"/>
    <w:rsid w:val="00033863"/>
    <w:rsid w:val="00033DB6"/>
    <w:rsid w:val="000343DD"/>
    <w:rsid w:val="00035DC0"/>
    <w:rsid w:val="00036006"/>
    <w:rsid w:val="00036829"/>
    <w:rsid w:val="0004020E"/>
    <w:rsid w:val="00040895"/>
    <w:rsid w:val="000435EE"/>
    <w:rsid w:val="00043C37"/>
    <w:rsid w:val="00044F9D"/>
    <w:rsid w:val="00045017"/>
    <w:rsid w:val="00045A2B"/>
    <w:rsid w:val="0004698F"/>
    <w:rsid w:val="00050532"/>
    <w:rsid w:val="00051C86"/>
    <w:rsid w:val="00051D93"/>
    <w:rsid w:val="000536A6"/>
    <w:rsid w:val="000539D0"/>
    <w:rsid w:val="00054621"/>
    <w:rsid w:val="000546D7"/>
    <w:rsid w:val="0005475A"/>
    <w:rsid w:val="00056ECF"/>
    <w:rsid w:val="000604DF"/>
    <w:rsid w:val="00063905"/>
    <w:rsid w:val="000653B5"/>
    <w:rsid w:val="00065BBA"/>
    <w:rsid w:val="00066360"/>
    <w:rsid w:val="00066AF8"/>
    <w:rsid w:val="000671B3"/>
    <w:rsid w:val="00070850"/>
    <w:rsid w:val="00071248"/>
    <w:rsid w:val="000720B9"/>
    <w:rsid w:val="000720DD"/>
    <w:rsid w:val="00072286"/>
    <w:rsid w:val="00072E51"/>
    <w:rsid w:val="000737F7"/>
    <w:rsid w:val="0007672F"/>
    <w:rsid w:val="00076B24"/>
    <w:rsid w:val="00076B54"/>
    <w:rsid w:val="000774F0"/>
    <w:rsid w:val="00080909"/>
    <w:rsid w:val="000812CA"/>
    <w:rsid w:val="00081E63"/>
    <w:rsid w:val="0008253E"/>
    <w:rsid w:val="0008258D"/>
    <w:rsid w:val="00082C23"/>
    <w:rsid w:val="00083E99"/>
    <w:rsid w:val="00084FA8"/>
    <w:rsid w:val="000856C5"/>
    <w:rsid w:val="00085C31"/>
    <w:rsid w:val="0008794D"/>
    <w:rsid w:val="000902D9"/>
    <w:rsid w:val="000903CB"/>
    <w:rsid w:val="00090C7E"/>
    <w:rsid w:val="0009133F"/>
    <w:rsid w:val="00092066"/>
    <w:rsid w:val="0009247F"/>
    <w:rsid w:val="00092600"/>
    <w:rsid w:val="0009262B"/>
    <w:rsid w:val="00093310"/>
    <w:rsid w:val="0009334F"/>
    <w:rsid w:val="0009445C"/>
    <w:rsid w:val="0009498C"/>
    <w:rsid w:val="00095200"/>
    <w:rsid w:val="00095FE5"/>
    <w:rsid w:val="00096284"/>
    <w:rsid w:val="000A0685"/>
    <w:rsid w:val="000A1BC0"/>
    <w:rsid w:val="000A1C9C"/>
    <w:rsid w:val="000A4C79"/>
    <w:rsid w:val="000A6039"/>
    <w:rsid w:val="000A7453"/>
    <w:rsid w:val="000A770D"/>
    <w:rsid w:val="000A7D08"/>
    <w:rsid w:val="000B0121"/>
    <w:rsid w:val="000B0670"/>
    <w:rsid w:val="000B0E75"/>
    <w:rsid w:val="000B1EC1"/>
    <w:rsid w:val="000B2544"/>
    <w:rsid w:val="000B2DCB"/>
    <w:rsid w:val="000B326B"/>
    <w:rsid w:val="000B358A"/>
    <w:rsid w:val="000B57E9"/>
    <w:rsid w:val="000B5CE0"/>
    <w:rsid w:val="000B5F20"/>
    <w:rsid w:val="000B6CAC"/>
    <w:rsid w:val="000B7612"/>
    <w:rsid w:val="000B78AE"/>
    <w:rsid w:val="000C1F96"/>
    <w:rsid w:val="000C2E5F"/>
    <w:rsid w:val="000C3DF9"/>
    <w:rsid w:val="000C4BAA"/>
    <w:rsid w:val="000C5514"/>
    <w:rsid w:val="000C6713"/>
    <w:rsid w:val="000C6E6E"/>
    <w:rsid w:val="000D1BFC"/>
    <w:rsid w:val="000D1D5D"/>
    <w:rsid w:val="000D24B9"/>
    <w:rsid w:val="000D281A"/>
    <w:rsid w:val="000D2848"/>
    <w:rsid w:val="000D326A"/>
    <w:rsid w:val="000D51FB"/>
    <w:rsid w:val="000D6F48"/>
    <w:rsid w:val="000E0640"/>
    <w:rsid w:val="000E08D0"/>
    <w:rsid w:val="000E135D"/>
    <w:rsid w:val="000E2F2E"/>
    <w:rsid w:val="000E5F70"/>
    <w:rsid w:val="000F00BA"/>
    <w:rsid w:val="000F21CC"/>
    <w:rsid w:val="000F316A"/>
    <w:rsid w:val="000F3C74"/>
    <w:rsid w:val="000F4512"/>
    <w:rsid w:val="000F4BB8"/>
    <w:rsid w:val="000F4DAD"/>
    <w:rsid w:val="000F4FA9"/>
    <w:rsid w:val="000F53FB"/>
    <w:rsid w:val="000F7127"/>
    <w:rsid w:val="000F7B54"/>
    <w:rsid w:val="00100B39"/>
    <w:rsid w:val="00100F8A"/>
    <w:rsid w:val="0010175A"/>
    <w:rsid w:val="00102A0D"/>
    <w:rsid w:val="001036B2"/>
    <w:rsid w:val="0010452E"/>
    <w:rsid w:val="00105AE2"/>
    <w:rsid w:val="001060C6"/>
    <w:rsid w:val="00106B80"/>
    <w:rsid w:val="001077FC"/>
    <w:rsid w:val="0011003C"/>
    <w:rsid w:val="0011032E"/>
    <w:rsid w:val="001124B9"/>
    <w:rsid w:val="001129B1"/>
    <w:rsid w:val="0011348B"/>
    <w:rsid w:val="00115982"/>
    <w:rsid w:val="00115C50"/>
    <w:rsid w:val="00116744"/>
    <w:rsid w:val="00116C53"/>
    <w:rsid w:val="00121799"/>
    <w:rsid w:val="001222FC"/>
    <w:rsid w:val="001231D5"/>
    <w:rsid w:val="00123902"/>
    <w:rsid w:val="00123BBC"/>
    <w:rsid w:val="00124A51"/>
    <w:rsid w:val="00126621"/>
    <w:rsid w:val="00126B1D"/>
    <w:rsid w:val="00126F3E"/>
    <w:rsid w:val="001301E9"/>
    <w:rsid w:val="001319A5"/>
    <w:rsid w:val="00131D82"/>
    <w:rsid w:val="00131FC6"/>
    <w:rsid w:val="00132B22"/>
    <w:rsid w:val="00132F91"/>
    <w:rsid w:val="00133699"/>
    <w:rsid w:val="00133D36"/>
    <w:rsid w:val="0013473A"/>
    <w:rsid w:val="00134BFA"/>
    <w:rsid w:val="00137645"/>
    <w:rsid w:val="001400F7"/>
    <w:rsid w:val="0014015A"/>
    <w:rsid w:val="00140886"/>
    <w:rsid w:val="00140E99"/>
    <w:rsid w:val="001427C5"/>
    <w:rsid w:val="00143F67"/>
    <w:rsid w:val="00145540"/>
    <w:rsid w:val="001456B0"/>
    <w:rsid w:val="00145AC4"/>
    <w:rsid w:val="00145F67"/>
    <w:rsid w:val="0015013F"/>
    <w:rsid w:val="0015016A"/>
    <w:rsid w:val="0015345D"/>
    <w:rsid w:val="001541EA"/>
    <w:rsid w:val="001544A3"/>
    <w:rsid w:val="00156F67"/>
    <w:rsid w:val="00156F8F"/>
    <w:rsid w:val="00157130"/>
    <w:rsid w:val="001576B1"/>
    <w:rsid w:val="0016012F"/>
    <w:rsid w:val="0016047B"/>
    <w:rsid w:val="0016099B"/>
    <w:rsid w:val="00160A4C"/>
    <w:rsid w:val="00160C9B"/>
    <w:rsid w:val="00162913"/>
    <w:rsid w:val="00163EFF"/>
    <w:rsid w:val="00163F66"/>
    <w:rsid w:val="001645B1"/>
    <w:rsid w:val="001661FB"/>
    <w:rsid w:val="001671A0"/>
    <w:rsid w:val="0016767F"/>
    <w:rsid w:val="00170679"/>
    <w:rsid w:val="00173565"/>
    <w:rsid w:val="00173B07"/>
    <w:rsid w:val="001751FA"/>
    <w:rsid w:val="0018095B"/>
    <w:rsid w:val="00181D9C"/>
    <w:rsid w:val="001821DB"/>
    <w:rsid w:val="00184B0E"/>
    <w:rsid w:val="00186D34"/>
    <w:rsid w:val="0018732C"/>
    <w:rsid w:val="0018752F"/>
    <w:rsid w:val="001906F2"/>
    <w:rsid w:val="00193838"/>
    <w:rsid w:val="00194AD8"/>
    <w:rsid w:val="00195222"/>
    <w:rsid w:val="00195915"/>
    <w:rsid w:val="00196436"/>
    <w:rsid w:val="001975D8"/>
    <w:rsid w:val="001A0DB9"/>
    <w:rsid w:val="001A1059"/>
    <w:rsid w:val="001A1091"/>
    <w:rsid w:val="001A1181"/>
    <w:rsid w:val="001A178E"/>
    <w:rsid w:val="001A3ECE"/>
    <w:rsid w:val="001A43FA"/>
    <w:rsid w:val="001A47C5"/>
    <w:rsid w:val="001A48EC"/>
    <w:rsid w:val="001A59FB"/>
    <w:rsid w:val="001A5B9E"/>
    <w:rsid w:val="001A5E9E"/>
    <w:rsid w:val="001A6354"/>
    <w:rsid w:val="001A6366"/>
    <w:rsid w:val="001A68A0"/>
    <w:rsid w:val="001A776D"/>
    <w:rsid w:val="001A7AE8"/>
    <w:rsid w:val="001B014F"/>
    <w:rsid w:val="001B204E"/>
    <w:rsid w:val="001B2372"/>
    <w:rsid w:val="001B3443"/>
    <w:rsid w:val="001B4213"/>
    <w:rsid w:val="001B4D20"/>
    <w:rsid w:val="001C2A9B"/>
    <w:rsid w:val="001C4299"/>
    <w:rsid w:val="001C4874"/>
    <w:rsid w:val="001C5F94"/>
    <w:rsid w:val="001C6E66"/>
    <w:rsid w:val="001D1100"/>
    <w:rsid w:val="001D1391"/>
    <w:rsid w:val="001D14F5"/>
    <w:rsid w:val="001D155F"/>
    <w:rsid w:val="001D25D7"/>
    <w:rsid w:val="001D2B65"/>
    <w:rsid w:val="001D3B1F"/>
    <w:rsid w:val="001D4180"/>
    <w:rsid w:val="001D50B2"/>
    <w:rsid w:val="001D6AD7"/>
    <w:rsid w:val="001D7645"/>
    <w:rsid w:val="001E1E86"/>
    <w:rsid w:val="001E238E"/>
    <w:rsid w:val="001E2483"/>
    <w:rsid w:val="001E2B1E"/>
    <w:rsid w:val="001E2CFF"/>
    <w:rsid w:val="001E2E5C"/>
    <w:rsid w:val="001E2F24"/>
    <w:rsid w:val="001E30D4"/>
    <w:rsid w:val="001E34DF"/>
    <w:rsid w:val="001E514E"/>
    <w:rsid w:val="001E52EB"/>
    <w:rsid w:val="001E61D2"/>
    <w:rsid w:val="001E740C"/>
    <w:rsid w:val="001F103A"/>
    <w:rsid w:val="001F1235"/>
    <w:rsid w:val="001F1720"/>
    <w:rsid w:val="001F1CB3"/>
    <w:rsid w:val="001F38B5"/>
    <w:rsid w:val="001F3DB2"/>
    <w:rsid w:val="001F3E86"/>
    <w:rsid w:val="001F4081"/>
    <w:rsid w:val="001F6554"/>
    <w:rsid w:val="001F7361"/>
    <w:rsid w:val="001F7A35"/>
    <w:rsid w:val="00200EF8"/>
    <w:rsid w:val="002011B0"/>
    <w:rsid w:val="002011DE"/>
    <w:rsid w:val="00203181"/>
    <w:rsid w:val="00203783"/>
    <w:rsid w:val="0020385F"/>
    <w:rsid w:val="00206463"/>
    <w:rsid w:val="002068A0"/>
    <w:rsid w:val="00207021"/>
    <w:rsid w:val="0020732F"/>
    <w:rsid w:val="00207D00"/>
    <w:rsid w:val="002105C1"/>
    <w:rsid w:val="00213EF5"/>
    <w:rsid w:val="00216BF5"/>
    <w:rsid w:val="00220138"/>
    <w:rsid w:val="0022111E"/>
    <w:rsid w:val="00223005"/>
    <w:rsid w:val="00223B49"/>
    <w:rsid w:val="00223D5A"/>
    <w:rsid w:val="002248BA"/>
    <w:rsid w:val="00224DD4"/>
    <w:rsid w:val="002278A0"/>
    <w:rsid w:val="002309CC"/>
    <w:rsid w:val="00230B00"/>
    <w:rsid w:val="00230DB1"/>
    <w:rsid w:val="0023163B"/>
    <w:rsid w:val="0023209F"/>
    <w:rsid w:val="00233C01"/>
    <w:rsid w:val="00233E82"/>
    <w:rsid w:val="0023413C"/>
    <w:rsid w:val="002346F0"/>
    <w:rsid w:val="0023629D"/>
    <w:rsid w:val="00236A7F"/>
    <w:rsid w:val="00237255"/>
    <w:rsid w:val="0024172B"/>
    <w:rsid w:val="002424AF"/>
    <w:rsid w:val="002433E3"/>
    <w:rsid w:val="002439DC"/>
    <w:rsid w:val="00243F86"/>
    <w:rsid w:val="002441D2"/>
    <w:rsid w:val="0024432B"/>
    <w:rsid w:val="00244CD3"/>
    <w:rsid w:val="00244DC8"/>
    <w:rsid w:val="00244E94"/>
    <w:rsid w:val="002458BA"/>
    <w:rsid w:val="00245CE9"/>
    <w:rsid w:val="00245E97"/>
    <w:rsid w:val="0024636C"/>
    <w:rsid w:val="00247925"/>
    <w:rsid w:val="00247E38"/>
    <w:rsid w:val="00251006"/>
    <w:rsid w:val="002524D5"/>
    <w:rsid w:val="00253B1D"/>
    <w:rsid w:val="00254DCF"/>
    <w:rsid w:val="0025534B"/>
    <w:rsid w:val="00255BB7"/>
    <w:rsid w:val="00257541"/>
    <w:rsid w:val="00257A39"/>
    <w:rsid w:val="00257AC4"/>
    <w:rsid w:val="002609BF"/>
    <w:rsid w:val="002611D3"/>
    <w:rsid w:val="00261EEF"/>
    <w:rsid w:val="00262292"/>
    <w:rsid w:val="00262A1A"/>
    <w:rsid w:val="00262A87"/>
    <w:rsid w:val="00264D26"/>
    <w:rsid w:val="00267642"/>
    <w:rsid w:val="00267AEA"/>
    <w:rsid w:val="00267D64"/>
    <w:rsid w:val="002700E6"/>
    <w:rsid w:val="00270B65"/>
    <w:rsid w:val="0027294B"/>
    <w:rsid w:val="00273A98"/>
    <w:rsid w:val="00273EB4"/>
    <w:rsid w:val="002743C5"/>
    <w:rsid w:val="00274682"/>
    <w:rsid w:val="002746EB"/>
    <w:rsid w:val="00275C5A"/>
    <w:rsid w:val="00275F23"/>
    <w:rsid w:val="00280720"/>
    <w:rsid w:val="00281014"/>
    <w:rsid w:val="002828C2"/>
    <w:rsid w:val="0028366D"/>
    <w:rsid w:val="00283B2D"/>
    <w:rsid w:val="0028665D"/>
    <w:rsid w:val="00286D8D"/>
    <w:rsid w:val="00290E12"/>
    <w:rsid w:val="002929BB"/>
    <w:rsid w:val="002931B7"/>
    <w:rsid w:val="00293E3B"/>
    <w:rsid w:val="00294148"/>
    <w:rsid w:val="00297655"/>
    <w:rsid w:val="00297B69"/>
    <w:rsid w:val="00297FC2"/>
    <w:rsid w:val="00297FFC"/>
    <w:rsid w:val="002A0E69"/>
    <w:rsid w:val="002A14AB"/>
    <w:rsid w:val="002A2ADE"/>
    <w:rsid w:val="002A2C10"/>
    <w:rsid w:val="002A2F50"/>
    <w:rsid w:val="002A36C0"/>
    <w:rsid w:val="002A599E"/>
    <w:rsid w:val="002A7687"/>
    <w:rsid w:val="002B05A1"/>
    <w:rsid w:val="002B09A4"/>
    <w:rsid w:val="002B0D21"/>
    <w:rsid w:val="002B1ABC"/>
    <w:rsid w:val="002B1C1F"/>
    <w:rsid w:val="002B2E8E"/>
    <w:rsid w:val="002B432F"/>
    <w:rsid w:val="002B62B3"/>
    <w:rsid w:val="002B6754"/>
    <w:rsid w:val="002B69C6"/>
    <w:rsid w:val="002B6CCE"/>
    <w:rsid w:val="002B7DFD"/>
    <w:rsid w:val="002C0AD1"/>
    <w:rsid w:val="002C2510"/>
    <w:rsid w:val="002C2775"/>
    <w:rsid w:val="002C27C1"/>
    <w:rsid w:val="002C5099"/>
    <w:rsid w:val="002C55D2"/>
    <w:rsid w:val="002C5859"/>
    <w:rsid w:val="002C5889"/>
    <w:rsid w:val="002C71CE"/>
    <w:rsid w:val="002D08F8"/>
    <w:rsid w:val="002D2DB4"/>
    <w:rsid w:val="002D4DF8"/>
    <w:rsid w:val="002D577C"/>
    <w:rsid w:val="002D616B"/>
    <w:rsid w:val="002E1071"/>
    <w:rsid w:val="002E15B9"/>
    <w:rsid w:val="002E2158"/>
    <w:rsid w:val="002E4F02"/>
    <w:rsid w:val="002E5D2B"/>
    <w:rsid w:val="002E676F"/>
    <w:rsid w:val="002E7722"/>
    <w:rsid w:val="002F013D"/>
    <w:rsid w:val="002F07BA"/>
    <w:rsid w:val="002F0DA9"/>
    <w:rsid w:val="002F1014"/>
    <w:rsid w:val="002F21BC"/>
    <w:rsid w:val="002F5826"/>
    <w:rsid w:val="002F5A52"/>
    <w:rsid w:val="002F5EA7"/>
    <w:rsid w:val="002F643C"/>
    <w:rsid w:val="002F71C0"/>
    <w:rsid w:val="002F74F1"/>
    <w:rsid w:val="00301017"/>
    <w:rsid w:val="0030155F"/>
    <w:rsid w:val="0030587B"/>
    <w:rsid w:val="00306D98"/>
    <w:rsid w:val="0030772F"/>
    <w:rsid w:val="0030786C"/>
    <w:rsid w:val="0031031A"/>
    <w:rsid w:val="00310981"/>
    <w:rsid w:val="00311300"/>
    <w:rsid w:val="003124D9"/>
    <w:rsid w:val="00312594"/>
    <w:rsid w:val="00313D12"/>
    <w:rsid w:val="00313EFC"/>
    <w:rsid w:val="00315498"/>
    <w:rsid w:val="00316474"/>
    <w:rsid w:val="00321E3E"/>
    <w:rsid w:val="00322107"/>
    <w:rsid w:val="00322355"/>
    <w:rsid w:val="0032244E"/>
    <w:rsid w:val="00322846"/>
    <w:rsid w:val="00322C1E"/>
    <w:rsid w:val="00323091"/>
    <w:rsid w:val="00324976"/>
    <w:rsid w:val="00325FF1"/>
    <w:rsid w:val="00326DA7"/>
    <w:rsid w:val="003270E4"/>
    <w:rsid w:val="003272A3"/>
    <w:rsid w:val="00327B2D"/>
    <w:rsid w:val="00330343"/>
    <w:rsid w:val="00330DAA"/>
    <w:rsid w:val="00330F5C"/>
    <w:rsid w:val="003327D1"/>
    <w:rsid w:val="003366C9"/>
    <w:rsid w:val="00337186"/>
    <w:rsid w:val="003371B0"/>
    <w:rsid w:val="0033753A"/>
    <w:rsid w:val="00340DF1"/>
    <w:rsid w:val="0034648D"/>
    <w:rsid w:val="00346D24"/>
    <w:rsid w:val="003517F9"/>
    <w:rsid w:val="00351BA9"/>
    <w:rsid w:val="0035347F"/>
    <w:rsid w:val="00353D3B"/>
    <w:rsid w:val="0035499B"/>
    <w:rsid w:val="00354F64"/>
    <w:rsid w:val="0035620E"/>
    <w:rsid w:val="0035662D"/>
    <w:rsid w:val="00356DE5"/>
    <w:rsid w:val="00357547"/>
    <w:rsid w:val="00360345"/>
    <w:rsid w:val="00361A05"/>
    <w:rsid w:val="00361F81"/>
    <w:rsid w:val="003623C2"/>
    <w:rsid w:val="003624C4"/>
    <w:rsid w:val="003626F1"/>
    <w:rsid w:val="00363B00"/>
    <w:rsid w:val="00363D1F"/>
    <w:rsid w:val="003654AC"/>
    <w:rsid w:val="00365CCD"/>
    <w:rsid w:val="003710CF"/>
    <w:rsid w:val="00371CFE"/>
    <w:rsid w:val="00372F7C"/>
    <w:rsid w:val="0037358A"/>
    <w:rsid w:val="00374117"/>
    <w:rsid w:val="00374359"/>
    <w:rsid w:val="003750F6"/>
    <w:rsid w:val="003755D4"/>
    <w:rsid w:val="003760FC"/>
    <w:rsid w:val="00376444"/>
    <w:rsid w:val="003775D9"/>
    <w:rsid w:val="003777C0"/>
    <w:rsid w:val="0038365C"/>
    <w:rsid w:val="0038369B"/>
    <w:rsid w:val="00383B78"/>
    <w:rsid w:val="00385A9D"/>
    <w:rsid w:val="0038744C"/>
    <w:rsid w:val="003902B1"/>
    <w:rsid w:val="0039179C"/>
    <w:rsid w:val="0039363F"/>
    <w:rsid w:val="00394C89"/>
    <w:rsid w:val="003957EE"/>
    <w:rsid w:val="00395EF5"/>
    <w:rsid w:val="00396896"/>
    <w:rsid w:val="00396FD0"/>
    <w:rsid w:val="003A1A7A"/>
    <w:rsid w:val="003A2392"/>
    <w:rsid w:val="003A23FB"/>
    <w:rsid w:val="003A2831"/>
    <w:rsid w:val="003A2C50"/>
    <w:rsid w:val="003A3CB6"/>
    <w:rsid w:val="003A3ED1"/>
    <w:rsid w:val="003A44DB"/>
    <w:rsid w:val="003A780E"/>
    <w:rsid w:val="003B0E9F"/>
    <w:rsid w:val="003B1466"/>
    <w:rsid w:val="003B3971"/>
    <w:rsid w:val="003B55D1"/>
    <w:rsid w:val="003B5B61"/>
    <w:rsid w:val="003B7C03"/>
    <w:rsid w:val="003C1654"/>
    <w:rsid w:val="003C16C7"/>
    <w:rsid w:val="003C2F64"/>
    <w:rsid w:val="003C5542"/>
    <w:rsid w:val="003C5F88"/>
    <w:rsid w:val="003C6973"/>
    <w:rsid w:val="003C6CE8"/>
    <w:rsid w:val="003C6D9C"/>
    <w:rsid w:val="003C7D19"/>
    <w:rsid w:val="003C7D2F"/>
    <w:rsid w:val="003D0152"/>
    <w:rsid w:val="003D1828"/>
    <w:rsid w:val="003D1DE4"/>
    <w:rsid w:val="003D1E9A"/>
    <w:rsid w:val="003D22C8"/>
    <w:rsid w:val="003D2422"/>
    <w:rsid w:val="003D39A1"/>
    <w:rsid w:val="003D3FBF"/>
    <w:rsid w:val="003D4120"/>
    <w:rsid w:val="003D419B"/>
    <w:rsid w:val="003D4A30"/>
    <w:rsid w:val="003D57DE"/>
    <w:rsid w:val="003D5C97"/>
    <w:rsid w:val="003D66E1"/>
    <w:rsid w:val="003D7452"/>
    <w:rsid w:val="003D79BB"/>
    <w:rsid w:val="003D7C98"/>
    <w:rsid w:val="003D7D9D"/>
    <w:rsid w:val="003E0543"/>
    <w:rsid w:val="003E0844"/>
    <w:rsid w:val="003E189A"/>
    <w:rsid w:val="003E44EC"/>
    <w:rsid w:val="003E749E"/>
    <w:rsid w:val="003F03D5"/>
    <w:rsid w:val="003F177F"/>
    <w:rsid w:val="003F1814"/>
    <w:rsid w:val="003F1975"/>
    <w:rsid w:val="003F38CC"/>
    <w:rsid w:val="003F4156"/>
    <w:rsid w:val="003F5004"/>
    <w:rsid w:val="003F526B"/>
    <w:rsid w:val="003F5ADF"/>
    <w:rsid w:val="003F6C3F"/>
    <w:rsid w:val="00400B29"/>
    <w:rsid w:val="00402700"/>
    <w:rsid w:val="0040504B"/>
    <w:rsid w:val="004059F4"/>
    <w:rsid w:val="00407FE5"/>
    <w:rsid w:val="004101B0"/>
    <w:rsid w:val="00410326"/>
    <w:rsid w:val="00410708"/>
    <w:rsid w:val="00410EC7"/>
    <w:rsid w:val="00411B39"/>
    <w:rsid w:val="00411EF3"/>
    <w:rsid w:val="004127A7"/>
    <w:rsid w:val="00413A1E"/>
    <w:rsid w:val="00414476"/>
    <w:rsid w:val="00414BF7"/>
    <w:rsid w:val="00414C2E"/>
    <w:rsid w:val="00415038"/>
    <w:rsid w:val="004151CF"/>
    <w:rsid w:val="00416364"/>
    <w:rsid w:val="00416A72"/>
    <w:rsid w:val="0041732E"/>
    <w:rsid w:val="0042029B"/>
    <w:rsid w:val="0042047F"/>
    <w:rsid w:val="00420AA6"/>
    <w:rsid w:val="00420B9F"/>
    <w:rsid w:val="0042192C"/>
    <w:rsid w:val="00422260"/>
    <w:rsid w:val="00423068"/>
    <w:rsid w:val="00423BCF"/>
    <w:rsid w:val="0042413F"/>
    <w:rsid w:val="00424572"/>
    <w:rsid w:val="004259CD"/>
    <w:rsid w:val="004319F8"/>
    <w:rsid w:val="00431E55"/>
    <w:rsid w:val="004321F6"/>
    <w:rsid w:val="00433044"/>
    <w:rsid w:val="00434088"/>
    <w:rsid w:val="004354A6"/>
    <w:rsid w:val="00435644"/>
    <w:rsid w:val="00436C60"/>
    <w:rsid w:val="004375B9"/>
    <w:rsid w:val="00440BEC"/>
    <w:rsid w:val="00441E01"/>
    <w:rsid w:val="004428D0"/>
    <w:rsid w:val="0044369F"/>
    <w:rsid w:val="00444185"/>
    <w:rsid w:val="004443A7"/>
    <w:rsid w:val="0044442C"/>
    <w:rsid w:val="00445941"/>
    <w:rsid w:val="004464EB"/>
    <w:rsid w:val="00447D26"/>
    <w:rsid w:val="00447DFC"/>
    <w:rsid w:val="004504F3"/>
    <w:rsid w:val="00450616"/>
    <w:rsid w:val="00454728"/>
    <w:rsid w:val="00455D45"/>
    <w:rsid w:val="00455FCE"/>
    <w:rsid w:val="00456CB5"/>
    <w:rsid w:val="00461003"/>
    <w:rsid w:val="00463E5A"/>
    <w:rsid w:val="00464595"/>
    <w:rsid w:val="00464ACE"/>
    <w:rsid w:val="004658B5"/>
    <w:rsid w:val="00466662"/>
    <w:rsid w:val="00471EA5"/>
    <w:rsid w:val="0047211D"/>
    <w:rsid w:val="0047296C"/>
    <w:rsid w:val="00472A79"/>
    <w:rsid w:val="004731C4"/>
    <w:rsid w:val="00473F19"/>
    <w:rsid w:val="00475E22"/>
    <w:rsid w:val="00480324"/>
    <w:rsid w:val="0048088E"/>
    <w:rsid w:val="00480F2B"/>
    <w:rsid w:val="00481BDB"/>
    <w:rsid w:val="00482720"/>
    <w:rsid w:val="004835E7"/>
    <w:rsid w:val="004838F8"/>
    <w:rsid w:val="004867E2"/>
    <w:rsid w:val="00490B17"/>
    <w:rsid w:val="00491B3A"/>
    <w:rsid w:val="00492CFD"/>
    <w:rsid w:val="004933FE"/>
    <w:rsid w:val="00493849"/>
    <w:rsid w:val="00494207"/>
    <w:rsid w:val="00494DD5"/>
    <w:rsid w:val="004955D5"/>
    <w:rsid w:val="00495D4D"/>
    <w:rsid w:val="00495ED4"/>
    <w:rsid w:val="004962D2"/>
    <w:rsid w:val="00496344"/>
    <w:rsid w:val="00497FE6"/>
    <w:rsid w:val="004A09CF"/>
    <w:rsid w:val="004A0DA1"/>
    <w:rsid w:val="004A13D6"/>
    <w:rsid w:val="004A2A52"/>
    <w:rsid w:val="004A3AEC"/>
    <w:rsid w:val="004A3B40"/>
    <w:rsid w:val="004A52E9"/>
    <w:rsid w:val="004A6040"/>
    <w:rsid w:val="004A6597"/>
    <w:rsid w:val="004A7848"/>
    <w:rsid w:val="004B09DD"/>
    <w:rsid w:val="004B0BE2"/>
    <w:rsid w:val="004B1CB4"/>
    <w:rsid w:val="004B1FA8"/>
    <w:rsid w:val="004B2F18"/>
    <w:rsid w:val="004B3946"/>
    <w:rsid w:val="004B3DDB"/>
    <w:rsid w:val="004B3EAA"/>
    <w:rsid w:val="004B44FD"/>
    <w:rsid w:val="004B5CFC"/>
    <w:rsid w:val="004B68E7"/>
    <w:rsid w:val="004B6DFF"/>
    <w:rsid w:val="004B6F79"/>
    <w:rsid w:val="004B774D"/>
    <w:rsid w:val="004C054A"/>
    <w:rsid w:val="004C1AEC"/>
    <w:rsid w:val="004C2482"/>
    <w:rsid w:val="004C4AED"/>
    <w:rsid w:val="004D141A"/>
    <w:rsid w:val="004D2C2D"/>
    <w:rsid w:val="004D6759"/>
    <w:rsid w:val="004D69B5"/>
    <w:rsid w:val="004D7227"/>
    <w:rsid w:val="004D7B55"/>
    <w:rsid w:val="004E0E7F"/>
    <w:rsid w:val="004E0EB8"/>
    <w:rsid w:val="004E18E9"/>
    <w:rsid w:val="004E1A70"/>
    <w:rsid w:val="004E2A16"/>
    <w:rsid w:val="004E2AA5"/>
    <w:rsid w:val="004E2ADC"/>
    <w:rsid w:val="004E374C"/>
    <w:rsid w:val="004E43B2"/>
    <w:rsid w:val="004E44D5"/>
    <w:rsid w:val="004E528F"/>
    <w:rsid w:val="004F02FA"/>
    <w:rsid w:val="004F0321"/>
    <w:rsid w:val="004F07B2"/>
    <w:rsid w:val="004F0ED6"/>
    <w:rsid w:val="004F1D02"/>
    <w:rsid w:val="004F2679"/>
    <w:rsid w:val="004F2F21"/>
    <w:rsid w:val="004F3DE5"/>
    <w:rsid w:val="004F54B6"/>
    <w:rsid w:val="004F6913"/>
    <w:rsid w:val="004F7865"/>
    <w:rsid w:val="00500603"/>
    <w:rsid w:val="005008D3"/>
    <w:rsid w:val="0050174E"/>
    <w:rsid w:val="00501854"/>
    <w:rsid w:val="0050219B"/>
    <w:rsid w:val="0050376F"/>
    <w:rsid w:val="00503F17"/>
    <w:rsid w:val="005043B3"/>
    <w:rsid w:val="00506928"/>
    <w:rsid w:val="005077EF"/>
    <w:rsid w:val="0050780B"/>
    <w:rsid w:val="00511AD5"/>
    <w:rsid w:val="00511DC7"/>
    <w:rsid w:val="00512961"/>
    <w:rsid w:val="005142C5"/>
    <w:rsid w:val="0051501B"/>
    <w:rsid w:val="005152B5"/>
    <w:rsid w:val="005168F8"/>
    <w:rsid w:val="0052123C"/>
    <w:rsid w:val="00521319"/>
    <w:rsid w:val="00522BC8"/>
    <w:rsid w:val="00522C97"/>
    <w:rsid w:val="00523C28"/>
    <w:rsid w:val="00526F01"/>
    <w:rsid w:val="00527AF1"/>
    <w:rsid w:val="0053176B"/>
    <w:rsid w:val="00531D36"/>
    <w:rsid w:val="00535C1F"/>
    <w:rsid w:val="00536F42"/>
    <w:rsid w:val="00537182"/>
    <w:rsid w:val="00537C2A"/>
    <w:rsid w:val="00540643"/>
    <w:rsid w:val="00541EDD"/>
    <w:rsid w:val="00542743"/>
    <w:rsid w:val="00542C2D"/>
    <w:rsid w:val="00543F17"/>
    <w:rsid w:val="005478BD"/>
    <w:rsid w:val="005479E3"/>
    <w:rsid w:val="00547A40"/>
    <w:rsid w:val="00547AAC"/>
    <w:rsid w:val="00551985"/>
    <w:rsid w:val="005522CD"/>
    <w:rsid w:val="005526DE"/>
    <w:rsid w:val="00552BD3"/>
    <w:rsid w:val="005532A0"/>
    <w:rsid w:val="00555109"/>
    <w:rsid w:val="00556B35"/>
    <w:rsid w:val="00556D54"/>
    <w:rsid w:val="0055741A"/>
    <w:rsid w:val="005611B7"/>
    <w:rsid w:val="005618D4"/>
    <w:rsid w:val="005652D9"/>
    <w:rsid w:val="00565DF0"/>
    <w:rsid w:val="0056696F"/>
    <w:rsid w:val="00566F0D"/>
    <w:rsid w:val="0057174B"/>
    <w:rsid w:val="00572269"/>
    <w:rsid w:val="0057244A"/>
    <w:rsid w:val="005725C4"/>
    <w:rsid w:val="00572C01"/>
    <w:rsid w:val="00572F26"/>
    <w:rsid w:val="005750C5"/>
    <w:rsid w:val="005752DE"/>
    <w:rsid w:val="00575B8A"/>
    <w:rsid w:val="00575D8D"/>
    <w:rsid w:val="00576972"/>
    <w:rsid w:val="005833BC"/>
    <w:rsid w:val="00583699"/>
    <w:rsid w:val="0058401B"/>
    <w:rsid w:val="00585CDD"/>
    <w:rsid w:val="00587058"/>
    <w:rsid w:val="00591267"/>
    <w:rsid w:val="00591957"/>
    <w:rsid w:val="00593142"/>
    <w:rsid w:val="00593B35"/>
    <w:rsid w:val="00594ADC"/>
    <w:rsid w:val="00596778"/>
    <w:rsid w:val="00597BF9"/>
    <w:rsid w:val="005A2997"/>
    <w:rsid w:val="005A309A"/>
    <w:rsid w:val="005A373D"/>
    <w:rsid w:val="005A5F9D"/>
    <w:rsid w:val="005A722D"/>
    <w:rsid w:val="005B0B58"/>
    <w:rsid w:val="005B1376"/>
    <w:rsid w:val="005B1845"/>
    <w:rsid w:val="005B237D"/>
    <w:rsid w:val="005B4E53"/>
    <w:rsid w:val="005B5857"/>
    <w:rsid w:val="005B62EC"/>
    <w:rsid w:val="005C0620"/>
    <w:rsid w:val="005C1A27"/>
    <w:rsid w:val="005C1B83"/>
    <w:rsid w:val="005C25FF"/>
    <w:rsid w:val="005C2D55"/>
    <w:rsid w:val="005C346B"/>
    <w:rsid w:val="005C527E"/>
    <w:rsid w:val="005C5972"/>
    <w:rsid w:val="005C756E"/>
    <w:rsid w:val="005D044D"/>
    <w:rsid w:val="005D0ABD"/>
    <w:rsid w:val="005D18AD"/>
    <w:rsid w:val="005D26B4"/>
    <w:rsid w:val="005D28A6"/>
    <w:rsid w:val="005D613B"/>
    <w:rsid w:val="005E2B7A"/>
    <w:rsid w:val="005E3EF2"/>
    <w:rsid w:val="005E5A19"/>
    <w:rsid w:val="005E6CBC"/>
    <w:rsid w:val="005E72FF"/>
    <w:rsid w:val="005E73C0"/>
    <w:rsid w:val="005F0418"/>
    <w:rsid w:val="005F0B5D"/>
    <w:rsid w:val="005F2706"/>
    <w:rsid w:val="005F32BE"/>
    <w:rsid w:val="005F33E6"/>
    <w:rsid w:val="005F6A8F"/>
    <w:rsid w:val="005F6BB7"/>
    <w:rsid w:val="005F7588"/>
    <w:rsid w:val="005F77B8"/>
    <w:rsid w:val="006011A8"/>
    <w:rsid w:val="006011B8"/>
    <w:rsid w:val="006021E5"/>
    <w:rsid w:val="006028B3"/>
    <w:rsid w:val="00603DB9"/>
    <w:rsid w:val="00605E64"/>
    <w:rsid w:val="00606A91"/>
    <w:rsid w:val="00606FBA"/>
    <w:rsid w:val="00607669"/>
    <w:rsid w:val="006076F4"/>
    <w:rsid w:val="00607AFD"/>
    <w:rsid w:val="006102C1"/>
    <w:rsid w:val="00611ACB"/>
    <w:rsid w:val="00612C03"/>
    <w:rsid w:val="00612F97"/>
    <w:rsid w:val="0061345D"/>
    <w:rsid w:val="0061417D"/>
    <w:rsid w:val="00614C6C"/>
    <w:rsid w:val="0061549B"/>
    <w:rsid w:val="006155AD"/>
    <w:rsid w:val="00616453"/>
    <w:rsid w:val="00616802"/>
    <w:rsid w:val="00617E12"/>
    <w:rsid w:val="00620C25"/>
    <w:rsid w:val="00621477"/>
    <w:rsid w:val="00621ADA"/>
    <w:rsid w:val="00623F7B"/>
    <w:rsid w:val="006269FB"/>
    <w:rsid w:val="006305C4"/>
    <w:rsid w:val="0063158F"/>
    <w:rsid w:val="00631D6B"/>
    <w:rsid w:val="00631FFF"/>
    <w:rsid w:val="00632183"/>
    <w:rsid w:val="006330A1"/>
    <w:rsid w:val="00634278"/>
    <w:rsid w:val="0063479F"/>
    <w:rsid w:val="00634B12"/>
    <w:rsid w:val="00634D9A"/>
    <w:rsid w:val="006353F0"/>
    <w:rsid w:val="006357B5"/>
    <w:rsid w:val="0063591D"/>
    <w:rsid w:val="006364A1"/>
    <w:rsid w:val="00636512"/>
    <w:rsid w:val="0063678E"/>
    <w:rsid w:val="00637BFD"/>
    <w:rsid w:val="00640C2E"/>
    <w:rsid w:val="006412CC"/>
    <w:rsid w:val="00641C4E"/>
    <w:rsid w:val="00641FB3"/>
    <w:rsid w:val="0064434C"/>
    <w:rsid w:val="00645480"/>
    <w:rsid w:val="006471CC"/>
    <w:rsid w:val="00647A29"/>
    <w:rsid w:val="0065079F"/>
    <w:rsid w:val="00652A28"/>
    <w:rsid w:val="00652C79"/>
    <w:rsid w:val="0065379F"/>
    <w:rsid w:val="00653A61"/>
    <w:rsid w:val="00653E2D"/>
    <w:rsid w:val="0065486B"/>
    <w:rsid w:val="0065498A"/>
    <w:rsid w:val="00654A8C"/>
    <w:rsid w:val="00656188"/>
    <w:rsid w:val="00656B95"/>
    <w:rsid w:val="0065704C"/>
    <w:rsid w:val="0065715A"/>
    <w:rsid w:val="006610F1"/>
    <w:rsid w:val="00661C6B"/>
    <w:rsid w:val="00665E37"/>
    <w:rsid w:val="00666B8A"/>
    <w:rsid w:val="006676A3"/>
    <w:rsid w:val="00670F34"/>
    <w:rsid w:val="00671004"/>
    <w:rsid w:val="00672646"/>
    <w:rsid w:val="00674E42"/>
    <w:rsid w:val="006813F8"/>
    <w:rsid w:val="00682112"/>
    <w:rsid w:val="00682BA6"/>
    <w:rsid w:val="006848FB"/>
    <w:rsid w:val="00686957"/>
    <w:rsid w:val="006872BA"/>
    <w:rsid w:val="0068783F"/>
    <w:rsid w:val="00690795"/>
    <w:rsid w:val="00691648"/>
    <w:rsid w:val="006916B4"/>
    <w:rsid w:val="006917D7"/>
    <w:rsid w:val="006926A5"/>
    <w:rsid w:val="006932BB"/>
    <w:rsid w:val="0069434C"/>
    <w:rsid w:val="00694F44"/>
    <w:rsid w:val="00695A7D"/>
    <w:rsid w:val="00696F51"/>
    <w:rsid w:val="006979A5"/>
    <w:rsid w:val="006A07B7"/>
    <w:rsid w:val="006A303E"/>
    <w:rsid w:val="006A30D5"/>
    <w:rsid w:val="006A4CE9"/>
    <w:rsid w:val="006A6B99"/>
    <w:rsid w:val="006A783C"/>
    <w:rsid w:val="006A7C09"/>
    <w:rsid w:val="006A7E5F"/>
    <w:rsid w:val="006B0945"/>
    <w:rsid w:val="006B0976"/>
    <w:rsid w:val="006B261B"/>
    <w:rsid w:val="006B2C90"/>
    <w:rsid w:val="006B35E6"/>
    <w:rsid w:val="006B3731"/>
    <w:rsid w:val="006B465A"/>
    <w:rsid w:val="006B5387"/>
    <w:rsid w:val="006B539A"/>
    <w:rsid w:val="006B6470"/>
    <w:rsid w:val="006B6DD0"/>
    <w:rsid w:val="006B71D6"/>
    <w:rsid w:val="006B79A3"/>
    <w:rsid w:val="006C0399"/>
    <w:rsid w:val="006C1447"/>
    <w:rsid w:val="006C2A8E"/>
    <w:rsid w:val="006C2F47"/>
    <w:rsid w:val="006C314E"/>
    <w:rsid w:val="006C3255"/>
    <w:rsid w:val="006C3F26"/>
    <w:rsid w:val="006C63F8"/>
    <w:rsid w:val="006D0500"/>
    <w:rsid w:val="006D0D17"/>
    <w:rsid w:val="006D2997"/>
    <w:rsid w:val="006D3231"/>
    <w:rsid w:val="006D3252"/>
    <w:rsid w:val="006D3C7D"/>
    <w:rsid w:val="006D4659"/>
    <w:rsid w:val="006D5619"/>
    <w:rsid w:val="006D5D5F"/>
    <w:rsid w:val="006D68FB"/>
    <w:rsid w:val="006D7D75"/>
    <w:rsid w:val="006E0C07"/>
    <w:rsid w:val="006E2868"/>
    <w:rsid w:val="006E3EE4"/>
    <w:rsid w:val="006E70E8"/>
    <w:rsid w:val="006E712A"/>
    <w:rsid w:val="006F0F44"/>
    <w:rsid w:val="006F11A9"/>
    <w:rsid w:val="006F2A38"/>
    <w:rsid w:val="006F306C"/>
    <w:rsid w:val="006F6386"/>
    <w:rsid w:val="006F63A5"/>
    <w:rsid w:val="0070120C"/>
    <w:rsid w:val="0070142B"/>
    <w:rsid w:val="0070276E"/>
    <w:rsid w:val="00702D0B"/>
    <w:rsid w:val="00702F8F"/>
    <w:rsid w:val="0070469B"/>
    <w:rsid w:val="0070526A"/>
    <w:rsid w:val="007076F1"/>
    <w:rsid w:val="007079FC"/>
    <w:rsid w:val="00707D5A"/>
    <w:rsid w:val="00711087"/>
    <w:rsid w:val="00711A36"/>
    <w:rsid w:val="00713628"/>
    <w:rsid w:val="007141AE"/>
    <w:rsid w:val="00714C26"/>
    <w:rsid w:val="0071529C"/>
    <w:rsid w:val="007170DA"/>
    <w:rsid w:val="007172AD"/>
    <w:rsid w:val="00717EC0"/>
    <w:rsid w:val="00720801"/>
    <w:rsid w:val="00722B1B"/>
    <w:rsid w:val="00723C84"/>
    <w:rsid w:val="0072416F"/>
    <w:rsid w:val="00727C94"/>
    <w:rsid w:val="00731B0A"/>
    <w:rsid w:val="00731EAE"/>
    <w:rsid w:val="007322C2"/>
    <w:rsid w:val="00733073"/>
    <w:rsid w:val="00735033"/>
    <w:rsid w:val="00735328"/>
    <w:rsid w:val="00735AD9"/>
    <w:rsid w:val="0073685B"/>
    <w:rsid w:val="007449BF"/>
    <w:rsid w:val="00744EDE"/>
    <w:rsid w:val="00746BC0"/>
    <w:rsid w:val="00746E48"/>
    <w:rsid w:val="00747425"/>
    <w:rsid w:val="00747769"/>
    <w:rsid w:val="00747954"/>
    <w:rsid w:val="007510B4"/>
    <w:rsid w:val="00752142"/>
    <w:rsid w:val="007523F9"/>
    <w:rsid w:val="00752730"/>
    <w:rsid w:val="007529DE"/>
    <w:rsid w:val="0075357E"/>
    <w:rsid w:val="007547D9"/>
    <w:rsid w:val="00755218"/>
    <w:rsid w:val="0075618C"/>
    <w:rsid w:val="00756C96"/>
    <w:rsid w:val="007573E8"/>
    <w:rsid w:val="00760628"/>
    <w:rsid w:val="00760C4E"/>
    <w:rsid w:val="00760F9E"/>
    <w:rsid w:val="007613B1"/>
    <w:rsid w:val="007627BE"/>
    <w:rsid w:val="0076360F"/>
    <w:rsid w:val="00764F03"/>
    <w:rsid w:val="007655D3"/>
    <w:rsid w:val="00765B1A"/>
    <w:rsid w:val="007663F8"/>
    <w:rsid w:val="007705DE"/>
    <w:rsid w:val="00770CCC"/>
    <w:rsid w:val="00777335"/>
    <w:rsid w:val="00777CEF"/>
    <w:rsid w:val="00780F4C"/>
    <w:rsid w:val="0078175B"/>
    <w:rsid w:val="00781CF6"/>
    <w:rsid w:val="007821C9"/>
    <w:rsid w:val="00782DFC"/>
    <w:rsid w:val="007843F2"/>
    <w:rsid w:val="00785712"/>
    <w:rsid w:val="00785A9F"/>
    <w:rsid w:val="0078639E"/>
    <w:rsid w:val="00787461"/>
    <w:rsid w:val="007925DF"/>
    <w:rsid w:val="007956ED"/>
    <w:rsid w:val="00797678"/>
    <w:rsid w:val="007A08AA"/>
    <w:rsid w:val="007A0A12"/>
    <w:rsid w:val="007A132D"/>
    <w:rsid w:val="007A1345"/>
    <w:rsid w:val="007A1729"/>
    <w:rsid w:val="007A2A2F"/>
    <w:rsid w:val="007A2DDB"/>
    <w:rsid w:val="007A53DC"/>
    <w:rsid w:val="007A6EF8"/>
    <w:rsid w:val="007A70BA"/>
    <w:rsid w:val="007A7994"/>
    <w:rsid w:val="007B0D68"/>
    <w:rsid w:val="007B1834"/>
    <w:rsid w:val="007B251D"/>
    <w:rsid w:val="007B3C4D"/>
    <w:rsid w:val="007B4F58"/>
    <w:rsid w:val="007B528D"/>
    <w:rsid w:val="007B60A8"/>
    <w:rsid w:val="007B63CA"/>
    <w:rsid w:val="007B77D1"/>
    <w:rsid w:val="007C07C7"/>
    <w:rsid w:val="007C1CD9"/>
    <w:rsid w:val="007C211C"/>
    <w:rsid w:val="007C32EF"/>
    <w:rsid w:val="007C3402"/>
    <w:rsid w:val="007C361D"/>
    <w:rsid w:val="007C3D60"/>
    <w:rsid w:val="007C4B84"/>
    <w:rsid w:val="007C70FF"/>
    <w:rsid w:val="007C7199"/>
    <w:rsid w:val="007C7C25"/>
    <w:rsid w:val="007D004F"/>
    <w:rsid w:val="007D032A"/>
    <w:rsid w:val="007D0B38"/>
    <w:rsid w:val="007D2AEA"/>
    <w:rsid w:val="007D3FCF"/>
    <w:rsid w:val="007D5440"/>
    <w:rsid w:val="007D67EF"/>
    <w:rsid w:val="007D69EB"/>
    <w:rsid w:val="007E0221"/>
    <w:rsid w:val="007E0526"/>
    <w:rsid w:val="007E128F"/>
    <w:rsid w:val="007E3D98"/>
    <w:rsid w:val="007E7813"/>
    <w:rsid w:val="007F1017"/>
    <w:rsid w:val="007F4765"/>
    <w:rsid w:val="007F4A3F"/>
    <w:rsid w:val="007F4A61"/>
    <w:rsid w:val="007F5255"/>
    <w:rsid w:val="007F5383"/>
    <w:rsid w:val="007F56CC"/>
    <w:rsid w:val="007F5FA1"/>
    <w:rsid w:val="007F61C2"/>
    <w:rsid w:val="007F6512"/>
    <w:rsid w:val="007F6D2C"/>
    <w:rsid w:val="007F7C82"/>
    <w:rsid w:val="00801B2C"/>
    <w:rsid w:val="00803374"/>
    <w:rsid w:val="00805142"/>
    <w:rsid w:val="00805299"/>
    <w:rsid w:val="00805FCE"/>
    <w:rsid w:val="0080743B"/>
    <w:rsid w:val="00807A8B"/>
    <w:rsid w:val="00810053"/>
    <w:rsid w:val="008104AC"/>
    <w:rsid w:val="00811383"/>
    <w:rsid w:val="00811ED5"/>
    <w:rsid w:val="00812149"/>
    <w:rsid w:val="00812CAC"/>
    <w:rsid w:val="00815A35"/>
    <w:rsid w:val="00816361"/>
    <w:rsid w:val="008166EF"/>
    <w:rsid w:val="00816C6D"/>
    <w:rsid w:val="00816FEF"/>
    <w:rsid w:val="00817EC2"/>
    <w:rsid w:val="00820A8C"/>
    <w:rsid w:val="008215FB"/>
    <w:rsid w:val="00823174"/>
    <w:rsid w:val="00823645"/>
    <w:rsid w:val="008241D0"/>
    <w:rsid w:val="0082552E"/>
    <w:rsid w:val="00825751"/>
    <w:rsid w:val="0082596A"/>
    <w:rsid w:val="008259EE"/>
    <w:rsid w:val="00825F24"/>
    <w:rsid w:val="00825FFD"/>
    <w:rsid w:val="008264EB"/>
    <w:rsid w:val="00831262"/>
    <w:rsid w:val="00831A48"/>
    <w:rsid w:val="00831C53"/>
    <w:rsid w:val="00831E39"/>
    <w:rsid w:val="00832C71"/>
    <w:rsid w:val="00833B05"/>
    <w:rsid w:val="008358A3"/>
    <w:rsid w:val="008362B4"/>
    <w:rsid w:val="008365D8"/>
    <w:rsid w:val="00840CA2"/>
    <w:rsid w:val="008410D0"/>
    <w:rsid w:val="00843331"/>
    <w:rsid w:val="0084374F"/>
    <w:rsid w:val="008439EF"/>
    <w:rsid w:val="0084420B"/>
    <w:rsid w:val="0084474D"/>
    <w:rsid w:val="00844A22"/>
    <w:rsid w:val="00844A3F"/>
    <w:rsid w:val="00845A12"/>
    <w:rsid w:val="00847703"/>
    <w:rsid w:val="00847DF5"/>
    <w:rsid w:val="008508C5"/>
    <w:rsid w:val="00852F12"/>
    <w:rsid w:val="0085309D"/>
    <w:rsid w:val="00854C07"/>
    <w:rsid w:val="00856897"/>
    <w:rsid w:val="00856E9A"/>
    <w:rsid w:val="00857AF2"/>
    <w:rsid w:val="0086075D"/>
    <w:rsid w:val="00861EB6"/>
    <w:rsid w:val="008621F4"/>
    <w:rsid w:val="00862502"/>
    <w:rsid w:val="00862CC1"/>
    <w:rsid w:val="00862FE0"/>
    <w:rsid w:val="008660D4"/>
    <w:rsid w:val="00867610"/>
    <w:rsid w:val="00867BD3"/>
    <w:rsid w:val="00867C68"/>
    <w:rsid w:val="00870D5A"/>
    <w:rsid w:val="00871FA9"/>
    <w:rsid w:val="008728E9"/>
    <w:rsid w:val="00874DEF"/>
    <w:rsid w:val="00880AFD"/>
    <w:rsid w:val="0088222F"/>
    <w:rsid w:val="00882874"/>
    <w:rsid w:val="00882E3C"/>
    <w:rsid w:val="00883075"/>
    <w:rsid w:val="00883787"/>
    <w:rsid w:val="008843FF"/>
    <w:rsid w:val="008855E4"/>
    <w:rsid w:val="00886CD2"/>
    <w:rsid w:val="008908B6"/>
    <w:rsid w:val="00890F36"/>
    <w:rsid w:val="008912ED"/>
    <w:rsid w:val="00891B4D"/>
    <w:rsid w:val="00891E6F"/>
    <w:rsid w:val="0089235A"/>
    <w:rsid w:val="008923A6"/>
    <w:rsid w:val="0089275D"/>
    <w:rsid w:val="00892A36"/>
    <w:rsid w:val="00893239"/>
    <w:rsid w:val="008932BD"/>
    <w:rsid w:val="00893393"/>
    <w:rsid w:val="00894489"/>
    <w:rsid w:val="00895DEE"/>
    <w:rsid w:val="008963A5"/>
    <w:rsid w:val="00896D5D"/>
    <w:rsid w:val="00897EAA"/>
    <w:rsid w:val="008A08CC"/>
    <w:rsid w:val="008A12E2"/>
    <w:rsid w:val="008A2C06"/>
    <w:rsid w:val="008A3363"/>
    <w:rsid w:val="008A3371"/>
    <w:rsid w:val="008A3C3E"/>
    <w:rsid w:val="008A79DE"/>
    <w:rsid w:val="008B03EA"/>
    <w:rsid w:val="008B1757"/>
    <w:rsid w:val="008B39A7"/>
    <w:rsid w:val="008B7992"/>
    <w:rsid w:val="008B7D7E"/>
    <w:rsid w:val="008C19D5"/>
    <w:rsid w:val="008C45EF"/>
    <w:rsid w:val="008C5610"/>
    <w:rsid w:val="008C5739"/>
    <w:rsid w:val="008C5D38"/>
    <w:rsid w:val="008C6326"/>
    <w:rsid w:val="008C6B24"/>
    <w:rsid w:val="008C7ECB"/>
    <w:rsid w:val="008D1A91"/>
    <w:rsid w:val="008D35BB"/>
    <w:rsid w:val="008D3B86"/>
    <w:rsid w:val="008D4755"/>
    <w:rsid w:val="008D4C3D"/>
    <w:rsid w:val="008D50E0"/>
    <w:rsid w:val="008D59B0"/>
    <w:rsid w:val="008D743C"/>
    <w:rsid w:val="008E01E5"/>
    <w:rsid w:val="008E0410"/>
    <w:rsid w:val="008E0D3C"/>
    <w:rsid w:val="008E1B9E"/>
    <w:rsid w:val="008E2CCE"/>
    <w:rsid w:val="008E3C0C"/>
    <w:rsid w:val="008E3DA3"/>
    <w:rsid w:val="008E4B6F"/>
    <w:rsid w:val="008E55AB"/>
    <w:rsid w:val="008F120A"/>
    <w:rsid w:val="008F189E"/>
    <w:rsid w:val="008F26D7"/>
    <w:rsid w:val="008F27E0"/>
    <w:rsid w:val="008F28D2"/>
    <w:rsid w:val="008F3CFA"/>
    <w:rsid w:val="008F48EB"/>
    <w:rsid w:val="008F4F0B"/>
    <w:rsid w:val="008F67C8"/>
    <w:rsid w:val="008F67C9"/>
    <w:rsid w:val="008F6B43"/>
    <w:rsid w:val="009009E4"/>
    <w:rsid w:val="0090296B"/>
    <w:rsid w:val="00903174"/>
    <w:rsid w:val="009031B5"/>
    <w:rsid w:val="009046C4"/>
    <w:rsid w:val="0090499D"/>
    <w:rsid w:val="00904EB7"/>
    <w:rsid w:val="009051DC"/>
    <w:rsid w:val="009062A5"/>
    <w:rsid w:val="00907213"/>
    <w:rsid w:val="00910FA7"/>
    <w:rsid w:val="0091111E"/>
    <w:rsid w:val="00911272"/>
    <w:rsid w:val="00911A62"/>
    <w:rsid w:val="009135D6"/>
    <w:rsid w:val="00914C77"/>
    <w:rsid w:val="00914C96"/>
    <w:rsid w:val="00915AB2"/>
    <w:rsid w:val="00921ACB"/>
    <w:rsid w:val="00922DEB"/>
    <w:rsid w:val="0092369B"/>
    <w:rsid w:val="00927C73"/>
    <w:rsid w:val="00931BAF"/>
    <w:rsid w:val="0093327C"/>
    <w:rsid w:val="0093344B"/>
    <w:rsid w:val="00934988"/>
    <w:rsid w:val="009357E9"/>
    <w:rsid w:val="00937089"/>
    <w:rsid w:val="009371B1"/>
    <w:rsid w:val="009372C3"/>
    <w:rsid w:val="00937CD3"/>
    <w:rsid w:val="00940460"/>
    <w:rsid w:val="00940C7B"/>
    <w:rsid w:val="009414DB"/>
    <w:rsid w:val="00944F8A"/>
    <w:rsid w:val="00945DAE"/>
    <w:rsid w:val="0095078A"/>
    <w:rsid w:val="009510A2"/>
    <w:rsid w:val="00953257"/>
    <w:rsid w:val="0095474C"/>
    <w:rsid w:val="00954F17"/>
    <w:rsid w:val="009550E1"/>
    <w:rsid w:val="0096191F"/>
    <w:rsid w:val="00962CB9"/>
    <w:rsid w:val="00964312"/>
    <w:rsid w:val="00965B8A"/>
    <w:rsid w:val="00967453"/>
    <w:rsid w:val="0097071F"/>
    <w:rsid w:val="009717AC"/>
    <w:rsid w:val="00971D65"/>
    <w:rsid w:val="009730A1"/>
    <w:rsid w:val="009733B1"/>
    <w:rsid w:val="00973C01"/>
    <w:rsid w:val="009751C1"/>
    <w:rsid w:val="009754AF"/>
    <w:rsid w:val="00976669"/>
    <w:rsid w:val="0098016C"/>
    <w:rsid w:val="00980DDA"/>
    <w:rsid w:val="00980E9E"/>
    <w:rsid w:val="009811F1"/>
    <w:rsid w:val="00982D7A"/>
    <w:rsid w:val="00983C4C"/>
    <w:rsid w:val="00983E57"/>
    <w:rsid w:val="00985DE2"/>
    <w:rsid w:val="0098675D"/>
    <w:rsid w:val="00992169"/>
    <w:rsid w:val="009926E0"/>
    <w:rsid w:val="0099451E"/>
    <w:rsid w:val="00996B1A"/>
    <w:rsid w:val="009A0FC0"/>
    <w:rsid w:val="009A2DCC"/>
    <w:rsid w:val="009A3EA8"/>
    <w:rsid w:val="009A5ABC"/>
    <w:rsid w:val="009A7F10"/>
    <w:rsid w:val="009B0C3A"/>
    <w:rsid w:val="009B1D05"/>
    <w:rsid w:val="009B2EAA"/>
    <w:rsid w:val="009B3E26"/>
    <w:rsid w:val="009B6EBA"/>
    <w:rsid w:val="009C31FB"/>
    <w:rsid w:val="009C3569"/>
    <w:rsid w:val="009C3706"/>
    <w:rsid w:val="009C3A3A"/>
    <w:rsid w:val="009C43F8"/>
    <w:rsid w:val="009C6CEA"/>
    <w:rsid w:val="009C6DEB"/>
    <w:rsid w:val="009C75CA"/>
    <w:rsid w:val="009C7B85"/>
    <w:rsid w:val="009D0254"/>
    <w:rsid w:val="009D149F"/>
    <w:rsid w:val="009D1A64"/>
    <w:rsid w:val="009D29A7"/>
    <w:rsid w:val="009D413C"/>
    <w:rsid w:val="009D5B91"/>
    <w:rsid w:val="009D691C"/>
    <w:rsid w:val="009D729E"/>
    <w:rsid w:val="009D792E"/>
    <w:rsid w:val="009E0DFE"/>
    <w:rsid w:val="009E2963"/>
    <w:rsid w:val="009E2A86"/>
    <w:rsid w:val="009E31F6"/>
    <w:rsid w:val="009E3A80"/>
    <w:rsid w:val="009E4C07"/>
    <w:rsid w:val="009E6E2A"/>
    <w:rsid w:val="009F277E"/>
    <w:rsid w:val="009F3244"/>
    <w:rsid w:val="00A01184"/>
    <w:rsid w:val="00A01198"/>
    <w:rsid w:val="00A01214"/>
    <w:rsid w:val="00A01CCC"/>
    <w:rsid w:val="00A037C2"/>
    <w:rsid w:val="00A03D43"/>
    <w:rsid w:val="00A04380"/>
    <w:rsid w:val="00A05472"/>
    <w:rsid w:val="00A05C32"/>
    <w:rsid w:val="00A0653F"/>
    <w:rsid w:val="00A10076"/>
    <w:rsid w:val="00A10644"/>
    <w:rsid w:val="00A11CD0"/>
    <w:rsid w:val="00A124B9"/>
    <w:rsid w:val="00A13948"/>
    <w:rsid w:val="00A1555B"/>
    <w:rsid w:val="00A155C5"/>
    <w:rsid w:val="00A1587D"/>
    <w:rsid w:val="00A16AD8"/>
    <w:rsid w:val="00A17D64"/>
    <w:rsid w:val="00A21C95"/>
    <w:rsid w:val="00A21CF3"/>
    <w:rsid w:val="00A23044"/>
    <w:rsid w:val="00A24813"/>
    <w:rsid w:val="00A27AEC"/>
    <w:rsid w:val="00A30293"/>
    <w:rsid w:val="00A31748"/>
    <w:rsid w:val="00A320DB"/>
    <w:rsid w:val="00A3598D"/>
    <w:rsid w:val="00A35D16"/>
    <w:rsid w:val="00A370FA"/>
    <w:rsid w:val="00A37725"/>
    <w:rsid w:val="00A37BCD"/>
    <w:rsid w:val="00A401BA"/>
    <w:rsid w:val="00A41689"/>
    <w:rsid w:val="00A424DF"/>
    <w:rsid w:val="00A42592"/>
    <w:rsid w:val="00A42628"/>
    <w:rsid w:val="00A43C59"/>
    <w:rsid w:val="00A44AA9"/>
    <w:rsid w:val="00A46553"/>
    <w:rsid w:val="00A50B7A"/>
    <w:rsid w:val="00A50D92"/>
    <w:rsid w:val="00A50ECD"/>
    <w:rsid w:val="00A51532"/>
    <w:rsid w:val="00A518F3"/>
    <w:rsid w:val="00A52729"/>
    <w:rsid w:val="00A53675"/>
    <w:rsid w:val="00A53735"/>
    <w:rsid w:val="00A5482E"/>
    <w:rsid w:val="00A564D7"/>
    <w:rsid w:val="00A56B6A"/>
    <w:rsid w:val="00A56D5D"/>
    <w:rsid w:val="00A578DC"/>
    <w:rsid w:val="00A60700"/>
    <w:rsid w:val="00A640E2"/>
    <w:rsid w:val="00A64D65"/>
    <w:rsid w:val="00A6725B"/>
    <w:rsid w:val="00A70605"/>
    <w:rsid w:val="00A70B2E"/>
    <w:rsid w:val="00A71E91"/>
    <w:rsid w:val="00A720DD"/>
    <w:rsid w:val="00A7229B"/>
    <w:rsid w:val="00A73134"/>
    <w:rsid w:val="00A73E01"/>
    <w:rsid w:val="00A74112"/>
    <w:rsid w:val="00A74F47"/>
    <w:rsid w:val="00A75302"/>
    <w:rsid w:val="00A75FFC"/>
    <w:rsid w:val="00A76001"/>
    <w:rsid w:val="00A777B2"/>
    <w:rsid w:val="00A81AD3"/>
    <w:rsid w:val="00A82521"/>
    <w:rsid w:val="00A825D4"/>
    <w:rsid w:val="00A828F6"/>
    <w:rsid w:val="00A82B73"/>
    <w:rsid w:val="00A838F6"/>
    <w:rsid w:val="00A86E8B"/>
    <w:rsid w:val="00A87164"/>
    <w:rsid w:val="00A87B91"/>
    <w:rsid w:val="00A93072"/>
    <w:rsid w:val="00A938BD"/>
    <w:rsid w:val="00A93953"/>
    <w:rsid w:val="00A94A82"/>
    <w:rsid w:val="00A959D8"/>
    <w:rsid w:val="00AA113D"/>
    <w:rsid w:val="00AA163D"/>
    <w:rsid w:val="00AA3A82"/>
    <w:rsid w:val="00AA5D61"/>
    <w:rsid w:val="00AA6BD5"/>
    <w:rsid w:val="00AA6BD8"/>
    <w:rsid w:val="00AA6C7D"/>
    <w:rsid w:val="00AA7FD6"/>
    <w:rsid w:val="00AB042A"/>
    <w:rsid w:val="00AB19EF"/>
    <w:rsid w:val="00AB20B7"/>
    <w:rsid w:val="00AB268E"/>
    <w:rsid w:val="00AB2D34"/>
    <w:rsid w:val="00AB3430"/>
    <w:rsid w:val="00AB37B9"/>
    <w:rsid w:val="00AB4AD1"/>
    <w:rsid w:val="00AB5A63"/>
    <w:rsid w:val="00AB5E07"/>
    <w:rsid w:val="00AB6B02"/>
    <w:rsid w:val="00AB7CFA"/>
    <w:rsid w:val="00AC3BAA"/>
    <w:rsid w:val="00AC5399"/>
    <w:rsid w:val="00AC5B48"/>
    <w:rsid w:val="00AC5B84"/>
    <w:rsid w:val="00AC5EC4"/>
    <w:rsid w:val="00AC6EA2"/>
    <w:rsid w:val="00AD014A"/>
    <w:rsid w:val="00AD1450"/>
    <w:rsid w:val="00AD1551"/>
    <w:rsid w:val="00AD24E8"/>
    <w:rsid w:val="00AD420F"/>
    <w:rsid w:val="00AD44C9"/>
    <w:rsid w:val="00AD59F0"/>
    <w:rsid w:val="00AD6502"/>
    <w:rsid w:val="00AD6C4A"/>
    <w:rsid w:val="00AE0695"/>
    <w:rsid w:val="00AE316B"/>
    <w:rsid w:val="00AE3E7E"/>
    <w:rsid w:val="00AE42E1"/>
    <w:rsid w:val="00AE44F4"/>
    <w:rsid w:val="00AE6558"/>
    <w:rsid w:val="00AE726A"/>
    <w:rsid w:val="00AF10F8"/>
    <w:rsid w:val="00AF1315"/>
    <w:rsid w:val="00AF19BF"/>
    <w:rsid w:val="00AF2DC3"/>
    <w:rsid w:val="00AF3C59"/>
    <w:rsid w:val="00B033E5"/>
    <w:rsid w:val="00B03A63"/>
    <w:rsid w:val="00B07378"/>
    <w:rsid w:val="00B07AEE"/>
    <w:rsid w:val="00B1010C"/>
    <w:rsid w:val="00B10384"/>
    <w:rsid w:val="00B109F9"/>
    <w:rsid w:val="00B1285F"/>
    <w:rsid w:val="00B14072"/>
    <w:rsid w:val="00B145C1"/>
    <w:rsid w:val="00B149CE"/>
    <w:rsid w:val="00B201A4"/>
    <w:rsid w:val="00B201D1"/>
    <w:rsid w:val="00B213A6"/>
    <w:rsid w:val="00B214BF"/>
    <w:rsid w:val="00B235B0"/>
    <w:rsid w:val="00B24DF6"/>
    <w:rsid w:val="00B26051"/>
    <w:rsid w:val="00B26C56"/>
    <w:rsid w:val="00B2799D"/>
    <w:rsid w:val="00B3364F"/>
    <w:rsid w:val="00B34A2E"/>
    <w:rsid w:val="00B34FE2"/>
    <w:rsid w:val="00B35166"/>
    <w:rsid w:val="00B357D8"/>
    <w:rsid w:val="00B35B1B"/>
    <w:rsid w:val="00B360F4"/>
    <w:rsid w:val="00B36A00"/>
    <w:rsid w:val="00B37BFC"/>
    <w:rsid w:val="00B40358"/>
    <w:rsid w:val="00B40BAA"/>
    <w:rsid w:val="00B41614"/>
    <w:rsid w:val="00B42851"/>
    <w:rsid w:val="00B42D1D"/>
    <w:rsid w:val="00B42F80"/>
    <w:rsid w:val="00B435CB"/>
    <w:rsid w:val="00B4390A"/>
    <w:rsid w:val="00B45713"/>
    <w:rsid w:val="00B45888"/>
    <w:rsid w:val="00B4794F"/>
    <w:rsid w:val="00B505C8"/>
    <w:rsid w:val="00B50DB8"/>
    <w:rsid w:val="00B53654"/>
    <w:rsid w:val="00B53905"/>
    <w:rsid w:val="00B54B5B"/>
    <w:rsid w:val="00B5562E"/>
    <w:rsid w:val="00B55CEE"/>
    <w:rsid w:val="00B55D65"/>
    <w:rsid w:val="00B57000"/>
    <w:rsid w:val="00B577EC"/>
    <w:rsid w:val="00B6004E"/>
    <w:rsid w:val="00B60939"/>
    <w:rsid w:val="00B60AFD"/>
    <w:rsid w:val="00B62715"/>
    <w:rsid w:val="00B628BF"/>
    <w:rsid w:val="00B646B9"/>
    <w:rsid w:val="00B65370"/>
    <w:rsid w:val="00B65611"/>
    <w:rsid w:val="00B6765F"/>
    <w:rsid w:val="00B70361"/>
    <w:rsid w:val="00B70E8E"/>
    <w:rsid w:val="00B72C77"/>
    <w:rsid w:val="00B74C64"/>
    <w:rsid w:val="00B75154"/>
    <w:rsid w:val="00B76C92"/>
    <w:rsid w:val="00B7734B"/>
    <w:rsid w:val="00B7798D"/>
    <w:rsid w:val="00B818A4"/>
    <w:rsid w:val="00B820CC"/>
    <w:rsid w:val="00B83C7D"/>
    <w:rsid w:val="00B84117"/>
    <w:rsid w:val="00B858F0"/>
    <w:rsid w:val="00B85AA2"/>
    <w:rsid w:val="00B8649C"/>
    <w:rsid w:val="00B8695D"/>
    <w:rsid w:val="00B87DAB"/>
    <w:rsid w:val="00B87F0A"/>
    <w:rsid w:val="00B91586"/>
    <w:rsid w:val="00B91D38"/>
    <w:rsid w:val="00B9225D"/>
    <w:rsid w:val="00B92D0B"/>
    <w:rsid w:val="00B93E9A"/>
    <w:rsid w:val="00B94945"/>
    <w:rsid w:val="00B94DD6"/>
    <w:rsid w:val="00B97024"/>
    <w:rsid w:val="00BA322D"/>
    <w:rsid w:val="00BA3DEA"/>
    <w:rsid w:val="00BA5568"/>
    <w:rsid w:val="00BA63FA"/>
    <w:rsid w:val="00BA6C1D"/>
    <w:rsid w:val="00BA7FAD"/>
    <w:rsid w:val="00BB00B3"/>
    <w:rsid w:val="00BB0BDD"/>
    <w:rsid w:val="00BB176C"/>
    <w:rsid w:val="00BB2169"/>
    <w:rsid w:val="00BB2A73"/>
    <w:rsid w:val="00BB2EFA"/>
    <w:rsid w:val="00BB3A45"/>
    <w:rsid w:val="00BB4ACC"/>
    <w:rsid w:val="00BB703E"/>
    <w:rsid w:val="00BB732D"/>
    <w:rsid w:val="00BB7405"/>
    <w:rsid w:val="00BC0E45"/>
    <w:rsid w:val="00BC16C9"/>
    <w:rsid w:val="00BC1AF8"/>
    <w:rsid w:val="00BC2927"/>
    <w:rsid w:val="00BC2DE5"/>
    <w:rsid w:val="00BC2EB2"/>
    <w:rsid w:val="00BC3631"/>
    <w:rsid w:val="00BC591F"/>
    <w:rsid w:val="00BC5CB6"/>
    <w:rsid w:val="00BC6489"/>
    <w:rsid w:val="00BC67E6"/>
    <w:rsid w:val="00BC752E"/>
    <w:rsid w:val="00BC7D6D"/>
    <w:rsid w:val="00BD0D42"/>
    <w:rsid w:val="00BD2108"/>
    <w:rsid w:val="00BD2E40"/>
    <w:rsid w:val="00BD3D6A"/>
    <w:rsid w:val="00BD4C63"/>
    <w:rsid w:val="00BD68A3"/>
    <w:rsid w:val="00BD6938"/>
    <w:rsid w:val="00BD6CF3"/>
    <w:rsid w:val="00BD79AC"/>
    <w:rsid w:val="00BE0ECA"/>
    <w:rsid w:val="00BE1FC6"/>
    <w:rsid w:val="00BE2180"/>
    <w:rsid w:val="00BE21F2"/>
    <w:rsid w:val="00BE2AC0"/>
    <w:rsid w:val="00BE4275"/>
    <w:rsid w:val="00BE6D16"/>
    <w:rsid w:val="00BE70C2"/>
    <w:rsid w:val="00BF0490"/>
    <w:rsid w:val="00BF06AE"/>
    <w:rsid w:val="00BF0F95"/>
    <w:rsid w:val="00BF2433"/>
    <w:rsid w:val="00BF303D"/>
    <w:rsid w:val="00BF3A19"/>
    <w:rsid w:val="00BF3D11"/>
    <w:rsid w:val="00BF61C9"/>
    <w:rsid w:val="00BF6C94"/>
    <w:rsid w:val="00C00424"/>
    <w:rsid w:val="00C017DE"/>
    <w:rsid w:val="00C01D39"/>
    <w:rsid w:val="00C047B8"/>
    <w:rsid w:val="00C10DDF"/>
    <w:rsid w:val="00C1179F"/>
    <w:rsid w:val="00C12C14"/>
    <w:rsid w:val="00C15F04"/>
    <w:rsid w:val="00C15F2C"/>
    <w:rsid w:val="00C179B3"/>
    <w:rsid w:val="00C17E3F"/>
    <w:rsid w:val="00C200AA"/>
    <w:rsid w:val="00C20909"/>
    <w:rsid w:val="00C222FF"/>
    <w:rsid w:val="00C22E2B"/>
    <w:rsid w:val="00C237ED"/>
    <w:rsid w:val="00C23D00"/>
    <w:rsid w:val="00C24632"/>
    <w:rsid w:val="00C252A2"/>
    <w:rsid w:val="00C25418"/>
    <w:rsid w:val="00C25D9C"/>
    <w:rsid w:val="00C26402"/>
    <w:rsid w:val="00C2778B"/>
    <w:rsid w:val="00C31649"/>
    <w:rsid w:val="00C31B85"/>
    <w:rsid w:val="00C31C54"/>
    <w:rsid w:val="00C33D13"/>
    <w:rsid w:val="00C3434C"/>
    <w:rsid w:val="00C34449"/>
    <w:rsid w:val="00C349D6"/>
    <w:rsid w:val="00C35C40"/>
    <w:rsid w:val="00C40385"/>
    <w:rsid w:val="00C41726"/>
    <w:rsid w:val="00C41768"/>
    <w:rsid w:val="00C44E70"/>
    <w:rsid w:val="00C475AA"/>
    <w:rsid w:val="00C50CAB"/>
    <w:rsid w:val="00C53C98"/>
    <w:rsid w:val="00C54B29"/>
    <w:rsid w:val="00C55BFC"/>
    <w:rsid w:val="00C56FCF"/>
    <w:rsid w:val="00C57551"/>
    <w:rsid w:val="00C57B6C"/>
    <w:rsid w:val="00C607BD"/>
    <w:rsid w:val="00C6180F"/>
    <w:rsid w:val="00C628A6"/>
    <w:rsid w:val="00C64344"/>
    <w:rsid w:val="00C65108"/>
    <w:rsid w:val="00C65576"/>
    <w:rsid w:val="00C66165"/>
    <w:rsid w:val="00C67D4F"/>
    <w:rsid w:val="00C7060A"/>
    <w:rsid w:val="00C7151A"/>
    <w:rsid w:val="00C717E3"/>
    <w:rsid w:val="00C71F60"/>
    <w:rsid w:val="00C7205B"/>
    <w:rsid w:val="00C72241"/>
    <w:rsid w:val="00C72BAE"/>
    <w:rsid w:val="00C73283"/>
    <w:rsid w:val="00C750C8"/>
    <w:rsid w:val="00C7560F"/>
    <w:rsid w:val="00C760BE"/>
    <w:rsid w:val="00C7679E"/>
    <w:rsid w:val="00C76F7B"/>
    <w:rsid w:val="00C777D9"/>
    <w:rsid w:val="00C8017D"/>
    <w:rsid w:val="00C802EC"/>
    <w:rsid w:val="00C80A0E"/>
    <w:rsid w:val="00C80ACF"/>
    <w:rsid w:val="00C80D04"/>
    <w:rsid w:val="00C80EA5"/>
    <w:rsid w:val="00C8213F"/>
    <w:rsid w:val="00C826AB"/>
    <w:rsid w:val="00C84092"/>
    <w:rsid w:val="00C85154"/>
    <w:rsid w:val="00C8797A"/>
    <w:rsid w:val="00C87A08"/>
    <w:rsid w:val="00C900B8"/>
    <w:rsid w:val="00C90C71"/>
    <w:rsid w:val="00C91FD1"/>
    <w:rsid w:val="00C931CF"/>
    <w:rsid w:val="00C933B1"/>
    <w:rsid w:val="00C938CF"/>
    <w:rsid w:val="00C93BC0"/>
    <w:rsid w:val="00C94053"/>
    <w:rsid w:val="00C9624D"/>
    <w:rsid w:val="00C963BA"/>
    <w:rsid w:val="00C96435"/>
    <w:rsid w:val="00C969DA"/>
    <w:rsid w:val="00C97CD3"/>
    <w:rsid w:val="00CA0351"/>
    <w:rsid w:val="00CA06FE"/>
    <w:rsid w:val="00CA2C77"/>
    <w:rsid w:val="00CA390C"/>
    <w:rsid w:val="00CA444F"/>
    <w:rsid w:val="00CA5245"/>
    <w:rsid w:val="00CA5E74"/>
    <w:rsid w:val="00CA71F4"/>
    <w:rsid w:val="00CA762C"/>
    <w:rsid w:val="00CA7B09"/>
    <w:rsid w:val="00CB02BB"/>
    <w:rsid w:val="00CB1181"/>
    <w:rsid w:val="00CB12A5"/>
    <w:rsid w:val="00CB1CAC"/>
    <w:rsid w:val="00CB2F2A"/>
    <w:rsid w:val="00CB5B1A"/>
    <w:rsid w:val="00CB6B22"/>
    <w:rsid w:val="00CB7F5F"/>
    <w:rsid w:val="00CC1B39"/>
    <w:rsid w:val="00CC273B"/>
    <w:rsid w:val="00CC35EA"/>
    <w:rsid w:val="00CC3848"/>
    <w:rsid w:val="00CC436A"/>
    <w:rsid w:val="00CC551E"/>
    <w:rsid w:val="00CC5CEF"/>
    <w:rsid w:val="00CC6DFA"/>
    <w:rsid w:val="00CD012C"/>
    <w:rsid w:val="00CD1A1D"/>
    <w:rsid w:val="00CD3F77"/>
    <w:rsid w:val="00CD6ADC"/>
    <w:rsid w:val="00CD7193"/>
    <w:rsid w:val="00CE18A4"/>
    <w:rsid w:val="00CE38C8"/>
    <w:rsid w:val="00CE3FF8"/>
    <w:rsid w:val="00CE469D"/>
    <w:rsid w:val="00CE6274"/>
    <w:rsid w:val="00CE77B6"/>
    <w:rsid w:val="00CF263F"/>
    <w:rsid w:val="00CF2968"/>
    <w:rsid w:val="00CF2B8D"/>
    <w:rsid w:val="00CF456B"/>
    <w:rsid w:val="00CF4EA9"/>
    <w:rsid w:val="00CF512C"/>
    <w:rsid w:val="00CF5A22"/>
    <w:rsid w:val="00CF67DA"/>
    <w:rsid w:val="00CF6CDB"/>
    <w:rsid w:val="00D01576"/>
    <w:rsid w:val="00D0262E"/>
    <w:rsid w:val="00D05E3D"/>
    <w:rsid w:val="00D06139"/>
    <w:rsid w:val="00D110BD"/>
    <w:rsid w:val="00D13675"/>
    <w:rsid w:val="00D141E1"/>
    <w:rsid w:val="00D1426A"/>
    <w:rsid w:val="00D15144"/>
    <w:rsid w:val="00D15314"/>
    <w:rsid w:val="00D154A6"/>
    <w:rsid w:val="00D15AF4"/>
    <w:rsid w:val="00D16C16"/>
    <w:rsid w:val="00D17D6C"/>
    <w:rsid w:val="00D2155B"/>
    <w:rsid w:val="00D23D11"/>
    <w:rsid w:val="00D244B6"/>
    <w:rsid w:val="00D24FDC"/>
    <w:rsid w:val="00D25525"/>
    <w:rsid w:val="00D2754D"/>
    <w:rsid w:val="00D27B27"/>
    <w:rsid w:val="00D33BE9"/>
    <w:rsid w:val="00D33F93"/>
    <w:rsid w:val="00D357FF"/>
    <w:rsid w:val="00D403AF"/>
    <w:rsid w:val="00D40DA5"/>
    <w:rsid w:val="00D424C7"/>
    <w:rsid w:val="00D43B2A"/>
    <w:rsid w:val="00D43D83"/>
    <w:rsid w:val="00D45DCE"/>
    <w:rsid w:val="00D47575"/>
    <w:rsid w:val="00D5243B"/>
    <w:rsid w:val="00D533EC"/>
    <w:rsid w:val="00D535F5"/>
    <w:rsid w:val="00D53F47"/>
    <w:rsid w:val="00D54330"/>
    <w:rsid w:val="00D54A80"/>
    <w:rsid w:val="00D5523F"/>
    <w:rsid w:val="00D555F8"/>
    <w:rsid w:val="00D55738"/>
    <w:rsid w:val="00D56A95"/>
    <w:rsid w:val="00D56F09"/>
    <w:rsid w:val="00D57299"/>
    <w:rsid w:val="00D60EF4"/>
    <w:rsid w:val="00D61EB4"/>
    <w:rsid w:val="00D64358"/>
    <w:rsid w:val="00D67C6F"/>
    <w:rsid w:val="00D70F16"/>
    <w:rsid w:val="00D71FDB"/>
    <w:rsid w:val="00D72F57"/>
    <w:rsid w:val="00D73587"/>
    <w:rsid w:val="00D73B2A"/>
    <w:rsid w:val="00D73ECF"/>
    <w:rsid w:val="00D767E2"/>
    <w:rsid w:val="00D76A44"/>
    <w:rsid w:val="00D815EF"/>
    <w:rsid w:val="00D81E68"/>
    <w:rsid w:val="00D81F26"/>
    <w:rsid w:val="00D83720"/>
    <w:rsid w:val="00D84ADB"/>
    <w:rsid w:val="00D86231"/>
    <w:rsid w:val="00D864D2"/>
    <w:rsid w:val="00D916F0"/>
    <w:rsid w:val="00D91923"/>
    <w:rsid w:val="00D91D6F"/>
    <w:rsid w:val="00D92A82"/>
    <w:rsid w:val="00D930FC"/>
    <w:rsid w:val="00D93753"/>
    <w:rsid w:val="00D9433F"/>
    <w:rsid w:val="00D955D0"/>
    <w:rsid w:val="00D9779D"/>
    <w:rsid w:val="00DA3167"/>
    <w:rsid w:val="00DA4DC3"/>
    <w:rsid w:val="00DA6AE6"/>
    <w:rsid w:val="00DA6AFD"/>
    <w:rsid w:val="00DA7028"/>
    <w:rsid w:val="00DA73E2"/>
    <w:rsid w:val="00DA77A5"/>
    <w:rsid w:val="00DB1232"/>
    <w:rsid w:val="00DB2247"/>
    <w:rsid w:val="00DB3DBF"/>
    <w:rsid w:val="00DB484F"/>
    <w:rsid w:val="00DB4C2A"/>
    <w:rsid w:val="00DB64B8"/>
    <w:rsid w:val="00DC01AB"/>
    <w:rsid w:val="00DC04F6"/>
    <w:rsid w:val="00DC0690"/>
    <w:rsid w:val="00DC1A3C"/>
    <w:rsid w:val="00DC1D65"/>
    <w:rsid w:val="00DC35CD"/>
    <w:rsid w:val="00DC3C57"/>
    <w:rsid w:val="00DC5501"/>
    <w:rsid w:val="00DC7154"/>
    <w:rsid w:val="00DC7672"/>
    <w:rsid w:val="00DC7E8A"/>
    <w:rsid w:val="00DD0F78"/>
    <w:rsid w:val="00DD273C"/>
    <w:rsid w:val="00DD2B68"/>
    <w:rsid w:val="00DD3F28"/>
    <w:rsid w:val="00DD3FE2"/>
    <w:rsid w:val="00DD4537"/>
    <w:rsid w:val="00DD4E15"/>
    <w:rsid w:val="00DD6B1D"/>
    <w:rsid w:val="00DD76F5"/>
    <w:rsid w:val="00DE0769"/>
    <w:rsid w:val="00DE2304"/>
    <w:rsid w:val="00DE3138"/>
    <w:rsid w:val="00DE37F8"/>
    <w:rsid w:val="00DE3950"/>
    <w:rsid w:val="00DE3BBE"/>
    <w:rsid w:val="00DE4FCB"/>
    <w:rsid w:val="00DE5643"/>
    <w:rsid w:val="00DE5D07"/>
    <w:rsid w:val="00DE72A7"/>
    <w:rsid w:val="00DE7832"/>
    <w:rsid w:val="00DF047C"/>
    <w:rsid w:val="00DF18FC"/>
    <w:rsid w:val="00DF28C6"/>
    <w:rsid w:val="00DF3DB0"/>
    <w:rsid w:val="00DF5D2B"/>
    <w:rsid w:val="00DF6C55"/>
    <w:rsid w:val="00DF6CEF"/>
    <w:rsid w:val="00E008E6"/>
    <w:rsid w:val="00E00E8E"/>
    <w:rsid w:val="00E02FC7"/>
    <w:rsid w:val="00E031EC"/>
    <w:rsid w:val="00E03B8D"/>
    <w:rsid w:val="00E05630"/>
    <w:rsid w:val="00E06838"/>
    <w:rsid w:val="00E06DBB"/>
    <w:rsid w:val="00E10149"/>
    <w:rsid w:val="00E11340"/>
    <w:rsid w:val="00E113E7"/>
    <w:rsid w:val="00E122A1"/>
    <w:rsid w:val="00E13438"/>
    <w:rsid w:val="00E143BB"/>
    <w:rsid w:val="00E14687"/>
    <w:rsid w:val="00E16372"/>
    <w:rsid w:val="00E1687D"/>
    <w:rsid w:val="00E16AB3"/>
    <w:rsid w:val="00E20E4D"/>
    <w:rsid w:val="00E20ED6"/>
    <w:rsid w:val="00E21358"/>
    <w:rsid w:val="00E2249B"/>
    <w:rsid w:val="00E22A0D"/>
    <w:rsid w:val="00E244F6"/>
    <w:rsid w:val="00E245CE"/>
    <w:rsid w:val="00E267D2"/>
    <w:rsid w:val="00E2746F"/>
    <w:rsid w:val="00E2771E"/>
    <w:rsid w:val="00E30272"/>
    <w:rsid w:val="00E31078"/>
    <w:rsid w:val="00E311EF"/>
    <w:rsid w:val="00E31F68"/>
    <w:rsid w:val="00E32180"/>
    <w:rsid w:val="00E334F7"/>
    <w:rsid w:val="00E33D80"/>
    <w:rsid w:val="00E34948"/>
    <w:rsid w:val="00E35D83"/>
    <w:rsid w:val="00E367AE"/>
    <w:rsid w:val="00E37569"/>
    <w:rsid w:val="00E377B1"/>
    <w:rsid w:val="00E401B2"/>
    <w:rsid w:val="00E41E30"/>
    <w:rsid w:val="00E42F73"/>
    <w:rsid w:val="00E43D70"/>
    <w:rsid w:val="00E44E6D"/>
    <w:rsid w:val="00E45C77"/>
    <w:rsid w:val="00E466F3"/>
    <w:rsid w:val="00E479A6"/>
    <w:rsid w:val="00E47B2C"/>
    <w:rsid w:val="00E51560"/>
    <w:rsid w:val="00E51EDE"/>
    <w:rsid w:val="00E5365C"/>
    <w:rsid w:val="00E53FC8"/>
    <w:rsid w:val="00E54347"/>
    <w:rsid w:val="00E54FFF"/>
    <w:rsid w:val="00E55424"/>
    <w:rsid w:val="00E55915"/>
    <w:rsid w:val="00E55BB5"/>
    <w:rsid w:val="00E57A89"/>
    <w:rsid w:val="00E62087"/>
    <w:rsid w:val="00E63858"/>
    <w:rsid w:val="00E65C3D"/>
    <w:rsid w:val="00E65E79"/>
    <w:rsid w:val="00E6653C"/>
    <w:rsid w:val="00E66BA2"/>
    <w:rsid w:val="00E67416"/>
    <w:rsid w:val="00E713C0"/>
    <w:rsid w:val="00E718B6"/>
    <w:rsid w:val="00E723BA"/>
    <w:rsid w:val="00E733D8"/>
    <w:rsid w:val="00E73581"/>
    <w:rsid w:val="00E833F7"/>
    <w:rsid w:val="00E83BDF"/>
    <w:rsid w:val="00E84BD6"/>
    <w:rsid w:val="00E858B2"/>
    <w:rsid w:val="00E8746E"/>
    <w:rsid w:val="00E87A1D"/>
    <w:rsid w:val="00E9094A"/>
    <w:rsid w:val="00E91856"/>
    <w:rsid w:val="00E91D35"/>
    <w:rsid w:val="00E926A5"/>
    <w:rsid w:val="00E93AAD"/>
    <w:rsid w:val="00E96BB7"/>
    <w:rsid w:val="00EA10D5"/>
    <w:rsid w:val="00EA17C3"/>
    <w:rsid w:val="00EA2CAA"/>
    <w:rsid w:val="00EA3864"/>
    <w:rsid w:val="00EA5357"/>
    <w:rsid w:val="00EA6584"/>
    <w:rsid w:val="00EA7F1C"/>
    <w:rsid w:val="00EB041E"/>
    <w:rsid w:val="00EB0420"/>
    <w:rsid w:val="00EB061D"/>
    <w:rsid w:val="00EB15B6"/>
    <w:rsid w:val="00EB3D06"/>
    <w:rsid w:val="00EB4916"/>
    <w:rsid w:val="00EB5485"/>
    <w:rsid w:val="00EB64ED"/>
    <w:rsid w:val="00EB76FA"/>
    <w:rsid w:val="00EC00C9"/>
    <w:rsid w:val="00EC05B9"/>
    <w:rsid w:val="00EC0DD9"/>
    <w:rsid w:val="00EC10C8"/>
    <w:rsid w:val="00EC1C5C"/>
    <w:rsid w:val="00EC2649"/>
    <w:rsid w:val="00EC3191"/>
    <w:rsid w:val="00EC31ED"/>
    <w:rsid w:val="00EC35F4"/>
    <w:rsid w:val="00EC3AD4"/>
    <w:rsid w:val="00EC4121"/>
    <w:rsid w:val="00EC5836"/>
    <w:rsid w:val="00EC5E39"/>
    <w:rsid w:val="00EC688C"/>
    <w:rsid w:val="00ED2E01"/>
    <w:rsid w:val="00ED3767"/>
    <w:rsid w:val="00ED3EFA"/>
    <w:rsid w:val="00ED42F2"/>
    <w:rsid w:val="00ED57EA"/>
    <w:rsid w:val="00ED5BD4"/>
    <w:rsid w:val="00ED6B59"/>
    <w:rsid w:val="00ED6CDC"/>
    <w:rsid w:val="00ED71CB"/>
    <w:rsid w:val="00EE07D3"/>
    <w:rsid w:val="00EE1996"/>
    <w:rsid w:val="00EE1C01"/>
    <w:rsid w:val="00EE22AF"/>
    <w:rsid w:val="00EE4990"/>
    <w:rsid w:val="00EE67C2"/>
    <w:rsid w:val="00EE6EF5"/>
    <w:rsid w:val="00EF0171"/>
    <w:rsid w:val="00EF1B25"/>
    <w:rsid w:val="00EF1DA0"/>
    <w:rsid w:val="00EF2DC9"/>
    <w:rsid w:val="00EF32E8"/>
    <w:rsid w:val="00EF4747"/>
    <w:rsid w:val="00EF47CC"/>
    <w:rsid w:val="00EF4BF8"/>
    <w:rsid w:val="00EF4DCE"/>
    <w:rsid w:val="00EF55DF"/>
    <w:rsid w:val="00EF5E30"/>
    <w:rsid w:val="00EF76A7"/>
    <w:rsid w:val="00F00209"/>
    <w:rsid w:val="00F00369"/>
    <w:rsid w:val="00F017A3"/>
    <w:rsid w:val="00F02253"/>
    <w:rsid w:val="00F03C2E"/>
    <w:rsid w:val="00F04A66"/>
    <w:rsid w:val="00F04B4B"/>
    <w:rsid w:val="00F0516C"/>
    <w:rsid w:val="00F06226"/>
    <w:rsid w:val="00F067A2"/>
    <w:rsid w:val="00F07B9E"/>
    <w:rsid w:val="00F10DC8"/>
    <w:rsid w:val="00F1116F"/>
    <w:rsid w:val="00F1263A"/>
    <w:rsid w:val="00F15B77"/>
    <w:rsid w:val="00F17271"/>
    <w:rsid w:val="00F173C6"/>
    <w:rsid w:val="00F21043"/>
    <w:rsid w:val="00F218B5"/>
    <w:rsid w:val="00F21D7A"/>
    <w:rsid w:val="00F22D35"/>
    <w:rsid w:val="00F2335F"/>
    <w:rsid w:val="00F24837"/>
    <w:rsid w:val="00F2575F"/>
    <w:rsid w:val="00F27565"/>
    <w:rsid w:val="00F30984"/>
    <w:rsid w:val="00F310D4"/>
    <w:rsid w:val="00F312E2"/>
    <w:rsid w:val="00F31D11"/>
    <w:rsid w:val="00F31D5A"/>
    <w:rsid w:val="00F33975"/>
    <w:rsid w:val="00F33DE9"/>
    <w:rsid w:val="00F346AA"/>
    <w:rsid w:val="00F35E6D"/>
    <w:rsid w:val="00F3619A"/>
    <w:rsid w:val="00F40AAA"/>
    <w:rsid w:val="00F40B76"/>
    <w:rsid w:val="00F40BA7"/>
    <w:rsid w:val="00F40F9D"/>
    <w:rsid w:val="00F410F2"/>
    <w:rsid w:val="00F41329"/>
    <w:rsid w:val="00F41ACD"/>
    <w:rsid w:val="00F46CB6"/>
    <w:rsid w:val="00F46E66"/>
    <w:rsid w:val="00F4756D"/>
    <w:rsid w:val="00F47DE8"/>
    <w:rsid w:val="00F52DE8"/>
    <w:rsid w:val="00F538CD"/>
    <w:rsid w:val="00F53C47"/>
    <w:rsid w:val="00F541CA"/>
    <w:rsid w:val="00F542C1"/>
    <w:rsid w:val="00F55E73"/>
    <w:rsid w:val="00F55EDA"/>
    <w:rsid w:val="00F56C80"/>
    <w:rsid w:val="00F57D06"/>
    <w:rsid w:val="00F60092"/>
    <w:rsid w:val="00F609CC"/>
    <w:rsid w:val="00F617D7"/>
    <w:rsid w:val="00F61C18"/>
    <w:rsid w:val="00F65F4B"/>
    <w:rsid w:val="00F67A67"/>
    <w:rsid w:val="00F67A69"/>
    <w:rsid w:val="00F70BFF"/>
    <w:rsid w:val="00F70C9D"/>
    <w:rsid w:val="00F7323E"/>
    <w:rsid w:val="00F73ED3"/>
    <w:rsid w:val="00F7454D"/>
    <w:rsid w:val="00F74CD9"/>
    <w:rsid w:val="00F75FDF"/>
    <w:rsid w:val="00F77A7C"/>
    <w:rsid w:val="00F80A7B"/>
    <w:rsid w:val="00F80E5D"/>
    <w:rsid w:val="00F81E78"/>
    <w:rsid w:val="00F83849"/>
    <w:rsid w:val="00F851CE"/>
    <w:rsid w:val="00F85295"/>
    <w:rsid w:val="00F85E3E"/>
    <w:rsid w:val="00F91219"/>
    <w:rsid w:val="00F9213C"/>
    <w:rsid w:val="00F92444"/>
    <w:rsid w:val="00F9393E"/>
    <w:rsid w:val="00F93C0C"/>
    <w:rsid w:val="00F94743"/>
    <w:rsid w:val="00F95023"/>
    <w:rsid w:val="00F9650F"/>
    <w:rsid w:val="00F96912"/>
    <w:rsid w:val="00F96FD0"/>
    <w:rsid w:val="00F97A78"/>
    <w:rsid w:val="00FA0B20"/>
    <w:rsid w:val="00FA24E7"/>
    <w:rsid w:val="00FA30B8"/>
    <w:rsid w:val="00FA4ED1"/>
    <w:rsid w:val="00FA5EE6"/>
    <w:rsid w:val="00FA77FB"/>
    <w:rsid w:val="00FA7956"/>
    <w:rsid w:val="00FA7C53"/>
    <w:rsid w:val="00FB06BC"/>
    <w:rsid w:val="00FB2FCB"/>
    <w:rsid w:val="00FB3A4D"/>
    <w:rsid w:val="00FB4009"/>
    <w:rsid w:val="00FB490A"/>
    <w:rsid w:val="00FB637F"/>
    <w:rsid w:val="00FB7808"/>
    <w:rsid w:val="00FB7C55"/>
    <w:rsid w:val="00FC0265"/>
    <w:rsid w:val="00FC05CF"/>
    <w:rsid w:val="00FC1074"/>
    <w:rsid w:val="00FC1284"/>
    <w:rsid w:val="00FC1773"/>
    <w:rsid w:val="00FC1884"/>
    <w:rsid w:val="00FC2B85"/>
    <w:rsid w:val="00FC2FBE"/>
    <w:rsid w:val="00FC371D"/>
    <w:rsid w:val="00FC587E"/>
    <w:rsid w:val="00FC5D18"/>
    <w:rsid w:val="00FC5F0B"/>
    <w:rsid w:val="00FC740C"/>
    <w:rsid w:val="00FC74AE"/>
    <w:rsid w:val="00FC7B67"/>
    <w:rsid w:val="00FD077E"/>
    <w:rsid w:val="00FD153A"/>
    <w:rsid w:val="00FD2100"/>
    <w:rsid w:val="00FD40A5"/>
    <w:rsid w:val="00FD436C"/>
    <w:rsid w:val="00FD446D"/>
    <w:rsid w:val="00FD4F2C"/>
    <w:rsid w:val="00FD5A6B"/>
    <w:rsid w:val="00FD6394"/>
    <w:rsid w:val="00FD7FD9"/>
    <w:rsid w:val="00FE013F"/>
    <w:rsid w:val="00FE0E6C"/>
    <w:rsid w:val="00FE1CDC"/>
    <w:rsid w:val="00FE2675"/>
    <w:rsid w:val="00FE6992"/>
    <w:rsid w:val="00FE70C3"/>
    <w:rsid w:val="00FF2AD9"/>
    <w:rsid w:val="00FF359F"/>
    <w:rsid w:val="00FF3DCF"/>
    <w:rsid w:val="00FF492C"/>
    <w:rsid w:val="00FF4A21"/>
    <w:rsid w:val="00FF5AA3"/>
    <w:rsid w:val="00FF5AD8"/>
    <w:rsid w:val="00FF5FC5"/>
    <w:rsid w:val="00FF6630"/>
    <w:rsid w:val="00FF7745"/>
    <w:rsid w:val="00FF7C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76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uiPriority w:val="99"/>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uiPriority w:val="99"/>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7"/>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7"/>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uiPriority w:val="99"/>
    <w:semiHidden/>
    <w:unhideWhenUsed/>
    <w:rsid w:val="00EE1996"/>
    <w:pPr>
      <w:numPr>
        <w:numId w:val="3"/>
      </w:numPr>
      <w:contextualSpacing/>
    </w:pPr>
  </w:style>
  <w:style w:type="paragraph" w:styleId="Header">
    <w:name w:val="header"/>
    <w:basedOn w:val="Normal"/>
    <w:link w:val="HeaderChar"/>
    <w:uiPriority w:val="99"/>
    <w:unhideWhenUsed/>
    <w:qFormat/>
    <w:rsid w:val="00365CCD"/>
    <w:pPr>
      <w:numPr>
        <w:numId w:val="11"/>
      </w:numPr>
      <w:tabs>
        <w:tab w:val="center" w:pos="4513"/>
        <w:tab w:val="right" w:pos="9026"/>
      </w:tabs>
    </w:pPr>
  </w:style>
  <w:style w:type="character" w:customStyle="1" w:styleId="HeaderChar">
    <w:name w:val="Header Char"/>
    <w:basedOn w:val="DefaultParagraphFont"/>
    <w:link w:val="Header"/>
    <w:uiPriority w:val="99"/>
    <w:rsid w:val="00365CCD"/>
    <w:rPr>
      <w:rFonts w:ascii="Calibri" w:hAnsi="Calibri" w:cs="Arial"/>
      <w:sz w:val="24"/>
      <w:szCs w:val="24"/>
    </w:rPr>
  </w:style>
  <w:style w:type="paragraph" w:styleId="Footer">
    <w:name w:val="footer"/>
    <w:basedOn w:val="Normal"/>
    <w:link w:val="FooterChar"/>
    <w:uiPriority w:val="99"/>
    <w:unhideWhenUsed/>
    <w:rsid w:val="00365CCD"/>
    <w:pPr>
      <w:tabs>
        <w:tab w:val="center" w:pos="4513"/>
        <w:tab w:val="right" w:pos="9026"/>
      </w:tabs>
    </w:pPr>
  </w:style>
  <w:style w:type="character" w:customStyle="1" w:styleId="FooterChar">
    <w:name w:val="Footer Char"/>
    <w:basedOn w:val="DefaultParagraphFont"/>
    <w:link w:val="Footer"/>
    <w:uiPriority w:val="99"/>
    <w:rsid w:val="00365CCD"/>
    <w:rPr>
      <w:rFonts w:ascii="Calibri" w:hAnsi="Calibri" w:cs="Arial"/>
      <w:sz w:val="24"/>
      <w:szCs w:val="24"/>
    </w:rPr>
  </w:style>
  <w:style w:type="paragraph" w:styleId="ListParagraph">
    <w:name w:val="List Paragraph"/>
    <w:aliases w:val="Styl moj,Akapit z listą1,Akapit z listą11,BulletPoints,Bullets Points,Numbered para,List Paragraph1,Bullet1,Footnote,Bullet point,List Paragraph11,Recommendation,ES Paragraph,PBAC ES Paragraph,PBAC normal points,L,Bullet Point,FooterText"/>
    <w:basedOn w:val="Normal"/>
    <w:link w:val="ListParagraphChar"/>
    <w:uiPriority w:val="34"/>
    <w:qFormat/>
    <w:rsid w:val="009D149F"/>
    <w:pPr>
      <w:ind w:left="720"/>
      <w:contextualSpacing/>
    </w:pPr>
  </w:style>
  <w:style w:type="character" w:customStyle="1" w:styleId="ListParagraphChar">
    <w:name w:val="List Paragraph Char"/>
    <w:aliases w:val="Styl moj Char,Akapit z listą1 Char,Akapit z listą11 Char,BulletPoints Char,Bullets Points Char,Numbered para Char,List Paragraph1 Char,Bullet1 Char,Footnote Char,Bullet point Char,List Paragraph11 Char,Recommendation Char,L Char"/>
    <w:link w:val="ListParagraph"/>
    <w:uiPriority w:val="34"/>
    <w:qFormat/>
    <w:rsid w:val="00B6765F"/>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E06838"/>
    <w:rPr>
      <w:sz w:val="16"/>
      <w:szCs w:val="16"/>
    </w:rPr>
  </w:style>
  <w:style w:type="paragraph" w:styleId="CommentText">
    <w:name w:val="annotation text"/>
    <w:basedOn w:val="Normal"/>
    <w:link w:val="CommentTextChar"/>
    <w:unhideWhenUsed/>
    <w:rsid w:val="00E06838"/>
    <w:rPr>
      <w:sz w:val="20"/>
      <w:szCs w:val="20"/>
    </w:rPr>
  </w:style>
  <w:style w:type="character" w:customStyle="1" w:styleId="CommentTextChar">
    <w:name w:val="Comment Text Char"/>
    <w:basedOn w:val="DefaultParagraphFont"/>
    <w:link w:val="CommentText"/>
    <w:rsid w:val="00E06838"/>
    <w:rPr>
      <w:rFonts w:ascii="Calibri" w:hAnsi="Calibri" w:cs="Arial"/>
    </w:rPr>
  </w:style>
  <w:style w:type="paragraph" w:styleId="CommentSubject">
    <w:name w:val="annotation subject"/>
    <w:basedOn w:val="CommentText"/>
    <w:next w:val="CommentText"/>
    <w:link w:val="CommentSubjectChar"/>
    <w:uiPriority w:val="99"/>
    <w:semiHidden/>
    <w:unhideWhenUsed/>
    <w:rsid w:val="00E06838"/>
    <w:rPr>
      <w:b/>
      <w:bCs/>
    </w:rPr>
  </w:style>
  <w:style w:type="character" w:customStyle="1" w:styleId="CommentSubjectChar">
    <w:name w:val="Comment Subject Char"/>
    <w:basedOn w:val="CommentTextChar"/>
    <w:link w:val="CommentSubject"/>
    <w:uiPriority w:val="99"/>
    <w:semiHidden/>
    <w:rsid w:val="00E06838"/>
    <w:rPr>
      <w:rFonts w:ascii="Calibri" w:hAnsi="Calibri" w:cs="Arial"/>
      <w:b/>
      <w:bCs/>
    </w:rPr>
  </w:style>
  <w:style w:type="paragraph" w:customStyle="1" w:styleId="bodytext">
    <w:name w:val="bodytext"/>
    <w:basedOn w:val="Normal"/>
    <w:link w:val="bodytextChar"/>
    <w:rsid w:val="00653E2D"/>
    <w:pPr>
      <w:spacing w:before="120" w:after="240" w:line="360" w:lineRule="auto"/>
      <w:jc w:val="left"/>
    </w:pPr>
    <w:rPr>
      <w:rFonts w:ascii="Garamond" w:hAnsi="Garamond" w:cs="Times New Roman"/>
      <w:szCs w:val="22"/>
      <w:lang w:eastAsia="en-US"/>
    </w:rPr>
  </w:style>
  <w:style w:type="character" w:customStyle="1" w:styleId="bodytextChar">
    <w:name w:val="bodytext Char"/>
    <w:link w:val="bodytext"/>
    <w:locked/>
    <w:rsid w:val="00653E2D"/>
    <w:rPr>
      <w:rFonts w:ascii="Garamond" w:hAnsi="Garamond"/>
      <w:sz w:val="24"/>
      <w:szCs w:val="22"/>
      <w:lang w:eastAsia="en-US"/>
    </w:rPr>
  </w:style>
  <w:style w:type="paragraph" w:customStyle="1" w:styleId="TableBullet">
    <w:name w:val="Table Bullet"/>
    <w:basedOn w:val="TableText"/>
    <w:qFormat/>
    <w:rsid w:val="00275F23"/>
    <w:pPr>
      <w:keepNext w:val="0"/>
      <w:numPr>
        <w:numId w:val="5"/>
      </w:numPr>
      <w:tabs>
        <w:tab w:val="num" w:pos="360"/>
      </w:tabs>
      <w:spacing w:before="40" w:after="40"/>
      <w:ind w:left="0" w:firstLine="0"/>
    </w:pPr>
    <w:rPr>
      <w:rFonts w:eastAsia="Calibri" w:cs="Times New Roman"/>
      <w:bCs w:val="0"/>
      <w:szCs w:val="22"/>
      <w:lang w:eastAsia="en-US"/>
    </w:rPr>
  </w:style>
  <w:style w:type="paragraph" w:customStyle="1" w:styleId="TableHeading">
    <w:name w:val="Table Heading"/>
    <w:basedOn w:val="Normal"/>
    <w:link w:val="TableHeadingChar"/>
    <w:qFormat/>
    <w:rsid w:val="0084474D"/>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CF263F"/>
    <w:rPr>
      <w:rFonts w:ascii="Arial Narrow" w:eastAsiaTheme="minorHAnsi" w:hAnsi="Arial Narrow" w:cstheme="minorBidi"/>
      <w:b/>
      <w:szCs w:val="22"/>
      <w:lang w:eastAsia="en-US"/>
    </w:rPr>
  </w:style>
  <w:style w:type="paragraph" w:styleId="Caption">
    <w:name w:val="caption"/>
    <w:aliases w:val="Bayer Caption,IB Caption,Medical Caption,Bayer Caption1,IB Caption1,Medical Caption1,Bayer Caption2,IB Caption2,Medical Caption2,Bayer Caption3,IB Caption3,Medical Caption3,Bayer Caption4,IB Caption4,Medical Caption4,Bayer Caption5,Caption2,c"/>
    <w:basedOn w:val="Normal"/>
    <w:next w:val="Normal"/>
    <w:link w:val="CaptionChar"/>
    <w:unhideWhenUsed/>
    <w:qFormat/>
    <w:rsid w:val="006A783C"/>
    <w:pPr>
      <w:ind w:left="992" w:hanging="992"/>
      <w:jc w:val="left"/>
    </w:pPr>
    <w:rPr>
      <w:rFonts w:ascii="Garamond" w:eastAsia="Calibri" w:hAnsi="Garamond" w:cs="Times New Roman"/>
      <w:b/>
      <w:iCs/>
      <w:sz w:val="22"/>
      <w:szCs w:val="22"/>
      <w:lang w:eastAsia="en-US"/>
    </w:rPr>
  </w:style>
  <w:style w:type="character" w:customStyle="1" w:styleId="CaptionChar">
    <w:name w:val="Caption Char"/>
    <w:aliases w:val="Bayer Caption Char,IB Caption Char,Medical Caption Char,Bayer Caption1 Char,IB Caption1 Char,Medical Caption1 Char,Bayer Caption2 Char,IB Caption2 Char,Medical Caption2 Char,Bayer Caption3 Char,IB Caption3 Char,Medical Caption3 Char,c Char"/>
    <w:link w:val="Caption"/>
    <w:rsid w:val="006A783C"/>
    <w:rPr>
      <w:rFonts w:ascii="Garamond" w:eastAsia="Calibri" w:hAnsi="Garamond"/>
      <w:b/>
      <w:iCs/>
      <w:sz w:val="22"/>
      <w:szCs w:val="22"/>
      <w:lang w:eastAsia="en-US"/>
    </w:rPr>
  </w:style>
  <w:style w:type="paragraph" w:customStyle="1" w:styleId="Default">
    <w:name w:val="Default"/>
    <w:link w:val="DefaultChar"/>
    <w:rsid w:val="00CF263F"/>
    <w:pPr>
      <w:autoSpaceDE w:val="0"/>
      <w:autoSpaceDN w:val="0"/>
      <w:adjustRightInd w:val="0"/>
    </w:pPr>
    <w:rPr>
      <w:rFonts w:ascii="Arial" w:eastAsia="Calibri" w:hAnsi="Arial" w:cs="Arial"/>
      <w:color w:val="000000"/>
      <w:sz w:val="24"/>
      <w:szCs w:val="24"/>
      <w:lang w:eastAsia="en-US"/>
    </w:rPr>
  </w:style>
  <w:style w:type="character" w:customStyle="1" w:styleId="DefaultChar">
    <w:name w:val="Default Char"/>
    <w:link w:val="Default"/>
    <w:rsid w:val="00CF263F"/>
    <w:rPr>
      <w:rFonts w:ascii="Arial" w:eastAsia="Calibri" w:hAnsi="Arial" w:cs="Arial"/>
      <w:color w:val="000000"/>
      <w:sz w:val="24"/>
      <w:szCs w:val="24"/>
      <w:lang w:eastAsia="en-US"/>
    </w:rPr>
  </w:style>
  <w:style w:type="character" w:styleId="Emphasis">
    <w:name w:val="Emphasis"/>
    <w:uiPriority w:val="20"/>
    <w:qFormat/>
    <w:rsid w:val="00CF263F"/>
    <w:rPr>
      <w:b w:val="0"/>
      <w:i/>
      <w:iCs/>
    </w:rPr>
  </w:style>
  <w:style w:type="paragraph" w:styleId="NoSpacing">
    <w:name w:val="No Spacing"/>
    <w:aliases w:val="Main text,Title Page text"/>
    <w:link w:val="NoSpacingChar"/>
    <w:uiPriority w:val="1"/>
    <w:qFormat/>
    <w:rsid w:val="009E2A86"/>
    <w:pPr>
      <w:spacing w:line="360" w:lineRule="auto"/>
      <w:jc w:val="both"/>
    </w:pPr>
    <w:rPr>
      <w:rFonts w:ascii="Garamond" w:hAnsi="Garamond"/>
      <w:sz w:val="22"/>
      <w:lang w:eastAsia="en-US"/>
    </w:rPr>
  </w:style>
  <w:style w:type="character" w:customStyle="1" w:styleId="NoSpacingChar">
    <w:name w:val="No Spacing Char"/>
    <w:aliases w:val="Main text Char,Title Page text Char"/>
    <w:link w:val="NoSpacing"/>
    <w:uiPriority w:val="1"/>
    <w:rsid w:val="009E2A86"/>
    <w:rPr>
      <w:rFonts w:ascii="Garamond" w:hAnsi="Garamond"/>
      <w:sz w:val="22"/>
      <w:lang w:eastAsia="en-US"/>
    </w:rPr>
  </w:style>
  <w:style w:type="paragraph" w:customStyle="1" w:styleId="Tabletext0">
    <w:name w:val="Table text"/>
    <w:basedOn w:val="Normal"/>
    <w:link w:val="TabletextChar0"/>
    <w:uiPriority w:val="99"/>
    <w:qFormat/>
    <w:rsid w:val="00116744"/>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116744"/>
    <w:rPr>
      <w:rFonts w:ascii="Arial Narrow" w:hAnsi="Arial Narrow"/>
      <w:szCs w:val="22"/>
      <w:lang w:eastAsia="en-US"/>
    </w:rPr>
  </w:style>
  <w:style w:type="paragraph" w:customStyle="1" w:styleId="TableFigNoteLast">
    <w:name w:val="TableFigNote Last"/>
    <w:basedOn w:val="Normal"/>
    <w:qFormat/>
    <w:rsid w:val="006A783C"/>
    <w:pPr>
      <w:spacing w:after="360"/>
      <w:contextualSpacing/>
      <w:jc w:val="left"/>
    </w:pPr>
    <w:rPr>
      <w:rFonts w:ascii="Garamond" w:eastAsia="Calibri" w:hAnsi="Garamond" w:cs="Times New Roman"/>
      <w:sz w:val="18"/>
      <w:szCs w:val="22"/>
      <w:lang w:val="en-US" w:eastAsia="en-US"/>
    </w:rPr>
  </w:style>
  <w:style w:type="paragraph" w:customStyle="1" w:styleId="TableFooter">
    <w:name w:val="Table Footer"/>
    <w:basedOn w:val="Normal"/>
    <w:link w:val="TableFooterChar"/>
    <w:qFormat/>
    <w:rsid w:val="00781CF6"/>
    <w:pPr>
      <w:widowControl w:val="0"/>
    </w:pPr>
    <w:rPr>
      <w:rFonts w:ascii="Arial Narrow" w:hAnsi="Arial Narrow"/>
      <w:snapToGrid w:val="0"/>
      <w:sz w:val="18"/>
      <w:szCs w:val="22"/>
      <w:lang w:eastAsia="en-US"/>
    </w:rPr>
  </w:style>
  <w:style w:type="character" w:customStyle="1" w:styleId="TableFooterChar">
    <w:name w:val="Table Footer Char"/>
    <w:link w:val="TableFooter"/>
    <w:rsid w:val="00781CF6"/>
    <w:rPr>
      <w:rFonts w:ascii="Arial Narrow" w:hAnsi="Arial Narrow" w:cs="Arial"/>
      <w:snapToGrid w:val="0"/>
      <w:sz w:val="18"/>
      <w:szCs w:val="22"/>
      <w:lang w:eastAsia="en-US"/>
    </w:rPr>
  </w:style>
  <w:style w:type="paragraph" w:styleId="TOC4">
    <w:name w:val="toc 4"/>
    <w:basedOn w:val="Normal"/>
    <w:next w:val="Normal"/>
    <w:autoRedefine/>
    <w:uiPriority w:val="39"/>
    <w:unhideWhenUsed/>
    <w:rsid w:val="001544A3"/>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544A3"/>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544A3"/>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544A3"/>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544A3"/>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544A3"/>
    <w:pPr>
      <w:spacing w:after="100" w:line="259" w:lineRule="auto"/>
      <w:ind w:left="1760"/>
      <w:jc w:val="left"/>
    </w:pPr>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1"/>
    <w:rsid w:val="00372F7C"/>
    <w:rPr>
      <w:rFonts w:ascii="Calibri" w:hAnsi="Calibri" w:cs="Arial"/>
      <w:b/>
      <w:caps/>
      <w:sz w:val="32"/>
      <w:szCs w:val="24"/>
    </w:rPr>
  </w:style>
  <w:style w:type="character" w:customStyle="1" w:styleId="Heading3Char">
    <w:name w:val="Heading 3 Char"/>
    <w:basedOn w:val="DefaultParagraphFont"/>
    <w:link w:val="Heading3"/>
    <w:rsid w:val="00372F7C"/>
    <w:rPr>
      <w:rFonts w:ascii="Calibri" w:hAnsi="Calibri" w:cs="Arial"/>
      <w:sz w:val="24"/>
      <w:szCs w:val="24"/>
      <w:u w:val="single"/>
    </w:rPr>
  </w:style>
  <w:style w:type="character" w:customStyle="1" w:styleId="Heading4Char">
    <w:name w:val="Heading 4 Char"/>
    <w:basedOn w:val="DefaultParagraphFont"/>
    <w:link w:val="Heading4"/>
    <w:rsid w:val="00372F7C"/>
    <w:rPr>
      <w:rFonts w:ascii="Calibri" w:hAnsi="Calibri" w:cs="Arial"/>
      <w:b/>
      <w:bCs/>
      <w:i/>
      <w:sz w:val="26"/>
      <w:szCs w:val="28"/>
    </w:rPr>
  </w:style>
  <w:style w:type="character" w:customStyle="1" w:styleId="Heading5Char">
    <w:name w:val="Heading 5 Char"/>
    <w:basedOn w:val="DefaultParagraphFont"/>
    <w:link w:val="Heading5"/>
    <w:rsid w:val="00372F7C"/>
    <w:rPr>
      <w:rFonts w:ascii="Calibri" w:hAnsi="Calibri" w:cs="Arial"/>
      <w:b/>
      <w:bCs/>
      <w:iCs/>
      <w:sz w:val="26"/>
      <w:szCs w:val="26"/>
    </w:rPr>
  </w:style>
  <w:style w:type="character" w:customStyle="1" w:styleId="Heading6Char">
    <w:name w:val="Heading 6 Char"/>
    <w:basedOn w:val="DefaultParagraphFont"/>
    <w:link w:val="Heading6"/>
    <w:rsid w:val="00372F7C"/>
    <w:rPr>
      <w:rFonts w:ascii="Calibri" w:hAnsi="Calibri" w:cs="Arial"/>
      <w:b/>
      <w:bCs/>
      <w:i/>
      <w:sz w:val="24"/>
      <w:szCs w:val="24"/>
    </w:rPr>
  </w:style>
  <w:style w:type="paragraph" w:customStyle="1" w:styleId="msonormal0">
    <w:name w:val="msonormal"/>
    <w:basedOn w:val="Normal"/>
    <w:uiPriority w:val="99"/>
    <w:rsid w:val="00372F7C"/>
    <w:pPr>
      <w:spacing w:before="100" w:beforeAutospacing="1" w:after="100" w:afterAutospacing="1"/>
      <w:jc w:val="left"/>
    </w:pPr>
    <w:rPr>
      <w:rFonts w:ascii="Times New Roman" w:hAnsi="Times New Roman" w:cs="Times New Roman"/>
    </w:rPr>
  </w:style>
  <w:style w:type="paragraph" w:styleId="NormalWeb">
    <w:name w:val="Normal (Web)"/>
    <w:basedOn w:val="Normal"/>
    <w:uiPriority w:val="99"/>
    <w:semiHidden/>
    <w:unhideWhenUsed/>
    <w:rsid w:val="00372F7C"/>
    <w:pPr>
      <w:spacing w:before="100" w:beforeAutospacing="1" w:after="100" w:afterAutospacing="1"/>
      <w:jc w:val="left"/>
    </w:pPr>
    <w:rPr>
      <w:rFonts w:ascii="Times New Roman" w:hAnsi="Times New Roman" w:cs="Times New Roman"/>
    </w:rPr>
  </w:style>
  <w:style w:type="table" w:customStyle="1" w:styleId="TableGridbeth2">
    <w:name w:val="Table Gridbeth2"/>
    <w:basedOn w:val="TableNormal"/>
    <w:uiPriority w:val="59"/>
    <w:rsid w:val="00372F7C"/>
    <w:rPr>
      <w:rFonts w:ascii="Arial Narrow" w:hAnsi="Arial Narro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link w:val="TablefootnoteChar"/>
    <w:uiPriority w:val="99"/>
    <w:qFormat/>
    <w:rsid w:val="00D91D6F"/>
    <w:pPr>
      <w:keepNext/>
      <w:keepLines/>
      <w:spacing w:after="240"/>
      <w:jc w:val="left"/>
    </w:pPr>
    <w:rPr>
      <w:rFonts w:ascii="Arial Narrow" w:hAnsi="Arial Narrow" w:cs="Times New Roman"/>
      <w:sz w:val="16"/>
      <w:szCs w:val="22"/>
      <w:lang w:eastAsia="en-US"/>
    </w:rPr>
  </w:style>
  <w:style w:type="character" w:customStyle="1" w:styleId="TablefootnoteChar">
    <w:name w:val="Table footnote Char"/>
    <w:link w:val="Tablefootnote"/>
    <w:uiPriority w:val="99"/>
    <w:rsid w:val="00D91D6F"/>
    <w:rPr>
      <w:rFonts w:ascii="Arial Narrow" w:hAnsi="Arial Narrow"/>
      <w:sz w:val="16"/>
      <w:szCs w:val="22"/>
      <w:lang w:eastAsia="en-US"/>
    </w:rPr>
  </w:style>
  <w:style w:type="table" w:customStyle="1" w:styleId="TableGrid1">
    <w:name w:val="Table Grid1"/>
    <w:basedOn w:val="TableNormal"/>
    <w:next w:val="TableGrid"/>
    <w:uiPriority w:val="39"/>
    <w:rsid w:val="005008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2743C5"/>
    <w:pPr>
      <w:ind w:left="720" w:hanging="720"/>
      <w:outlineLvl w:val="0"/>
    </w:pPr>
    <w:rPr>
      <w:rFonts w:ascii="Calibri" w:hAnsi="Calibri" w:cs="Arial"/>
      <w:b/>
      <w:snapToGrid w:val="0"/>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2030">
      <w:bodyDiv w:val="1"/>
      <w:marLeft w:val="0"/>
      <w:marRight w:val="0"/>
      <w:marTop w:val="0"/>
      <w:marBottom w:val="0"/>
      <w:divBdr>
        <w:top w:val="none" w:sz="0" w:space="0" w:color="auto"/>
        <w:left w:val="none" w:sz="0" w:space="0" w:color="auto"/>
        <w:bottom w:val="none" w:sz="0" w:space="0" w:color="auto"/>
        <w:right w:val="none" w:sz="0" w:space="0" w:color="auto"/>
      </w:divBdr>
    </w:div>
    <w:div w:id="4738883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279749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6148300">
      <w:bodyDiv w:val="1"/>
      <w:marLeft w:val="0"/>
      <w:marRight w:val="0"/>
      <w:marTop w:val="0"/>
      <w:marBottom w:val="0"/>
      <w:divBdr>
        <w:top w:val="none" w:sz="0" w:space="0" w:color="auto"/>
        <w:left w:val="none" w:sz="0" w:space="0" w:color="auto"/>
        <w:bottom w:val="none" w:sz="0" w:space="0" w:color="auto"/>
        <w:right w:val="none" w:sz="0" w:space="0" w:color="auto"/>
      </w:divBdr>
      <w:divsChild>
        <w:div w:id="1648195665">
          <w:marLeft w:val="360"/>
          <w:marRight w:val="0"/>
          <w:marTop w:val="200"/>
          <w:marBottom w:val="0"/>
          <w:divBdr>
            <w:top w:val="none" w:sz="0" w:space="0" w:color="auto"/>
            <w:left w:val="none" w:sz="0" w:space="0" w:color="auto"/>
            <w:bottom w:val="none" w:sz="0" w:space="0" w:color="auto"/>
            <w:right w:val="none" w:sz="0" w:space="0" w:color="auto"/>
          </w:divBdr>
        </w:div>
        <w:div w:id="1110779856">
          <w:marLeft w:val="360"/>
          <w:marRight w:val="0"/>
          <w:marTop w:val="200"/>
          <w:marBottom w:val="0"/>
          <w:divBdr>
            <w:top w:val="none" w:sz="0" w:space="0" w:color="auto"/>
            <w:left w:val="none" w:sz="0" w:space="0" w:color="auto"/>
            <w:bottom w:val="none" w:sz="0" w:space="0" w:color="auto"/>
            <w:right w:val="none" w:sz="0" w:space="0" w:color="auto"/>
          </w:divBdr>
        </w:div>
        <w:div w:id="1083188614">
          <w:marLeft w:val="360"/>
          <w:marRight w:val="0"/>
          <w:marTop w:val="200"/>
          <w:marBottom w:val="0"/>
          <w:divBdr>
            <w:top w:val="none" w:sz="0" w:space="0" w:color="auto"/>
            <w:left w:val="none" w:sz="0" w:space="0" w:color="auto"/>
            <w:bottom w:val="none" w:sz="0" w:space="0" w:color="auto"/>
            <w:right w:val="none" w:sz="0" w:space="0" w:color="auto"/>
          </w:divBdr>
        </w:div>
      </w:divsChild>
    </w:div>
    <w:div w:id="186530685">
      <w:bodyDiv w:val="1"/>
      <w:marLeft w:val="0"/>
      <w:marRight w:val="0"/>
      <w:marTop w:val="0"/>
      <w:marBottom w:val="0"/>
      <w:divBdr>
        <w:top w:val="none" w:sz="0" w:space="0" w:color="auto"/>
        <w:left w:val="none" w:sz="0" w:space="0" w:color="auto"/>
        <w:bottom w:val="none" w:sz="0" w:space="0" w:color="auto"/>
        <w:right w:val="none" w:sz="0" w:space="0" w:color="auto"/>
      </w:divBdr>
      <w:divsChild>
        <w:div w:id="681662943">
          <w:marLeft w:val="360"/>
          <w:marRight w:val="0"/>
          <w:marTop w:val="200"/>
          <w:marBottom w:val="0"/>
          <w:divBdr>
            <w:top w:val="none" w:sz="0" w:space="0" w:color="auto"/>
            <w:left w:val="none" w:sz="0" w:space="0" w:color="auto"/>
            <w:bottom w:val="none" w:sz="0" w:space="0" w:color="auto"/>
            <w:right w:val="none" w:sz="0" w:space="0" w:color="auto"/>
          </w:divBdr>
        </w:div>
        <w:div w:id="1397586415">
          <w:marLeft w:val="1080"/>
          <w:marRight w:val="0"/>
          <w:marTop w:val="100"/>
          <w:marBottom w:val="0"/>
          <w:divBdr>
            <w:top w:val="none" w:sz="0" w:space="0" w:color="auto"/>
            <w:left w:val="none" w:sz="0" w:space="0" w:color="auto"/>
            <w:bottom w:val="none" w:sz="0" w:space="0" w:color="auto"/>
            <w:right w:val="none" w:sz="0" w:space="0" w:color="auto"/>
          </w:divBdr>
        </w:div>
        <w:div w:id="851575124">
          <w:marLeft w:val="1080"/>
          <w:marRight w:val="0"/>
          <w:marTop w:val="100"/>
          <w:marBottom w:val="0"/>
          <w:divBdr>
            <w:top w:val="none" w:sz="0" w:space="0" w:color="auto"/>
            <w:left w:val="none" w:sz="0" w:space="0" w:color="auto"/>
            <w:bottom w:val="none" w:sz="0" w:space="0" w:color="auto"/>
            <w:right w:val="none" w:sz="0" w:space="0" w:color="auto"/>
          </w:divBdr>
        </w:div>
        <w:div w:id="59839343">
          <w:marLeft w:val="1080"/>
          <w:marRight w:val="0"/>
          <w:marTop w:val="100"/>
          <w:marBottom w:val="0"/>
          <w:divBdr>
            <w:top w:val="none" w:sz="0" w:space="0" w:color="auto"/>
            <w:left w:val="none" w:sz="0" w:space="0" w:color="auto"/>
            <w:bottom w:val="none" w:sz="0" w:space="0" w:color="auto"/>
            <w:right w:val="none" w:sz="0" w:space="0" w:color="auto"/>
          </w:divBdr>
        </w:div>
        <w:div w:id="1309020043">
          <w:marLeft w:val="1080"/>
          <w:marRight w:val="0"/>
          <w:marTop w:val="100"/>
          <w:marBottom w:val="0"/>
          <w:divBdr>
            <w:top w:val="none" w:sz="0" w:space="0" w:color="auto"/>
            <w:left w:val="none" w:sz="0" w:space="0" w:color="auto"/>
            <w:bottom w:val="none" w:sz="0" w:space="0" w:color="auto"/>
            <w:right w:val="none" w:sz="0" w:space="0" w:color="auto"/>
          </w:divBdr>
        </w:div>
        <w:div w:id="591359463">
          <w:marLeft w:val="360"/>
          <w:marRight w:val="0"/>
          <w:marTop w:val="200"/>
          <w:marBottom w:val="0"/>
          <w:divBdr>
            <w:top w:val="none" w:sz="0" w:space="0" w:color="auto"/>
            <w:left w:val="none" w:sz="0" w:space="0" w:color="auto"/>
            <w:bottom w:val="none" w:sz="0" w:space="0" w:color="auto"/>
            <w:right w:val="none" w:sz="0" w:space="0" w:color="auto"/>
          </w:divBdr>
        </w:div>
        <w:div w:id="505558354">
          <w:marLeft w:val="1080"/>
          <w:marRight w:val="0"/>
          <w:marTop w:val="100"/>
          <w:marBottom w:val="0"/>
          <w:divBdr>
            <w:top w:val="none" w:sz="0" w:space="0" w:color="auto"/>
            <w:left w:val="none" w:sz="0" w:space="0" w:color="auto"/>
            <w:bottom w:val="none" w:sz="0" w:space="0" w:color="auto"/>
            <w:right w:val="none" w:sz="0" w:space="0" w:color="auto"/>
          </w:divBdr>
        </w:div>
        <w:div w:id="2017658401">
          <w:marLeft w:val="1080"/>
          <w:marRight w:val="0"/>
          <w:marTop w:val="100"/>
          <w:marBottom w:val="0"/>
          <w:divBdr>
            <w:top w:val="none" w:sz="0" w:space="0" w:color="auto"/>
            <w:left w:val="none" w:sz="0" w:space="0" w:color="auto"/>
            <w:bottom w:val="none" w:sz="0" w:space="0" w:color="auto"/>
            <w:right w:val="none" w:sz="0" w:space="0" w:color="auto"/>
          </w:divBdr>
        </w:div>
        <w:div w:id="2110664142">
          <w:marLeft w:val="1080"/>
          <w:marRight w:val="0"/>
          <w:marTop w:val="100"/>
          <w:marBottom w:val="0"/>
          <w:divBdr>
            <w:top w:val="none" w:sz="0" w:space="0" w:color="auto"/>
            <w:left w:val="none" w:sz="0" w:space="0" w:color="auto"/>
            <w:bottom w:val="none" w:sz="0" w:space="0" w:color="auto"/>
            <w:right w:val="none" w:sz="0" w:space="0" w:color="auto"/>
          </w:divBdr>
        </w:div>
        <w:div w:id="1276642912">
          <w:marLeft w:val="1080"/>
          <w:marRight w:val="0"/>
          <w:marTop w:val="100"/>
          <w:marBottom w:val="0"/>
          <w:divBdr>
            <w:top w:val="none" w:sz="0" w:space="0" w:color="auto"/>
            <w:left w:val="none" w:sz="0" w:space="0" w:color="auto"/>
            <w:bottom w:val="none" w:sz="0" w:space="0" w:color="auto"/>
            <w:right w:val="none" w:sz="0" w:space="0" w:color="auto"/>
          </w:divBdr>
        </w:div>
      </w:divsChild>
    </w:div>
    <w:div w:id="200899826">
      <w:bodyDiv w:val="1"/>
      <w:marLeft w:val="0"/>
      <w:marRight w:val="0"/>
      <w:marTop w:val="0"/>
      <w:marBottom w:val="0"/>
      <w:divBdr>
        <w:top w:val="none" w:sz="0" w:space="0" w:color="auto"/>
        <w:left w:val="none" w:sz="0" w:space="0" w:color="auto"/>
        <w:bottom w:val="none" w:sz="0" w:space="0" w:color="auto"/>
        <w:right w:val="none" w:sz="0" w:space="0" w:color="auto"/>
      </w:divBdr>
    </w:div>
    <w:div w:id="240716930">
      <w:bodyDiv w:val="1"/>
      <w:marLeft w:val="0"/>
      <w:marRight w:val="0"/>
      <w:marTop w:val="0"/>
      <w:marBottom w:val="0"/>
      <w:divBdr>
        <w:top w:val="none" w:sz="0" w:space="0" w:color="auto"/>
        <w:left w:val="none" w:sz="0" w:space="0" w:color="auto"/>
        <w:bottom w:val="none" w:sz="0" w:space="0" w:color="auto"/>
        <w:right w:val="none" w:sz="0" w:space="0" w:color="auto"/>
      </w:divBdr>
      <w:divsChild>
        <w:div w:id="926227108">
          <w:marLeft w:val="360"/>
          <w:marRight w:val="0"/>
          <w:marTop w:val="200"/>
          <w:marBottom w:val="0"/>
          <w:divBdr>
            <w:top w:val="none" w:sz="0" w:space="0" w:color="auto"/>
            <w:left w:val="none" w:sz="0" w:space="0" w:color="auto"/>
            <w:bottom w:val="none" w:sz="0" w:space="0" w:color="auto"/>
            <w:right w:val="none" w:sz="0" w:space="0" w:color="auto"/>
          </w:divBdr>
        </w:div>
      </w:divsChild>
    </w:div>
    <w:div w:id="241641139">
      <w:bodyDiv w:val="1"/>
      <w:marLeft w:val="0"/>
      <w:marRight w:val="0"/>
      <w:marTop w:val="0"/>
      <w:marBottom w:val="0"/>
      <w:divBdr>
        <w:top w:val="none" w:sz="0" w:space="0" w:color="auto"/>
        <w:left w:val="none" w:sz="0" w:space="0" w:color="auto"/>
        <w:bottom w:val="none" w:sz="0" w:space="0" w:color="auto"/>
        <w:right w:val="none" w:sz="0" w:space="0" w:color="auto"/>
      </w:divBdr>
    </w:div>
    <w:div w:id="28288305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4887218">
      <w:bodyDiv w:val="1"/>
      <w:marLeft w:val="0"/>
      <w:marRight w:val="0"/>
      <w:marTop w:val="0"/>
      <w:marBottom w:val="0"/>
      <w:divBdr>
        <w:top w:val="none" w:sz="0" w:space="0" w:color="auto"/>
        <w:left w:val="none" w:sz="0" w:space="0" w:color="auto"/>
        <w:bottom w:val="none" w:sz="0" w:space="0" w:color="auto"/>
        <w:right w:val="none" w:sz="0" w:space="0" w:color="auto"/>
      </w:divBdr>
    </w:div>
    <w:div w:id="440421929">
      <w:bodyDiv w:val="1"/>
      <w:marLeft w:val="0"/>
      <w:marRight w:val="0"/>
      <w:marTop w:val="0"/>
      <w:marBottom w:val="0"/>
      <w:divBdr>
        <w:top w:val="none" w:sz="0" w:space="0" w:color="auto"/>
        <w:left w:val="none" w:sz="0" w:space="0" w:color="auto"/>
        <w:bottom w:val="none" w:sz="0" w:space="0" w:color="auto"/>
        <w:right w:val="none" w:sz="0" w:space="0" w:color="auto"/>
      </w:divBdr>
    </w:div>
    <w:div w:id="769356174">
      <w:bodyDiv w:val="1"/>
      <w:marLeft w:val="0"/>
      <w:marRight w:val="0"/>
      <w:marTop w:val="0"/>
      <w:marBottom w:val="0"/>
      <w:divBdr>
        <w:top w:val="none" w:sz="0" w:space="0" w:color="auto"/>
        <w:left w:val="none" w:sz="0" w:space="0" w:color="auto"/>
        <w:bottom w:val="none" w:sz="0" w:space="0" w:color="auto"/>
        <w:right w:val="none" w:sz="0" w:space="0" w:color="auto"/>
      </w:divBdr>
    </w:div>
    <w:div w:id="790510930">
      <w:bodyDiv w:val="1"/>
      <w:marLeft w:val="0"/>
      <w:marRight w:val="0"/>
      <w:marTop w:val="0"/>
      <w:marBottom w:val="0"/>
      <w:divBdr>
        <w:top w:val="none" w:sz="0" w:space="0" w:color="auto"/>
        <w:left w:val="none" w:sz="0" w:space="0" w:color="auto"/>
        <w:bottom w:val="none" w:sz="0" w:space="0" w:color="auto"/>
        <w:right w:val="none" w:sz="0" w:space="0" w:color="auto"/>
      </w:divBdr>
      <w:divsChild>
        <w:div w:id="2064984582">
          <w:marLeft w:val="360"/>
          <w:marRight w:val="0"/>
          <w:marTop w:val="200"/>
          <w:marBottom w:val="0"/>
          <w:divBdr>
            <w:top w:val="none" w:sz="0" w:space="0" w:color="auto"/>
            <w:left w:val="none" w:sz="0" w:space="0" w:color="auto"/>
            <w:bottom w:val="none" w:sz="0" w:space="0" w:color="auto"/>
            <w:right w:val="none" w:sz="0" w:space="0" w:color="auto"/>
          </w:divBdr>
        </w:div>
      </w:divsChild>
    </w:div>
    <w:div w:id="825707244">
      <w:bodyDiv w:val="1"/>
      <w:marLeft w:val="0"/>
      <w:marRight w:val="0"/>
      <w:marTop w:val="0"/>
      <w:marBottom w:val="0"/>
      <w:divBdr>
        <w:top w:val="none" w:sz="0" w:space="0" w:color="auto"/>
        <w:left w:val="none" w:sz="0" w:space="0" w:color="auto"/>
        <w:bottom w:val="none" w:sz="0" w:space="0" w:color="auto"/>
        <w:right w:val="none" w:sz="0" w:space="0" w:color="auto"/>
      </w:divBdr>
    </w:div>
    <w:div w:id="861938428">
      <w:bodyDiv w:val="1"/>
      <w:marLeft w:val="0"/>
      <w:marRight w:val="0"/>
      <w:marTop w:val="0"/>
      <w:marBottom w:val="0"/>
      <w:divBdr>
        <w:top w:val="none" w:sz="0" w:space="0" w:color="auto"/>
        <w:left w:val="none" w:sz="0" w:space="0" w:color="auto"/>
        <w:bottom w:val="none" w:sz="0" w:space="0" w:color="auto"/>
        <w:right w:val="none" w:sz="0" w:space="0" w:color="auto"/>
      </w:divBdr>
    </w:div>
    <w:div w:id="863251384">
      <w:bodyDiv w:val="1"/>
      <w:marLeft w:val="0"/>
      <w:marRight w:val="0"/>
      <w:marTop w:val="0"/>
      <w:marBottom w:val="0"/>
      <w:divBdr>
        <w:top w:val="none" w:sz="0" w:space="0" w:color="auto"/>
        <w:left w:val="none" w:sz="0" w:space="0" w:color="auto"/>
        <w:bottom w:val="none" w:sz="0" w:space="0" w:color="auto"/>
        <w:right w:val="none" w:sz="0" w:space="0" w:color="auto"/>
      </w:divBdr>
    </w:div>
    <w:div w:id="903414677">
      <w:bodyDiv w:val="1"/>
      <w:marLeft w:val="0"/>
      <w:marRight w:val="0"/>
      <w:marTop w:val="0"/>
      <w:marBottom w:val="0"/>
      <w:divBdr>
        <w:top w:val="none" w:sz="0" w:space="0" w:color="auto"/>
        <w:left w:val="none" w:sz="0" w:space="0" w:color="auto"/>
        <w:bottom w:val="none" w:sz="0" w:space="0" w:color="auto"/>
        <w:right w:val="none" w:sz="0" w:space="0" w:color="auto"/>
      </w:divBdr>
      <w:divsChild>
        <w:div w:id="1590770930">
          <w:marLeft w:val="360"/>
          <w:marRight w:val="0"/>
          <w:marTop w:val="200"/>
          <w:marBottom w:val="0"/>
          <w:divBdr>
            <w:top w:val="none" w:sz="0" w:space="0" w:color="auto"/>
            <w:left w:val="none" w:sz="0" w:space="0" w:color="auto"/>
            <w:bottom w:val="none" w:sz="0" w:space="0" w:color="auto"/>
            <w:right w:val="none" w:sz="0" w:space="0" w:color="auto"/>
          </w:divBdr>
        </w:div>
      </w:divsChild>
    </w:div>
    <w:div w:id="940340690">
      <w:bodyDiv w:val="1"/>
      <w:marLeft w:val="0"/>
      <w:marRight w:val="0"/>
      <w:marTop w:val="0"/>
      <w:marBottom w:val="0"/>
      <w:divBdr>
        <w:top w:val="none" w:sz="0" w:space="0" w:color="auto"/>
        <w:left w:val="none" w:sz="0" w:space="0" w:color="auto"/>
        <w:bottom w:val="none" w:sz="0" w:space="0" w:color="auto"/>
        <w:right w:val="none" w:sz="0" w:space="0" w:color="auto"/>
      </w:divBdr>
    </w:div>
    <w:div w:id="988021379">
      <w:bodyDiv w:val="1"/>
      <w:marLeft w:val="0"/>
      <w:marRight w:val="0"/>
      <w:marTop w:val="0"/>
      <w:marBottom w:val="0"/>
      <w:divBdr>
        <w:top w:val="none" w:sz="0" w:space="0" w:color="auto"/>
        <w:left w:val="none" w:sz="0" w:space="0" w:color="auto"/>
        <w:bottom w:val="none" w:sz="0" w:space="0" w:color="auto"/>
        <w:right w:val="none" w:sz="0" w:space="0" w:color="auto"/>
      </w:divBdr>
      <w:divsChild>
        <w:div w:id="410322138">
          <w:marLeft w:val="360"/>
          <w:marRight w:val="0"/>
          <w:marTop w:val="200"/>
          <w:marBottom w:val="0"/>
          <w:divBdr>
            <w:top w:val="none" w:sz="0" w:space="0" w:color="auto"/>
            <w:left w:val="none" w:sz="0" w:space="0" w:color="auto"/>
            <w:bottom w:val="none" w:sz="0" w:space="0" w:color="auto"/>
            <w:right w:val="none" w:sz="0" w:space="0" w:color="auto"/>
          </w:divBdr>
        </w:div>
      </w:divsChild>
    </w:div>
    <w:div w:id="1042561769">
      <w:bodyDiv w:val="1"/>
      <w:marLeft w:val="0"/>
      <w:marRight w:val="0"/>
      <w:marTop w:val="0"/>
      <w:marBottom w:val="0"/>
      <w:divBdr>
        <w:top w:val="none" w:sz="0" w:space="0" w:color="auto"/>
        <w:left w:val="none" w:sz="0" w:space="0" w:color="auto"/>
        <w:bottom w:val="none" w:sz="0" w:space="0" w:color="auto"/>
        <w:right w:val="none" w:sz="0" w:space="0" w:color="auto"/>
      </w:divBdr>
      <w:divsChild>
        <w:div w:id="936450158">
          <w:marLeft w:val="360"/>
          <w:marRight w:val="0"/>
          <w:marTop w:val="200"/>
          <w:marBottom w:val="0"/>
          <w:divBdr>
            <w:top w:val="none" w:sz="0" w:space="0" w:color="auto"/>
            <w:left w:val="none" w:sz="0" w:space="0" w:color="auto"/>
            <w:bottom w:val="none" w:sz="0" w:space="0" w:color="auto"/>
            <w:right w:val="none" w:sz="0" w:space="0" w:color="auto"/>
          </w:divBdr>
        </w:div>
      </w:divsChild>
    </w:div>
    <w:div w:id="1049183315">
      <w:bodyDiv w:val="1"/>
      <w:marLeft w:val="0"/>
      <w:marRight w:val="0"/>
      <w:marTop w:val="0"/>
      <w:marBottom w:val="0"/>
      <w:divBdr>
        <w:top w:val="none" w:sz="0" w:space="0" w:color="auto"/>
        <w:left w:val="none" w:sz="0" w:space="0" w:color="auto"/>
        <w:bottom w:val="none" w:sz="0" w:space="0" w:color="auto"/>
        <w:right w:val="none" w:sz="0" w:space="0" w:color="auto"/>
      </w:divBdr>
    </w:div>
    <w:div w:id="1065449312">
      <w:bodyDiv w:val="1"/>
      <w:marLeft w:val="0"/>
      <w:marRight w:val="0"/>
      <w:marTop w:val="0"/>
      <w:marBottom w:val="0"/>
      <w:divBdr>
        <w:top w:val="none" w:sz="0" w:space="0" w:color="auto"/>
        <w:left w:val="none" w:sz="0" w:space="0" w:color="auto"/>
        <w:bottom w:val="none" w:sz="0" w:space="0" w:color="auto"/>
        <w:right w:val="none" w:sz="0" w:space="0" w:color="auto"/>
      </w:divBdr>
    </w:div>
    <w:div w:id="1121267228">
      <w:bodyDiv w:val="1"/>
      <w:marLeft w:val="0"/>
      <w:marRight w:val="0"/>
      <w:marTop w:val="0"/>
      <w:marBottom w:val="0"/>
      <w:divBdr>
        <w:top w:val="none" w:sz="0" w:space="0" w:color="auto"/>
        <w:left w:val="none" w:sz="0" w:space="0" w:color="auto"/>
        <w:bottom w:val="none" w:sz="0" w:space="0" w:color="auto"/>
        <w:right w:val="none" w:sz="0" w:space="0" w:color="auto"/>
      </w:divBdr>
    </w:div>
    <w:div w:id="1143619182">
      <w:bodyDiv w:val="1"/>
      <w:marLeft w:val="0"/>
      <w:marRight w:val="0"/>
      <w:marTop w:val="0"/>
      <w:marBottom w:val="0"/>
      <w:divBdr>
        <w:top w:val="none" w:sz="0" w:space="0" w:color="auto"/>
        <w:left w:val="none" w:sz="0" w:space="0" w:color="auto"/>
        <w:bottom w:val="none" w:sz="0" w:space="0" w:color="auto"/>
        <w:right w:val="none" w:sz="0" w:space="0" w:color="auto"/>
      </w:divBdr>
    </w:div>
    <w:div w:id="116728480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8693">
      <w:bodyDiv w:val="1"/>
      <w:marLeft w:val="0"/>
      <w:marRight w:val="0"/>
      <w:marTop w:val="0"/>
      <w:marBottom w:val="0"/>
      <w:divBdr>
        <w:top w:val="none" w:sz="0" w:space="0" w:color="auto"/>
        <w:left w:val="none" w:sz="0" w:space="0" w:color="auto"/>
        <w:bottom w:val="none" w:sz="0" w:space="0" w:color="auto"/>
        <w:right w:val="none" w:sz="0" w:space="0" w:color="auto"/>
      </w:divBdr>
    </w:div>
    <w:div w:id="1371614172">
      <w:bodyDiv w:val="1"/>
      <w:marLeft w:val="0"/>
      <w:marRight w:val="0"/>
      <w:marTop w:val="0"/>
      <w:marBottom w:val="0"/>
      <w:divBdr>
        <w:top w:val="none" w:sz="0" w:space="0" w:color="auto"/>
        <w:left w:val="none" w:sz="0" w:space="0" w:color="auto"/>
        <w:bottom w:val="none" w:sz="0" w:space="0" w:color="auto"/>
        <w:right w:val="none" w:sz="0" w:space="0" w:color="auto"/>
      </w:divBdr>
      <w:divsChild>
        <w:div w:id="1950046807">
          <w:marLeft w:val="360"/>
          <w:marRight w:val="0"/>
          <w:marTop w:val="200"/>
          <w:marBottom w:val="0"/>
          <w:divBdr>
            <w:top w:val="none" w:sz="0" w:space="0" w:color="auto"/>
            <w:left w:val="none" w:sz="0" w:space="0" w:color="auto"/>
            <w:bottom w:val="none" w:sz="0" w:space="0" w:color="auto"/>
            <w:right w:val="none" w:sz="0" w:space="0" w:color="auto"/>
          </w:divBdr>
        </w:div>
        <w:div w:id="207303321">
          <w:marLeft w:val="360"/>
          <w:marRight w:val="0"/>
          <w:marTop w:val="200"/>
          <w:marBottom w:val="0"/>
          <w:divBdr>
            <w:top w:val="none" w:sz="0" w:space="0" w:color="auto"/>
            <w:left w:val="none" w:sz="0" w:space="0" w:color="auto"/>
            <w:bottom w:val="none" w:sz="0" w:space="0" w:color="auto"/>
            <w:right w:val="none" w:sz="0" w:space="0" w:color="auto"/>
          </w:divBdr>
        </w:div>
        <w:div w:id="496577037">
          <w:marLeft w:val="360"/>
          <w:marRight w:val="0"/>
          <w:marTop w:val="200"/>
          <w:marBottom w:val="0"/>
          <w:divBdr>
            <w:top w:val="none" w:sz="0" w:space="0" w:color="auto"/>
            <w:left w:val="none" w:sz="0" w:space="0" w:color="auto"/>
            <w:bottom w:val="none" w:sz="0" w:space="0" w:color="auto"/>
            <w:right w:val="none" w:sz="0" w:space="0" w:color="auto"/>
          </w:divBdr>
        </w:div>
      </w:divsChild>
    </w:div>
    <w:div w:id="1372799195">
      <w:bodyDiv w:val="1"/>
      <w:marLeft w:val="0"/>
      <w:marRight w:val="0"/>
      <w:marTop w:val="0"/>
      <w:marBottom w:val="0"/>
      <w:divBdr>
        <w:top w:val="none" w:sz="0" w:space="0" w:color="auto"/>
        <w:left w:val="none" w:sz="0" w:space="0" w:color="auto"/>
        <w:bottom w:val="none" w:sz="0" w:space="0" w:color="auto"/>
        <w:right w:val="none" w:sz="0" w:space="0" w:color="auto"/>
      </w:divBdr>
    </w:div>
    <w:div w:id="1415710004">
      <w:bodyDiv w:val="1"/>
      <w:marLeft w:val="0"/>
      <w:marRight w:val="0"/>
      <w:marTop w:val="0"/>
      <w:marBottom w:val="0"/>
      <w:divBdr>
        <w:top w:val="none" w:sz="0" w:space="0" w:color="auto"/>
        <w:left w:val="none" w:sz="0" w:space="0" w:color="auto"/>
        <w:bottom w:val="none" w:sz="0" w:space="0" w:color="auto"/>
        <w:right w:val="none" w:sz="0" w:space="0" w:color="auto"/>
      </w:divBdr>
    </w:div>
    <w:div w:id="1435396340">
      <w:bodyDiv w:val="1"/>
      <w:marLeft w:val="0"/>
      <w:marRight w:val="0"/>
      <w:marTop w:val="0"/>
      <w:marBottom w:val="0"/>
      <w:divBdr>
        <w:top w:val="none" w:sz="0" w:space="0" w:color="auto"/>
        <w:left w:val="none" w:sz="0" w:space="0" w:color="auto"/>
        <w:bottom w:val="none" w:sz="0" w:space="0" w:color="auto"/>
        <w:right w:val="none" w:sz="0" w:space="0" w:color="auto"/>
      </w:divBdr>
      <w:divsChild>
        <w:div w:id="567572140">
          <w:marLeft w:val="360"/>
          <w:marRight w:val="0"/>
          <w:marTop w:val="200"/>
          <w:marBottom w:val="0"/>
          <w:divBdr>
            <w:top w:val="none" w:sz="0" w:space="0" w:color="auto"/>
            <w:left w:val="none" w:sz="0" w:space="0" w:color="auto"/>
            <w:bottom w:val="none" w:sz="0" w:space="0" w:color="auto"/>
            <w:right w:val="none" w:sz="0" w:space="0" w:color="auto"/>
          </w:divBdr>
        </w:div>
      </w:divsChild>
    </w:div>
    <w:div w:id="1448039341">
      <w:bodyDiv w:val="1"/>
      <w:marLeft w:val="0"/>
      <w:marRight w:val="0"/>
      <w:marTop w:val="0"/>
      <w:marBottom w:val="0"/>
      <w:divBdr>
        <w:top w:val="none" w:sz="0" w:space="0" w:color="auto"/>
        <w:left w:val="none" w:sz="0" w:space="0" w:color="auto"/>
        <w:bottom w:val="none" w:sz="0" w:space="0" w:color="auto"/>
        <w:right w:val="none" w:sz="0" w:space="0" w:color="auto"/>
      </w:divBdr>
    </w:div>
    <w:div w:id="1464696704">
      <w:bodyDiv w:val="1"/>
      <w:marLeft w:val="0"/>
      <w:marRight w:val="0"/>
      <w:marTop w:val="0"/>
      <w:marBottom w:val="0"/>
      <w:divBdr>
        <w:top w:val="none" w:sz="0" w:space="0" w:color="auto"/>
        <w:left w:val="none" w:sz="0" w:space="0" w:color="auto"/>
        <w:bottom w:val="none" w:sz="0" w:space="0" w:color="auto"/>
        <w:right w:val="none" w:sz="0" w:space="0" w:color="auto"/>
      </w:divBdr>
      <w:divsChild>
        <w:div w:id="504828902">
          <w:marLeft w:val="360"/>
          <w:marRight w:val="0"/>
          <w:marTop w:val="200"/>
          <w:marBottom w:val="0"/>
          <w:divBdr>
            <w:top w:val="none" w:sz="0" w:space="0" w:color="auto"/>
            <w:left w:val="none" w:sz="0" w:space="0" w:color="auto"/>
            <w:bottom w:val="none" w:sz="0" w:space="0" w:color="auto"/>
            <w:right w:val="none" w:sz="0" w:space="0" w:color="auto"/>
          </w:divBdr>
        </w:div>
        <w:div w:id="1420129407">
          <w:marLeft w:val="360"/>
          <w:marRight w:val="0"/>
          <w:marTop w:val="200"/>
          <w:marBottom w:val="0"/>
          <w:divBdr>
            <w:top w:val="none" w:sz="0" w:space="0" w:color="auto"/>
            <w:left w:val="none" w:sz="0" w:space="0" w:color="auto"/>
            <w:bottom w:val="none" w:sz="0" w:space="0" w:color="auto"/>
            <w:right w:val="none" w:sz="0" w:space="0" w:color="auto"/>
          </w:divBdr>
        </w:div>
      </w:divsChild>
    </w:div>
    <w:div w:id="1488353894">
      <w:bodyDiv w:val="1"/>
      <w:marLeft w:val="0"/>
      <w:marRight w:val="0"/>
      <w:marTop w:val="0"/>
      <w:marBottom w:val="0"/>
      <w:divBdr>
        <w:top w:val="none" w:sz="0" w:space="0" w:color="auto"/>
        <w:left w:val="none" w:sz="0" w:space="0" w:color="auto"/>
        <w:bottom w:val="none" w:sz="0" w:space="0" w:color="auto"/>
        <w:right w:val="none" w:sz="0" w:space="0" w:color="auto"/>
      </w:divBdr>
    </w:div>
    <w:div w:id="1496456742">
      <w:bodyDiv w:val="1"/>
      <w:marLeft w:val="0"/>
      <w:marRight w:val="0"/>
      <w:marTop w:val="0"/>
      <w:marBottom w:val="0"/>
      <w:divBdr>
        <w:top w:val="none" w:sz="0" w:space="0" w:color="auto"/>
        <w:left w:val="none" w:sz="0" w:space="0" w:color="auto"/>
        <w:bottom w:val="none" w:sz="0" w:space="0" w:color="auto"/>
        <w:right w:val="none" w:sz="0" w:space="0" w:color="auto"/>
      </w:divBdr>
      <w:divsChild>
        <w:div w:id="1297838914">
          <w:marLeft w:val="360"/>
          <w:marRight w:val="0"/>
          <w:marTop w:val="200"/>
          <w:marBottom w:val="0"/>
          <w:divBdr>
            <w:top w:val="none" w:sz="0" w:space="0" w:color="auto"/>
            <w:left w:val="none" w:sz="0" w:space="0" w:color="auto"/>
            <w:bottom w:val="none" w:sz="0" w:space="0" w:color="auto"/>
            <w:right w:val="none" w:sz="0" w:space="0" w:color="auto"/>
          </w:divBdr>
        </w:div>
      </w:divsChild>
    </w:div>
    <w:div w:id="1557008102">
      <w:bodyDiv w:val="1"/>
      <w:marLeft w:val="0"/>
      <w:marRight w:val="0"/>
      <w:marTop w:val="0"/>
      <w:marBottom w:val="0"/>
      <w:divBdr>
        <w:top w:val="none" w:sz="0" w:space="0" w:color="auto"/>
        <w:left w:val="none" w:sz="0" w:space="0" w:color="auto"/>
        <w:bottom w:val="none" w:sz="0" w:space="0" w:color="auto"/>
        <w:right w:val="none" w:sz="0" w:space="0" w:color="auto"/>
      </w:divBdr>
      <w:divsChild>
        <w:div w:id="2130582412">
          <w:marLeft w:val="360"/>
          <w:marRight w:val="0"/>
          <w:marTop w:val="200"/>
          <w:marBottom w:val="0"/>
          <w:divBdr>
            <w:top w:val="none" w:sz="0" w:space="0" w:color="auto"/>
            <w:left w:val="none" w:sz="0" w:space="0" w:color="auto"/>
            <w:bottom w:val="none" w:sz="0" w:space="0" w:color="auto"/>
            <w:right w:val="none" w:sz="0" w:space="0" w:color="auto"/>
          </w:divBdr>
        </w:div>
      </w:divsChild>
    </w:div>
    <w:div w:id="1648624886">
      <w:bodyDiv w:val="1"/>
      <w:marLeft w:val="0"/>
      <w:marRight w:val="0"/>
      <w:marTop w:val="0"/>
      <w:marBottom w:val="0"/>
      <w:divBdr>
        <w:top w:val="none" w:sz="0" w:space="0" w:color="auto"/>
        <w:left w:val="none" w:sz="0" w:space="0" w:color="auto"/>
        <w:bottom w:val="none" w:sz="0" w:space="0" w:color="auto"/>
        <w:right w:val="none" w:sz="0" w:space="0" w:color="auto"/>
      </w:divBdr>
    </w:div>
    <w:div w:id="1675305947">
      <w:bodyDiv w:val="1"/>
      <w:marLeft w:val="0"/>
      <w:marRight w:val="0"/>
      <w:marTop w:val="0"/>
      <w:marBottom w:val="0"/>
      <w:divBdr>
        <w:top w:val="none" w:sz="0" w:space="0" w:color="auto"/>
        <w:left w:val="none" w:sz="0" w:space="0" w:color="auto"/>
        <w:bottom w:val="none" w:sz="0" w:space="0" w:color="auto"/>
        <w:right w:val="none" w:sz="0" w:space="0" w:color="auto"/>
      </w:divBdr>
    </w:div>
    <w:div w:id="1697271124">
      <w:bodyDiv w:val="1"/>
      <w:marLeft w:val="0"/>
      <w:marRight w:val="0"/>
      <w:marTop w:val="0"/>
      <w:marBottom w:val="0"/>
      <w:divBdr>
        <w:top w:val="none" w:sz="0" w:space="0" w:color="auto"/>
        <w:left w:val="none" w:sz="0" w:space="0" w:color="auto"/>
        <w:bottom w:val="none" w:sz="0" w:space="0" w:color="auto"/>
        <w:right w:val="none" w:sz="0" w:space="0" w:color="auto"/>
      </w:divBdr>
    </w:div>
    <w:div w:id="1774665526">
      <w:bodyDiv w:val="1"/>
      <w:marLeft w:val="0"/>
      <w:marRight w:val="0"/>
      <w:marTop w:val="0"/>
      <w:marBottom w:val="0"/>
      <w:divBdr>
        <w:top w:val="none" w:sz="0" w:space="0" w:color="auto"/>
        <w:left w:val="none" w:sz="0" w:space="0" w:color="auto"/>
        <w:bottom w:val="none" w:sz="0" w:space="0" w:color="auto"/>
        <w:right w:val="none" w:sz="0" w:space="0" w:color="auto"/>
      </w:divBdr>
      <w:divsChild>
        <w:div w:id="2024016032">
          <w:marLeft w:val="360"/>
          <w:marRight w:val="0"/>
          <w:marTop w:val="200"/>
          <w:marBottom w:val="0"/>
          <w:divBdr>
            <w:top w:val="none" w:sz="0" w:space="0" w:color="auto"/>
            <w:left w:val="none" w:sz="0" w:space="0" w:color="auto"/>
            <w:bottom w:val="none" w:sz="0" w:space="0" w:color="auto"/>
            <w:right w:val="none" w:sz="0" w:space="0" w:color="auto"/>
          </w:divBdr>
        </w:div>
      </w:divsChild>
    </w:div>
    <w:div w:id="1820539975">
      <w:bodyDiv w:val="1"/>
      <w:marLeft w:val="0"/>
      <w:marRight w:val="0"/>
      <w:marTop w:val="0"/>
      <w:marBottom w:val="0"/>
      <w:divBdr>
        <w:top w:val="none" w:sz="0" w:space="0" w:color="auto"/>
        <w:left w:val="none" w:sz="0" w:space="0" w:color="auto"/>
        <w:bottom w:val="none" w:sz="0" w:space="0" w:color="auto"/>
        <w:right w:val="none" w:sz="0" w:space="0" w:color="auto"/>
      </w:divBdr>
      <w:divsChild>
        <w:div w:id="737630000">
          <w:marLeft w:val="360"/>
          <w:marRight w:val="0"/>
          <w:marTop w:val="200"/>
          <w:marBottom w:val="0"/>
          <w:divBdr>
            <w:top w:val="none" w:sz="0" w:space="0" w:color="auto"/>
            <w:left w:val="none" w:sz="0" w:space="0" w:color="auto"/>
            <w:bottom w:val="none" w:sz="0" w:space="0" w:color="auto"/>
            <w:right w:val="none" w:sz="0" w:space="0" w:color="auto"/>
          </w:divBdr>
        </w:div>
      </w:divsChild>
    </w:div>
    <w:div w:id="1869879266">
      <w:bodyDiv w:val="1"/>
      <w:marLeft w:val="0"/>
      <w:marRight w:val="0"/>
      <w:marTop w:val="0"/>
      <w:marBottom w:val="0"/>
      <w:divBdr>
        <w:top w:val="none" w:sz="0" w:space="0" w:color="auto"/>
        <w:left w:val="none" w:sz="0" w:space="0" w:color="auto"/>
        <w:bottom w:val="none" w:sz="0" w:space="0" w:color="auto"/>
        <w:right w:val="none" w:sz="0" w:space="0" w:color="auto"/>
      </w:divBdr>
      <w:divsChild>
        <w:div w:id="56055349">
          <w:marLeft w:val="360"/>
          <w:marRight w:val="0"/>
          <w:marTop w:val="200"/>
          <w:marBottom w:val="0"/>
          <w:divBdr>
            <w:top w:val="none" w:sz="0" w:space="0" w:color="auto"/>
            <w:left w:val="none" w:sz="0" w:space="0" w:color="auto"/>
            <w:bottom w:val="none" w:sz="0" w:space="0" w:color="auto"/>
            <w:right w:val="none" w:sz="0" w:space="0" w:color="auto"/>
          </w:divBdr>
        </w:div>
        <w:div w:id="515269507">
          <w:marLeft w:val="1080"/>
          <w:marRight w:val="0"/>
          <w:marTop w:val="100"/>
          <w:marBottom w:val="0"/>
          <w:divBdr>
            <w:top w:val="none" w:sz="0" w:space="0" w:color="auto"/>
            <w:left w:val="none" w:sz="0" w:space="0" w:color="auto"/>
            <w:bottom w:val="none" w:sz="0" w:space="0" w:color="auto"/>
            <w:right w:val="none" w:sz="0" w:space="0" w:color="auto"/>
          </w:divBdr>
        </w:div>
        <w:div w:id="740450846">
          <w:marLeft w:val="1080"/>
          <w:marRight w:val="0"/>
          <w:marTop w:val="100"/>
          <w:marBottom w:val="0"/>
          <w:divBdr>
            <w:top w:val="none" w:sz="0" w:space="0" w:color="auto"/>
            <w:left w:val="none" w:sz="0" w:space="0" w:color="auto"/>
            <w:bottom w:val="none" w:sz="0" w:space="0" w:color="auto"/>
            <w:right w:val="none" w:sz="0" w:space="0" w:color="auto"/>
          </w:divBdr>
        </w:div>
        <w:div w:id="1452944718">
          <w:marLeft w:val="360"/>
          <w:marRight w:val="0"/>
          <w:marTop w:val="200"/>
          <w:marBottom w:val="0"/>
          <w:divBdr>
            <w:top w:val="none" w:sz="0" w:space="0" w:color="auto"/>
            <w:left w:val="none" w:sz="0" w:space="0" w:color="auto"/>
            <w:bottom w:val="none" w:sz="0" w:space="0" w:color="auto"/>
            <w:right w:val="none" w:sz="0" w:space="0" w:color="auto"/>
          </w:divBdr>
        </w:div>
        <w:div w:id="376274817">
          <w:marLeft w:val="360"/>
          <w:marRight w:val="0"/>
          <w:marTop w:val="200"/>
          <w:marBottom w:val="0"/>
          <w:divBdr>
            <w:top w:val="none" w:sz="0" w:space="0" w:color="auto"/>
            <w:left w:val="none" w:sz="0" w:space="0" w:color="auto"/>
            <w:bottom w:val="none" w:sz="0" w:space="0" w:color="auto"/>
            <w:right w:val="none" w:sz="0" w:space="0" w:color="auto"/>
          </w:divBdr>
        </w:div>
        <w:div w:id="311834000">
          <w:marLeft w:val="360"/>
          <w:marRight w:val="0"/>
          <w:marTop w:val="200"/>
          <w:marBottom w:val="0"/>
          <w:divBdr>
            <w:top w:val="none" w:sz="0" w:space="0" w:color="auto"/>
            <w:left w:val="none" w:sz="0" w:space="0" w:color="auto"/>
            <w:bottom w:val="none" w:sz="0" w:space="0" w:color="auto"/>
            <w:right w:val="none" w:sz="0" w:space="0" w:color="auto"/>
          </w:divBdr>
        </w:div>
        <w:div w:id="315838630">
          <w:marLeft w:val="1080"/>
          <w:marRight w:val="0"/>
          <w:marTop w:val="100"/>
          <w:marBottom w:val="0"/>
          <w:divBdr>
            <w:top w:val="none" w:sz="0" w:space="0" w:color="auto"/>
            <w:left w:val="none" w:sz="0" w:space="0" w:color="auto"/>
            <w:bottom w:val="none" w:sz="0" w:space="0" w:color="auto"/>
            <w:right w:val="none" w:sz="0" w:space="0" w:color="auto"/>
          </w:divBdr>
        </w:div>
        <w:div w:id="86852138">
          <w:marLeft w:val="360"/>
          <w:marRight w:val="0"/>
          <w:marTop w:val="200"/>
          <w:marBottom w:val="0"/>
          <w:divBdr>
            <w:top w:val="none" w:sz="0" w:space="0" w:color="auto"/>
            <w:left w:val="none" w:sz="0" w:space="0" w:color="auto"/>
            <w:bottom w:val="none" w:sz="0" w:space="0" w:color="auto"/>
            <w:right w:val="none" w:sz="0" w:space="0" w:color="auto"/>
          </w:divBdr>
        </w:div>
        <w:div w:id="326596029">
          <w:marLeft w:val="360"/>
          <w:marRight w:val="0"/>
          <w:marTop w:val="200"/>
          <w:marBottom w:val="0"/>
          <w:divBdr>
            <w:top w:val="none" w:sz="0" w:space="0" w:color="auto"/>
            <w:left w:val="none" w:sz="0" w:space="0" w:color="auto"/>
            <w:bottom w:val="none" w:sz="0" w:space="0" w:color="auto"/>
            <w:right w:val="none" w:sz="0" w:space="0" w:color="auto"/>
          </w:divBdr>
        </w:div>
      </w:divsChild>
    </w:div>
    <w:div w:id="1877500640">
      <w:bodyDiv w:val="1"/>
      <w:marLeft w:val="0"/>
      <w:marRight w:val="0"/>
      <w:marTop w:val="0"/>
      <w:marBottom w:val="0"/>
      <w:divBdr>
        <w:top w:val="none" w:sz="0" w:space="0" w:color="auto"/>
        <w:left w:val="none" w:sz="0" w:space="0" w:color="auto"/>
        <w:bottom w:val="none" w:sz="0" w:space="0" w:color="auto"/>
        <w:right w:val="none" w:sz="0" w:space="0" w:color="auto"/>
      </w:divBdr>
    </w:div>
    <w:div w:id="1904678308">
      <w:bodyDiv w:val="1"/>
      <w:marLeft w:val="0"/>
      <w:marRight w:val="0"/>
      <w:marTop w:val="0"/>
      <w:marBottom w:val="0"/>
      <w:divBdr>
        <w:top w:val="none" w:sz="0" w:space="0" w:color="auto"/>
        <w:left w:val="none" w:sz="0" w:space="0" w:color="auto"/>
        <w:bottom w:val="none" w:sz="0" w:space="0" w:color="auto"/>
        <w:right w:val="none" w:sz="0" w:space="0" w:color="auto"/>
      </w:divBdr>
    </w:div>
    <w:div w:id="1926574702">
      <w:bodyDiv w:val="1"/>
      <w:marLeft w:val="0"/>
      <w:marRight w:val="0"/>
      <w:marTop w:val="0"/>
      <w:marBottom w:val="0"/>
      <w:divBdr>
        <w:top w:val="none" w:sz="0" w:space="0" w:color="auto"/>
        <w:left w:val="none" w:sz="0" w:space="0" w:color="auto"/>
        <w:bottom w:val="none" w:sz="0" w:space="0" w:color="auto"/>
        <w:right w:val="none" w:sz="0" w:space="0" w:color="auto"/>
      </w:divBdr>
      <w:divsChild>
        <w:div w:id="973675058">
          <w:marLeft w:val="360"/>
          <w:marRight w:val="0"/>
          <w:marTop w:val="20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9235544">
      <w:bodyDiv w:val="1"/>
      <w:marLeft w:val="0"/>
      <w:marRight w:val="0"/>
      <w:marTop w:val="0"/>
      <w:marBottom w:val="0"/>
      <w:divBdr>
        <w:top w:val="none" w:sz="0" w:space="0" w:color="auto"/>
        <w:left w:val="none" w:sz="0" w:space="0" w:color="auto"/>
        <w:bottom w:val="none" w:sz="0" w:space="0" w:color="auto"/>
        <w:right w:val="none" w:sz="0" w:space="0" w:color="auto"/>
      </w:divBdr>
    </w:div>
    <w:div w:id="2049983445">
      <w:bodyDiv w:val="1"/>
      <w:marLeft w:val="0"/>
      <w:marRight w:val="0"/>
      <w:marTop w:val="0"/>
      <w:marBottom w:val="0"/>
      <w:divBdr>
        <w:top w:val="none" w:sz="0" w:space="0" w:color="auto"/>
        <w:left w:val="none" w:sz="0" w:space="0" w:color="auto"/>
        <w:bottom w:val="none" w:sz="0" w:space="0" w:color="auto"/>
        <w:right w:val="none" w:sz="0" w:space="0" w:color="auto"/>
      </w:divBdr>
      <w:divsChild>
        <w:div w:id="8249768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9DE73-A940-442D-969D-53F8C744E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20662</Words>
  <Characters>122808</Characters>
  <Application>Microsoft Office Word</Application>
  <DocSecurity>0</DocSecurity>
  <Lines>1023</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2020-10-29T03:23:00Z</dcterms:created>
  <dcterms:modified xsi:type="dcterms:W3CDTF">2020-10-29T04:01:00Z</dcterms:modified>
</cp:coreProperties>
</file>