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C93348" w:rsidRDefault="00080038" w:rsidP="000025CB">
      <w:pPr>
        <w:pStyle w:val="1-MainHeading"/>
      </w:pPr>
      <w:bookmarkStart w:id="0" w:name="_Toc40709196"/>
      <w:bookmarkStart w:id="1" w:name="_GoBack"/>
      <w:bookmarkEnd w:id="1"/>
      <w:r w:rsidRPr="00C93348">
        <w:t>7.06</w:t>
      </w:r>
      <w:r w:rsidR="00163F66" w:rsidRPr="00C93348">
        <w:tab/>
      </w:r>
      <w:r w:rsidR="000025CB" w:rsidRPr="00C93348">
        <w:t xml:space="preserve">OSIMERTINIB, </w:t>
      </w:r>
      <w:r w:rsidR="000025CB" w:rsidRPr="00C93348">
        <w:br/>
        <w:t xml:space="preserve">Tablet 40 mg, 80 mg, </w:t>
      </w:r>
      <w:r w:rsidR="000025CB" w:rsidRPr="00C93348">
        <w:br/>
        <w:t>Tagrisso®,</w:t>
      </w:r>
      <w:r w:rsidR="000025CB" w:rsidRPr="00C93348">
        <w:br/>
        <w:t>AstraZeneca Pty Ltd.</w:t>
      </w:r>
      <w:bookmarkEnd w:id="0"/>
    </w:p>
    <w:p w:rsidR="0079691F" w:rsidRPr="00C93348" w:rsidRDefault="0079691F" w:rsidP="0079691F">
      <w:pPr>
        <w:pStyle w:val="2-SectionHeading"/>
      </w:pPr>
      <w:bookmarkStart w:id="2" w:name="_Toc40094098"/>
      <w:bookmarkStart w:id="3" w:name="_Toc40709198"/>
      <w:bookmarkStart w:id="4" w:name="_Toc22897645"/>
      <w:r w:rsidRPr="00C93348">
        <w:t>Purpose of resubmission</w:t>
      </w:r>
      <w:bookmarkEnd w:id="2"/>
      <w:bookmarkEnd w:id="3"/>
    </w:p>
    <w:p w:rsidR="0079691F" w:rsidRPr="00C93348" w:rsidRDefault="0079691F" w:rsidP="0079691F">
      <w:pPr>
        <w:pStyle w:val="3-BodyText"/>
      </w:pPr>
      <w:r w:rsidRPr="00C93348">
        <w:t xml:space="preserve">The resubmission requested a Section 85, Authority Required listing for osimertinib for the </w:t>
      </w:r>
      <w:r w:rsidR="000721B6" w:rsidRPr="00C93348">
        <w:t>first-line</w:t>
      </w:r>
      <w:r w:rsidRPr="00C93348">
        <w:t xml:space="preserve"> treatment of locally advanced or metastatic (Stage IIIB or IV), epidermal growth factor receptor mutation positive (EGFRm), non-small cell lung cancer (NSCLC). This was the second submission of osimertinib for this indication. </w:t>
      </w:r>
    </w:p>
    <w:p w:rsidR="0079691F" w:rsidRPr="00C93348" w:rsidRDefault="0079691F" w:rsidP="0079691F">
      <w:pPr>
        <w:pStyle w:val="3-BodyText"/>
      </w:pPr>
      <w:r w:rsidRPr="00C93348">
        <w:t>The key components of the clinical issue addressed by the resubmission are presented below.</w:t>
      </w:r>
    </w:p>
    <w:p w:rsidR="0079691F" w:rsidRPr="00C93348" w:rsidRDefault="0079691F" w:rsidP="0079691F">
      <w:pPr>
        <w:pStyle w:val="Tableheading0"/>
        <w:rPr>
          <w:rStyle w:val="CommentReference"/>
          <w:b/>
        </w:rPr>
      </w:pPr>
      <w:r w:rsidRPr="00C93348">
        <w:rPr>
          <w:rStyle w:val="CommentReference"/>
          <w:b/>
        </w:rPr>
        <w:t xml:space="preserve">Table </w:t>
      </w:r>
      <w:r w:rsidR="00CC4472">
        <w:rPr>
          <w:rStyle w:val="CommentReference"/>
          <w:b/>
          <w:noProof/>
        </w:rPr>
        <w:t>1</w:t>
      </w:r>
      <w:r w:rsidRPr="00C93348">
        <w:rPr>
          <w:rStyle w:val="CommentReference"/>
          <w:b/>
        </w:rPr>
        <w:t>:</w:t>
      </w:r>
      <w:r w:rsidR="004A0B30" w:rsidRPr="00C93348">
        <w:rPr>
          <w:rStyle w:val="CommentReference"/>
          <w:b/>
        </w:rPr>
        <w:t xml:space="preserve"> </w:t>
      </w:r>
      <w:r w:rsidRPr="00C93348">
        <w:rPr>
          <w:rStyle w:val="CommentReference"/>
          <w:b/>
        </w:rPr>
        <w:t>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79691F" w:rsidRPr="00C93348" w:rsidTr="007A099C">
        <w:tc>
          <w:tcPr>
            <w:tcW w:w="911" w:type="pct"/>
            <w:vAlign w:val="center"/>
          </w:tcPr>
          <w:p w:rsidR="0079691F" w:rsidRPr="00C93348" w:rsidRDefault="0079691F" w:rsidP="002E61B6">
            <w:pPr>
              <w:pStyle w:val="In-tableHeading"/>
              <w:rPr>
                <w:lang w:val="en-AU"/>
              </w:rPr>
            </w:pPr>
            <w:r w:rsidRPr="00C93348">
              <w:rPr>
                <w:lang w:val="en-AU"/>
              </w:rPr>
              <w:t>Component</w:t>
            </w:r>
          </w:p>
        </w:tc>
        <w:tc>
          <w:tcPr>
            <w:tcW w:w="4089" w:type="pct"/>
            <w:vAlign w:val="center"/>
          </w:tcPr>
          <w:p w:rsidR="0079691F" w:rsidRPr="00C93348" w:rsidRDefault="0079691F" w:rsidP="002E61B6">
            <w:pPr>
              <w:pStyle w:val="In-tableHeading"/>
              <w:rPr>
                <w:lang w:val="en-AU"/>
              </w:rPr>
            </w:pPr>
            <w:r w:rsidRPr="00C93348">
              <w:rPr>
                <w:lang w:val="en-AU"/>
              </w:rPr>
              <w:t>Description</w:t>
            </w:r>
          </w:p>
        </w:tc>
      </w:tr>
      <w:tr w:rsidR="0079691F" w:rsidRPr="00C93348" w:rsidTr="007A099C">
        <w:tc>
          <w:tcPr>
            <w:tcW w:w="911" w:type="pct"/>
            <w:vAlign w:val="center"/>
          </w:tcPr>
          <w:p w:rsidR="0079691F" w:rsidRPr="00C93348" w:rsidRDefault="0079691F" w:rsidP="002E61B6">
            <w:pPr>
              <w:pStyle w:val="TableText0"/>
            </w:pPr>
            <w:r w:rsidRPr="00C93348">
              <w:t>Population</w:t>
            </w:r>
          </w:p>
        </w:tc>
        <w:tc>
          <w:tcPr>
            <w:tcW w:w="4089" w:type="pct"/>
          </w:tcPr>
          <w:p w:rsidR="0079691F" w:rsidRPr="00C93348" w:rsidRDefault="0079691F" w:rsidP="002E61B6">
            <w:pPr>
              <w:pStyle w:val="TableText0"/>
            </w:pPr>
            <w:r w:rsidRPr="00C93348">
              <w:t>Treatment-naïve, locally advanced or metastatic EGFRm NSCLC patients</w:t>
            </w:r>
          </w:p>
        </w:tc>
      </w:tr>
      <w:tr w:rsidR="0079691F" w:rsidRPr="00C93348" w:rsidTr="007A099C">
        <w:tc>
          <w:tcPr>
            <w:tcW w:w="911" w:type="pct"/>
            <w:vAlign w:val="center"/>
          </w:tcPr>
          <w:p w:rsidR="0079691F" w:rsidRPr="00C93348" w:rsidRDefault="0079691F" w:rsidP="002E61B6">
            <w:pPr>
              <w:pStyle w:val="TableText0"/>
            </w:pPr>
            <w:r w:rsidRPr="00C93348">
              <w:t>Intervention</w:t>
            </w:r>
          </w:p>
        </w:tc>
        <w:tc>
          <w:tcPr>
            <w:tcW w:w="4089" w:type="pct"/>
          </w:tcPr>
          <w:p w:rsidR="0079691F" w:rsidRPr="00C93348" w:rsidRDefault="0079691F" w:rsidP="002E61B6">
            <w:pPr>
              <w:pStyle w:val="TableText0"/>
            </w:pPr>
            <w:r w:rsidRPr="00C93348">
              <w:rPr>
                <w:rFonts w:cs="Arial"/>
                <w:szCs w:val="20"/>
                <w:lang w:bidi="en-US"/>
              </w:rPr>
              <w:t>Osimertinib 80mg tablet once daily until disease progression or unacceptable toxicity</w:t>
            </w:r>
          </w:p>
        </w:tc>
      </w:tr>
      <w:tr w:rsidR="0079691F" w:rsidRPr="00C93348" w:rsidTr="007A099C">
        <w:tc>
          <w:tcPr>
            <w:tcW w:w="911" w:type="pct"/>
            <w:vAlign w:val="center"/>
          </w:tcPr>
          <w:p w:rsidR="0079691F" w:rsidRPr="00C93348" w:rsidRDefault="0079691F" w:rsidP="002E61B6">
            <w:pPr>
              <w:pStyle w:val="TableText0"/>
            </w:pPr>
            <w:r w:rsidRPr="00C93348">
              <w:t>Comparator</w:t>
            </w:r>
          </w:p>
        </w:tc>
        <w:tc>
          <w:tcPr>
            <w:tcW w:w="4089" w:type="pct"/>
          </w:tcPr>
          <w:p w:rsidR="0079691F" w:rsidRPr="00C93348" w:rsidRDefault="0079691F" w:rsidP="002E61B6">
            <w:pPr>
              <w:spacing w:before="20" w:after="20" w:line="276" w:lineRule="auto"/>
              <w:rPr>
                <w:rFonts w:ascii="Arial Narrow" w:hAnsi="Arial Narrow" w:cs="Times New Roman"/>
                <w:sz w:val="20"/>
              </w:rPr>
            </w:pPr>
            <w:r w:rsidRPr="00C93348">
              <w:rPr>
                <w:rFonts w:ascii="Arial Narrow" w:hAnsi="Arial Narrow" w:cs="Times New Roman"/>
                <w:sz w:val="20"/>
              </w:rPr>
              <w:t>Erlotinib 150mg tablet once daily until disease progression or unacceptable toxicity; or</w:t>
            </w:r>
          </w:p>
          <w:p w:rsidR="0079691F" w:rsidRPr="00C93348" w:rsidRDefault="0079691F" w:rsidP="002E61B6">
            <w:pPr>
              <w:pStyle w:val="TableText0"/>
            </w:pPr>
            <w:r w:rsidRPr="00C93348">
              <w:rPr>
                <w:rFonts w:cs="Times New Roman"/>
              </w:rPr>
              <w:t xml:space="preserve">Gefitinib 250mg tablet once daily until disease progression or unacceptable toxicity </w:t>
            </w:r>
          </w:p>
        </w:tc>
      </w:tr>
      <w:tr w:rsidR="0079691F" w:rsidRPr="00C93348" w:rsidTr="007A099C">
        <w:tc>
          <w:tcPr>
            <w:tcW w:w="911" w:type="pct"/>
            <w:vAlign w:val="center"/>
          </w:tcPr>
          <w:p w:rsidR="0079691F" w:rsidRPr="00C93348" w:rsidRDefault="0079691F" w:rsidP="002E61B6">
            <w:pPr>
              <w:pStyle w:val="TableText0"/>
            </w:pPr>
            <w:r w:rsidRPr="00C93348">
              <w:t>Outcomes</w:t>
            </w:r>
          </w:p>
        </w:tc>
        <w:tc>
          <w:tcPr>
            <w:tcW w:w="4089" w:type="pct"/>
          </w:tcPr>
          <w:p w:rsidR="0079691F" w:rsidRPr="00C93348" w:rsidRDefault="0079691F" w:rsidP="002E61B6">
            <w:pPr>
              <w:pStyle w:val="TableText0"/>
            </w:pPr>
            <w:r w:rsidRPr="00C93348">
              <w:t>PFS, OS, ORR, DCR, QoL and AEs</w:t>
            </w:r>
          </w:p>
        </w:tc>
      </w:tr>
      <w:tr w:rsidR="0079691F" w:rsidRPr="00C93348" w:rsidTr="007A099C">
        <w:tc>
          <w:tcPr>
            <w:tcW w:w="911" w:type="pct"/>
            <w:vAlign w:val="center"/>
          </w:tcPr>
          <w:p w:rsidR="0079691F" w:rsidRPr="00C93348" w:rsidRDefault="0079691F" w:rsidP="002E61B6">
            <w:pPr>
              <w:pStyle w:val="TableText0"/>
            </w:pPr>
            <w:r w:rsidRPr="00C93348">
              <w:t>Clinical claim</w:t>
            </w:r>
          </w:p>
        </w:tc>
        <w:tc>
          <w:tcPr>
            <w:tcW w:w="4089" w:type="pct"/>
          </w:tcPr>
          <w:p w:rsidR="0079691F" w:rsidRPr="00C93348" w:rsidRDefault="0079691F" w:rsidP="002E61B6">
            <w:pPr>
              <w:pStyle w:val="TableText0"/>
            </w:pPr>
            <w:r w:rsidRPr="00C93348">
              <w:t>In patients with locally advanced or metastatic EGFRm NSCLC, osimertinib is superior to erlotinib and gefitinib in terms of efficacy, QoL and safety.</w:t>
            </w:r>
          </w:p>
        </w:tc>
      </w:tr>
    </w:tbl>
    <w:p w:rsidR="0079691F" w:rsidRPr="00C93348" w:rsidRDefault="0079691F" w:rsidP="007A099C">
      <w:pPr>
        <w:pStyle w:val="TableFigureFooter"/>
      </w:pPr>
      <w:r w:rsidRPr="00C93348">
        <w:t>Source: Adapted from Table 1.1.1, p16 of the resubmission.</w:t>
      </w:r>
    </w:p>
    <w:p w:rsidR="0079691F" w:rsidRPr="00C93348" w:rsidRDefault="0079691F" w:rsidP="007A099C">
      <w:pPr>
        <w:pStyle w:val="TableFigureFooter"/>
      </w:pPr>
      <w:r w:rsidRPr="00C93348">
        <w:t>AE = adverse event; DCR = disease control rate; EGFRm = epidermal growth factor receptor mutation positive; NSCLC = non-small cell lung cancer; ORR = objective response rate; OS = overall survival; PFS = progression-free survival; QoL = quality of life</w:t>
      </w:r>
    </w:p>
    <w:p w:rsidR="0079691F" w:rsidRPr="00C93348" w:rsidRDefault="0079691F" w:rsidP="0079691F">
      <w:pPr>
        <w:pStyle w:val="2-SectionHeading"/>
      </w:pPr>
      <w:bookmarkStart w:id="5" w:name="_Toc40094099"/>
      <w:bookmarkStart w:id="6" w:name="_Toc40709199"/>
      <w:r w:rsidRPr="00C93348">
        <w:t>Background</w:t>
      </w:r>
      <w:bookmarkEnd w:id="5"/>
      <w:bookmarkEnd w:id="6"/>
    </w:p>
    <w:p w:rsidR="0079691F" w:rsidRPr="00C93348" w:rsidRDefault="0079691F" w:rsidP="0079691F">
      <w:pPr>
        <w:pStyle w:val="4-SubsectionHeading"/>
      </w:pPr>
      <w:bookmarkStart w:id="7" w:name="_Toc40094100"/>
      <w:bookmarkStart w:id="8" w:name="_Toc40709200"/>
      <w:r w:rsidRPr="00C93348">
        <w:t>Registration status</w:t>
      </w:r>
      <w:bookmarkEnd w:id="7"/>
      <w:bookmarkEnd w:id="8"/>
    </w:p>
    <w:p w:rsidR="0079691F" w:rsidRPr="00C93348" w:rsidRDefault="0079691F" w:rsidP="0079691F">
      <w:pPr>
        <w:pStyle w:val="3-BodyText"/>
      </w:pPr>
      <w:r w:rsidRPr="00C93348">
        <w:t>Osimertinib is TGA-registered for the following indications:</w:t>
      </w:r>
    </w:p>
    <w:p w:rsidR="0079691F" w:rsidRPr="00C93348" w:rsidRDefault="0079691F" w:rsidP="008C3F6D">
      <w:pPr>
        <w:pStyle w:val="ListParagraph"/>
        <w:numPr>
          <w:ilvl w:val="1"/>
          <w:numId w:val="6"/>
        </w:numPr>
      </w:pPr>
      <w:r w:rsidRPr="00C93348">
        <w:t xml:space="preserve">For the </w:t>
      </w:r>
      <w:r w:rsidR="000721B6" w:rsidRPr="00C93348">
        <w:t>first-line</w:t>
      </w:r>
      <w:r w:rsidRPr="00C93348">
        <w:t xml:space="preserve"> treatment of patients with locally advanced or metastatic NSCLC whose tumours have activating EGFR mutations; and </w:t>
      </w:r>
    </w:p>
    <w:p w:rsidR="0079691F" w:rsidRPr="00C93348" w:rsidRDefault="0079691F" w:rsidP="008C3F6D">
      <w:pPr>
        <w:pStyle w:val="ListParagraph"/>
        <w:numPr>
          <w:ilvl w:val="1"/>
          <w:numId w:val="6"/>
        </w:numPr>
      </w:pPr>
      <w:r w:rsidRPr="00C93348">
        <w:t>For treatment of patients with locally advanced or metastatic EGFR T790M positive NSCLC.</w:t>
      </w:r>
    </w:p>
    <w:p w:rsidR="0079691F" w:rsidRPr="00C93348" w:rsidRDefault="0079691F" w:rsidP="0079691F">
      <w:pPr>
        <w:pStyle w:val="4-SubsectionHeading"/>
      </w:pPr>
      <w:bookmarkStart w:id="9" w:name="_Toc40709201"/>
      <w:r w:rsidRPr="00C93348">
        <w:t>Previous PBAC consideration</w:t>
      </w:r>
      <w:bookmarkEnd w:id="9"/>
    </w:p>
    <w:p w:rsidR="0079691F" w:rsidRPr="00C93348" w:rsidRDefault="0079691F" w:rsidP="0079691F">
      <w:pPr>
        <w:pStyle w:val="3-BodyText"/>
      </w:pPr>
      <w:r w:rsidRPr="00C93348">
        <w:t>The PBAC previously considered osimertinib for the first</w:t>
      </w:r>
      <w:r w:rsidR="00610279" w:rsidRPr="00C93348">
        <w:t>-</w:t>
      </w:r>
      <w:r w:rsidRPr="00C93348">
        <w:t xml:space="preserve">line treatment of patients with locally advanced or metastatic EGFRm NSCLC in July 2019. </w:t>
      </w:r>
      <w:r w:rsidR="00CC4472" w:rsidRPr="00C93348">
        <w:t xml:space="preserve">Table </w:t>
      </w:r>
      <w:r w:rsidR="00CC4472">
        <w:rPr>
          <w:noProof/>
        </w:rPr>
        <w:t>2</w:t>
      </w:r>
      <w:r w:rsidRPr="00C93348">
        <w:t xml:space="preserve"> summarises the key matters of concern from the previous submission and how they were addressed in the current resubmission. </w:t>
      </w:r>
    </w:p>
    <w:p w:rsidR="0079691F" w:rsidRPr="00C93348" w:rsidRDefault="0079691F" w:rsidP="0079691F">
      <w:pPr>
        <w:pStyle w:val="TableFigureHeading"/>
      </w:pPr>
      <w:bookmarkStart w:id="10" w:name="_Ref39256662"/>
      <w:r w:rsidRPr="00C93348">
        <w:lastRenderedPageBreak/>
        <w:t xml:space="preserve">Table </w:t>
      </w:r>
      <w:r w:rsidR="00CC4472">
        <w:rPr>
          <w:noProof/>
        </w:rPr>
        <w:t>2</w:t>
      </w:r>
      <w:bookmarkEnd w:id="10"/>
      <w:r w:rsidRPr="00C93348">
        <w:t>:</w:t>
      </w:r>
      <w:r w:rsidRPr="00C93348">
        <w:rPr>
          <w:rStyle w:val="CommentReference"/>
          <w:b/>
        </w:rPr>
        <w:t xml:space="preserve"> Su</w:t>
      </w:r>
      <w:r w:rsidRPr="00C93348">
        <w:t>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518"/>
        <w:gridCol w:w="3140"/>
      </w:tblGrid>
      <w:tr w:rsidR="0079691F" w:rsidRPr="00C93348" w:rsidTr="007A099C">
        <w:trPr>
          <w:cantSplit/>
          <w:trHeight w:val="227"/>
          <w:tblHeader/>
        </w:trPr>
        <w:tc>
          <w:tcPr>
            <w:tcW w:w="1308" w:type="pct"/>
            <w:vAlign w:val="center"/>
          </w:tcPr>
          <w:p w:rsidR="0079691F" w:rsidRPr="00C93348" w:rsidRDefault="0079691F" w:rsidP="002E61B6">
            <w:pPr>
              <w:pStyle w:val="In-tableHeading"/>
              <w:rPr>
                <w:lang w:val="en-AU"/>
              </w:rPr>
            </w:pPr>
            <w:r w:rsidRPr="00C93348">
              <w:rPr>
                <w:lang w:val="en-AU"/>
              </w:rPr>
              <w:t>Component</w:t>
            </w:r>
          </w:p>
        </w:tc>
        <w:tc>
          <w:tcPr>
            <w:tcW w:w="1951" w:type="pct"/>
            <w:vAlign w:val="center"/>
          </w:tcPr>
          <w:p w:rsidR="0079691F" w:rsidRPr="00C93348" w:rsidRDefault="0079691F" w:rsidP="002E61B6">
            <w:pPr>
              <w:pStyle w:val="In-tableHeading"/>
              <w:rPr>
                <w:lang w:val="en-AU"/>
              </w:rPr>
            </w:pPr>
            <w:r w:rsidRPr="00C93348">
              <w:rPr>
                <w:lang w:val="en-AU"/>
              </w:rPr>
              <w:t>Matter of concern</w:t>
            </w:r>
          </w:p>
        </w:tc>
        <w:tc>
          <w:tcPr>
            <w:tcW w:w="1741" w:type="pct"/>
            <w:vAlign w:val="center"/>
          </w:tcPr>
          <w:p w:rsidR="0079691F" w:rsidRPr="00C93348" w:rsidRDefault="0079691F" w:rsidP="002E61B6">
            <w:pPr>
              <w:pStyle w:val="In-tableHeading"/>
              <w:rPr>
                <w:lang w:val="en-AU"/>
              </w:rPr>
            </w:pPr>
            <w:r w:rsidRPr="00C93348">
              <w:rPr>
                <w:lang w:val="en-AU"/>
              </w:rPr>
              <w:t>How the resubmission addressed it</w:t>
            </w:r>
          </w:p>
        </w:tc>
      </w:tr>
      <w:tr w:rsidR="0079691F" w:rsidRPr="00C93348" w:rsidTr="007A099C">
        <w:trPr>
          <w:cantSplit/>
          <w:trHeight w:val="227"/>
        </w:trPr>
        <w:tc>
          <w:tcPr>
            <w:tcW w:w="1308" w:type="pct"/>
          </w:tcPr>
          <w:p w:rsidR="0079691F" w:rsidRPr="00C93348" w:rsidRDefault="0079691F" w:rsidP="002E61B6">
            <w:pPr>
              <w:pStyle w:val="TableText0"/>
            </w:pPr>
            <w:r w:rsidRPr="00C93348">
              <w:t xml:space="preserve">Line agnostic restriction for osimertinib </w:t>
            </w:r>
          </w:p>
        </w:tc>
        <w:tc>
          <w:tcPr>
            <w:tcW w:w="1951" w:type="pct"/>
          </w:tcPr>
          <w:p w:rsidR="0079691F" w:rsidRPr="00C93348" w:rsidRDefault="0079691F" w:rsidP="002E61B6">
            <w:pPr>
              <w:pStyle w:val="TableText0"/>
              <w:rPr>
                <w:szCs w:val="20"/>
              </w:rPr>
            </w:pPr>
            <w:r w:rsidRPr="00C93348">
              <w:rPr>
                <w:szCs w:val="20"/>
              </w:rPr>
              <w:t xml:space="preserve">The PBAC considered a line agnostic restriction, combining first and </w:t>
            </w:r>
            <w:r w:rsidR="000721B6" w:rsidRPr="00C93348">
              <w:rPr>
                <w:szCs w:val="20"/>
              </w:rPr>
              <w:t>second-line</w:t>
            </w:r>
            <w:r w:rsidRPr="00C93348">
              <w:rPr>
                <w:szCs w:val="20"/>
              </w:rPr>
              <w:t xml:space="preserve"> osimertinib treatment, would be appropriate (paragraph 7.4, Osimertinib PSD, July 2019 PBAC meeting).</w:t>
            </w:r>
          </w:p>
        </w:tc>
        <w:tc>
          <w:tcPr>
            <w:tcW w:w="1741" w:type="pct"/>
            <w:vAlign w:val="center"/>
          </w:tcPr>
          <w:p w:rsidR="0079691F" w:rsidRPr="00C93348" w:rsidRDefault="00033A66" w:rsidP="002E61B6">
            <w:pPr>
              <w:pStyle w:val="TableText0"/>
            </w:pPr>
            <w:r w:rsidRPr="00C93348">
              <w:t>Not a</w:t>
            </w:r>
            <w:r w:rsidR="0079691F" w:rsidRPr="00C93348">
              <w:t xml:space="preserve">ddressed. </w:t>
            </w:r>
          </w:p>
          <w:p w:rsidR="0079691F" w:rsidRPr="00C93348" w:rsidRDefault="0079691F" w:rsidP="002E61B6">
            <w:pPr>
              <w:pStyle w:val="TableText0"/>
            </w:pPr>
            <w:r w:rsidRPr="00C93348">
              <w:t xml:space="preserve">The sponsor requested a separate listing for the </w:t>
            </w:r>
            <w:r w:rsidR="000721B6" w:rsidRPr="00C93348">
              <w:t>first-line</w:t>
            </w:r>
            <w:r w:rsidRPr="00C93348">
              <w:t xml:space="preserve"> indication. </w:t>
            </w:r>
          </w:p>
          <w:p w:rsidR="0079691F" w:rsidRPr="00C93348" w:rsidRDefault="0079691F" w:rsidP="002E61B6">
            <w:pPr>
              <w:pStyle w:val="TableText0"/>
            </w:pPr>
          </w:p>
          <w:p w:rsidR="0079691F" w:rsidRPr="00C93348" w:rsidRDefault="0079691F" w:rsidP="00D72D9F">
            <w:pPr>
              <w:pStyle w:val="TableText0"/>
              <w:rPr>
                <w:i/>
              </w:rPr>
            </w:pPr>
          </w:p>
        </w:tc>
      </w:tr>
      <w:tr w:rsidR="0079691F" w:rsidRPr="00C93348" w:rsidTr="007A099C">
        <w:trPr>
          <w:cantSplit/>
          <w:trHeight w:val="227"/>
        </w:trPr>
        <w:tc>
          <w:tcPr>
            <w:tcW w:w="1308" w:type="pct"/>
            <w:tcBorders>
              <w:bottom w:val="nil"/>
            </w:tcBorders>
          </w:tcPr>
          <w:p w:rsidR="0079691F" w:rsidRPr="00C93348" w:rsidRDefault="0079691F" w:rsidP="002E61B6">
            <w:pPr>
              <w:pStyle w:val="TableText0"/>
            </w:pPr>
            <w:r w:rsidRPr="00C93348">
              <w:t>Comparator</w:t>
            </w:r>
          </w:p>
        </w:tc>
        <w:tc>
          <w:tcPr>
            <w:tcW w:w="1951" w:type="pct"/>
            <w:tcBorders>
              <w:bottom w:val="nil"/>
            </w:tcBorders>
          </w:tcPr>
          <w:p w:rsidR="0079691F" w:rsidRPr="00C93348" w:rsidRDefault="0079691F" w:rsidP="002E61B6">
            <w:pPr>
              <w:pStyle w:val="TableText0"/>
              <w:spacing w:after="60"/>
            </w:pPr>
            <w:r w:rsidRPr="00C93348">
              <w:rPr>
                <w:szCs w:val="20"/>
              </w:rPr>
              <w:t xml:space="preserve">The PBAC noted that patients who have progressed on or after erlotinib or gefitinib and who have evidence of EGFR T790M mutation in tumour material at progression would be eligible for PBS subsidised osimertinib as </w:t>
            </w:r>
            <w:r w:rsidR="000721B6" w:rsidRPr="00C93348">
              <w:rPr>
                <w:szCs w:val="20"/>
              </w:rPr>
              <w:t>second-line</w:t>
            </w:r>
            <w:r w:rsidRPr="00C93348">
              <w:rPr>
                <w:szCs w:val="20"/>
              </w:rPr>
              <w:t xml:space="preserve"> treatment. The PBAC considered that the appropriate comparator for this population was erlotinib or gefitinib followed by </w:t>
            </w:r>
            <w:r w:rsidR="000721B6" w:rsidRPr="00C93348">
              <w:rPr>
                <w:szCs w:val="20"/>
              </w:rPr>
              <w:t>second-line</w:t>
            </w:r>
            <w:r w:rsidRPr="00C93348">
              <w:rPr>
                <w:szCs w:val="20"/>
              </w:rPr>
              <w:t xml:space="preserve"> osimertinib (paragraph 7.3, Osimertinib PSD, July 2019, PBAC meeting)</w:t>
            </w:r>
          </w:p>
        </w:tc>
        <w:tc>
          <w:tcPr>
            <w:tcW w:w="1741" w:type="pct"/>
            <w:tcBorders>
              <w:bottom w:val="nil"/>
            </w:tcBorders>
          </w:tcPr>
          <w:p w:rsidR="0079691F" w:rsidRPr="00C93348" w:rsidRDefault="0079691F" w:rsidP="00682766">
            <w:pPr>
              <w:pStyle w:val="TableText0"/>
            </w:pPr>
            <w:r w:rsidRPr="00C93348">
              <w:t xml:space="preserve">While the resubmission did not specifically nominate </w:t>
            </w:r>
            <w:r w:rsidR="000721B6" w:rsidRPr="00C93348">
              <w:t>second-line</w:t>
            </w:r>
            <w:r w:rsidRPr="00C93348">
              <w:t xml:space="preserve"> osimertinib as a component of the comparator in this patient group, the updated clinical evidence was reasonably applicable to the Australian clinical setting in this respect, given the increase in the rate of cross-over from erlotinib/gefitinib to osimertinib (see below). </w:t>
            </w:r>
          </w:p>
        </w:tc>
      </w:tr>
      <w:tr w:rsidR="0079691F" w:rsidRPr="00C93348" w:rsidTr="007A099C">
        <w:trPr>
          <w:cantSplit/>
          <w:trHeight w:val="227"/>
        </w:trPr>
        <w:tc>
          <w:tcPr>
            <w:tcW w:w="1308" w:type="pct"/>
            <w:tcBorders>
              <w:top w:val="nil"/>
            </w:tcBorders>
          </w:tcPr>
          <w:p w:rsidR="0079691F" w:rsidRPr="00C93348" w:rsidRDefault="0079691F" w:rsidP="002E61B6">
            <w:pPr>
              <w:pStyle w:val="TableText0"/>
            </w:pPr>
          </w:p>
        </w:tc>
        <w:tc>
          <w:tcPr>
            <w:tcW w:w="1951" w:type="pct"/>
            <w:tcBorders>
              <w:top w:val="nil"/>
            </w:tcBorders>
          </w:tcPr>
          <w:p w:rsidR="0079691F" w:rsidRPr="00C93348" w:rsidRDefault="0079691F" w:rsidP="002E61B6">
            <w:pPr>
              <w:pStyle w:val="TableText0"/>
            </w:pPr>
            <w:r w:rsidRPr="00C93348">
              <w:t xml:space="preserve">The PBAC noted the 60% prevalence of T790M mutation among patients eligible for biopsy following disease progression on erlotinib/gefitinib. It further noted that, in the comparator arm of the clinical trial, only 29.1% of patients who discontinued erlotinib or gefitinib </w:t>
            </w:r>
            <w:r w:rsidRPr="00C93348">
              <w:rPr>
                <w:iCs/>
              </w:rPr>
              <w:t xml:space="preserve">(48% of those who received any subsequent therapy) </w:t>
            </w:r>
            <w:r w:rsidRPr="00C93348">
              <w:t xml:space="preserve">received later line osimertinib, and considered that the comparator arm was not reflective of the current standard care (paragraph 7.3 and 7.12, </w:t>
            </w:r>
            <w:r w:rsidRPr="00C93348">
              <w:rPr>
                <w:szCs w:val="20"/>
              </w:rPr>
              <w:t>Osimertinib PSD</w:t>
            </w:r>
            <w:r w:rsidRPr="00C93348">
              <w:t>, July 2019 PBAC meeting).</w:t>
            </w:r>
          </w:p>
        </w:tc>
        <w:tc>
          <w:tcPr>
            <w:tcW w:w="1741" w:type="pct"/>
            <w:tcBorders>
              <w:top w:val="nil"/>
            </w:tcBorders>
          </w:tcPr>
          <w:p w:rsidR="0079691F" w:rsidRPr="00C93348" w:rsidRDefault="0079691F" w:rsidP="00682766">
            <w:pPr>
              <w:pStyle w:val="TableText0"/>
            </w:pPr>
            <w:r w:rsidRPr="00C93348">
              <w:t xml:space="preserve">At the time of the updated OS analysis, only 4.7% of patients in the comparator arm were still receiving gefitinib or erlotinib; 41.3% of patients who had discontinued treatment received later line osimertinib. Of those patients in the </w:t>
            </w:r>
            <w:r w:rsidR="00D72D9F" w:rsidRPr="00C93348">
              <w:t>SC</w:t>
            </w:r>
            <w:r w:rsidRPr="00C93348">
              <w:t xml:space="preserve"> arm who received any subsequent therapy, 61% received osimertinib</w:t>
            </w:r>
            <w:r w:rsidRPr="00C93348">
              <w:rPr>
                <w:vertAlign w:val="superscript"/>
              </w:rPr>
              <w:t>a</w:t>
            </w:r>
            <w:r w:rsidRPr="00C93348">
              <w:t xml:space="preserve"> </w:t>
            </w:r>
          </w:p>
        </w:tc>
      </w:tr>
      <w:tr w:rsidR="0079691F" w:rsidRPr="00C93348" w:rsidTr="007A099C">
        <w:trPr>
          <w:cantSplit/>
        </w:trPr>
        <w:tc>
          <w:tcPr>
            <w:tcW w:w="1308" w:type="pct"/>
          </w:tcPr>
          <w:p w:rsidR="0079691F" w:rsidRPr="00C93348" w:rsidRDefault="0079691F" w:rsidP="002E61B6">
            <w:pPr>
              <w:pStyle w:val="TableText0"/>
            </w:pPr>
            <w:r w:rsidRPr="00C93348">
              <w:t>Immature overall survival data</w:t>
            </w:r>
          </w:p>
        </w:tc>
        <w:tc>
          <w:tcPr>
            <w:tcW w:w="1951" w:type="pct"/>
          </w:tcPr>
          <w:p w:rsidR="0079691F" w:rsidRPr="00C93348" w:rsidRDefault="0079691F" w:rsidP="00663A1F">
            <w:pPr>
              <w:pStyle w:val="TableText0"/>
              <w:rPr>
                <w:szCs w:val="20"/>
              </w:rPr>
            </w:pPr>
            <w:r w:rsidRPr="00C93348">
              <w:rPr>
                <w:szCs w:val="20"/>
              </w:rPr>
              <w:t xml:space="preserve">At the time of the previous submission, the median OS had not been reached in either treatment group in FLAURA. The PBAC </w:t>
            </w:r>
            <w:r w:rsidR="00663A1F" w:rsidRPr="00C93348">
              <w:rPr>
                <w:szCs w:val="20"/>
              </w:rPr>
              <w:t>considered</w:t>
            </w:r>
            <w:r w:rsidR="004A0B30" w:rsidRPr="00C93348">
              <w:rPr>
                <w:szCs w:val="20"/>
              </w:rPr>
              <w:t xml:space="preserve"> </w:t>
            </w:r>
            <w:r w:rsidRPr="00C93348">
              <w:rPr>
                <w:szCs w:val="20"/>
              </w:rPr>
              <w:t xml:space="preserve">the magnitude of the survival benefits associated with osimertinib relative to erlotinib/gefitinib as </w:t>
            </w:r>
            <w:r w:rsidR="000721B6" w:rsidRPr="00C93348">
              <w:rPr>
                <w:szCs w:val="20"/>
              </w:rPr>
              <w:t>first-line</w:t>
            </w:r>
            <w:r w:rsidRPr="00C93348">
              <w:rPr>
                <w:szCs w:val="20"/>
              </w:rPr>
              <w:t xml:space="preserve"> therapy for EGFRm NSCLC could not be reliably estimated (paragraph 6.11, Osimertinib PSD, July 2019 PBAC meeting). </w:t>
            </w:r>
          </w:p>
        </w:tc>
        <w:tc>
          <w:tcPr>
            <w:tcW w:w="1741" w:type="pct"/>
          </w:tcPr>
          <w:p w:rsidR="0079691F" w:rsidRPr="00C93348" w:rsidRDefault="0079691F" w:rsidP="00682766">
            <w:pPr>
              <w:pStyle w:val="TableText0"/>
            </w:pPr>
            <w:r w:rsidRPr="00C93348">
              <w:t xml:space="preserve">Addressed. </w:t>
            </w:r>
          </w:p>
          <w:p w:rsidR="0079691F" w:rsidRPr="00C93348" w:rsidRDefault="0079691F" w:rsidP="00682766">
            <w:pPr>
              <w:pStyle w:val="TableText0"/>
              <w:rPr>
                <w:i/>
              </w:rPr>
            </w:pPr>
            <w:r w:rsidRPr="00C93348">
              <w:t xml:space="preserve">The current resubmission presented updated survival data. </w:t>
            </w:r>
          </w:p>
        </w:tc>
      </w:tr>
    </w:tbl>
    <w:p w:rsidR="0079691F" w:rsidRPr="00C93348" w:rsidRDefault="0079691F" w:rsidP="0079691F">
      <w:pPr>
        <w:pStyle w:val="TableFigureFooter"/>
      </w:pPr>
      <w:r w:rsidRPr="00C93348">
        <w:t>Source: Table constructed during the evaluation</w:t>
      </w:r>
    </w:p>
    <w:p w:rsidR="0079691F" w:rsidRPr="00C93348" w:rsidRDefault="0079691F" w:rsidP="0079691F">
      <w:pPr>
        <w:pStyle w:val="TableFigureFooter"/>
      </w:pPr>
      <w:r w:rsidRPr="00C93348">
        <w:rPr>
          <w:vertAlign w:val="superscript"/>
        </w:rPr>
        <w:t xml:space="preserve">a </w:t>
      </w:r>
      <w:r w:rsidRPr="00C93348">
        <w:t xml:space="preserve">Out of the 109 patients who crossed over to osimertinib in the </w:t>
      </w:r>
      <w:r w:rsidR="00D72D9F" w:rsidRPr="00C93348">
        <w:t>SC</w:t>
      </w:r>
      <w:r w:rsidRPr="00C93348">
        <w:t xml:space="preserve"> arm, 85 patients received osimertinib as first subsequent therapy and 24 patients as second subsequent therapy. Patients were required to have evidence of T790M mutation in tumour tissue at progression in order to receive osimertinib, however the exact prevalence of T790M mutation in the study could not be located in the resubmission.</w:t>
      </w:r>
    </w:p>
    <w:p w:rsidR="0079691F" w:rsidRPr="00C93348" w:rsidRDefault="0079691F" w:rsidP="0079691F">
      <w:pPr>
        <w:pStyle w:val="2-SectionHeading"/>
      </w:pPr>
      <w:bookmarkStart w:id="11" w:name="_Toc40094101"/>
      <w:bookmarkStart w:id="12" w:name="_Toc40709202"/>
      <w:bookmarkStart w:id="13" w:name="_Toc22898845"/>
      <w:r w:rsidRPr="00C93348">
        <w:t>Requested listing</w:t>
      </w:r>
      <w:bookmarkEnd w:id="11"/>
      <w:bookmarkEnd w:id="12"/>
    </w:p>
    <w:p w:rsidR="0062451B" w:rsidRPr="00C93348" w:rsidRDefault="00317F09" w:rsidP="00317F09">
      <w:pPr>
        <w:pStyle w:val="3-BodyText"/>
        <w:rPr>
          <w:i/>
        </w:rPr>
      </w:pPr>
      <w:r w:rsidRPr="00C93348">
        <w:t>Suggestions and additions proposed by the Secretariat are added in italics and suggested deletions are crossed out with strikethrough.</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418"/>
        <w:gridCol w:w="1134"/>
        <w:gridCol w:w="992"/>
        <w:gridCol w:w="2126"/>
        <w:gridCol w:w="1723"/>
      </w:tblGrid>
      <w:tr w:rsidR="0079691F" w:rsidRPr="00C93348" w:rsidTr="002E61B6">
        <w:tc>
          <w:tcPr>
            <w:tcW w:w="1843" w:type="dxa"/>
            <w:tcBorders>
              <w:bottom w:val="single" w:sz="4" w:space="0" w:color="auto"/>
            </w:tcBorders>
          </w:tcPr>
          <w:p w:rsidR="0079691F" w:rsidRPr="00C93348" w:rsidRDefault="0079691F" w:rsidP="007A099C">
            <w:pPr>
              <w:pStyle w:val="Tabletext"/>
              <w:keepNext/>
              <w:keepLines/>
              <w:rPr>
                <w:b/>
                <w:bCs/>
              </w:rPr>
            </w:pPr>
            <w:r w:rsidRPr="00C93348">
              <w:rPr>
                <w:b/>
              </w:rPr>
              <w:t>Name, restriction, manner of administration, form</w:t>
            </w:r>
          </w:p>
        </w:tc>
        <w:tc>
          <w:tcPr>
            <w:tcW w:w="1418" w:type="dxa"/>
            <w:tcBorders>
              <w:bottom w:val="single" w:sz="4" w:space="0" w:color="auto"/>
            </w:tcBorders>
          </w:tcPr>
          <w:p w:rsidR="0079691F" w:rsidRPr="00C93348" w:rsidRDefault="0079691F" w:rsidP="007A099C">
            <w:pPr>
              <w:pStyle w:val="Tabletext"/>
              <w:keepNext/>
              <w:keepLines/>
              <w:jc w:val="center"/>
              <w:rPr>
                <w:b/>
                <w:bCs/>
              </w:rPr>
            </w:pPr>
            <w:r w:rsidRPr="00C93348">
              <w:rPr>
                <w:b/>
              </w:rPr>
              <w:t>Maximum quantity (packs)</w:t>
            </w:r>
          </w:p>
        </w:tc>
        <w:tc>
          <w:tcPr>
            <w:tcW w:w="1134" w:type="dxa"/>
            <w:tcBorders>
              <w:bottom w:val="single" w:sz="4" w:space="0" w:color="auto"/>
            </w:tcBorders>
          </w:tcPr>
          <w:p w:rsidR="0079691F" w:rsidRPr="00C93348" w:rsidRDefault="0079691F" w:rsidP="007A099C">
            <w:pPr>
              <w:pStyle w:val="Tabletext"/>
              <w:keepNext/>
              <w:keepLines/>
              <w:jc w:val="center"/>
              <w:rPr>
                <w:b/>
                <w:bCs/>
              </w:rPr>
            </w:pPr>
            <w:r w:rsidRPr="00C93348">
              <w:rPr>
                <w:b/>
              </w:rPr>
              <w:t>Maximum quantity (units)</w:t>
            </w:r>
          </w:p>
        </w:tc>
        <w:tc>
          <w:tcPr>
            <w:tcW w:w="992" w:type="dxa"/>
            <w:tcBorders>
              <w:bottom w:val="single" w:sz="4" w:space="0" w:color="auto"/>
            </w:tcBorders>
          </w:tcPr>
          <w:p w:rsidR="0079691F" w:rsidRPr="00C93348" w:rsidRDefault="0079691F" w:rsidP="007A099C">
            <w:pPr>
              <w:pStyle w:val="Tabletext"/>
              <w:keepNext/>
              <w:keepLines/>
              <w:rPr>
                <w:b/>
                <w:bCs/>
              </w:rPr>
            </w:pPr>
            <w:r w:rsidRPr="00C93348">
              <w:rPr>
                <w:b/>
              </w:rPr>
              <w:t>No. of repeats</w:t>
            </w:r>
          </w:p>
        </w:tc>
        <w:tc>
          <w:tcPr>
            <w:tcW w:w="2126" w:type="dxa"/>
            <w:tcBorders>
              <w:bottom w:val="single" w:sz="4" w:space="0" w:color="auto"/>
            </w:tcBorders>
          </w:tcPr>
          <w:p w:rsidR="0079691F" w:rsidRPr="00C93348" w:rsidRDefault="0079691F" w:rsidP="007A099C">
            <w:pPr>
              <w:pStyle w:val="Tabletext"/>
              <w:keepNext/>
              <w:keepLines/>
              <w:rPr>
                <w:b/>
                <w:bCs/>
              </w:rPr>
            </w:pPr>
            <w:r w:rsidRPr="00C93348">
              <w:rPr>
                <w:b/>
              </w:rPr>
              <w:t>Dispensed price for maximum quantity</w:t>
            </w:r>
          </w:p>
        </w:tc>
        <w:tc>
          <w:tcPr>
            <w:tcW w:w="1723" w:type="dxa"/>
            <w:tcBorders>
              <w:bottom w:val="single" w:sz="4" w:space="0" w:color="auto"/>
            </w:tcBorders>
          </w:tcPr>
          <w:p w:rsidR="0079691F" w:rsidRPr="00C93348" w:rsidRDefault="0079691F" w:rsidP="007A099C">
            <w:pPr>
              <w:pStyle w:val="Tabletext"/>
              <w:keepNext/>
              <w:keepLines/>
              <w:rPr>
                <w:b/>
                <w:bCs/>
              </w:rPr>
            </w:pPr>
            <w:r w:rsidRPr="00C93348">
              <w:rPr>
                <w:b/>
              </w:rPr>
              <w:t>Proprietary name and manufacturer</w:t>
            </w:r>
          </w:p>
        </w:tc>
      </w:tr>
      <w:tr w:rsidR="0079691F" w:rsidRPr="00C93348" w:rsidTr="002E61B6">
        <w:trPr>
          <w:trHeight w:val="846"/>
        </w:trPr>
        <w:tc>
          <w:tcPr>
            <w:tcW w:w="1843" w:type="dxa"/>
            <w:tcBorders>
              <w:bottom w:val="nil"/>
            </w:tcBorders>
          </w:tcPr>
          <w:p w:rsidR="0079691F" w:rsidRPr="00C93348" w:rsidRDefault="0079691F" w:rsidP="007A099C">
            <w:pPr>
              <w:pStyle w:val="Tabletext"/>
              <w:keepNext/>
              <w:keepLines/>
            </w:pPr>
            <w:r w:rsidRPr="00C93348">
              <w:t>Osimertinib</w:t>
            </w:r>
          </w:p>
          <w:p w:rsidR="0079691F" w:rsidRPr="00C93348" w:rsidRDefault="0079691F" w:rsidP="007A099C">
            <w:pPr>
              <w:pStyle w:val="Tabletext"/>
              <w:keepNext/>
              <w:keepLines/>
              <w:rPr>
                <w:b/>
                <w:bCs/>
              </w:rPr>
            </w:pPr>
            <w:r w:rsidRPr="00C93348">
              <w:t>Tablets 80mg</w:t>
            </w:r>
            <w:r w:rsidRPr="00C93348">
              <w:rPr>
                <w:vertAlign w:val="superscript"/>
              </w:rPr>
              <w:t>a</w:t>
            </w:r>
          </w:p>
        </w:tc>
        <w:tc>
          <w:tcPr>
            <w:tcW w:w="1418" w:type="dxa"/>
            <w:tcBorders>
              <w:bottom w:val="nil"/>
            </w:tcBorders>
          </w:tcPr>
          <w:p w:rsidR="0079691F" w:rsidRPr="00C93348" w:rsidRDefault="0079691F" w:rsidP="007A099C">
            <w:pPr>
              <w:pStyle w:val="Tabletext"/>
              <w:keepNext/>
              <w:keepLines/>
              <w:jc w:val="center"/>
            </w:pPr>
          </w:p>
          <w:p w:rsidR="0079691F" w:rsidRPr="00C93348" w:rsidRDefault="0079691F" w:rsidP="007A099C">
            <w:pPr>
              <w:pStyle w:val="Tabletext"/>
              <w:keepNext/>
              <w:keepLines/>
              <w:jc w:val="center"/>
              <w:rPr>
                <w:rFonts w:ascii="Times" w:hAnsi="Times"/>
              </w:rPr>
            </w:pPr>
            <w:r w:rsidRPr="00C93348">
              <w:t>1</w:t>
            </w:r>
          </w:p>
        </w:tc>
        <w:tc>
          <w:tcPr>
            <w:tcW w:w="1134" w:type="dxa"/>
            <w:tcBorders>
              <w:bottom w:val="nil"/>
            </w:tcBorders>
          </w:tcPr>
          <w:p w:rsidR="0079691F" w:rsidRPr="00C93348" w:rsidRDefault="0079691F" w:rsidP="007A099C">
            <w:pPr>
              <w:pStyle w:val="Tabletext"/>
              <w:keepNext/>
              <w:keepLines/>
              <w:jc w:val="center"/>
            </w:pPr>
          </w:p>
          <w:p w:rsidR="0079691F" w:rsidRPr="00C93348" w:rsidRDefault="0079691F" w:rsidP="007A099C">
            <w:pPr>
              <w:pStyle w:val="Tabletext"/>
              <w:keepNext/>
              <w:keepLines/>
              <w:jc w:val="center"/>
              <w:rPr>
                <w:rFonts w:ascii="Times" w:hAnsi="Times"/>
              </w:rPr>
            </w:pPr>
            <w:r w:rsidRPr="00C93348">
              <w:t>30</w:t>
            </w:r>
          </w:p>
        </w:tc>
        <w:tc>
          <w:tcPr>
            <w:tcW w:w="992" w:type="dxa"/>
            <w:tcBorders>
              <w:bottom w:val="nil"/>
            </w:tcBorders>
          </w:tcPr>
          <w:p w:rsidR="0079691F" w:rsidRPr="00C93348" w:rsidRDefault="0079691F" w:rsidP="007A099C">
            <w:pPr>
              <w:pStyle w:val="Tabletext"/>
              <w:keepNext/>
              <w:keepLines/>
              <w:jc w:val="center"/>
            </w:pPr>
          </w:p>
          <w:p w:rsidR="0079691F" w:rsidRPr="00C93348" w:rsidRDefault="0079691F" w:rsidP="007A099C">
            <w:pPr>
              <w:pStyle w:val="Tabletext"/>
              <w:keepNext/>
              <w:keepLines/>
              <w:jc w:val="center"/>
              <w:rPr>
                <w:rFonts w:ascii="Times" w:hAnsi="Times"/>
              </w:rPr>
            </w:pPr>
            <w:r w:rsidRPr="00C93348">
              <w:t>5</w:t>
            </w:r>
          </w:p>
        </w:tc>
        <w:tc>
          <w:tcPr>
            <w:tcW w:w="2126" w:type="dxa"/>
            <w:tcBorders>
              <w:bottom w:val="nil"/>
            </w:tcBorders>
          </w:tcPr>
          <w:p w:rsidR="0079691F" w:rsidRPr="00C93348" w:rsidRDefault="0079691F" w:rsidP="007A099C">
            <w:pPr>
              <w:pStyle w:val="Tabletext"/>
              <w:keepNext/>
              <w:keepLines/>
            </w:pPr>
          </w:p>
          <w:p w:rsidR="0079691F" w:rsidRPr="00C93348" w:rsidRDefault="0079691F" w:rsidP="007A099C">
            <w:pPr>
              <w:pStyle w:val="Tabletext"/>
              <w:keepNext/>
              <w:keepLines/>
            </w:pPr>
            <w:r w:rsidRPr="00C93348">
              <w:t>$7,962.12 published price</w:t>
            </w:r>
          </w:p>
          <w:p w:rsidR="0079691F" w:rsidRPr="00C93348" w:rsidRDefault="0079691F" w:rsidP="007A099C">
            <w:pPr>
              <w:pStyle w:val="Tabletext"/>
              <w:keepNext/>
              <w:keepLines/>
              <w:rPr>
                <w:rFonts w:ascii="Times" w:hAnsi="Times"/>
              </w:rPr>
            </w:pPr>
            <w:r w:rsidRPr="00C93348">
              <w:t>$</w:t>
            </w:r>
            <w:r w:rsidR="00B27C72">
              <w:rPr>
                <w:noProof/>
                <w:color w:val="000000"/>
                <w:highlight w:val="black"/>
              </w:rPr>
              <w:t>'''''''''''''''''''''</w:t>
            </w:r>
            <w:r w:rsidRPr="00C93348">
              <w:t xml:space="preserve"> effective price</w:t>
            </w:r>
          </w:p>
        </w:tc>
        <w:tc>
          <w:tcPr>
            <w:tcW w:w="1723" w:type="dxa"/>
            <w:tcBorders>
              <w:bottom w:val="nil"/>
            </w:tcBorders>
          </w:tcPr>
          <w:p w:rsidR="0079691F" w:rsidRPr="00C93348" w:rsidRDefault="0079691F" w:rsidP="007A099C">
            <w:pPr>
              <w:pStyle w:val="Tabletext"/>
              <w:keepNext/>
              <w:keepLines/>
            </w:pPr>
            <w:r w:rsidRPr="00C93348">
              <w:t>Tagrisso®</w:t>
            </w:r>
          </w:p>
          <w:p w:rsidR="0079691F" w:rsidRPr="00C93348" w:rsidRDefault="0079691F" w:rsidP="007A099C">
            <w:pPr>
              <w:pStyle w:val="Tabletext"/>
              <w:keepNext/>
              <w:keepLines/>
              <w:jc w:val="center"/>
              <w:rPr>
                <w:rFonts w:ascii="Times" w:hAnsi="Times"/>
              </w:rPr>
            </w:pPr>
            <w:r w:rsidRPr="00C93348">
              <w:t>AstraZeneca Pty Ltd</w:t>
            </w:r>
          </w:p>
        </w:tc>
      </w:tr>
      <w:tr w:rsidR="0079691F" w:rsidRPr="00C93348" w:rsidTr="002E61B6">
        <w:tc>
          <w:tcPr>
            <w:tcW w:w="1843" w:type="dxa"/>
            <w:tcBorders>
              <w:top w:val="nil"/>
            </w:tcBorders>
          </w:tcPr>
          <w:p w:rsidR="0079691F" w:rsidRPr="00C93348" w:rsidRDefault="0079691F" w:rsidP="007A099C">
            <w:pPr>
              <w:pStyle w:val="Tabletext"/>
              <w:keepNext/>
              <w:keepLines/>
              <w:rPr>
                <w:b/>
                <w:bCs/>
              </w:rPr>
            </w:pPr>
            <w:r w:rsidRPr="00C93348">
              <w:t>Tablets 40mg</w:t>
            </w:r>
            <w:r w:rsidRPr="00C93348">
              <w:rPr>
                <w:vertAlign w:val="superscript"/>
              </w:rPr>
              <w:t>a</w:t>
            </w:r>
          </w:p>
        </w:tc>
        <w:tc>
          <w:tcPr>
            <w:tcW w:w="1418" w:type="dxa"/>
            <w:tcBorders>
              <w:top w:val="nil"/>
            </w:tcBorders>
          </w:tcPr>
          <w:p w:rsidR="0079691F" w:rsidRPr="00C93348" w:rsidRDefault="0079691F" w:rsidP="007A099C">
            <w:pPr>
              <w:pStyle w:val="Tabletext"/>
              <w:keepNext/>
              <w:keepLines/>
              <w:jc w:val="center"/>
              <w:rPr>
                <w:rFonts w:ascii="Times" w:hAnsi="Times"/>
              </w:rPr>
            </w:pPr>
            <w:r w:rsidRPr="00C93348">
              <w:t>1</w:t>
            </w:r>
          </w:p>
        </w:tc>
        <w:tc>
          <w:tcPr>
            <w:tcW w:w="1134" w:type="dxa"/>
            <w:tcBorders>
              <w:top w:val="nil"/>
            </w:tcBorders>
          </w:tcPr>
          <w:p w:rsidR="0079691F" w:rsidRPr="00C93348" w:rsidRDefault="0079691F" w:rsidP="007A099C">
            <w:pPr>
              <w:pStyle w:val="Tabletext"/>
              <w:keepNext/>
              <w:keepLines/>
              <w:jc w:val="center"/>
              <w:rPr>
                <w:rFonts w:ascii="Times" w:hAnsi="Times"/>
              </w:rPr>
            </w:pPr>
            <w:r w:rsidRPr="00C93348">
              <w:t>30</w:t>
            </w:r>
          </w:p>
        </w:tc>
        <w:tc>
          <w:tcPr>
            <w:tcW w:w="992" w:type="dxa"/>
            <w:tcBorders>
              <w:top w:val="nil"/>
            </w:tcBorders>
          </w:tcPr>
          <w:p w:rsidR="0079691F" w:rsidRPr="00C93348" w:rsidRDefault="0079691F" w:rsidP="007A099C">
            <w:pPr>
              <w:pStyle w:val="Tabletext"/>
              <w:keepNext/>
              <w:keepLines/>
              <w:jc w:val="center"/>
              <w:rPr>
                <w:rFonts w:ascii="Times" w:hAnsi="Times"/>
              </w:rPr>
            </w:pPr>
            <w:r w:rsidRPr="00C93348">
              <w:t>5</w:t>
            </w:r>
          </w:p>
        </w:tc>
        <w:tc>
          <w:tcPr>
            <w:tcW w:w="2126" w:type="dxa"/>
            <w:tcBorders>
              <w:top w:val="nil"/>
            </w:tcBorders>
          </w:tcPr>
          <w:p w:rsidR="0079691F" w:rsidRPr="00C93348" w:rsidRDefault="0079691F" w:rsidP="007A099C">
            <w:pPr>
              <w:pStyle w:val="Tabletext"/>
              <w:keepNext/>
              <w:keepLines/>
            </w:pPr>
            <w:r w:rsidRPr="00C93348">
              <w:t>$7,962.12 published price</w:t>
            </w:r>
          </w:p>
          <w:p w:rsidR="0079691F" w:rsidRPr="00C93348" w:rsidRDefault="0079691F" w:rsidP="007A099C">
            <w:pPr>
              <w:pStyle w:val="Tabletext"/>
              <w:keepNext/>
              <w:keepLines/>
              <w:rPr>
                <w:rFonts w:ascii="Times" w:hAnsi="Times"/>
              </w:rPr>
            </w:pPr>
            <w:r w:rsidRPr="00C93348">
              <w:t>$</w:t>
            </w:r>
            <w:r w:rsidR="00B27C72">
              <w:rPr>
                <w:noProof/>
                <w:color w:val="000000"/>
                <w:highlight w:val="black"/>
              </w:rPr>
              <w:t>'''''''''''''''''''''</w:t>
            </w:r>
            <w:r w:rsidRPr="00C93348">
              <w:t xml:space="preserve"> effective price</w:t>
            </w:r>
          </w:p>
        </w:tc>
        <w:tc>
          <w:tcPr>
            <w:tcW w:w="1723" w:type="dxa"/>
            <w:tcBorders>
              <w:top w:val="nil"/>
            </w:tcBorders>
          </w:tcPr>
          <w:p w:rsidR="0079691F" w:rsidRPr="00C93348" w:rsidRDefault="0079691F" w:rsidP="007A099C">
            <w:pPr>
              <w:pStyle w:val="Tabletext"/>
              <w:keepNext/>
              <w:keepLines/>
              <w:jc w:val="center"/>
              <w:rPr>
                <w:rFonts w:ascii="Times" w:hAnsi="Times"/>
              </w:rPr>
            </w:pPr>
          </w:p>
        </w:tc>
      </w:tr>
    </w:tbl>
    <w:p w:rsidR="0079691F" w:rsidRPr="00C93348" w:rsidRDefault="0079691F" w:rsidP="007A099C">
      <w:pPr>
        <w:pStyle w:val="TableFooter"/>
        <w:keepNext/>
        <w:keepLines/>
      </w:pPr>
      <w:r w:rsidRPr="00C93348">
        <w:rPr>
          <w:vertAlign w:val="superscript"/>
        </w:rPr>
        <w:t xml:space="preserve">a </w:t>
      </w:r>
      <w:r w:rsidRPr="00C93348">
        <w:t>The strength of 80mg is for both initial treatment and continuing treatment; whilst 40mg is only for continuing treatment.</w:t>
      </w:r>
    </w:p>
    <w:p w:rsidR="0079691F" w:rsidRPr="00C93348" w:rsidRDefault="0079691F" w:rsidP="007A099C">
      <w:pPr>
        <w:keepNext/>
        <w:keepLines/>
      </w:pPr>
    </w:p>
    <w:tbl>
      <w:tblPr>
        <w:tblStyle w:val="TableGrid"/>
        <w:tblW w:w="5000" w:type="pct"/>
        <w:tblLook w:val="04A0" w:firstRow="1" w:lastRow="0" w:firstColumn="1" w:lastColumn="0" w:noHBand="0" w:noVBand="1"/>
      </w:tblPr>
      <w:tblGrid>
        <w:gridCol w:w="1838"/>
        <w:gridCol w:w="7179"/>
      </w:tblGrid>
      <w:tr w:rsidR="0079691F" w:rsidRPr="00C93348" w:rsidTr="00B721D0">
        <w:tc>
          <w:tcPr>
            <w:tcW w:w="1019" w:type="pct"/>
          </w:tcPr>
          <w:p w:rsidR="0079691F" w:rsidRPr="00B721D0" w:rsidRDefault="0079691F" w:rsidP="007A099C">
            <w:pPr>
              <w:pStyle w:val="TableText0"/>
              <w:keepLines/>
              <w:rPr>
                <w:b/>
              </w:rPr>
            </w:pPr>
            <w:r w:rsidRPr="00B721D0">
              <w:rPr>
                <w:b/>
              </w:rPr>
              <w:t>Category / Program</w:t>
            </w:r>
          </w:p>
        </w:tc>
        <w:tc>
          <w:tcPr>
            <w:tcW w:w="3981" w:type="pct"/>
          </w:tcPr>
          <w:p w:rsidR="0079691F" w:rsidRPr="00C93348" w:rsidRDefault="0079691F" w:rsidP="007A099C">
            <w:pPr>
              <w:pStyle w:val="TableText0"/>
              <w:keepLines/>
            </w:pPr>
            <w:r w:rsidRPr="00C93348">
              <w:t>Section 85 – General Schedule</w:t>
            </w:r>
          </w:p>
        </w:tc>
      </w:tr>
      <w:tr w:rsidR="0079691F" w:rsidRPr="00C93348" w:rsidTr="00B721D0">
        <w:tc>
          <w:tcPr>
            <w:tcW w:w="1019" w:type="pct"/>
          </w:tcPr>
          <w:p w:rsidR="0079691F" w:rsidRPr="00B721D0" w:rsidRDefault="0079691F" w:rsidP="007A099C">
            <w:pPr>
              <w:pStyle w:val="TableText0"/>
              <w:keepLines/>
              <w:rPr>
                <w:b/>
              </w:rPr>
            </w:pPr>
            <w:r w:rsidRPr="00B721D0">
              <w:rPr>
                <w:b/>
              </w:rPr>
              <w:t>Prescriber type</w:t>
            </w:r>
          </w:p>
        </w:tc>
        <w:tc>
          <w:tcPr>
            <w:tcW w:w="3981" w:type="pct"/>
          </w:tcPr>
          <w:p w:rsidR="0079691F" w:rsidRPr="00C93348" w:rsidRDefault="0079691F" w:rsidP="007A099C">
            <w:pPr>
              <w:pStyle w:val="TableText0"/>
              <w:keepLines/>
            </w:pPr>
            <w:r w:rsidRPr="00C93348">
              <w:fldChar w:fldCharType="begin">
                <w:ffData>
                  <w:name w:val="Check1"/>
                  <w:enabled/>
                  <w:calcOnExit w:val="0"/>
                  <w:checkBox>
                    <w:sizeAuto/>
                    <w:default w:val="1"/>
                  </w:checkBox>
                </w:ffData>
              </w:fldChar>
            </w:r>
            <w:r w:rsidRPr="00C93348">
              <w:instrText xml:space="preserve"> FORMCHECKBOX </w:instrText>
            </w:r>
            <w:r w:rsidR="00646896">
              <w:fldChar w:fldCharType="separate"/>
            </w:r>
            <w:r w:rsidRPr="00C93348">
              <w:fldChar w:fldCharType="end"/>
            </w:r>
            <w:r w:rsidRPr="00C93348">
              <w:t xml:space="preserve"> Medical Practitioners </w:t>
            </w:r>
          </w:p>
        </w:tc>
      </w:tr>
      <w:tr w:rsidR="0079691F" w:rsidRPr="00C93348" w:rsidTr="00B721D0">
        <w:tc>
          <w:tcPr>
            <w:tcW w:w="1019" w:type="pct"/>
          </w:tcPr>
          <w:p w:rsidR="0079691F" w:rsidRPr="00B721D0" w:rsidRDefault="0079691F" w:rsidP="007A099C">
            <w:pPr>
              <w:pStyle w:val="TableText0"/>
              <w:keepLines/>
              <w:rPr>
                <w:b/>
              </w:rPr>
            </w:pPr>
            <w:r w:rsidRPr="00B721D0">
              <w:rPr>
                <w:b/>
              </w:rPr>
              <w:t>Condition</w:t>
            </w:r>
          </w:p>
        </w:tc>
        <w:tc>
          <w:tcPr>
            <w:tcW w:w="3981" w:type="pct"/>
          </w:tcPr>
          <w:p w:rsidR="0079691F" w:rsidRPr="00C93348" w:rsidRDefault="0079691F" w:rsidP="007A099C">
            <w:pPr>
              <w:pStyle w:val="TableText0"/>
              <w:keepLines/>
            </w:pPr>
            <w:r w:rsidRPr="00C93348">
              <w:t>Locally advanced (Stage IIIb) or metastatic (Stage IV) non-small cell lung cancer</w:t>
            </w:r>
          </w:p>
        </w:tc>
      </w:tr>
      <w:tr w:rsidR="0079691F" w:rsidRPr="00C93348" w:rsidTr="00B721D0">
        <w:tc>
          <w:tcPr>
            <w:tcW w:w="1019" w:type="pct"/>
          </w:tcPr>
          <w:p w:rsidR="0079691F" w:rsidRPr="00B721D0" w:rsidRDefault="0079691F" w:rsidP="007A099C">
            <w:pPr>
              <w:pStyle w:val="TableText0"/>
              <w:keepLines/>
              <w:rPr>
                <w:b/>
              </w:rPr>
            </w:pPr>
            <w:r w:rsidRPr="00B721D0">
              <w:rPr>
                <w:b/>
              </w:rPr>
              <w:t>Treatment phase</w:t>
            </w:r>
          </w:p>
        </w:tc>
        <w:tc>
          <w:tcPr>
            <w:tcW w:w="3981" w:type="pct"/>
          </w:tcPr>
          <w:p w:rsidR="0079691F" w:rsidRPr="00C93348" w:rsidRDefault="0079691F" w:rsidP="007A099C">
            <w:pPr>
              <w:pStyle w:val="TableText0"/>
              <w:keepLines/>
            </w:pPr>
            <w:r w:rsidRPr="00C93348">
              <w:t>Initial</w:t>
            </w:r>
            <w:r w:rsidR="00D91D70" w:rsidRPr="00C93348">
              <w:t xml:space="preserve"> </w:t>
            </w:r>
            <w:r w:rsidR="00D91D70" w:rsidRPr="00C93348">
              <w:rPr>
                <w:i/>
              </w:rPr>
              <w:t>treatment with first-line</w:t>
            </w:r>
            <w:r w:rsidR="00EC64DC">
              <w:rPr>
                <w:i/>
              </w:rPr>
              <w:t xml:space="preserve"> EGFR</w:t>
            </w:r>
            <w:r w:rsidR="00D91D70" w:rsidRPr="00C93348">
              <w:rPr>
                <w:i/>
              </w:rPr>
              <w:t xml:space="preserve"> tyrosine kinase inhibitor</w:t>
            </w:r>
          </w:p>
        </w:tc>
      </w:tr>
      <w:tr w:rsidR="0079691F" w:rsidRPr="00C93348" w:rsidTr="00B721D0">
        <w:tc>
          <w:tcPr>
            <w:tcW w:w="1019" w:type="pct"/>
          </w:tcPr>
          <w:p w:rsidR="0079691F" w:rsidRPr="00B721D0" w:rsidRDefault="0079691F" w:rsidP="007A099C">
            <w:pPr>
              <w:pStyle w:val="TableText0"/>
              <w:keepLines/>
              <w:rPr>
                <w:b/>
              </w:rPr>
            </w:pPr>
            <w:r w:rsidRPr="00B721D0">
              <w:rPr>
                <w:b/>
              </w:rPr>
              <w:t>Restriction</w:t>
            </w:r>
          </w:p>
        </w:tc>
        <w:tc>
          <w:tcPr>
            <w:tcW w:w="3981" w:type="pct"/>
          </w:tcPr>
          <w:p w:rsidR="0079691F" w:rsidRPr="00C93348" w:rsidRDefault="0079691F" w:rsidP="007A099C">
            <w:pPr>
              <w:pStyle w:val="TableText0"/>
              <w:keepLines/>
            </w:pPr>
            <w:r w:rsidRPr="00C93348">
              <w:fldChar w:fldCharType="begin">
                <w:ffData>
                  <w:name w:val="Check1"/>
                  <w:enabled/>
                  <w:calcOnExit w:val="0"/>
                  <w:checkBox>
                    <w:sizeAuto/>
                    <w:default w:val="1"/>
                  </w:checkBox>
                </w:ffData>
              </w:fldChar>
            </w:r>
            <w:r w:rsidRPr="00C93348">
              <w:instrText xml:space="preserve"> FORMCHECKBOX </w:instrText>
            </w:r>
            <w:r w:rsidR="00646896">
              <w:fldChar w:fldCharType="separate"/>
            </w:r>
            <w:r w:rsidRPr="00C93348">
              <w:fldChar w:fldCharType="end"/>
            </w:r>
            <w:r w:rsidRPr="00C93348">
              <w:t xml:space="preserve"> Authority Required – Telephone</w:t>
            </w:r>
            <w:r w:rsidR="00D91D70" w:rsidRPr="00C93348">
              <w:t>/ Online</w:t>
            </w:r>
          </w:p>
          <w:p w:rsidR="0079691F" w:rsidRPr="00C93348" w:rsidRDefault="0079691F" w:rsidP="007A099C">
            <w:pPr>
              <w:pStyle w:val="TableText0"/>
              <w:keepLines/>
            </w:pPr>
          </w:p>
        </w:tc>
      </w:tr>
      <w:tr w:rsidR="0079691F" w:rsidRPr="00C93348" w:rsidTr="00B721D0">
        <w:tc>
          <w:tcPr>
            <w:tcW w:w="1019" w:type="pct"/>
          </w:tcPr>
          <w:p w:rsidR="0079691F" w:rsidRPr="00B721D0" w:rsidRDefault="0079691F" w:rsidP="007A099C">
            <w:pPr>
              <w:pStyle w:val="TableText0"/>
              <w:keepLines/>
              <w:rPr>
                <w:b/>
                <w:vertAlign w:val="superscript"/>
              </w:rPr>
            </w:pPr>
            <w:r w:rsidRPr="00B721D0">
              <w:rPr>
                <w:b/>
              </w:rPr>
              <w:t>Clinical criteria</w:t>
            </w:r>
          </w:p>
        </w:tc>
        <w:tc>
          <w:tcPr>
            <w:tcW w:w="3981" w:type="pct"/>
          </w:tcPr>
          <w:p w:rsidR="0079691F" w:rsidRPr="00C93348" w:rsidRDefault="0079691F" w:rsidP="007A099C">
            <w:pPr>
              <w:pStyle w:val="TableText0"/>
              <w:keepLines/>
            </w:pPr>
            <w:r w:rsidRPr="00C93348">
              <w:t>The treatment must be the sole PBS-subsidised therapy for this condition</w:t>
            </w:r>
          </w:p>
          <w:p w:rsidR="0079691F" w:rsidRPr="00C93348" w:rsidRDefault="0079691F" w:rsidP="007A099C">
            <w:pPr>
              <w:pStyle w:val="TableText0"/>
              <w:keepLines/>
            </w:pPr>
            <w:r w:rsidRPr="00C93348">
              <w:t>AND</w:t>
            </w:r>
          </w:p>
          <w:p w:rsidR="0079691F" w:rsidRPr="00C93348" w:rsidRDefault="0079691F" w:rsidP="007A099C">
            <w:pPr>
              <w:pStyle w:val="TableText0"/>
              <w:keepLines/>
            </w:pPr>
            <w:r w:rsidRPr="00C93348">
              <w:t xml:space="preserve">Patient must have a WHO performance status of 2 or less </w:t>
            </w:r>
          </w:p>
          <w:p w:rsidR="0079691F" w:rsidRPr="00C93348" w:rsidRDefault="0079691F" w:rsidP="007A099C">
            <w:pPr>
              <w:pStyle w:val="TableText0"/>
              <w:keepLines/>
            </w:pPr>
            <w:r w:rsidRPr="00C93348">
              <w:t>AND</w:t>
            </w:r>
          </w:p>
          <w:p w:rsidR="0079691F" w:rsidRPr="00C93348" w:rsidRDefault="0079691F" w:rsidP="007A099C">
            <w:pPr>
              <w:pStyle w:val="TableText0"/>
              <w:keepLines/>
            </w:pPr>
            <w:r w:rsidRPr="00C93348">
              <w:t>Patient must not have previously received PBS-subsidised treatment with this drug for this condition</w:t>
            </w:r>
          </w:p>
          <w:p w:rsidR="0079691F" w:rsidRPr="00C93348" w:rsidRDefault="0079691F" w:rsidP="007A099C">
            <w:pPr>
              <w:pStyle w:val="TableText0"/>
              <w:keepLines/>
            </w:pPr>
            <w:r w:rsidRPr="00C93348">
              <w:t>AND</w:t>
            </w:r>
          </w:p>
          <w:p w:rsidR="0079691F" w:rsidRPr="00C93348" w:rsidRDefault="0079691F" w:rsidP="007A099C">
            <w:pPr>
              <w:pStyle w:val="TableText0"/>
              <w:keepLines/>
            </w:pPr>
            <w:r w:rsidRPr="00C93348">
              <w:t>Patient must not have received previous PBS-subsidised treatment with another epidermal growth factor receptor (EGFR) tyrosine kinase inhibitor (TKI)</w:t>
            </w:r>
          </w:p>
          <w:p w:rsidR="0079691F" w:rsidRPr="00C93348" w:rsidRDefault="0079691F" w:rsidP="007A099C">
            <w:pPr>
              <w:pStyle w:val="TableText0"/>
              <w:keepLines/>
            </w:pPr>
            <w:r w:rsidRPr="00C93348">
              <w:t>OR</w:t>
            </w:r>
          </w:p>
          <w:p w:rsidR="0079691F" w:rsidRPr="00C93348" w:rsidRDefault="0079691F" w:rsidP="007A099C">
            <w:pPr>
              <w:pStyle w:val="TableText0"/>
              <w:keepLines/>
            </w:pPr>
            <w:r w:rsidRPr="00C93348">
              <w:t>Patient must have developed intolerance to another epidermal growth factor receptor (EGFR) tyrosine kinase inhibitor (TKI) of a severity necessitating permanent treatment withdrawal.</w:t>
            </w:r>
          </w:p>
          <w:p w:rsidR="0079691F" w:rsidRPr="00C93348" w:rsidRDefault="0079691F" w:rsidP="007A099C">
            <w:pPr>
              <w:pStyle w:val="TableText0"/>
              <w:keepLines/>
              <w:rPr>
                <w:strike/>
              </w:rPr>
            </w:pPr>
          </w:p>
        </w:tc>
      </w:tr>
      <w:tr w:rsidR="0079691F" w:rsidRPr="00C93348" w:rsidTr="00B721D0">
        <w:trPr>
          <w:trHeight w:val="677"/>
        </w:trPr>
        <w:tc>
          <w:tcPr>
            <w:tcW w:w="1019" w:type="pct"/>
          </w:tcPr>
          <w:p w:rsidR="0079691F" w:rsidRPr="00B721D0" w:rsidRDefault="0079691F" w:rsidP="007A099C">
            <w:pPr>
              <w:pStyle w:val="TableText0"/>
              <w:keepLines/>
              <w:rPr>
                <w:b/>
              </w:rPr>
            </w:pPr>
            <w:r w:rsidRPr="00B721D0">
              <w:rPr>
                <w:b/>
              </w:rPr>
              <w:t>Population criteria</w:t>
            </w:r>
          </w:p>
        </w:tc>
        <w:tc>
          <w:tcPr>
            <w:tcW w:w="3981" w:type="pct"/>
          </w:tcPr>
          <w:p w:rsidR="0079691F" w:rsidRPr="00C93348" w:rsidRDefault="0079691F" w:rsidP="007A099C">
            <w:pPr>
              <w:pStyle w:val="TableText0"/>
              <w:keepLines/>
            </w:pPr>
            <w:r w:rsidRPr="00C93348">
              <w:t xml:space="preserve">Patient must have evidence </w:t>
            </w:r>
            <w:r w:rsidR="00663A1F" w:rsidRPr="00C93348">
              <w:rPr>
                <w:i/>
              </w:rPr>
              <w:t xml:space="preserve">in tumour material </w:t>
            </w:r>
            <w:r w:rsidRPr="00C93348">
              <w:t xml:space="preserve">of an activating epidermal growth factor receptor (EGFR) gene mutation known to confer sensitivity to treatment with EGFR tyrosine kinase inhibitors </w:t>
            </w:r>
            <w:r w:rsidRPr="00C93348">
              <w:rPr>
                <w:strike/>
              </w:rPr>
              <w:t>in tumour material</w:t>
            </w:r>
          </w:p>
        </w:tc>
      </w:tr>
      <w:tr w:rsidR="0079691F" w:rsidRPr="00C93348" w:rsidTr="00B721D0">
        <w:trPr>
          <w:trHeight w:val="677"/>
        </w:trPr>
        <w:tc>
          <w:tcPr>
            <w:tcW w:w="1019" w:type="pct"/>
          </w:tcPr>
          <w:p w:rsidR="0079691F" w:rsidRPr="00B721D0" w:rsidRDefault="0079691F" w:rsidP="007A099C">
            <w:pPr>
              <w:pStyle w:val="TableText0"/>
              <w:keepLines/>
              <w:rPr>
                <w:b/>
              </w:rPr>
            </w:pPr>
            <w:r w:rsidRPr="00B721D0">
              <w:rPr>
                <w:b/>
              </w:rPr>
              <w:t>Administrative</w:t>
            </w:r>
          </w:p>
        </w:tc>
        <w:tc>
          <w:tcPr>
            <w:tcW w:w="3981" w:type="pct"/>
          </w:tcPr>
          <w:p w:rsidR="00663A1F" w:rsidRPr="00C93348" w:rsidRDefault="00663A1F" w:rsidP="007A099C">
            <w:pPr>
              <w:pStyle w:val="TableText0"/>
              <w:keepLines/>
              <w:rPr>
                <w:i/>
              </w:rPr>
            </w:pPr>
            <w:r w:rsidRPr="00C93348">
              <w:rPr>
                <w:i/>
              </w:rPr>
              <w:t xml:space="preserve">Applications for authorisation under this restriction may be made in real time using the Online PBS Authorities system (see </w:t>
            </w:r>
            <w:r w:rsidRPr="00B27C72">
              <w:rPr>
                <w:i/>
              </w:rPr>
              <w:t>www.servicesaustralia.gov.au/HPOS</w:t>
            </w:r>
            <w:r w:rsidRPr="00C93348">
              <w:rPr>
                <w:i/>
              </w:rPr>
              <w:t xml:space="preserve">) or by telephone by contacting Services Australia on 1800 888 333. </w:t>
            </w:r>
          </w:p>
          <w:p w:rsidR="0079691F" w:rsidRPr="00C93348" w:rsidRDefault="0079691F" w:rsidP="007A099C">
            <w:pPr>
              <w:pStyle w:val="TableText0"/>
              <w:keepLines/>
            </w:pPr>
            <w:r w:rsidRPr="00C93348">
              <w:t>No increase in the maximum quantity or number of units may be authorised</w:t>
            </w:r>
          </w:p>
          <w:p w:rsidR="0079691F" w:rsidRPr="00C93348" w:rsidRDefault="0079691F" w:rsidP="007A099C">
            <w:pPr>
              <w:pStyle w:val="TableText0"/>
              <w:keepLines/>
            </w:pPr>
            <w:r w:rsidRPr="00C93348">
              <w:t>No increase in the maximum number of repeats may be authorised</w:t>
            </w:r>
          </w:p>
          <w:p w:rsidR="0079691F" w:rsidRPr="00C93348" w:rsidRDefault="0079691F" w:rsidP="007A099C">
            <w:pPr>
              <w:pStyle w:val="TableText0"/>
              <w:keepLines/>
            </w:pPr>
            <w:r w:rsidRPr="00C93348">
              <w:t>Special Pricing Arrangements apply</w:t>
            </w:r>
          </w:p>
        </w:tc>
      </w:tr>
    </w:tbl>
    <w:p w:rsidR="0079691F" w:rsidRPr="00C93348" w:rsidRDefault="0079691F" w:rsidP="007A099C">
      <w:pPr>
        <w:pStyle w:val="3-BodyText"/>
        <w:spacing w:before="120"/>
      </w:pPr>
      <w:r w:rsidRPr="00C93348">
        <w:t xml:space="preserve">The resubmission proposed an updated Special Pricing Arrangement (SPA), in which the proposed effective price was </w:t>
      </w:r>
      <w:r w:rsidR="00B27C72">
        <w:rPr>
          <w:noProof/>
          <w:color w:val="000000"/>
          <w:highlight w:val="black"/>
        </w:rPr>
        <w:t>'''''</w:t>
      </w:r>
      <w:r w:rsidRPr="00C93348">
        <w:t xml:space="preserve">% lower than in the previous submission. </w:t>
      </w:r>
    </w:p>
    <w:p w:rsidR="0079691F" w:rsidRPr="00C93348" w:rsidRDefault="0079691F" w:rsidP="0079691F">
      <w:pPr>
        <w:pStyle w:val="3-BodyText"/>
      </w:pPr>
      <w:r w:rsidRPr="00C93348">
        <w:t>Osimertinib is currently listed on the PBS for the treatment of locally advanced or metastatic NSCLC in patients who have progressed on or after EGFR</w:t>
      </w:r>
      <w:r w:rsidRPr="00C93348">
        <w:rPr>
          <w:rFonts w:ascii="Calibri" w:hAnsi="Calibri"/>
          <w:snapToGrid/>
        </w:rPr>
        <w:t xml:space="preserve"> </w:t>
      </w:r>
      <w:r w:rsidRPr="00C93348">
        <w:t xml:space="preserve">tyrosine kinase inhibitor (TKI) therapy, and who have evidence </w:t>
      </w:r>
      <w:r w:rsidR="004540E9" w:rsidRPr="00C93348">
        <w:t xml:space="preserve">in tumour material </w:t>
      </w:r>
      <w:r w:rsidRPr="00C93348">
        <w:t xml:space="preserve">of EGFR T790M mutation at progression. The PBAC previously considered that, if osimertinib was recommended for </w:t>
      </w:r>
      <w:r w:rsidR="000721B6" w:rsidRPr="00C93348">
        <w:t>first-line</w:t>
      </w:r>
      <w:r w:rsidRPr="00C93348">
        <w:t xml:space="preserve"> treatment, a listing where first and </w:t>
      </w:r>
      <w:r w:rsidR="000721B6" w:rsidRPr="00C93348">
        <w:t>second-line</w:t>
      </w:r>
      <w:r w:rsidRPr="00C93348">
        <w:t xml:space="preserve"> osimertinib treatment would be combined into one “line-agnostic” restriction would be appropriate (paragraph 7.4, osimertinib, Public Summary Document (PSD), July 2019 PBAC meeting). However, the resubmission requested separate restrictions for first- and </w:t>
      </w:r>
      <w:r w:rsidR="000721B6" w:rsidRPr="00C93348">
        <w:t>second-line</w:t>
      </w:r>
      <w:r w:rsidRPr="00C93348">
        <w:t xml:space="preserve"> osimertinib, although it also stated that the sponsor was willing to work with the Department to ensure that the wording of these listings best met the requirements of locally advanced or metastatic EGFRm NSCLC patients.</w:t>
      </w:r>
      <w:r w:rsidR="004540E9" w:rsidRPr="00C93348">
        <w:t xml:space="preserve"> </w:t>
      </w:r>
      <w:r w:rsidR="006C48ED" w:rsidRPr="00C93348">
        <w:t>The PBAC noted</w:t>
      </w:r>
      <w:r w:rsidR="005851C8" w:rsidRPr="00C93348">
        <w:t xml:space="preserve"> separate restrictions</w:t>
      </w:r>
      <w:r w:rsidR="006C48ED" w:rsidRPr="00C93348">
        <w:t xml:space="preserve"> for the first</w:t>
      </w:r>
      <w:r w:rsidR="005851C8" w:rsidRPr="00C93348">
        <w:t>- and second-</w:t>
      </w:r>
      <w:r w:rsidR="006C48ED" w:rsidRPr="00C93348">
        <w:t xml:space="preserve">line </w:t>
      </w:r>
      <w:r w:rsidR="005851C8" w:rsidRPr="00C93348">
        <w:t xml:space="preserve">treatment </w:t>
      </w:r>
      <w:r w:rsidR="006C48ED" w:rsidRPr="00C93348">
        <w:t xml:space="preserve">settings </w:t>
      </w:r>
      <w:r w:rsidR="005851C8" w:rsidRPr="00C93348">
        <w:t xml:space="preserve">is reasonable </w:t>
      </w:r>
      <w:r w:rsidR="006C48ED" w:rsidRPr="00C93348">
        <w:t>given the different prices for osimertinib in each setting and the expected use in each setting changing over time.</w:t>
      </w:r>
    </w:p>
    <w:p w:rsidR="0079691F" w:rsidRPr="00C93348" w:rsidRDefault="0079691F" w:rsidP="0079691F">
      <w:pPr>
        <w:pStyle w:val="3-BodyText"/>
      </w:pPr>
      <w:r w:rsidRPr="00C93348">
        <w:t>The proposed restriction in the resubmission was broader than the patient selection criteria in the key FLAURA trial in terms of: i) not limiting eligibility by tumour histology type (versus adenocarcinoma in the key trial); ii) the inclusion of patients with a performance status of 2 (versus 0 -1 only in the key trial); iii) including all patients with stage IIIB (versus specifying stage IIIB patients who are not candidates for local treatment in the key trial); and iv) the inclusion of patients who were intolerant to other TKIs that require treatment termination (which was not included in the key trial).</w:t>
      </w:r>
    </w:p>
    <w:p w:rsidR="0079691F" w:rsidRPr="00C93348" w:rsidRDefault="0079691F" w:rsidP="0079691F">
      <w:pPr>
        <w:pStyle w:val="3-BodyText"/>
      </w:pPr>
      <w:r w:rsidRPr="00C93348">
        <w:t>As in the previous submission, the resubmission proposed a minor amendment to MBS Item 73337, which is an EGFR test of tumour tissue to determine EGFR gene status for access to erlotinib, gefitinib or afatinib under the PBS. This amendment requested the addition of osimertinib to the list of TKI agents for which Item 73337 can be used to determine PBS eligibility. It is expected that this revision would have no impact on the number of tests performed in clinical practice or on the cost to the MBS because an EGFR test would be required for other TKIs currently listed on the PBS, e.g. erlotinib, gefitinib and afatinib.</w:t>
      </w:r>
      <w:bookmarkStart w:id="14" w:name="_Toc22898848"/>
      <w:bookmarkEnd w:id="13"/>
      <w:r w:rsidRPr="00C93348">
        <w:t xml:space="preserve"> However, there would be a reduction in the requirement for a second biopsy and testing for T790M mutation status required to determine eligibility for </w:t>
      </w:r>
      <w:r w:rsidR="000721B6" w:rsidRPr="00C93348">
        <w:t>second-line</w:t>
      </w:r>
      <w:r w:rsidRPr="00C93348">
        <w:t xml:space="preserve"> osimertinib.</w:t>
      </w:r>
    </w:p>
    <w:p w:rsidR="00E77FC1" w:rsidRPr="00C93348" w:rsidRDefault="00E77FC1" w:rsidP="00E77FC1">
      <w:pPr>
        <w:pStyle w:val="3-BodyText"/>
        <w:numPr>
          <w:ilvl w:val="0"/>
          <w:numId w:val="0"/>
        </w:numPr>
        <w:ind w:firstLine="720"/>
        <w:rPr>
          <w:i/>
        </w:rPr>
      </w:pPr>
      <w:r w:rsidRPr="00C93348">
        <w:rPr>
          <w:i/>
        </w:rPr>
        <w:t>For more detail on PBAC’s view, see section 7 PBAC outcome.</w:t>
      </w:r>
    </w:p>
    <w:p w:rsidR="0079691F" w:rsidRPr="00C93348" w:rsidRDefault="0079691F" w:rsidP="0079691F">
      <w:pPr>
        <w:pStyle w:val="2-SectionHeading"/>
      </w:pPr>
      <w:bookmarkStart w:id="15" w:name="_Toc22898849"/>
      <w:bookmarkStart w:id="16" w:name="_Toc40094102"/>
      <w:bookmarkStart w:id="17" w:name="_Toc40709203"/>
      <w:bookmarkEnd w:id="14"/>
      <w:r w:rsidRPr="00C93348">
        <w:t>Population and disease</w:t>
      </w:r>
      <w:bookmarkEnd w:id="15"/>
      <w:bookmarkEnd w:id="16"/>
      <w:bookmarkEnd w:id="17"/>
    </w:p>
    <w:p w:rsidR="0079691F" w:rsidRPr="00C93348" w:rsidRDefault="0079691F" w:rsidP="0079691F">
      <w:pPr>
        <w:pStyle w:val="3-BodyText"/>
      </w:pPr>
      <w:r w:rsidRPr="00C93348">
        <w:t>Lung cancer is the fifth most commonly diagnosed cancer in Australia and the most common cause of cancer-related death, accounting for 18.9% of cancer-related deaths. Due to early-stage lung cancer being largely insidious, more than 50% of patients are diagnosed at an advanced or inoperable stage</w:t>
      </w:r>
      <w:r w:rsidRPr="00C93348">
        <w:rPr>
          <w:rStyle w:val="FootnoteReference"/>
          <w:rFonts w:eastAsiaTheme="minorHAnsi"/>
        </w:rPr>
        <w:footnoteReference w:id="2"/>
      </w:r>
      <w:r w:rsidRPr="00C93348">
        <w:t>.</w:t>
      </w:r>
    </w:p>
    <w:p w:rsidR="0079691F" w:rsidRPr="00C93348" w:rsidRDefault="0079691F" w:rsidP="0079691F">
      <w:pPr>
        <w:pStyle w:val="3-BodyText"/>
      </w:pPr>
      <w:r w:rsidRPr="00C93348">
        <w:t>In Australia, between 15% and 26% of NSCLC patients have tumours harbouring an activating mutation in the EGFR gene, which confers sensitivity to EGFR-TKIs</w:t>
      </w:r>
      <w:r w:rsidRPr="00C93348">
        <w:rPr>
          <w:rStyle w:val="FootnoteReference"/>
          <w:rFonts w:eastAsiaTheme="minorHAnsi"/>
        </w:rPr>
        <w:footnoteReference w:id="3"/>
      </w:r>
      <w:r w:rsidRPr="00C93348">
        <w:t xml:space="preserve">. Two main classes of activating mutations that are sensitive to TKIs are exon 19 deletions (Ex19del) and L858R point mutation in exon 21. Currently, patients who progress on erlotinib, gefitinib or afatinib undergo a biopsy to test for the presence of T790M resistance mutation in the tumour tissue. Patients who test positive for the T790M mutation are eligible to receive PBS-subsidised osimertinib as </w:t>
      </w:r>
      <w:r w:rsidR="000721B6" w:rsidRPr="00C93348">
        <w:t>second-line</w:t>
      </w:r>
      <w:r w:rsidRPr="00C93348">
        <w:t xml:space="preserve"> therapy.</w:t>
      </w:r>
    </w:p>
    <w:p w:rsidR="0079691F" w:rsidRPr="00C93348" w:rsidRDefault="0079691F" w:rsidP="0079691F">
      <w:pPr>
        <w:pStyle w:val="3-BodyText"/>
      </w:pPr>
      <w:r w:rsidRPr="00C93348">
        <w:t>The population proposed for treatment with osimertinib is treatment-naïve patients with locally advanced (Stage IIIB) or metastatic (Stage IV) EGFRm NSCLC.</w:t>
      </w:r>
    </w:p>
    <w:p w:rsidR="0079691F" w:rsidRPr="00C93348" w:rsidRDefault="0079691F" w:rsidP="0079691F">
      <w:pPr>
        <w:pStyle w:val="2-SectionHeading"/>
      </w:pPr>
      <w:bookmarkStart w:id="18" w:name="_Toc22898850"/>
      <w:bookmarkStart w:id="19" w:name="_Toc40094103"/>
      <w:bookmarkStart w:id="20" w:name="_Toc40709204"/>
      <w:r w:rsidRPr="00C93348">
        <w:t>Comparator</w:t>
      </w:r>
      <w:bookmarkEnd w:id="18"/>
      <w:bookmarkEnd w:id="19"/>
      <w:bookmarkEnd w:id="20"/>
    </w:p>
    <w:p w:rsidR="0079691F" w:rsidRPr="00C93348" w:rsidRDefault="0079691F" w:rsidP="0079691F">
      <w:pPr>
        <w:pStyle w:val="3-BodyText"/>
      </w:pPr>
      <w:r w:rsidRPr="00C93348">
        <w:t xml:space="preserve">The resubmission nominated </w:t>
      </w:r>
      <w:r w:rsidR="00257845">
        <w:t>PBS listed EGFR-</w:t>
      </w:r>
      <w:r w:rsidRPr="00C93348">
        <w:t>TKIs (represented by erlotinib or gefitinib) as the main comparator.</w:t>
      </w:r>
      <w:r w:rsidR="004A0B30" w:rsidRPr="00C93348">
        <w:t xml:space="preserve"> </w:t>
      </w:r>
      <w:r w:rsidRPr="00C93348">
        <w:t>The nominated comparator was unchanged from the previous submission.</w:t>
      </w:r>
    </w:p>
    <w:p w:rsidR="0079691F" w:rsidRPr="00C93348" w:rsidRDefault="0079691F" w:rsidP="0079691F">
      <w:pPr>
        <w:pStyle w:val="3-BodyText"/>
      </w:pPr>
      <w:r w:rsidRPr="00C93348">
        <w:t xml:space="preserve">The PBAC previously noted that there are two potential populations that would be treated with </w:t>
      </w:r>
      <w:r w:rsidR="000721B6" w:rsidRPr="00C93348">
        <w:t>first-line</w:t>
      </w:r>
      <w:r w:rsidRPr="00C93348">
        <w:t xml:space="preserve"> osimertinib, resulting in two different comparators (paragraph 7.3 and 7.12</w:t>
      </w:r>
      <w:r w:rsidR="003C7B44" w:rsidRPr="00C93348">
        <w:t>,</w:t>
      </w:r>
      <w:r w:rsidRPr="00C93348">
        <w:t xml:space="preserve"> Osimertinib PSD, July 2019 PBAC meeting).</w:t>
      </w:r>
    </w:p>
    <w:p w:rsidR="0079691F" w:rsidRPr="00C93348" w:rsidRDefault="0079691F" w:rsidP="008C3F6D">
      <w:pPr>
        <w:pStyle w:val="ListParagraph"/>
        <w:numPr>
          <w:ilvl w:val="1"/>
          <w:numId w:val="6"/>
        </w:numPr>
      </w:pPr>
      <w:r w:rsidRPr="00C93348">
        <w:t xml:space="preserve">The first population being patients who do not have evidence of EGFR T790M mutations at the point of progression following treatment with </w:t>
      </w:r>
      <w:r w:rsidR="000721B6" w:rsidRPr="00C93348">
        <w:t>first-line</w:t>
      </w:r>
      <w:r w:rsidRPr="00C93348">
        <w:t xml:space="preserve"> erlotinib or gefitinib. For these patients, platinum-based doublet chemotherapy would be the standard </w:t>
      </w:r>
      <w:r w:rsidR="000721B6" w:rsidRPr="00C93348">
        <w:t>second-line</w:t>
      </w:r>
      <w:r w:rsidRPr="00C93348">
        <w:t xml:space="preserve"> treatment, which is the same treatment as those progressing on </w:t>
      </w:r>
      <w:r w:rsidR="000721B6" w:rsidRPr="00C93348">
        <w:t>first-line</w:t>
      </w:r>
      <w:r w:rsidRPr="00C93348">
        <w:t xml:space="preserve"> osimertinib would be likely to receive. The PBAC has accepted erlotinib or gefitinib as the appropriate comparator for this population.</w:t>
      </w:r>
    </w:p>
    <w:p w:rsidR="0079691F" w:rsidRPr="00C93348" w:rsidRDefault="0079691F" w:rsidP="008C3F6D">
      <w:pPr>
        <w:pStyle w:val="ListParagraph"/>
        <w:numPr>
          <w:ilvl w:val="1"/>
          <w:numId w:val="6"/>
        </w:numPr>
      </w:pPr>
      <w:r w:rsidRPr="00C93348">
        <w:t xml:space="preserve">The second population includes patients who have progressed on or after erlotinib or gefitinib and who have evidence </w:t>
      </w:r>
      <w:r w:rsidR="00DC143C" w:rsidRPr="00C93348">
        <w:t xml:space="preserve">in tumour material </w:t>
      </w:r>
      <w:r w:rsidRPr="00C93348">
        <w:t xml:space="preserve">of EGFR T790M mutation at the point of progression. These patients would be eligible for PBS subsidised osimertinib as a </w:t>
      </w:r>
      <w:r w:rsidR="000721B6" w:rsidRPr="00C93348">
        <w:t>second-line</w:t>
      </w:r>
      <w:r w:rsidRPr="00C93348">
        <w:t xml:space="preserve"> treatment. The PBAC </w:t>
      </w:r>
      <w:r w:rsidR="00DC143C" w:rsidRPr="00C93348">
        <w:t xml:space="preserve">previously </w:t>
      </w:r>
      <w:r w:rsidRPr="00C93348">
        <w:t xml:space="preserve">considered that the appropriate comparator for this population is treatment with erlotinib or gefitinib followed by </w:t>
      </w:r>
      <w:r w:rsidR="000721B6" w:rsidRPr="00C93348">
        <w:t>second-line</w:t>
      </w:r>
      <w:r w:rsidRPr="00C93348">
        <w:t xml:space="preserve"> osimertinib. It further considered that the comparator arm of the model was not reflective of current standard care, since the proportion of patients receiving any subsequent therapies in the FLAURA trial </w:t>
      </w:r>
      <w:r w:rsidR="005851C8" w:rsidRPr="00C93348">
        <w:t xml:space="preserve">(62/129, 48%) </w:t>
      </w:r>
      <w:r w:rsidRPr="00C93348">
        <w:t>was lower than that observed in clinical practice.</w:t>
      </w:r>
      <w:r w:rsidR="004A0B30" w:rsidRPr="00C93348">
        <w:t xml:space="preserve"> </w:t>
      </w:r>
      <w:r w:rsidR="00DC143C" w:rsidRPr="00C93348">
        <w:t xml:space="preserve">The PBAC noted </w:t>
      </w:r>
      <w:r w:rsidR="00B14A5C" w:rsidRPr="00C93348">
        <w:t xml:space="preserve">that </w:t>
      </w:r>
      <w:r w:rsidR="00DC143C" w:rsidRPr="00C93348">
        <w:t>with a longer duration of follow up</w:t>
      </w:r>
      <w:r w:rsidR="00B14A5C" w:rsidRPr="00C93348">
        <w:t>,</w:t>
      </w:r>
      <w:r w:rsidR="00DC143C" w:rsidRPr="00C93348">
        <w:t xml:space="preserve"> the proportion of patients receiving subsequent therapies in the FLAURA trial </w:t>
      </w:r>
      <w:r w:rsidR="005851C8" w:rsidRPr="00C93348">
        <w:t xml:space="preserve">(109/180, 61%) </w:t>
      </w:r>
      <w:r w:rsidR="00DC143C" w:rsidRPr="00C93348">
        <w:t xml:space="preserve">was more reflective of current standard care. </w:t>
      </w:r>
    </w:p>
    <w:p w:rsidR="00E77FC1" w:rsidRPr="00C93348" w:rsidRDefault="00E77FC1" w:rsidP="00E77FC1">
      <w:pPr>
        <w:ind w:left="720"/>
        <w:rPr>
          <w:i/>
        </w:rPr>
      </w:pPr>
      <w:r w:rsidRPr="00C93348">
        <w:rPr>
          <w:i/>
        </w:rPr>
        <w:t>For more detail on PBAC’s view, see section 7 PBAC outcome.</w:t>
      </w:r>
    </w:p>
    <w:p w:rsidR="0079691F" w:rsidRPr="00C93348" w:rsidRDefault="0079691F" w:rsidP="0079691F">
      <w:pPr>
        <w:pStyle w:val="2-SectionHeading"/>
      </w:pPr>
      <w:bookmarkStart w:id="21" w:name="_Toc40094104"/>
      <w:bookmarkStart w:id="22" w:name="_Toc40709205"/>
      <w:bookmarkStart w:id="23" w:name="_Toc22897640"/>
      <w:bookmarkStart w:id="24" w:name="_Toc22898852"/>
      <w:r w:rsidRPr="00C93348">
        <w:t>Consideration of the evidence</w:t>
      </w:r>
      <w:bookmarkEnd w:id="21"/>
      <w:bookmarkEnd w:id="22"/>
    </w:p>
    <w:p w:rsidR="00E77FC1" w:rsidRPr="00C93348" w:rsidRDefault="00E77FC1" w:rsidP="00E77FC1">
      <w:pPr>
        <w:pStyle w:val="4-SubsectionHeading"/>
      </w:pPr>
      <w:bookmarkStart w:id="25" w:name="_Toc40094105"/>
      <w:bookmarkStart w:id="26" w:name="_Toc40709206"/>
      <w:r w:rsidRPr="00C93348">
        <w:t>Sponsor hearing</w:t>
      </w:r>
    </w:p>
    <w:p w:rsidR="00E77FC1" w:rsidRPr="00C93348" w:rsidRDefault="00577CAC" w:rsidP="00E77FC1">
      <w:pPr>
        <w:pStyle w:val="3-BodyText"/>
      </w:pPr>
      <w:r w:rsidRPr="00C93348">
        <w:rPr>
          <w:bCs/>
        </w:rPr>
        <w:t xml:space="preserve">The sponsor requested a hearing for this item. </w:t>
      </w:r>
      <w:r w:rsidR="00123DF7" w:rsidRPr="00C93348">
        <w:rPr>
          <w:bCs/>
        </w:rPr>
        <w:t xml:space="preserve">In addition to the </w:t>
      </w:r>
      <w:r w:rsidR="006D1FC6" w:rsidRPr="00C93348">
        <w:rPr>
          <w:bCs/>
        </w:rPr>
        <w:t>longer progression free survival (</w:t>
      </w:r>
      <w:r w:rsidR="00123DF7" w:rsidRPr="00C93348">
        <w:rPr>
          <w:bCs/>
        </w:rPr>
        <w:t>PFS</w:t>
      </w:r>
      <w:r w:rsidR="006D1FC6" w:rsidRPr="00C93348">
        <w:rPr>
          <w:bCs/>
        </w:rPr>
        <w:t xml:space="preserve">) </w:t>
      </w:r>
      <w:r w:rsidR="00123DF7" w:rsidRPr="00C93348">
        <w:rPr>
          <w:bCs/>
        </w:rPr>
        <w:t xml:space="preserve">and </w:t>
      </w:r>
      <w:r w:rsidR="006D1FC6" w:rsidRPr="00C93348">
        <w:rPr>
          <w:bCs/>
        </w:rPr>
        <w:t>overall survival (</w:t>
      </w:r>
      <w:r w:rsidR="00123DF7" w:rsidRPr="00C93348">
        <w:rPr>
          <w:bCs/>
        </w:rPr>
        <w:t>OS</w:t>
      </w:r>
      <w:r w:rsidR="006D1FC6" w:rsidRPr="00C93348">
        <w:rPr>
          <w:bCs/>
        </w:rPr>
        <w:t xml:space="preserve">) </w:t>
      </w:r>
      <w:r w:rsidR="00123DF7" w:rsidRPr="00C93348">
        <w:rPr>
          <w:bCs/>
        </w:rPr>
        <w:t>observed in the FLAURA trial, the clinician indicated one of the benefits of osimertinib was its positive</w:t>
      </w:r>
      <w:r w:rsidR="006D1FC6" w:rsidRPr="00C93348">
        <w:rPr>
          <w:bCs/>
        </w:rPr>
        <w:t xml:space="preserve"> effect</w:t>
      </w:r>
      <w:r w:rsidR="00123DF7" w:rsidRPr="00C93348">
        <w:rPr>
          <w:bCs/>
        </w:rPr>
        <w:t xml:space="preserve"> on brain metastases and the impact that has on </w:t>
      </w:r>
      <w:r w:rsidR="006D1FC6" w:rsidRPr="00C93348">
        <w:rPr>
          <w:bCs/>
        </w:rPr>
        <w:t xml:space="preserve">a </w:t>
      </w:r>
      <w:r w:rsidR="00123DF7" w:rsidRPr="00C93348">
        <w:rPr>
          <w:bCs/>
        </w:rPr>
        <w:t>patient’s quality of life.</w:t>
      </w:r>
      <w:r w:rsidR="004A0B30" w:rsidRPr="00C93348">
        <w:rPr>
          <w:bCs/>
        </w:rPr>
        <w:t xml:space="preserve"> </w:t>
      </w:r>
      <w:r w:rsidRPr="00C93348">
        <w:rPr>
          <w:bCs/>
        </w:rPr>
        <w:t>The PBAC considered the hearing provided a clinical perspective on</w:t>
      </w:r>
      <w:r w:rsidR="002C4736" w:rsidRPr="00C93348">
        <w:rPr>
          <w:bCs/>
        </w:rPr>
        <w:t xml:space="preserve"> the benefits of osimertinib in the first-line treatment setting</w:t>
      </w:r>
      <w:r w:rsidRPr="00C93348">
        <w:rPr>
          <w:bCs/>
        </w:rPr>
        <w:t>.</w:t>
      </w:r>
    </w:p>
    <w:p w:rsidR="00E77FC1" w:rsidRPr="00C93348" w:rsidRDefault="00E77FC1" w:rsidP="00E77FC1">
      <w:pPr>
        <w:pStyle w:val="4-SubsectionHeading"/>
      </w:pPr>
      <w:r w:rsidRPr="00C93348">
        <w:t>Consumer comments</w:t>
      </w:r>
    </w:p>
    <w:p w:rsidR="00577CAC" w:rsidRPr="00C93348" w:rsidRDefault="00577CAC" w:rsidP="00577CAC">
      <w:pPr>
        <w:pStyle w:val="3-BodyText"/>
      </w:pPr>
      <w:r w:rsidRPr="00C93348">
        <w:t>The PBAC noted and welcom</w:t>
      </w:r>
      <w:r w:rsidR="002C4736" w:rsidRPr="00C93348">
        <w:t>ed the input from individuals (18) and organisations (3</w:t>
      </w:r>
      <w:r w:rsidRPr="00C93348">
        <w:t>) via the Consumer Comments facility on the PBS website.</w:t>
      </w:r>
      <w:r w:rsidR="004A0B30" w:rsidRPr="00C93348">
        <w:t xml:space="preserve"> </w:t>
      </w:r>
      <w:r w:rsidRPr="00C93348">
        <w:t>The comments described a range of benefits of treatm</w:t>
      </w:r>
      <w:r w:rsidR="002C4736" w:rsidRPr="00C93348">
        <w:t xml:space="preserve">ent with osimertinib </w:t>
      </w:r>
      <w:r w:rsidRPr="00C93348">
        <w:t>including</w:t>
      </w:r>
      <w:r w:rsidR="002C4736" w:rsidRPr="00C93348">
        <w:t xml:space="preserve"> longer</w:t>
      </w:r>
      <w:r w:rsidR="006D1FC6" w:rsidRPr="00C93348">
        <w:t xml:space="preserve"> PFS</w:t>
      </w:r>
      <w:r w:rsidR="00123DF7" w:rsidRPr="00C93348">
        <w:t>,</w:t>
      </w:r>
      <w:r w:rsidR="006D1FC6" w:rsidRPr="00C93348">
        <w:t xml:space="preserve"> OS</w:t>
      </w:r>
      <w:r w:rsidR="00123DF7" w:rsidRPr="00C93348">
        <w:t xml:space="preserve"> and </w:t>
      </w:r>
      <w:r w:rsidR="002C4736" w:rsidRPr="00C93348">
        <w:t>better tolerability than current</w:t>
      </w:r>
      <w:r w:rsidR="000266BF" w:rsidRPr="00C93348">
        <w:t xml:space="preserve"> treatments</w:t>
      </w:r>
      <w:r w:rsidR="00C93348" w:rsidRPr="00C93348">
        <w:t xml:space="preserve">. </w:t>
      </w:r>
    </w:p>
    <w:p w:rsidR="00577CAC" w:rsidRPr="00C93348" w:rsidRDefault="00577CAC" w:rsidP="00577CAC">
      <w:pPr>
        <w:pStyle w:val="3-BodyText"/>
      </w:pPr>
      <w:r w:rsidRPr="00C93348">
        <w:t xml:space="preserve">The PBAC noted the advice received from </w:t>
      </w:r>
      <w:r w:rsidR="000266BF" w:rsidRPr="00C93348">
        <w:t xml:space="preserve">Lung Foundation Australia and Rare Cancers Australia </w:t>
      </w:r>
      <w:r w:rsidRPr="00C93348">
        <w:t xml:space="preserve">clarifying the likely use of </w:t>
      </w:r>
      <w:r w:rsidR="000266BF" w:rsidRPr="00C93348">
        <w:t>osimertinib as a first-line treatment</w:t>
      </w:r>
      <w:r w:rsidRPr="00C93348">
        <w:t xml:space="preserve"> in clinical practice.</w:t>
      </w:r>
      <w:r w:rsidR="004A0B30" w:rsidRPr="00C93348">
        <w:t xml:space="preserve"> </w:t>
      </w:r>
      <w:r w:rsidRPr="00C93348">
        <w:t xml:space="preserve">The PBAC specifically noted the advice that the use of </w:t>
      </w:r>
      <w:r w:rsidR="000266BF" w:rsidRPr="00C93348">
        <w:t xml:space="preserve">osimertinib </w:t>
      </w:r>
      <w:r w:rsidRPr="00C93348">
        <w:t>may</w:t>
      </w:r>
      <w:r w:rsidR="00014AE5" w:rsidRPr="00C93348">
        <w:t xml:space="preserve"> improve progression free survival and overall survival with less side effects compared to current agents. The PBAC noted the advice that access to osimertinib as a first line treatment will improve the quality of life for patients with EGFRm NSCLC</w:t>
      </w:r>
      <w:r w:rsidRPr="00C93348">
        <w:t>. The PBAC noted that this advice was supportive of the evidence provided in the submission.</w:t>
      </w:r>
    </w:p>
    <w:p w:rsidR="00E77FC1" w:rsidRPr="00C93348" w:rsidRDefault="00E77FC1" w:rsidP="00E77FC1">
      <w:pPr>
        <w:pStyle w:val="3-BodyText"/>
      </w:pPr>
      <w:r w:rsidRPr="00C93348">
        <w:t xml:space="preserve">The Medical Oncology Group of Australia (MOGA) also expressed </w:t>
      </w:r>
      <w:r w:rsidR="00577CAC" w:rsidRPr="00C93348">
        <w:t xml:space="preserve">its strong support for the osimertinib </w:t>
      </w:r>
      <w:r w:rsidRPr="00C93348">
        <w:t>submission, categorising it as one of the therapies of “highest priority for PBS l</w:t>
      </w:r>
      <w:r w:rsidR="00577CAC" w:rsidRPr="00C93348">
        <w:t>isting” on the basis of the FLAURA</w:t>
      </w:r>
      <w:r w:rsidRPr="00C93348">
        <w:t xml:space="preserve"> trial. The PBAC noted that the MOGA presented a European Society for Medical Oncology Magnitude of Clinical Benefit Scale (ESMO-MCBS) for</w:t>
      </w:r>
      <w:r w:rsidR="00577CAC" w:rsidRPr="00C93348">
        <w:t xml:space="preserve"> osimertinib, which was limited to 4</w:t>
      </w:r>
      <w:r w:rsidRPr="00C93348">
        <w:t xml:space="preserve"> (out of a maximum of 5, where 5 and 4 represent the grades with substantial improvement)</w:t>
      </w:r>
      <w:r w:rsidRPr="00C93348">
        <w:rPr>
          <w:rStyle w:val="FootnoteReference"/>
        </w:rPr>
        <w:footnoteReference w:id="4"/>
      </w:r>
      <w:r w:rsidRPr="00C93348">
        <w:t>, based on a comparison with</w:t>
      </w:r>
      <w:r w:rsidR="00577CAC" w:rsidRPr="00C93348">
        <w:t xml:space="preserve"> gefitinib/ erlotinib</w:t>
      </w:r>
      <w:r w:rsidRPr="00C93348">
        <w:t>.</w:t>
      </w:r>
    </w:p>
    <w:p w:rsidR="0079691F" w:rsidRPr="00C93348" w:rsidRDefault="0079691F" w:rsidP="0079691F">
      <w:pPr>
        <w:pStyle w:val="4-SubsectionHeading"/>
      </w:pPr>
      <w:r w:rsidRPr="00C93348">
        <w:t xml:space="preserve">Clinical </w:t>
      </w:r>
      <w:bookmarkEnd w:id="23"/>
      <w:bookmarkEnd w:id="24"/>
      <w:r w:rsidRPr="00C93348">
        <w:t>trial</w:t>
      </w:r>
      <w:bookmarkEnd w:id="25"/>
      <w:bookmarkEnd w:id="26"/>
    </w:p>
    <w:p w:rsidR="0079691F" w:rsidRPr="00C93348" w:rsidRDefault="0079691F" w:rsidP="0079691F">
      <w:pPr>
        <w:pStyle w:val="3-BodyText"/>
      </w:pPr>
      <w:r w:rsidRPr="00C93348">
        <w:rPr>
          <w:rFonts w:cs="Calibri"/>
          <w:snapToGrid/>
        </w:rPr>
        <w:t xml:space="preserve">The resubmission was based on one head-to-head trial (FLAURA) comparing osimertinib with erlotinib/gefitinib (representing </w:t>
      </w:r>
      <w:r w:rsidR="00D72D9F" w:rsidRPr="00C93348">
        <w:rPr>
          <w:rFonts w:cs="Calibri"/>
          <w:snapToGrid/>
        </w:rPr>
        <w:t>SC</w:t>
      </w:r>
      <w:r w:rsidRPr="00C93348">
        <w:rPr>
          <w:rFonts w:cs="Calibri"/>
          <w:snapToGrid/>
        </w:rPr>
        <w:t>) in Stage IIIB or IV NSCLC patients who had not received any prior treatment for their advanced/metastatic disease and whose tumour harboured an Ex19del or L858R EFGR mutation, either alone or in combination with other EGFR mutations (N=556). The key evidence base remained unchanged from the previous submission, except that updated OS data from the most recent data cut-off (June 2019) were presented in the resubmission.</w:t>
      </w:r>
    </w:p>
    <w:p w:rsidR="0008436B" w:rsidRPr="00C93348" w:rsidRDefault="0079691F" w:rsidP="0079691F">
      <w:pPr>
        <w:pStyle w:val="3-BodyText"/>
        <w:rPr>
          <w:rFonts w:cs="Calibri"/>
          <w:snapToGrid/>
        </w:rPr>
      </w:pPr>
      <w:r w:rsidRPr="00C93348">
        <w:rPr>
          <w:rFonts w:cs="Calibri"/>
          <w:snapToGrid/>
        </w:rPr>
        <w:t>Details of the trial presented in the resubmission are provided in the table below.</w:t>
      </w:r>
      <w:r w:rsidR="004A0B30" w:rsidRPr="00C93348">
        <w:rPr>
          <w:rFonts w:cs="Calibri"/>
          <w:snapToGrid/>
        </w:rPr>
        <w:t xml:space="preserve"> </w:t>
      </w:r>
    </w:p>
    <w:p w:rsidR="0079691F" w:rsidRPr="00C93348" w:rsidRDefault="0079691F" w:rsidP="007A099C">
      <w:pPr>
        <w:pStyle w:val="TableFigureHeading"/>
      </w:pPr>
      <w:r w:rsidRPr="00C93348">
        <w:t xml:space="preserve">Table </w:t>
      </w:r>
      <w:r w:rsidR="00CC4472">
        <w:rPr>
          <w:noProof/>
        </w:rPr>
        <w:t>3</w:t>
      </w:r>
      <w:r w:rsidRPr="00C93348">
        <w:t>: Trial and associated reports presented in the resubmission</w:t>
      </w: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9691F" w:rsidRPr="00C93348" w:rsidTr="007A099C">
        <w:trPr>
          <w:tblHeader/>
        </w:trPr>
        <w:tc>
          <w:tcPr>
            <w:tcW w:w="796" w:type="pct"/>
            <w:vAlign w:val="center"/>
          </w:tcPr>
          <w:p w:rsidR="0079691F" w:rsidRPr="00C93348" w:rsidRDefault="0079691F" w:rsidP="0008436B">
            <w:pPr>
              <w:pStyle w:val="In-tableHeading"/>
              <w:rPr>
                <w:lang w:val="en-AU"/>
              </w:rPr>
            </w:pPr>
            <w:r w:rsidRPr="00C93348">
              <w:rPr>
                <w:lang w:val="en-AU"/>
              </w:rPr>
              <w:t>Trial ID</w:t>
            </w:r>
          </w:p>
        </w:tc>
        <w:tc>
          <w:tcPr>
            <w:tcW w:w="3027" w:type="pct"/>
            <w:tcBorders>
              <w:bottom w:val="single" w:sz="4" w:space="0" w:color="auto"/>
            </w:tcBorders>
            <w:vAlign w:val="center"/>
          </w:tcPr>
          <w:p w:rsidR="0079691F" w:rsidRPr="00C93348" w:rsidRDefault="0079691F" w:rsidP="0008436B">
            <w:pPr>
              <w:pStyle w:val="In-tableHeading"/>
              <w:rPr>
                <w:lang w:val="en-AU"/>
              </w:rPr>
            </w:pPr>
            <w:r w:rsidRPr="00C93348">
              <w:rPr>
                <w:lang w:val="en-AU"/>
              </w:rPr>
              <w:t>Protocol title/ Publication title</w:t>
            </w:r>
          </w:p>
        </w:tc>
        <w:tc>
          <w:tcPr>
            <w:tcW w:w="1177" w:type="pct"/>
            <w:tcBorders>
              <w:bottom w:val="single" w:sz="4" w:space="0" w:color="auto"/>
            </w:tcBorders>
            <w:vAlign w:val="center"/>
          </w:tcPr>
          <w:p w:rsidR="0079691F" w:rsidRPr="00C93348" w:rsidRDefault="0079691F" w:rsidP="0008436B">
            <w:pPr>
              <w:pStyle w:val="In-tableHeading"/>
              <w:rPr>
                <w:lang w:val="en-AU"/>
              </w:rPr>
            </w:pPr>
            <w:r w:rsidRPr="00C93348">
              <w:rPr>
                <w:lang w:val="en-AU"/>
              </w:rPr>
              <w:t>Publication citation</w:t>
            </w:r>
          </w:p>
        </w:tc>
      </w:tr>
      <w:tr w:rsidR="0079691F" w:rsidRPr="00C93348" w:rsidTr="007A099C">
        <w:tc>
          <w:tcPr>
            <w:tcW w:w="796" w:type="pct"/>
            <w:vMerge w:val="restart"/>
            <w:tcBorders>
              <w:right w:val="single" w:sz="4" w:space="0" w:color="auto"/>
            </w:tcBorders>
          </w:tcPr>
          <w:p w:rsidR="0079691F" w:rsidRPr="00C93348" w:rsidRDefault="0079691F" w:rsidP="0008436B">
            <w:pPr>
              <w:pStyle w:val="TableText0"/>
            </w:pPr>
            <w:r w:rsidRPr="00C93348">
              <w:t>FLAURA</w:t>
            </w:r>
          </w:p>
        </w:tc>
        <w:tc>
          <w:tcPr>
            <w:tcW w:w="3027" w:type="pct"/>
            <w:tcBorders>
              <w:top w:val="single" w:sz="4" w:space="0" w:color="auto"/>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18"/>
              </w:rPr>
              <w:t xml:space="preserve">A Phase III, double-blind, randomised trial to assess the efficacy and safety of AZ9291 versus a standard of care epidermal growth factor receptor-tyrosine kinase inhibitor as </w:t>
            </w:r>
            <w:r w:rsidR="000721B6" w:rsidRPr="00C93348">
              <w:rPr>
                <w:szCs w:val="18"/>
              </w:rPr>
              <w:t>first-line</w:t>
            </w:r>
            <w:r w:rsidRPr="00C93348">
              <w:rPr>
                <w:szCs w:val="18"/>
              </w:rPr>
              <w:t xml:space="preserve"> treatment in patients with epidermal growth factor receptor mutation-positive, locally-advanced or metastatic non-small-cell lung cancer (FLAURA). </w:t>
            </w:r>
          </w:p>
        </w:tc>
        <w:tc>
          <w:tcPr>
            <w:tcW w:w="1177" w:type="pct"/>
            <w:tcBorders>
              <w:top w:val="single" w:sz="4" w:space="0" w:color="auto"/>
              <w:left w:val="single" w:sz="4" w:space="0" w:color="auto"/>
              <w:bottom w:val="nil"/>
              <w:right w:val="single" w:sz="4" w:space="0" w:color="auto"/>
            </w:tcBorders>
          </w:tcPr>
          <w:p w:rsidR="0079691F" w:rsidRPr="00C93348" w:rsidRDefault="0079691F" w:rsidP="0008436B">
            <w:pPr>
              <w:pStyle w:val="TableText0"/>
              <w:rPr>
                <w:szCs w:val="18"/>
              </w:rPr>
            </w:pPr>
            <w:r w:rsidRPr="00C93348">
              <w:t xml:space="preserve">DCO1: September </w:t>
            </w:r>
            <w:r w:rsidRPr="00C93348">
              <w:rPr>
                <w:szCs w:val="18"/>
              </w:rPr>
              <w:t>2017</w:t>
            </w:r>
          </w:p>
          <w:p w:rsidR="0079691F" w:rsidRPr="00C93348" w:rsidRDefault="0079691F" w:rsidP="0008436B">
            <w:pPr>
              <w:pStyle w:val="TableText0"/>
              <w:rPr>
                <w:i/>
              </w:rPr>
            </w:pPr>
            <w:r w:rsidRPr="00C93348">
              <w:rPr>
                <w:szCs w:val="18"/>
              </w:rPr>
              <w:t xml:space="preserve">DCO2: November 2019 </w:t>
            </w: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u w:val="single"/>
                <w:lang w:bidi="en-US"/>
              </w:rPr>
              <w:t>Recently added publications</w:t>
            </w:r>
            <w:r w:rsidRPr="00C93348">
              <w:rPr>
                <w:szCs w:val="20"/>
                <w:lang w:bidi="en-US"/>
              </w:rPr>
              <w:t>:</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rPr>
                <w:i/>
              </w:rPr>
            </w:pP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lang w:bidi="en-US"/>
              </w:rPr>
              <w:t xml:space="preserve">Ramalingam S.S. et al, Overall Survival with Osimertinib in Untreated, EGFR-Mutated Advanced NSCLC. </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pPr>
            <w:r w:rsidRPr="00C93348">
              <w:rPr>
                <w:i/>
              </w:rPr>
              <w:t>N Engl J Med.</w:t>
            </w:r>
            <w:r w:rsidRPr="00C93348">
              <w:t>2020 Jan 2;382(1):41-50</w:t>
            </w: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lang w:bidi="en-US"/>
              </w:rPr>
              <w:t xml:space="preserve">Gray J.E. et.al, Tissue and plasma EGFR mutation analysis in the FLAURA trial: Osimertinib versus Comparator EGFR tyrosine kinase inhibitor as </w:t>
            </w:r>
            <w:r w:rsidR="000721B6" w:rsidRPr="00C93348">
              <w:rPr>
                <w:szCs w:val="20"/>
                <w:lang w:bidi="en-US"/>
              </w:rPr>
              <w:t>first-line</w:t>
            </w:r>
            <w:r w:rsidRPr="00C93348">
              <w:rPr>
                <w:szCs w:val="20"/>
                <w:lang w:bidi="en-US"/>
              </w:rPr>
              <w:t xml:space="preserve"> treatment in patients with EGFR-mutated advanced non–small cell lung cancer</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rPr>
                <w:szCs w:val="20"/>
                <w:lang w:bidi="en-US"/>
              </w:rPr>
            </w:pPr>
            <w:r w:rsidRPr="00C93348">
              <w:rPr>
                <w:i/>
                <w:szCs w:val="20"/>
                <w:lang w:bidi="en-US"/>
              </w:rPr>
              <w:t>Clinical Cancer Research</w:t>
            </w:r>
            <w:r w:rsidRPr="00C93348">
              <w:rPr>
                <w:szCs w:val="20"/>
                <w:lang w:bidi="en-US"/>
              </w:rPr>
              <w:t xml:space="preserve"> (2019) 25:22 (6644-6652)</w:t>
            </w:r>
            <w:r w:rsidRPr="00C93348">
              <w:rPr>
                <w:szCs w:val="20"/>
                <w:vertAlign w:val="superscript"/>
                <w:lang w:bidi="en-US"/>
              </w:rPr>
              <w:t xml:space="preserve"> </w:t>
            </w: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lang w:bidi="en-US"/>
              </w:rPr>
              <w:t>Planchard D. et.al, Post-progression outcomes for osimertinib versus standard-of-care EGFR-TKI in patients with previously untreated EGFR-mutated advanced non–small cell lung cancer.</w:t>
            </w:r>
            <w:r w:rsidRPr="00C93348">
              <w:t xml:space="preserve"> </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pPr>
            <w:r w:rsidRPr="00C93348">
              <w:rPr>
                <w:i/>
                <w:szCs w:val="20"/>
                <w:lang w:bidi="en-US"/>
              </w:rPr>
              <w:t>Clinical Cancer Research</w:t>
            </w:r>
            <w:r w:rsidRPr="00C93348">
              <w:rPr>
                <w:szCs w:val="20"/>
                <w:lang w:bidi="en-US"/>
              </w:rPr>
              <w:t xml:space="preserve"> (2019) 25:7 (2058-2063)</w:t>
            </w: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lang w:bidi="en-US"/>
              </w:rPr>
              <w:t xml:space="preserve">Cho B.C. et.al, Osimertinib versus Standard of Care </w:t>
            </w:r>
            <w:r w:rsidR="00E24057" w:rsidRPr="00C93348">
              <w:rPr>
                <w:szCs w:val="20"/>
                <w:lang w:bidi="en-US"/>
              </w:rPr>
              <w:t>EGFR-TKI</w:t>
            </w:r>
            <w:r w:rsidRPr="00C93348">
              <w:rPr>
                <w:szCs w:val="20"/>
                <w:lang w:bidi="en-US"/>
              </w:rPr>
              <w:t xml:space="preserve"> as </w:t>
            </w:r>
            <w:r w:rsidR="000721B6" w:rsidRPr="00C93348">
              <w:rPr>
                <w:szCs w:val="20"/>
                <w:lang w:bidi="en-US"/>
              </w:rPr>
              <w:t>First-line</w:t>
            </w:r>
            <w:r w:rsidRPr="00C93348">
              <w:rPr>
                <w:szCs w:val="20"/>
                <w:lang w:bidi="en-US"/>
              </w:rPr>
              <w:t xml:space="preserve"> Treatment in Patients with EGFRm Advanced NSCLC: FLAURA Asian Subset. </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rPr>
                <w:szCs w:val="20"/>
                <w:lang w:bidi="en-US"/>
              </w:rPr>
            </w:pPr>
            <w:r w:rsidRPr="00C93348">
              <w:rPr>
                <w:i/>
                <w:szCs w:val="20"/>
                <w:lang w:bidi="en-US"/>
              </w:rPr>
              <w:t>Journal of Thoracic Oncology</w:t>
            </w:r>
            <w:r w:rsidRPr="00C93348">
              <w:rPr>
                <w:szCs w:val="20"/>
                <w:lang w:bidi="en-US"/>
              </w:rPr>
              <w:t xml:space="preserve"> (2019) 14:1 (99-106)</w:t>
            </w:r>
          </w:p>
        </w:tc>
      </w:tr>
      <w:tr w:rsidR="0079691F" w:rsidRPr="00C93348" w:rsidTr="007A099C">
        <w:tc>
          <w:tcPr>
            <w:tcW w:w="796" w:type="pct"/>
            <w:vMerge/>
            <w:tcBorders>
              <w:right w:val="single" w:sz="4" w:space="0" w:color="auto"/>
            </w:tcBorders>
          </w:tcPr>
          <w:p w:rsidR="0079691F" w:rsidRPr="00C93348" w:rsidRDefault="0079691F" w:rsidP="0008436B">
            <w:pPr>
              <w:pStyle w:val="TableText0"/>
            </w:pPr>
          </w:p>
        </w:tc>
        <w:tc>
          <w:tcPr>
            <w:tcW w:w="3027" w:type="pct"/>
            <w:tcBorders>
              <w:top w:val="nil"/>
              <w:left w:val="single" w:sz="4" w:space="0" w:color="auto"/>
              <w:bottom w:val="nil"/>
              <w:right w:val="single" w:sz="4" w:space="0" w:color="auto"/>
            </w:tcBorders>
            <w:vAlign w:val="center"/>
          </w:tcPr>
          <w:p w:rsidR="0079691F" w:rsidRPr="00C93348" w:rsidRDefault="0079691F" w:rsidP="0008436B">
            <w:pPr>
              <w:pStyle w:val="TableText0"/>
              <w:rPr>
                <w:szCs w:val="20"/>
                <w:lang w:bidi="en-US"/>
              </w:rPr>
            </w:pPr>
            <w:r w:rsidRPr="00C93348">
              <w:rPr>
                <w:szCs w:val="20"/>
                <w:lang w:bidi="en-US"/>
              </w:rPr>
              <w:t>Planchard D. et.al, Osimertinib vs standard of care (</w:t>
            </w:r>
            <w:r w:rsidR="00D72D9F" w:rsidRPr="00C93348">
              <w:rPr>
                <w:szCs w:val="20"/>
                <w:lang w:bidi="en-US"/>
              </w:rPr>
              <w:t>SC</w:t>
            </w:r>
            <w:r w:rsidRPr="00C93348">
              <w:rPr>
                <w:szCs w:val="20"/>
                <w:lang w:bidi="en-US"/>
              </w:rPr>
              <w:t xml:space="preserve">) EGFR-TKI as </w:t>
            </w:r>
            <w:r w:rsidR="000721B6" w:rsidRPr="00C93348">
              <w:rPr>
                <w:szCs w:val="20"/>
                <w:lang w:bidi="en-US"/>
              </w:rPr>
              <w:t>first-line</w:t>
            </w:r>
            <w:r w:rsidRPr="00C93348">
              <w:rPr>
                <w:szCs w:val="20"/>
                <w:lang w:bidi="en-US"/>
              </w:rPr>
              <w:t xml:space="preserve"> therapy in patients (pts) with untreated EGFRm advanced NSCLC: FLAURA post-progression outcomes. </w:t>
            </w:r>
          </w:p>
        </w:tc>
        <w:tc>
          <w:tcPr>
            <w:tcW w:w="1177" w:type="pct"/>
            <w:tcBorders>
              <w:top w:val="nil"/>
              <w:left w:val="single" w:sz="4" w:space="0" w:color="auto"/>
              <w:bottom w:val="nil"/>
              <w:right w:val="single" w:sz="4" w:space="0" w:color="auto"/>
            </w:tcBorders>
          </w:tcPr>
          <w:p w:rsidR="0079691F" w:rsidRPr="00C93348" w:rsidRDefault="0079691F" w:rsidP="0008436B">
            <w:pPr>
              <w:pStyle w:val="TableText0"/>
              <w:rPr>
                <w:szCs w:val="20"/>
                <w:lang w:bidi="en-US"/>
              </w:rPr>
            </w:pPr>
            <w:r w:rsidRPr="00C93348">
              <w:rPr>
                <w:i/>
                <w:szCs w:val="20"/>
                <w:lang w:bidi="en-US"/>
              </w:rPr>
              <w:t>Annals of Oncology</w:t>
            </w:r>
            <w:r w:rsidRPr="00C93348">
              <w:rPr>
                <w:szCs w:val="20"/>
                <w:lang w:bidi="en-US"/>
              </w:rPr>
              <w:t xml:space="preserve"> (2018) 29 Supplement 9</w:t>
            </w:r>
            <w:r w:rsidRPr="00C93348">
              <w:rPr>
                <w:szCs w:val="20"/>
                <w:vertAlign w:val="superscript"/>
                <w:lang w:bidi="en-US"/>
              </w:rPr>
              <w:t>.</w:t>
            </w:r>
          </w:p>
        </w:tc>
      </w:tr>
      <w:tr w:rsidR="0079691F" w:rsidRPr="00C93348" w:rsidTr="007A099C">
        <w:tc>
          <w:tcPr>
            <w:tcW w:w="796" w:type="pct"/>
            <w:vMerge/>
            <w:tcBorders>
              <w:bottom w:val="nil"/>
              <w:right w:val="single" w:sz="4" w:space="0" w:color="auto"/>
            </w:tcBorders>
            <w:vAlign w:val="center"/>
          </w:tcPr>
          <w:p w:rsidR="0079691F" w:rsidRPr="00C93348" w:rsidRDefault="0079691F" w:rsidP="0008436B">
            <w:pPr>
              <w:pStyle w:val="TableText0"/>
            </w:pPr>
          </w:p>
        </w:tc>
        <w:tc>
          <w:tcPr>
            <w:tcW w:w="3027" w:type="pct"/>
            <w:tcBorders>
              <w:top w:val="nil"/>
              <w:left w:val="single" w:sz="4" w:space="0" w:color="auto"/>
              <w:bottom w:val="nil"/>
            </w:tcBorders>
            <w:vAlign w:val="center"/>
          </w:tcPr>
          <w:p w:rsidR="0079691F" w:rsidRPr="00C93348" w:rsidRDefault="0079691F" w:rsidP="0008436B">
            <w:pPr>
              <w:pStyle w:val="TableText0"/>
              <w:rPr>
                <w:szCs w:val="18"/>
              </w:rPr>
            </w:pPr>
            <w:r w:rsidRPr="00C93348">
              <w:rPr>
                <w:szCs w:val="18"/>
                <w:u w:val="single"/>
              </w:rPr>
              <w:t>Publications presented in the previous submission</w:t>
            </w:r>
            <w:r w:rsidRPr="00C93348">
              <w:rPr>
                <w:szCs w:val="18"/>
              </w:rPr>
              <w:t>:</w:t>
            </w:r>
          </w:p>
        </w:tc>
        <w:tc>
          <w:tcPr>
            <w:tcW w:w="1177" w:type="pct"/>
            <w:tcBorders>
              <w:top w:val="nil"/>
              <w:bottom w:val="nil"/>
            </w:tcBorders>
          </w:tcPr>
          <w:p w:rsidR="0079691F" w:rsidRPr="00C93348" w:rsidRDefault="0079691F" w:rsidP="0008436B">
            <w:pPr>
              <w:pStyle w:val="TableText0"/>
              <w:rPr>
                <w:i/>
                <w:szCs w:val="18"/>
              </w:rPr>
            </w:pPr>
          </w:p>
        </w:tc>
      </w:tr>
      <w:tr w:rsidR="0079691F" w:rsidRPr="00C93348" w:rsidTr="007A099C">
        <w:tc>
          <w:tcPr>
            <w:tcW w:w="796" w:type="pct"/>
            <w:vMerge/>
            <w:tcBorders>
              <w:bottom w:val="nil"/>
              <w:right w:val="single" w:sz="4" w:space="0" w:color="auto"/>
            </w:tcBorders>
            <w:vAlign w:val="center"/>
          </w:tcPr>
          <w:p w:rsidR="0079691F" w:rsidRPr="00C93348" w:rsidRDefault="0079691F" w:rsidP="0008436B">
            <w:pPr>
              <w:pStyle w:val="TableText0"/>
            </w:pPr>
          </w:p>
        </w:tc>
        <w:tc>
          <w:tcPr>
            <w:tcW w:w="3027" w:type="pct"/>
            <w:tcBorders>
              <w:top w:val="nil"/>
              <w:left w:val="single" w:sz="4" w:space="0" w:color="auto"/>
              <w:bottom w:val="nil"/>
            </w:tcBorders>
            <w:vAlign w:val="center"/>
          </w:tcPr>
          <w:p w:rsidR="0079691F" w:rsidRPr="00C93348" w:rsidRDefault="0079691F" w:rsidP="0008436B">
            <w:pPr>
              <w:pStyle w:val="TableText0"/>
              <w:rPr>
                <w:szCs w:val="18"/>
              </w:rPr>
            </w:pPr>
            <w:r w:rsidRPr="00C93348">
              <w:rPr>
                <w:szCs w:val="18"/>
              </w:rPr>
              <w:t xml:space="preserve">Soria JC, Ohe Y, Vansteenkiste J, et al. Osimertinib in Untreated EGFR-Mutated Advanced Non-Small-Cell Lung Cancer. </w:t>
            </w:r>
          </w:p>
        </w:tc>
        <w:tc>
          <w:tcPr>
            <w:tcW w:w="1177" w:type="pct"/>
            <w:tcBorders>
              <w:top w:val="nil"/>
              <w:bottom w:val="nil"/>
            </w:tcBorders>
          </w:tcPr>
          <w:p w:rsidR="0079691F" w:rsidRPr="00C93348" w:rsidRDefault="0079691F" w:rsidP="0008436B">
            <w:pPr>
              <w:pStyle w:val="TableText0"/>
              <w:rPr>
                <w:i/>
                <w:szCs w:val="18"/>
              </w:rPr>
            </w:pPr>
            <w:r w:rsidRPr="00C93348">
              <w:rPr>
                <w:i/>
                <w:szCs w:val="18"/>
              </w:rPr>
              <w:t>N Engl J Med</w:t>
            </w:r>
            <w:r w:rsidRPr="00C93348">
              <w:rPr>
                <w:szCs w:val="18"/>
              </w:rPr>
              <w:t xml:space="preserve"> 2018; 378(2): 113-25.</w:t>
            </w:r>
          </w:p>
        </w:tc>
      </w:tr>
      <w:tr w:rsidR="0079691F" w:rsidRPr="00C93348" w:rsidTr="007A099C">
        <w:tc>
          <w:tcPr>
            <w:tcW w:w="796" w:type="pct"/>
            <w:tcBorders>
              <w:top w:val="nil"/>
              <w:bottom w:val="nil"/>
            </w:tcBorders>
            <w:vAlign w:val="center"/>
          </w:tcPr>
          <w:p w:rsidR="0079691F" w:rsidRPr="00C93348" w:rsidRDefault="0079691F" w:rsidP="0008436B">
            <w:pPr>
              <w:pStyle w:val="TableText0"/>
            </w:pPr>
          </w:p>
        </w:tc>
        <w:tc>
          <w:tcPr>
            <w:tcW w:w="3027" w:type="pct"/>
            <w:tcBorders>
              <w:top w:val="nil"/>
              <w:bottom w:val="nil"/>
            </w:tcBorders>
            <w:vAlign w:val="center"/>
          </w:tcPr>
          <w:p w:rsidR="0079691F" w:rsidRPr="00C93348" w:rsidRDefault="0079691F" w:rsidP="0008436B">
            <w:pPr>
              <w:pStyle w:val="TableText0"/>
              <w:rPr>
                <w:szCs w:val="18"/>
              </w:rPr>
            </w:pPr>
            <w:r w:rsidRPr="00C93348">
              <w:rPr>
                <w:szCs w:val="18"/>
              </w:rPr>
              <w:t xml:space="preserve">Reungwetwattana T, Nakagawa K, Cho BC, et al. CNS response to osimertinib versus standard epidermal growth factor receptor tyrosine kinase inhibitors in patients with untreated EGFR-mutated advanced non-small-cell lung cancer. </w:t>
            </w:r>
          </w:p>
        </w:tc>
        <w:tc>
          <w:tcPr>
            <w:tcW w:w="1177" w:type="pct"/>
            <w:tcBorders>
              <w:top w:val="nil"/>
              <w:bottom w:val="nil"/>
            </w:tcBorders>
          </w:tcPr>
          <w:p w:rsidR="0079691F" w:rsidRPr="00C93348" w:rsidRDefault="0079691F" w:rsidP="0008436B">
            <w:pPr>
              <w:pStyle w:val="TableText0"/>
              <w:rPr>
                <w:szCs w:val="18"/>
              </w:rPr>
            </w:pPr>
            <w:r w:rsidRPr="00C93348">
              <w:rPr>
                <w:i/>
                <w:szCs w:val="18"/>
              </w:rPr>
              <w:t>J Clin Oncol</w:t>
            </w:r>
            <w:r w:rsidRPr="00C93348">
              <w:rPr>
                <w:szCs w:val="18"/>
              </w:rPr>
              <w:t xml:space="preserve"> 2018; 36(33): 3290-3297</w:t>
            </w:r>
          </w:p>
        </w:tc>
      </w:tr>
      <w:tr w:rsidR="0079691F" w:rsidRPr="00C93348" w:rsidTr="007A099C">
        <w:tc>
          <w:tcPr>
            <w:tcW w:w="796" w:type="pct"/>
            <w:tcBorders>
              <w:top w:val="nil"/>
              <w:bottom w:val="single" w:sz="4" w:space="0" w:color="auto"/>
            </w:tcBorders>
            <w:vAlign w:val="center"/>
          </w:tcPr>
          <w:p w:rsidR="0079691F" w:rsidRPr="00C93348" w:rsidRDefault="0079691F" w:rsidP="0008436B">
            <w:pPr>
              <w:pStyle w:val="TableText0"/>
            </w:pPr>
          </w:p>
        </w:tc>
        <w:tc>
          <w:tcPr>
            <w:tcW w:w="3027" w:type="pct"/>
            <w:tcBorders>
              <w:top w:val="nil"/>
              <w:bottom w:val="single" w:sz="4" w:space="0" w:color="auto"/>
            </w:tcBorders>
            <w:vAlign w:val="center"/>
          </w:tcPr>
          <w:p w:rsidR="0079691F" w:rsidRPr="00C93348" w:rsidRDefault="0079691F" w:rsidP="0008436B">
            <w:pPr>
              <w:pStyle w:val="TableText0"/>
              <w:rPr>
                <w:szCs w:val="18"/>
              </w:rPr>
            </w:pPr>
            <w:r w:rsidRPr="00C93348">
              <w:rPr>
                <w:szCs w:val="18"/>
              </w:rPr>
              <w:t>Leighl N, Karaseva N, Nakagawa K, et al. Patient-reported outcomes from FLAURA: osimertinib versus standard of care epidermal growth factor receptor tyrosine kinase inhibitor (EGFR-TKI) in patients with EGFR-mutated advanced non-small cell lung cancer (abstract)</w:t>
            </w:r>
          </w:p>
        </w:tc>
        <w:tc>
          <w:tcPr>
            <w:tcW w:w="1177" w:type="pct"/>
            <w:tcBorders>
              <w:top w:val="nil"/>
              <w:bottom w:val="single" w:sz="4" w:space="0" w:color="auto"/>
            </w:tcBorders>
          </w:tcPr>
          <w:p w:rsidR="0079691F" w:rsidRPr="00C93348" w:rsidRDefault="0079691F" w:rsidP="0008436B">
            <w:pPr>
              <w:pStyle w:val="TableText0"/>
              <w:rPr>
                <w:i/>
                <w:szCs w:val="18"/>
              </w:rPr>
            </w:pPr>
            <w:r w:rsidRPr="00C93348">
              <w:rPr>
                <w:szCs w:val="18"/>
              </w:rPr>
              <w:t>8</w:t>
            </w:r>
            <w:r w:rsidRPr="00C93348">
              <w:rPr>
                <w:szCs w:val="18"/>
                <w:vertAlign w:val="superscript"/>
              </w:rPr>
              <w:t>th</w:t>
            </w:r>
            <w:r w:rsidRPr="00C93348">
              <w:rPr>
                <w:szCs w:val="18"/>
              </w:rPr>
              <w:t xml:space="preserve"> European Lung Cancer Conference. April 2018</w:t>
            </w:r>
          </w:p>
        </w:tc>
      </w:tr>
    </w:tbl>
    <w:p w:rsidR="0079691F" w:rsidRPr="00C93348" w:rsidRDefault="0079691F" w:rsidP="0008436B">
      <w:pPr>
        <w:pStyle w:val="TableFigureFooter"/>
        <w:keepNext/>
      </w:pPr>
      <w:r w:rsidRPr="00C93348">
        <w:t>Source: Table 2.2.1, p38 of the resubmission</w:t>
      </w:r>
    </w:p>
    <w:p w:rsidR="0079691F" w:rsidRPr="00C93348" w:rsidRDefault="0079691F" w:rsidP="007A099C">
      <w:pPr>
        <w:pStyle w:val="TableFigureFooter"/>
        <w:keepNext/>
      </w:pPr>
      <w:r w:rsidRPr="00C93348">
        <w:t>DCO1 = first data cut-off (June 2017); DCO2= second data cut-off (June 2019)</w:t>
      </w:r>
    </w:p>
    <w:p w:rsidR="0079691F" w:rsidRPr="00C93348" w:rsidRDefault="0079691F" w:rsidP="0079691F">
      <w:pPr>
        <w:pStyle w:val="3-BodyText"/>
      </w:pPr>
      <w:r w:rsidRPr="00C93348">
        <w:t xml:space="preserve">The key features of the direct randomised trial are summarised in </w:t>
      </w:r>
      <w:r w:rsidR="00CC4472" w:rsidRPr="00CC4472">
        <w:t>Table 4</w:t>
      </w:r>
      <w:r w:rsidRPr="00C93348">
        <w:t>.</w:t>
      </w:r>
      <w:r w:rsidR="004A0B30" w:rsidRPr="00C93348">
        <w:t xml:space="preserve"> </w:t>
      </w:r>
      <w:r w:rsidRPr="00C93348">
        <w:t>These are largely unchanged from the previous submission, except with a longer median duration of follow up compared to the most recent data cut-off. In the current resubmission, the median duration of follow-up for OS data was 35.8 months in the osimertinib arm and 27 months in the comparator arm. These are compared with a median duration of follow-up for OS data of 18.6 months in the osimertinib arm and 17.4 months in the comparator arm, as presented in the previous submission.</w:t>
      </w:r>
    </w:p>
    <w:p w:rsidR="0079691F" w:rsidRPr="00C93348" w:rsidRDefault="0079691F" w:rsidP="007A099C">
      <w:pPr>
        <w:pStyle w:val="TableFigureHeading"/>
      </w:pPr>
      <w:bookmarkStart w:id="27" w:name="_Ref39668055"/>
      <w:r w:rsidRPr="00C93348">
        <w:rPr>
          <w:rStyle w:val="CommentReference"/>
          <w:b/>
        </w:rPr>
        <w:t xml:space="preserve">Table </w:t>
      </w:r>
      <w:r w:rsidR="00CC4472">
        <w:rPr>
          <w:rStyle w:val="CommentReference"/>
          <w:b/>
          <w:noProof/>
        </w:rPr>
        <w:t>4</w:t>
      </w:r>
      <w:bookmarkEnd w:id="27"/>
      <w:r w:rsidRPr="00C93348">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840"/>
        <w:gridCol w:w="1410"/>
        <w:gridCol w:w="1120"/>
        <w:gridCol w:w="1546"/>
        <w:gridCol w:w="1122"/>
        <w:gridCol w:w="1695"/>
      </w:tblGrid>
      <w:tr w:rsidR="0079691F" w:rsidRPr="00C93348" w:rsidTr="007A099C">
        <w:tc>
          <w:tcPr>
            <w:tcW w:w="712" w:type="pct"/>
            <w:shd w:val="clear" w:color="auto" w:fill="auto"/>
            <w:vAlign w:val="center"/>
          </w:tcPr>
          <w:p w:rsidR="0079691F" w:rsidRPr="00C93348" w:rsidRDefault="0079691F" w:rsidP="0008436B">
            <w:pPr>
              <w:pStyle w:val="Tabletext"/>
              <w:keepNext/>
              <w:rPr>
                <w:b/>
              </w:rPr>
            </w:pPr>
            <w:r w:rsidRPr="00C93348">
              <w:rPr>
                <w:b/>
              </w:rPr>
              <w:t>Trial</w:t>
            </w:r>
          </w:p>
        </w:tc>
        <w:tc>
          <w:tcPr>
            <w:tcW w:w="466" w:type="pct"/>
            <w:shd w:val="clear" w:color="auto" w:fill="auto"/>
            <w:vAlign w:val="center"/>
          </w:tcPr>
          <w:p w:rsidR="0079691F" w:rsidRPr="00C93348" w:rsidRDefault="0079691F" w:rsidP="0008436B">
            <w:pPr>
              <w:pStyle w:val="Tabletext"/>
              <w:keepNext/>
              <w:jc w:val="center"/>
              <w:rPr>
                <w:b/>
              </w:rPr>
            </w:pPr>
            <w:r w:rsidRPr="00C93348">
              <w:rPr>
                <w:b/>
              </w:rPr>
              <w:t>N</w:t>
            </w:r>
          </w:p>
        </w:tc>
        <w:tc>
          <w:tcPr>
            <w:tcW w:w="782" w:type="pct"/>
            <w:shd w:val="clear" w:color="auto" w:fill="auto"/>
            <w:vAlign w:val="center"/>
          </w:tcPr>
          <w:p w:rsidR="0079691F" w:rsidRPr="00C93348" w:rsidRDefault="0079691F" w:rsidP="0008436B">
            <w:pPr>
              <w:pStyle w:val="Tabletext"/>
              <w:keepNext/>
              <w:jc w:val="center"/>
              <w:rPr>
                <w:b/>
              </w:rPr>
            </w:pPr>
            <w:r w:rsidRPr="00C93348">
              <w:rPr>
                <w:b/>
              </w:rPr>
              <w:t>Design/ duration</w:t>
            </w:r>
          </w:p>
        </w:tc>
        <w:tc>
          <w:tcPr>
            <w:tcW w:w="621" w:type="pct"/>
            <w:shd w:val="clear" w:color="auto" w:fill="auto"/>
            <w:vAlign w:val="center"/>
          </w:tcPr>
          <w:p w:rsidR="0079691F" w:rsidRPr="00C93348" w:rsidRDefault="0079691F" w:rsidP="0008436B">
            <w:pPr>
              <w:pStyle w:val="Tabletext"/>
              <w:keepNext/>
              <w:jc w:val="center"/>
              <w:rPr>
                <w:b/>
              </w:rPr>
            </w:pPr>
            <w:r w:rsidRPr="00C93348">
              <w:rPr>
                <w:b/>
              </w:rPr>
              <w:t>Risk of bias</w:t>
            </w:r>
          </w:p>
        </w:tc>
        <w:tc>
          <w:tcPr>
            <w:tcW w:w="857" w:type="pct"/>
            <w:shd w:val="clear" w:color="auto" w:fill="auto"/>
            <w:vAlign w:val="center"/>
          </w:tcPr>
          <w:p w:rsidR="0079691F" w:rsidRPr="00C93348" w:rsidRDefault="0079691F" w:rsidP="0008436B">
            <w:pPr>
              <w:pStyle w:val="Tabletext"/>
              <w:keepNext/>
              <w:jc w:val="center"/>
              <w:rPr>
                <w:b/>
              </w:rPr>
            </w:pPr>
            <w:r w:rsidRPr="00C93348">
              <w:rPr>
                <w:b/>
              </w:rPr>
              <w:t>Patient population</w:t>
            </w:r>
          </w:p>
        </w:tc>
        <w:tc>
          <w:tcPr>
            <w:tcW w:w="622" w:type="pct"/>
            <w:shd w:val="clear" w:color="auto" w:fill="auto"/>
            <w:vAlign w:val="center"/>
          </w:tcPr>
          <w:p w:rsidR="0079691F" w:rsidRPr="00C93348" w:rsidRDefault="0079691F" w:rsidP="0008436B">
            <w:pPr>
              <w:pStyle w:val="Tabletext"/>
              <w:keepNext/>
              <w:jc w:val="center"/>
              <w:rPr>
                <w:b/>
              </w:rPr>
            </w:pPr>
            <w:r w:rsidRPr="00C93348">
              <w:rPr>
                <w:b/>
              </w:rPr>
              <w:t>Outcomes</w:t>
            </w:r>
          </w:p>
        </w:tc>
        <w:tc>
          <w:tcPr>
            <w:tcW w:w="940" w:type="pct"/>
            <w:shd w:val="clear" w:color="auto" w:fill="auto"/>
            <w:vAlign w:val="center"/>
          </w:tcPr>
          <w:p w:rsidR="0079691F" w:rsidRPr="00C93348" w:rsidRDefault="0079691F" w:rsidP="0008436B">
            <w:pPr>
              <w:pStyle w:val="Tabletext"/>
              <w:keepNext/>
              <w:jc w:val="center"/>
              <w:rPr>
                <w:b/>
              </w:rPr>
            </w:pPr>
            <w:r w:rsidRPr="00C93348">
              <w:rPr>
                <w:b/>
              </w:rPr>
              <w:t>Use in modelled evaluation</w:t>
            </w:r>
          </w:p>
        </w:tc>
      </w:tr>
      <w:tr w:rsidR="0079691F" w:rsidRPr="00C93348" w:rsidTr="007A099C">
        <w:tc>
          <w:tcPr>
            <w:tcW w:w="5000" w:type="pct"/>
            <w:gridSpan w:val="7"/>
            <w:shd w:val="clear" w:color="auto" w:fill="auto"/>
            <w:vAlign w:val="center"/>
          </w:tcPr>
          <w:p w:rsidR="0079691F" w:rsidRPr="00C93348" w:rsidRDefault="0079691F" w:rsidP="0008436B">
            <w:pPr>
              <w:pStyle w:val="Tabletext"/>
              <w:keepNext/>
              <w:rPr>
                <w:b/>
              </w:rPr>
            </w:pPr>
            <w:r w:rsidRPr="00C93348">
              <w:rPr>
                <w:b/>
              </w:rPr>
              <w:t>osimertinib vs. erlotinib/gefitinib</w:t>
            </w:r>
          </w:p>
        </w:tc>
      </w:tr>
      <w:tr w:rsidR="0079691F" w:rsidRPr="00C93348" w:rsidTr="007A099C">
        <w:tc>
          <w:tcPr>
            <w:tcW w:w="712" w:type="pct"/>
            <w:shd w:val="clear" w:color="auto" w:fill="auto"/>
            <w:vAlign w:val="center"/>
          </w:tcPr>
          <w:p w:rsidR="0079691F" w:rsidRPr="00C93348" w:rsidRDefault="0079691F" w:rsidP="0008436B">
            <w:pPr>
              <w:pStyle w:val="Tabletext"/>
              <w:keepNext/>
            </w:pPr>
            <w:r w:rsidRPr="00C93348">
              <w:t>FLAURA</w:t>
            </w:r>
          </w:p>
        </w:tc>
        <w:tc>
          <w:tcPr>
            <w:tcW w:w="466" w:type="pct"/>
            <w:shd w:val="clear" w:color="auto" w:fill="auto"/>
            <w:vAlign w:val="center"/>
          </w:tcPr>
          <w:p w:rsidR="0079691F" w:rsidRPr="00C93348" w:rsidRDefault="0079691F" w:rsidP="0008436B">
            <w:pPr>
              <w:pStyle w:val="Tabletext"/>
              <w:keepNext/>
              <w:jc w:val="center"/>
            </w:pPr>
            <w:r w:rsidRPr="00C93348">
              <w:t>556</w:t>
            </w:r>
          </w:p>
        </w:tc>
        <w:tc>
          <w:tcPr>
            <w:tcW w:w="782" w:type="pct"/>
            <w:shd w:val="clear" w:color="auto" w:fill="auto"/>
            <w:vAlign w:val="center"/>
          </w:tcPr>
          <w:p w:rsidR="0079691F" w:rsidRPr="00C93348" w:rsidRDefault="0079691F" w:rsidP="0008436B">
            <w:pPr>
              <w:pStyle w:val="Tabletext"/>
              <w:keepNext/>
              <w:jc w:val="center"/>
            </w:pPr>
            <w:r w:rsidRPr="00C93348">
              <w:t>R, DB</w:t>
            </w:r>
          </w:p>
          <w:p w:rsidR="0079691F" w:rsidRPr="00C93348" w:rsidRDefault="0079691F" w:rsidP="0008436B">
            <w:pPr>
              <w:pStyle w:val="Tabletext"/>
              <w:keepNext/>
              <w:jc w:val="center"/>
            </w:pPr>
            <w:r w:rsidRPr="00C93348">
              <w:t>35.8 months</w:t>
            </w:r>
          </w:p>
        </w:tc>
        <w:tc>
          <w:tcPr>
            <w:tcW w:w="621" w:type="pct"/>
            <w:shd w:val="clear" w:color="auto" w:fill="auto"/>
            <w:vAlign w:val="center"/>
          </w:tcPr>
          <w:p w:rsidR="0079691F" w:rsidRPr="00C93348" w:rsidRDefault="0079691F" w:rsidP="0008436B">
            <w:pPr>
              <w:pStyle w:val="Tabletext"/>
              <w:keepNext/>
              <w:jc w:val="center"/>
            </w:pPr>
            <w:r w:rsidRPr="00C93348">
              <w:t>Low</w:t>
            </w:r>
          </w:p>
        </w:tc>
        <w:tc>
          <w:tcPr>
            <w:tcW w:w="857" w:type="pct"/>
            <w:shd w:val="clear" w:color="auto" w:fill="auto"/>
            <w:vAlign w:val="center"/>
          </w:tcPr>
          <w:p w:rsidR="0079691F" w:rsidRPr="00C93348" w:rsidRDefault="0079691F" w:rsidP="0008436B">
            <w:pPr>
              <w:pStyle w:val="Tabletext"/>
              <w:keepNext/>
              <w:jc w:val="center"/>
            </w:pPr>
            <w:r w:rsidRPr="00C93348">
              <w:t>Treatment-naïve locally advanced (Stage IIIB) or metastatic (Stage IV) EGFRm NSCLC</w:t>
            </w:r>
          </w:p>
        </w:tc>
        <w:tc>
          <w:tcPr>
            <w:tcW w:w="622" w:type="pct"/>
            <w:shd w:val="clear" w:color="auto" w:fill="auto"/>
            <w:vAlign w:val="center"/>
          </w:tcPr>
          <w:p w:rsidR="0079691F" w:rsidRPr="00C93348" w:rsidRDefault="0079691F" w:rsidP="0008436B">
            <w:pPr>
              <w:pStyle w:val="Tabletext"/>
              <w:keepNext/>
              <w:jc w:val="center"/>
            </w:pPr>
            <w:r w:rsidRPr="00C93348">
              <w:t>PFS, OS</w:t>
            </w:r>
          </w:p>
        </w:tc>
        <w:tc>
          <w:tcPr>
            <w:tcW w:w="940" w:type="pct"/>
            <w:shd w:val="clear" w:color="auto" w:fill="auto"/>
            <w:vAlign w:val="center"/>
          </w:tcPr>
          <w:p w:rsidR="0079691F" w:rsidRPr="00C93348" w:rsidRDefault="0079691F" w:rsidP="0008436B">
            <w:pPr>
              <w:pStyle w:val="Tabletext"/>
              <w:keepNext/>
              <w:jc w:val="center"/>
            </w:pPr>
            <w:r w:rsidRPr="00C93348">
              <w:t>Used</w:t>
            </w:r>
          </w:p>
        </w:tc>
      </w:tr>
    </w:tbl>
    <w:p w:rsidR="0079691F" w:rsidRPr="00C93348" w:rsidRDefault="0079691F" w:rsidP="007A099C">
      <w:pPr>
        <w:pStyle w:val="TableFigureFooter"/>
        <w:rPr>
          <w:sz w:val="20"/>
        </w:rPr>
      </w:pPr>
      <w:r w:rsidRPr="00C93348">
        <w:t>Source: Generated during the evaluation based on Sections 2.3 and 2.4, pp39-66 of the resubmission.</w:t>
      </w:r>
    </w:p>
    <w:p w:rsidR="0079691F" w:rsidRPr="007A099C" w:rsidRDefault="0079691F" w:rsidP="007A099C">
      <w:pPr>
        <w:pStyle w:val="TableFigureFooter"/>
        <w:rPr>
          <w:rStyle w:val="CommentReference"/>
          <w:b w:val="0"/>
          <w:sz w:val="18"/>
          <w:szCs w:val="22"/>
        </w:rPr>
      </w:pPr>
      <w:r w:rsidRPr="00C93348">
        <w:t>DB = double blind; EGFR = epidermal growth factor receptor; m = mutation positive; NSCLC = non-small cell lung cancer; OS = overall survival; PFS = progression-free survival; R = randomised.</w:t>
      </w:r>
    </w:p>
    <w:p w:rsidR="0079691F" w:rsidRPr="00C93348" w:rsidRDefault="0079691F" w:rsidP="0079691F">
      <w:pPr>
        <w:pStyle w:val="4-SubsectionHeading"/>
      </w:pPr>
      <w:bookmarkStart w:id="28" w:name="_Toc22897641"/>
      <w:bookmarkStart w:id="29" w:name="_Toc22898853"/>
      <w:bookmarkStart w:id="30" w:name="_Toc40094106"/>
      <w:bookmarkStart w:id="31" w:name="_Toc40709207"/>
      <w:r w:rsidRPr="00C93348">
        <w:t>Comparative effectiveness</w:t>
      </w:r>
      <w:bookmarkEnd w:id="28"/>
      <w:bookmarkEnd w:id="29"/>
      <w:bookmarkEnd w:id="30"/>
      <w:bookmarkEnd w:id="31"/>
    </w:p>
    <w:p w:rsidR="0079691F" w:rsidRPr="00C93348" w:rsidRDefault="0079691F" w:rsidP="0079691F">
      <w:pPr>
        <w:pStyle w:val="3-BodyText"/>
        <w:rPr>
          <w:rFonts w:ascii="Arial Narrow" w:hAnsi="Arial Narrow"/>
          <w:sz w:val="20"/>
        </w:rPr>
      </w:pPr>
      <w:r w:rsidRPr="00C93348">
        <w:rPr>
          <w:iCs/>
        </w:rPr>
        <w:t>The analysis of PFS, the primary outcome in the FLAURA trial, was conducted at the first data cut-off (June 2017).</w:t>
      </w:r>
      <w:r w:rsidRPr="00C93348">
        <w:t xml:space="preserve"> No new PFS data were provided in the resubmission. </w:t>
      </w:r>
      <w:r w:rsidRPr="00C93348">
        <w:rPr>
          <w:iCs/>
        </w:rPr>
        <w:t xml:space="preserve">The </w:t>
      </w:r>
      <w:r w:rsidRPr="00C93348">
        <w:t>PFS results, as presented in the previous submission, are summarised again below (</w:t>
      </w:r>
      <w:r w:rsidR="00CC4472" w:rsidRPr="00CC4472">
        <w:t>Table 5</w:t>
      </w:r>
      <w:r w:rsidRPr="00C93348">
        <w:t xml:space="preserve"> and </w:t>
      </w:r>
      <w:r w:rsidR="00CC4472" w:rsidRPr="00C93348">
        <w:t xml:space="preserve">Figure </w:t>
      </w:r>
      <w:r w:rsidR="00CC4472">
        <w:t>1</w:t>
      </w:r>
      <w:r w:rsidRPr="00C93348">
        <w:t>).</w:t>
      </w:r>
      <w:r w:rsidR="004A0B30" w:rsidRPr="00C93348">
        <w:t xml:space="preserve"> </w:t>
      </w:r>
      <w:r w:rsidRPr="00C93348">
        <w:t xml:space="preserve">At the primary analysis (based on investigator assessment at time of the first data cut), the median PFS was 18.9 months and 10.2 months in the osimertinib and </w:t>
      </w:r>
      <w:r w:rsidR="00D72D9F" w:rsidRPr="00C93348">
        <w:t>SC</w:t>
      </w:r>
      <w:r w:rsidRPr="00C93348">
        <w:t xml:space="preserve"> arms respectively, with an observed hazard ratio of 0.46 (95% confidence interval (CI): 0.37, 0.57). </w:t>
      </w:r>
    </w:p>
    <w:p w:rsidR="0079691F" w:rsidRPr="00C93348" w:rsidRDefault="0079691F" w:rsidP="0079691F">
      <w:pPr>
        <w:pStyle w:val="TableFigureHeading"/>
        <w:rPr>
          <w:rStyle w:val="CommentReference"/>
          <w:b/>
        </w:rPr>
      </w:pPr>
      <w:bookmarkStart w:id="32" w:name="_Ref39663932"/>
      <w:r w:rsidRPr="00C93348">
        <w:rPr>
          <w:rStyle w:val="CommentReference"/>
          <w:b/>
        </w:rPr>
        <w:t xml:space="preserve">Table </w:t>
      </w:r>
      <w:r w:rsidR="00CC4472">
        <w:rPr>
          <w:rStyle w:val="CommentReference"/>
          <w:b/>
          <w:noProof/>
        </w:rPr>
        <w:t>5</w:t>
      </w:r>
      <w:bookmarkEnd w:id="32"/>
      <w:r w:rsidRPr="00C93348">
        <w:rPr>
          <w:rStyle w:val="CommentReference"/>
          <w:b/>
        </w:rPr>
        <w:t xml:space="preserve">: Results of PFS in the </w:t>
      </w:r>
      <w:r w:rsidRPr="00C93348">
        <w:rPr>
          <w:rStyle w:val="CommentReference"/>
          <w:b/>
          <w:szCs w:val="24"/>
        </w:rPr>
        <w:t>FLAURA</w:t>
      </w:r>
      <w:r w:rsidRPr="00C93348">
        <w:rPr>
          <w:rStyle w:val="CommentReference"/>
          <w:b/>
        </w:rPr>
        <w:t xml:space="preserve"> trial (June 2017 data cut-off, FAS)</w:t>
      </w:r>
    </w:p>
    <w:tbl>
      <w:tblPr>
        <w:tblStyle w:val="TableGrid"/>
        <w:tblW w:w="5000" w:type="pct"/>
        <w:shd w:val="clear" w:color="auto" w:fill="DAEEF3" w:themeFill="accent5" w:themeFillTint="33"/>
        <w:tblCellMar>
          <w:left w:w="28" w:type="dxa"/>
          <w:right w:w="28" w:type="dxa"/>
        </w:tblCellMar>
        <w:tblLook w:val="04A0" w:firstRow="1" w:lastRow="0" w:firstColumn="1" w:lastColumn="0" w:noHBand="0" w:noVBand="1"/>
      </w:tblPr>
      <w:tblGrid>
        <w:gridCol w:w="2466"/>
        <w:gridCol w:w="1446"/>
        <w:gridCol w:w="1515"/>
        <w:gridCol w:w="2007"/>
        <w:gridCol w:w="1583"/>
      </w:tblGrid>
      <w:tr w:rsidR="0079691F" w:rsidRPr="00C93348" w:rsidTr="007A099C">
        <w:trPr>
          <w:trHeight w:val="20"/>
        </w:trPr>
        <w:tc>
          <w:tcPr>
            <w:tcW w:w="1367" w:type="pct"/>
            <w:tcBorders>
              <w:bottom w:val="single" w:sz="4" w:space="0" w:color="auto"/>
            </w:tcBorders>
            <w:shd w:val="clear" w:color="auto" w:fill="E4EBF4"/>
          </w:tcPr>
          <w:p w:rsidR="0079691F" w:rsidRPr="00C93348" w:rsidRDefault="0079691F" w:rsidP="002E61B6">
            <w:pPr>
              <w:pStyle w:val="TableText0"/>
              <w:widowControl w:val="0"/>
              <w:rPr>
                <w:b/>
              </w:rPr>
            </w:pPr>
            <w:r w:rsidRPr="00C93348">
              <w:rPr>
                <w:b/>
              </w:rPr>
              <w:t>Event</w:t>
            </w:r>
          </w:p>
        </w:tc>
        <w:tc>
          <w:tcPr>
            <w:tcW w:w="802" w:type="pct"/>
            <w:tcBorders>
              <w:bottom w:val="single" w:sz="4" w:space="0" w:color="auto"/>
            </w:tcBorders>
            <w:shd w:val="clear" w:color="auto" w:fill="E4EBF4"/>
          </w:tcPr>
          <w:p w:rsidR="0079691F" w:rsidRPr="00C93348" w:rsidRDefault="0079691F" w:rsidP="002E61B6">
            <w:pPr>
              <w:pStyle w:val="TableText0"/>
              <w:widowControl w:val="0"/>
              <w:jc w:val="center"/>
              <w:rPr>
                <w:b/>
              </w:rPr>
            </w:pPr>
            <w:r w:rsidRPr="00C93348">
              <w:rPr>
                <w:b/>
              </w:rPr>
              <w:t>Osimertinib</w:t>
            </w:r>
          </w:p>
        </w:tc>
        <w:tc>
          <w:tcPr>
            <w:tcW w:w="840" w:type="pct"/>
            <w:tcBorders>
              <w:bottom w:val="single" w:sz="4" w:space="0" w:color="auto"/>
            </w:tcBorders>
            <w:shd w:val="clear" w:color="auto" w:fill="E4EBF4"/>
          </w:tcPr>
          <w:p w:rsidR="0079691F" w:rsidRPr="00C93348" w:rsidRDefault="00D72D9F" w:rsidP="002E61B6">
            <w:pPr>
              <w:pStyle w:val="TableText0"/>
              <w:widowControl w:val="0"/>
              <w:jc w:val="center"/>
              <w:rPr>
                <w:b/>
              </w:rPr>
            </w:pPr>
            <w:r w:rsidRPr="00C93348">
              <w:rPr>
                <w:b/>
              </w:rPr>
              <w:t>SC</w:t>
            </w:r>
          </w:p>
        </w:tc>
        <w:tc>
          <w:tcPr>
            <w:tcW w:w="1113" w:type="pct"/>
            <w:tcBorders>
              <w:bottom w:val="single" w:sz="4" w:space="0" w:color="auto"/>
            </w:tcBorders>
            <w:shd w:val="clear" w:color="auto" w:fill="E4EBF4"/>
          </w:tcPr>
          <w:p w:rsidR="0079691F" w:rsidRPr="00C93348" w:rsidRDefault="0079691F" w:rsidP="002E61B6">
            <w:pPr>
              <w:pStyle w:val="TableText0"/>
              <w:widowControl w:val="0"/>
              <w:jc w:val="center"/>
              <w:rPr>
                <w:rFonts w:asciiTheme="minorHAnsi" w:hAnsiTheme="minorHAnsi"/>
                <w:b/>
              </w:rPr>
            </w:pPr>
            <w:r w:rsidRPr="00C93348">
              <w:rPr>
                <w:b/>
              </w:rPr>
              <w:t>Absolute Difference</w:t>
            </w:r>
          </w:p>
        </w:tc>
        <w:tc>
          <w:tcPr>
            <w:tcW w:w="878" w:type="pct"/>
            <w:tcBorders>
              <w:bottom w:val="single" w:sz="4" w:space="0" w:color="auto"/>
            </w:tcBorders>
            <w:shd w:val="clear" w:color="auto" w:fill="E4EBF4"/>
          </w:tcPr>
          <w:p w:rsidR="0079691F" w:rsidRPr="00C93348" w:rsidRDefault="0079691F" w:rsidP="002E61B6">
            <w:pPr>
              <w:pStyle w:val="TableText0"/>
              <w:widowControl w:val="0"/>
              <w:jc w:val="center"/>
              <w:rPr>
                <w:b/>
              </w:rPr>
            </w:pPr>
            <w:r w:rsidRPr="00C93348">
              <w:rPr>
                <w:b/>
              </w:rPr>
              <w:t>HR (95% CI)</w:t>
            </w:r>
          </w:p>
        </w:tc>
      </w:tr>
      <w:tr w:rsidR="0079691F" w:rsidRPr="00C93348" w:rsidTr="007A099C">
        <w:trPr>
          <w:trHeight w:val="20"/>
        </w:trPr>
        <w:tc>
          <w:tcPr>
            <w:tcW w:w="1367" w:type="pct"/>
            <w:tcBorders>
              <w:bottom w:val="single" w:sz="4" w:space="0" w:color="auto"/>
              <w:right w:val="single" w:sz="4" w:space="0" w:color="auto"/>
            </w:tcBorders>
            <w:shd w:val="clear" w:color="auto" w:fill="E4EBF4"/>
          </w:tcPr>
          <w:p w:rsidR="0079691F" w:rsidRPr="00C93348" w:rsidRDefault="0079691F" w:rsidP="002E61B6">
            <w:pPr>
              <w:pStyle w:val="TableText0"/>
              <w:widowControl w:val="0"/>
            </w:pPr>
            <w:r w:rsidRPr="00C93348">
              <w:t>Progressed or died, n (%)</w:t>
            </w:r>
          </w:p>
        </w:tc>
        <w:tc>
          <w:tcPr>
            <w:tcW w:w="802" w:type="pct"/>
            <w:tcBorders>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rPr>
                <w:rFonts w:cs="Times New Roman"/>
              </w:rPr>
              <w:t>136/279 (48.7%)</w:t>
            </w:r>
          </w:p>
        </w:tc>
        <w:tc>
          <w:tcPr>
            <w:tcW w:w="840" w:type="pct"/>
            <w:tcBorders>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rPr>
                <w:rFonts w:cs="Times New Roman"/>
              </w:rPr>
              <w:t>206/277 (74.4%)</w:t>
            </w:r>
          </w:p>
        </w:tc>
        <w:tc>
          <w:tcPr>
            <w:tcW w:w="1113" w:type="pct"/>
            <w:tcBorders>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p>
        </w:tc>
        <w:tc>
          <w:tcPr>
            <w:tcW w:w="878" w:type="pct"/>
            <w:tcBorders>
              <w:left w:val="single" w:sz="4" w:space="0" w:color="auto"/>
              <w:bottom w:val="single" w:sz="4" w:space="0" w:color="auto"/>
            </w:tcBorders>
            <w:shd w:val="clear" w:color="auto" w:fill="E4EBF4"/>
          </w:tcPr>
          <w:p w:rsidR="0079691F" w:rsidRPr="00C93348" w:rsidRDefault="0079691F" w:rsidP="002E61B6">
            <w:pPr>
              <w:pStyle w:val="TableText0"/>
              <w:widowControl w:val="0"/>
              <w:jc w:val="center"/>
            </w:pPr>
          </w:p>
        </w:tc>
      </w:tr>
      <w:tr w:rsidR="0079691F" w:rsidRPr="00C93348" w:rsidTr="007A099C">
        <w:trPr>
          <w:trHeight w:val="20"/>
        </w:trPr>
        <w:tc>
          <w:tcPr>
            <w:tcW w:w="1367" w:type="pct"/>
            <w:tcBorders>
              <w:bottom w:val="single" w:sz="4" w:space="0" w:color="auto"/>
              <w:right w:val="single" w:sz="4" w:space="0" w:color="auto"/>
            </w:tcBorders>
            <w:shd w:val="clear" w:color="auto" w:fill="E4EBF4"/>
          </w:tcPr>
          <w:p w:rsidR="0079691F" w:rsidRPr="00C93348" w:rsidRDefault="0079691F" w:rsidP="002E61B6">
            <w:pPr>
              <w:pStyle w:val="TableText0"/>
              <w:widowControl w:val="0"/>
            </w:pPr>
            <w:r w:rsidRPr="00C93348">
              <w:t>Median PFS (95% CI), months</w:t>
            </w:r>
          </w:p>
        </w:tc>
        <w:tc>
          <w:tcPr>
            <w:tcW w:w="802" w:type="pct"/>
            <w:tcBorders>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rPr>
                <w:rFonts w:cs="Times New Roman"/>
              </w:rPr>
            </w:pPr>
            <w:r w:rsidRPr="00C93348">
              <w:rPr>
                <w:lang w:eastAsia="zh-CN"/>
              </w:rPr>
              <w:t>18.9 (15.2, 21.4)</w:t>
            </w:r>
          </w:p>
        </w:tc>
        <w:tc>
          <w:tcPr>
            <w:tcW w:w="840" w:type="pct"/>
            <w:tcBorders>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rPr>
                <w:rFonts w:cs="Times New Roman"/>
              </w:rPr>
            </w:pPr>
            <w:r w:rsidRPr="00C93348">
              <w:rPr>
                <w:lang w:eastAsia="zh-CN"/>
              </w:rPr>
              <w:t>10.2 (9.6, 11.1)</w:t>
            </w:r>
          </w:p>
        </w:tc>
        <w:tc>
          <w:tcPr>
            <w:tcW w:w="1113" w:type="pct"/>
            <w:tcBorders>
              <w:left w:val="single" w:sz="4" w:space="0" w:color="auto"/>
              <w:bottom w:val="single" w:sz="4" w:space="0" w:color="auto"/>
              <w:right w:val="single" w:sz="4" w:space="0" w:color="auto"/>
            </w:tcBorders>
            <w:shd w:val="clear" w:color="auto" w:fill="E4EBF4"/>
          </w:tcPr>
          <w:p w:rsidR="0079691F" w:rsidRPr="00C93348" w:rsidRDefault="008B48A3" w:rsidP="002E61B6">
            <w:pPr>
              <w:pStyle w:val="TableText0"/>
              <w:widowControl w:val="0"/>
              <w:jc w:val="center"/>
            </w:pPr>
            <w:r w:rsidRPr="00C93348">
              <w:t>8.7 months</w:t>
            </w:r>
          </w:p>
        </w:tc>
        <w:tc>
          <w:tcPr>
            <w:tcW w:w="878" w:type="pct"/>
            <w:tcBorders>
              <w:left w:val="single" w:sz="4" w:space="0" w:color="auto"/>
              <w:bottom w:val="single" w:sz="4" w:space="0" w:color="auto"/>
            </w:tcBorders>
            <w:shd w:val="clear" w:color="auto" w:fill="E4EBF4"/>
          </w:tcPr>
          <w:p w:rsidR="0079691F" w:rsidRPr="00C93348" w:rsidRDefault="0079691F" w:rsidP="002E61B6">
            <w:pPr>
              <w:pStyle w:val="TableText0"/>
              <w:widowControl w:val="0"/>
              <w:jc w:val="center"/>
            </w:pPr>
            <w:r w:rsidRPr="00C93348">
              <w:t>0.46 (0.37, 0.57)</w:t>
            </w:r>
          </w:p>
          <w:p w:rsidR="0079691F" w:rsidRPr="00C93348" w:rsidRDefault="0079691F" w:rsidP="002E61B6">
            <w:pPr>
              <w:pStyle w:val="TableText0"/>
              <w:widowControl w:val="0"/>
              <w:jc w:val="center"/>
            </w:pPr>
            <w:r w:rsidRPr="00C93348">
              <w:t>P&lt;0.0001</w:t>
            </w:r>
          </w:p>
        </w:tc>
      </w:tr>
      <w:tr w:rsidR="0079691F" w:rsidRPr="00C93348" w:rsidTr="007A099C">
        <w:trPr>
          <w:trHeight w:val="20"/>
        </w:trPr>
        <w:tc>
          <w:tcPr>
            <w:tcW w:w="1367" w:type="pct"/>
            <w:tcBorders>
              <w:top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pPr>
            <w:r w:rsidRPr="00C93348">
              <w:t>% progression-free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t xml:space="preserve">68.2% </w:t>
            </w:r>
            <w:r w:rsidRPr="00C93348">
              <w:br/>
              <w:t>(62.3%, 73.5%)</w:t>
            </w:r>
          </w:p>
        </w:tc>
        <w:tc>
          <w:tcPr>
            <w:tcW w:w="840"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t xml:space="preserve">42.3% </w:t>
            </w:r>
            <w:r w:rsidRPr="00C93348">
              <w:br/>
              <w:t>(36.3%, 48.2%)</w:t>
            </w:r>
          </w:p>
        </w:tc>
        <w:tc>
          <w:tcPr>
            <w:tcW w:w="1113"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t>25.9%</w:t>
            </w:r>
          </w:p>
        </w:tc>
        <w:tc>
          <w:tcPr>
            <w:tcW w:w="878" w:type="pct"/>
            <w:tcBorders>
              <w:top w:val="single" w:sz="4" w:space="0" w:color="auto"/>
              <w:left w:val="single" w:sz="4" w:space="0" w:color="auto"/>
              <w:bottom w:val="single" w:sz="4" w:space="0" w:color="auto"/>
            </w:tcBorders>
            <w:shd w:val="clear" w:color="auto" w:fill="E4EBF4"/>
          </w:tcPr>
          <w:p w:rsidR="0079691F" w:rsidRPr="00C93348" w:rsidRDefault="0079691F" w:rsidP="002E61B6">
            <w:pPr>
              <w:pStyle w:val="TableText0"/>
              <w:widowControl w:val="0"/>
              <w:jc w:val="center"/>
            </w:pPr>
          </w:p>
        </w:tc>
      </w:tr>
      <w:tr w:rsidR="0079691F" w:rsidRPr="00C93348" w:rsidTr="007A099C">
        <w:trPr>
          <w:trHeight w:val="20"/>
        </w:trPr>
        <w:tc>
          <w:tcPr>
            <w:tcW w:w="1367" w:type="pct"/>
            <w:tcBorders>
              <w:top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pPr>
            <w:r w:rsidRPr="00C93348">
              <w:t>% progression-free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t xml:space="preserve">35.8% </w:t>
            </w:r>
            <w:r w:rsidRPr="00C93348">
              <w:br/>
              <w:t>(25.6%, 46.2%)</w:t>
            </w:r>
          </w:p>
        </w:tc>
        <w:tc>
          <w:tcPr>
            <w:tcW w:w="840"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pPr>
            <w:r w:rsidRPr="00C93348">
              <w:t xml:space="preserve">8.4% </w:t>
            </w:r>
            <w:r w:rsidRPr="00C93348">
              <w:br/>
              <w:t>(3.5%, 15.9%)</w:t>
            </w:r>
          </w:p>
        </w:tc>
        <w:tc>
          <w:tcPr>
            <w:tcW w:w="1113" w:type="pct"/>
            <w:tcBorders>
              <w:top w:val="single" w:sz="4" w:space="0" w:color="auto"/>
              <w:left w:val="single" w:sz="4" w:space="0" w:color="auto"/>
              <w:bottom w:val="single" w:sz="4" w:space="0" w:color="auto"/>
              <w:right w:val="single" w:sz="4" w:space="0" w:color="auto"/>
            </w:tcBorders>
            <w:shd w:val="clear" w:color="auto" w:fill="E4EBF4"/>
          </w:tcPr>
          <w:p w:rsidR="0079691F" w:rsidRPr="00C93348" w:rsidRDefault="0079691F" w:rsidP="002E61B6">
            <w:pPr>
              <w:pStyle w:val="TableText0"/>
              <w:widowControl w:val="0"/>
              <w:jc w:val="center"/>
              <w:rPr>
                <w:rFonts w:cs="Times New Roman"/>
              </w:rPr>
            </w:pPr>
            <w:r w:rsidRPr="00C93348">
              <w:rPr>
                <w:rFonts w:cs="Times New Roman"/>
              </w:rPr>
              <w:t>27.4%</w:t>
            </w:r>
          </w:p>
        </w:tc>
        <w:tc>
          <w:tcPr>
            <w:tcW w:w="878" w:type="pct"/>
            <w:tcBorders>
              <w:top w:val="single" w:sz="4" w:space="0" w:color="auto"/>
              <w:left w:val="single" w:sz="4" w:space="0" w:color="auto"/>
              <w:bottom w:val="single" w:sz="4" w:space="0" w:color="auto"/>
            </w:tcBorders>
            <w:shd w:val="clear" w:color="auto" w:fill="E4EBF4"/>
          </w:tcPr>
          <w:p w:rsidR="0079691F" w:rsidRPr="00C93348" w:rsidRDefault="0079691F" w:rsidP="002E61B6">
            <w:pPr>
              <w:pStyle w:val="TableText0"/>
              <w:widowControl w:val="0"/>
              <w:jc w:val="center"/>
            </w:pPr>
          </w:p>
        </w:tc>
      </w:tr>
    </w:tbl>
    <w:p w:rsidR="0079691F" w:rsidRPr="00C93348" w:rsidRDefault="0079691F" w:rsidP="00FA4395">
      <w:pPr>
        <w:pStyle w:val="TableFigureFooter"/>
      </w:pPr>
      <w:r w:rsidRPr="00C93348">
        <w:t>Source: Table 2.5.2, p60 of the resubmission</w:t>
      </w:r>
    </w:p>
    <w:p w:rsidR="0079691F" w:rsidRPr="00C93348" w:rsidRDefault="0079691F" w:rsidP="00FA4395">
      <w:pPr>
        <w:pStyle w:val="TableFigureFooter"/>
      </w:pPr>
      <w:r w:rsidRPr="00C93348">
        <w:t>CI = confidence interval; FAS = full analysis set; HR: hazard ratio; PFS = progression-free survival</w:t>
      </w:r>
      <w:r w:rsidR="006843D7" w:rsidRPr="00C93348">
        <w:t>; SC= standard care</w:t>
      </w:r>
    </w:p>
    <w:p w:rsidR="0079691F" w:rsidRPr="00C93348" w:rsidRDefault="0079691F" w:rsidP="00FA4395">
      <w:pPr>
        <w:pStyle w:val="TableFigureFooter"/>
      </w:pPr>
      <w:r w:rsidRPr="00C93348">
        <w:t>Median duration of follow up 15.0 months and 9.7 months in the osimertinib and erlotinib/gefitinib groups, respectively</w:t>
      </w:r>
    </w:p>
    <w:p w:rsidR="0079691F" w:rsidRPr="00C93348" w:rsidRDefault="0079691F" w:rsidP="00FA4395">
      <w:pPr>
        <w:pStyle w:val="TableFigureFooter"/>
      </w:pPr>
      <w:r w:rsidRPr="00C93348">
        <w:rPr>
          <w:bCs/>
          <w:iCs/>
        </w:rPr>
        <w:t>Blue shading indicates data previously seen by the PBAC</w:t>
      </w:r>
    </w:p>
    <w:p w:rsidR="0079691F" w:rsidRPr="00C93348" w:rsidRDefault="0079691F" w:rsidP="00FA4395">
      <w:pPr>
        <w:pStyle w:val="TableFigureHeading"/>
        <w:keepLines/>
      </w:pPr>
      <w:bookmarkStart w:id="33" w:name="_Ref39663957"/>
      <w:r w:rsidRPr="00C93348">
        <w:t xml:space="preserve">Figure </w:t>
      </w:r>
      <w:r w:rsidR="00CC4472">
        <w:rPr>
          <w:noProof/>
        </w:rPr>
        <w:t>1</w:t>
      </w:r>
      <w:bookmarkEnd w:id="33"/>
      <w:r w:rsidRPr="00C93348">
        <w:t>: Kaplan-Meier Curve for progression free survival in FLAURA (June 2017 data cut-off, FAS)</w:t>
      </w:r>
    </w:p>
    <w:p w:rsidR="0079691F" w:rsidRPr="00C93348" w:rsidRDefault="0079691F" w:rsidP="00FA4395">
      <w:pPr>
        <w:pStyle w:val="Caption"/>
        <w:keepNext/>
        <w:keepLines/>
      </w:pPr>
    </w:p>
    <w:p w:rsidR="0079691F" w:rsidRPr="00C93348" w:rsidRDefault="0079691F" w:rsidP="00FA4395">
      <w:pPr>
        <w:keepNext/>
        <w:keepLines/>
        <w:jc w:val="center"/>
      </w:pPr>
      <w:r w:rsidRPr="00C93348">
        <w:rPr>
          <w:noProof/>
        </w:rPr>
        <w:drawing>
          <wp:inline distT="0" distB="0" distL="0" distR="0" wp14:anchorId="123B8635" wp14:editId="10984984">
            <wp:extent cx="3026067" cy="208130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URA_PFS.PNG"/>
                    <pic:cNvPicPr/>
                  </pic:nvPicPr>
                  <pic:blipFill>
                    <a:blip r:embed="rId8">
                      <a:extLst>
                        <a:ext uri="{28A0092B-C50C-407E-A947-70E740481C1C}">
                          <a14:useLocalDpi xmlns:a14="http://schemas.microsoft.com/office/drawing/2010/main" val="0"/>
                        </a:ext>
                      </a:extLst>
                    </a:blip>
                    <a:stretch>
                      <a:fillRect/>
                    </a:stretch>
                  </pic:blipFill>
                  <pic:spPr>
                    <a:xfrm>
                      <a:off x="0" y="0"/>
                      <a:ext cx="3032935" cy="2086025"/>
                    </a:xfrm>
                    <a:prstGeom prst="rect">
                      <a:avLst/>
                    </a:prstGeom>
                  </pic:spPr>
                </pic:pic>
              </a:graphicData>
            </a:graphic>
          </wp:inline>
        </w:drawing>
      </w:r>
    </w:p>
    <w:p w:rsidR="0079691F" w:rsidRPr="00C93348" w:rsidRDefault="0079691F" w:rsidP="00FA4395">
      <w:pPr>
        <w:pStyle w:val="TableFigureFooter"/>
        <w:keepNext/>
        <w:keepLines/>
      </w:pPr>
      <w:r w:rsidRPr="00C93348">
        <w:t xml:space="preserve">Source: Figure 2.5-1, p61 of the resubmission </w:t>
      </w:r>
    </w:p>
    <w:p w:rsidR="0079691F" w:rsidRPr="00C93348" w:rsidRDefault="0079691F" w:rsidP="00FA4395">
      <w:pPr>
        <w:pStyle w:val="TableFigureFooter"/>
        <w:keepNext/>
        <w:keepLines/>
      </w:pPr>
      <w:r w:rsidRPr="00C93348">
        <w:t>DCO1 = first data cut-off 1 (12 June 2017); EGFR-TKI = epidermal growth factor receptor- tyrosine kinase inhibitor; FAS = full analysis set.</w:t>
      </w:r>
    </w:p>
    <w:p w:rsidR="0079691F" w:rsidRPr="00C93348" w:rsidRDefault="0079691F" w:rsidP="0079691F">
      <w:pPr>
        <w:pStyle w:val="3-BodyText"/>
        <w:rPr>
          <w:rFonts w:ascii="Arial Narrow" w:hAnsi="Arial Narrow"/>
          <w:sz w:val="20"/>
        </w:rPr>
      </w:pPr>
      <w:r w:rsidRPr="00C93348">
        <w:t xml:space="preserve">The resubmission presented updated OS data. At the second data cut-off (June 2019), the median OS was 38.6 months and 31.8 months in the osimertinib and </w:t>
      </w:r>
      <w:r w:rsidR="00D72D9F" w:rsidRPr="00C93348">
        <w:t>SC</w:t>
      </w:r>
      <w:r w:rsidRPr="00C93348">
        <w:t xml:space="preserve"> arms, respectively, with a HR of 0.799 (95% CI: 0.640, 0.996). The OS data are summarised in </w:t>
      </w:r>
      <w:r w:rsidR="00CC4472" w:rsidRPr="00C93348">
        <w:t xml:space="preserve">Table </w:t>
      </w:r>
      <w:r w:rsidR="00CC4472">
        <w:rPr>
          <w:noProof/>
        </w:rPr>
        <w:t>6</w:t>
      </w:r>
      <w:r w:rsidRPr="00C93348">
        <w:t xml:space="preserve"> and </w:t>
      </w:r>
      <w:r w:rsidR="00CC4472" w:rsidRPr="00C93348">
        <w:t xml:space="preserve">Figure </w:t>
      </w:r>
      <w:r w:rsidR="00CC4472">
        <w:rPr>
          <w:noProof/>
        </w:rPr>
        <w:t>2</w:t>
      </w:r>
      <w:r w:rsidRPr="00C93348">
        <w:t>.</w:t>
      </w:r>
    </w:p>
    <w:p w:rsidR="0079691F" w:rsidRPr="00C93348" w:rsidRDefault="0079691F" w:rsidP="006906C1">
      <w:pPr>
        <w:pStyle w:val="TableFigureHeading"/>
      </w:pPr>
      <w:bookmarkStart w:id="34" w:name="_Ref39664045"/>
      <w:r w:rsidRPr="00C93348">
        <w:t xml:space="preserve">Table </w:t>
      </w:r>
      <w:r w:rsidR="00CC4472">
        <w:rPr>
          <w:noProof/>
        </w:rPr>
        <w:t>6</w:t>
      </w:r>
      <w:bookmarkEnd w:id="34"/>
      <w:r w:rsidRPr="00C93348">
        <w:t>: Results of overall survival in the FLAURA trial, FAS</w:t>
      </w:r>
    </w:p>
    <w:tbl>
      <w:tblPr>
        <w:tblStyle w:val="TableGrid"/>
        <w:tblW w:w="5000" w:type="pct"/>
        <w:tblCellMar>
          <w:left w:w="28" w:type="dxa"/>
          <w:right w:w="28" w:type="dxa"/>
        </w:tblCellMar>
        <w:tblLook w:val="04A0" w:firstRow="1" w:lastRow="0" w:firstColumn="1" w:lastColumn="0" w:noHBand="0" w:noVBand="1"/>
      </w:tblPr>
      <w:tblGrid>
        <w:gridCol w:w="2673"/>
        <w:gridCol w:w="1569"/>
        <w:gridCol w:w="1567"/>
        <w:gridCol w:w="1567"/>
        <w:gridCol w:w="1641"/>
      </w:tblGrid>
      <w:tr w:rsidR="0079691F" w:rsidRPr="00C93348" w:rsidTr="00FA4395">
        <w:trPr>
          <w:trHeight w:val="20"/>
        </w:trPr>
        <w:tc>
          <w:tcPr>
            <w:tcW w:w="1482" w:type="pct"/>
            <w:tcBorders>
              <w:bottom w:val="single" w:sz="4" w:space="0" w:color="auto"/>
            </w:tcBorders>
            <w:shd w:val="clear" w:color="auto" w:fill="auto"/>
          </w:tcPr>
          <w:p w:rsidR="0079691F" w:rsidRPr="00FA4395" w:rsidRDefault="0079691F" w:rsidP="006906C1">
            <w:pPr>
              <w:pStyle w:val="TableText0"/>
              <w:widowControl w:val="0"/>
              <w:rPr>
                <w:b/>
                <w:szCs w:val="20"/>
              </w:rPr>
            </w:pPr>
            <w:r w:rsidRPr="00FA4395">
              <w:rPr>
                <w:b/>
                <w:szCs w:val="20"/>
              </w:rPr>
              <w:t>Data cut off</w:t>
            </w:r>
          </w:p>
        </w:tc>
        <w:tc>
          <w:tcPr>
            <w:tcW w:w="1739" w:type="pct"/>
            <w:gridSpan w:val="2"/>
            <w:tcBorders>
              <w:bottom w:val="single" w:sz="4" w:space="0" w:color="auto"/>
            </w:tcBorders>
            <w:shd w:val="clear" w:color="auto" w:fill="E4EBF4"/>
          </w:tcPr>
          <w:p w:rsidR="0079691F" w:rsidRPr="00FA4395" w:rsidRDefault="0079691F" w:rsidP="006906C1">
            <w:pPr>
              <w:pStyle w:val="TableText0"/>
              <w:widowControl w:val="0"/>
              <w:jc w:val="center"/>
              <w:rPr>
                <w:b/>
                <w:szCs w:val="20"/>
                <w:highlight w:val="cyan"/>
              </w:rPr>
            </w:pPr>
            <w:r w:rsidRPr="00FA4395">
              <w:rPr>
                <w:b/>
                <w:szCs w:val="20"/>
              </w:rPr>
              <w:t>June 2017</w:t>
            </w:r>
          </w:p>
        </w:tc>
        <w:tc>
          <w:tcPr>
            <w:tcW w:w="1779" w:type="pct"/>
            <w:gridSpan w:val="2"/>
            <w:tcBorders>
              <w:bottom w:val="single" w:sz="4" w:space="0" w:color="auto"/>
            </w:tcBorders>
            <w:shd w:val="clear" w:color="auto" w:fill="auto"/>
          </w:tcPr>
          <w:p w:rsidR="0079691F" w:rsidRPr="00FA4395" w:rsidRDefault="0079691F" w:rsidP="006906C1">
            <w:pPr>
              <w:pStyle w:val="TableText0"/>
              <w:widowControl w:val="0"/>
              <w:jc w:val="center"/>
              <w:rPr>
                <w:b/>
                <w:szCs w:val="20"/>
              </w:rPr>
            </w:pPr>
            <w:r w:rsidRPr="00FA4395">
              <w:rPr>
                <w:b/>
                <w:szCs w:val="20"/>
              </w:rPr>
              <w:t>June 2019</w:t>
            </w:r>
          </w:p>
        </w:tc>
      </w:tr>
      <w:tr w:rsidR="0079691F" w:rsidRPr="00C93348" w:rsidTr="00FA4395">
        <w:trPr>
          <w:trHeight w:val="20"/>
        </w:trPr>
        <w:tc>
          <w:tcPr>
            <w:tcW w:w="1482" w:type="pct"/>
            <w:tcBorders>
              <w:bottom w:val="single" w:sz="4" w:space="0" w:color="auto"/>
            </w:tcBorders>
            <w:shd w:val="clear" w:color="auto" w:fill="auto"/>
          </w:tcPr>
          <w:p w:rsidR="0079691F" w:rsidRPr="00FA4395" w:rsidRDefault="0079691F" w:rsidP="006906C1">
            <w:pPr>
              <w:pStyle w:val="TableText0"/>
              <w:widowControl w:val="0"/>
              <w:rPr>
                <w:b/>
                <w:szCs w:val="20"/>
              </w:rPr>
            </w:pPr>
            <w:r w:rsidRPr="00FA4395">
              <w:rPr>
                <w:b/>
                <w:szCs w:val="20"/>
              </w:rPr>
              <w:t>Event</w:t>
            </w:r>
          </w:p>
        </w:tc>
        <w:tc>
          <w:tcPr>
            <w:tcW w:w="870" w:type="pct"/>
            <w:tcBorders>
              <w:bottom w:val="single" w:sz="4" w:space="0" w:color="auto"/>
            </w:tcBorders>
            <w:shd w:val="clear" w:color="auto" w:fill="E4EBF4"/>
          </w:tcPr>
          <w:p w:rsidR="0079691F" w:rsidRPr="00FA4395" w:rsidRDefault="0079691F" w:rsidP="006906C1">
            <w:pPr>
              <w:pStyle w:val="TableText0"/>
              <w:widowControl w:val="0"/>
              <w:jc w:val="center"/>
              <w:rPr>
                <w:b/>
                <w:szCs w:val="20"/>
              </w:rPr>
            </w:pPr>
            <w:r w:rsidRPr="00FA4395">
              <w:rPr>
                <w:b/>
                <w:szCs w:val="20"/>
              </w:rPr>
              <w:t>Osimertinib</w:t>
            </w:r>
          </w:p>
        </w:tc>
        <w:tc>
          <w:tcPr>
            <w:tcW w:w="869" w:type="pct"/>
            <w:tcBorders>
              <w:bottom w:val="single" w:sz="4" w:space="0" w:color="auto"/>
            </w:tcBorders>
            <w:shd w:val="clear" w:color="auto" w:fill="E4EBF4"/>
          </w:tcPr>
          <w:p w:rsidR="0079691F" w:rsidRPr="00FA4395" w:rsidRDefault="00D72D9F" w:rsidP="006906C1">
            <w:pPr>
              <w:pStyle w:val="TableText0"/>
              <w:widowControl w:val="0"/>
              <w:jc w:val="center"/>
              <w:rPr>
                <w:b/>
                <w:szCs w:val="20"/>
              </w:rPr>
            </w:pPr>
            <w:r w:rsidRPr="00FA4395">
              <w:rPr>
                <w:b/>
                <w:szCs w:val="20"/>
              </w:rPr>
              <w:t>SC</w:t>
            </w:r>
          </w:p>
        </w:tc>
        <w:tc>
          <w:tcPr>
            <w:tcW w:w="869" w:type="pct"/>
            <w:tcBorders>
              <w:bottom w:val="single" w:sz="4" w:space="0" w:color="auto"/>
            </w:tcBorders>
            <w:shd w:val="clear" w:color="auto" w:fill="auto"/>
          </w:tcPr>
          <w:p w:rsidR="0079691F" w:rsidRPr="00FA4395" w:rsidRDefault="0079691F" w:rsidP="006906C1">
            <w:pPr>
              <w:pStyle w:val="TableText0"/>
              <w:widowControl w:val="0"/>
              <w:jc w:val="center"/>
              <w:rPr>
                <w:b/>
                <w:szCs w:val="20"/>
              </w:rPr>
            </w:pPr>
            <w:r w:rsidRPr="00FA4395">
              <w:rPr>
                <w:b/>
                <w:szCs w:val="20"/>
              </w:rPr>
              <w:t>Osimertinib</w:t>
            </w:r>
          </w:p>
        </w:tc>
        <w:tc>
          <w:tcPr>
            <w:tcW w:w="910" w:type="pct"/>
            <w:tcBorders>
              <w:bottom w:val="single" w:sz="4" w:space="0" w:color="auto"/>
            </w:tcBorders>
            <w:shd w:val="clear" w:color="auto" w:fill="auto"/>
          </w:tcPr>
          <w:p w:rsidR="0079691F" w:rsidRPr="00FA4395" w:rsidRDefault="00D72D9F" w:rsidP="006906C1">
            <w:pPr>
              <w:pStyle w:val="TableText0"/>
              <w:widowControl w:val="0"/>
              <w:jc w:val="center"/>
              <w:rPr>
                <w:b/>
                <w:szCs w:val="20"/>
              </w:rPr>
            </w:pPr>
            <w:r w:rsidRPr="00FA4395">
              <w:rPr>
                <w:b/>
                <w:szCs w:val="20"/>
              </w:rPr>
              <w:t>SC</w:t>
            </w:r>
          </w:p>
        </w:tc>
      </w:tr>
      <w:tr w:rsidR="0079691F" w:rsidRPr="00C93348" w:rsidTr="00FA4395">
        <w:trPr>
          <w:trHeight w:val="20"/>
        </w:trPr>
        <w:tc>
          <w:tcPr>
            <w:tcW w:w="1482" w:type="pct"/>
            <w:tcBorders>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 xml:space="preserve">Deaths, n/N (%) </w:t>
            </w:r>
          </w:p>
        </w:tc>
        <w:tc>
          <w:tcPr>
            <w:tcW w:w="870" w:type="pct"/>
            <w:tcBorders>
              <w:bottom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58</w:t>
            </w:r>
            <w:r w:rsidR="005C4802" w:rsidRPr="00FA4395">
              <w:rPr>
                <w:szCs w:val="20"/>
              </w:rPr>
              <w:t>/279</w:t>
            </w:r>
            <w:r w:rsidRPr="00FA4395">
              <w:rPr>
                <w:szCs w:val="20"/>
              </w:rPr>
              <w:t xml:space="preserve"> (20.8)</w:t>
            </w:r>
          </w:p>
        </w:tc>
        <w:tc>
          <w:tcPr>
            <w:tcW w:w="869" w:type="pct"/>
            <w:tcBorders>
              <w:bottom w:val="single" w:sz="4" w:space="0" w:color="auto"/>
              <w:right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83</w:t>
            </w:r>
            <w:r w:rsidR="005C4802" w:rsidRPr="00FA4395">
              <w:rPr>
                <w:szCs w:val="20"/>
              </w:rPr>
              <w:t>/277</w:t>
            </w:r>
            <w:r w:rsidRPr="00FA4395">
              <w:rPr>
                <w:szCs w:val="20"/>
              </w:rPr>
              <w:t xml:space="preserve"> (30.0)</w:t>
            </w:r>
          </w:p>
        </w:tc>
        <w:tc>
          <w:tcPr>
            <w:tcW w:w="869" w:type="pct"/>
            <w:tcBorders>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rPr>
            </w:pPr>
            <w:r w:rsidRPr="00FA4395">
              <w:rPr>
                <w:rFonts w:cs="Arial"/>
                <w:szCs w:val="20"/>
                <w:lang w:eastAsia="zh-CN" w:bidi="en-US"/>
              </w:rPr>
              <w:t>155/279 (55.6)</w:t>
            </w:r>
          </w:p>
        </w:tc>
        <w:tc>
          <w:tcPr>
            <w:tcW w:w="910" w:type="pct"/>
            <w:tcBorders>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rPr>
            </w:pPr>
            <w:r w:rsidRPr="00FA4395">
              <w:rPr>
                <w:rFonts w:cs="Arial"/>
                <w:szCs w:val="20"/>
                <w:lang w:eastAsia="zh-CN" w:bidi="en-US"/>
              </w:rPr>
              <w:t>166/277 (59.9)</w:t>
            </w:r>
          </w:p>
        </w:tc>
      </w:tr>
      <w:tr w:rsidR="0079691F" w:rsidRPr="00C93348" w:rsidTr="00FA4395">
        <w:trPr>
          <w:trHeight w:val="20"/>
        </w:trPr>
        <w:tc>
          <w:tcPr>
            <w:tcW w:w="1482" w:type="pct"/>
            <w:tcBorders>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Median OS (95% CI) months</w:t>
            </w:r>
          </w:p>
        </w:tc>
        <w:tc>
          <w:tcPr>
            <w:tcW w:w="870" w:type="pct"/>
            <w:tcBorders>
              <w:bottom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NC (NC, NC)</w:t>
            </w:r>
          </w:p>
        </w:tc>
        <w:tc>
          <w:tcPr>
            <w:tcW w:w="869" w:type="pct"/>
            <w:tcBorders>
              <w:bottom w:val="single" w:sz="4" w:space="0" w:color="auto"/>
              <w:right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NC (NC, NC)</w:t>
            </w:r>
          </w:p>
        </w:tc>
        <w:tc>
          <w:tcPr>
            <w:tcW w:w="869" w:type="pct"/>
            <w:tcBorders>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rFonts w:cs="Times New Roman"/>
                <w:szCs w:val="20"/>
              </w:rPr>
            </w:pPr>
            <w:r w:rsidRPr="00FA4395">
              <w:rPr>
                <w:szCs w:val="20"/>
                <w:lang w:eastAsia="zh-CN" w:bidi="en-US"/>
              </w:rPr>
              <w:t>38.6 (34.5, 41.8)</w:t>
            </w:r>
          </w:p>
        </w:tc>
        <w:tc>
          <w:tcPr>
            <w:tcW w:w="910" w:type="pct"/>
            <w:tcBorders>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rFonts w:cs="Times New Roman"/>
                <w:szCs w:val="20"/>
              </w:rPr>
            </w:pPr>
            <w:r w:rsidRPr="00FA4395">
              <w:rPr>
                <w:szCs w:val="20"/>
                <w:lang w:eastAsia="zh-CN" w:bidi="en-US"/>
              </w:rPr>
              <w:t>31.8 (26.6, 36.0)</w:t>
            </w:r>
          </w:p>
        </w:tc>
      </w:tr>
      <w:tr w:rsidR="0079691F" w:rsidRPr="00C93348" w:rsidTr="00FA4395">
        <w:trPr>
          <w:trHeight w:val="20"/>
        </w:trPr>
        <w:tc>
          <w:tcPr>
            <w:tcW w:w="1482" w:type="pct"/>
            <w:tcBorders>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Absolute difference median OS (months)</w:t>
            </w:r>
          </w:p>
        </w:tc>
        <w:tc>
          <w:tcPr>
            <w:tcW w:w="1739" w:type="pct"/>
            <w:gridSpan w:val="2"/>
            <w:tcBorders>
              <w:bottom w:val="single" w:sz="4" w:space="0" w:color="auto"/>
              <w:right w:val="single" w:sz="4" w:space="0" w:color="auto"/>
            </w:tcBorders>
            <w:shd w:val="clear" w:color="auto" w:fill="E4EBF4"/>
            <w:vAlign w:val="center"/>
          </w:tcPr>
          <w:p w:rsidR="0079691F" w:rsidRPr="00FA4395" w:rsidRDefault="0079691F" w:rsidP="006906C1">
            <w:pPr>
              <w:pStyle w:val="TableText0"/>
              <w:widowControl w:val="0"/>
              <w:jc w:val="center"/>
              <w:rPr>
                <w:szCs w:val="20"/>
              </w:rPr>
            </w:pPr>
            <w:r w:rsidRPr="00FA4395">
              <w:rPr>
                <w:szCs w:val="20"/>
                <w:lang w:eastAsia="zh-CN"/>
              </w:rPr>
              <w:t>NC</w:t>
            </w:r>
          </w:p>
        </w:tc>
        <w:tc>
          <w:tcPr>
            <w:tcW w:w="1779" w:type="pct"/>
            <w:gridSpan w:val="2"/>
            <w:tcBorders>
              <w:left w:val="single" w:sz="4" w:space="0" w:color="auto"/>
              <w:bottom w:val="single" w:sz="4" w:space="0" w:color="auto"/>
              <w:right w:val="single" w:sz="4" w:space="0" w:color="auto"/>
            </w:tcBorders>
            <w:shd w:val="clear" w:color="auto" w:fill="auto"/>
            <w:vAlign w:val="center"/>
          </w:tcPr>
          <w:p w:rsidR="0079691F" w:rsidRPr="00FA4395" w:rsidRDefault="0079691F" w:rsidP="006906C1">
            <w:pPr>
              <w:pStyle w:val="TableText0"/>
              <w:widowControl w:val="0"/>
              <w:jc w:val="center"/>
              <w:rPr>
                <w:szCs w:val="20"/>
              </w:rPr>
            </w:pPr>
            <w:r w:rsidRPr="00FA4395">
              <w:rPr>
                <w:szCs w:val="20"/>
                <w:lang w:eastAsia="zh-CN" w:bidi="en-US"/>
              </w:rPr>
              <w:t>6.8 months</w:t>
            </w:r>
          </w:p>
        </w:tc>
      </w:tr>
      <w:tr w:rsidR="0079691F" w:rsidRPr="00C93348" w:rsidTr="00FA4395">
        <w:trPr>
          <w:trHeight w:val="20"/>
        </w:trPr>
        <w:tc>
          <w:tcPr>
            <w:tcW w:w="1482" w:type="pct"/>
            <w:tcBorders>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Hazard ratio (CI)</w:t>
            </w:r>
          </w:p>
        </w:tc>
        <w:tc>
          <w:tcPr>
            <w:tcW w:w="1739" w:type="pct"/>
            <w:gridSpan w:val="2"/>
            <w:tcBorders>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vertAlign w:val="superscript"/>
              </w:rPr>
            </w:pPr>
            <w:r w:rsidRPr="00FA4395">
              <w:rPr>
                <w:szCs w:val="20"/>
              </w:rPr>
              <w:t>HR: 0.63 (99.85%CI: 0.37, 1.08)</w:t>
            </w:r>
            <w:r w:rsidRPr="00FA4395">
              <w:rPr>
                <w:szCs w:val="20"/>
                <w:vertAlign w:val="superscript"/>
              </w:rPr>
              <w:t>a</w:t>
            </w:r>
          </w:p>
          <w:p w:rsidR="0079691F" w:rsidRPr="00FA4395" w:rsidRDefault="0079691F" w:rsidP="006906C1">
            <w:pPr>
              <w:pStyle w:val="TableText0"/>
              <w:widowControl w:val="0"/>
              <w:jc w:val="center"/>
              <w:rPr>
                <w:szCs w:val="20"/>
                <w:vertAlign w:val="superscript"/>
              </w:rPr>
            </w:pPr>
            <w:r w:rsidRPr="00FA4395">
              <w:rPr>
                <w:szCs w:val="20"/>
              </w:rPr>
              <w:t>P= 0.0068</w:t>
            </w:r>
          </w:p>
        </w:tc>
        <w:tc>
          <w:tcPr>
            <w:tcW w:w="1779" w:type="pct"/>
            <w:gridSpan w:val="2"/>
            <w:tcBorders>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vertAlign w:val="superscript"/>
              </w:rPr>
            </w:pPr>
            <w:r w:rsidRPr="00FA4395">
              <w:rPr>
                <w:szCs w:val="20"/>
              </w:rPr>
              <w:t>0.799 (95.05%CI: 0.640, 0.996)</w:t>
            </w:r>
            <w:r w:rsidRPr="00FA4395">
              <w:rPr>
                <w:szCs w:val="20"/>
                <w:vertAlign w:val="superscript"/>
              </w:rPr>
              <w:t>b</w:t>
            </w:r>
          </w:p>
          <w:p w:rsidR="0079691F" w:rsidRPr="00FA4395" w:rsidRDefault="0079691F" w:rsidP="006906C1">
            <w:pPr>
              <w:pStyle w:val="TableText0"/>
              <w:widowControl w:val="0"/>
              <w:jc w:val="center"/>
              <w:rPr>
                <w:szCs w:val="20"/>
                <w:lang w:eastAsia="zh-CN" w:bidi="en-US"/>
              </w:rPr>
            </w:pPr>
            <w:r w:rsidRPr="00FA4395">
              <w:rPr>
                <w:szCs w:val="20"/>
              </w:rPr>
              <w:t>P= 0.0462</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 xml:space="preserve">% Alive at 12 months (95% CI) </w:t>
            </w:r>
          </w:p>
        </w:tc>
        <w:tc>
          <w:tcPr>
            <w:tcW w:w="870" w:type="pct"/>
            <w:tcBorders>
              <w:top w:val="single" w:sz="4" w:space="0" w:color="auto"/>
              <w:bottom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 xml:space="preserve">89.1% </w:t>
            </w:r>
          </w:p>
          <w:p w:rsidR="0079691F" w:rsidRPr="00FA4395" w:rsidRDefault="0079691F" w:rsidP="006906C1">
            <w:pPr>
              <w:pStyle w:val="TableText0"/>
              <w:widowControl w:val="0"/>
              <w:jc w:val="center"/>
              <w:rPr>
                <w:szCs w:val="20"/>
              </w:rPr>
            </w:pPr>
            <w:r w:rsidRPr="00FA4395">
              <w:rPr>
                <w:szCs w:val="20"/>
              </w:rPr>
              <w:t>(84.7%, 92.2%)</w:t>
            </w:r>
          </w:p>
        </w:tc>
        <w:tc>
          <w:tcPr>
            <w:tcW w:w="869" w:type="pct"/>
            <w:tcBorders>
              <w:top w:val="single" w:sz="4" w:space="0" w:color="auto"/>
              <w:bottom w:val="single" w:sz="4" w:space="0" w:color="auto"/>
              <w:right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 xml:space="preserve">82.5% </w:t>
            </w:r>
          </w:p>
          <w:p w:rsidR="0079691F" w:rsidRPr="00FA4395" w:rsidRDefault="0079691F" w:rsidP="006906C1">
            <w:pPr>
              <w:pStyle w:val="TableText0"/>
              <w:widowControl w:val="0"/>
              <w:jc w:val="center"/>
              <w:rPr>
                <w:szCs w:val="20"/>
              </w:rPr>
            </w:pPr>
            <w:r w:rsidRPr="00FA4395">
              <w:rPr>
                <w:szCs w:val="20"/>
              </w:rPr>
              <w:t>(77.4%, 86.5%)</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rPr>
            </w:pPr>
            <w:r w:rsidRPr="00FA4395">
              <w:rPr>
                <w:szCs w:val="20"/>
              </w:rPr>
              <w:t xml:space="preserve">89.1% </w:t>
            </w:r>
            <w:r w:rsidRPr="00FA4395">
              <w:rPr>
                <w:szCs w:val="20"/>
              </w:rPr>
              <w:br/>
              <w:t>(84.7%, 92.2%)</w:t>
            </w:r>
          </w:p>
        </w:tc>
        <w:tc>
          <w:tcPr>
            <w:tcW w:w="910"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rPr>
            </w:pPr>
            <w:r w:rsidRPr="00FA4395">
              <w:rPr>
                <w:szCs w:val="20"/>
              </w:rPr>
              <w:t xml:space="preserve">82.5% </w:t>
            </w:r>
            <w:r w:rsidRPr="00FA4395">
              <w:rPr>
                <w:szCs w:val="20"/>
              </w:rPr>
              <w:br/>
              <w:t>(77.4%, 86.5%)</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Absolute difference at 12 months</w:t>
            </w:r>
          </w:p>
        </w:tc>
        <w:tc>
          <w:tcPr>
            <w:tcW w:w="1739" w:type="pct"/>
            <w:gridSpan w:val="2"/>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6.6%</w:t>
            </w:r>
          </w:p>
        </w:tc>
        <w:tc>
          <w:tcPr>
            <w:tcW w:w="1779" w:type="pct"/>
            <w:gridSpan w:val="2"/>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rPr>
            </w:pPr>
            <w:r w:rsidRPr="00FA4395">
              <w:rPr>
                <w:szCs w:val="20"/>
              </w:rPr>
              <w:t>6.6%</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 Alive at 24 months (95% CI)</w:t>
            </w:r>
          </w:p>
        </w:tc>
        <w:tc>
          <w:tcPr>
            <w:tcW w:w="870" w:type="pct"/>
            <w:tcBorders>
              <w:top w:val="single" w:sz="4" w:space="0" w:color="auto"/>
              <w:bottom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 xml:space="preserve">73.7% </w:t>
            </w:r>
          </w:p>
          <w:p w:rsidR="0079691F" w:rsidRPr="00FA4395" w:rsidRDefault="0079691F" w:rsidP="006906C1">
            <w:pPr>
              <w:pStyle w:val="TableText0"/>
              <w:widowControl w:val="0"/>
              <w:jc w:val="center"/>
              <w:rPr>
                <w:szCs w:val="20"/>
              </w:rPr>
            </w:pPr>
            <w:r w:rsidRPr="00FA4395">
              <w:rPr>
                <w:szCs w:val="20"/>
              </w:rPr>
              <w:t>(66.4%, 79.6%)</w:t>
            </w:r>
          </w:p>
        </w:tc>
        <w:tc>
          <w:tcPr>
            <w:tcW w:w="869" w:type="pct"/>
            <w:tcBorders>
              <w:top w:val="single" w:sz="4" w:space="0" w:color="auto"/>
              <w:bottom w:val="single" w:sz="4" w:space="0" w:color="auto"/>
              <w:right w:val="single" w:sz="4" w:space="0" w:color="auto"/>
            </w:tcBorders>
            <w:shd w:val="clear" w:color="auto" w:fill="E4EBF4"/>
            <w:vAlign w:val="bottom"/>
          </w:tcPr>
          <w:p w:rsidR="0079691F" w:rsidRPr="00FA4395" w:rsidRDefault="0079691F" w:rsidP="006906C1">
            <w:pPr>
              <w:pStyle w:val="TableText0"/>
              <w:widowControl w:val="0"/>
              <w:jc w:val="center"/>
              <w:rPr>
                <w:szCs w:val="20"/>
              </w:rPr>
            </w:pPr>
            <w:r w:rsidRPr="00FA4395">
              <w:rPr>
                <w:szCs w:val="20"/>
              </w:rPr>
              <w:t xml:space="preserve">64.7% </w:t>
            </w:r>
          </w:p>
          <w:p w:rsidR="0079691F" w:rsidRPr="00FA4395" w:rsidRDefault="0079691F" w:rsidP="006906C1">
            <w:pPr>
              <w:pStyle w:val="TableText0"/>
              <w:widowControl w:val="0"/>
              <w:jc w:val="center"/>
              <w:rPr>
                <w:szCs w:val="20"/>
              </w:rPr>
            </w:pPr>
            <w:r w:rsidRPr="00FA4395">
              <w:rPr>
                <w:szCs w:val="20"/>
              </w:rPr>
              <w:t>(57.7%, 70.9%)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lang w:eastAsia="zh-CN" w:bidi="en-US"/>
              </w:rPr>
            </w:pPr>
            <w:r w:rsidRPr="00FA4395">
              <w:rPr>
                <w:szCs w:val="20"/>
                <w:lang w:eastAsia="zh-CN" w:bidi="en-US"/>
              </w:rPr>
              <w:t xml:space="preserve">74.2% </w:t>
            </w:r>
          </w:p>
          <w:p w:rsidR="0079691F" w:rsidRPr="00FA4395" w:rsidRDefault="0079691F" w:rsidP="006906C1">
            <w:pPr>
              <w:pStyle w:val="TableText0"/>
              <w:widowControl w:val="0"/>
              <w:jc w:val="center"/>
              <w:rPr>
                <w:szCs w:val="20"/>
              </w:rPr>
            </w:pPr>
            <w:r w:rsidRPr="00FA4395">
              <w:rPr>
                <w:szCs w:val="20"/>
                <w:lang w:eastAsia="zh-CN" w:bidi="en-US"/>
              </w:rPr>
              <w:t>(68.6%, 79.0%)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lang w:eastAsia="zh-CN" w:bidi="en-US"/>
              </w:rPr>
            </w:pPr>
            <w:r w:rsidRPr="00FA4395">
              <w:rPr>
                <w:szCs w:val="20"/>
                <w:lang w:eastAsia="zh-CN" w:bidi="en-US"/>
              </w:rPr>
              <w:t>58.9%</w:t>
            </w:r>
          </w:p>
          <w:p w:rsidR="0079691F" w:rsidRPr="00FA4395" w:rsidRDefault="0079691F" w:rsidP="006906C1">
            <w:pPr>
              <w:pStyle w:val="TableText0"/>
              <w:widowControl w:val="0"/>
              <w:jc w:val="center"/>
              <w:rPr>
                <w:szCs w:val="20"/>
              </w:rPr>
            </w:pPr>
            <w:r w:rsidRPr="00FA4395">
              <w:rPr>
                <w:szCs w:val="20"/>
                <w:lang w:eastAsia="zh-CN" w:bidi="en-US"/>
              </w:rPr>
              <w:t xml:space="preserve"> (52.7%, 64.6%)</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Absolute difference at 24 months</w:t>
            </w:r>
          </w:p>
        </w:tc>
        <w:tc>
          <w:tcPr>
            <w:tcW w:w="1739" w:type="pct"/>
            <w:gridSpan w:val="2"/>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9.0 %</w:t>
            </w:r>
          </w:p>
        </w:tc>
        <w:tc>
          <w:tcPr>
            <w:tcW w:w="177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highlight w:val="yellow"/>
                <w:lang w:eastAsia="zh-CN" w:bidi="en-US"/>
              </w:rPr>
            </w:pPr>
            <w:r w:rsidRPr="00FA4395">
              <w:rPr>
                <w:szCs w:val="20"/>
              </w:rPr>
              <w:t>15.3%</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 Alive at 36 months (95% CI)</w:t>
            </w:r>
          </w:p>
        </w:tc>
        <w:tc>
          <w:tcPr>
            <w:tcW w:w="870" w:type="pct"/>
            <w:tcBorders>
              <w:top w:val="single" w:sz="4" w:space="0" w:color="auto"/>
              <w:bottom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869" w:type="pct"/>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rFonts w:cs="Arial"/>
                <w:szCs w:val="20"/>
                <w:lang w:eastAsia="zh-CN" w:bidi="en-US"/>
              </w:rPr>
            </w:pPr>
            <w:r w:rsidRPr="00FA4395">
              <w:rPr>
                <w:rFonts w:cs="Arial"/>
                <w:szCs w:val="20"/>
                <w:lang w:eastAsia="zh-CN" w:bidi="en-US"/>
              </w:rPr>
              <w:t>53.7%</w:t>
            </w:r>
          </w:p>
          <w:p w:rsidR="0079691F" w:rsidRPr="00FA4395" w:rsidRDefault="0079691F" w:rsidP="006906C1">
            <w:pPr>
              <w:pStyle w:val="TableText0"/>
              <w:widowControl w:val="0"/>
              <w:jc w:val="center"/>
              <w:rPr>
                <w:szCs w:val="20"/>
                <w:highlight w:val="yellow"/>
                <w:lang w:eastAsia="zh-CN" w:bidi="en-US"/>
              </w:rPr>
            </w:pPr>
            <w:r w:rsidRPr="00FA4395">
              <w:rPr>
                <w:rFonts w:cs="Arial"/>
                <w:szCs w:val="20"/>
                <w:lang w:eastAsia="zh-CN" w:bidi="en-US"/>
              </w:rPr>
              <w:t xml:space="preserve"> (47.5%, 59.5%)</w:t>
            </w:r>
          </w:p>
        </w:tc>
        <w:tc>
          <w:tcPr>
            <w:tcW w:w="91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rFonts w:cs="Arial"/>
                <w:szCs w:val="20"/>
                <w:lang w:eastAsia="zh-CN" w:bidi="en-US"/>
              </w:rPr>
            </w:pPr>
            <w:r w:rsidRPr="00FA4395">
              <w:rPr>
                <w:rFonts w:cs="Arial"/>
                <w:szCs w:val="20"/>
                <w:lang w:eastAsia="zh-CN" w:bidi="en-US"/>
              </w:rPr>
              <w:t>44.1%</w:t>
            </w:r>
          </w:p>
          <w:p w:rsidR="0079691F" w:rsidRPr="00FA4395" w:rsidRDefault="0079691F" w:rsidP="006906C1">
            <w:pPr>
              <w:pStyle w:val="TableText0"/>
              <w:widowControl w:val="0"/>
              <w:jc w:val="center"/>
              <w:rPr>
                <w:szCs w:val="20"/>
                <w:highlight w:val="yellow"/>
                <w:lang w:eastAsia="zh-CN" w:bidi="en-US"/>
              </w:rPr>
            </w:pPr>
            <w:r w:rsidRPr="00FA4395">
              <w:rPr>
                <w:rFonts w:cs="Arial"/>
                <w:szCs w:val="20"/>
                <w:lang w:eastAsia="zh-CN" w:bidi="en-US"/>
              </w:rPr>
              <w:t xml:space="preserve"> (38.0%, 50.1%)</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Absolute difference at 36 months</w:t>
            </w:r>
          </w:p>
        </w:tc>
        <w:tc>
          <w:tcPr>
            <w:tcW w:w="1739" w:type="pct"/>
            <w:gridSpan w:val="2"/>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1779" w:type="pct"/>
            <w:gridSpan w:val="2"/>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highlight w:val="yellow"/>
                <w:lang w:eastAsia="zh-CN" w:bidi="en-US"/>
              </w:rPr>
            </w:pPr>
            <w:r w:rsidRPr="00FA4395">
              <w:rPr>
                <w:szCs w:val="20"/>
              </w:rPr>
              <w:t>9.6%</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 Alive at 48 months (95% CI)</w:t>
            </w:r>
          </w:p>
        </w:tc>
        <w:tc>
          <w:tcPr>
            <w:tcW w:w="870" w:type="pct"/>
            <w:tcBorders>
              <w:top w:val="single" w:sz="4" w:space="0" w:color="auto"/>
              <w:bottom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869" w:type="pct"/>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rPr>
            </w:pPr>
            <w:r w:rsidRPr="00FA4395">
              <w:rPr>
                <w:szCs w:val="20"/>
              </w:rPr>
              <w:t xml:space="preserve">36.2% </w:t>
            </w:r>
          </w:p>
          <w:p w:rsidR="0079691F" w:rsidRPr="00FA4395" w:rsidRDefault="0079691F" w:rsidP="006906C1">
            <w:pPr>
              <w:pStyle w:val="TableText0"/>
              <w:widowControl w:val="0"/>
              <w:jc w:val="center"/>
              <w:rPr>
                <w:szCs w:val="20"/>
                <w:highlight w:val="yellow"/>
                <w:lang w:eastAsia="zh-CN" w:bidi="en-US"/>
              </w:rPr>
            </w:pPr>
            <w:r w:rsidRPr="00FA4395">
              <w:rPr>
                <w:szCs w:val="20"/>
              </w:rPr>
              <w:t>(28.6%, 43.7%)</w:t>
            </w:r>
          </w:p>
        </w:tc>
        <w:tc>
          <w:tcPr>
            <w:tcW w:w="91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6906C1">
            <w:pPr>
              <w:pStyle w:val="TableText0"/>
              <w:widowControl w:val="0"/>
              <w:jc w:val="center"/>
              <w:rPr>
                <w:szCs w:val="20"/>
              </w:rPr>
            </w:pPr>
            <w:r w:rsidRPr="00FA4395">
              <w:rPr>
                <w:szCs w:val="20"/>
              </w:rPr>
              <w:t xml:space="preserve">33.4% </w:t>
            </w:r>
          </w:p>
          <w:p w:rsidR="0079691F" w:rsidRPr="00FA4395" w:rsidRDefault="0079691F" w:rsidP="006906C1">
            <w:pPr>
              <w:pStyle w:val="TableText0"/>
              <w:widowControl w:val="0"/>
              <w:jc w:val="center"/>
              <w:rPr>
                <w:szCs w:val="20"/>
                <w:highlight w:val="yellow"/>
                <w:lang w:eastAsia="zh-CN" w:bidi="en-US"/>
              </w:rPr>
            </w:pPr>
            <w:r w:rsidRPr="00FA4395">
              <w:rPr>
                <w:szCs w:val="20"/>
              </w:rPr>
              <w:t>(27.1%, 39.9%)</w:t>
            </w:r>
          </w:p>
        </w:tc>
      </w:tr>
      <w:tr w:rsidR="0079691F" w:rsidRPr="00C93348" w:rsidTr="00FA4395">
        <w:trPr>
          <w:trHeight w:val="20"/>
        </w:trPr>
        <w:tc>
          <w:tcPr>
            <w:tcW w:w="1482" w:type="pct"/>
            <w:tcBorders>
              <w:top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rPr>
                <w:szCs w:val="20"/>
              </w:rPr>
            </w:pPr>
            <w:r w:rsidRPr="00FA4395">
              <w:rPr>
                <w:szCs w:val="20"/>
              </w:rPr>
              <w:t>Absolute difference at 48 months</w:t>
            </w:r>
          </w:p>
        </w:tc>
        <w:tc>
          <w:tcPr>
            <w:tcW w:w="1739" w:type="pct"/>
            <w:gridSpan w:val="2"/>
            <w:tcBorders>
              <w:top w:val="single" w:sz="4" w:space="0" w:color="auto"/>
              <w:bottom w:val="single" w:sz="4" w:space="0" w:color="auto"/>
              <w:right w:val="single" w:sz="4" w:space="0" w:color="auto"/>
            </w:tcBorders>
            <w:shd w:val="clear" w:color="auto" w:fill="E4EBF4"/>
          </w:tcPr>
          <w:p w:rsidR="0079691F" w:rsidRPr="00FA4395" w:rsidRDefault="0079691F" w:rsidP="006906C1">
            <w:pPr>
              <w:pStyle w:val="TableText0"/>
              <w:widowControl w:val="0"/>
              <w:jc w:val="center"/>
              <w:rPr>
                <w:szCs w:val="20"/>
              </w:rPr>
            </w:pPr>
            <w:r w:rsidRPr="00FA4395">
              <w:rPr>
                <w:szCs w:val="20"/>
              </w:rPr>
              <w:t>NC</w:t>
            </w:r>
          </w:p>
        </w:tc>
        <w:tc>
          <w:tcPr>
            <w:tcW w:w="1779" w:type="pct"/>
            <w:gridSpan w:val="2"/>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6906C1">
            <w:pPr>
              <w:pStyle w:val="TableText0"/>
              <w:widowControl w:val="0"/>
              <w:jc w:val="center"/>
              <w:rPr>
                <w:szCs w:val="20"/>
                <w:highlight w:val="yellow"/>
                <w:lang w:eastAsia="zh-CN" w:bidi="en-US"/>
              </w:rPr>
            </w:pPr>
            <w:r w:rsidRPr="00FA4395">
              <w:rPr>
                <w:szCs w:val="20"/>
              </w:rPr>
              <w:t>2.8%</w:t>
            </w:r>
          </w:p>
        </w:tc>
      </w:tr>
    </w:tbl>
    <w:p w:rsidR="0079691F" w:rsidRPr="00C93348" w:rsidRDefault="0079691F" w:rsidP="006906C1">
      <w:pPr>
        <w:pStyle w:val="TableFigureFooter"/>
        <w:keepNext/>
      </w:pPr>
      <w:r w:rsidRPr="00C93348">
        <w:t>Source: Table 2.5.5, p65 of the resubmission and table 2.5.5, p66 of the previous submission</w:t>
      </w:r>
    </w:p>
    <w:p w:rsidR="0079691F" w:rsidRPr="00C93348" w:rsidRDefault="0079691F" w:rsidP="006906C1">
      <w:pPr>
        <w:pStyle w:val="TableFigureFooter"/>
        <w:keepNext/>
      </w:pPr>
      <w:r w:rsidRPr="00C93348">
        <w:t xml:space="preserve">CI = confidence interval; FAS = full analysis set; HR = hazard ratio; NC = could not be calculated; OS = overall survival; </w:t>
      </w:r>
      <w:r w:rsidR="00D72D9F" w:rsidRPr="00C93348">
        <w:t>SC</w:t>
      </w:r>
      <w:r w:rsidRPr="00C93348">
        <w:t xml:space="preserve"> = standard care.</w:t>
      </w:r>
    </w:p>
    <w:p w:rsidR="0079691F" w:rsidRPr="00C93348" w:rsidRDefault="0079691F" w:rsidP="006906C1">
      <w:pPr>
        <w:pStyle w:val="TableFigureFooter"/>
        <w:keepNext/>
      </w:pPr>
      <w:r w:rsidRPr="00C93348">
        <w:rPr>
          <w:vertAlign w:val="superscript"/>
        </w:rPr>
        <w:t>a</w:t>
      </w:r>
      <w:r w:rsidRPr="00C93348">
        <w:t xml:space="preserve"> The adjusted CI was computed at the 2-sided 99.85% level, considering a 2-sided significance level of 0.0015 for the overall survival interim analysis, based on the O'Brien and Fleming spending function, assuming 318 deaths for the final overall survival analysis</w:t>
      </w:r>
    </w:p>
    <w:p w:rsidR="0079691F" w:rsidRPr="00C93348" w:rsidRDefault="0079691F" w:rsidP="006906C1">
      <w:pPr>
        <w:pStyle w:val="TableFigureFooter"/>
        <w:keepNext/>
      </w:pPr>
      <w:r w:rsidRPr="00C93348">
        <w:rPr>
          <w:vertAlign w:val="superscript"/>
        </w:rPr>
        <w:t xml:space="preserve">b </w:t>
      </w:r>
      <w:r w:rsidRPr="00C93348">
        <w:t xml:space="preserve">The adjusted CI is computed at the 2-sided 95.05% level, considering the multiple testing with a 2-sided significance level of 0.0015 already spent at the interim overall survival analysis with 141 deaths, based on the O'Brien and Fleming spending function. </w:t>
      </w:r>
    </w:p>
    <w:p w:rsidR="0079691F" w:rsidRPr="00C93348" w:rsidRDefault="0079691F" w:rsidP="006906C1">
      <w:pPr>
        <w:pStyle w:val="TableFigureFooter"/>
        <w:keepNext/>
      </w:pPr>
      <w:r w:rsidRPr="00C93348">
        <w:t xml:space="preserve">Median duration of follow up 35.8 months in the osimertinib group and 27 months in the </w:t>
      </w:r>
      <w:r w:rsidR="00D72D9F" w:rsidRPr="00C93348">
        <w:t>SC</w:t>
      </w:r>
      <w:r w:rsidRPr="00C93348">
        <w:t xml:space="preserve"> group.</w:t>
      </w:r>
    </w:p>
    <w:p w:rsidR="0079691F" w:rsidRPr="00C93348" w:rsidRDefault="0079691F" w:rsidP="00FA4395">
      <w:pPr>
        <w:pStyle w:val="TableFigureFooter"/>
        <w:keepNext/>
      </w:pPr>
      <w:r w:rsidRPr="00C93348">
        <w:rPr>
          <w:bCs/>
          <w:iCs/>
        </w:rPr>
        <w:t>Blue shading indicates data previously seen by the PBAC</w:t>
      </w:r>
    </w:p>
    <w:p w:rsidR="0079691F" w:rsidRPr="00C93348" w:rsidRDefault="0079691F" w:rsidP="00FA4395">
      <w:pPr>
        <w:pStyle w:val="TableFigureHeading"/>
        <w:spacing w:before="240"/>
      </w:pPr>
      <w:bookmarkStart w:id="35" w:name="_Ref39664070"/>
      <w:r w:rsidRPr="00C93348">
        <w:t xml:space="preserve">Figure </w:t>
      </w:r>
      <w:r w:rsidR="00CC4472">
        <w:rPr>
          <w:noProof/>
        </w:rPr>
        <w:t>2</w:t>
      </w:r>
      <w:bookmarkEnd w:id="35"/>
      <w:r w:rsidRPr="00C93348">
        <w:t>: Kaplan-Meier Curve for overall survival in FLAURA trial (June 2019 data cut off, FAS)</w:t>
      </w:r>
    </w:p>
    <w:p w:rsidR="0079691F" w:rsidRPr="00C93348" w:rsidRDefault="0079691F" w:rsidP="0079691F">
      <w:pPr>
        <w:pStyle w:val="TableFooter"/>
        <w:jc w:val="center"/>
      </w:pPr>
      <w:r w:rsidRPr="00C93348">
        <w:rPr>
          <w:noProof/>
          <w:sz w:val="24"/>
        </w:rPr>
        <w:drawing>
          <wp:inline distT="0" distB="0" distL="0" distR="0" wp14:anchorId="3D491183" wp14:editId="3731B026">
            <wp:extent cx="3533775" cy="25752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0687" cy="2587545"/>
                    </a:xfrm>
                    <a:prstGeom prst="rect">
                      <a:avLst/>
                    </a:prstGeom>
                    <a:noFill/>
                    <a:ln>
                      <a:noFill/>
                    </a:ln>
                  </pic:spPr>
                </pic:pic>
              </a:graphicData>
            </a:graphic>
          </wp:inline>
        </w:drawing>
      </w:r>
    </w:p>
    <w:p w:rsidR="0079691F" w:rsidRPr="00C93348" w:rsidRDefault="0079691F" w:rsidP="0079691F">
      <w:pPr>
        <w:pStyle w:val="TableFigureFooter"/>
      </w:pPr>
      <w:r w:rsidRPr="00C93348">
        <w:t>Source: Figure 2.5.3, p66, Clinical Study Report (data cut-off 2, June 2019)</w:t>
      </w:r>
    </w:p>
    <w:p w:rsidR="0079691F" w:rsidRPr="00C93348" w:rsidRDefault="0079691F" w:rsidP="00FA4395">
      <w:pPr>
        <w:pStyle w:val="TableFigureFooter"/>
      </w:pPr>
      <w:r w:rsidRPr="00C93348">
        <w:t>Abbreviations: EGFR-TKI, epidermal growth factor receptor-tyrosine kinase inhibitor; FAS, full analysis set</w:t>
      </w:r>
    </w:p>
    <w:p w:rsidR="0079691F" w:rsidRPr="00C93348" w:rsidRDefault="0079691F" w:rsidP="00FA4395">
      <w:pPr>
        <w:pStyle w:val="3-BodyText"/>
        <w:keepNext/>
        <w:rPr>
          <w:rFonts w:ascii="Arial Narrow" w:hAnsi="Arial Narrow"/>
          <w:sz w:val="20"/>
        </w:rPr>
      </w:pPr>
      <w:r w:rsidRPr="00C93348">
        <w:t xml:space="preserve">The </w:t>
      </w:r>
      <w:r w:rsidR="006843D7" w:rsidRPr="00C93348">
        <w:t xml:space="preserve">evaluation considered the </w:t>
      </w:r>
      <w:r w:rsidRPr="00C93348">
        <w:t xml:space="preserve">OS benefit of osimertinib compared with </w:t>
      </w:r>
      <w:r w:rsidR="00D72D9F" w:rsidRPr="00C93348">
        <w:t>SC</w:t>
      </w:r>
      <w:r w:rsidRPr="00C93348">
        <w:t xml:space="preserve"> (erlotinib/gefitinib) should be interpreted with caution, given:</w:t>
      </w:r>
    </w:p>
    <w:p w:rsidR="0079691F" w:rsidRPr="00C93348" w:rsidRDefault="0079691F" w:rsidP="008C3F6D">
      <w:pPr>
        <w:pStyle w:val="ListParagraph"/>
        <w:keepNext/>
        <w:numPr>
          <w:ilvl w:val="1"/>
          <w:numId w:val="6"/>
        </w:numPr>
        <w:rPr>
          <w:rFonts w:ascii="Arial Narrow" w:hAnsi="Arial Narrow"/>
          <w:sz w:val="20"/>
        </w:rPr>
      </w:pPr>
      <w:r w:rsidRPr="00C93348">
        <w:t xml:space="preserve">A large proportion of patients continued randomised </w:t>
      </w:r>
      <w:r w:rsidR="000721B6" w:rsidRPr="00C93348">
        <w:t>first-line</w:t>
      </w:r>
      <w:r w:rsidRPr="00C93348">
        <w:t xml:space="preserve"> treatment beyond progression (67% and 70% in osimertinib and </w:t>
      </w:r>
      <w:r w:rsidR="00D72D9F" w:rsidRPr="00C93348">
        <w:t>SC</w:t>
      </w:r>
      <w:r w:rsidRPr="00C93348">
        <w:t xml:space="preserve"> arms for a median of 8 and 7 weeks, respectively). Treatment with TKIs beyond progression is not allowed</w:t>
      </w:r>
      <w:r w:rsidR="003C7B44" w:rsidRPr="00C93348">
        <w:t xml:space="preserve"> </w:t>
      </w:r>
      <w:r w:rsidRPr="00C93348">
        <w:t xml:space="preserve">in the proposed or existing PBS restrictions for the </w:t>
      </w:r>
      <w:r w:rsidR="00E24057" w:rsidRPr="00C93348">
        <w:t>EGFR-TKI</w:t>
      </w:r>
      <w:r w:rsidRPr="00C93348">
        <w:t xml:space="preserve">s; </w:t>
      </w:r>
    </w:p>
    <w:p w:rsidR="0079691F" w:rsidRPr="00C93348" w:rsidRDefault="0079691F" w:rsidP="008C3F6D">
      <w:pPr>
        <w:pStyle w:val="ListParagraph"/>
        <w:numPr>
          <w:ilvl w:val="1"/>
          <w:numId w:val="6"/>
        </w:numPr>
      </w:pPr>
      <w:r w:rsidRPr="00C93348">
        <w:t>In the osimertinib arm, 69/279 (24.7%) of patients received TKIs as subsequent therapy after progression on osimertinib. Currently there is limited evidence to support the sequential use of TKIs post progression on osimertinib and it is not recommended by the National Comprehensive Cancer Network (NCCN); and</w:t>
      </w:r>
    </w:p>
    <w:p w:rsidR="006843D7" w:rsidRPr="00C93348" w:rsidRDefault="0079691F" w:rsidP="008C3F6D">
      <w:pPr>
        <w:pStyle w:val="ListParagraph"/>
        <w:numPr>
          <w:ilvl w:val="1"/>
          <w:numId w:val="6"/>
        </w:numPr>
      </w:pPr>
      <w:r w:rsidRPr="00C93348">
        <w:t xml:space="preserve">The use of osimertinib as the first subsequent therapy after progression with </w:t>
      </w:r>
      <w:r w:rsidR="000721B6" w:rsidRPr="00C93348">
        <w:t>first-line</w:t>
      </w:r>
      <w:r w:rsidRPr="00C93348">
        <w:t xml:space="preserve"> erlotinib/gefitinib may have been lower than would be expected in Australian clinical practice, given that, among patients who received later line osimertinib, 85/109 (78%) of them received it in the </w:t>
      </w:r>
      <w:r w:rsidR="000721B6" w:rsidRPr="00C93348">
        <w:t>second-line</w:t>
      </w:r>
      <w:r w:rsidRPr="00C93348">
        <w:t xml:space="preserve"> setting and 24/109 (22%) received it in the third-line setting.</w:t>
      </w:r>
    </w:p>
    <w:p w:rsidR="006C48ED" w:rsidRPr="00C93348" w:rsidRDefault="006C48ED" w:rsidP="0079691F">
      <w:pPr>
        <w:pStyle w:val="3-BodyText"/>
      </w:pPr>
      <w:r w:rsidRPr="00C93348">
        <w:t xml:space="preserve">The ESC considered the concerns raised by the evaluation in paragraph </w:t>
      </w:r>
      <w:r w:rsidRPr="00CC4472">
        <w:t>6.1</w:t>
      </w:r>
      <w:r w:rsidR="00CC4472" w:rsidRPr="00CC4472">
        <w:t>0</w:t>
      </w:r>
      <w:r w:rsidRPr="00C93348">
        <w:t xml:space="preserve"> were reasonable but agreed with the </w:t>
      </w:r>
      <w:r w:rsidR="0005611F">
        <w:t>Pre-Sub-Committee Response (PSCR)</w:t>
      </w:r>
      <w:r w:rsidRPr="00C93348">
        <w:t xml:space="preserve"> that they were unlikely to have a significant impact on the OS benefit of first-line osimertinib</w:t>
      </w:r>
    </w:p>
    <w:p w:rsidR="0079691F" w:rsidRPr="00C93348" w:rsidRDefault="0079691F" w:rsidP="0079691F">
      <w:pPr>
        <w:pStyle w:val="3-BodyText"/>
      </w:pPr>
      <w:r w:rsidRPr="00C93348">
        <w:t>Patient-reported outcomes (PROs) to assess quality of life (QoL) were only assessed at the first data cut-off. No updated data were presented in the resubmission. The PBAC previously noted that osimertinib appeared to result in a greater improvement in patients’ symptoms, functioning and global health status, compared with erlotinib/gefitinib, although the differences between the two arms were not always statistically significant, and that none of these differences reached the clinically relevant cut-off of ≥ 10 points, defined in the FLAURA protocol (paragraph 7.8, Osimertinib PSD, July 2019 PBAC meeting).</w:t>
      </w:r>
    </w:p>
    <w:p w:rsidR="0079691F" w:rsidRPr="00C93348" w:rsidRDefault="0079691F" w:rsidP="0079691F">
      <w:pPr>
        <w:pStyle w:val="4-SubsectionHeading"/>
      </w:pPr>
      <w:bookmarkStart w:id="36" w:name="_Toc22897642"/>
      <w:bookmarkStart w:id="37" w:name="_Toc22898854"/>
      <w:bookmarkStart w:id="38" w:name="_Toc40094107"/>
      <w:bookmarkStart w:id="39" w:name="_Toc40709208"/>
      <w:r w:rsidRPr="00C93348">
        <w:t>Comparative harms</w:t>
      </w:r>
      <w:bookmarkEnd w:id="36"/>
      <w:bookmarkEnd w:id="37"/>
      <w:bookmarkEnd w:id="38"/>
      <w:bookmarkEnd w:id="39"/>
    </w:p>
    <w:p w:rsidR="0079691F" w:rsidRPr="00C93348" w:rsidRDefault="0079691F" w:rsidP="0079691F">
      <w:pPr>
        <w:pStyle w:val="3-BodyText"/>
      </w:pPr>
      <w:r w:rsidRPr="00C93348">
        <w:t xml:space="preserve">Updated safety data were presented in the resubmission and are summarised in </w:t>
      </w:r>
      <w:r w:rsidR="00CC4472" w:rsidRPr="00C93348">
        <w:t xml:space="preserve">Table </w:t>
      </w:r>
      <w:r w:rsidR="00CC4472">
        <w:rPr>
          <w:noProof/>
        </w:rPr>
        <w:t>7</w:t>
      </w:r>
      <w:r w:rsidRPr="00C93348">
        <w:t>.</w:t>
      </w:r>
    </w:p>
    <w:p w:rsidR="0079691F" w:rsidRPr="00C93348" w:rsidRDefault="0079691F" w:rsidP="0079691F">
      <w:pPr>
        <w:pStyle w:val="TableFigureHeading"/>
      </w:pPr>
      <w:bookmarkStart w:id="40" w:name="_Ref39664178"/>
      <w:r w:rsidRPr="00C93348">
        <w:t xml:space="preserve">Table </w:t>
      </w:r>
      <w:r w:rsidR="00CC4472">
        <w:rPr>
          <w:noProof/>
        </w:rPr>
        <w:t>7</w:t>
      </w:r>
      <w:bookmarkEnd w:id="40"/>
      <w:r w:rsidRPr="00C93348">
        <w:t>: Summary of adverse events</w:t>
      </w:r>
    </w:p>
    <w:tbl>
      <w:tblPr>
        <w:tblStyle w:val="TableGrid"/>
        <w:tblW w:w="5000" w:type="pct"/>
        <w:tblLook w:val="04A0" w:firstRow="1" w:lastRow="0" w:firstColumn="1" w:lastColumn="0" w:noHBand="0" w:noVBand="1"/>
      </w:tblPr>
      <w:tblGrid>
        <w:gridCol w:w="3115"/>
        <w:gridCol w:w="1277"/>
        <w:gridCol w:w="1134"/>
        <w:gridCol w:w="1841"/>
        <w:gridCol w:w="1650"/>
      </w:tblGrid>
      <w:tr w:rsidR="0079691F" w:rsidRPr="00C93348" w:rsidTr="00FA4395">
        <w:trPr>
          <w:trHeight w:val="125"/>
        </w:trPr>
        <w:tc>
          <w:tcPr>
            <w:tcW w:w="1727" w:type="pct"/>
            <w:vMerge w:val="restart"/>
            <w:tcBorders>
              <w:right w:val="single" w:sz="4" w:space="0" w:color="auto"/>
            </w:tcBorders>
          </w:tcPr>
          <w:p w:rsidR="0079691F" w:rsidRPr="00FA4395" w:rsidRDefault="0079691F" w:rsidP="002E61B6">
            <w:pPr>
              <w:pStyle w:val="In-tableHeading"/>
              <w:rPr>
                <w:szCs w:val="20"/>
                <w:vertAlign w:val="superscript"/>
                <w:lang w:val="en-AU" w:bidi="en-US"/>
              </w:rPr>
            </w:pPr>
            <w:r w:rsidRPr="00FA4395">
              <w:rPr>
                <w:szCs w:val="20"/>
                <w:lang w:val="en-AU" w:bidi="en-US"/>
              </w:rPr>
              <w:t>AE category</w:t>
            </w:r>
            <w:r w:rsidRPr="00FA4395">
              <w:rPr>
                <w:szCs w:val="20"/>
                <w:vertAlign w:val="superscript"/>
                <w:lang w:val="en-AU" w:bidi="en-US"/>
              </w:rPr>
              <w:t>a</w:t>
            </w:r>
            <w:r w:rsidR="004A0B30" w:rsidRPr="00FA4395">
              <w:rPr>
                <w:szCs w:val="20"/>
                <w:vertAlign w:val="superscript"/>
                <w:lang w:val="en-AU" w:bidi="en-US"/>
              </w:rPr>
              <w:t xml:space="preserve"> </w:t>
            </w:r>
            <w:r w:rsidRPr="00FA4395">
              <w:rPr>
                <w:szCs w:val="20"/>
                <w:lang w:val="en-AU" w:bidi="en-US"/>
              </w:rPr>
              <w:t xml:space="preserve"> </w:t>
            </w:r>
          </w:p>
        </w:tc>
        <w:tc>
          <w:tcPr>
            <w:tcW w:w="708" w:type="pct"/>
            <w:tcBorders>
              <w:top w:val="single" w:sz="4" w:space="0" w:color="auto"/>
              <w:left w:val="single" w:sz="4" w:space="0" w:color="auto"/>
              <w:bottom w:val="nil"/>
              <w:right w:val="single" w:sz="4" w:space="0" w:color="auto"/>
            </w:tcBorders>
          </w:tcPr>
          <w:p w:rsidR="0079691F" w:rsidRPr="00FA4395" w:rsidRDefault="0079691F" w:rsidP="002E61B6">
            <w:pPr>
              <w:pStyle w:val="In-tableHeading"/>
              <w:jc w:val="center"/>
              <w:rPr>
                <w:szCs w:val="20"/>
                <w:lang w:val="en-AU" w:bidi="en-US"/>
              </w:rPr>
            </w:pPr>
            <w:r w:rsidRPr="00FA4395">
              <w:rPr>
                <w:szCs w:val="20"/>
                <w:lang w:val="en-AU" w:bidi="en-US"/>
              </w:rPr>
              <w:t>Osimertinib</w:t>
            </w:r>
          </w:p>
        </w:tc>
        <w:tc>
          <w:tcPr>
            <w:tcW w:w="629" w:type="pct"/>
            <w:tcBorders>
              <w:top w:val="single" w:sz="4" w:space="0" w:color="auto"/>
              <w:left w:val="single" w:sz="4" w:space="0" w:color="auto"/>
              <w:bottom w:val="nil"/>
              <w:right w:val="single" w:sz="4" w:space="0" w:color="auto"/>
            </w:tcBorders>
          </w:tcPr>
          <w:p w:rsidR="0079691F" w:rsidRPr="00FA4395" w:rsidRDefault="00D72D9F" w:rsidP="002E61B6">
            <w:pPr>
              <w:pStyle w:val="In-tableHeading"/>
              <w:jc w:val="center"/>
              <w:rPr>
                <w:szCs w:val="20"/>
                <w:lang w:val="en-AU" w:bidi="en-US"/>
              </w:rPr>
            </w:pPr>
            <w:r w:rsidRPr="00FA4395">
              <w:rPr>
                <w:szCs w:val="20"/>
                <w:lang w:val="en-AU" w:bidi="en-US"/>
              </w:rPr>
              <w:t>SC</w:t>
            </w:r>
          </w:p>
        </w:tc>
        <w:tc>
          <w:tcPr>
            <w:tcW w:w="1021" w:type="pct"/>
            <w:tcBorders>
              <w:top w:val="single" w:sz="4" w:space="0" w:color="auto"/>
              <w:left w:val="single" w:sz="4" w:space="0" w:color="auto"/>
              <w:bottom w:val="nil"/>
              <w:right w:val="single" w:sz="4" w:space="0" w:color="auto"/>
            </w:tcBorders>
          </w:tcPr>
          <w:p w:rsidR="0079691F" w:rsidRPr="00FA4395" w:rsidRDefault="0079691F" w:rsidP="002E61B6">
            <w:pPr>
              <w:pStyle w:val="In-tableHeading"/>
              <w:jc w:val="center"/>
              <w:rPr>
                <w:szCs w:val="20"/>
                <w:lang w:val="en-AU" w:bidi="en-US"/>
              </w:rPr>
            </w:pPr>
            <w:r w:rsidRPr="00FA4395">
              <w:rPr>
                <w:szCs w:val="20"/>
                <w:lang w:val="en-AU"/>
              </w:rPr>
              <w:t xml:space="preserve">Risk difference </w:t>
            </w:r>
          </w:p>
        </w:tc>
        <w:tc>
          <w:tcPr>
            <w:tcW w:w="915" w:type="pct"/>
            <w:tcBorders>
              <w:top w:val="single" w:sz="4" w:space="0" w:color="auto"/>
              <w:left w:val="single" w:sz="4" w:space="0" w:color="auto"/>
              <w:bottom w:val="nil"/>
              <w:right w:val="single" w:sz="4" w:space="0" w:color="auto"/>
            </w:tcBorders>
          </w:tcPr>
          <w:p w:rsidR="0079691F" w:rsidRPr="00FA4395" w:rsidRDefault="0079691F" w:rsidP="002E61B6">
            <w:pPr>
              <w:pStyle w:val="In-tableHeading"/>
              <w:jc w:val="center"/>
              <w:rPr>
                <w:szCs w:val="20"/>
                <w:lang w:val="en-AU" w:bidi="en-US"/>
              </w:rPr>
            </w:pPr>
            <w:r w:rsidRPr="00FA4395">
              <w:rPr>
                <w:szCs w:val="20"/>
                <w:lang w:val="en-AU"/>
              </w:rPr>
              <w:t>Relative risk</w:t>
            </w:r>
          </w:p>
        </w:tc>
      </w:tr>
      <w:tr w:rsidR="0079691F" w:rsidRPr="00C93348" w:rsidTr="00FA4395">
        <w:trPr>
          <w:trHeight w:val="171"/>
        </w:trPr>
        <w:tc>
          <w:tcPr>
            <w:tcW w:w="1727" w:type="pct"/>
            <w:vMerge/>
            <w:tcBorders>
              <w:right w:val="single" w:sz="4" w:space="0" w:color="auto"/>
            </w:tcBorders>
          </w:tcPr>
          <w:p w:rsidR="0079691F" w:rsidRPr="00FA4395" w:rsidRDefault="0079691F" w:rsidP="002E61B6">
            <w:pPr>
              <w:pStyle w:val="In-tableHeading"/>
              <w:rPr>
                <w:szCs w:val="20"/>
                <w:lang w:val="en-AU" w:bidi="en-US"/>
              </w:rPr>
            </w:pPr>
          </w:p>
        </w:tc>
        <w:tc>
          <w:tcPr>
            <w:tcW w:w="708" w:type="pct"/>
            <w:tcBorders>
              <w:top w:val="nil"/>
              <w:left w:val="single" w:sz="4" w:space="0" w:color="auto"/>
              <w:bottom w:val="single" w:sz="4" w:space="0" w:color="auto"/>
              <w:right w:val="single" w:sz="4" w:space="0" w:color="auto"/>
            </w:tcBorders>
          </w:tcPr>
          <w:p w:rsidR="0079691F" w:rsidRPr="00FA4395" w:rsidRDefault="0079691F" w:rsidP="002E61B6">
            <w:pPr>
              <w:pStyle w:val="In-tableHeading"/>
              <w:jc w:val="center"/>
              <w:rPr>
                <w:szCs w:val="20"/>
                <w:lang w:val="en-AU" w:bidi="en-US"/>
              </w:rPr>
            </w:pPr>
            <w:r w:rsidRPr="00FA4395">
              <w:rPr>
                <w:szCs w:val="20"/>
                <w:lang w:val="en-AU" w:bidi="en-US"/>
              </w:rPr>
              <w:t xml:space="preserve">N = 279 </w:t>
            </w:r>
          </w:p>
          <w:p w:rsidR="0079691F" w:rsidRPr="00FA4395" w:rsidRDefault="0079691F" w:rsidP="002E61B6">
            <w:pPr>
              <w:pStyle w:val="In-tableHeading"/>
              <w:jc w:val="center"/>
              <w:rPr>
                <w:szCs w:val="20"/>
                <w:lang w:val="en-AU" w:bidi="en-US"/>
              </w:rPr>
            </w:pPr>
            <w:r w:rsidRPr="00FA4395">
              <w:rPr>
                <w:szCs w:val="20"/>
                <w:lang w:val="en-AU" w:bidi="en-US"/>
              </w:rPr>
              <w:t>n (%)</w:t>
            </w:r>
          </w:p>
        </w:tc>
        <w:tc>
          <w:tcPr>
            <w:tcW w:w="629" w:type="pct"/>
            <w:tcBorders>
              <w:top w:val="nil"/>
              <w:left w:val="single" w:sz="4" w:space="0" w:color="auto"/>
              <w:bottom w:val="single" w:sz="4" w:space="0" w:color="auto"/>
              <w:right w:val="single" w:sz="4" w:space="0" w:color="auto"/>
            </w:tcBorders>
          </w:tcPr>
          <w:p w:rsidR="0079691F" w:rsidRPr="00FA4395" w:rsidRDefault="0079691F" w:rsidP="002E61B6">
            <w:pPr>
              <w:pStyle w:val="In-tableHeading"/>
              <w:jc w:val="center"/>
              <w:rPr>
                <w:szCs w:val="20"/>
                <w:lang w:val="en-AU" w:bidi="en-US"/>
              </w:rPr>
            </w:pPr>
            <w:r w:rsidRPr="00FA4395">
              <w:rPr>
                <w:szCs w:val="20"/>
                <w:lang w:val="en-AU" w:bidi="en-US"/>
              </w:rPr>
              <w:t xml:space="preserve">N = 277 </w:t>
            </w:r>
          </w:p>
          <w:p w:rsidR="0079691F" w:rsidRPr="00FA4395" w:rsidRDefault="0079691F" w:rsidP="002E61B6">
            <w:pPr>
              <w:pStyle w:val="In-tableHeading"/>
              <w:jc w:val="center"/>
              <w:rPr>
                <w:szCs w:val="20"/>
                <w:lang w:val="en-AU" w:bidi="en-US"/>
              </w:rPr>
            </w:pPr>
            <w:r w:rsidRPr="00FA4395">
              <w:rPr>
                <w:szCs w:val="20"/>
                <w:lang w:val="en-AU" w:bidi="en-US"/>
              </w:rPr>
              <w:t>n (%)</w:t>
            </w:r>
          </w:p>
        </w:tc>
        <w:tc>
          <w:tcPr>
            <w:tcW w:w="1021" w:type="pct"/>
            <w:tcBorders>
              <w:top w:val="nil"/>
              <w:left w:val="single" w:sz="4" w:space="0" w:color="auto"/>
              <w:bottom w:val="single" w:sz="4" w:space="0" w:color="auto"/>
              <w:right w:val="single" w:sz="4" w:space="0" w:color="auto"/>
            </w:tcBorders>
            <w:vAlign w:val="center"/>
          </w:tcPr>
          <w:p w:rsidR="0079691F" w:rsidRPr="00FA4395" w:rsidRDefault="0079691F" w:rsidP="002E61B6">
            <w:pPr>
              <w:pStyle w:val="In-tableHeading"/>
              <w:jc w:val="center"/>
              <w:rPr>
                <w:szCs w:val="20"/>
                <w:lang w:val="en-AU" w:bidi="en-US"/>
              </w:rPr>
            </w:pPr>
            <w:r w:rsidRPr="00FA4395">
              <w:rPr>
                <w:szCs w:val="20"/>
                <w:lang w:val="en-AU" w:bidi="en-US"/>
              </w:rPr>
              <w:t>95%CI</w:t>
            </w:r>
          </w:p>
        </w:tc>
        <w:tc>
          <w:tcPr>
            <w:tcW w:w="915" w:type="pct"/>
            <w:tcBorders>
              <w:top w:val="nil"/>
              <w:left w:val="single" w:sz="4" w:space="0" w:color="auto"/>
              <w:bottom w:val="single" w:sz="4" w:space="0" w:color="auto"/>
              <w:right w:val="single" w:sz="4" w:space="0" w:color="auto"/>
            </w:tcBorders>
            <w:vAlign w:val="center"/>
          </w:tcPr>
          <w:p w:rsidR="0079691F" w:rsidRPr="00FA4395" w:rsidRDefault="0079691F" w:rsidP="002E61B6">
            <w:pPr>
              <w:pStyle w:val="In-tableHeading"/>
              <w:jc w:val="center"/>
              <w:rPr>
                <w:b w:val="0"/>
                <w:szCs w:val="20"/>
                <w:lang w:val="en-AU" w:bidi="en-US"/>
              </w:rPr>
            </w:pPr>
            <w:r w:rsidRPr="00FA4395">
              <w:rPr>
                <w:szCs w:val="20"/>
                <w:lang w:val="en-AU" w:bidi="en-US"/>
              </w:rPr>
              <w:t>95%CI</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Any AE</w:t>
            </w:r>
          </w:p>
        </w:tc>
        <w:tc>
          <w:tcPr>
            <w:tcW w:w="708" w:type="pct"/>
            <w:tcBorders>
              <w:top w:val="single" w:sz="4" w:space="0" w:color="auto"/>
            </w:tcBorders>
          </w:tcPr>
          <w:p w:rsidR="0079691F" w:rsidRPr="00FA4395" w:rsidRDefault="0079691F" w:rsidP="002E61B6">
            <w:pPr>
              <w:pStyle w:val="TableText0"/>
              <w:jc w:val="center"/>
              <w:rPr>
                <w:szCs w:val="20"/>
                <w:lang w:bidi="en-US"/>
              </w:rPr>
            </w:pPr>
            <w:r w:rsidRPr="00FA4395">
              <w:rPr>
                <w:szCs w:val="20"/>
                <w:lang w:bidi="en-US"/>
              </w:rPr>
              <w:t>273 (97.8)</w:t>
            </w:r>
          </w:p>
        </w:tc>
        <w:tc>
          <w:tcPr>
            <w:tcW w:w="629" w:type="pct"/>
            <w:tcBorders>
              <w:top w:val="single" w:sz="4" w:space="0" w:color="auto"/>
            </w:tcBorders>
          </w:tcPr>
          <w:p w:rsidR="0079691F" w:rsidRPr="00FA4395" w:rsidRDefault="0079691F" w:rsidP="002E61B6">
            <w:pPr>
              <w:pStyle w:val="TableText0"/>
              <w:jc w:val="center"/>
              <w:rPr>
                <w:szCs w:val="20"/>
                <w:lang w:bidi="en-US"/>
              </w:rPr>
            </w:pPr>
            <w:r w:rsidRPr="00FA4395">
              <w:rPr>
                <w:szCs w:val="20"/>
                <w:lang w:bidi="en-US"/>
              </w:rPr>
              <w:t>271 (97.8)</w:t>
            </w:r>
          </w:p>
        </w:tc>
        <w:tc>
          <w:tcPr>
            <w:tcW w:w="1021" w:type="pct"/>
            <w:tcBorders>
              <w:top w:val="single" w:sz="4" w:space="0" w:color="auto"/>
            </w:tcBorders>
          </w:tcPr>
          <w:p w:rsidR="0079691F" w:rsidRPr="00FA4395" w:rsidRDefault="0079691F" w:rsidP="002E61B6">
            <w:pPr>
              <w:pStyle w:val="TableText0"/>
              <w:jc w:val="center"/>
              <w:rPr>
                <w:szCs w:val="20"/>
                <w:lang w:bidi="en-US"/>
              </w:rPr>
            </w:pPr>
            <w:r w:rsidRPr="00FA4395">
              <w:rPr>
                <w:szCs w:val="20"/>
                <w:lang w:bidi="en-US"/>
              </w:rPr>
              <w:t>0.01% (-2.4%, 2.4%)</w:t>
            </w:r>
          </w:p>
        </w:tc>
        <w:tc>
          <w:tcPr>
            <w:tcW w:w="915" w:type="pct"/>
            <w:tcBorders>
              <w:top w:val="single" w:sz="4" w:space="0" w:color="auto"/>
            </w:tcBorders>
          </w:tcPr>
          <w:p w:rsidR="0079691F" w:rsidRPr="00FA4395" w:rsidRDefault="0079691F" w:rsidP="002E61B6">
            <w:pPr>
              <w:pStyle w:val="TableText0"/>
              <w:jc w:val="center"/>
              <w:rPr>
                <w:szCs w:val="20"/>
                <w:lang w:bidi="en-US"/>
              </w:rPr>
            </w:pPr>
            <w:r w:rsidRPr="00FA4395">
              <w:rPr>
                <w:szCs w:val="20"/>
                <w:lang w:bidi="en-US"/>
              </w:rPr>
              <w:t>1.00 (0.98, 1.02)</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 xml:space="preserve">Any AE possibly related to trial treatment </w:t>
            </w:r>
            <w:r w:rsidRPr="00FA4395">
              <w:rPr>
                <w:szCs w:val="20"/>
                <w:vertAlign w:val="superscript"/>
                <w:lang w:bidi="en-US"/>
              </w:rPr>
              <w:t>b</w:t>
            </w:r>
          </w:p>
        </w:tc>
        <w:tc>
          <w:tcPr>
            <w:tcW w:w="708" w:type="pct"/>
          </w:tcPr>
          <w:p w:rsidR="0079691F" w:rsidRPr="00FA4395" w:rsidRDefault="0079691F" w:rsidP="002E61B6">
            <w:pPr>
              <w:pStyle w:val="TableText0"/>
              <w:jc w:val="center"/>
              <w:rPr>
                <w:szCs w:val="20"/>
                <w:lang w:bidi="en-US"/>
              </w:rPr>
            </w:pPr>
            <w:r w:rsidRPr="00FA4395">
              <w:rPr>
                <w:szCs w:val="20"/>
                <w:lang w:bidi="en-US"/>
              </w:rPr>
              <w:t>253 (90.7)</w:t>
            </w:r>
          </w:p>
        </w:tc>
        <w:tc>
          <w:tcPr>
            <w:tcW w:w="629" w:type="pct"/>
          </w:tcPr>
          <w:p w:rsidR="0079691F" w:rsidRPr="00FA4395" w:rsidRDefault="0079691F" w:rsidP="002E61B6">
            <w:pPr>
              <w:pStyle w:val="TableText0"/>
              <w:jc w:val="center"/>
              <w:rPr>
                <w:szCs w:val="20"/>
                <w:lang w:bidi="en-US"/>
              </w:rPr>
            </w:pPr>
            <w:r w:rsidRPr="00FA4395">
              <w:rPr>
                <w:szCs w:val="20"/>
                <w:lang w:bidi="en-US"/>
              </w:rPr>
              <w:t>255 (92.1)</w:t>
            </w:r>
          </w:p>
        </w:tc>
        <w:tc>
          <w:tcPr>
            <w:tcW w:w="1021" w:type="pct"/>
          </w:tcPr>
          <w:p w:rsidR="0079691F" w:rsidRPr="00FA4395" w:rsidRDefault="0079691F" w:rsidP="002E61B6">
            <w:pPr>
              <w:pStyle w:val="TableText0"/>
              <w:jc w:val="center"/>
              <w:rPr>
                <w:szCs w:val="20"/>
                <w:lang w:bidi="en-US"/>
              </w:rPr>
            </w:pPr>
            <w:r w:rsidRPr="00FA4395">
              <w:rPr>
                <w:szCs w:val="20"/>
                <w:lang w:bidi="en-US"/>
              </w:rPr>
              <w:t>1.38% (-6.0%, 3.3%)</w:t>
            </w:r>
          </w:p>
        </w:tc>
        <w:tc>
          <w:tcPr>
            <w:tcW w:w="915" w:type="pct"/>
          </w:tcPr>
          <w:p w:rsidR="0079691F" w:rsidRPr="00FA4395" w:rsidRDefault="0079691F" w:rsidP="002E61B6">
            <w:pPr>
              <w:pStyle w:val="TableText0"/>
              <w:jc w:val="center"/>
              <w:rPr>
                <w:szCs w:val="20"/>
                <w:lang w:bidi="en-US"/>
              </w:rPr>
            </w:pPr>
            <w:r w:rsidRPr="00FA4395">
              <w:rPr>
                <w:szCs w:val="20"/>
                <w:lang w:bidi="en-US"/>
              </w:rPr>
              <w:t>0.99 (0.94, 1.04)</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Any AE grade ≥ 3</w:t>
            </w:r>
            <w:r w:rsidRPr="00FA4395">
              <w:rPr>
                <w:szCs w:val="20"/>
                <w:lang w:bidi="en-US"/>
              </w:rPr>
              <w:tab/>
            </w:r>
          </w:p>
        </w:tc>
        <w:tc>
          <w:tcPr>
            <w:tcW w:w="708" w:type="pct"/>
          </w:tcPr>
          <w:p w:rsidR="0079691F" w:rsidRPr="00FA4395" w:rsidRDefault="0079691F" w:rsidP="002E61B6">
            <w:pPr>
              <w:pStyle w:val="TableText0"/>
              <w:jc w:val="center"/>
              <w:rPr>
                <w:szCs w:val="20"/>
                <w:lang w:bidi="en-US"/>
              </w:rPr>
            </w:pPr>
            <w:r w:rsidRPr="00FA4395">
              <w:rPr>
                <w:szCs w:val="20"/>
                <w:lang w:bidi="en-US"/>
              </w:rPr>
              <w:t>116 (41.6)</w:t>
            </w:r>
          </w:p>
        </w:tc>
        <w:tc>
          <w:tcPr>
            <w:tcW w:w="629" w:type="pct"/>
          </w:tcPr>
          <w:p w:rsidR="0079691F" w:rsidRPr="00FA4395" w:rsidRDefault="0079691F" w:rsidP="002E61B6">
            <w:pPr>
              <w:pStyle w:val="TableText0"/>
              <w:jc w:val="center"/>
              <w:rPr>
                <w:szCs w:val="20"/>
                <w:lang w:bidi="en-US"/>
              </w:rPr>
            </w:pPr>
            <w:r w:rsidRPr="00FA4395">
              <w:rPr>
                <w:szCs w:val="20"/>
                <w:lang w:bidi="en-US"/>
              </w:rPr>
              <w:t>129 (46.6)</w:t>
            </w:r>
          </w:p>
        </w:tc>
        <w:tc>
          <w:tcPr>
            <w:tcW w:w="1021" w:type="pct"/>
          </w:tcPr>
          <w:p w:rsidR="0079691F" w:rsidRPr="00FA4395" w:rsidRDefault="0079691F" w:rsidP="002E61B6">
            <w:pPr>
              <w:pStyle w:val="TableText0"/>
              <w:jc w:val="center"/>
              <w:rPr>
                <w:szCs w:val="20"/>
                <w:lang w:bidi="en-US"/>
              </w:rPr>
            </w:pPr>
            <w:r w:rsidRPr="00FA4395">
              <w:rPr>
                <w:szCs w:val="20"/>
                <w:lang w:bidi="en-US"/>
              </w:rPr>
              <w:t>-5.0% (-13%, 3.3%)</w:t>
            </w:r>
          </w:p>
        </w:tc>
        <w:tc>
          <w:tcPr>
            <w:tcW w:w="915" w:type="pct"/>
          </w:tcPr>
          <w:p w:rsidR="0079691F" w:rsidRPr="00FA4395" w:rsidRDefault="0079691F" w:rsidP="002E61B6">
            <w:pPr>
              <w:pStyle w:val="TableText0"/>
              <w:jc w:val="center"/>
              <w:rPr>
                <w:szCs w:val="20"/>
                <w:lang w:bidi="en-US"/>
              </w:rPr>
            </w:pPr>
            <w:r w:rsidRPr="00FA4395">
              <w:rPr>
                <w:szCs w:val="20"/>
                <w:lang w:bidi="en-US"/>
              </w:rPr>
              <w:t>0.89 (0.74, 1.08)</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 xml:space="preserve">Any AE grade ≥ 3, possibly related to trial treatment </w:t>
            </w:r>
            <w:r w:rsidRPr="00FA4395">
              <w:rPr>
                <w:szCs w:val="20"/>
                <w:vertAlign w:val="superscript"/>
                <w:lang w:bidi="en-US"/>
              </w:rPr>
              <w:t>b</w:t>
            </w:r>
            <w:r w:rsidRPr="00FA4395">
              <w:rPr>
                <w:szCs w:val="20"/>
                <w:vertAlign w:val="superscript"/>
                <w:lang w:bidi="en-US"/>
              </w:rPr>
              <w:tab/>
            </w:r>
          </w:p>
        </w:tc>
        <w:tc>
          <w:tcPr>
            <w:tcW w:w="708" w:type="pct"/>
          </w:tcPr>
          <w:p w:rsidR="0079691F" w:rsidRPr="00FA4395" w:rsidRDefault="0079691F" w:rsidP="002E61B6">
            <w:pPr>
              <w:pStyle w:val="TableText0"/>
              <w:jc w:val="center"/>
              <w:rPr>
                <w:szCs w:val="20"/>
                <w:lang w:bidi="en-US"/>
              </w:rPr>
            </w:pPr>
            <w:r w:rsidRPr="00FA4395">
              <w:rPr>
                <w:szCs w:val="20"/>
                <w:lang w:bidi="en-US"/>
              </w:rPr>
              <w:t>51 (18.3)</w:t>
            </w:r>
          </w:p>
        </w:tc>
        <w:tc>
          <w:tcPr>
            <w:tcW w:w="629" w:type="pct"/>
          </w:tcPr>
          <w:p w:rsidR="0079691F" w:rsidRPr="00FA4395" w:rsidRDefault="0079691F" w:rsidP="002E61B6">
            <w:pPr>
              <w:pStyle w:val="TableText0"/>
              <w:jc w:val="center"/>
              <w:rPr>
                <w:szCs w:val="20"/>
                <w:lang w:bidi="en-US"/>
              </w:rPr>
            </w:pPr>
            <w:r w:rsidRPr="00FA4395">
              <w:rPr>
                <w:szCs w:val="20"/>
                <w:lang w:bidi="en-US"/>
              </w:rPr>
              <w:t>79 (28.5)</w:t>
            </w:r>
          </w:p>
        </w:tc>
        <w:tc>
          <w:tcPr>
            <w:tcW w:w="1021" w:type="pct"/>
          </w:tcPr>
          <w:p w:rsidR="0079691F" w:rsidRPr="00FA4395" w:rsidRDefault="0079691F" w:rsidP="002E61B6">
            <w:pPr>
              <w:pStyle w:val="TableText0"/>
              <w:jc w:val="center"/>
              <w:rPr>
                <w:bCs w:val="0"/>
                <w:szCs w:val="20"/>
                <w:lang w:bidi="en-US"/>
              </w:rPr>
            </w:pPr>
            <w:r w:rsidRPr="00FA4395">
              <w:rPr>
                <w:bCs w:val="0"/>
                <w:szCs w:val="20"/>
                <w:lang w:bidi="en-US"/>
              </w:rPr>
              <w:t>-10% (-17%, -3.3%)</w:t>
            </w:r>
          </w:p>
        </w:tc>
        <w:tc>
          <w:tcPr>
            <w:tcW w:w="915" w:type="pct"/>
          </w:tcPr>
          <w:p w:rsidR="0079691F" w:rsidRPr="00FA4395" w:rsidRDefault="0079691F" w:rsidP="002E61B6">
            <w:pPr>
              <w:pStyle w:val="TableText0"/>
              <w:jc w:val="center"/>
              <w:rPr>
                <w:bCs w:val="0"/>
                <w:szCs w:val="20"/>
                <w:lang w:bidi="en-US"/>
              </w:rPr>
            </w:pPr>
            <w:r w:rsidRPr="00FA4395">
              <w:rPr>
                <w:bCs w:val="0"/>
                <w:szCs w:val="20"/>
                <w:lang w:bidi="en-US"/>
              </w:rPr>
              <w:t>0.64 (0.47, 0.87)</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 xml:space="preserve">Any AE related death </w:t>
            </w:r>
            <w:r w:rsidRPr="00FA4395">
              <w:rPr>
                <w:szCs w:val="20"/>
                <w:vertAlign w:val="superscript"/>
                <w:lang w:bidi="en-US"/>
              </w:rPr>
              <w:t>c</w:t>
            </w:r>
          </w:p>
        </w:tc>
        <w:tc>
          <w:tcPr>
            <w:tcW w:w="708" w:type="pct"/>
          </w:tcPr>
          <w:p w:rsidR="0079691F" w:rsidRPr="00FA4395" w:rsidRDefault="0079691F" w:rsidP="002E61B6">
            <w:pPr>
              <w:pStyle w:val="TableText0"/>
              <w:jc w:val="center"/>
              <w:rPr>
                <w:szCs w:val="20"/>
                <w:lang w:bidi="en-US"/>
              </w:rPr>
            </w:pPr>
            <w:r w:rsidRPr="00FA4395">
              <w:rPr>
                <w:szCs w:val="20"/>
                <w:lang w:bidi="en-US"/>
              </w:rPr>
              <w:t>9 (3.2)</w:t>
            </w:r>
          </w:p>
        </w:tc>
        <w:tc>
          <w:tcPr>
            <w:tcW w:w="629" w:type="pct"/>
          </w:tcPr>
          <w:p w:rsidR="0079691F" w:rsidRPr="00FA4395" w:rsidRDefault="0079691F" w:rsidP="002E61B6">
            <w:pPr>
              <w:pStyle w:val="TableText0"/>
              <w:jc w:val="center"/>
              <w:rPr>
                <w:szCs w:val="20"/>
                <w:lang w:bidi="en-US"/>
              </w:rPr>
            </w:pPr>
            <w:r w:rsidRPr="00FA4395">
              <w:rPr>
                <w:szCs w:val="20"/>
                <w:lang w:bidi="en-US"/>
              </w:rPr>
              <w:t>10 (3.6)</w:t>
            </w:r>
          </w:p>
        </w:tc>
        <w:tc>
          <w:tcPr>
            <w:tcW w:w="1021" w:type="pct"/>
          </w:tcPr>
          <w:p w:rsidR="0079691F" w:rsidRPr="00FA4395" w:rsidRDefault="0079691F" w:rsidP="002E61B6">
            <w:pPr>
              <w:pStyle w:val="TableText0"/>
              <w:jc w:val="center"/>
              <w:rPr>
                <w:szCs w:val="20"/>
                <w:lang w:bidi="en-US"/>
              </w:rPr>
            </w:pPr>
            <w:r w:rsidRPr="00FA4395">
              <w:rPr>
                <w:szCs w:val="20"/>
                <w:lang w:bidi="en-US"/>
              </w:rPr>
              <w:t>0.38% (-3.4%, 2.6%)</w:t>
            </w:r>
          </w:p>
        </w:tc>
        <w:tc>
          <w:tcPr>
            <w:tcW w:w="915" w:type="pct"/>
          </w:tcPr>
          <w:p w:rsidR="0079691F" w:rsidRPr="00FA4395" w:rsidRDefault="0079691F" w:rsidP="002E61B6">
            <w:pPr>
              <w:pStyle w:val="TableText0"/>
              <w:jc w:val="center"/>
              <w:rPr>
                <w:szCs w:val="20"/>
                <w:lang w:bidi="en-US"/>
              </w:rPr>
            </w:pPr>
            <w:r w:rsidRPr="00FA4395">
              <w:rPr>
                <w:szCs w:val="20"/>
                <w:lang w:bidi="en-US"/>
              </w:rPr>
              <w:t>0.89 (0.37, 2.17)</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 xml:space="preserve">Any AE related death, possibly related to trial treatment </w:t>
            </w:r>
            <w:r w:rsidRPr="00FA4395">
              <w:rPr>
                <w:szCs w:val="20"/>
                <w:vertAlign w:val="superscript"/>
                <w:lang w:bidi="en-US"/>
              </w:rPr>
              <w:t>b</w:t>
            </w:r>
          </w:p>
        </w:tc>
        <w:tc>
          <w:tcPr>
            <w:tcW w:w="708" w:type="pct"/>
          </w:tcPr>
          <w:p w:rsidR="0079691F" w:rsidRPr="00FA4395" w:rsidRDefault="0079691F" w:rsidP="002E61B6">
            <w:pPr>
              <w:pStyle w:val="TableText0"/>
              <w:jc w:val="center"/>
              <w:rPr>
                <w:szCs w:val="20"/>
                <w:lang w:bidi="en-US"/>
              </w:rPr>
            </w:pPr>
            <w:r w:rsidRPr="00FA4395">
              <w:rPr>
                <w:szCs w:val="20"/>
                <w:lang w:bidi="en-US"/>
              </w:rPr>
              <w:t>0</w:t>
            </w:r>
          </w:p>
        </w:tc>
        <w:tc>
          <w:tcPr>
            <w:tcW w:w="629" w:type="pct"/>
          </w:tcPr>
          <w:p w:rsidR="0079691F" w:rsidRPr="00FA4395" w:rsidRDefault="0079691F" w:rsidP="002E61B6">
            <w:pPr>
              <w:pStyle w:val="TableText0"/>
              <w:jc w:val="center"/>
              <w:rPr>
                <w:szCs w:val="20"/>
                <w:lang w:bidi="en-US"/>
              </w:rPr>
            </w:pPr>
            <w:r w:rsidRPr="00FA4395">
              <w:rPr>
                <w:szCs w:val="20"/>
                <w:lang w:bidi="en-US"/>
              </w:rPr>
              <w:t>2 (0.7)</w:t>
            </w:r>
          </w:p>
        </w:tc>
        <w:tc>
          <w:tcPr>
            <w:tcW w:w="1021" w:type="pct"/>
          </w:tcPr>
          <w:p w:rsidR="0079691F" w:rsidRPr="00FA4395" w:rsidRDefault="0079691F" w:rsidP="002E61B6">
            <w:pPr>
              <w:pStyle w:val="TableText0"/>
              <w:jc w:val="center"/>
              <w:rPr>
                <w:szCs w:val="20"/>
                <w:lang w:bidi="en-US"/>
              </w:rPr>
            </w:pPr>
            <w:r w:rsidRPr="00FA4395">
              <w:rPr>
                <w:szCs w:val="20"/>
                <w:lang w:bidi="en-US"/>
              </w:rPr>
              <w:t>-0.7% (-1.7, 0.28%)</w:t>
            </w:r>
          </w:p>
        </w:tc>
        <w:tc>
          <w:tcPr>
            <w:tcW w:w="915" w:type="pct"/>
          </w:tcPr>
          <w:p w:rsidR="0079691F" w:rsidRPr="00FA4395" w:rsidRDefault="0079691F" w:rsidP="002E61B6">
            <w:pPr>
              <w:pStyle w:val="TableText0"/>
              <w:jc w:val="center"/>
              <w:rPr>
                <w:szCs w:val="20"/>
                <w:lang w:bidi="en-US"/>
              </w:rPr>
            </w:pPr>
            <w:r w:rsidRPr="00FA4395">
              <w:rPr>
                <w:szCs w:val="20"/>
                <w:lang w:bidi="en-US"/>
              </w:rPr>
              <w:t>0</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Any SAE</w:t>
            </w:r>
          </w:p>
        </w:tc>
        <w:tc>
          <w:tcPr>
            <w:tcW w:w="708" w:type="pct"/>
          </w:tcPr>
          <w:p w:rsidR="0079691F" w:rsidRPr="00FA4395" w:rsidRDefault="0079691F" w:rsidP="002E61B6">
            <w:pPr>
              <w:pStyle w:val="TableText0"/>
              <w:jc w:val="center"/>
              <w:rPr>
                <w:szCs w:val="20"/>
                <w:lang w:bidi="en-US"/>
              </w:rPr>
            </w:pPr>
            <w:r w:rsidRPr="00FA4395">
              <w:rPr>
                <w:szCs w:val="20"/>
                <w:lang w:bidi="en-US"/>
              </w:rPr>
              <w:t>74 (26.5)</w:t>
            </w:r>
          </w:p>
        </w:tc>
        <w:tc>
          <w:tcPr>
            <w:tcW w:w="629" w:type="pct"/>
          </w:tcPr>
          <w:p w:rsidR="0079691F" w:rsidRPr="00FA4395" w:rsidRDefault="0079691F" w:rsidP="002E61B6">
            <w:pPr>
              <w:pStyle w:val="TableText0"/>
              <w:jc w:val="center"/>
              <w:rPr>
                <w:szCs w:val="20"/>
                <w:lang w:bidi="en-US"/>
              </w:rPr>
            </w:pPr>
            <w:r w:rsidRPr="00FA4395">
              <w:rPr>
                <w:szCs w:val="20"/>
                <w:lang w:bidi="en-US"/>
              </w:rPr>
              <w:t>76 (27.4)</w:t>
            </w:r>
          </w:p>
        </w:tc>
        <w:tc>
          <w:tcPr>
            <w:tcW w:w="1021" w:type="pct"/>
          </w:tcPr>
          <w:p w:rsidR="0079691F" w:rsidRPr="00FA4395" w:rsidRDefault="0079691F" w:rsidP="002E61B6">
            <w:pPr>
              <w:pStyle w:val="TableText0"/>
              <w:jc w:val="center"/>
              <w:rPr>
                <w:szCs w:val="20"/>
                <w:lang w:bidi="en-US"/>
              </w:rPr>
            </w:pPr>
            <w:r w:rsidRPr="00FA4395">
              <w:rPr>
                <w:szCs w:val="20"/>
                <w:lang w:bidi="en-US"/>
              </w:rPr>
              <w:t>0.9% (-8.3%, 6.5%)</w:t>
            </w:r>
          </w:p>
        </w:tc>
        <w:tc>
          <w:tcPr>
            <w:tcW w:w="915" w:type="pct"/>
          </w:tcPr>
          <w:p w:rsidR="0079691F" w:rsidRPr="00FA4395" w:rsidRDefault="0079691F" w:rsidP="002E61B6">
            <w:pPr>
              <w:pStyle w:val="TableText0"/>
              <w:jc w:val="center"/>
              <w:rPr>
                <w:szCs w:val="20"/>
                <w:lang w:bidi="en-US"/>
              </w:rPr>
            </w:pPr>
            <w:r w:rsidRPr="00FA4395">
              <w:rPr>
                <w:szCs w:val="20"/>
                <w:lang w:bidi="en-US"/>
              </w:rPr>
              <w:t>0.97 (0.74,1.27)</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 xml:space="preserve">Any SAE possibly related to trial treatment </w:t>
            </w:r>
            <w:r w:rsidRPr="00FA4395">
              <w:rPr>
                <w:szCs w:val="20"/>
                <w:vertAlign w:val="superscript"/>
                <w:lang w:bidi="en-US"/>
              </w:rPr>
              <w:t>b</w:t>
            </w:r>
          </w:p>
        </w:tc>
        <w:tc>
          <w:tcPr>
            <w:tcW w:w="708" w:type="pct"/>
          </w:tcPr>
          <w:p w:rsidR="0079691F" w:rsidRPr="00FA4395" w:rsidRDefault="0079691F" w:rsidP="002E61B6">
            <w:pPr>
              <w:pStyle w:val="TableText0"/>
              <w:jc w:val="center"/>
              <w:rPr>
                <w:szCs w:val="20"/>
                <w:lang w:bidi="en-US"/>
              </w:rPr>
            </w:pPr>
            <w:r w:rsidRPr="00FA4395">
              <w:rPr>
                <w:szCs w:val="20"/>
                <w:lang w:bidi="en-US"/>
              </w:rPr>
              <w:t>23 (8.2)</w:t>
            </w:r>
          </w:p>
        </w:tc>
        <w:tc>
          <w:tcPr>
            <w:tcW w:w="629" w:type="pct"/>
          </w:tcPr>
          <w:p w:rsidR="0079691F" w:rsidRPr="00FA4395" w:rsidRDefault="0079691F" w:rsidP="002E61B6">
            <w:pPr>
              <w:pStyle w:val="TableText0"/>
              <w:jc w:val="center"/>
              <w:rPr>
                <w:szCs w:val="20"/>
                <w:lang w:bidi="en-US"/>
              </w:rPr>
            </w:pPr>
            <w:r w:rsidRPr="00FA4395">
              <w:rPr>
                <w:szCs w:val="20"/>
                <w:lang w:bidi="en-US"/>
              </w:rPr>
              <w:t>26 (9.4)</w:t>
            </w:r>
          </w:p>
        </w:tc>
        <w:tc>
          <w:tcPr>
            <w:tcW w:w="1021" w:type="pct"/>
          </w:tcPr>
          <w:p w:rsidR="0079691F" w:rsidRPr="00FA4395" w:rsidRDefault="0079691F" w:rsidP="002E61B6">
            <w:pPr>
              <w:pStyle w:val="TableText0"/>
              <w:jc w:val="center"/>
              <w:rPr>
                <w:szCs w:val="20"/>
              </w:rPr>
            </w:pPr>
            <w:r w:rsidRPr="00FA4395">
              <w:rPr>
                <w:szCs w:val="20"/>
                <w:lang w:bidi="en-US"/>
              </w:rPr>
              <w:t>1.1% (-5.9%, 3.6%)</w:t>
            </w:r>
          </w:p>
        </w:tc>
        <w:tc>
          <w:tcPr>
            <w:tcW w:w="915" w:type="pct"/>
          </w:tcPr>
          <w:p w:rsidR="0079691F" w:rsidRPr="00FA4395" w:rsidRDefault="0079691F" w:rsidP="002E61B6">
            <w:pPr>
              <w:pStyle w:val="TableText0"/>
              <w:jc w:val="center"/>
              <w:rPr>
                <w:szCs w:val="20"/>
                <w:lang w:bidi="en-US"/>
              </w:rPr>
            </w:pPr>
            <w:r w:rsidRPr="00FA4395">
              <w:rPr>
                <w:szCs w:val="20"/>
                <w:lang w:bidi="en-US"/>
              </w:rPr>
              <w:t>0.88 (0.51, 1.50)</w:t>
            </w:r>
          </w:p>
        </w:tc>
      </w:tr>
      <w:tr w:rsidR="0079691F" w:rsidRPr="00C93348" w:rsidTr="00FA4395">
        <w:trPr>
          <w:trHeight w:val="244"/>
        </w:trPr>
        <w:tc>
          <w:tcPr>
            <w:tcW w:w="1727" w:type="pct"/>
          </w:tcPr>
          <w:p w:rsidR="0079691F" w:rsidRPr="00FA4395" w:rsidRDefault="0079691F" w:rsidP="002E61B6">
            <w:pPr>
              <w:pStyle w:val="TableText0"/>
              <w:rPr>
                <w:szCs w:val="20"/>
                <w:lang w:bidi="en-US"/>
              </w:rPr>
            </w:pPr>
            <w:r w:rsidRPr="00FA4395">
              <w:rPr>
                <w:szCs w:val="20"/>
                <w:lang w:bidi="en-US"/>
              </w:rPr>
              <w:t>Any AE leading to discontinuation of trial treatment</w:t>
            </w:r>
          </w:p>
        </w:tc>
        <w:tc>
          <w:tcPr>
            <w:tcW w:w="708" w:type="pct"/>
          </w:tcPr>
          <w:p w:rsidR="0079691F" w:rsidRPr="00FA4395" w:rsidRDefault="0079691F" w:rsidP="002E61B6">
            <w:pPr>
              <w:pStyle w:val="TableText0"/>
              <w:jc w:val="center"/>
              <w:rPr>
                <w:szCs w:val="20"/>
                <w:lang w:bidi="en-US"/>
              </w:rPr>
            </w:pPr>
            <w:r w:rsidRPr="00FA4395">
              <w:rPr>
                <w:szCs w:val="20"/>
                <w:lang w:bidi="en-US"/>
              </w:rPr>
              <w:t>41 (14.7)</w:t>
            </w:r>
          </w:p>
        </w:tc>
        <w:tc>
          <w:tcPr>
            <w:tcW w:w="629" w:type="pct"/>
          </w:tcPr>
          <w:p w:rsidR="0079691F" w:rsidRPr="00FA4395" w:rsidRDefault="0079691F" w:rsidP="002E61B6">
            <w:pPr>
              <w:pStyle w:val="TableText0"/>
              <w:jc w:val="center"/>
              <w:rPr>
                <w:szCs w:val="20"/>
                <w:lang w:bidi="en-US"/>
              </w:rPr>
            </w:pPr>
            <w:r w:rsidRPr="00FA4395">
              <w:rPr>
                <w:szCs w:val="20"/>
                <w:lang w:bidi="en-US"/>
              </w:rPr>
              <w:t>50 (18.1)</w:t>
            </w:r>
          </w:p>
        </w:tc>
        <w:tc>
          <w:tcPr>
            <w:tcW w:w="1021" w:type="pct"/>
          </w:tcPr>
          <w:p w:rsidR="0079691F" w:rsidRPr="00FA4395" w:rsidRDefault="0079691F" w:rsidP="002E61B6">
            <w:pPr>
              <w:pStyle w:val="TableText0"/>
              <w:jc w:val="center"/>
              <w:rPr>
                <w:szCs w:val="20"/>
                <w:lang w:bidi="en-US"/>
              </w:rPr>
            </w:pPr>
            <w:r w:rsidRPr="00FA4395">
              <w:rPr>
                <w:szCs w:val="20"/>
                <w:lang w:bidi="en-US"/>
              </w:rPr>
              <w:t>-3.4% (-9.5%, 2.8%)</w:t>
            </w:r>
          </w:p>
        </w:tc>
        <w:tc>
          <w:tcPr>
            <w:tcW w:w="915" w:type="pct"/>
          </w:tcPr>
          <w:p w:rsidR="0079691F" w:rsidRPr="00FA4395" w:rsidRDefault="0079691F" w:rsidP="002E61B6">
            <w:pPr>
              <w:pStyle w:val="TableText0"/>
              <w:jc w:val="center"/>
              <w:rPr>
                <w:szCs w:val="20"/>
                <w:lang w:bidi="en-US"/>
              </w:rPr>
            </w:pPr>
            <w:r w:rsidRPr="00FA4395">
              <w:rPr>
                <w:szCs w:val="20"/>
                <w:lang w:bidi="en-US"/>
              </w:rPr>
              <w:t>0.81 (0.56, 1.19)</w:t>
            </w:r>
          </w:p>
        </w:tc>
      </w:tr>
      <w:tr w:rsidR="0079691F" w:rsidRPr="00C93348" w:rsidTr="00FA4395">
        <w:trPr>
          <w:trHeight w:val="244"/>
        </w:trPr>
        <w:tc>
          <w:tcPr>
            <w:tcW w:w="1727" w:type="pct"/>
          </w:tcPr>
          <w:p w:rsidR="0079691F" w:rsidRPr="00FA4395" w:rsidRDefault="0079691F" w:rsidP="002E61B6">
            <w:pPr>
              <w:pStyle w:val="TableText0"/>
              <w:rPr>
                <w:szCs w:val="20"/>
                <w:highlight w:val="yellow"/>
                <w:lang w:bidi="en-US"/>
              </w:rPr>
            </w:pPr>
            <w:r w:rsidRPr="00FA4395">
              <w:rPr>
                <w:szCs w:val="20"/>
                <w:lang w:bidi="en-US"/>
              </w:rPr>
              <w:t xml:space="preserve">Any AE leading to discontinuation of trial treatment, possibly related to trial </w:t>
            </w:r>
            <w:r w:rsidRPr="00FA4395">
              <w:rPr>
                <w:szCs w:val="20"/>
                <w:shd w:val="clear" w:color="auto" w:fill="FFFFFF" w:themeFill="background1"/>
                <w:lang w:bidi="en-US"/>
              </w:rPr>
              <w:t xml:space="preserve">treatment </w:t>
            </w:r>
            <w:r w:rsidRPr="00FA4395">
              <w:rPr>
                <w:szCs w:val="20"/>
                <w:shd w:val="clear" w:color="auto" w:fill="FFFFFF" w:themeFill="background1"/>
                <w:vertAlign w:val="superscript"/>
                <w:lang w:bidi="en-US"/>
              </w:rPr>
              <w:t>b</w:t>
            </w:r>
          </w:p>
        </w:tc>
        <w:tc>
          <w:tcPr>
            <w:tcW w:w="708" w:type="pct"/>
          </w:tcPr>
          <w:p w:rsidR="0079691F" w:rsidRPr="00FA4395" w:rsidRDefault="0079691F" w:rsidP="002E61B6">
            <w:pPr>
              <w:pStyle w:val="TableText0"/>
              <w:jc w:val="center"/>
              <w:rPr>
                <w:szCs w:val="20"/>
                <w:highlight w:val="yellow"/>
                <w:lang w:bidi="en-US"/>
              </w:rPr>
            </w:pPr>
            <w:r w:rsidRPr="00FA4395">
              <w:rPr>
                <w:szCs w:val="20"/>
                <w:lang w:bidi="en-US"/>
              </w:rPr>
              <w:t>27 (9.7)</w:t>
            </w:r>
          </w:p>
        </w:tc>
        <w:tc>
          <w:tcPr>
            <w:tcW w:w="629" w:type="pct"/>
          </w:tcPr>
          <w:p w:rsidR="0079691F" w:rsidRPr="00FA4395" w:rsidRDefault="0079691F" w:rsidP="002E61B6">
            <w:pPr>
              <w:pStyle w:val="TableText0"/>
              <w:jc w:val="center"/>
              <w:rPr>
                <w:szCs w:val="20"/>
                <w:highlight w:val="yellow"/>
                <w:lang w:bidi="en-US"/>
              </w:rPr>
            </w:pPr>
            <w:r w:rsidRPr="00FA4395">
              <w:rPr>
                <w:szCs w:val="20"/>
                <w:lang w:bidi="en-US"/>
              </w:rPr>
              <w:t>38 (13.7)</w:t>
            </w:r>
          </w:p>
        </w:tc>
        <w:tc>
          <w:tcPr>
            <w:tcW w:w="1021" w:type="pct"/>
          </w:tcPr>
          <w:p w:rsidR="0079691F" w:rsidRPr="00FA4395" w:rsidRDefault="0079691F" w:rsidP="002E61B6">
            <w:pPr>
              <w:pStyle w:val="TableText0"/>
              <w:jc w:val="center"/>
              <w:rPr>
                <w:szCs w:val="20"/>
                <w:lang w:bidi="en-US"/>
              </w:rPr>
            </w:pPr>
            <w:r w:rsidRPr="00FA4395">
              <w:rPr>
                <w:szCs w:val="20"/>
                <w:lang w:bidi="en-US"/>
              </w:rPr>
              <w:t>-4.0% (-9.4%, 1.3%)</w:t>
            </w:r>
          </w:p>
        </w:tc>
        <w:tc>
          <w:tcPr>
            <w:tcW w:w="915" w:type="pct"/>
          </w:tcPr>
          <w:p w:rsidR="0079691F" w:rsidRPr="00FA4395" w:rsidRDefault="0079691F" w:rsidP="002E61B6">
            <w:pPr>
              <w:pStyle w:val="TableText0"/>
              <w:jc w:val="center"/>
              <w:rPr>
                <w:szCs w:val="20"/>
                <w:lang w:bidi="en-US"/>
              </w:rPr>
            </w:pPr>
            <w:r w:rsidRPr="00FA4395">
              <w:rPr>
                <w:szCs w:val="20"/>
                <w:lang w:bidi="en-US"/>
              </w:rPr>
              <w:t>0.71 (0.44, 1.12)</w:t>
            </w:r>
          </w:p>
        </w:tc>
      </w:tr>
    </w:tbl>
    <w:p w:rsidR="0079691F" w:rsidRPr="00C93348" w:rsidRDefault="0079691F" w:rsidP="0079691F">
      <w:pPr>
        <w:pStyle w:val="TableFigureFooter"/>
        <w:rPr>
          <w:lang w:eastAsia="zh-CN"/>
        </w:rPr>
      </w:pPr>
      <w:r w:rsidRPr="00C93348">
        <w:rPr>
          <w:lang w:eastAsia="zh-CN"/>
        </w:rPr>
        <w:t>Source: Table 2.5.8, p71 of the resubmission</w:t>
      </w:r>
    </w:p>
    <w:p w:rsidR="0079691F" w:rsidRPr="00C93348" w:rsidRDefault="0079691F" w:rsidP="0079691F">
      <w:pPr>
        <w:pStyle w:val="TableFigureFooter"/>
        <w:rPr>
          <w:lang w:eastAsia="zh-CN"/>
        </w:rPr>
      </w:pPr>
      <w:r w:rsidRPr="00C93348">
        <w:rPr>
          <w:lang w:eastAsia="zh-CN"/>
        </w:rPr>
        <w:t xml:space="preserve">AE = adverse event; CI= confidence interval; EGFR-TKI = epidermal growth factor receptor tyrosine kinase inhibitor; SAE = serious adverse event, </w:t>
      </w:r>
      <w:r w:rsidR="00D72D9F" w:rsidRPr="00C93348">
        <w:rPr>
          <w:lang w:eastAsia="zh-CN"/>
        </w:rPr>
        <w:t>SC</w:t>
      </w:r>
      <w:r w:rsidRPr="00C93348">
        <w:rPr>
          <w:lang w:eastAsia="zh-CN"/>
        </w:rPr>
        <w:t xml:space="preserve"> = standard of care. </w:t>
      </w:r>
    </w:p>
    <w:p w:rsidR="0079691F" w:rsidRPr="00C93348" w:rsidRDefault="0079691F" w:rsidP="0079691F">
      <w:pPr>
        <w:pStyle w:val="TableFigureFooter"/>
        <w:rPr>
          <w:lang w:eastAsia="zh-CN"/>
        </w:rPr>
      </w:pPr>
      <w:r w:rsidRPr="00C93348">
        <w:rPr>
          <w:vertAlign w:val="superscript"/>
          <w:lang w:eastAsia="zh-CN"/>
        </w:rPr>
        <w:t>a</w:t>
      </w:r>
      <w:r w:rsidRPr="00C93348">
        <w:rPr>
          <w:lang w:eastAsia="zh-CN"/>
        </w:rPr>
        <w:t xml:space="preserve"> Patients with multiple events in the same category are counted only once in that category. Patients with events in more than one category are counted once in each category. Includes AEs with an onset date on or after the date of first dose and up to and including 28 days following the date of last dose of randomised treatment or the day before first administration of cross-over treatment.</w:t>
      </w:r>
    </w:p>
    <w:p w:rsidR="0079691F" w:rsidRPr="00C93348" w:rsidRDefault="0079691F" w:rsidP="0079691F">
      <w:pPr>
        <w:pStyle w:val="TableFigureFooter"/>
        <w:rPr>
          <w:lang w:eastAsia="zh-CN"/>
        </w:rPr>
      </w:pPr>
      <w:r w:rsidRPr="00C93348">
        <w:rPr>
          <w:vertAlign w:val="superscript"/>
          <w:lang w:eastAsia="zh-CN"/>
        </w:rPr>
        <w:t>b</w:t>
      </w:r>
      <w:r w:rsidRPr="00C93348">
        <w:rPr>
          <w:lang w:eastAsia="zh-CN"/>
        </w:rPr>
        <w:t xml:space="preserve"> As assessed by the Investigator. </w:t>
      </w:r>
    </w:p>
    <w:p w:rsidR="0079691F" w:rsidRPr="00C93348" w:rsidRDefault="0079691F" w:rsidP="0079691F">
      <w:pPr>
        <w:pStyle w:val="TableFigureFooter"/>
        <w:rPr>
          <w:lang w:eastAsia="zh-CN"/>
        </w:rPr>
      </w:pPr>
      <w:r w:rsidRPr="00C93348">
        <w:rPr>
          <w:vertAlign w:val="superscript"/>
          <w:lang w:eastAsia="zh-CN"/>
        </w:rPr>
        <w:t>c</w:t>
      </w:r>
      <w:r w:rsidRPr="00C93348">
        <w:rPr>
          <w:lang w:eastAsia="zh-CN"/>
        </w:rPr>
        <w:t xml:space="preserve"> Includes 1 patient (E3400004) who had pneumonia with a fatal outcome that was reported as a CTCAE grade 3 event.</w:t>
      </w:r>
    </w:p>
    <w:p w:rsidR="0079691F" w:rsidRPr="00C93348" w:rsidRDefault="0079691F" w:rsidP="0079691F">
      <w:pPr>
        <w:pStyle w:val="TableFigureFooter"/>
        <w:rPr>
          <w:lang w:eastAsia="zh-CN"/>
        </w:rPr>
      </w:pPr>
      <w:r w:rsidRPr="00C93348">
        <w:rPr>
          <w:lang w:eastAsia="zh-CN"/>
        </w:rPr>
        <w:t>Relative risk</w:t>
      </w:r>
      <w:r w:rsidRPr="00C93348">
        <w:t xml:space="preserve"> and risk difference were calculated during the evaluation, using R software.</w:t>
      </w:r>
    </w:p>
    <w:p w:rsidR="0079691F" w:rsidRPr="00C93348" w:rsidRDefault="0079691F" w:rsidP="0079691F">
      <w:pPr>
        <w:pStyle w:val="3-BodyText"/>
        <w:rPr>
          <w:lang w:eastAsia="zh-CN"/>
        </w:rPr>
      </w:pPr>
      <w:r w:rsidRPr="00C93348">
        <w:rPr>
          <w:lang w:eastAsia="zh-CN"/>
        </w:rPr>
        <w:t>Osimertinib was generally well-tolerated.</w:t>
      </w:r>
      <w:r w:rsidR="004A0B30" w:rsidRPr="00C93348">
        <w:rPr>
          <w:lang w:eastAsia="zh-CN"/>
        </w:rPr>
        <w:t xml:space="preserve"> </w:t>
      </w:r>
      <w:r w:rsidRPr="00C93348">
        <w:rPr>
          <w:lang w:eastAsia="zh-CN"/>
        </w:rPr>
        <w:t xml:space="preserve">There was a trend of a more favourable toxicity profile with the use of osimertinib compared to </w:t>
      </w:r>
      <w:r w:rsidR="00D72D9F" w:rsidRPr="00C93348">
        <w:rPr>
          <w:lang w:eastAsia="zh-CN"/>
        </w:rPr>
        <w:t>SC</w:t>
      </w:r>
      <w:r w:rsidRPr="00C93348">
        <w:rPr>
          <w:lang w:eastAsia="zh-CN"/>
        </w:rPr>
        <w:t xml:space="preserve"> (erlotinib/gefitinib). The point estimate consistently favoured osimertinib in terms of any grade </w:t>
      </w:r>
      <w:r w:rsidRPr="00C93348">
        <w:rPr>
          <w:rFonts w:cs="Calibri"/>
          <w:lang w:eastAsia="zh-CN"/>
        </w:rPr>
        <w:t>≥</w:t>
      </w:r>
      <w:r w:rsidRPr="00C93348">
        <w:rPr>
          <w:lang w:eastAsia="zh-CN"/>
        </w:rPr>
        <w:t xml:space="preserve"> 3 adverse events, any serious adverse events, and adverse events leading to treatment discontinuation with the difference reaching statistical significance for treatment related grade </w:t>
      </w:r>
      <w:r w:rsidRPr="00C93348">
        <w:rPr>
          <w:rFonts w:cs="Calibri"/>
          <w:lang w:eastAsia="zh-CN"/>
        </w:rPr>
        <w:t>≥</w:t>
      </w:r>
      <w:r w:rsidRPr="00C93348">
        <w:rPr>
          <w:lang w:eastAsia="zh-CN"/>
        </w:rPr>
        <w:t xml:space="preserve"> 3 adverse events.</w:t>
      </w:r>
    </w:p>
    <w:p w:rsidR="0079691F" w:rsidRPr="00C93348" w:rsidRDefault="0079691F" w:rsidP="0079691F">
      <w:pPr>
        <w:pStyle w:val="3-BodyText"/>
      </w:pPr>
      <w:r w:rsidRPr="00C93348">
        <w:t xml:space="preserve">The main AEs of special interest (AESIs) were cardiac AEs including QT prolongation (10% in the osimertinib arm versus 4.3% in the </w:t>
      </w:r>
      <w:r w:rsidR="00D72D9F" w:rsidRPr="00C93348">
        <w:t>SC</w:t>
      </w:r>
      <w:r w:rsidRPr="00C93348">
        <w:t xml:space="preserve"> arm) and cardiac failure (5.4% versus 2.2%). Most of the QT prolongation AEs were grade I and II. There were more grade 3 cardiac failure events </w:t>
      </w:r>
      <w:r w:rsidR="00435301">
        <w:t xml:space="preserve">in the </w:t>
      </w:r>
      <w:r w:rsidRPr="00C93348">
        <w:t xml:space="preserve">osimertinib </w:t>
      </w:r>
      <w:r w:rsidR="00435301">
        <w:t xml:space="preserve">arm </w:t>
      </w:r>
      <w:r w:rsidRPr="00C93348">
        <w:t xml:space="preserve">than </w:t>
      </w:r>
      <w:r w:rsidR="00435301">
        <w:t xml:space="preserve">in the </w:t>
      </w:r>
      <w:r w:rsidR="00D72D9F" w:rsidRPr="00C93348">
        <w:t>SC</w:t>
      </w:r>
      <w:r w:rsidRPr="00C93348">
        <w:t xml:space="preserve"> </w:t>
      </w:r>
      <w:r w:rsidR="00435301">
        <w:t xml:space="preserve">arm </w:t>
      </w:r>
      <w:r w:rsidRPr="00C93348">
        <w:t>(2.2% versus 0.4%).</w:t>
      </w:r>
      <w:bookmarkStart w:id="41" w:name="_Toc22897643"/>
      <w:bookmarkStart w:id="42" w:name="_Toc22898855"/>
      <w:r w:rsidRPr="00C93348">
        <w:t xml:space="preserve"> This has to be considered in the context that the key trial excluded patients with any cardiac abnormalities or those with increased risk of arrhythmic events. </w:t>
      </w:r>
    </w:p>
    <w:p w:rsidR="0079691F" w:rsidRPr="00C93348" w:rsidRDefault="0079691F" w:rsidP="00FA4395">
      <w:pPr>
        <w:pStyle w:val="3-BodyText"/>
      </w:pPr>
      <w:r w:rsidRPr="00C93348">
        <w:t xml:space="preserve">As was the case in the previous submission, the pattern of AEs reported in both treatment arms of FLAURA was as expected for an advanced NSCLC patient population receiving TKIs in the </w:t>
      </w:r>
      <w:r w:rsidR="000721B6" w:rsidRPr="00C93348">
        <w:t>first-line</w:t>
      </w:r>
      <w:r w:rsidRPr="00C93348">
        <w:t xml:space="preserve"> setting. Safety findings in the osimertinib arm were broadly consistent with the known safety profile of osimertinib, with no new safety signals identified.</w:t>
      </w:r>
    </w:p>
    <w:p w:rsidR="0079691F" w:rsidRPr="00C93348" w:rsidRDefault="0079691F" w:rsidP="0079691F">
      <w:pPr>
        <w:pStyle w:val="4-SubsectionHeading"/>
      </w:pPr>
      <w:bookmarkStart w:id="43" w:name="_Toc40094108"/>
      <w:bookmarkStart w:id="44" w:name="_Toc40709209"/>
      <w:r w:rsidRPr="00C93348">
        <w:t>Benefits/harms</w:t>
      </w:r>
      <w:bookmarkEnd w:id="41"/>
      <w:bookmarkEnd w:id="42"/>
      <w:bookmarkEnd w:id="43"/>
      <w:bookmarkEnd w:id="44"/>
    </w:p>
    <w:p w:rsidR="0079691F" w:rsidRPr="00C93348" w:rsidRDefault="0079691F" w:rsidP="0079691F">
      <w:pPr>
        <w:pStyle w:val="3-BodyText"/>
      </w:pPr>
      <w:r w:rsidRPr="00C93348">
        <w:t xml:space="preserve">A summary of benefits and harms for osimertinib versus erlotinib/gefitinib is presented in Table 8. </w:t>
      </w:r>
    </w:p>
    <w:p w:rsidR="0079691F" w:rsidRPr="00C93348" w:rsidRDefault="0079691F" w:rsidP="0079691F">
      <w:pPr>
        <w:pStyle w:val="TableFigureHeading"/>
      </w:pPr>
      <w:r w:rsidRPr="00C93348">
        <w:t xml:space="preserve">Table </w:t>
      </w:r>
      <w:r w:rsidR="00CC4472">
        <w:rPr>
          <w:noProof/>
        </w:rPr>
        <w:t>8</w:t>
      </w:r>
      <w:r w:rsidRPr="00C93348">
        <w:t>: Summary of comparative benefits and harms for osimertinib versus erlotinib/gefitinib</w:t>
      </w:r>
    </w:p>
    <w:tbl>
      <w:tblPr>
        <w:tblStyle w:val="TableGrid"/>
        <w:tblW w:w="5000" w:type="pct"/>
        <w:tblCellMar>
          <w:left w:w="28" w:type="dxa"/>
          <w:right w:w="28" w:type="dxa"/>
        </w:tblCellMar>
        <w:tblLook w:val="04A0" w:firstRow="1" w:lastRow="0" w:firstColumn="1" w:lastColumn="0" w:noHBand="0" w:noVBand="1"/>
      </w:tblPr>
      <w:tblGrid>
        <w:gridCol w:w="2466"/>
        <w:gridCol w:w="1446"/>
        <w:gridCol w:w="1515"/>
        <w:gridCol w:w="2007"/>
        <w:gridCol w:w="1583"/>
      </w:tblGrid>
      <w:tr w:rsidR="0079691F" w:rsidRPr="00FA4395" w:rsidTr="00FA4395">
        <w:trPr>
          <w:trHeight w:val="20"/>
        </w:trPr>
        <w:tc>
          <w:tcPr>
            <w:tcW w:w="5000" w:type="pct"/>
            <w:gridSpan w:val="5"/>
            <w:shd w:val="clear" w:color="auto" w:fill="auto"/>
          </w:tcPr>
          <w:p w:rsidR="0079691F" w:rsidRPr="00FA4395" w:rsidRDefault="0079691F" w:rsidP="002E61B6">
            <w:pPr>
              <w:pStyle w:val="TableText0"/>
              <w:widowControl w:val="0"/>
              <w:rPr>
                <w:b/>
                <w:szCs w:val="20"/>
              </w:rPr>
            </w:pPr>
            <w:r w:rsidRPr="00FA4395">
              <w:rPr>
                <w:b/>
                <w:szCs w:val="20"/>
              </w:rPr>
              <w:t>Benefits</w:t>
            </w:r>
          </w:p>
        </w:tc>
      </w:tr>
      <w:tr w:rsidR="0079691F" w:rsidRPr="00FA4395" w:rsidTr="00FA4395">
        <w:trPr>
          <w:trHeight w:val="20"/>
        </w:trPr>
        <w:tc>
          <w:tcPr>
            <w:tcW w:w="5000" w:type="pct"/>
            <w:gridSpan w:val="5"/>
            <w:shd w:val="clear" w:color="auto" w:fill="E4EBF4"/>
          </w:tcPr>
          <w:p w:rsidR="0079691F" w:rsidRPr="00FA4395" w:rsidRDefault="0079691F" w:rsidP="002E61B6">
            <w:pPr>
              <w:pStyle w:val="TableText0"/>
              <w:widowControl w:val="0"/>
              <w:rPr>
                <w:b/>
                <w:szCs w:val="20"/>
              </w:rPr>
            </w:pPr>
            <w:r w:rsidRPr="00FA4395">
              <w:rPr>
                <w:b/>
                <w:szCs w:val="20"/>
              </w:rPr>
              <w:t>PFS</w:t>
            </w:r>
            <w:r w:rsidRPr="00FA4395">
              <w:rPr>
                <w:b/>
                <w:szCs w:val="20"/>
                <w:vertAlign w:val="superscript"/>
              </w:rPr>
              <w:t>a</w:t>
            </w:r>
            <w:r w:rsidRPr="00FA4395">
              <w:rPr>
                <w:b/>
                <w:szCs w:val="20"/>
              </w:rPr>
              <w:t xml:space="preserve"> (Data cut-off June 2017) </w:t>
            </w:r>
          </w:p>
        </w:tc>
      </w:tr>
      <w:tr w:rsidR="0079691F" w:rsidRPr="00FA4395" w:rsidTr="00FA4395">
        <w:trPr>
          <w:trHeight w:val="20"/>
        </w:trPr>
        <w:tc>
          <w:tcPr>
            <w:tcW w:w="1367" w:type="pct"/>
            <w:tcBorders>
              <w:bottom w:val="single" w:sz="4" w:space="0" w:color="auto"/>
            </w:tcBorders>
            <w:shd w:val="clear" w:color="auto" w:fill="E4EBF4"/>
          </w:tcPr>
          <w:p w:rsidR="0079691F" w:rsidRPr="00FA4395" w:rsidRDefault="0079691F" w:rsidP="002E61B6">
            <w:pPr>
              <w:pStyle w:val="TableText0"/>
              <w:widowControl w:val="0"/>
              <w:rPr>
                <w:b/>
                <w:szCs w:val="20"/>
              </w:rPr>
            </w:pPr>
            <w:r w:rsidRPr="00FA4395">
              <w:rPr>
                <w:b/>
                <w:szCs w:val="20"/>
              </w:rPr>
              <w:t>Event</w:t>
            </w:r>
          </w:p>
        </w:tc>
        <w:tc>
          <w:tcPr>
            <w:tcW w:w="802" w:type="pct"/>
            <w:tcBorders>
              <w:bottom w:val="single" w:sz="4" w:space="0" w:color="auto"/>
            </w:tcBorders>
            <w:shd w:val="clear" w:color="auto" w:fill="E4EBF4"/>
          </w:tcPr>
          <w:p w:rsidR="0079691F" w:rsidRPr="00FA4395" w:rsidRDefault="0079691F" w:rsidP="002E61B6">
            <w:pPr>
              <w:pStyle w:val="TableText0"/>
              <w:widowControl w:val="0"/>
              <w:jc w:val="center"/>
              <w:rPr>
                <w:b/>
                <w:szCs w:val="20"/>
              </w:rPr>
            </w:pPr>
            <w:r w:rsidRPr="00FA4395">
              <w:rPr>
                <w:b/>
                <w:szCs w:val="20"/>
              </w:rPr>
              <w:t>Osimertinib</w:t>
            </w:r>
          </w:p>
        </w:tc>
        <w:tc>
          <w:tcPr>
            <w:tcW w:w="840" w:type="pct"/>
            <w:tcBorders>
              <w:bottom w:val="single" w:sz="4" w:space="0" w:color="auto"/>
            </w:tcBorders>
            <w:shd w:val="clear" w:color="auto" w:fill="E4EBF4"/>
          </w:tcPr>
          <w:p w:rsidR="0079691F" w:rsidRPr="00FA4395" w:rsidRDefault="00D72D9F" w:rsidP="002E61B6">
            <w:pPr>
              <w:pStyle w:val="TableText0"/>
              <w:widowControl w:val="0"/>
              <w:jc w:val="center"/>
              <w:rPr>
                <w:b/>
                <w:szCs w:val="20"/>
              </w:rPr>
            </w:pPr>
            <w:r w:rsidRPr="00FA4395">
              <w:rPr>
                <w:b/>
                <w:szCs w:val="20"/>
              </w:rPr>
              <w:t>SC</w:t>
            </w:r>
          </w:p>
        </w:tc>
        <w:tc>
          <w:tcPr>
            <w:tcW w:w="1113" w:type="pct"/>
            <w:tcBorders>
              <w:bottom w:val="single" w:sz="4" w:space="0" w:color="auto"/>
            </w:tcBorders>
            <w:shd w:val="clear" w:color="auto" w:fill="E4EBF4"/>
          </w:tcPr>
          <w:p w:rsidR="0079691F" w:rsidRPr="00FA4395" w:rsidRDefault="0079691F" w:rsidP="002E61B6">
            <w:pPr>
              <w:pStyle w:val="TableText0"/>
              <w:widowControl w:val="0"/>
              <w:jc w:val="center"/>
              <w:rPr>
                <w:b/>
                <w:szCs w:val="20"/>
              </w:rPr>
            </w:pPr>
            <w:r w:rsidRPr="00FA4395">
              <w:rPr>
                <w:b/>
                <w:szCs w:val="20"/>
              </w:rPr>
              <w:t>Absolute Difference</w:t>
            </w:r>
          </w:p>
        </w:tc>
        <w:tc>
          <w:tcPr>
            <w:tcW w:w="878" w:type="pct"/>
            <w:tcBorders>
              <w:bottom w:val="single" w:sz="4" w:space="0" w:color="auto"/>
            </w:tcBorders>
            <w:shd w:val="clear" w:color="auto" w:fill="E4EBF4"/>
          </w:tcPr>
          <w:p w:rsidR="0079691F" w:rsidRPr="00FA4395" w:rsidRDefault="0079691F" w:rsidP="002E61B6">
            <w:pPr>
              <w:pStyle w:val="TableText0"/>
              <w:widowControl w:val="0"/>
              <w:jc w:val="center"/>
              <w:rPr>
                <w:b/>
                <w:szCs w:val="20"/>
              </w:rPr>
            </w:pPr>
            <w:r w:rsidRPr="00FA4395">
              <w:rPr>
                <w:b/>
                <w:szCs w:val="20"/>
              </w:rPr>
              <w:t>HR (95% CI)</w:t>
            </w:r>
          </w:p>
        </w:tc>
      </w:tr>
      <w:tr w:rsidR="0079691F" w:rsidRPr="00FA4395" w:rsidTr="00FA4395">
        <w:trPr>
          <w:trHeight w:val="20"/>
        </w:trPr>
        <w:tc>
          <w:tcPr>
            <w:tcW w:w="1367" w:type="pct"/>
            <w:tcBorders>
              <w:bottom w:val="single" w:sz="4" w:space="0" w:color="auto"/>
              <w:right w:val="single" w:sz="4" w:space="0" w:color="auto"/>
            </w:tcBorders>
            <w:shd w:val="clear" w:color="auto" w:fill="E4EBF4"/>
          </w:tcPr>
          <w:p w:rsidR="0079691F" w:rsidRPr="00FA4395" w:rsidRDefault="0079691F" w:rsidP="002E61B6">
            <w:pPr>
              <w:pStyle w:val="TableText0"/>
              <w:widowControl w:val="0"/>
              <w:rPr>
                <w:szCs w:val="20"/>
              </w:rPr>
            </w:pPr>
            <w:r w:rsidRPr="00FA4395">
              <w:rPr>
                <w:szCs w:val="20"/>
              </w:rPr>
              <w:t>Progressed or died, n (%)</w:t>
            </w:r>
          </w:p>
        </w:tc>
        <w:tc>
          <w:tcPr>
            <w:tcW w:w="802"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rFonts w:cs="Times New Roman"/>
                <w:szCs w:val="20"/>
              </w:rPr>
              <w:t>136/279 (48.7%)</w:t>
            </w:r>
          </w:p>
        </w:tc>
        <w:tc>
          <w:tcPr>
            <w:tcW w:w="840"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rFonts w:cs="Times New Roman"/>
                <w:szCs w:val="20"/>
              </w:rPr>
              <w:t>206/277 (74.4%)</w:t>
            </w:r>
          </w:p>
        </w:tc>
        <w:tc>
          <w:tcPr>
            <w:tcW w:w="1113"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p>
        </w:tc>
        <w:tc>
          <w:tcPr>
            <w:tcW w:w="878" w:type="pct"/>
            <w:tcBorders>
              <w:left w:val="single" w:sz="4" w:space="0" w:color="auto"/>
              <w:bottom w:val="single" w:sz="4" w:space="0" w:color="auto"/>
            </w:tcBorders>
            <w:shd w:val="clear" w:color="auto" w:fill="E4EBF4"/>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bottom w:val="single" w:sz="4" w:space="0" w:color="auto"/>
              <w:right w:val="single" w:sz="4" w:space="0" w:color="auto"/>
            </w:tcBorders>
            <w:shd w:val="clear" w:color="auto" w:fill="E4EBF4"/>
          </w:tcPr>
          <w:p w:rsidR="0079691F" w:rsidRPr="00FA4395" w:rsidRDefault="0079691F" w:rsidP="002E61B6">
            <w:pPr>
              <w:pStyle w:val="TableText0"/>
              <w:widowControl w:val="0"/>
              <w:rPr>
                <w:szCs w:val="20"/>
              </w:rPr>
            </w:pPr>
            <w:r w:rsidRPr="00FA4395">
              <w:rPr>
                <w:szCs w:val="20"/>
              </w:rPr>
              <w:t>Median PFS (95% CI), months</w:t>
            </w:r>
          </w:p>
        </w:tc>
        <w:tc>
          <w:tcPr>
            <w:tcW w:w="802"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lang w:eastAsia="zh-CN"/>
              </w:rPr>
            </w:pPr>
            <w:r w:rsidRPr="00FA4395">
              <w:rPr>
                <w:szCs w:val="20"/>
                <w:lang w:eastAsia="zh-CN"/>
              </w:rPr>
              <w:t xml:space="preserve">18.9 </w:t>
            </w:r>
          </w:p>
          <w:p w:rsidR="0079691F" w:rsidRPr="00FA4395" w:rsidRDefault="0079691F" w:rsidP="002E61B6">
            <w:pPr>
              <w:pStyle w:val="TableText0"/>
              <w:widowControl w:val="0"/>
              <w:jc w:val="center"/>
              <w:rPr>
                <w:rFonts w:cs="Times New Roman"/>
                <w:szCs w:val="20"/>
              </w:rPr>
            </w:pPr>
            <w:r w:rsidRPr="00FA4395">
              <w:rPr>
                <w:szCs w:val="20"/>
                <w:lang w:eastAsia="zh-CN"/>
              </w:rPr>
              <w:t>(15.2, 21.4)</w:t>
            </w:r>
          </w:p>
        </w:tc>
        <w:tc>
          <w:tcPr>
            <w:tcW w:w="840"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lang w:eastAsia="zh-CN"/>
              </w:rPr>
            </w:pPr>
            <w:r w:rsidRPr="00FA4395">
              <w:rPr>
                <w:szCs w:val="20"/>
                <w:lang w:eastAsia="zh-CN"/>
              </w:rPr>
              <w:t>10.2</w:t>
            </w:r>
          </w:p>
          <w:p w:rsidR="0079691F" w:rsidRPr="00FA4395" w:rsidRDefault="0079691F" w:rsidP="002E61B6">
            <w:pPr>
              <w:pStyle w:val="TableText0"/>
              <w:widowControl w:val="0"/>
              <w:jc w:val="center"/>
              <w:rPr>
                <w:rFonts w:cs="Times New Roman"/>
                <w:szCs w:val="20"/>
              </w:rPr>
            </w:pPr>
            <w:r w:rsidRPr="00FA4395">
              <w:rPr>
                <w:szCs w:val="20"/>
                <w:lang w:eastAsia="zh-CN"/>
              </w:rPr>
              <w:t>(9.6, 11.1)</w:t>
            </w:r>
          </w:p>
        </w:tc>
        <w:tc>
          <w:tcPr>
            <w:tcW w:w="1113" w:type="pct"/>
            <w:tcBorders>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8.7</w:t>
            </w:r>
          </w:p>
        </w:tc>
        <w:tc>
          <w:tcPr>
            <w:tcW w:w="878" w:type="pct"/>
            <w:tcBorders>
              <w:left w:val="single" w:sz="4" w:space="0" w:color="auto"/>
              <w:bottom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0.46 (0.37, 0.57)</w:t>
            </w:r>
          </w:p>
          <w:p w:rsidR="0079691F" w:rsidRPr="00FA4395" w:rsidRDefault="0079691F" w:rsidP="002E61B6">
            <w:pPr>
              <w:pStyle w:val="TableText0"/>
              <w:widowControl w:val="0"/>
              <w:jc w:val="center"/>
              <w:rPr>
                <w:szCs w:val="20"/>
              </w:rPr>
            </w:pPr>
            <w:r w:rsidRPr="00FA4395">
              <w:rPr>
                <w:szCs w:val="20"/>
              </w:rPr>
              <w:t>P&lt;0.0001</w:t>
            </w:r>
          </w:p>
        </w:tc>
      </w:tr>
      <w:tr w:rsidR="0079691F" w:rsidRPr="00FA4395" w:rsidTr="00FA4395">
        <w:trPr>
          <w:trHeight w:val="20"/>
        </w:trPr>
        <w:tc>
          <w:tcPr>
            <w:tcW w:w="1367" w:type="pct"/>
            <w:tcBorders>
              <w:top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rPr>
                <w:szCs w:val="20"/>
              </w:rPr>
            </w:pPr>
            <w:r w:rsidRPr="00FA4395">
              <w:rPr>
                <w:szCs w:val="20"/>
              </w:rPr>
              <w:t>% progression-free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 xml:space="preserve">68.2% </w:t>
            </w:r>
            <w:r w:rsidRPr="00FA4395">
              <w:rPr>
                <w:szCs w:val="20"/>
              </w:rPr>
              <w:br/>
              <w:t>(62.3%, 73.5%)</w:t>
            </w:r>
          </w:p>
        </w:tc>
        <w:tc>
          <w:tcPr>
            <w:tcW w:w="840"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 xml:space="preserve">42.3% </w:t>
            </w:r>
            <w:r w:rsidRPr="00FA4395">
              <w:rPr>
                <w:szCs w:val="20"/>
              </w:rPr>
              <w:br/>
              <w:t>(36.3%, 48.2%)</w:t>
            </w:r>
          </w:p>
        </w:tc>
        <w:tc>
          <w:tcPr>
            <w:tcW w:w="1113"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25.9%</w:t>
            </w:r>
          </w:p>
        </w:tc>
        <w:tc>
          <w:tcPr>
            <w:tcW w:w="878" w:type="pct"/>
            <w:tcBorders>
              <w:top w:val="single" w:sz="4" w:space="0" w:color="auto"/>
              <w:left w:val="single" w:sz="4" w:space="0" w:color="auto"/>
              <w:bottom w:val="single" w:sz="4" w:space="0" w:color="auto"/>
            </w:tcBorders>
            <w:shd w:val="clear" w:color="auto" w:fill="E4EBF4"/>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top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rPr>
                <w:szCs w:val="20"/>
              </w:rPr>
            </w:pPr>
            <w:r w:rsidRPr="00FA4395">
              <w:rPr>
                <w:szCs w:val="20"/>
              </w:rPr>
              <w:t>% progression-free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 xml:space="preserve">35.8% </w:t>
            </w:r>
            <w:r w:rsidRPr="00FA4395">
              <w:rPr>
                <w:szCs w:val="20"/>
              </w:rPr>
              <w:br/>
              <w:t>(25.6%, 46.2%)</w:t>
            </w:r>
          </w:p>
        </w:tc>
        <w:tc>
          <w:tcPr>
            <w:tcW w:w="840"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szCs w:val="20"/>
              </w:rPr>
            </w:pPr>
            <w:r w:rsidRPr="00FA4395">
              <w:rPr>
                <w:szCs w:val="20"/>
              </w:rPr>
              <w:t xml:space="preserve">8.4% </w:t>
            </w:r>
            <w:r w:rsidRPr="00FA4395">
              <w:rPr>
                <w:szCs w:val="20"/>
              </w:rPr>
              <w:br/>
              <w:t>(3.5%, 15.9%)</w:t>
            </w:r>
          </w:p>
        </w:tc>
        <w:tc>
          <w:tcPr>
            <w:tcW w:w="1113" w:type="pct"/>
            <w:tcBorders>
              <w:top w:val="single" w:sz="4" w:space="0" w:color="auto"/>
              <w:left w:val="single" w:sz="4" w:space="0" w:color="auto"/>
              <w:bottom w:val="single" w:sz="4" w:space="0" w:color="auto"/>
              <w:right w:val="single" w:sz="4" w:space="0" w:color="auto"/>
            </w:tcBorders>
            <w:shd w:val="clear" w:color="auto" w:fill="E4EBF4"/>
          </w:tcPr>
          <w:p w:rsidR="0079691F" w:rsidRPr="00FA4395" w:rsidRDefault="0079691F" w:rsidP="002E61B6">
            <w:pPr>
              <w:pStyle w:val="TableText0"/>
              <w:widowControl w:val="0"/>
              <w:jc w:val="center"/>
              <w:rPr>
                <w:rFonts w:cs="Times New Roman"/>
                <w:szCs w:val="20"/>
              </w:rPr>
            </w:pPr>
            <w:r w:rsidRPr="00FA4395">
              <w:rPr>
                <w:rFonts w:cs="Times New Roman"/>
                <w:szCs w:val="20"/>
              </w:rPr>
              <w:t>27.4%</w:t>
            </w:r>
          </w:p>
        </w:tc>
        <w:tc>
          <w:tcPr>
            <w:tcW w:w="878" w:type="pct"/>
            <w:tcBorders>
              <w:top w:val="single" w:sz="4" w:space="0" w:color="auto"/>
              <w:left w:val="single" w:sz="4" w:space="0" w:color="auto"/>
              <w:bottom w:val="single" w:sz="4" w:space="0" w:color="auto"/>
            </w:tcBorders>
            <w:shd w:val="clear" w:color="auto" w:fill="E4EBF4"/>
          </w:tcPr>
          <w:p w:rsidR="0079691F" w:rsidRPr="00FA4395" w:rsidRDefault="0079691F" w:rsidP="002E61B6">
            <w:pPr>
              <w:pStyle w:val="TableText0"/>
              <w:widowControl w:val="0"/>
              <w:jc w:val="center"/>
              <w:rPr>
                <w:szCs w:val="20"/>
              </w:rPr>
            </w:pPr>
          </w:p>
        </w:tc>
      </w:tr>
      <w:tr w:rsidR="0079691F" w:rsidRPr="00FA4395" w:rsidTr="00FA439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Overall survival</w:t>
            </w:r>
            <w:r w:rsidRPr="00FA4395">
              <w:rPr>
                <w:szCs w:val="20"/>
                <w:vertAlign w:val="superscript"/>
              </w:rPr>
              <w:t>b</w:t>
            </w:r>
            <w:r w:rsidRPr="00FA4395">
              <w:rPr>
                <w:szCs w:val="20"/>
              </w:rPr>
              <w:t xml:space="preserve"> (Data cut-off June 2019)</w:t>
            </w: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rPr>
            </w:pPr>
            <w:r w:rsidRPr="00FA4395">
              <w:rPr>
                <w:rFonts w:cs="Arial"/>
                <w:szCs w:val="20"/>
                <w:lang w:eastAsia="zh-CN" w:bidi="en-US"/>
              </w:rPr>
              <w:t>155/279 (55.6)</w:t>
            </w:r>
          </w:p>
        </w:tc>
        <w:tc>
          <w:tcPr>
            <w:tcW w:w="84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rPr>
            </w:pPr>
            <w:r w:rsidRPr="00FA4395">
              <w:rPr>
                <w:rFonts w:cs="Arial"/>
                <w:szCs w:val="20"/>
                <w:lang w:eastAsia="zh-CN" w:bidi="en-US"/>
              </w:rPr>
              <w:t>166/277 (59.9)</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Median OS (95% CI) months</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rFonts w:cs="Times New Roman"/>
                <w:szCs w:val="20"/>
              </w:rPr>
            </w:pPr>
            <w:r w:rsidRPr="00FA4395">
              <w:rPr>
                <w:szCs w:val="20"/>
                <w:lang w:eastAsia="zh-CN" w:bidi="en-US"/>
              </w:rPr>
              <w:t>38.6 (34.5, 41.8)</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rFonts w:cs="Times New Roman"/>
                <w:szCs w:val="20"/>
              </w:rPr>
            </w:pPr>
            <w:r w:rsidRPr="00FA4395">
              <w:rPr>
                <w:szCs w:val="20"/>
                <w:lang w:eastAsia="zh-CN" w:bidi="en-US"/>
              </w:rPr>
              <w:t>31.8 (26.6, 36.0)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6.8</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0.799 (0.640, 0.996)</w:t>
            </w:r>
          </w:p>
          <w:p w:rsidR="0079691F" w:rsidRPr="00FA4395" w:rsidRDefault="0079691F" w:rsidP="002E61B6">
            <w:pPr>
              <w:pStyle w:val="TableText0"/>
              <w:widowControl w:val="0"/>
              <w:jc w:val="center"/>
              <w:rPr>
                <w:szCs w:val="20"/>
                <w:vertAlign w:val="superscript"/>
              </w:rPr>
            </w:pPr>
            <w:r w:rsidRPr="00FA4395">
              <w:rPr>
                <w:szCs w:val="20"/>
              </w:rPr>
              <w:t>P= 0.0462</w:t>
            </w:r>
            <w:r w:rsidRPr="00FA4395">
              <w:rPr>
                <w:szCs w:val="20"/>
                <w:vertAlign w:val="superscript"/>
              </w:rPr>
              <w:t>c</w:t>
            </w: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 xml:space="preserve">% Alive at 12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 xml:space="preserve">89.1% </w:t>
            </w:r>
            <w:r w:rsidRPr="00FA4395">
              <w:rPr>
                <w:szCs w:val="20"/>
              </w:rPr>
              <w:br/>
              <w:t>(84.7%, 92.2%)</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 xml:space="preserve">82.5% </w:t>
            </w:r>
            <w:r w:rsidRPr="00FA4395">
              <w:rPr>
                <w:szCs w:val="20"/>
              </w:rPr>
              <w:br/>
              <w:t>(77.4%, 86.5%)</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6.6%</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 Alive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lang w:eastAsia="zh-CN" w:bidi="en-US"/>
              </w:rPr>
            </w:pPr>
            <w:r w:rsidRPr="00FA4395">
              <w:rPr>
                <w:szCs w:val="20"/>
                <w:lang w:eastAsia="zh-CN" w:bidi="en-US"/>
              </w:rPr>
              <w:t xml:space="preserve">74.2% </w:t>
            </w:r>
          </w:p>
          <w:p w:rsidR="0079691F" w:rsidRPr="00FA4395" w:rsidRDefault="0079691F" w:rsidP="002E61B6">
            <w:pPr>
              <w:pStyle w:val="TableText0"/>
              <w:widowControl w:val="0"/>
              <w:jc w:val="center"/>
              <w:rPr>
                <w:szCs w:val="20"/>
              </w:rPr>
            </w:pPr>
            <w:r w:rsidRPr="00FA4395">
              <w:rPr>
                <w:szCs w:val="20"/>
                <w:lang w:eastAsia="zh-CN" w:bidi="en-US"/>
              </w:rPr>
              <w:t>(68.6%, 79.0%)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lang w:eastAsia="zh-CN" w:bidi="en-US"/>
              </w:rPr>
            </w:pPr>
            <w:r w:rsidRPr="00FA4395">
              <w:rPr>
                <w:szCs w:val="20"/>
                <w:lang w:eastAsia="zh-CN" w:bidi="en-US"/>
              </w:rPr>
              <w:t>58.9%</w:t>
            </w:r>
          </w:p>
          <w:p w:rsidR="0079691F" w:rsidRPr="00FA4395" w:rsidRDefault="0079691F" w:rsidP="002E61B6">
            <w:pPr>
              <w:pStyle w:val="TableText0"/>
              <w:widowControl w:val="0"/>
              <w:jc w:val="center"/>
              <w:rPr>
                <w:szCs w:val="20"/>
              </w:rPr>
            </w:pPr>
            <w:r w:rsidRPr="00FA4395">
              <w:rPr>
                <w:szCs w:val="20"/>
                <w:lang w:eastAsia="zh-CN" w:bidi="en-US"/>
              </w:rPr>
              <w:t xml:space="preserve"> (52.7%, 64.6%)</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15.3%</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 Alive at 36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rFonts w:cs="Arial"/>
                <w:szCs w:val="20"/>
                <w:lang w:eastAsia="zh-CN" w:bidi="en-US"/>
              </w:rPr>
            </w:pPr>
            <w:r w:rsidRPr="00FA4395">
              <w:rPr>
                <w:rFonts w:cs="Arial"/>
                <w:szCs w:val="20"/>
                <w:lang w:eastAsia="zh-CN" w:bidi="en-US"/>
              </w:rPr>
              <w:t>53.7%</w:t>
            </w:r>
          </w:p>
          <w:p w:rsidR="0079691F" w:rsidRPr="00FA4395" w:rsidRDefault="0079691F" w:rsidP="002E61B6">
            <w:pPr>
              <w:pStyle w:val="TableText0"/>
              <w:widowControl w:val="0"/>
              <w:jc w:val="center"/>
              <w:rPr>
                <w:szCs w:val="20"/>
                <w:lang w:eastAsia="zh-CN" w:bidi="en-US"/>
              </w:rPr>
            </w:pPr>
            <w:r w:rsidRPr="00FA4395">
              <w:rPr>
                <w:rFonts w:cs="Arial"/>
                <w:szCs w:val="20"/>
                <w:lang w:eastAsia="zh-CN" w:bidi="en-US"/>
              </w:rPr>
              <w:t xml:space="preserve"> (47.5%, 59.5%)</w:t>
            </w:r>
          </w:p>
        </w:tc>
        <w:tc>
          <w:tcPr>
            <w:tcW w:w="84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rFonts w:cs="Arial"/>
                <w:szCs w:val="20"/>
                <w:lang w:eastAsia="zh-CN" w:bidi="en-US"/>
              </w:rPr>
            </w:pPr>
            <w:r w:rsidRPr="00FA4395">
              <w:rPr>
                <w:rFonts w:cs="Arial"/>
                <w:szCs w:val="20"/>
                <w:lang w:eastAsia="zh-CN" w:bidi="en-US"/>
              </w:rPr>
              <w:t>44.1%</w:t>
            </w:r>
          </w:p>
          <w:p w:rsidR="0079691F" w:rsidRPr="00FA4395" w:rsidRDefault="0079691F" w:rsidP="002E61B6">
            <w:pPr>
              <w:pStyle w:val="TableText0"/>
              <w:widowControl w:val="0"/>
              <w:jc w:val="center"/>
              <w:rPr>
                <w:szCs w:val="20"/>
                <w:lang w:eastAsia="zh-CN" w:bidi="en-US"/>
              </w:rPr>
            </w:pPr>
            <w:r w:rsidRPr="00FA4395">
              <w:rPr>
                <w:rFonts w:cs="Arial"/>
                <w:szCs w:val="20"/>
                <w:lang w:eastAsia="zh-CN" w:bidi="en-US"/>
              </w:rPr>
              <w:t xml:space="preserve"> (38.0%, 50.1%)</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9.6%</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r>
      <w:tr w:rsidR="0079691F" w:rsidRPr="00FA4395" w:rsidTr="00FA4395">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rPr>
                <w:szCs w:val="20"/>
              </w:rPr>
            </w:pPr>
            <w:r w:rsidRPr="00FA4395">
              <w:rPr>
                <w:szCs w:val="20"/>
              </w:rPr>
              <w:t>% Alive at 48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rPr>
            </w:pPr>
            <w:r w:rsidRPr="00FA4395">
              <w:rPr>
                <w:szCs w:val="20"/>
              </w:rPr>
              <w:t xml:space="preserve">36.2% </w:t>
            </w:r>
          </w:p>
          <w:p w:rsidR="0079691F" w:rsidRPr="00FA4395" w:rsidRDefault="0079691F" w:rsidP="002E61B6">
            <w:pPr>
              <w:pStyle w:val="TableText0"/>
              <w:widowControl w:val="0"/>
              <w:jc w:val="center"/>
              <w:rPr>
                <w:szCs w:val="20"/>
                <w:lang w:eastAsia="zh-CN" w:bidi="en-US"/>
              </w:rPr>
            </w:pPr>
            <w:r w:rsidRPr="00FA4395">
              <w:rPr>
                <w:szCs w:val="20"/>
              </w:rPr>
              <w:t>(28.6%, 43.7%)</w:t>
            </w:r>
          </w:p>
        </w:tc>
        <w:tc>
          <w:tcPr>
            <w:tcW w:w="840" w:type="pct"/>
            <w:tcBorders>
              <w:top w:val="single" w:sz="4" w:space="0" w:color="auto"/>
              <w:left w:val="single" w:sz="4" w:space="0" w:color="auto"/>
              <w:bottom w:val="single" w:sz="4" w:space="0" w:color="auto"/>
              <w:right w:val="single" w:sz="4" w:space="0" w:color="auto"/>
            </w:tcBorders>
            <w:shd w:val="clear" w:color="auto" w:fill="auto"/>
            <w:vAlign w:val="bottom"/>
          </w:tcPr>
          <w:p w:rsidR="0079691F" w:rsidRPr="00FA4395" w:rsidRDefault="0079691F" w:rsidP="002E61B6">
            <w:pPr>
              <w:pStyle w:val="TableText0"/>
              <w:widowControl w:val="0"/>
              <w:jc w:val="center"/>
              <w:rPr>
                <w:szCs w:val="20"/>
              </w:rPr>
            </w:pPr>
            <w:r w:rsidRPr="00FA4395">
              <w:rPr>
                <w:szCs w:val="20"/>
              </w:rPr>
              <w:t xml:space="preserve">33.4% </w:t>
            </w:r>
          </w:p>
          <w:p w:rsidR="0079691F" w:rsidRPr="00FA4395" w:rsidRDefault="0079691F" w:rsidP="002E61B6">
            <w:pPr>
              <w:pStyle w:val="TableText0"/>
              <w:widowControl w:val="0"/>
              <w:jc w:val="center"/>
              <w:rPr>
                <w:szCs w:val="20"/>
                <w:lang w:eastAsia="zh-CN" w:bidi="en-US"/>
              </w:rPr>
            </w:pPr>
            <w:r w:rsidRPr="00FA4395">
              <w:rPr>
                <w:szCs w:val="20"/>
              </w:rPr>
              <w:t>(27.1%, 39.9%)</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r w:rsidRPr="00FA4395">
              <w:rPr>
                <w:szCs w:val="20"/>
              </w:rPr>
              <w:t>2.8%</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9691F" w:rsidRPr="00FA4395" w:rsidRDefault="0079691F" w:rsidP="002E61B6">
            <w:pPr>
              <w:pStyle w:val="TableText0"/>
              <w:widowControl w:val="0"/>
              <w:jc w:val="center"/>
              <w:rPr>
                <w:szCs w:val="20"/>
              </w:rPr>
            </w:pPr>
          </w:p>
        </w:tc>
      </w:tr>
    </w:tbl>
    <w:tbl>
      <w:tblPr>
        <w:tblW w:w="5000" w:type="pct"/>
        <w:tblCellMar>
          <w:left w:w="28" w:type="dxa"/>
          <w:right w:w="28" w:type="dxa"/>
        </w:tblCellMar>
        <w:tblLook w:val="04A0" w:firstRow="1" w:lastRow="0" w:firstColumn="1" w:lastColumn="0" w:noHBand="0" w:noVBand="1"/>
      </w:tblPr>
      <w:tblGrid>
        <w:gridCol w:w="1181"/>
        <w:gridCol w:w="1122"/>
        <w:gridCol w:w="1426"/>
        <w:gridCol w:w="1445"/>
        <w:gridCol w:w="1147"/>
        <w:gridCol w:w="1432"/>
        <w:gridCol w:w="1264"/>
      </w:tblGrid>
      <w:tr w:rsidR="0079691F" w:rsidRPr="00FA4395" w:rsidTr="00FA4395">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rPr>
                <w:rFonts w:ascii="Arial Narrow" w:hAnsi="Arial Narrow"/>
                <w:b/>
                <w:color w:val="000000"/>
                <w:sz w:val="20"/>
                <w:szCs w:val="20"/>
              </w:rPr>
            </w:pPr>
            <w:r w:rsidRPr="00FA4395">
              <w:rPr>
                <w:rFonts w:ascii="Arial Narrow" w:hAnsi="Arial Narrow"/>
                <w:b/>
                <w:color w:val="000000"/>
                <w:sz w:val="20"/>
                <w:szCs w:val="20"/>
              </w:rPr>
              <w:t>Harms (Data cut-off June 2019)</w:t>
            </w:r>
          </w:p>
        </w:tc>
      </w:tr>
      <w:tr w:rsidR="0079691F" w:rsidRPr="00FA4395" w:rsidTr="00FA4395">
        <w:trPr>
          <w:trHeight w:val="70"/>
        </w:trPr>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rPr>
                <w:rFonts w:ascii="Arial Narrow" w:hAnsi="Arial Narrow"/>
                <w:b/>
                <w:color w:val="000000"/>
                <w:sz w:val="20"/>
                <w:szCs w:val="20"/>
              </w:rPr>
            </w:pPr>
          </w:p>
        </w:tc>
        <w:tc>
          <w:tcPr>
            <w:tcW w:w="622" w:type="pct"/>
            <w:vMerge w:val="restar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Osimertinib</w:t>
            </w:r>
          </w:p>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n/N</w:t>
            </w:r>
          </w:p>
        </w:tc>
        <w:tc>
          <w:tcPr>
            <w:tcW w:w="791" w:type="pct"/>
            <w:vMerge w:val="restart"/>
            <w:tcBorders>
              <w:top w:val="single" w:sz="4" w:space="0" w:color="auto"/>
              <w:left w:val="single" w:sz="4" w:space="0" w:color="auto"/>
              <w:bottom w:val="single" w:sz="4" w:space="0" w:color="auto"/>
              <w:right w:val="single" w:sz="4" w:space="0" w:color="auto"/>
            </w:tcBorders>
            <w:vAlign w:val="center"/>
          </w:tcPr>
          <w:p w:rsidR="0079691F" w:rsidRPr="00FA4395" w:rsidRDefault="00D72D9F" w:rsidP="002E61B6">
            <w:pPr>
              <w:jc w:val="center"/>
              <w:rPr>
                <w:rFonts w:ascii="Arial Narrow" w:hAnsi="Arial Narrow"/>
                <w:b/>
                <w:color w:val="000000"/>
                <w:sz w:val="20"/>
                <w:szCs w:val="20"/>
              </w:rPr>
            </w:pPr>
            <w:r w:rsidRPr="00FA4395">
              <w:rPr>
                <w:rFonts w:ascii="Arial Narrow" w:hAnsi="Arial Narrow"/>
                <w:b/>
                <w:color w:val="000000"/>
                <w:sz w:val="20"/>
                <w:szCs w:val="20"/>
              </w:rPr>
              <w:t>SC</w:t>
            </w:r>
          </w:p>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n/N</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RR</w:t>
            </w:r>
          </w:p>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(95% CI)</w:t>
            </w:r>
          </w:p>
        </w:tc>
        <w:tc>
          <w:tcPr>
            <w:tcW w:w="1430" w:type="pct"/>
            <w:gridSpan w:val="2"/>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 xml:space="preserve">Event rate/100 patients </w:t>
            </w:r>
          </w:p>
        </w:tc>
        <w:tc>
          <w:tcPr>
            <w:tcW w:w="701" w:type="pct"/>
            <w:vMerge w:val="restar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RD</w:t>
            </w:r>
          </w:p>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(95% CI)</w:t>
            </w:r>
          </w:p>
        </w:tc>
      </w:tr>
      <w:tr w:rsidR="0079691F" w:rsidRPr="00FA4395" w:rsidTr="00FA4395">
        <w:trPr>
          <w:trHeight w:val="390"/>
        </w:trPr>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rPr>
                <w:rFonts w:ascii="Arial Narrow" w:hAnsi="Arial Narrow"/>
                <w:b/>
                <w:color w:val="000000"/>
                <w:sz w:val="20"/>
                <w:szCs w:val="20"/>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p>
        </w:tc>
        <w:tc>
          <w:tcPr>
            <w:tcW w:w="791" w:type="pct"/>
            <w:vMerge/>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p>
        </w:tc>
        <w:tc>
          <w:tcPr>
            <w:tcW w:w="636"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 xml:space="preserve">Osimertinib </w:t>
            </w:r>
          </w:p>
        </w:tc>
        <w:tc>
          <w:tcPr>
            <w:tcW w:w="794"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r w:rsidRPr="00FA4395">
              <w:rPr>
                <w:rFonts w:ascii="Arial Narrow" w:hAnsi="Arial Narrow"/>
                <w:b/>
                <w:color w:val="000000"/>
                <w:sz w:val="20"/>
                <w:szCs w:val="20"/>
              </w:rPr>
              <w:t>Erlotinib/gefitinib</w:t>
            </w:r>
          </w:p>
        </w:tc>
        <w:tc>
          <w:tcPr>
            <w:tcW w:w="701" w:type="pct"/>
            <w:vMerge/>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jc w:val="center"/>
              <w:rPr>
                <w:rFonts w:ascii="Arial Narrow" w:hAnsi="Arial Narrow"/>
                <w:b/>
                <w:color w:val="000000"/>
                <w:sz w:val="20"/>
                <w:szCs w:val="20"/>
              </w:rPr>
            </w:pPr>
          </w:p>
        </w:tc>
      </w:tr>
      <w:tr w:rsidR="0079691F" w:rsidRPr="00FA4395" w:rsidTr="00FA4395">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pStyle w:val="TableText0"/>
              <w:rPr>
                <w:szCs w:val="20"/>
              </w:rPr>
            </w:pPr>
            <w:r w:rsidRPr="00FA4395">
              <w:rPr>
                <w:szCs w:val="20"/>
              </w:rPr>
              <w:t>AE of grade ≥3</w:t>
            </w:r>
          </w:p>
        </w:tc>
        <w:tc>
          <w:tcPr>
            <w:tcW w:w="622"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116/279</w:t>
            </w:r>
          </w:p>
        </w:tc>
        <w:tc>
          <w:tcPr>
            <w:tcW w:w="79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129 /277</w:t>
            </w:r>
          </w:p>
        </w:tc>
        <w:tc>
          <w:tcPr>
            <w:tcW w:w="8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0.89 (0.74, 1.08)</w:t>
            </w:r>
          </w:p>
        </w:tc>
        <w:tc>
          <w:tcPr>
            <w:tcW w:w="636"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41.6</w:t>
            </w:r>
          </w:p>
        </w:tc>
        <w:tc>
          <w:tcPr>
            <w:tcW w:w="794"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46.6</w:t>
            </w:r>
          </w:p>
        </w:tc>
        <w:tc>
          <w:tcPr>
            <w:tcW w:w="7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lang w:bidi="en-US"/>
              </w:rPr>
            </w:pPr>
            <w:r w:rsidRPr="00FA4395">
              <w:rPr>
                <w:szCs w:val="20"/>
                <w:lang w:bidi="en-US"/>
              </w:rPr>
              <w:t xml:space="preserve">-5.0% </w:t>
            </w:r>
          </w:p>
          <w:p w:rsidR="0079691F" w:rsidRPr="00FA4395" w:rsidRDefault="0079691F" w:rsidP="002E61B6">
            <w:pPr>
              <w:pStyle w:val="TableText0"/>
              <w:jc w:val="center"/>
              <w:rPr>
                <w:szCs w:val="20"/>
              </w:rPr>
            </w:pPr>
            <w:r w:rsidRPr="00FA4395">
              <w:rPr>
                <w:szCs w:val="20"/>
                <w:lang w:bidi="en-US"/>
              </w:rPr>
              <w:t>(-13%, 3.3%)</w:t>
            </w:r>
          </w:p>
        </w:tc>
      </w:tr>
      <w:tr w:rsidR="0079691F" w:rsidRPr="00FA4395" w:rsidTr="00FA4395">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pStyle w:val="TableText0"/>
              <w:rPr>
                <w:szCs w:val="20"/>
              </w:rPr>
            </w:pPr>
            <w:r w:rsidRPr="00FA4395">
              <w:rPr>
                <w:szCs w:val="20"/>
              </w:rPr>
              <w:t>Serious AEs</w:t>
            </w:r>
          </w:p>
        </w:tc>
        <w:tc>
          <w:tcPr>
            <w:tcW w:w="622"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74 /279</w:t>
            </w:r>
          </w:p>
        </w:tc>
        <w:tc>
          <w:tcPr>
            <w:tcW w:w="79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76 /277</w:t>
            </w:r>
          </w:p>
        </w:tc>
        <w:tc>
          <w:tcPr>
            <w:tcW w:w="8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0.97 (0.74,1.27)</w:t>
            </w:r>
          </w:p>
        </w:tc>
        <w:tc>
          <w:tcPr>
            <w:tcW w:w="636"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26.5</w:t>
            </w:r>
          </w:p>
        </w:tc>
        <w:tc>
          <w:tcPr>
            <w:tcW w:w="794"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27.4</w:t>
            </w:r>
          </w:p>
        </w:tc>
        <w:tc>
          <w:tcPr>
            <w:tcW w:w="7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lang w:bidi="en-US"/>
              </w:rPr>
            </w:pPr>
            <w:r w:rsidRPr="00FA4395">
              <w:rPr>
                <w:szCs w:val="20"/>
                <w:lang w:bidi="en-US"/>
              </w:rPr>
              <w:t>0.9%</w:t>
            </w:r>
          </w:p>
          <w:p w:rsidR="0079691F" w:rsidRPr="00FA4395" w:rsidRDefault="0079691F" w:rsidP="002E61B6">
            <w:pPr>
              <w:pStyle w:val="TableText0"/>
              <w:jc w:val="center"/>
              <w:rPr>
                <w:szCs w:val="20"/>
              </w:rPr>
            </w:pPr>
            <w:r w:rsidRPr="00FA4395">
              <w:rPr>
                <w:szCs w:val="20"/>
                <w:lang w:bidi="en-US"/>
              </w:rPr>
              <w:t xml:space="preserve"> (-8.3%, 6.5%)</w:t>
            </w:r>
          </w:p>
        </w:tc>
      </w:tr>
      <w:tr w:rsidR="0079691F" w:rsidRPr="00FA4395" w:rsidTr="00FA4395">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9691F" w:rsidRPr="00FA4395" w:rsidRDefault="0079691F" w:rsidP="002E61B6">
            <w:pPr>
              <w:pStyle w:val="TableText0"/>
              <w:jc w:val="both"/>
              <w:rPr>
                <w:szCs w:val="20"/>
              </w:rPr>
            </w:pPr>
            <w:r w:rsidRPr="00FA4395">
              <w:rPr>
                <w:szCs w:val="20"/>
              </w:rPr>
              <w:t>AEs leading to discontinuation of study drug</w:t>
            </w:r>
          </w:p>
        </w:tc>
        <w:tc>
          <w:tcPr>
            <w:tcW w:w="622"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41 /279</w:t>
            </w:r>
          </w:p>
        </w:tc>
        <w:tc>
          <w:tcPr>
            <w:tcW w:w="79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50 /277</w:t>
            </w:r>
          </w:p>
        </w:tc>
        <w:tc>
          <w:tcPr>
            <w:tcW w:w="8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lang w:bidi="en-US"/>
              </w:rPr>
              <w:t>0.81 (0.56, 1.19)</w:t>
            </w:r>
          </w:p>
        </w:tc>
        <w:tc>
          <w:tcPr>
            <w:tcW w:w="636"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14.7</w:t>
            </w:r>
          </w:p>
        </w:tc>
        <w:tc>
          <w:tcPr>
            <w:tcW w:w="794"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rPr>
            </w:pPr>
            <w:r w:rsidRPr="00FA4395">
              <w:rPr>
                <w:szCs w:val="20"/>
              </w:rPr>
              <w:t>18.1</w:t>
            </w:r>
          </w:p>
        </w:tc>
        <w:tc>
          <w:tcPr>
            <w:tcW w:w="701" w:type="pct"/>
            <w:tcBorders>
              <w:top w:val="single" w:sz="4" w:space="0" w:color="auto"/>
              <w:left w:val="single" w:sz="4" w:space="0" w:color="auto"/>
              <w:bottom w:val="single" w:sz="4" w:space="0" w:color="auto"/>
              <w:right w:val="single" w:sz="4" w:space="0" w:color="auto"/>
            </w:tcBorders>
            <w:vAlign w:val="center"/>
          </w:tcPr>
          <w:p w:rsidR="0079691F" w:rsidRPr="00FA4395" w:rsidRDefault="0079691F" w:rsidP="002E61B6">
            <w:pPr>
              <w:pStyle w:val="TableText0"/>
              <w:jc w:val="center"/>
              <w:rPr>
                <w:szCs w:val="20"/>
                <w:lang w:bidi="en-US"/>
              </w:rPr>
            </w:pPr>
            <w:r w:rsidRPr="00FA4395">
              <w:rPr>
                <w:szCs w:val="20"/>
                <w:lang w:bidi="en-US"/>
              </w:rPr>
              <w:t>-3.4%</w:t>
            </w:r>
          </w:p>
          <w:p w:rsidR="0079691F" w:rsidRPr="00FA4395" w:rsidRDefault="0079691F" w:rsidP="002E61B6">
            <w:pPr>
              <w:pStyle w:val="TableText0"/>
              <w:jc w:val="center"/>
              <w:rPr>
                <w:szCs w:val="20"/>
              </w:rPr>
            </w:pPr>
            <w:r w:rsidRPr="00FA4395">
              <w:rPr>
                <w:szCs w:val="20"/>
                <w:lang w:bidi="en-US"/>
              </w:rPr>
              <w:t xml:space="preserve"> (-9.5%, 2.8%)</w:t>
            </w:r>
          </w:p>
        </w:tc>
      </w:tr>
    </w:tbl>
    <w:p w:rsidR="0079691F" w:rsidRPr="00C93348" w:rsidRDefault="0079691F" w:rsidP="00FA4395">
      <w:pPr>
        <w:pStyle w:val="TableFigureFooter"/>
      </w:pPr>
      <w:r w:rsidRPr="00C93348">
        <w:t>Source: compiled during the evaluation based on data presented in Section 2.5, pp59-76 of the resubmission</w:t>
      </w:r>
    </w:p>
    <w:p w:rsidR="0079691F" w:rsidRPr="00C93348" w:rsidRDefault="0079691F" w:rsidP="00FA4395">
      <w:pPr>
        <w:pStyle w:val="TableFigureFooter"/>
      </w:pPr>
      <w:r w:rsidRPr="00C93348">
        <w:t xml:space="preserve">AE = adverse event; CI = confidence interval; HR = hazard ratio; NC = not calculable; OS = overall survival; PFS = progression-free survival; RD = risk difference; RR = relative risk; </w:t>
      </w:r>
      <w:r w:rsidR="00D72D9F" w:rsidRPr="00C93348">
        <w:t>SC</w:t>
      </w:r>
      <w:r w:rsidRPr="00C93348">
        <w:t xml:space="preserve">= standard of care. </w:t>
      </w:r>
    </w:p>
    <w:p w:rsidR="0079691F" w:rsidRPr="00C93348" w:rsidRDefault="0079691F" w:rsidP="00FA4395">
      <w:pPr>
        <w:pStyle w:val="TableFigureFooter"/>
      </w:pPr>
      <w:r w:rsidRPr="00C93348">
        <w:rPr>
          <w:vertAlign w:val="superscript"/>
        </w:rPr>
        <w:t xml:space="preserve">a </w:t>
      </w:r>
      <w:r w:rsidRPr="00C93348">
        <w:t>Median duration of follow up 15.0 months and 9.7 months in the osimertinib and erlotinib/gefitinib groups, respectively</w:t>
      </w:r>
    </w:p>
    <w:p w:rsidR="0079691F" w:rsidRPr="00C93348" w:rsidRDefault="0079691F" w:rsidP="00FA4395">
      <w:pPr>
        <w:pStyle w:val="TableFigureFooter"/>
      </w:pPr>
      <w:r w:rsidRPr="00C93348">
        <w:rPr>
          <w:vertAlign w:val="superscript"/>
        </w:rPr>
        <w:t xml:space="preserve">b </w:t>
      </w:r>
      <w:r w:rsidRPr="00C93348">
        <w:t xml:space="preserve">Median duration of follow up 35.8 months in the osimertinib group and 27 months in the </w:t>
      </w:r>
      <w:r w:rsidR="00D72D9F" w:rsidRPr="00C93348">
        <w:t>SC</w:t>
      </w:r>
      <w:r w:rsidRPr="00C93348">
        <w:t xml:space="preserve"> group.</w:t>
      </w:r>
    </w:p>
    <w:p w:rsidR="0079691F" w:rsidRPr="00C93348" w:rsidRDefault="0079691F" w:rsidP="00FA4395">
      <w:pPr>
        <w:pStyle w:val="TableFigureFooter"/>
      </w:pPr>
      <w:r w:rsidRPr="00C93348">
        <w:rPr>
          <w:vertAlign w:val="superscript"/>
        </w:rPr>
        <w:t>c</w:t>
      </w:r>
      <w:r w:rsidRPr="00C93348">
        <w:t xml:space="preserve"> The adjusted CI is computed at the 2-sided 95.05% level, considering the multiple testing with a 2-sided significance level 0.0015 already spent at the interim overall survival analysis with 141 deaths, based on the O'Brien and Fleming spending function.</w:t>
      </w:r>
    </w:p>
    <w:p w:rsidR="0079691F" w:rsidRPr="00C93348" w:rsidRDefault="0079691F" w:rsidP="00FA4395">
      <w:pPr>
        <w:pStyle w:val="TableFigureFooter"/>
      </w:pPr>
      <w:r w:rsidRPr="00C93348">
        <w:rPr>
          <w:bCs/>
          <w:iCs/>
        </w:rPr>
        <w:t>Blue shading indicates data previously seen by the PBAC</w:t>
      </w:r>
    </w:p>
    <w:p w:rsidR="0079691F" w:rsidRPr="00C93348" w:rsidRDefault="0079691F" w:rsidP="00FA4395">
      <w:pPr>
        <w:pStyle w:val="3-BodyText"/>
        <w:keepNext/>
        <w:keepLines/>
        <w:rPr>
          <w:szCs w:val="22"/>
          <w:lang w:eastAsia="en-US"/>
        </w:rPr>
      </w:pPr>
      <w:r w:rsidRPr="00C93348">
        <w:rPr>
          <w:szCs w:val="22"/>
          <w:lang w:eastAsia="en-US"/>
        </w:rPr>
        <w:t>On the basis of direct evidence presented by the resubmission, for every 100 patients treated with osimertinib in comparison to erlotinib/gefitinib and followed over a median duration of approximately 36 months:</w:t>
      </w:r>
    </w:p>
    <w:p w:rsidR="0079691F" w:rsidRPr="00C93348" w:rsidRDefault="0079691F" w:rsidP="008C3F6D">
      <w:pPr>
        <w:pStyle w:val="ListParagraph"/>
        <w:keepNext/>
        <w:keepLines/>
        <w:numPr>
          <w:ilvl w:val="1"/>
          <w:numId w:val="6"/>
        </w:numPr>
      </w:pPr>
      <w:r w:rsidRPr="00C93348">
        <w:t>Approximately 27 more patients would remain progression-free at 24 months;</w:t>
      </w:r>
    </w:p>
    <w:p w:rsidR="0079691F" w:rsidRPr="00C93348" w:rsidRDefault="0079691F" w:rsidP="008C3F6D">
      <w:pPr>
        <w:pStyle w:val="ListParagraph"/>
        <w:keepNext/>
        <w:keepLines/>
        <w:numPr>
          <w:ilvl w:val="1"/>
          <w:numId w:val="6"/>
        </w:numPr>
      </w:pPr>
      <w:r w:rsidRPr="00C93348">
        <w:t>Approximately 15 more patients would remain alive at 24 months;</w:t>
      </w:r>
    </w:p>
    <w:p w:rsidR="0079691F" w:rsidRPr="00C93348" w:rsidRDefault="0079691F" w:rsidP="008C3F6D">
      <w:pPr>
        <w:pStyle w:val="ListParagraph"/>
        <w:keepNext/>
        <w:keepLines/>
        <w:numPr>
          <w:ilvl w:val="1"/>
          <w:numId w:val="6"/>
        </w:numPr>
      </w:pPr>
      <w:r w:rsidRPr="00C93348">
        <w:t>Approximately 5 fewer patients would experience a grade ≥3 adverse event;</w:t>
      </w:r>
    </w:p>
    <w:p w:rsidR="0079691F" w:rsidRPr="00C93348" w:rsidRDefault="0079691F" w:rsidP="008C3F6D">
      <w:pPr>
        <w:pStyle w:val="ListParagraph"/>
        <w:keepNext/>
        <w:keepLines/>
        <w:numPr>
          <w:ilvl w:val="1"/>
          <w:numId w:val="6"/>
        </w:numPr>
      </w:pPr>
      <w:r w:rsidRPr="00C93348">
        <w:t>Approximately 1 less patient would experience a serious adverse event; and</w:t>
      </w:r>
    </w:p>
    <w:p w:rsidR="0079691F" w:rsidRPr="00C93348" w:rsidRDefault="0079691F" w:rsidP="008C3F6D">
      <w:pPr>
        <w:pStyle w:val="ListParagraph"/>
        <w:keepNext/>
        <w:keepLines/>
        <w:numPr>
          <w:ilvl w:val="1"/>
          <w:numId w:val="6"/>
        </w:numPr>
        <w:rPr>
          <w:szCs w:val="22"/>
          <w:lang w:eastAsia="en-US"/>
        </w:rPr>
      </w:pPr>
      <w:r w:rsidRPr="00C93348">
        <w:t xml:space="preserve">Approximately 3 fewer patients would experience an adverse event leading to discontinuation of study treatment. </w:t>
      </w:r>
    </w:p>
    <w:p w:rsidR="0079691F" w:rsidRPr="00C93348" w:rsidRDefault="0079691F" w:rsidP="0079691F">
      <w:pPr>
        <w:pStyle w:val="4-SubsectionHeading"/>
      </w:pPr>
      <w:bookmarkStart w:id="45" w:name="_Toc22897644"/>
      <w:bookmarkStart w:id="46" w:name="_Toc22898856"/>
      <w:bookmarkStart w:id="47" w:name="_Toc40094109"/>
      <w:bookmarkStart w:id="48" w:name="_Toc40709210"/>
      <w:r w:rsidRPr="00C93348">
        <w:t>Clinical claim</w:t>
      </w:r>
      <w:bookmarkEnd w:id="45"/>
      <w:bookmarkEnd w:id="46"/>
      <w:bookmarkEnd w:id="47"/>
      <w:bookmarkEnd w:id="48"/>
    </w:p>
    <w:p w:rsidR="0079691F" w:rsidRPr="00C93348" w:rsidRDefault="0079691F" w:rsidP="0079691F">
      <w:pPr>
        <w:pStyle w:val="3-BodyText"/>
      </w:pPr>
      <w:r w:rsidRPr="00C93348">
        <w:t xml:space="preserve">The resubmission claimed that </w:t>
      </w:r>
      <w:r w:rsidR="000721B6" w:rsidRPr="00C93348">
        <w:t>first-line</w:t>
      </w:r>
      <w:r w:rsidRPr="00C93348">
        <w:t xml:space="preserve"> treatment with osimertinib was statistically superior to </w:t>
      </w:r>
      <w:r w:rsidR="00D72D9F" w:rsidRPr="00C93348">
        <w:t>SC</w:t>
      </w:r>
      <w:r w:rsidRPr="00C93348">
        <w:t xml:space="preserve"> in terms of efficacy (PFS</w:t>
      </w:r>
      <w:r w:rsidR="00346F92" w:rsidRPr="00C93348">
        <w:t>,</w:t>
      </w:r>
      <w:r w:rsidR="003C2195" w:rsidRPr="00C93348">
        <w:t xml:space="preserve"> </w:t>
      </w:r>
      <w:r w:rsidRPr="00C93348">
        <w:t>OS and QoL), and clinically superior in terms of safety in patients with locally advanced or metastatic EGFRm NSCLC.</w:t>
      </w:r>
    </w:p>
    <w:p w:rsidR="0079691F" w:rsidRPr="00C93348" w:rsidRDefault="007028D9" w:rsidP="0079691F">
      <w:pPr>
        <w:pStyle w:val="3-BodyText"/>
      </w:pPr>
      <w:r w:rsidRPr="00C93348">
        <w:t xml:space="preserve">The </w:t>
      </w:r>
      <w:r w:rsidR="0079691F" w:rsidRPr="00C93348">
        <w:t>PBAC previously considered the claim of a superior treatment effect from osimertinib versus erlotinib/gefitinib in terms of PFS was reasonable, based on the evidence presented in FLAURA.</w:t>
      </w:r>
    </w:p>
    <w:p w:rsidR="0079691F" w:rsidRPr="00C93348" w:rsidRDefault="0079691F" w:rsidP="00D81781">
      <w:pPr>
        <w:pStyle w:val="3-BodyText"/>
      </w:pPr>
      <w:r w:rsidRPr="00C93348">
        <w:t xml:space="preserve">The claim of a superior treatment effect of osimertinib compared with erlotinib/gefitinib in terms of OS was adequately supported by the updated data from FLAURA. However, the applicability of the OS results from FLAURA to Australian clinical practice remains uncertain, given that the post-progression treatments in the FLAURA trial are not consistent with the current and proposed PBS listing. This included the continued use of randomised </w:t>
      </w:r>
      <w:r w:rsidR="000721B6" w:rsidRPr="00C93348">
        <w:t>first-line</w:t>
      </w:r>
      <w:r w:rsidRPr="00C93348">
        <w:t xml:space="preserve"> treatment with EGFR-TKIs beyond progression, the treatment with other EGFR-TKIs after progression on/after osimertinib and</w:t>
      </w:r>
      <w:r w:rsidR="004A0B30" w:rsidRPr="00C93348">
        <w:t xml:space="preserve"> </w:t>
      </w:r>
      <w:r w:rsidR="000A7A4E" w:rsidRPr="00C93348">
        <w:t>a proportion of</w:t>
      </w:r>
      <w:r w:rsidRPr="00C93348">
        <w:t xml:space="preserve"> patients who crossed over to osimertinib received it in the </w:t>
      </w:r>
      <w:r w:rsidR="000A7A4E" w:rsidRPr="00C93348">
        <w:t>third</w:t>
      </w:r>
      <w:r w:rsidR="000721B6" w:rsidRPr="00C93348">
        <w:t>-line</w:t>
      </w:r>
      <w:r w:rsidRPr="00C93348">
        <w:t xml:space="preserve"> setting. </w:t>
      </w:r>
      <w:r w:rsidR="00C57F44" w:rsidRPr="00C93348">
        <w:t xml:space="preserve">The ESC considered the claim that </w:t>
      </w:r>
      <w:r w:rsidR="000721B6" w:rsidRPr="00C93348">
        <w:t>first-line</w:t>
      </w:r>
      <w:r w:rsidR="004D224C" w:rsidRPr="00C93348">
        <w:t xml:space="preserve"> treatment with </w:t>
      </w:r>
      <w:r w:rsidR="00C57F44" w:rsidRPr="00C93348">
        <w:t>osimertinib is superior to erlotinib/ gefitinib in terms of efficacy was supported by the clinical data presented in the resubmission.</w:t>
      </w:r>
      <w:r w:rsidR="004A0B30" w:rsidRPr="00C93348">
        <w:t xml:space="preserve"> </w:t>
      </w:r>
    </w:p>
    <w:p w:rsidR="0079691F" w:rsidRPr="00C93348" w:rsidRDefault="0079691F" w:rsidP="0079691F">
      <w:pPr>
        <w:pStyle w:val="3-BodyText"/>
      </w:pPr>
      <w:r w:rsidRPr="00C93348">
        <w:t>Although patients receiving osimertinib had statistically significant improvement in the symptom of chest pain and in social, emotional and cognitive functioning compared with those in the comparator erlotinib/gefitinib arm, the differences between the two intervention groups did not meet the pre-specified clinically relevant cut-off defined in the FLAURA trial protocol</w:t>
      </w:r>
      <w:r w:rsidR="000A7A4E" w:rsidRPr="00C93348">
        <w:t xml:space="preserve"> of ≥10 points</w:t>
      </w:r>
      <w:r w:rsidRPr="00C93348">
        <w:t>.</w:t>
      </w:r>
    </w:p>
    <w:p w:rsidR="0079691F" w:rsidRPr="00C93348" w:rsidRDefault="0079691F" w:rsidP="0079691F">
      <w:pPr>
        <w:pStyle w:val="3-BodyText"/>
      </w:pPr>
      <w:r w:rsidRPr="00C93348">
        <w:t>The PBAC previously considered that the claim of superior comparative safety was reasonable (paragraph 7.9, Osimertinib PSD, July 2019 PBAC meeting).</w:t>
      </w:r>
    </w:p>
    <w:p w:rsidR="00887948" w:rsidRPr="00C93348" w:rsidRDefault="00887948" w:rsidP="00887948">
      <w:pPr>
        <w:pStyle w:val="3-BodyText"/>
      </w:pPr>
      <w:r w:rsidRPr="00C93348">
        <w:t>The PBAC considered that the claim of superior comparati</w:t>
      </w:r>
      <w:r w:rsidR="00346F92" w:rsidRPr="00C93348">
        <w:t>ve effectiveness was reasonable</w:t>
      </w:r>
      <w:r w:rsidR="005479E6" w:rsidRPr="00C93348">
        <w:t>, based on the updated OS data provided in the resubmission</w:t>
      </w:r>
      <w:r w:rsidRPr="00C93348">
        <w:t>.</w:t>
      </w:r>
    </w:p>
    <w:p w:rsidR="00B60939" w:rsidRPr="00C93348" w:rsidRDefault="00B60939" w:rsidP="00E9094A">
      <w:pPr>
        <w:pStyle w:val="4-SubsectionHeading"/>
      </w:pPr>
      <w:bookmarkStart w:id="49" w:name="_Toc40709211"/>
      <w:r w:rsidRPr="00C93348">
        <w:t>Economic analysis</w:t>
      </w:r>
      <w:bookmarkEnd w:id="4"/>
      <w:bookmarkEnd w:id="49"/>
      <w:r w:rsidR="00491B3A" w:rsidRPr="00C93348">
        <w:t xml:space="preserve"> </w:t>
      </w:r>
    </w:p>
    <w:p w:rsidR="00BA00F8" w:rsidRPr="00C93348" w:rsidRDefault="00BA00F8" w:rsidP="00BA00F8">
      <w:pPr>
        <w:pStyle w:val="3-BodyText"/>
      </w:pPr>
      <w:bookmarkStart w:id="50" w:name="_Toc22897647"/>
      <w:bookmarkStart w:id="51" w:name="_Toc341702043"/>
      <w:bookmarkStart w:id="52" w:name="_Toc380742621"/>
      <w:bookmarkStart w:id="53" w:name="_Toc380746188"/>
      <w:bookmarkStart w:id="54" w:name="_Toc380746314"/>
      <w:bookmarkStart w:id="55" w:name="_Toc380746595"/>
      <w:r w:rsidRPr="00C93348">
        <w:t>Consistent with the previous submission, the resubmission presented a stepped economic evaluation based on updated data from the direct randomised FLAURA trial that compared first</w:t>
      </w:r>
      <w:r w:rsidR="004D224C" w:rsidRPr="00C93348">
        <w:t>-</w:t>
      </w:r>
      <w:r w:rsidRPr="00C93348">
        <w:t xml:space="preserve">line osimertinib with </w:t>
      </w:r>
      <w:r w:rsidR="00D72D9F" w:rsidRPr="00C93348">
        <w:t>SC</w:t>
      </w:r>
      <w:r w:rsidRPr="00C93348">
        <w:t xml:space="preserve"> in patients with Stage IIIB-IV EGFRm NSCLC. The types of economic evaluation presented were a cost-effectiveness analysis and a cost-utility analysis, measuring outcomes in terms of life-years (LYs) gained and quality-adjusted life years (QALYs) gained, respectively. The key components of the economic evaluation and changes compared with the previous submission are summarised below.</w:t>
      </w:r>
    </w:p>
    <w:p w:rsidR="00BA00F8" w:rsidRPr="00C93348" w:rsidRDefault="00BA00F8" w:rsidP="00BA00F8">
      <w:pPr>
        <w:pStyle w:val="TableFigureHeading"/>
        <w:widowControl w:val="0"/>
        <w:rPr>
          <w:rStyle w:val="CommentReference"/>
          <w:rFonts w:ascii="Calibri" w:hAnsi="Calibri"/>
          <w:b/>
          <w:sz w:val="18"/>
          <w:szCs w:val="18"/>
        </w:rPr>
      </w:pPr>
      <w:r w:rsidRPr="00C93348">
        <w:t xml:space="preserve">Table </w:t>
      </w:r>
      <w:r w:rsidR="00CC4472">
        <w:rPr>
          <w:noProof/>
        </w:rPr>
        <w:t>9</w:t>
      </w:r>
      <w:r w:rsidRPr="00C93348">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BA00F8" w:rsidRPr="00C93348" w:rsidTr="00FA4395">
        <w:trPr>
          <w:tblHeader/>
        </w:trPr>
        <w:tc>
          <w:tcPr>
            <w:tcW w:w="1396" w:type="pct"/>
            <w:shd w:val="clear" w:color="auto" w:fill="auto"/>
            <w:vAlign w:val="center"/>
          </w:tcPr>
          <w:p w:rsidR="00BA00F8" w:rsidRPr="00C93348" w:rsidRDefault="00BA00F8" w:rsidP="004F4D09">
            <w:pPr>
              <w:pStyle w:val="In-tableHeading"/>
              <w:widowControl w:val="0"/>
              <w:rPr>
                <w:lang w:val="en-AU"/>
              </w:rPr>
            </w:pPr>
            <w:r w:rsidRPr="00C93348">
              <w:rPr>
                <w:lang w:val="en-AU"/>
              </w:rPr>
              <w:t>Component</w:t>
            </w:r>
          </w:p>
        </w:tc>
        <w:tc>
          <w:tcPr>
            <w:tcW w:w="3604" w:type="pct"/>
            <w:shd w:val="clear" w:color="auto" w:fill="auto"/>
            <w:vAlign w:val="center"/>
          </w:tcPr>
          <w:p w:rsidR="00BA00F8" w:rsidRPr="00C93348" w:rsidRDefault="00BA00F8" w:rsidP="004F4D09">
            <w:pPr>
              <w:pStyle w:val="In-tableHeading"/>
              <w:widowControl w:val="0"/>
              <w:rPr>
                <w:lang w:val="en-AU"/>
              </w:rPr>
            </w:pPr>
            <w:r w:rsidRPr="00C93348">
              <w:rPr>
                <w:lang w:val="en-AU"/>
              </w:rPr>
              <w:t>Summary</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Treatments</w:t>
            </w:r>
          </w:p>
        </w:tc>
        <w:tc>
          <w:tcPr>
            <w:tcW w:w="3604" w:type="pct"/>
            <w:shd w:val="clear" w:color="auto" w:fill="auto"/>
            <w:vAlign w:val="center"/>
          </w:tcPr>
          <w:p w:rsidR="00BA00F8" w:rsidRPr="00C93348" w:rsidRDefault="00BA00F8" w:rsidP="004F4D09">
            <w:pPr>
              <w:pStyle w:val="TableText0"/>
              <w:keepNext w:val="0"/>
              <w:widowControl w:val="0"/>
            </w:pPr>
            <w:r w:rsidRPr="00C93348">
              <w:t xml:space="preserve">Osimertinib vs </w:t>
            </w:r>
            <w:r w:rsidR="00D72D9F" w:rsidRPr="00C93348">
              <w:t>SC</w:t>
            </w:r>
            <w:r w:rsidR="00937C9A" w:rsidRPr="00C93348">
              <w:t xml:space="preserve"> (</w:t>
            </w:r>
            <w:r w:rsidRPr="00C93348">
              <w:t>erlotinib/gefitinib</w:t>
            </w:r>
            <w:r w:rsidR="00937C9A" w:rsidRPr="00C93348">
              <w:t>)</w:t>
            </w:r>
            <w:r w:rsidRPr="00C93348">
              <w:t xml:space="preserve"> as first-line treatment</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Time horizon</w:t>
            </w:r>
          </w:p>
        </w:tc>
        <w:tc>
          <w:tcPr>
            <w:tcW w:w="3604" w:type="pct"/>
            <w:shd w:val="clear" w:color="auto" w:fill="auto"/>
          </w:tcPr>
          <w:p w:rsidR="00BA00F8" w:rsidRPr="00C93348" w:rsidRDefault="00BA00F8" w:rsidP="004F4D09">
            <w:pPr>
              <w:pStyle w:val="TableText0"/>
              <w:keepNext w:val="0"/>
              <w:widowControl w:val="0"/>
              <w:rPr>
                <w:rFonts w:ascii="Calibri" w:eastAsia="Times New Roman" w:hAnsi="Calibri" w:cs="Arial"/>
                <w:bCs w:val="0"/>
                <w:sz w:val="24"/>
              </w:rPr>
            </w:pPr>
            <w:r w:rsidRPr="00C93348">
              <w:t>7.5 years in the model base case versus 25 months</w:t>
            </w:r>
            <w:r w:rsidRPr="00C93348">
              <w:rPr>
                <w:vertAlign w:val="superscript"/>
              </w:rPr>
              <w:t>a</w:t>
            </w:r>
            <w:r w:rsidRPr="00C93348">
              <w:t xml:space="preserve"> in FLAURA (updated data were only provided for OS, for which the median follow-up was 36 and 27 months, respectively, for osimertinib and </w:t>
            </w:r>
            <w:r w:rsidR="00D72D9F" w:rsidRPr="00C93348">
              <w:t>SC</w:t>
            </w:r>
            <w:r w:rsidRPr="00C93348">
              <w:t>).</w:t>
            </w:r>
          </w:p>
          <w:p w:rsidR="00BA00F8" w:rsidRPr="00C93348" w:rsidRDefault="00BA00F8" w:rsidP="004F4D09">
            <w:pPr>
              <w:pStyle w:val="TableText0"/>
              <w:keepNext w:val="0"/>
              <w:widowControl w:val="0"/>
              <w:rPr>
                <w:rFonts w:ascii="Calibri" w:eastAsia="Times New Roman" w:hAnsi="Calibri" w:cs="Arial"/>
                <w:bCs w:val="0"/>
                <w:sz w:val="24"/>
              </w:rPr>
            </w:pPr>
          </w:p>
          <w:p w:rsidR="00BA00F8" w:rsidRPr="00C93348" w:rsidRDefault="00BA00F8" w:rsidP="008334E0">
            <w:pPr>
              <w:pStyle w:val="TableText0"/>
              <w:keepNext w:val="0"/>
              <w:widowControl w:val="0"/>
              <w:rPr>
                <w:i/>
              </w:rPr>
            </w:pPr>
            <w:r w:rsidRPr="00C93348">
              <w:t xml:space="preserve">This was reduced from 10 years in the previous submission. This change was consistent with the previous PBAC consideration </w:t>
            </w:r>
            <w:r w:rsidRPr="00C93348">
              <w:rPr>
                <w:iCs/>
              </w:rPr>
              <w:t>(</w:t>
            </w:r>
            <w:r w:rsidR="00D309A3" w:rsidRPr="00C93348">
              <w:rPr>
                <w:iCs/>
              </w:rPr>
              <w:t xml:space="preserve">paragraph </w:t>
            </w:r>
            <w:r w:rsidRPr="00C93348">
              <w:rPr>
                <w:iCs/>
              </w:rPr>
              <w:t xml:space="preserve">7.11, </w:t>
            </w:r>
            <w:r w:rsidR="007C7EBA" w:rsidRPr="00C93348">
              <w:rPr>
                <w:iCs/>
              </w:rPr>
              <w:t>O</w:t>
            </w:r>
            <w:r w:rsidRPr="00C93348">
              <w:rPr>
                <w:iCs/>
              </w:rPr>
              <w:t>simertinib PSD, July 2019 PBAC Meeting)</w:t>
            </w:r>
            <w:r w:rsidRPr="00C93348">
              <w:t>.</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Outcomes</w:t>
            </w:r>
          </w:p>
        </w:tc>
        <w:tc>
          <w:tcPr>
            <w:tcW w:w="3604" w:type="pct"/>
            <w:shd w:val="clear" w:color="auto" w:fill="auto"/>
          </w:tcPr>
          <w:p w:rsidR="00BA00F8" w:rsidRPr="00C93348" w:rsidRDefault="00BA00F8" w:rsidP="008334E0">
            <w:pPr>
              <w:pStyle w:val="TableText0"/>
              <w:keepNext w:val="0"/>
              <w:widowControl w:val="0"/>
            </w:pPr>
            <w:r w:rsidRPr="00C93348">
              <w:t xml:space="preserve">LYs and QALYs gained. </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Methods used to generate results</w:t>
            </w:r>
          </w:p>
        </w:tc>
        <w:tc>
          <w:tcPr>
            <w:tcW w:w="3604" w:type="pct"/>
            <w:shd w:val="clear" w:color="auto" w:fill="auto"/>
            <w:vAlign w:val="center"/>
          </w:tcPr>
          <w:p w:rsidR="00BA00F8" w:rsidRPr="00C93348" w:rsidRDefault="00BA00F8" w:rsidP="008334E0">
            <w:pPr>
              <w:pStyle w:val="TableText0"/>
              <w:keepNext w:val="0"/>
              <w:widowControl w:val="0"/>
            </w:pPr>
            <w:r w:rsidRPr="00C93348">
              <w:t xml:space="preserve">Partitioned survival model (i.e. area under the curve). </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Health states</w:t>
            </w:r>
          </w:p>
        </w:tc>
        <w:tc>
          <w:tcPr>
            <w:tcW w:w="3604" w:type="pct"/>
            <w:shd w:val="clear" w:color="auto" w:fill="auto"/>
            <w:vAlign w:val="center"/>
          </w:tcPr>
          <w:p w:rsidR="00BA00F8" w:rsidRPr="00C93348" w:rsidRDefault="00BA00F8" w:rsidP="004F4D09">
            <w:pPr>
              <w:pStyle w:val="TableText0"/>
              <w:keepNext w:val="0"/>
              <w:widowControl w:val="0"/>
            </w:pPr>
            <w:r w:rsidRPr="00C93348">
              <w:t>Three health states: PF, PD and Dead</w:t>
            </w:r>
            <w:r w:rsidR="00AF4F7D" w:rsidRPr="00C93348">
              <w:t>.</w:t>
            </w:r>
          </w:p>
          <w:p w:rsidR="00BA00F8" w:rsidRPr="00C93348" w:rsidRDefault="00BA00F8" w:rsidP="00AE2593">
            <w:pPr>
              <w:pStyle w:val="TableText0"/>
              <w:keepNext w:val="0"/>
              <w:widowControl w:val="0"/>
            </w:pPr>
            <w:r w:rsidRPr="00C93348">
              <w:t>A change from the previous submission was that patients within the PD health state were separated, in terms of number of days until death (≥180 days, and &lt;180 days), for the purposes of quantifying QALYs. This change ha</w:t>
            </w:r>
            <w:r w:rsidR="008334E0" w:rsidRPr="00C93348">
              <w:t>d</w:t>
            </w:r>
            <w:r w:rsidRPr="00C93348">
              <w:t xml:space="preserve"> only a minor impact on the ICER</w:t>
            </w:r>
            <w:r w:rsidR="00AE2593" w:rsidRPr="00C93348">
              <w:t>.</w:t>
            </w:r>
            <w:r w:rsidRPr="00C93348">
              <w:t xml:space="preserve"> </w:t>
            </w:r>
          </w:p>
        </w:tc>
      </w:tr>
      <w:tr w:rsidR="00BA00F8" w:rsidRPr="00C93348" w:rsidTr="00FA4395">
        <w:tc>
          <w:tcPr>
            <w:tcW w:w="1396" w:type="pct"/>
            <w:shd w:val="clear" w:color="auto" w:fill="auto"/>
            <w:vAlign w:val="center"/>
          </w:tcPr>
          <w:p w:rsidR="00BA00F8" w:rsidRPr="00C93348" w:rsidRDefault="00BA00F8" w:rsidP="004F4D09">
            <w:pPr>
              <w:pStyle w:val="TableText0"/>
              <w:keepNext w:val="0"/>
              <w:widowControl w:val="0"/>
            </w:pPr>
            <w:r w:rsidRPr="00C93348">
              <w:t>Cycle length</w:t>
            </w:r>
          </w:p>
        </w:tc>
        <w:tc>
          <w:tcPr>
            <w:tcW w:w="3604" w:type="pct"/>
            <w:shd w:val="clear" w:color="auto" w:fill="auto"/>
            <w:vAlign w:val="center"/>
          </w:tcPr>
          <w:p w:rsidR="00BA00F8" w:rsidRPr="00C93348" w:rsidRDefault="00BA00F8" w:rsidP="008334E0">
            <w:pPr>
              <w:pStyle w:val="TableText0"/>
              <w:keepNext w:val="0"/>
              <w:widowControl w:val="0"/>
            </w:pPr>
            <w:r w:rsidRPr="00C93348">
              <w:t xml:space="preserve">30 days. </w:t>
            </w:r>
          </w:p>
        </w:tc>
      </w:tr>
      <w:tr w:rsidR="00BA00F8" w:rsidRPr="00C93348" w:rsidTr="00FA4395">
        <w:tc>
          <w:tcPr>
            <w:tcW w:w="1396" w:type="pct"/>
            <w:tcBorders>
              <w:bottom w:val="single" w:sz="4" w:space="0" w:color="auto"/>
            </w:tcBorders>
            <w:shd w:val="clear" w:color="auto" w:fill="auto"/>
            <w:vAlign w:val="center"/>
          </w:tcPr>
          <w:p w:rsidR="00BA00F8" w:rsidRPr="00C93348" w:rsidRDefault="00BA00F8" w:rsidP="004F4D09">
            <w:pPr>
              <w:pStyle w:val="TableText0"/>
              <w:keepNext w:val="0"/>
              <w:widowControl w:val="0"/>
            </w:pPr>
            <w:r w:rsidRPr="00C93348">
              <w:t>Allocation to health states and extrapolation methods</w:t>
            </w:r>
          </w:p>
        </w:tc>
        <w:tc>
          <w:tcPr>
            <w:tcW w:w="3604" w:type="pct"/>
            <w:tcBorders>
              <w:bottom w:val="single" w:sz="4" w:space="0" w:color="auto"/>
            </w:tcBorders>
            <w:shd w:val="clear" w:color="auto" w:fill="auto"/>
          </w:tcPr>
          <w:p w:rsidR="00BA00F8" w:rsidRPr="00C93348" w:rsidRDefault="00BA00F8" w:rsidP="004F4D09">
            <w:pPr>
              <w:pStyle w:val="TableText0"/>
              <w:keepNext w:val="0"/>
              <w:widowControl w:val="0"/>
            </w:pPr>
            <w:r w:rsidRPr="00C93348">
              <w:t>The PFS and OS KM estimates from FLAURA were used directly in the model up to the extrapolation time point</w:t>
            </w:r>
            <w:r w:rsidRPr="00C93348">
              <w:rPr>
                <w:vertAlign w:val="superscript"/>
              </w:rPr>
              <w:t>b</w:t>
            </w:r>
            <w:r w:rsidRPr="00C93348">
              <w:t>.</w:t>
            </w:r>
          </w:p>
          <w:p w:rsidR="00BA00F8" w:rsidRPr="00C93348" w:rsidRDefault="00BA00F8" w:rsidP="004F4D09">
            <w:pPr>
              <w:pStyle w:val="TableText0"/>
              <w:keepNext w:val="0"/>
              <w:widowControl w:val="0"/>
            </w:pPr>
            <w:r w:rsidRPr="00C93348">
              <w:t>Dependent parametric distributions fitted to the observed KM survival estimates were used to extrapolate PFS (Generalised Gamma) and OS (Gompertz) to the model time horizon. Convergence of the OS curves was also implemented from 24 months to ensure no difference in survival at 7.5 years.</w:t>
            </w:r>
          </w:p>
          <w:p w:rsidR="00BA00F8" w:rsidRPr="00C93348" w:rsidRDefault="00BA00F8" w:rsidP="004F4D09">
            <w:pPr>
              <w:pStyle w:val="TableText0"/>
              <w:keepNext w:val="0"/>
              <w:widowControl w:val="0"/>
            </w:pPr>
          </w:p>
          <w:p w:rsidR="00BA00F8" w:rsidRPr="00C93348" w:rsidRDefault="00BA00F8" w:rsidP="004F4D09">
            <w:pPr>
              <w:pStyle w:val="TableText0"/>
              <w:keepNext w:val="0"/>
              <w:widowControl w:val="0"/>
            </w:pPr>
            <w:r w:rsidRPr="00C93348">
              <w:t>70.5% of the incremental life-years gained were accrued in the extrapolated period.</w:t>
            </w:r>
          </w:p>
          <w:p w:rsidR="00BA00F8" w:rsidRPr="00C93348" w:rsidRDefault="00BA00F8" w:rsidP="004F4D09">
            <w:pPr>
              <w:pStyle w:val="TableText0"/>
              <w:keepNext w:val="0"/>
              <w:widowControl w:val="0"/>
            </w:pPr>
          </w:p>
          <w:p w:rsidR="00BA00F8" w:rsidRPr="00C93348" w:rsidRDefault="00BA00F8" w:rsidP="004F4D09">
            <w:pPr>
              <w:pStyle w:val="TableText0"/>
              <w:keepNext w:val="0"/>
              <w:widowControl w:val="0"/>
            </w:pPr>
            <w:r w:rsidRPr="00C93348">
              <w:t xml:space="preserve">While the extrapolation time point for PFS was unchanged from the previous submission, the time point for OS extrapolation was increased from 15 to 24 months. Although an increase in the OS extrapolation time point may be reasonable given the additional data provided in the resubmission, the selection of 24 months </w:t>
            </w:r>
            <w:r w:rsidR="007564FE" w:rsidRPr="00C93348">
              <w:t xml:space="preserve">was </w:t>
            </w:r>
            <w:r w:rsidRPr="00C93348">
              <w:t xml:space="preserve">not justified. Median OS in FLAURA was 38.6 and 31.8 months, respectively, for osimertinib and </w:t>
            </w:r>
            <w:r w:rsidR="00D72D9F" w:rsidRPr="00C93348">
              <w:t>SC</w:t>
            </w:r>
            <w:r w:rsidRPr="00C93348">
              <w:t xml:space="preserve">, and so the selection of 24 months may not be reasonable given preference in the PBAC Guidelines for the use of observed time-to-event data over modelled data up to the point at which the observed data become unreliable. </w:t>
            </w:r>
          </w:p>
          <w:p w:rsidR="00BA00F8" w:rsidRPr="00C93348" w:rsidRDefault="00BA00F8" w:rsidP="00B073C8">
            <w:pPr>
              <w:pStyle w:val="TableText0"/>
              <w:keepNext w:val="0"/>
              <w:widowControl w:val="0"/>
            </w:pPr>
            <w:r w:rsidRPr="00C93348">
              <w:t xml:space="preserve">The </w:t>
            </w:r>
            <w:r w:rsidR="00B073C8" w:rsidRPr="00C93348">
              <w:t xml:space="preserve">dependent </w:t>
            </w:r>
            <w:r w:rsidRPr="00C93348">
              <w:t xml:space="preserve">parametric model selected for OS extrapolation (Gompertz) and the implementation of OS curve convergence were additional changes made in the model relative to the previous submission. These </w:t>
            </w:r>
            <w:r w:rsidR="007564FE" w:rsidRPr="00C93348">
              <w:t xml:space="preserve">changes </w:t>
            </w:r>
            <w:r w:rsidRPr="00C93348">
              <w:t>were consistent with the previous PBAC consideration (</w:t>
            </w:r>
            <w:r w:rsidR="00D309A3" w:rsidRPr="00C93348">
              <w:t xml:space="preserve">paragraph </w:t>
            </w:r>
            <w:r w:rsidRPr="00C93348">
              <w:t>7.11, Osimertinib PSD, July 2019 PBAC Meeting).</w:t>
            </w:r>
          </w:p>
        </w:tc>
      </w:tr>
      <w:tr w:rsidR="00BA00F8" w:rsidRPr="00C93348" w:rsidTr="00FA4395">
        <w:tc>
          <w:tcPr>
            <w:tcW w:w="1396" w:type="pct"/>
            <w:tcBorders>
              <w:bottom w:val="single" w:sz="4" w:space="0" w:color="auto"/>
            </w:tcBorders>
            <w:shd w:val="clear" w:color="auto" w:fill="auto"/>
            <w:vAlign w:val="center"/>
          </w:tcPr>
          <w:p w:rsidR="00BA00F8" w:rsidRPr="00C93348" w:rsidRDefault="00BA00F8" w:rsidP="004F4D09">
            <w:pPr>
              <w:pStyle w:val="TableText0"/>
              <w:keepNext w:val="0"/>
            </w:pPr>
            <w:r w:rsidRPr="00C93348">
              <w:t>Health related quality of life</w:t>
            </w:r>
          </w:p>
        </w:tc>
        <w:tc>
          <w:tcPr>
            <w:tcW w:w="3604" w:type="pct"/>
            <w:tcBorders>
              <w:bottom w:val="single" w:sz="4" w:space="0" w:color="auto"/>
            </w:tcBorders>
            <w:shd w:val="clear" w:color="auto" w:fill="auto"/>
          </w:tcPr>
          <w:p w:rsidR="00BA00F8" w:rsidRPr="00C93348" w:rsidRDefault="00BA00F8" w:rsidP="004F4D09">
            <w:pPr>
              <w:pStyle w:val="TableText0"/>
              <w:keepNext w:val="0"/>
            </w:pPr>
            <w:r w:rsidRPr="00C93348">
              <w:t xml:space="preserve">PF utilities were mapped from the EORTC QLQ-C30 measured in FLAURA to EQ-5D (osimertinib: 0.804; </w:t>
            </w:r>
            <w:r w:rsidR="00D72D9F" w:rsidRPr="00C93348">
              <w:t>SC</w:t>
            </w:r>
            <w:r w:rsidRPr="00C93348">
              <w:t>: 0.784).</w:t>
            </w:r>
          </w:p>
          <w:p w:rsidR="00BA00F8" w:rsidRPr="00C93348" w:rsidRDefault="00BA00F8" w:rsidP="004F4D09">
            <w:pPr>
              <w:pStyle w:val="TableText0"/>
              <w:keepNext w:val="0"/>
            </w:pPr>
            <w:r w:rsidRPr="00C93348">
              <w:t>PD utilities varied by time to death:</w:t>
            </w:r>
          </w:p>
          <w:p w:rsidR="00BA00F8" w:rsidRPr="00C93348" w:rsidRDefault="00BA00F8" w:rsidP="008C3F6D">
            <w:pPr>
              <w:pStyle w:val="TableText0"/>
              <w:keepNext w:val="0"/>
              <w:numPr>
                <w:ilvl w:val="0"/>
                <w:numId w:val="5"/>
              </w:numPr>
              <w:ind w:left="253" w:hanging="142"/>
            </w:pPr>
            <w:r w:rsidRPr="00C93348">
              <w:t>in patients with ≥180 days to death, the same utility was applied to both treatment arms (</w:t>
            </w:r>
            <w:r w:rsidR="00B27C72">
              <w:rPr>
                <w:noProof/>
                <w:color w:val="000000"/>
                <w:highlight w:val="black"/>
              </w:rPr>
              <w:t>'''''''''''''</w:t>
            </w:r>
            <w:r w:rsidRPr="00C93348">
              <w:t>). This was mapped from EORTC QLQ-C30 to EQ-5D in patients with progressive disease (up to PFS2) in FLAURA</w:t>
            </w:r>
          </w:p>
          <w:p w:rsidR="00BA00F8" w:rsidRPr="00C93348" w:rsidRDefault="00BA00F8" w:rsidP="008C3F6D">
            <w:pPr>
              <w:pStyle w:val="TableText0"/>
              <w:keepNext w:val="0"/>
              <w:numPr>
                <w:ilvl w:val="0"/>
                <w:numId w:val="5"/>
              </w:numPr>
              <w:ind w:left="253" w:hanging="142"/>
            </w:pPr>
            <w:r w:rsidRPr="00C93348">
              <w:t>in patients with &lt;180 days to death, a lower utility, 0.590, was applied (Chouaid 2013</w:t>
            </w:r>
            <w:r w:rsidRPr="00C93348">
              <w:rPr>
                <w:rStyle w:val="FootnoteReference"/>
              </w:rPr>
              <w:footnoteReference w:id="5"/>
            </w:r>
            <w:r w:rsidRPr="00C93348">
              <w:t>)</w:t>
            </w:r>
          </w:p>
          <w:p w:rsidR="00BA00F8" w:rsidRPr="00C93348" w:rsidRDefault="00BA00F8" w:rsidP="004F4D09">
            <w:pPr>
              <w:pStyle w:val="TableText0"/>
              <w:keepNext w:val="0"/>
              <w:ind w:left="253"/>
            </w:pPr>
          </w:p>
          <w:p w:rsidR="00BA00F8" w:rsidRPr="00C93348" w:rsidRDefault="00BA00F8" w:rsidP="004F4D09">
            <w:pPr>
              <w:pStyle w:val="TableText0"/>
              <w:keepNext w:val="0"/>
            </w:pPr>
            <w:r w:rsidRPr="00C93348">
              <w:t>The PF utilities were unchanged from the previous submission. The validity and applicability of the mapping algorithm used in the economic evaluation was uncertain. However, the economic model was not sensitive to changes in health state utilities.</w:t>
            </w:r>
          </w:p>
          <w:p w:rsidR="00BA00F8" w:rsidRPr="00C93348" w:rsidRDefault="00BA00F8" w:rsidP="004F4D09">
            <w:pPr>
              <w:pStyle w:val="TableText0"/>
              <w:keepNext w:val="0"/>
            </w:pPr>
          </w:p>
          <w:p w:rsidR="00BA00F8" w:rsidRPr="00C93348" w:rsidRDefault="00BA00F8" w:rsidP="008334E0">
            <w:pPr>
              <w:pStyle w:val="TableText0"/>
              <w:keepNext w:val="0"/>
            </w:pPr>
            <w:r w:rsidRPr="00C93348">
              <w:t>The application of different utilities by time to death in the PD health state was a different approach to that used in the previous submission (where a single utility was applied). While no justification was provided for this change, this only has a minor impact on the ICER.</w:t>
            </w:r>
          </w:p>
        </w:tc>
      </w:tr>
    </w:tbl>
    <w:p w:rsidR="00BA00F8" w:rsidRPr="00C93348" w:rsidRDefault="00BA00F8" w:rsidP="00BA00F8">
      <w:pPr>
        <w:pStyle w:val="TableFigureFooter"/>
      </w:pPr>
      <w:r w:rsidRPr="00C93348">
        <w:t>Source: Table 3.1.2, p92 of the resubmission.</w:t>
      </w:r>
    </w:p>
    <w:p w:rsidR="00BA00F8" w:rsidRPr="00C93348" w:rsidRDefault="00BA00F8" w:rsidP="00BA00F8">
      <w:pPr>
        <w:pStyle w:val="TableFigureFooter"/>
      </w:pPr>
      <w:r w:rsidRPr="00C93348">
        <w:t xml:space="preserve">EGFRm= epidermal growth factor receptor mutation positive; EORTC QLQ-C30 = European organisation for research and treatment of cancer quality of life questionnaire – core 30 items; EQ-5D = EuroQol – 5 dimensions; </w:t>
      </w:r>
      <w:r w:rsidR="00B073C8" w:rsidRPr="00C93348">
        <w:t xml:space="preserve">ICER = incremental cost-effectiveness ratio; KM = Kaplan-Meier; </w:t>
      </w:r>
      <w:r w:rsidRPr="00C93348">
        <w:t xml:space="preserve">LY = life-year; NSCLC = non-small cell lung cancer; OS = overall survival; PD = progressive disease; PF = Progression-Free; PFS = progression-free survival; </w:t>
      </w:r>
      <w:r w:rsidR="00B073C8" w:rsidRPr="00C93348">
        <w:t xml:space="preserve">PFS2 = time from randomisation to second progression; PSD = public summary document; </w:t>
      </w:r>
      <w:r w:rsidRPr="00C93348">
        <w:t xml:space="preserve">QALY = quality-adjusted life-year; </w:t>
      </w:r>
      <w:r w:rsidR="00D72D9F" w:rsidRPr="00C93348">
        <w:t>SC</w:t>
      </w:r>
      <w:r w:rsidRPr="00C93348">
        <w:t xml:space="preserve"> = standard of care (erlotinib/gefitinib).</w:t>
      </w:r>
    </w:p>
    <w:p w:rsidR="00BA00F8" w:rsidRPr="00C93348" w:rsidRDefault="00BA00F8" w:rsidP="00BA00F8">
      <w:pPr>
        <w:pStyle w:val="TableFigureFooter"/>
        <w:rPr>
          <w:vertAlign w:val="superscript"/>
        </w:rPr>
      </w:pPr>
      <w:r w:rsidRPr="00C93348">
        <w:rPr>
          <w:vertAlign w:val="superscript"/>
        </w:rPr>
        <w:t xml:space="preserve">a </w:t>
      </w:r>
      <w:r w:rsidRPr="00C93348">
        <w:t xml:space="preserve">Corresponds to the latest time point at which observed PFS and OS data were available for both osimertinib and </w:t>
      </w:r>
      <w:r w:rsidR="00D72D9F" w:rsidRPr="00C93348">
        <w:t>SC</w:t>
      </w:r>
      <w:r w:rsidRPr="00C93348">
        <w:t xml:space="preserve"> arms</w:t>
      </w:r>
    </w:p>
    <w:p w:rsidR="00BA00F8" w:rsidRPr="00C93348" w:rsidRDefault="00BA00F8" w:rsidP="00BA00F8">
      <w:pPr>
        <w:pStyle w:val="TableFigureFooter"/>
      </w:pPr>
      <w:r w:rsidRPr="00C93348">
        <w:rPr>
          <w:vertAlign w:val="superscript"/>
        </w:rPr>
        <w:t>b</w:t>
      </w:r>
      <w:r w:rsidRPr="00C93348">
        <w:t xml:space="preserve"> The extrapolation time point for PFS was 19 months for osimertinib and 11 months for </w:t>
      </w:r>
      <w:r w:rsidR="00D72D9F" w:rsidRPr="00C93348">
        <w:t>SC</w:t>
      </w:r>
      <w:r w:rsidRPr="00C93348">
        <w:t>; the extrapolation time point for OS (both treatment arms) was 24 months.</w:t>
      </w:r>
    </w:p>
    <w:p w:rsidR="00BA00F8" w:rsidRPr="00C93348" w:rsidRDefault="00BA00F8" w:rsidP="00B43BE5">
      <w:pPr>
        <w:pStyle w:val="3-BodyText"/>
      </w:pPr>
      <w:r w:rsidRPr="00C93348">
        <w:t>In its consideration of the July 2019 submission, the PBAC identified a number of changes that would need to be made in any future resubmission (paragraph 7.13, Osimertinib PSD, July 2019 PBAC Meeting). While the resubmission adopted the majority of these suggested changes, it did not use the extrapolated time to treatment discontinuation (TTD) curve to estimate the cost of treatment with osimertinib in the base case analysis, as had been suggested. The model</w:t>
      </w:r>
      <w:r w:rsidR="003264F3" w:rsidRPr="00C93348">
        <w:t xml:space="preserve"> </w:t>
      </w:r>
      <w:r w:rsidR="00DD13DA" w:rsidRPr="00C93348">
        <w:t xml:space="preserve">used </w:t>
      </w:r>
      <w:r w:rsidR="003264F3" w:rsidRPr="00C93348">
        <w:t>the cost of</w:t>
      </w:r>
      <w:r w:rsidRPr="00C93348">
        <w:t xml:space="preserve"> </w:t>
      </w:r>
      <w:r w:rsidR="00B27C72">
        <w:rPr>
          <w:noProof/>
          <w:color w:val="000000"/>
          <w:highlight w:val="black"/>
        </w:rPr>
        <w:t>''''''''</w:t>
      </w:r>
      <w:r w:rsidR="003264F3" w:rsidRPr="00C93348">
        <w:t xml:space="preserve"> packs </w:t>
      </w:r>
      <w:r w:rsidR="00F310BD" w:rsidRPr="00C93348">
        <w:t xml:space="preserve">of </w:t>
      </w:r>
      <w:r w:rsidR="003264F3" w:rsidRPr="00C93348">
        <w:t>osimertinib</w:t>
      </w:r>
      <w:r w:rsidRPr="00C93348">
        <w:t xml:space="preserve">, </w:t>
      </w:r>
      <w:r w:rsidR="003264F3" w:rsidRPr="00C93348">
        <w:t xml:space="preserve">compared with the estimated use of </w:t>
      </w:r>
      <w:r w:rsidR="00B27C72">
        <w:rPr>
          <w:noProof/>
          <w:color w:val="000000"/>
          <w:highlight w:val="black"/>
        </w:rPr>
        <w:t>''''''''</w:t>
      </w:r>
      <w:r w:rsidRPr="00C93348">
        <w:t xml:space="preserve"> </w:t>
      </w:r>
      <w:r w:rsidR="003264F3" w:rsidRPr="00C93348">
        <w:t>packs (</w:t>
      </w:r>
      <w:r w:rsidRPr="00C93348">
        <w:t>based on the extrapolated TTD curve</w:t>
      </w:r>
      <w:r w:rsidR="003264F3" w:rsidRPr="00C93348">
        <w:t>)</w:t>
      </w:r>
      <w:r w:rsidRPr="00C93348">
        <w:t xml:space="preserve">. </w:t>
      </w:r>
      <w:r w:rsidR="003264F3" w:rsidRPr="00C93348">
        <w:rPr>
          <w:iCs/>
        </w:rPr>
        <w:t>The financial est</w:t>
      </w:r>
      <w:r w:rsidR="00D35208" w:rsidRPr="00C93348">
        <w:rPr>
          <w:iCs/>
        </w:rPr>
        <w:t>imates and caps also assume</w:t>
      </w:r>
      <w:r w:rsidR="00D35208" w:rsidRPr="00F7105E">
        <w:rPr>
          <w:iCs/>
        </w:rPr>
        <w:t xml:space="preserve"> </w:t>
      </w:r>
      <w:r w:rsidR="00B27C72">
        <w:rPr>
          <w:iCs/>
          <w:noProof/>
          <w:color w:val="000000"/>
          <w:highlight w:val="black"/>
        </w:rPr>
        <w:t>'''''</w:t>
      </w:r>
      <w:r w:rsidR="003264F3" w:rsidRPr="00C93348">
        <w:rPr>
          <w:iCs/>
        </w:rPr>
        <w:t xml:space="preserve"> packs per patient. </w:t>
      </w:r>
      <w:r w:rsidRPr="00C93348">
        <w:t xml:space="preserve">Sensitivity analyses were presented in the resubmission assuming </w:t>
      </w:r>
      <w:r w:rsidR="00B27C72">
        <w:rPr>
          <w:noProof/>
          <w:color w:val="000000"/>
          <w:highlight w:val="black"/>
        </w:rPr>
        <w:t>''''''''</w:t>
      </w:r>
      <w:r w:rsidR="003264F3" w:rsidRPr="00C93348">
        <w:t xml:space="preserve"> packs of </w:t>
      </w:r>
      <w:r w:rsidRPr="00C93348">
        <w:t>osimertinib. The ICER is highly sensitive to this change.</w:t>
      </w:r>
      <w:r w:rsidR="00B43BE5" w:rsidRPr="00C93348">
        <w:t xml:space="preserve"> </w:t>
      </w:r>
      <w:r w:rsidR="00740DF7" w:rsidRPr="00C93348">
        <w:t>The ESC considered it</w:t>
      </w:r>
      <w:r w:rsidR="007B73DD" w:rsidRPr="00C93348">
        <w:t xml:space="preserve"> would be </w:t>
      </w:r>
      <w:r w:rsidR="004A1507" w:rsidRPr="00C93348">
        <w:t>appropriate to include</w:t>
      </w:r>
      <w:r w:rsidR="005E2DE7" w:rsidRPr="00C93348">
        <w:t xml:space="preserve"> a</w:t>
      </w:r>
      <w:r w:rsidR="004A1507" w:rsidRPr="00C93348">
        <w:t xml:space="preserve"> treatment cost of </w:t>
      </w:r>
      <w:r w:rsidR="00B27C72">
        <w:rPr>
          <w:noProof/>
          <w:color w:val="000000"/>
          <w:highlight w:val="black"/>
        </w:rPr>
        <w:t>''''''''</w:t>
      </w:r>
      <w:r w:rsidR="004A1507" w:rsidRPr="00C93348">
        <w:t xml:space="preserve"> packs </w:t>
      </w:r>
      <w:r w:rsidR="005E2DE7" w:rsidRPr="00C93348">
        <w:t xml:space="preserve">of osimertinib </w:t>
      </w:r>
      <w:r w:rsidR="004A1507" w:rsidRPr="00C93348">
        <w:t xml:space="preserve">(i.e., as estimated by the TTD curve) in the economic model. </w:t>
      </w:r>
      <w:r w:rsidR="00B43BE5" w:rsidRPr="00C93348">
        <w:t xml:space="preserve">The ESC considered the use of </w:t>
      </w:r>
      <w:r w:rsidR="00B27C72">
        <w:rPr>
          <w:noProof/>
          <w:color w:val="000000"/>
          <w:highlight w:val="black"/>
        </w:rPr>
        <w:t>''''''''</w:t>
      </w:r>
      <w:r w:rsidR="00B43BE5" w:rsidRPr="00C93348">
        <w:t xml:space="preserve"> packs to estimate the cost of treatment with osimertinib </w:t>
      </w:r>
      <w:r w:rsidR="007B73DD" w:rsidRPr="00C93348">
        <w:t xml:space="preserve">would be </w:t>
      </w:r>
      <w:r w:rsidR="00B43BE5" w:rsidRPr="00C93348">
        <w:t xml:space="preserve">appropriate </w:t>
      </w:r>
      <w:r w:rsidR="007D7E6E" w:rsidRPr="00C93348">
        <w:t xml:space="preserve">only </w:t>
      </w:r>
      <w:r w:rsidR="00B43BE5" w:rsidRPr="00C93348">
        <w:t xml:space="preserve">if </w:t>
      </w:r>
      <w:r w:rsidR="00DB063A" w:rsidRPr="00C93348">
        <w:t xml:space="preserve">the </w:t>
      </w:r>
      <w:r w:rsidR="002C26AB" w:rsidRPr="00C93348">
        <w:t xml:space="preserve">cost per patient </w:t>
      </w:r>
      <w:r w:rsidR="00DB063A" w:rsidRPr="00C93348">
        <w:t>could be reliably capped through a Risk Sharing Arrangement (RSA)</w:t>
      </w:r>
      <w:r w:rsidR="007B73DD" w:rsidRPr="00C93348">
        <w:t>.</w:t>
      </w:r>
      <w:r w:rsidR="004A0B30" w:rsidRPr="00C93348">
        <w:t xml:space="preserve"> </w:t>
      </w:r>
    </w:p>
    <w:p w:rsidR="00B0653D" w:rsidRPr="00C93348" w:rsidRDefault="00BA00F8" w:rsidP="004D224C">
      <w:pPr>
        <w:pStyle w:val="3-BodyText"/>
      </w:pPr>
      <w:r w:rsidRPr="00C93348">
        <w:t xml:space="preserve">The resubmission did not use the data from the FLAURA trial to estimate the costs of later-line osimertinib (though the health outcomes were </w:t>
      </w:r>
      <w:r w:rsidR="00F310BD" w:rsidRPr="00C93348">
        <w:t>trial-</w:t>
      </w:r>
      <w:r w:rsidRPr="00C93348">
        <w:t xml:space="preserve">based). In the FLAURA trial, 41.3% </w:t>
      </w:r>
      <w:r w:rsidR="00FF5813" w:rsidRPr="00C93348">
        <w:t xml:space="preserve">(109/264) </w:t>
      </w:r>
      <w:r w:rsidRPr="00C93348">
        <w:t xml:space="preserve">of patients discontinuing </w:t>
      </w:r>
      <w:r w:rsidR="00D72D9F" w:rsidRPr="00C93348">
        <w:t>SC</w:t>
      </w:r>
      <w:r w:rsidRPr="00C93348">
        <w:t xml:space="preserve"> received later-line osimertinib, while the model in the resubmission applied the cost of later-line osimertinib to 75.6% of patients discontinuing first-line </w:t>
      </w:r>
      <w:r w:rsidR="00D72D9F" w:rsidRPr="00C93348">
        <w:t>SC</w:t>
      </w:r>
      <w:r w:rsidRPr="00C93348">
        <w:t xml:space="preserve">. </w:t>
      </w:r>
      <w:r w:rsidR="00FF5813" w:rsidRPr="00C93348">
        <w:t xml:space="preserve">This was derived from an assumption that 49% of patients would subsequently receive later-line osimertinib. When applied to the number of patients randomised to </w:t>
      </w:r>
      <w:r w:rsidR="00D72D9F" w:rsidRPr="00C93348">
        <w:t>SC</w:t>
      </w:r>
      <w:r w:rsidR="00FF5813" w:rsidRPr="00C93348">
        <w:t xml:space="preserve"> in the FLAURA trial, this was estimated to be 136 patients. While this reflects 51.5% (136/264) of patients that had discontinued </w:t>
      </w:r>
      <w:r w:rsidR="00D72D9F" w:rsidRPr="00C93348">
        <w:t>SC</w:t>
      </w:r>
      <w:r w:rsidR="00FF5813" w:rsidRPr="00C93348">
        <w:t>, the denominator applied in the model was</w:t>
      </w:r>
      <w:r w:rsidR="00B73670" w:rsidRPr="00C93348">
        <w:t>, incorrectly,</w:t>
      </w:r>
      <w:r w:rsidR="00FF5813" w:rsidRPr="00C93348">
        <w:t xml:space="preserve"> the number of patients that received any treatment after randomised </w:t>
      </w:r>
      <w:r w:rsidR="00D72D9F" w:rsidRPr="00C93348">
        <w:t>SC</w:t>
      </w:r>
      <w:r w:rsidR="00FF5813" w:rsidRPr="00C93348">
        <w:t xml:space="preserve"> (180), and so the proportion of cost </w:t>
      </w:r>
      <w:r w:rsidR="00B73670" w:rsidRPr="00C93348">
        <w:t xml:space="preserve">that was therefore </w:t>
      </w:r>
      <w:r w:rsidR="00FF5813" w:rsidRPr="00C93348">
        <w:t xml:space="preserve">applied on discontinuation of first-line </w:t>
      </w:r>
      <w:r w:rsidR="00D72D9F" w:rsidRPr="00C93348">
        <w:t>SC</w:t>
      </w:r>
      <w:r w:rsidR="00FF5813" w:rsidRPr="00C93348">
        <w:t xml:space="preserve"> modelled was 75.6% (136/180)</w:t>
      </w:r>
      <w:r w:rsidR="0092495C" w:rsidRPr="00C93348">
        <w:t xml:space="preserve"> (</w:t>
      </w:r>
      <w:r w:rsidR="00CC4472" w:rsidRPr="00C93348">
        <w:t xml:space="preserve">Table </w:t>
      </w:r>
      <w:r w:rsidR="00CC4472">
        <w:t>10</w:t>
      </w:r>
      <w:r w:rsidR="0092495C" w:rsidRPr="00C93348">
        <w:t>)</w:t>
      </w:r>
      <w:r w:rsidR="00FF5813" w:rsidRPr="00C93348">
        <w:t>.</w:t>
      </w:r>
      <w:r w:rsidR="00F310BD" w:rsidRPr="00C93348">
        <w:t xml:space="preserve"> </w:t>
      </w:r>
      <w:r w:rsidRPr="00C93348">
        <w:t>This is not reasonable given that outcomes have not been similarly adjusted. The application of costs and outcomes in the model that relate to later-line osimertinib use remains inconsistent. The incremental cost-effectiveness ratio (ICER) is sensitive to the proportion of patients receiving later-line osimertinib.</w:t>
      </w:r>
      <w:r w:rsidR="00B43BE5" w:rsidRPr="00C93348">
        <w:t xml:space="preserve"> </w:t>
      </w:r>
      <w:r w:rsidR="004D224C" w:rsidRPr="00C93348">
        <w:rPr>
          <w:iCs/>
        </w:rPr>
        <w:t>The ESC noted the assumption that 49% of patients would receive later-line osimertinib was consistent with that assumed for the current osimertinib second-line PBS listing which assumed that 49% of patients treated with first-line TKI inhibitors would</w:t>
      </w:r>
      <w:r w:rsidR="005D2FDD" w:rsidRPr="00C93348">
        <w:rPr>
          <w:iCs/>
        </w:rPr>
        <w:t xml:space="preserve"> subsequently be found to have </w:t>
      </w:r>
      <w:r w:rsidR="004D224C" w:rsidRPr="00C93348">
        <w:rPr>
          <w:iCs/>
        </w:rPr>
        <w:t xml:space="preserve">a T790M mutation. </w:t>
      </w:r>
      <w:r w:rsidR="00B43BE5" w:rsidRPr="00C93348">
        <w:t>The ESC considered</w:t>
      </w:r>
      <w:r w:rsidR="00BD5411" w:rsidRPr="00C93348">
        <w:t xml:space="preserve"> it may be reasonable to use the corrected rate (51.5%) in the base case analysis</w:t>
      </w:r>
      <w:r w:rsidR="00FA0F8F" w:rsidRPr="00C93348">
        <w:t xml:space="preserve"> but noted the use of this estimate potentially resulted in the cost offsets being inconsistent with the health outcomes in the FLAURA trial.</w:t>
      </w:r>
      <w:r w:rsidR="00BD5411" w:rsidRPr="00C93348">
        <w:t xml:space="preserve"> </w:t>
      </w:r>
    </w:p>
    <w:p w:rsidR="00B0653D" w:rsidRPr="00C93348" w:rsidRDefault="00B0653D" w:rsidP="00B0653D">
      <w:pPr>
        <w:pStyle w:val="TableFigureHeading"/>
      </w:pPr>
      <w:bookmarkStart w:id="56" w:name="_Ref40637178"/>
      <w:r w:rsidRPr="00C93348">
        <w:t xml:space="preserve">Table </w:t>
      </w:r>
      <w:r w:rsidR="00CC4472">
        <w:rPr>
          <w:noProof/>
        </w:rPr>
        <w:t>10</w:t>
      </w:r>
      <w:bookmarkEnd w:id="56"/>
      <w:r w:rsidRPr="00C93348">
        <w:t>: A comparison of later-line osimertinib use in FLAURA and as used in the economic evaluation</w:t>
      </w:r>
    </w:p>
    <w:tbl>
      <w:tblPr>
        <w:tblStyle w:val="TableGrid"/>
        <w:tblW w:w="5000" w:type="pct"/>
        <w:tblLook w:val="04A0" w:firstRow="1" w:lastRow="0" w:firstColumn="1" w:lastColumn="0" w:noHBand="0" w:noVBand="1"/>
      </w:tblPr>
      <w:tblGrid>
        <w:gridCol w:w="5157"/>
        <w:gridCol w:w="1930"/>
        <w:gridCol w:w="1930"/>
      </w:tblGrid>
      <w:tr w:rsidR="00B0653D" w:rsidRPr="00C93348" w:rsidTr="00FA4395">
        <w:tc>
          <w:tcPr>
            <w:tcW w:w="2860" w:type="pct"/>
            <w:tcBorders>
              <w:bottom w:val="single" w:sz="4" w:space="0" w:color="auto"/>
            </w:tcBorders>
          </w:tcPr>
          <w:p w:rsidR="00B0653D" w:rsidRPr="00C93348" w:rsidRDefault="00B0653D" w:rsidP="006149ED">
            <w:pPr>
              <w:pStyle w:val="In-tableHeading"/>
              <w:rPr>
                <w:lang w:val="en-AU"/>
              </w:rPr>
            </w:pPr>
          </w:p>
        </w:tc>
        <w:tc>
          <w:tcPr>
            <w:tcW w:w="1070" w:type="pct"/>
            <w:tcBorders>
              <w:bottom w:val="single" w:sz="4" w:space="0" w:color="auto"/>
            </w:tcBorders>
          </w:tcPr>
          <w:p w:rsidR="00B0653D" w:rsidRPr="00C93348" w:rsidRDefault="00D72D9F" w:rsidP="006149ED">
            <w:pPr>
              <w:pStyle w:val="In-tableHeading"/>
              <w:jc w:val="center"/>
              <w:rPr>
                <w:lang w:val="en-AU"/>
              </w:rPr>
            </w:pPr>
            <w:r w:rsidRPr="00C93348">
              <w:rPr>
                <w:lang w:val="en-AU"/>
              </w:rPr>
              <w:t>SC</w:t>
            </w:r>
            <w:r w:rsidR="00AE4C5D" w:rsidRPr="00C93348">
              <w:rPr>
                <w:lang w:val="en-AU"/>
              </w:rPr>
              <w:t xml:space="preserve"> FLAURA</w:t>
            </w:r>
            <w:r w:rsidR="00B0653D" w:rsidRPr="00C93348">
              <w:rPr>
                <w:lang w:val="en-AU"/>
              </w:rPr>
              <w:br/>
              <w:t>N = 277</w:t>
            </w:r>
          </w:p>
        </w:tc>
        <w:tc>
          <w:tcPr>
            <w:tcW w:w="1070" w:type="pct"/>
            <w:tcBorders>
              <w:bottom w:val="single" w:sz="4" w:space="0" w:color="auto"/>
            </w:tcBorders>
          </w:tcPr>
          <w:p w:rsidR="00B0653D" w:rsidRPr="00C93348" w:rsidRDefault="00D72D9F" w:rsidP="006149ED">
            <w:pPr>
              <w:pStyle w:val="In-tableHeading"/>
              <w:jc w:val="center"/>
              <w:rPr>
                <w:lang w:val="en-AU"/>
              </w:rPr>
            </w:pPr>
            <w:r w:rsidRPr="00C93348">
              <w:rPr>
                <w:lang w:val="en-AU"/>
              </w:rPr>
              <w:t>SC</w:t>
            </w:r>
            <w:r w:rsidR="00B0653D" w:rsidRPr="00C93348">
              <w:rPr>
                <w:lang w:val="en-AU"/>
              </w:rPr>
              <w:t xml:space="preserve"> model arm</w:t>
            </w:r>
          </w:p>
        </w:tc>
      </w:tr>
      <w:tr w:rsidR="00B0653D" w:rsidRPr="00C93348" w:rsidTr="00FA4395">
        <w:tc>
          <w:tcPr>
            <w:tcW w:w="2860" w:type="pct"/>
            <w:tcBorders>
              <w:top w:val="nil"/>
              <w:bottom w:val="nil"/>
            </w:tcBorders>
          </w:tcPr>
          <w:p w:rsidR="00B0653D" w:rsidRPr="00C93348" w:rsidRDefault="00B0653D" w:rsidP="006149ED">
            <w:pPr>
              <w:pStyle w:val="TableText0"/>
            </w:pPr>
            <w:r w:rsidRPr="00C93348">
              <w:t>Patients that discontinue randomised treatment</w:t>
            </w:r>
          </w:p>
        </w:tc>
        <w:tc>
          <w:tcPr>
            <w:tcW w:w="1070" w:type="pct"/>
            <w:tcBorders>
              <w:top w:val="nil"/>
              <w:bottom w:val="nil"/>
            </w:tcBorders>
          </w:tcPr>
          <w:p w:rsidR="00B0653D" w:rsidRPr="00C93348" w:rsidRDefault="00B0653D" w:rsidP="006149ED">
            <w:pPr>
              <w:pStyle w:val="TableText0"/>
              <w:jc w:val="center"/>
            </w:pPr>
            <w:r w:rsidRPr="00C93348">
              <w:t>264 (100%)</w:t>
            </w:r>
          </w:p>
        </w:tc>
        <w:tc>
          <w:tcPr>
            <w:tcW w:w="1070" w:type="pct"/>
            <w:tcBorders>
              <w:top w:val="nil"/>
              <w:bottom w:val="nil"/>
            </w:tcBorders>
          </w:tcPr>
          <w:p w:rsidR="00B0653D" w:rsidRPr="00C93348" w:rsidRDefault="00B0653D" w:rsidP="006149ED">
            <w:pPr>
              <w:pStyle w:val="TableText0"/>
              <w:jc w:val="center"/>
            </w:pPr>
            <w:r w:rsidRPr="00C93348">
              <w:t>100%</w:t>
            </w:r>
          </w:p>
        </w:tc>
      </w:tr>
      <w:tr w:rsidR="00B0653D" w:rsidRPr="00C93348" w:rsidTr="00FA4395">
        <w:tc>
          <w:tcPr>
            <w:tcW w:w="2860" w:type="pct"/>
            <w:tcBorders>
              <w:bottom w:val="single" w:sz="4" w:space="0" w:color="auto"/>
              <w:right w:val="single" w:sz="4" w:space="0" w:color="auto"/>
            </w:tcBorders>
          </w:tcPr>
          <w:p w:rsidR="00B0653D" w:rsidRPr="00C93348" w:rsidRDefault="00B0653D" w:rsidP="006149ED">
            <w:pPr>
              <w:pStyle w:val="TableText0"/>
            </w:pPr>
            <w:r w:rsidRPr="00C93348">
              <w:t>Patients that receive any subsequent treatment</w:t>
            </w:r>
          </w:p>
        </w:tc>
        <w:tc>
          <w:tcPr>
            <w:tcW w:w="1070" w:type="pct"/>
            <w:tcBorders>
              <w:left w:val="single" w:sz="4" w:space="0" w:color="auto"/>
              <w:bottom w:val="single" w:sz="4" w:space="0" w:color="auto"/>
              <w:right w:val="single" w:sz="4" w:space="0" w:color="auto"/>
            </w:tcBorders>
          </w:tcPr>
          <w:p w:rsidR="00B0653D" w:rsidRPr="00C93348" w:rsidRDefault="00B0653D" w:rsidP="006149ED">
            <w:pPr>
              <w:pStyle w:val="TableText0"/>
              <w:jc w:val="center"/>
            </w:pPr>
            <w:r w:rsidRPr="00C93348">
              <w:t>180 (68.2%)</w:t>
            </w:r>
          </w:p>
        </w:tc>
        <w:tc>
          <w:tcPr>
            <w:tcW w:w="1070" w:type="pct"/>
            <w:tcBorders>
              <w:left w:val="single" w:sz="4" w:space="0" w:color="auto"/>
              <w:bottom w:val="single" w:sz="4" w:space="0" w:color="auto"/>
              <w:right w:val="single" w:sz="4" w:space="0" w:color="auto"/>
            </w:tcBorders>
          </w:tcPr>
          <w:p w:rsidR="00B0653D" w:rsidRPr="00C93348" w:rsidRDefault="00B0653D" w:rsidP="006149ED">
            <w:pPr>
              <w:pStyle w:val="TableText0"/>
              <w:jc w:val="center"/>
            </w:pPr>
            <w:r w:rsidRPr="00C93348">
              <w:t>68.2% [180/264]</w:t>
            </w:r>
          </w:p>
        </w:tc>
      </w:tr>
      <w:tr w:rsidR="00B0653D" w:rsidRPr="00C93348" w:rsidTr="00FA4395">
        <w:tc>
          <w:tcPr>
            <w:tcW w:w="2860" w:type="pct"/>
            <w:tcBorders>
              <w:bottom w:val="nil"/>
            </w:tcBorders>
          </w:tcPr>
          <w:p w:rsidR="00B0653D" w:rsidRPr="00C93348" w:rsidRDefault="00B0653D" w:rsidP="006149ED">
            <w:pPr>
              <w:pStyle w:val="TableText0"/>
            </w:pPr>
            <w:r w:rsidRPr="00C93348">
              <w:t>Total patients that receive later-line osimertinib</w:t>
            </w:r>
          </w:p>
        </w:tc>
        <w:tc>
          <w:tcPr>
            <w:tcW w:w="1070" w:type="pct"/>
            <w:tcBorders>
              <w:bottom w:val="nil"/>
            </w:tcBorders>
          </w:tcPr>
          <w:p w:rsidR="00B0653D" w:rsidRPr="00C93348" w:rsidRDefault="00B0653D" w:rsidP="006149ED">
            <w:pPr>
              <w:pStyle w:val="TableText0"/>
              <w:jc w:val="center"/>
            </w:pPr>
            <w:r w:rsidRPr="00C93348">
              <w:t>109 (41.3%)</w:t>
            </w:r>
          </w:p>
        </w:tc>
        <w:tc>
          <w:tcPr>
            <w:tcW w:w="1070" w:type="pct"/>
            <w:tcBorders>
              <w:bottom w:val="nil"/>
            </w:tcBorders>
          </w:tcPr>
          <w:p w:rsidR="00B0653D" w:rsidRPr="00C93348" w:rsidRDefault="00B0653D" w:rsidP="006149ED">
            <w:pPr>
              <w:pStyle w:val="TableText0"/>
              <w:jc w:val="center"/>
            </w:pPr>
            <w:r w:rsidRPr="00C93348">
              <w:t>75.6% [136/180]</w:t>
            </w:r>
          </w:p>
        </w:tc>
      </w:tr>
      <w:tr w:rsidR="00B0653D" w:rsidRPr="00C93348" w:rsidTr="00FA4395">
        <w:tc>
          <w:tcPr>
            <w:tcW w:w="2860" w:type="pct"/>
            <w:tcBorders>
              <w:top w:val="nil"/>
            </w:tcBorders>
          </w:tcPr>
          <w:p w:rsidR="00B0653D" w:rsidRPr="00C93348" w:rsidRDefault="00B0653D" w:rsidP="006149ED">
            <w:pPr>
              <w:pStyle w:val="TableText0"/>
            </w:pPr>
            <w:r w:rsidRPr="00C93348">
              <w:t>Revised</w:t>
            </w:r>
          </w:p>
        </w:tc>
        <w:tc>
          <w:tcPr>
            <w:tcW w:w="1070" w:type="pct"/>
            <w:tcBorders>
              <w:top w:val="nil"/>
            </w:tcBorders>
          </w:tcPr>
          <w:p w:rsidR="00B0653D" w:rsidRPr="00C93348" w:rsidRDefault="00B0653D" w:rsidP="006149ED">
            <w:pPr>
              <w:pStyle w:val="TableText0"/>
              <w:jc w:val="center"/>
            </w:pPr>
          </w:p>
        </w:tc>
        <w:tc>
          <w:tcPr>
            <w:tcW w:w="1070" w:type="pct"/>
            <w:tcBorders>
              <w:top w:val="nil"/>
            </w:tcBorders>
          </w:tcPr>
          <w:p w:rsidR="00B0653D" w:rsidRPr="00C93348" w:rsidRDefault="00B0653D" w:rsidP="006149ED">
            <w:pPr>
              <w:pStyle w:val="TableText0"/>
              <w:jc w:val="center"/>
            </w:pPr>
            <w:r w:rsidRPr="00C93348">
              <w:t>51.5% [136/264]</w:t>
            </w:r>
          </w:p>
        </w:tc>
      </w:tr>
    </w:tbl>
    <w:p w:rsidR="00CB5F85" w:rsidRPr="00C93348" w:rsidRDefault="00CB5F85" w:rsidP="00B0653D">
      <w:pPr>
        <w:pStyle w:val="TableFigureFooter"/>
      </w:pPr>
      <w:r w:rsidRPr="00C93348">
        <w:t xml:space="preserve">Source: </w:t>
      </w:r>
      <w:r w:rsidR="008B078C" w:rsidRPr="00C93348">
        <w:t xml:space="preserve">Complied during the evaluation from </w:t>
      </w:r>
      <w:r w:rsidR="00AA0B16" w:rsidRPr="00C93348">
        <w:t xml:space="preserve">Table 8, pp39-40 and p39 of Clinical Study Report (data cut-off 2, June 2019), and </w:t>
      </w:r>
      <w:r w:rsidR="005624A7" w:rsidRPr="00C93348">
        <w:t>the ‘Tagrisso (osimertinib) Economic Evaluation_July 2020 PBAC meeting.xlsm’ workbook.</w:t>
      </w:r>
    </w:p>
    <w:p w:rsidR="00B0653D" w:rsidRPr="00C93348" w:rsidRDefault="00B0653D" w:rsidP="00B0653D">
      <w:pPr>
        <w:pStyle w:val="TableFigureFooter"/>
      </w:pPr>
      <w:r w:rsidRPr="00C93348">
        <w:t>Note: Percentages are presented as a proportion of those that discontinue first-line treatment, as these estimates are applied in the model on discontinuation of first-line treatment</w:t>
      </w:r>
      <w:r w:rsidR="00AE4C5D" w:rsidRPr="00C93348">
        <w:t>.</w:t>
      </w:r>
    </w:p>
    <w:p w:rsidR="00AE4C5D" w:rsidRPr="00C93348" w:rsidRDefault="00D72D9F" w:rsidP="00B0653D">
      <w:pPr>
        <w:pStyle w:val="TableFigureFooter"/>
      </w:pPr>
      <w:r w:rsidRPr="00C93348">
        <w:t>SC</w:t>
      </w:r>
      <w:r w:rsidR="00AE4C5D" w:rsidRPr="00C93348">
        <w:t xml:space="preserve"> = standard of care (erlotinib/gefitinib).</w:t>
      </w:r>
    </w:p>
    <w:p w:rsidR="00BA00F8" w:rsidRPr="00C93348" w:rsidRDefault="00BA00F8" w:rsidP="00BA00F8">
      <w:pPr>
        <w:pStyle w:val="3-BodyText"/>
      </w:pPr>
      <w:r w:rsidRPr="00C93348">
        <w:t xml:space="preserve">In the base case analysis, the resubmission used the </w:t>
      </w:r>
      <w:r w:rsidR="00F310BD" w:rsidRPr="00C93348">
        <w:t xml:space="preserve">updated </w:t>
      </w:r>
      <w:r w:rsidRPr="00C93348">
        <w:t xml:space="preserve">Kaplan-Meier data from the FLAURA trial until 24 months. At this time point </w:t>
      </w:r>
      <w:r w:rsidR="005F6F98" w:rsidRPr="00C93348">
        <w:t xml:space="preserve">the proportion of patients followed was </w:t>
      </w:r>
      <w:r w:rsidR="00E950E8" w:rsidRPr="00C93348">
        <w:t>69.2</w:t>
      </w:r>
      <w:r w:rsidRPr="00C93348">
        <w:t>%</w:t>
      </w:r>
      <w:r w:rsidR="00E950E8" w:rsidRPr="00C93348">
        <w:t xml:space="preserve"> (193/279)</w:t>
      </w:r>
      <w:r w:rsidR="005F6F98" w:rsidRPr="00C93348">
        <w:t xml:space="preserve"> in the osimertinib arm</w:t>
      </w:r>
      <w:r w:rsidRPr="00C93348">
        <w:t xml:space="preserve"> and 5</w:t>
      </w:r>
      <w:r w:rsidR="00E950E8" w:rsidRPr="00C93348">
        <w:t>3.4</w:t>
      </w:r>
      <w:r w:rsidRPr="00C93348">
        <w:t xml:space="preserve">% </w:t>
      </w:r>
      <w:r w:rsidR="00E950E8" w:rsidRPr="00C93348">
        <w:t xml:space="preserve">(148/277) </w:t>
      </w:r>
      <w:r w:rsidR="00F76A08" w:rsidRPr="00C93348">
        <w:t xml:space="preserve">in the </w:t>
      </w:r>
      <w:r w:rsidR="00D72D9F" w:rsidRPr="00C93348">
        <w:t>SC</w:t>
      </w:r>
      <w:r w:rsidR="00F76A08" w:rsidRPr="00C93348">
        <w:t xml:space="preserve"> arm</w:t>
      </w:r>
      <w:r w:rsidRPr="00C93348">
        <w:t>. The resubmission</w:t>
      </w:r>
      <w:r w:rsidR="00B4733C" w:rsidRPr="00C93348">
        <w:t xml:space="preserve"> did not justify</w:t>
      </w:r>
      <w:r w:rsidRPr="00C93348">
        <w:t xml:space="preserve"> the selection of this time point. Median OS in FLAURA was 38.6 and 31.8 months, respectively, for osimertinib and </w:t>
      </w:r>
      <w:r w:rsidR="00D72D9F" w:rsidRPr="00C93348">
        <w:t>SC</w:t>
      </w:r>
      <w:r w:rsidRPr="00C93348">
        <w:t xml:space="preserve">, and so the selection of 24 months may not be reasonable given preference in the PBAC Guidelines for the use of time-to-event data over modelled data up to the point at which the observed data become unreliable. </w:t>
      </w:r>
      <w:r w:rsidR="00BD5411" w:rsidRPr="00C93348">
        <w:t>The ESC considered extrapolation from median survival for osimertinib and SC would be appropriate for the base case analysis.</w:t>
      </w:r>
      <w:r w:rsidR="004A0B30" w:rsidRPr="00C93348">
        <w:t xml:space="preserve"> </w:t>
      </w:r>
    </w:p>
    <w:p w:rsidR="00BA00F8" w:rsidRPr="00C93348" w:rsidRDefault="00BA00F8" w:rsidP="00BA00F8">
      <w:pPr>
        <w:pStyle w:val="3-BodyText"/>
      </w:pPr>
      <w:r w:rsidRPr="00C93348">
        <w:t xml:space="preserve">Beyond this time point, OS data were extrapolated using parametric functions over the modelled time horizon. The modelled health outcomes compared against the trial data that informed the efficacy inputs are presented below. On visual inspection, the dependent parametric models do not appear to fit the observed data well, particularly after the extrapolation time point of 24 months. Consequently, the modelled OS appeared to have underestimated </w:t>
      </w:r>
      <w:r w:rsidR="00D72D9F" w:rsidRPr="00C93348">
        <w:t>SC</w:t>
      </w:r>
      <w:r w:rsidRPr="00C93348">
        <w:t xml:space="preserve"> survival from month 30, which would bias the result in favour of osimertinib.</w:t>
      </w:r>
      <w:r w:rsidR="00E80712" w:rsidRPr="00C93348">
        <w:t xml:space="preserve"> The difference</w:t>
      </w:r>
      <w:r w:rsidR="00C65D4F" w:rsidRPr="00C93348">
        <w:t xml:space="preserve"> between the osimertinib and SC treatment arms</w:t>
      </w:r>
      <w:r w:rsidR="00E80712" w:rsidRPr="00C93348">
        <w:t xml:space="preserve"> in survival modelled at 48 months (9.5%) was substantially higher than </w:t>
      </w:r>
      <w:r w:rsidR="00C65D4F" w:rsidRPr="00C93348">
        <w:t xml:space="preserve">the difference in treatment arms </w:t>
      </w:r>
      <w:r w:rsidR="00E80712" w:rsidRPr="00C93348">
        <w:t xml:space="preserve">reported in the 48-month landmark analysis of the FLAURA trial (2.8%). </w:t>
      </w:r>
    </w:p>
    <w:p w:rsidR="00BA00F8" w:rsidRPr="00C93348" w:rsidRDefault="00BA00F8" w:rsidP="00BA00F8">
      <w:pPr>
        <w:pStyle w:val="TableFigureHeading"/>
      </w:pPr>
      <w:r w:rsidRPr="00C93348">
        <w:t xml:space="preserve">Figure </w:t>
      </w:r>
      <w:r w:rsidR="00CC4472">
        <w:rPr>
          <w:noProof/>
        </w:rPr>
        <w:t>3</w:t>
      </w:r>
      <w:r w:rsidRPr="00C93348">
        <w:t>: Kaplan-Meier and modelled curves for PFS and OS</w:t>
      </w:r>
    </w:p>
    <w:p w:rsidR="00BA00F8" w:rsidRPr="00C93348" w:rsidRDefault="00B27C72" w:rsidP="00BA00F8">
      <w:pPr>
        <w:pStyle w:val="3-BodyText"/>
        <w:numPr>
          <w:ilvl w:val="0"/>
          <w:numId w:val="0"/>
        </w:numPr>
        <w:ind w:left="720"/>
      </w:pPr>
      <w:r>
        <w:rPr>
          <w:noProof/>
          <w:snapToGrid/>
        </w:rPr>
        <w:drawing>
          <wp:inline distT="0" distB="0" distL="0" distR="0">
            <wp:extent cx="4737100" cy="2889885"/>
            <wp:effectExtent l="0" t="0" r="6350" b="571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37100" cy="2889885"/>
                    </a:xfrm>
                    <a:prstGeom prst="rect">
                      <a:avLst/>
                    </a:prstGeom>
                  </pic:spPr>
                </pic:pic>
              </a:graphicData>
            </a:graphic>
          </wp:inline>
        </w:drawing>
      </w:r>
    </w:p>
    <w:p w:rsidR="00BA00F8" w:rsidRPr="00C93348" w:rsidRDefault="00BA00F8" w:rsidP="00BA00F8">
      <w:pPr>
        <w:pStyle w:val="TableFigureFooter"/>
      </w:pPr>
      <w:r w:rsidRPr="00C93348">
        <w:t>Source: Constructed during the evaluation from ‘Results’ worksheet from the ‘Tagrisso (osimertinib) Economic Evaluation_July 2020 PBAC meeting.xlsm’ workbook included in the resubmission.</w:t>
      </w:r>
    </w:p>
    <w:p w:rsidR="00BA00F8" w:rsidRPr="00C93348" w:rsidRDefault="00BA00F8" w:rsidP="00BA00F8">
      <w:pPr>
        <w:pStyle w:val="TableFigureFooter"/>
      </w:pPr>
      <w:r w:rsidRPr="00C93348">
        <w:t xml:space="preserve">KM = Kaplan-Meier; OS = overall survival; PFS = progression-free survival; </w:t>
      </w:r>
      <w:r w:rsidR="00D72D9F" w:rsidRPr="00C93348">
        <w:t>SC</w:t>
      </w:r>
      <w:r w:rsidRPr="00C93348">
        <w:t xml:space="preserve"> = standard of care (erlotinib/gefitinib)</w:t>
      </w:r>
    </w:p>
    <w:p w:rsidR="00BA00F8" w:rsidRPr="00C93348" w:rsidRDefault="00BA00F8" w:rsidP="00BA00F8">
      <w:pPr>
        <w:pStyle w:val="3-BodyText"/>
      </w:pPr>
      <w:r w:rsidRPr="00C93348">
        <w:t>The key drivers of the model are summarised below.</w:t>
      </w:r>
    </w:p>
    <w:p w:rsidR="00BA00F8" w:rsidRPr="00C93348" w:rsidRDefault="00BA00F8" w:rsidP="00FA4395">
      <w:pPr>
        <w:pStyle w:val="TableFigureHeading"/>
        <w:keepLines/>
        <w:rPr>
          <w:rStyle w:val="CommentReference"/>
          <w:rFonts w:ascii="Calibri" w:hAnsi="Calibri"/>
          <w:b/>
          <w:sz w:val="18"/>
          <w:szCs w:val="18"/>
        </w:rPr>
      </w:pPr>
      <w:r w:rsidRPr="00C93348">
        <w:t xml:space="preserve">Table </w:t>
      </w:r>
      <w:r w:rsidR="00CC4472">
        <w:rPr>
          <w:noProof/>
        </w:rPr>
        <w:t>11</w:t>
      </w:r>
      <w:r w:rsidRPr="00C93348">
        <w:t xml:space="preserve">: </w:t>
      </w:r>
      <w:r w:rsidRPr="00C93348">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1"/>
        <w:gridCol w:w="3116"/>
        <w:gridCol w:w="3210"/>
      </w:tblGrid>
      <w:tr w:rsidR="00BA00F8" w:rsidRPr="00C93348" w:rsidTr="00FA4395">
        <w:trPr>
          <w:tblHeader/>
        </w:trPr>
        <w:tc>
          <w:tcPr>
            <w:tcW w:w="1492" w:type="pct"/>
            <w:shd w:val="clear" w:color="auto" w:fill="auto"/>
            <w:vAlign w:val="center"/>
          </w:tcPr>
          <w:p w:rsidR="00BA00F8" w:rsidRPr="00C93348" w:rsidRDefault="00BA00F8" w:rsidP="00FA4395">
            <w:pPr>
              <w:pStyle w:val="In-tableHeading"/>
              <w:keepLines/>
              <w:jc w:val="center"/>
              <w:rPr>
                <w:lang w:val="en-AU"/>
              </w:rPr>
            </w:pPr>
            <w:r w:rsidRPr="00C93348">
              <w:rPr>
                <w:lang w:val="en-AU"/>
              </w:rPr>
              <w:t>Description</w:t>
            </w:r>
          </w:p>
        </w:tc>
        <w:tc>
          <w:tcPr>
            <w:tcW w:w="1728" w:type="pct"/>
            <w:shd w:val="clear" w:color="auto" w:fill="auto"/>
            <w:vAlign w:val="center"/>
          </w:tcPr>
          <w:p w:rsidR="00BA00F8" w:rsidRPr="00C93348" w:rsidRDefault="00BA00F8" w:rsidP="00FA4395">
            <w:pPr>
              <w:pStyle w:val="In-tableHeading"/>
              <w:keepLines/>
              <w:jc w:val="center"/>
              <w:rPr>
                <w:lang w:val="en-AU"/>
              </w:rPr>
            </w:pPr>
            <w:r w:rsidRPr="00C93348">
              <w:rPr>
                <w:lang w:val="en-AU"/>
              </w:rPr>
              <w:t>Method/Value</w:t>
            </w:r>
          </w:p>
        </w:tc>
        <w:tc>
          <w:tcPr>
            <w:tcW w:w="1780" w:type="pct"/>
            <w:shd w:val="clear" w:color="auto" w:fill="auto"/>
            <w:vAlign w:val="center"/>
          </w:tcPr>
          <w:p w:rsidR="00BA00F8" w:rsidRPr="00C93348" w:rsidRDefault="00BA00F8" w:rsidP="00FA4395">
            <w:pPr>
              <w:pStyle w:val="In-tableHeading"/>
              <w:keepLines/>
              <w:jc w:val="center"/>
              <w:rPr>
                <w:lang w:val="en-AU"/>
              </w:rPr>
            </w:pPr>
            <w:r w:rsidRPr="00C93348">
              <w:rPr>
                <w:lang w:val="en-AU"/>
              </w:rPr>
              <w:t>Impact</w:t>
            </w:r>
          </w:p>
        </w:tc>
      </w:tr>
      <w:tr w:rsidR="00BA00F8" w:rsidRPr="00C93348" w:rsidTr="00FA4395">
        <w:tc>
          <w:tcPr>
            <w:tcW w:w="1492" w:type="pct"/>
            <w:shd w:val="clear" w:color="auto" w:fill="auto"/>
            <w:vAlign w:val="center"/>
          </w:tcPr>
          <w:p w:rsidR="00BA00F8" w:rsidRPr="00C93348" w:rsidRDefault="00BA00F8" w:rsidP="00FA4395">
            <w:pPr>
              <w:pStyle w:val="TableText0"/>
              <w:keepLines/>
            </w:pPr>
            <w:r w:rsidRPr="00C93348">
              <w:t>Cost of first-line osimertinib</w:t>
            </w:r>
          </w:p>
        </w:tc>
        <w:tc>
          <w:tcPr>
            <w:tcW w:w="1728" w:type="pct"/>
            <w:shd w:val="clear" w:color="auto" w:fill="auto"/>
            <w:vAlign w:val="center"/>
          </w:tcPr>
          <w:p w:rsidR="00BA00F8" w:rsidRPr="00C93348" w:rsidRDefault="00BA00F8" w:rsidP="00FA4395">
            <w:pPr>
              <w:pStyle w:val="TableText0"/>
              <w:keepLines/>
            </w:pPr>
            <w:r w:rsidRPr="00C93348">
              <w:rPr>
                <w:iCs/>
              </w:rPr>
              <w:t>Applied a cap on osimertinib utilisation based on the updated median duration of treatment observed in the FLAURA trial.</w:t>
            </w:r>
          </w:p>
        </w:tc>
        <w:tc>
          <w:tcPr>
            <w:tcW w:w="1780" w:type="pct"/>
            <w:shd w:val="clear" w:color="auto" w:fill="auto"/>
            <w:vAlign w:val="center"/>
          </w:tcPr>
          <w:p w:rsidR="00BA00F8" w:rsidRPr="00C93348" w:rsidRDefault="00BA00F8" w:rsidP="00134B04">
            <w:pPr>
              <w:pStyle w:val="TableText0"/>
              <w:keepLines/>
            </w:pPr>
            <w:r w:rsidRPr="00C93348">
              <w:t>High, favours osimertinib</w:t>
            </w:r>
            <w:r w:rsidR="004A2129" w:rsidRPr="00C93348">
              <w:t xml:space="preserve"> (ICER increases from </w:t>
            </w:r>
            <w:r w:rsidR="00134B04">
              <w:t>$105,000/QALY - $200,000/QALY</w:t>
            </w:r>
            <w:r w:rsidR="00AE4C5D" w:rsidRPr="00C93348">
              <w:rPr>
                <w:vertAlign w:val="superscript"/>
              </w:rPr>
              <w:t>a</w:t>
            </w:r>
            <w:r w:rsidR="004A2129" w:rsidRPr="00C93348">
              <w:t xml:space="preserve"> in the base case, to </w:t>
            </w:r>
            <w:r w:rsidR="00134B04">
              <w:t>$105,000/QALY - $200,000/QALY</w:t>
            </w:r>
            <w:r w:rsidR="004A2129" w:rsidRPr="00C93348">
              <w:t xml:space="preserve"> (67% increase) when utili</w:t>
            </w:r>
            <w:r w:rsidR="00B4733C" w:rsidRPr="00C93348">
              <w:t>s</w:t>
            </w:r>
            <w:r w:rsidR="004A2129" w:rsidRPr="00C93348">
              <w:t>ation is based on the extrapolated TTD curve)</w:t>
            </w:r>
          </w:p>
        </w:tc>
      </w:tr>
      <w:tr w:rsidR="00BA00F8" w:rsidRPr="00C93348" w:rsidTr="00FA4395">
        <w:tc>
          <w:tcPr>
            <w:tcW w:w="1492" w:type="pct"/>
            <w:shd w:val="clear" w:color="auto" w:fill="auto"/>
            <w:vAlign w:val="center"/>
          </w:tcPr>
          <w:p w:rsidR="00BA00F8" w:rsidRPr="00C93348" w:rsidRDefault="00BA00F8" w:rsidP="00FA4395">
            <w:pPr>
              <w:pStyle w:val="TableText0"/>
              <w:keepLines/>
            </w:pPr>
            <w:r w:rsidRPr="00C93348">
              <w:t>Time point for OS extrapolation</w:t>
            </w:r>
          </w:p>
        </w:tc>
        <w:tc>
          <w:tcPr>
            <w:tcW w:w="1728" w:type="pct"/>
            <w:shd w:val="clear" w:color="auto" w:fill="auto"/>
            <w:vAlign w:val="center"/>
          </w:tcPr>
          <w:p w:rsidR="00BA00F8" w:rsidRPr="00C93348" w:rsidRDefault="00BA00F8" w:rsidP="00FA4395">
            <w:pPr>
              <w:pStyle w:val="TableText0"/>
              <w:keepLines/>
            </w:pPr>
            <w:r w:rsidRPr="00C93348">
              <w:t>24 months</w:t>
            </w:r>
          </w:p>
        </w:tc>
        <w:tc>
          <w:tcPr>
            <w:tcW w:w="1780" w:type="pct"/>
            <w:shd w:val="clear" w:color="auto" w:fill="auto"/>
            <w:vAlign w:val="center"/>
          </w:tcPr>
          <w:p w:rsidR="00BA00F8" w:rsidRPr="00C93348" w:rsidRDefault="00BA00F8" w:rsidP="00FA4395">
            <w:pPr>
              <w:pStyle w:val="TableText0"/>
              <w:keepLines/>
            </w:pPr>
            <w:r w:rsidRPr="00C93348">
              <w:t>Moderate, favours osimertinib</w:t>
            </w:r>
            <w:r w:rsidR="004A2129" w:rsidRPr="00C93348">
              <w:t xml:space="preserve"> (ICER increases from </w:t>
            </w:r>
            <w:r w:rsidR="003D1FDD" w:rsidRPr="003D1FDD">
              <w:t>$105,000/QALY - $200,000/QALY</w:t>
            </w:r>
            <w:r w:rsidR="003D1FDD" w:rsidRPr="003D1FDD" w:rsidDel="003D1FDD">
              <w:t xml:space="preserve"> </w:t>
            </w:r>
            <w:r w:rsidR="00AE4C5D" w:rsidRPr="00C93348">
              <w:rPr>
                <w:vertAlign w:val="superscript"/>
              </w:rPr>
              <w:t>a</w:t>
            </w:r>
            <w:r w:rsidR="004A2129" w:rsidRPr="00C93348">
              <w:t xml:space="preserve"> to </w:t>
            </w:r>
            <w:r w:rsidR="003D1FDD" w:rsidRPr="003D1FDD">
              <w:t>$105,000/QALY - $200,000/QALY</w:t>
            </w:r>
            <w:r w:rsidR="004A2129" w:rsidRPr="00C93348">
              <w:t xml:space="preserve"> (8% increase) when extrapolation is modelled from median OS (38.6 and 31.8 months, respectively, for osimertinib and </w:t>
            </w:r>
            <w:r w:rsidR="00D72D9F" w:rsidRPr="00C93348">
              <w:t>SC</w:t>
            </w:r>
            <w:r w:rsidR="004A2129" w:rsidRPr="00C93348">
              <w:t>)</w:t>
            </w:r>
          </w:p>
        </w:tc>
      </w:tr>
      <w:tr w:rsidR="00BA00F8" w:rsidRPr="00C93348" w:rsidTr="00FA4395">
        <w:tc>
          <w:tcPr>
            <w:tcW w:w="1492" w:type="pct"/>
            <w:shd w:val="clear" w:color="auto" w:fill="auto"/>
            <w:vAlign w:val="center"/>
          </w:tcPr>
          <w:p w:rsidR="00BA00F8" w:rsidRPr="00C93348" w:rsidRDefault="00BA00F8" w:rsidP="00FA4395">
            <w:pPr>
              <w:pStyle w:val="TableText0"/>
              <w:keepLines/>
            </w:pPr>
            <w:r w:rsidRPr="00C93348">
              <w:t xml:space="preserve">Proportion of patients receiving later-line osimertinib in the </w:t>
            </w:r>
            <w:r w:rsidR="00D72D9F" w:rsidRPr="00C93348">
              <w:t>SC</w:t>
            </w:r>
            <w:r w:rsidRPr="00C93348">
              <w:t xml:space="preserve"> arm</w:t>
            </w:r>
            <w:r w:rsidR="00B909A5" w:rsidRPr="00C93348">
              <w:t xml:space="preserve"> (applied as a one-off cost on discontinuation of first-line treatment)</w:t>
            </w:r>
          </w:p>
        </w:tc>
        <w:tc>
          <w:tcPr>
            <w:tcW w:w="1728" w:type="pct"/>
            <w:shd w:val="clear" w:color="auto" w:fill="auto"/>
            <w:vAlign w:val="center"/>
          </w:tcPr>
          <w:p w:rsidR="00BA00F8" w:rsidRPr="00C93348" w:rsidRDefault="00E80712" w:rsidP="00FA4395">
            <w:pPr>
              <w:pStyle w:val="TableText0"/>
              <w:keepLines/>
            </w:pPr>
            <w:r w:rsidRPr="00C93348">
              <w:t>51.5%</w:t>
            </w:r>
            <w:r w:rsidR="00B4733C" w:rsidRPr="00C93348">
              <w:t xml:space="preserve"> (proportion of patients that discontinue SC and receive subsequent osimertinib) </w:t>
            </w:r>
          </w:p>
        </w:tc>
        <w:tc>
          <w:tcPr>
            <w:tcW w:w="1780" w:type="pct"/>
            <w:shd w:val="clear" w:color="auto" w:fill="auto"/>
            <w:vAlign w:val="center"/>
          </w:tcPr>
          <w:p w:rsidR="00BA00F8" w:rsidRPr="00C93348" w:rsidRDefault="00BA00F8" w:rsidP="00FA4395">
            <w:pPr>
              <w:pStyle w:val="TableText0"/>
              <w:keepLines/>
            </w:pPr>
            <w:r w:rsidRPr="00C93348">
              <w:t>Moderate, favours osimertinib</w:t>
            </w:r>
            <w:r w:rsidR="004A2129" w:rsidRPr="00C93348">
              <w:t xml:space="preserve"> (ICER increases from </w:t>
            </w:r>
            <w:r w:rsidR="003D1FDD" w:rsidRPr="003D1FDD">
              <w:t>$105,000/QALY - $200,000/QALY</w:t>
            </w:r>
            <w:r w:rsidR="003D1FDD" w:rsidRPr="003D1FDD" w:rsidDel="003D1FDD">
              <w:t xml:space="preserve"> </w:t>
            </w:r>
            <w:r w:rsidR="00AE4C5D" w:rsidRPr="00C93348">
              <w:rPr>
                <w:vertAlign w:val="superscript"/>
              </w:rPr>
              <w:t>a</w:t>
            </w:r>
            <w:r w:rsidR="004A2129" w:rsidRPr="00C93348">
              <w:t xml:space="preserve"> to </w:t>
            </w:r>
            <w:r w:rsidR="003D1FDD" w:rsidRPr="003D1FDD">
              <w:t>$105,000/QALY - $200,000/QALY</w:t>
            </w:r>
            <w:r w:rsidR="004A2129" w:rsidRPr="00C93348">
              <w:t xml:space="preserve"> (10% increase) when use from the trial is assumed (41.3%).</w:t>
            </w:r>
          </w:p>
        </w:tc>
      </w:tr>
    </w:tbl>
    <w:p w:rsidR="00BA00F8" w:rsidRPr="00C93348" w:rsidRDefault="00BA00F8" w:rsidP="00FA4395">
      <w:pPr>
        <w:pStyle w:val="TableFigureFooter"/>
        <w:keepNext/>
        <w:keepLines/>
      </w:pPr>
      <w:r w:rsidRPr="00C93348">
        <w:t>Source: Compiled during evaluation based on sensitivity analyses conducted during the evaluation.</w:t>
      </w:r>
    </w:p>
    <w:p w:rsidR="004A2129" w:rsidRPr="00C93348" w:rsidRDefault="00AE4C5D" w:rsidP="00FA4395">
      <w:pPr>
        <w:pStyle w:val="TableFigureFooter"/>
        <w:keepNext/>
        <w:keepLines/>
      </w:pPr>
      <w:r w:rsidRPr="00C93348">
        <w:t xml:space="preserve">ICER = incremental cost-effectiveness ratio; OS = overall survival; </w:t>
      </w:r>
      <w:r w:rsidR="00D72D9F" w:rsidRPr="00C93348">
        <w:t>SC</w:t>
      </w:r>
      <w:r w:rsidR="004A2129" w:rsidRPr="00C93348">
        <w:t xml:space="preserve"> = standard of care (erlotinib/gefitinib); TTD = time-to-treatment discontinuation</w:t>
      </w:r>
    </w:p>
    <w:p w:rsidR="00AE4C5D" w:rsidRPr="00C93348" w:rsidRDefault="00AE4C5D" w:rsidP="00FA4395">
      <w:pPr>
        <w:pStyle w:val="TableFigureFooter"/>
        <w:keepNext/>
        <w:keepLines/>
      </w:pPr>
      <w:r w:rsidRPr="00C93348">
        <w:rPr>
          <w:vertAlign w:val="superscript"/>
        </w:rPr>
        <w:t>a</w:t>
      </w:r>
      <w:r w:rsidRPr="00C93348">
        <w:t xml:space="preserve"> Revised base case ICER, excluding the additional </w:t>
      </w:r>
      <w:r w:rsidR="002B2412" w:rsidRPr="00C93348">
        <w:t>rebate</w:t>
      </w:r>
      <w:r w:rsidRPr="00C93348">
        <w:t xml:space="preserve"> </w:t>
      </w:r>
      <w:r w:rsidR="0042683F">
        <w:rPr>
          <w:noProof/>
          <w:color w:val="000000"/>
          <w:highlight w:val="black"/>
        </w:rPr>
        <w:t>''''''''''''''''''''''''''''''''''''''''''''''''''''</w:t>
      </w:r>
      <w:r w:rsidRPr="00C93348">
        <w:t>.</w:t>
      </w:r>
      <w:r w:rsidR="00D35208" w:rsidRPr="00C93348">
        <w:t xml:space="preserve"> The base case was revised during the evaluation to reflect the cost of erlotinib only in the first-line treatment costs, 4 treatment cycles of carboplatin + gemcitabine, rather than 5.7; and reduced the proportion of patients that receive later-line osimertinib from 75.6% (i.e. 136/180) to 51.5% (136/264).</w:t>
      </w:r>
    </w:p>
    <w:p w:rsidR="00BA00F8" w:rsidRPr="00C93348" w:rsidRDefault="00BA00F8" w:rsidP="00BA00F8">
      <w:pPr>
        <w:pStyle w:val="3-BodyText"/>
      </w:pPr>
      <w:r w:rsidRPr="00C93348">
        <w:t xml:space="preserve">The resubmission weighted the average cost of </w:t>
      </w:r>
      <w:r w:rsidR="00D72D9F" w:rsidRPr="00C93348">
        <w:t>SC</w:t>
      </w:r>
      <w:r w:rsidRPr="00C93348">
        <w:t xml:space="preserve"> by the current market share of erlotinib (67.8%) and gefitinib (32.2%). The weighted cost applied per model cycle was $1,190.17. During the evaluation, additional analyses </w:t>
      </w:r>
      <w:r w:rsidR="00FE18BD" w:rsidRPr="00C93348">
        <w:t>were</w:t>
      </w:r>
      <w:r w:rsidRPr="00C93348">
        <w:t xml:space="preserve"> presented assuming only the cost of erlotinib for the cost of </w:t>
      </w:r>
      <w:r w:rsidR="00D72D9F" w:rsidRPr="00C93348">
        <w:t>SC</w:t>
      </w:r>
      <w:r w:rsidRPr="00C93348">
        <w:t xml:space="preserve">, given that: i) erlotinib is the most commonly used TKI agent in current clinical practice; ii) erlotinib is less costly than gefitinib; and iii) </w:t>
      </w:r>
      <w:r w:rsidR="00ED0DA9" w:rsidRPr="00C93348">
        <w:t xml:space="preserve">that the PBAC have previously considered </w:t>
      </w:r>
      <w:r w:rsidRPr="00C93348">
        <w:t>erlotinib and gefitinib (and afatinib)</w:t>
      </w:r>
      <w:r w:rsidR="003C2195" w:rsidRPr="00C93348">
        <w:t xml:space="preserve"> are clinically non-inferior</w:t>
      </w:r>
      <w:r w:rsidR="004A0B30" w:rsidRPr="00C93348">
        <w:t xml:space="preserve"> </w:t>
      </w:r>
      <w:r w:rsidR="003C2195" w:rsidRPr="00C93348">
        <w:t>(Section 12, gefitinib PSD, July 2013)</w:t>
      </w:r>
      <w:r w:rsidR="00FE18BD" w:rsidRPr="00C93348">
        <w:t>.</w:t>
      </w:r>
      <w:r w:rsidRPr="00C93348">
        <w:t xml:space="preserve"> </w:t>
      </w:r>
      <w:r w:rsidR="00C65D4F" w:rsidRPr="00C93348">
        <w:t xml:space="preserve">The ESC noted using a price of $1,190.17 as proposed in the resubmission </w:t>
      </w:r>
      <w:r w:rsidR="00BF19F6" w:rsidRPr="00C93348">
        <w:t xml:space="preserve">(rather than $1,151.77) decreased the ICER from </w:t>
      </w:r>
      <w:r w:rsidR="006A3389">
        <w:t>$105,000/QALY - $200,000/QALY</w:t>
      </w:r>
      <w:r w:rsidR="00BF19F6" w:rsidRPr="00C93348">
        <w:t xml:space="preserve"> to </w:t>
      </w:r>
      <w:r w:rsidR="006A3389">
        <w:t>$105,000/QALY - $200,000/QALY</w:t>
      </w:r>
      <w:r w:rsidR="00BF19F6" w:rsidRPr="00C93348">
        <w:t xml:space="preserve">. </w:t>
      </w:r>
    </w:p>
    <w:p w:rsidR="00BC7C50" w:rsidRPr="00C93348" w:rsidRDefault="00BA00F8" w:rsidP="00767BE1">
      <w:pPr>
        <w:pStyle w:val="3-BodyText"/>
      </w:pPr>
      <w:r w:rsidRPr="00C93348">
        <w:t xml:space="preserve">The resubmission additionally proposed a </w:t>
      </w:r>
      <w:r w:rsidR="00D025B2" w:rsidRPr="00C93348">
        <w:t>rebate</w:t>
      </w:r>
      <w:r w:rsidRPr="00C93348">
        <w:t xml:space="preserve"> of $</w:t>
      </w:r>
      <w:r w:rsidR="00B27C72">
        <w:rPr>
          <w:noProof/>
          <w:color w:val="000000"/>
          <w:highlight w:val="black"/>
        </w:rPr>
        <w:t>'''''''''''''</w:t>
      </w:r>
      <w:r w:rsidRPr="00C93348">
        <w:t>, which was applied as an additional discount to the cost per cycle of first</w:t>
      </w:r>
      <w:r w:rsidR="00BF19F6" w:rsidRPr="00C93348">
        <w:t>-</w:t>
      </w:r>
      <w:r w:rsidRPr="00C93348">
        <w:t xml:space="preserve">line osimertinib. </w:t>
      </w:r>
      <w:r w:rsidR="00767BE1" w:rsidRPr="00C93348">
        <w:t xml:space="preserve">Analyses including and excluding this additional </w:t>
      </w:r>
      <w:r w:rsidR="002B2412" w:rsidRPr="00C93348">
        <w:t>rebate</w:t>
      </w:r>
      <w:r w:rsidR="00767BE1" w:rsidRPr="00C93348">
        <w:t xml:space="preserve"> are presented below.</w:t>
      </w:r>
      <w:r w:rsidR="004A0B30" w:rsidRPr="00C93348">
        <w:t xml:space="preserve"> </w:t>
      </w:r>
    </w:p>
    <w:p w:rsidR="00BA00F8" w:rsidRPr="00C93348" w:rsidRDefault="00BA00F8" w:rsidP="00BC7C50">
      <w:pPr>
        <w:pStyle w:val="3-BodyText"/>
      </w:pPr>
      <w:r w:rsidRPr="00C93348">
        <w:t xml:space="preserve">Additionally, the </w:t>
      </w:r>
      <w:r w:rsidR="00AA3276" w:rsidRPr="00C93348">
        <w:t>re</w:t>
      </w:r>
      <w:r w:rsidRPr="00C93348">
        <w:t>submission’s base case analyses were revised during the evaluation to:</w:t>
      </w:r>
    </w:p>
    <w:p w:rsidR="00BA00F8" w:rsidRPr="00C93348" w:rsidRDefault="00BA00F8" w:rsidP="008C3F6D">
      <w:pPr>
        <w:pStyle w:val="ListParagraph"/>
        <w:numPr>
          <w:ilvl w:val="1"/>
          <w:numId w:val="6"/>
        </w:numPr>
      </w:pPr>
      <w:r w:rsidRPr="00C93348">
        <w:t>Use only the cost of erlotinib for comparator EGFR-TKI cost in the analysis</w:t>
      </w:r>
      <w:r w:rsidR="00E15E6D" w:rsidRPr="00C93348">
        <w:t xml:space="preserve"> ($1,151.77)</w:t>
      </w:r>
      <w:r w:rsidRPr="00C93348">
        <w:t>;</w:t>
      </w:r>
    </w:p>
    <w:p w:rsidR="00BA00F8" w:rsidRPr="00C93348" w:rsidRDefault="00BA00F8" w:rsidP="008C3F6D">
      <w:pPr>
        <w:pStyle w:val="ListParagraph"/>
        <w:numPr>
          <w:ilvl w:val="1"/>
          <w:numId w:val="6"/>
        </w:numPr>
      </w:pPr>
      <w:r w:rsidRPr="00C93348">
        <w:t>Apply four treatment cycles of platinum-doublet chemotherapy, as opposed to four model cycles (i.e. 5.7 treatment cycles) in the resubmission; and</w:t>
      </w:r>
    </w:p>
    <w:p w:rsidR="00BA00F8" w:rsidRPr="00C93348" w:rsidRDefault="00BA00F8" w:rsidP="008C3F6D">
      <w:pPr>
        <w:pStyle w:val="ListParagraph"/>
        <w:numPr>
          <w:ilvl w:val="1"/>
          <w:numId w:val="6"/>
        </w:numPr>
      </w:pPr>
      <w:r w:rsidRPr="00C93348">
        <w:t>Correct the denominator used to estimate the total proportion of later-line osimertinib use (i.e. as a proportion of those that discontinue treatment, as it is applied in the model, 51.5% [136/264], compared to as a proportion of those that uptake subsequent treatment, 75.6% [136/180]).</w:t>
      </w:r>
    </w:p>
    <w:p w:rsidR="00BA00F8" w:rsidRPr="00C93348" w:rsidRDefault="00BA00F8" w:rsidP="00BA00F8">
      <w:pPr>
        <w:pStyle w:val="3-BodyText"/>
      </w:pPr>
      <w:r w:rsidRPr="00C93348">
        <w:t xml:space="preserve">The results of the stepped economic evaluation are summarised below. </w:t>
      </w:r>
    </w:p>
    <w:p w:rsidR="00BA00F8" w:rsidRPr="00C93348" w:rsidRDefault="00BA00F8" w:rsidP="00BA00F8">
      <w:pPr>
        <w:pStyle w:val="TableFigureHeading"/>
      </w:pPr>
      <w:r w:rsidRPr="00C93348">
        <w:t xml:space="preserve">Table </w:t>
      </w:r>
      <w:r w:rsidR="00CC4472">
        <w:rPr>
          <w:noProof/>
        </w:rPr>
        <w:t>12</w:t>
      </w:r>
      <w:r w:rsidRPr="00C93348">
        <w:t xml:space="preserve">: </w:t>
      </w:r>
      <w:r w:rsidRPr="00C93348">
        <w:rPr>
          <w:rStyle w:val="CommentReference"/>
          <w:b/>
          <w:szCs w:val="24"/>
        </w:rPr>
        <w:t>Results of the stepped economic evaluation</w:t>
      </w:r>
      <w:r w:rsidR="00180444" w:rsidRPr="00C93348">
        <w:rPr>
          <w:rStyle w:val="CommentReference"/>
          <w:b/>
          <w:szCs w:val="24"/>
        </w:rPr>
        <w:t xml:space="preserve"> (revised as outlined in </w:t>
      </w:r>
      <w:r w:rsidR="00180444" w:rsidRPr="00CC4472">
        <w:rPr>
          <w:rStyle w:val="CommentReference"/>
          <w:b/>
          <w:szCs w:val="24"/>
        </w:rPr>
        <w:t>paragraph 6.3</w:t>
      </w:r>
      <w:r w:rsidR="009610FD" w:rsidRPr="00CC4472">
        <w:rPr>
          <w:rStyle w:val="CommentReference"/>
          <w:b/>
          <w:szCs w:val="24"/>
        </w:rPr>
        <w:t>3</w:t>
      </w:r>
      <w:r w:rsidR="00180444" w:rsidRPr="00CC4472">
        <w:rPr>
          <w:rStyle w:val="CommentReference"/>
          <w:b/>
          <w:szCs w:val="24"/>
        </w:rPr>
        <w:t>)</w:t>
      </w:r>
    </w:p>
    <w:tbl>
      <w:tblPr>
        <w:tblStyle w:val="TableGrid2"/>
        <w:tblW w:w="5000" w:type="pct"/>
        <w:tblLook w:val="04A0" w:firstRow="1" w:lastRow="0" w:firstColumn="1" w:lastColumn="0" w:noHBand="0" w:noVBand="1"/>
      </w:tblPr>
      <w:tblGrid>
        <w:gridCol w:w="2122"/>
        <w:gridCol w:w="1148"/>
        <w:gridCol w:w="1149"/>
        <w:gridCol w:w="1149"/>
        <w:gridCol w:w="1149"/>
        <w:gridCol w:w="1149"/>
        <w:gridCol w:w="1151"/>
      </w:tblGrid>
      <w:tr w:rsidR="00BA00F8" w:rsidRPr="00C93348" w:rsidTr="00FA4395">
        <w:trPr>
          <w:trHeight w:val="20"/>
        </w:trPr>
        <w:tc>
          <w:tcPr>
            <w:tcW w:w="1177" w:type="pct"/>
            <w:vMerge w:val="restart"/>
            <w:noWrap/>
          </w:tcPr>
          <w:p w:rsidR="00BA00F8" w:rsidRPr="00FA4395" w:rsidRDefault="00BA00F8" w:rsidP="004F4D09">
            <w:pPr>
              <w:pStyle w:val="In-tableHeading"/>
              <w:rPr>
                <w:szCs w:val="20"/>
                <w:lang w:val="en-AU"/>
              </w:rPr>
            </w:pPr>
          </w:p>
        </w:tc>
        <w:tc>
          <w:tcPr>
            <w:tcW w:w="1911" w:type="pct"/>
            <w:gridSpan w:val="3"/>
            <w:tcBorders>
              <w:bottom w:val="single" w:sz="4" w:space="0" w:color="auto"/>
              <w:right w:val="double" w:sz="4" w:space="0" w:color="auto"/>
            </w:tcBorders>
            <w:noWrap/>
          </w:tcPr>
          <w:p w:rsidR="00BA00F8" w:rsidRPr="00FA4395" w:rsidRDefault="00BA00F8" w:rsidP="00D025B2">
            <w:pPr>
              <w:pStyle w:val="In-tableHeading"/>
              <w:jc w:val="center"/>
              <w:rPr>
                <w:szCs w:val="20"/>
                <w:lang w:val="en-AU"/>
              </w:rPr>
            </w:pPr>
            <w:r w:rsidRPr="00FA4395">
              <w:rPr>
                <w:szCs w:val="20"/>
                <w:lang w:val="en-AU"/>
              </w:rPr>
              <w:t xml:space="preserve">Including </w:t>
            </w:r>
            <w:r w:rsidR="00D27199" w:rsidRPr="00FA4395">
              <w:rPr>
                <w:szCs w:val="20"/>
                <w:lang w:val="en-AU"/>
              </w:rPr>
              <w:t xml:space="preserve">the </w:t>
            </w:r>
            <w:r w:rsidRPr="00FA4395">
              <w:rPr>
                <w:szCs w:val="20"/>
                <w:lang w:val="en-AU"/>
              </w:rPr>
              <w:t xml:space="preserve">additional </w:t>
            </w:r>
            <w:r w:rsidR="00D025B2" w:rsidRPr="00FA4395">
              <w:rPr>
                <w:szCs w:val="20"/>
                <w:lang w:val="en-AU"/>
              </w:rPr>
              <w:t>rebate</w:t>
            </w:r>
            <w:r w:rsidR="004F048D" w:rsidRPr="00FA4395">
              <w:rPr>
                <w:szCs w:val="20"/>
                <w:lang w:val="en-AU"/>
              </w:rPr>
              <w:t xml:space="preserve"> ($</w:t>
            </w:r>
            <w:r w:rsidR="00B27C72">
              <w:rPr>
                <w:noProof/>
                <w:color w:val="000000"/>
                <w:szCs w:val="20"/>
                <w:highlight w:val="black"/>
                <w:lang w:val="en-AU"/>
              </w:rPr>
              <w:t>'''''''''''''</w:t>
            </w:r>
            <w:r w:rsidR="004F048D" w:rsidRPr="00FA4395">
              <w:rPr>
                <w:szCs w:val="20"/>
                <w:lang w:val="en-AU"/>
              </w:rPr>
              <w:t>)</w:t>
            </w:r>
          </w:p>
        </w:tc>
        <w:tc>
          <w:tcPr>
            <w:tcW w:w="1912" w:type="pct"/>
            <w:gridSpan w:val="3"/>
            <w:tcBorders>
              <w:left w:val="double" w:sz="4" w:space="0" w:color="auto"/>
              <w:bottom w:val="single" w:sz="4" w:space="0" w:color="auto"/>
            </w:tcBorders>
          </w:tcPr>
          <w:p w:rsidR="00BA00F8" w:rsidRPr="00FA4395" w:rsidRDefault="00BA00F8" w:rsidP="00D025B2">
            <w:pPr>
              <w:pStyle w:val="In-tableHeading"/>
              <w:jc w:val="center"/>
              <w:rPr>
                <w:szCs w:val="20"/>
                <w:lang w:val="en-AU"/>
              </w:rPr>
            </w:pPr>
            <w:r w:rsidRPr="00FA4395">
              <w:rPr>
                <w:szCs w:val="20"/>
                <w:lang w:val="en-AU"/>
              </w:rPr>
              <w:t>Excluding</w:t>
            </w:r>
            <w:r w:rsidR="00D27199" w:rsidRPr="00FA4395">
              <w:rPr>
                <w:szCs w:val="20"/>
                <w:lang w:val="en-AU"/>
              </w:rPr>
              <w:t xml:space="preserve"> the</w:t>
            </w:r>
            <w:r w:rsidRPr="00FA4395">
              <w:rPr>
                <w:szCs w:val="20"/>
                <w:lang w:val="en-AU"/>
              </w:rPr>
              <w:t xml:space="preserve"> additional </w:t>
            </w:r>
            <w:r w:rsidR="00D025B2" w:rsidRPr="00FA4395">
              <w:rPr>
                <w:szCs w:val="20"/>
                <w:lang w:val="en-AU"/>
              </w:rPr>
              <w:t>rebate</w:t>
            </w:r>
          </w:p>
        </w:tc>
      </w:tr>
      <w:tr w:rsidR="00BA00F8" w:rsidRPr="00C93348" w:rsidTr="00FA4395">
        <w:trPr>
          <w:trHeight w:val="20"/>
        </w:trPr>
        <w:tc>
          <w:tcPr>
            <w:tcW w:w="1177" w:type="pct"/>
            <w:vMerge/>
            <w:tcBorders>
              <w:bottom w:val="single" w:sz="4" w:space="0" w:color="auto"/>
            </w:tcBorders>
            <w:noWrap/>
            <w:hideMark/>
          </w:tcPr>
          <w:p w:rsidR="00BA00F8" w:rsidRPr="00FA4395" w:rsidRDefault="00BA00F8" w:rsidP="004F4D09">
            <w:pPr>
              <w:pStyle w:val="In-tableHeading"/>
              <w:rPr>
                <w:szCs w:val="20"/>
                <w:lang w:val="en-AU"/>
              </w:rPr>
            </w:pPr>
          </w:p>
        </w:tc>
        <w:tc>
          <w:tcPr>
            <w:tcW w:w="637" w:type="pct"/>
            <w:tcBorders>
              <w:bottom w:val="single" w:sz="4" w:space="0" w:color="auto"/>
            </w:tcBorders>
            <w:noWrap/>
            <w:hideMark/>
          </w:tcPr>
          <w:p w:rsidR="00BA00F8" w:rsidRPr="00FA4395" w:rsidRDefault="00BA00F8" w:rsidP="004F4D09">
            <w:pPr>
              <w:pStyle w:val="In-tableHeading"/>
              <w:jc w:val="center"/>
              <w:rPr>
                <w:szCs w:val="20"/>
                <w:lang w:val="en-AU"/>
              </w:rPr>
            </w:pPr>
            <w:r w:rsidRPr="00FA4395">
              <w:rPr>
                <w:szCs w:val="20"/>
                <w:lang w:val="en-AU"/>
              </w:rPr>
              <w:t>Osimertinib</w:t>
            </w:r>
          </w:p>
        </w:tc>
        <w:tc>
          <w:tcPr>
            <w:tcW w:w="637" w:type="pct"/>
            <w:tcBorders>
              <w:bottom w:val="single" w:sz="4" w:space="0" w:color="auto"/>
            </w:tcBorders>
            <w:noWrap/>
            <w:hideMark/>
          </w:tcPr>
          <w:p w:rsidR="00BA00F8" w:rsidRPr="00FA4395" w:rsidRDefault="00D72D9F" w:rsidP="004F4D09">
            <w:pPr>
              <w:pStyle w:val="In-tableHeading"/>
              <w:jc w:val="center"/>
              <w:rPr>
                <w:szCs w:val="20"/>
                <w:lang w:val="en-AU"/>
              </w:rPr>
            </w:pPr>
            <w:r w:rsidRPr="00FA4395">
              <w:rPr>
                <w:szCs w:val="20"/>
                <w:lang w:val="en-AU"/>
              </w:rPr>
              <w:t>SC</w:t>
            </w:r>
          </w:p>
        </w:tc>
        <w:tc>
          <w:tcPr>
            <w:tcW w:w="637" w:type="pct"/>
            <w:tcBorders>
              <w:bottom w:val="single" w:sz="4" w:space="0" w:color="auto"/>
              <w:right w:val="double" w:sz="4" w:space="0" w:color="auto"/>
            </w:tcBorders>
            <w:noWrap/>
            <w:hideMark/>
          </w:tcPr>
          <w:p w:rsidR="00BA00F8" w:rsidRPr="00FA4395" w:rsidRDefault="00BA00F8" w:rsidP="004F4D09">
            <w:pPr>
              <w:pStyle w:val="In-tableHeading"/>
              <w:jc w:val="center"/>
              <w:rPr>
                <w:szCs w:val="20"/>
                <w:lang w:val="en-AU"/>
              </w:rPr>
            </w:pPr>
            <w:r w:rsidRPr="00FA4395">
              <w:rPr>
                <w:szCs w:val="20"/>
                <w:lang w:val="en-AU"/>
              </w:rPr>
              <w:t>Increment</w:t>
            </w:r>
          </w:p>
        </w:tc>
        <w:tc>
          <w:tcPr>
            <w:tcW w:w="637" w:type="pct"/>
            <w:tcBorders>
              <w:left w:val="double" w:sz="4" w:space="0" w:color="auto"/>
              <w:bottom w:val="single" w:sz="4" w:space="0" w:color="auto"/>
            </w:tcBorders>
          </w:tcPr>
          <w:p w:rsidR="00BA00F8" w:rsidRPr="00FA4395" w:rsidRDefault="00BA00F8" w:rsidP="004F4D09">
            <w:pPr>
              <w:pStyle w:val="In-tableHeading"/>
              <w:jc w:val="center"/>
              <w:rPr>
                <w:szCs w:val="20"/>
                <w:lang w:val="en-AU"/>
              </w:rPr>
            </w:pPr>
            <w:r w:rsidRPr="00FA4395">
              <w:rPr>
                <w:szCs w:val="20"/>
                <w:lang w:val="en-AU"/>
              </w:rPr>
              <w:t>Osimertinib</w:t>
            </w:r>
          </w:p>
        </w:tc>
        <w:tc>
          <w:tcPr>
            <w:tcW w:w="637" w:type="pct"/>
            <w:tcBorders>
              <w:bottom w:val="single" w:sz="4" w:space="0" w:color="auto"/>
            </w:tcBorders>
          </w:tcPr>
          <w:p w:rsidR="00BA00F8" w:rsidRPr="00FA4395" w:rsidRDefault="00D72D9F" w:rsidP="004F4D09">
            <w:pPr>
              <w:pStyle w:val="In-tableHeading"/>
              <w:jc w:val="center"/>
              <w:rPr>
                <w:szCs w:val="20"/>
                <w:lang w:val="en-AU"/>
              </w:rPr>
            </w:pPr>
            <w:r w:rsidRPr="00FA4395">
              <w:rPr>
                <w:szCs w:val="20"/>
                <w:lang w:val="en-AU"/>
              </w:rPr>
              <w:t>SC</w:t>
            </w:r>
          </w:p>
        </w:tc>
        <w:tc>
          <w:tcPr>
            <w:tcW w:w="638" w:type="pct"/>
            <w:tcBorders>
              <w:bottom w:val="single" w:sz="4" w:space="0" w:color="auto"/>
            </w:tcBorders>
          </w:tcPr>
          <w:p w:rsidR="00BA00F8" w:rsidRPr="00FA4395" w:rsidRDefault="00BA00F8" w:rsidP="004F4D09">
            <w:pPr>
              <w:pStyle w:val="In-tableHeading"/>
              <w:jc w:val="center"/>
              <w:rPr>
                <w:szCs w:val="20"/>
                <w:lang w:val="en-AU"/>
              </w:rPr>
            </w:pPr>
            <w:r w:rsidRPr="00FA4395">
              <w:rPr>
                <w:szCs w:val="20"/>
                <w:lang w:val="en-AU"/>
              </w:rPr>
              <w:t>Increment</w:t>
            </w:r>
          </w:p>
        </w:tc>
      </w:tr>
      <w:tr w:rsidR="00BA00F8" w:rsidRPr="00C93348" w:rsidTr="00FA4395">
        <w:trPr>
          <w:trHeight w:val="20"/>
        </w:trPr>
        <w:tc>
          <w:tcPr>
            <w:tcW w:w="5000" w:type="pct"/>
            <w:gridSpan w:val="7"/>
            <w:tcBorders>
              <w:bottom w:val="single" w:sz="4" w:space="0" w:color="auto"/>
            </w:tcBorders>
            <w:noWrap/>
            <w:hideMark/>
          </w:tcPr>
          <w:p w:rsidR="00BA00F8" w:rsidRPr="00FA4395" w:rsidRDefault="00BA00F8" w:rsidP="004F4D09">
            <w:pPr>
              <w:pStyle w:val="TableText0"/>
              <w:spacing w:line="240" w:lineRule="auto"/>
              <w:rPr>
                <w:b/>
                <w:szCs w:val="20"/>
              </w:rPr>
            </w:pPr>
            <w:r w:rsidRPr="00FA4395">
              <w:rPr>
                <w:b/>
                <w:szCs w:val="20"/>
              </w:rPr>
              <w:t>Step 1 – Trial based economic evaluation based on the results from FLAURA to 25 months</w:t>
            </w:r>
          </w:p>
        </w:tc>
      </w:tr>
      <w:tr w:rsidR="006C48ED" w:rsidRPr="00C93348" w:rsidTr="00FA4395">
        <w:trPr>
          <w:trHeight w:val="20"/>
        </w:trPr>
        <w:tc>
          <w:tcPr>
            <w:tcW w:w="1177" w:type="pct"/>
            <w:tcBorders>
              <w:bottom w:val="nil"/>
            </w:tcBorders>
            <w:noWrap/>
            <w:hideMark/>
          </w:tcPr>
          <w:p w:rsidR="006C48ED" w:rsidRPr="00FA4395" w:rsidRDefault="006C48ED" w:rsidP="006C48ED">
            <w:pPr>
              <w:pStyle w:val="TableText0"/>
              <w:spacing w:line="240" w:lineRule="auto"/>
              <w:rPr>
                <w:szCs w:val="20"/>
              </w:rPr>
            </w:pPr>
            <w:r w:rsidRPr="00FA4395">
              <w:rPr>
                <w:szCs w:val="20"/>
              </w:rPr>
              <w:t>Total cost</w:t>
            </w:r>
            <w:r w:rsidRPr="00FA4395">
              <w:rPr>
                <w:szCs w:val="20"/>
                <w:vertAlign w:val="superscript"/>
              </w:rPr>
              <w:t xml:space="preserve"> a</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$16,043</w:t>
            </w:r>
          </w:p>
        </w:tc>
        <w:tc>
          <w:tcPr>
            <w:tcW w:w="637" w:type="pct"/>
            <w:tcBorders>
              <w:bottom w:val="nil"/>
              <w:right w:val="double" w:sz="4" w:space="0" w:color="auto"/>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left w:val="double" w:sz="4" w:space="0" w:color="auto"/>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tcPr>
          <w:p w:rsidR="006C48ED" w:rsidRPr="00FA4395" w:rsidRDefault="006C48ED" w:rsidP="006C48ED">
            <w:pPr>
              <w:pStyle w:val="TableText0"/>
              <w:spacing w:line="240" w:lineRule="auto"/>
              <w:jc w:val="right"/>
              <w:rPr>
                <w:szCs w:val="20"/>
              </w:rPr>
            </w:pPr>
            <w:r w:rsidRPr="00FA4395">
              <w:rPr>
                <w:szCs w:val="20"/>
              </w:rPr>
              <w:t>$16,043</w:t>
            </w:r>
          </w:p>
        </w:tc>
        <w:tc>
          <w:tcPr>
            <w:tcW w:w="638" w:type="pct"/>
            <w:tcBorders>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1177" w:type="pct"/>
            <w:tcBorders>
              <w:bottom w:val="single" w:sz="4" w:space="0" w:color="auto"/>
            </w:tcBorders>
            <w:noWrap/>
            <w:hideMark/>
          </w:tcPr>
          <w:p w:rsidR="006C48ED" w:rsidRPr="00FA4395" w:rsidRDefault="006C48ED" w:rsidP="006C48ED">
            <w:pPr>
              <w:pStyle w:val="TableText0"/>
              <w:spacing w:line="240" w:lineRule="auto"/>
              <w:rPr>
                <w:szCs w:val="20"/>
              </w:rPr>
            </w:pPr>
            <w:r w:rsidRPr="00FA4395">
              <w:rPr>
                <w:szCs w:val="20"/>
              </w:rPr>
              <w:t>Total LYs</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right w:val="doub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left w:val="double" w:sz="4" w:space="0" w:color="auto"/>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8"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r>
      <w:tr w:rsidR="009B59AF" w:rsidRPr="00C93348" w:rsidTr="00FA4395">
        <w:trPr>
          <w:trHeight w:val="20"/>
        </w:trPr>
        <w:tc>
          <w:tcPr>
            <w:tcW w:w="2450" w:type="pct"/>
            <w:gridSpan w:val="3"/>
            <w:tcBorders>
              <w:bottom w:val="nil"/>
            </w:tcBorders>
            <w:noWrap/>
            <w:hideMark/>
          </w:tcPr>
          <w:p w:rsidR="009B59AF" w:rsidRPr="00FA4395" w:rsidRDefault="009B59AF" w:rsidP="009B59AF">
            <w:pPr>
              <w:pStyle w:val="TableText0"/>
              <w:spacing w:line="240" w:lineRule="auto"/>
              <w:rPr>
                <w:b/>
                <w:szCs w:val="20"/>
              </w:rPr>
            </w:pPr>
            <w:r w:rsidRPr="00FA4395">
              <w:rPr>
                <w:b/>
                <w:szCs w:val="20"/>
              </w:rPr>
              <w:t>Incremental cost per LY gained</w:t>
            </w:r>
            <w:r w:rsidRPr="00FA4395">
              <w:rPr>
                <w:szCs w:val="20"/>
                <w:vertAlign w:val="superscript"/>
              </w:rPr>
              <w:t xml:space="preserve"> a</w:t>
            </w:r>
          </w:p>
        </w:tc>
        <w:tc>
          <w:tcPr>
            <w:tcW w:w="637" w:type="pct"/>
            <w:tcBorders>
              <w:bottom w:val="nil"/>
              <w:right w:val="double" w:sz="4" w:space="0" w:color="auto"/>
            </w:tcBorders>
            <w:noWrap/>
            <w:hideMark/>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c>
          <w:tcPr>
            <w:tcW w:w="637" w:type="pct"/>
            <w:tcBorders>
              <w:left w:val="double" w:sz="4" w:space="0" w:color="auto"/>
              <w:bottom w:val="nil"/>
              <w:right w:val="nil"/>
            </w:tcBorders>
          </w:tcPr>
          <w:p w:rsidR="009B59AF" w:rsidRPr="00FA4395" w:rsidRDefault="009B59AF" w:rsidP="006C48ED">
            <w:pPr>
              <w:pStyle w:val="TableText0"/>
              <w:spacing w:line="240" w:lineRule="auto"/>
              <w:jc w:val="right"/>
              <w:rPr>
                <w:b/>
                <w:szCs w:val="20"/>
              </w:rPr>
            </w:pPr>
          </w:p>
        </w:tc>
        <w:tc>
          <w:tcPr>
            <w:tcW w:w="637" w:type="pct"/>
            <w:tcBorders>
              <w:left w:val="nil"/>
              <w:bottom w:val="nil"/>
            </w:tcBorders>
          </w:tcPr>
          <w:p w:rsidR="009B59AF" w:rsidRPr="00FA4395" w:rsidRDefault="009B59AF" w:rsidP="006C48ED">
            <w:pPr>
              <w:pStyle w:val="TableText0"/>
              <w:spacing w:line="240" w:lineRule="auto"/>
              <w:jc w:val="right"/>
              <w:rPr>
                <w:b/>
                <w:szCs w:val="20"/>
              </w:rPr>
            </w:pPr>
          </w:p>
        </w:tc>
        <w:tc>
          <w:tcPr>
            <w:tcW w:w="638" w:type="pct"/>
            <w:tcBorders>
              <w:bottom w:val="nil"/>
            </w:tcBorders>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5000" w:type="pct"/>
            <w:gridSpan w:val="7"/>
            <w:tcBorders>
              <w:bottom w:val="single" w:sz="4" w:space="0" w:color="auto"/>
            </w:tcBorders>
            <w:noWrap/>
            <w:hideMark/>
          </w:tcPr>
          <w:p w:rsidR="006C48ED" w:rsidRPr="00FA4395" w:rsidRDefault="006C48ED" w:rsidP="006C48ED">
            <w:pPr>
              <w:pStyle w:val="TableText0"/>
              <w:spacing w:line="240" w:lineRule="auto"/>
              <w:rPr>
                <w:b/>
                <w:szCs w:val="20"/>
              </w:rPr>
            </w:pPr>
            <w:r w:rsidRPr="00FA4395">
              <w:rPr>
                <w:b/>
                <w:szCs w:val="20"/>
              </w:rPr>
              <w:t>Step 2 – Extrapolation to 7.5 years</w:t>
            </w:r>
          </w:p>
        </w:tc>
      </w:tr>
      <w:tr w:rsidR="006C48ED" w:rsidRPr="00C93348" w:rsidTr="00FA4395">
        <w:trPr>
          <w:trHeight w:val="20"/>
        </w:trPr>
        <w:tc>
          <w:tcPr>
            <w:tcW w:w="1177" w:type="pct"/>
            <w:tcBorders>
              <w:bottom w:val="nil"/>
            </w:tcBorders>
            <w:noWrap/>
            <w:hideMark/>
          </w:tcPr>
          <w:p w:rsidR="006C48ED" w:rsidRPr="00FA4395" w:rsidRDefault="006C48ED" w:rsidP="006C48ED">
            <w:pPr>
              <w:pStyle w:val="TableText0"/>
              <w:spacing w:line="240" w:lineRule="auto"/>
              <w:rPr>
                <w:szCs w:val="20"/>
              </w:rPr>
            </w:pPr>
            <w:r w:rsidRPr="00FA4395">
              <w:rPr>
                <w:szCs w:val="20"/>
              </w:rPr>
              <w:t>Total cost</w:t>
            </w:r>
            <w:r w:rsidRPr="00FA4395">
              <w:rPr>
                <w:szCs w:val="20"/>
                <w:vertAlign w:val="superscript"/>
              </w:rPr>
              <w:t xml:space="preserve"> a</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$18,653</w:t>
            </w:r>
          </w:p>
        </w:tc>
        <w:tc>
          <w:tcPr>
            <w:tcW w:w="637" w:type="pct"/>
            <w:tcBorders>
              <w:bottom w:val="nil"/>
              <w:right w:val="double" w:sz="4" w:space="0" w:color="auto"/>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left w:val="double" w:sz="4" w:space="0" w:color="auto"/>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tcPr>
          <w:p w:rsidR="006C48ED" w:rsidRPr="00FA4395" w:rsidRDefault="006C48ED" w:rsidP="006C48ED">
            <w:pPr>
              <w:pStyle w:val="TableText0"/>
              <w:spacing w:line="240" w:lineRule="auto"/>
              <w:jc w:val="right"/>
              <w:rPr>
                <w:szCs w:val="20"/>
              </w:rPr>
            </w:pPr>
            <w:r w:rsidRPr="00FA4395">
              <w:rPr>
                <w:szCs w:val="20"/>
              </w:rPr>
              <w:t>$18,653</w:t>
            </w:r>
          </w:p>
        </w:tc>
        <w:tc>
          <w:tcPr>
            <w:tcW w:w="638" w:type="pct"/>
            <w:tcBorders>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1177" w:type="pct"/>
            <w:tcBorders>
              <w:bottom w:val="single" w:sz="4" w:space="0" w:color="auto"/>
            </w:tcBorders>
            <w:noWrap/>
            <w:hideMark/>
          </w:tcPr>
          <w:p w:rsidR="006C48ED" w:rsidRPr="00FA4395" w:rsidRDefault="006C48ED" w:rsidP="006C48ED">
            <w:pPr>
              <w:pStyle w:val="TableText0"/>
              <w:spacing w:line="240" w:lineRule="auto"/>
              <w:rPr>
                <w:szCs w:val="20"/>
              </w:rPr>
            </w:pPr>
            <w:r w:rsidRPr="00FA4395">
              <w:rPr>
                <w:szCs w:val="20"/>
              </w:rPr>
              <w:t>Total LYs</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right w:val="doub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left w:val="double" w:sz="4" w:space="0" w:color="auto"/>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8"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r>
      <w:tr w:rsidR="009B59AF" w:rsidRPr="00C93348" w:rsidTr="00FA4395">
        <w:trPr>
          <w:trHeight w:val="20"/>
        </w:trPr>
        <w:tc>
          <w:tcPr>
            <w:tcW w:w="2450" w:type="pct"/>
            <w:gridSpan w:val="3"/>
            <w:tcBorders>
              <w:bottom w:val="nil"/>
              <w:right w:val="single" w:sz="4" w:space="0" w:color="auto"/>
            </w:tcBorders>
            <w:noWrap/>
            <w:hideMark/>
          </w:tcPr>
          <w:p w:rsidR="009B59AF" w:rsidRPr="00FA4395" w:rsidRDefault="009B59AF" w:rsidP="009B59AF">
            <w:pPr>
              <w:pStyle w:val="TableText0"/>
              <w:spacing w:line="240" w:lineRule="auto"/>
              <w:rPr>
                <w:b/>
                <w:szCs w:val="20"/>
              </w:rPr>
            </w:pPr>
            <w:r w:rsidRPr="00FA4395">
              <w:rPr>
                <w:b/>
                <w:szCs w:val="20"/>
              </w:rPr>
              <w:t>Incremental cost per LY gained</w:t>
            </w:r>
            <w:r w:rsidRPr="00FA4395">
              <w:rPr>
                <w:szCs w:val="20"/>
                <w:vertAlign w:val="superscript"/>
              </w:rPr>
              <w:t xml:space="preserve"> a</w:t>
            </w:r>
          </w:p>
        </w:tc>
        <w:tc>
          <w:tcPr>
            <w:tcW w:w="637" w:type="pct"/>
            <w:tcBorders>
              <w:left w:val="single" w:sz="4" w:space="0" w:color="auto"/>
              <w:bottom w:val="nil"/>
              <w:right w:val="double" w:sz="4" w:space="0" w:color="auto"/>
            </w:tcBorders>
            <w:noWrap/>
            <w:hideMark/>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c>
          <w:tcPr>
            <w:tcW w:w="637" w:type="pct"/>
            <w:tcBorders>
              <w:left w:val="double" w:sz="4" w:space="0" w:color="auto"/>
              <w:bottom w:val="nil"/>
              <w:right w:val="nil"/>
            </w:tcBorders>
          </w:tcPr>
          <w:p w:rsidR="009B59AF" w:rsidRPr="00FA4395" w:rsidRDefault="009B59AF" w:rsidP="006C48ED">
            <w:pPr>
              <w:pStyle w:val="TableText0"/>
              <w:spacing w:line="240" w:lineRule="auto"/>
              <w:jc w:val="right"/>
              <w:rPr>
                <w:b/>
                <w:szCs w:val="20"/>
              </w:rPr>
            </w:pPr>
          </w:p>
        </w:tc>
        <w:tc>
          <w:tcPr>
            <w:tcW w:w="637" w:type="pct"/>
            <w:tcBorders>
              <w:left w:val="nil"/>
              <w:bottom w:val="nil"/>
              <w:right w:val="single" w:sz="4" w:space="0" w:color="auto"/>
            </w:tcBorders>
          </w:tcPr>
          <w:p w:rsidR="009B59AF" w:rsidRPr="00FA4395" w:rsidRDefault="009B59AF" w:rsidP="006C48ED">
            <w:pPr>
              <w:pStyle w:val="TableText0"/>
              <w:spacing w:line="240" w:lineRule="auto"/>
              <w:jc w:val="right"/>
              <w:rPr>
                <w:b/>
                <w:szCs w:val="20"/>
              </w:rPr>
            </w:pPr>
          </w:p>
        </w:tc>
        <w:tc>
          <w:tcPr>
            <w:tcW w:w="638" w:type="pct"/>
            <w:tcBorders>
              <w:left w:val="single" w:sz="4" w:space="0" w:color="auto"/>
              <w:bottom w:val="nil"/>
            </w:tcBorders>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5000" w:type="pct"/>
            <w:gridSpan w:val="7"/>
            <w:tcBorders>
              <w:bottom w:val="single" w:sz="4" w:space="0" w:color="auto"/>
            </w:tcBorders>
            <w:noWrap/>
            <w:hideMark/>
          </w:tcPr>
          <w:p w:rsidR="006C48ED" w:rsidRPr="00FA4395" w:rsidRDefault="006C48ED" w:rsidP="006C48ED">
            <w:pPr>
              <w:pStyle w:val="TableText0"/>
              <w:spacing w:line="240" w:lineRule="auto"/>
              <w:rPr>
                <w:b/>
                <w:szCs w:val="20"/>
              </w:rPr>
            </w:pPr>
            <w:r w:rsidRPr="00FA4395">
              <w:rPr>
                <w:b/>
                <w:szCs w:val="20"/>
              </w:rPr>
              <w:t>Step 3 – Including all resource utilisation costs</w:t>
            </w:r>
          </w:p>
        </w:tc>
      </w:tr>
      <w:tr w:rsidR="006C48ED" w:rsidRPr="00C93348" w:rsidTr="00FA4395">
        <w:trPr>
          <w:trHeight w:val="20"/>
        </w:trPr>
        <w:tc>
          <w:tcPr>
            <w:tcW w:w="1177" w:type="pct"/>
            <w:tcBorders>
              <w:bottom w:val="nil"/>
            </w:tcBorders>
            <w:noWrap/>
            <w:hideMark/>
          </w:tcPr>
          <w:p w:rsidR="006C48ED" w:rsidRPr="00FA4395" w:rsidRDefault="006C48ED" w:rsidP="006C48ED">
            <w:pPr>
              <w:pStyle w:val="TableText0"/>
              <w:spacing w:line="240" w:lineRule="auto"/>
              <w:rPr>
                <w:szCs w:val="20"/>
              </w:rPr>
            </w:pPr>
            <w:r w:rsidRPr="00FA4395">
              <w:rPr>
                <w:szCs w:val="20"/>
              </w:rPr>
              <w:t>Total cost</w:t>
            </w:r>
            <w:r w:rsidRPr="00FA4395">
              <w:rPr>
                <w:szCs w:val="20"/>
                <w:vertAlign w:val="superscript"/>
              </w:rPr>
              <w:t xml:space="preserve"> b</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$71,893</w:t>
            </w:r>
          </w:p>
        </w:tc>
        <w:tc>
          <w:tcPr>
            <w:tcW w:w="637" w:type="pct"/>
            <w:tcBorders>
              <w:bottom w:val="nil"/>
              <w:right w:val="double" w:sz="4" w:space="0" w:color="auto"/>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left w:val="double" w:sz="4" w:space="0" w:color="auto"/>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tcPr>
          <w:p w:rsidR="006C48ED" w:rsidRPr="00FA4395" w:rsidRDefault="006C48ED" w:rsidP="006C48ED">
            <w:pPr>
              <w:pStyle w:val="TableText0"/>
              <w:spacing w:line="240" w:lineRule="auto"/>
              <w:jc w:val="right"/>
              <w:rPr>
                <w:szCs w:val="20"/>
              </w:rPr>
            </w:pPr>
            <w:r w:rsidRPr="00FA4395">
              <w:rPr>
                <w:szCs w:val="20"/>
              </w:rPr>
              <w:t>$71,893</w:t>
            </w:r>
          </w:p>
        </w:tc>
        <w:tc>
          <w:tcPr>
            <w:tcW w:w="638" w:type="pct"/>
            <w:tcBorders>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1177" w:type="pct"/>
            <w:tcBorders>
              <w:bottom w:val="single" w:sz="4" w:space="0" w:color="auto"/>
            </w:tcBorders>
            <w:noWrap/>
            <w:hideMark/>
          </w:tcPr>
          <w:p w:rsidR="006C48ED" w:rsidRPr="00FA4395" w:rsidRDefault="006C48ED" w:rsidP="006C48ED">
            <w:pPr>
              <w:pStyle w:val="TableText0"/>
              <w:spacing w:line="240" w:lineRule="auto"/>
              <w:rPr>
                <w:szCs w:val="20"/>
              </w:rPr>
            </w:pPr>
            <w:r w:rsidRPr="00FA4395">
              <w:rPr>
                <w:szCs w:val="20"/>
              </w:rPr>
              <w:t>Total LYs</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right w:val="doub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left w:val="double" w:sz="4" w:space="0" w:color="auto"/>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8"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r>
      <w:tr w:rsidR="009B59AF" w:rsidRPr="00C93348" w:rsidTr="00FA4395">
        <w:trPr>
          <w:trHeight w:val="20"/>
        </w:trPr>
        <w:tc>
          <w:tcPr>
            <w:tcW w:w="2450" w:type="pct"/>
            <w:gridSpan w:val="3"/>
            <w:tcBorders>
              <w:bottom w:val="nil"/>
            </w:tcBorders>
            <w:noWrap/>
            <w:hideMark/>
          </w:tcPr>
          <w:p w:rsidR="009B59AF" w:rsidRPr="00FA4395" w:rsidRDefault="009B59AF" w:rsidP="009B59AF">
            <w:pPr>
              <w:pStyle w:val="TableText0"/>
              <w:spacing w:line="240" w:lineRule="auto"/>
              <w:rPr>
                <w:b/>
                <w:szCs w:val="20"/>
              </w:rPr>
            </w:pPr>
            <w:r w:rsidRPr="00FA4395">
              <w:rPr>
                <w:b/>
                <w:szCs w:val="20"/>
              </w:rPr>
              <w:t>Incremental cost per LY gained</w:t>
            </w:r>
            <w:r w:rsidRPr="00FA4395">
              <w:rPr>
                <w:szCs w:val="20"/>
                <w:vertAlign w:val="superscript"/>
              </w:rPr>
              <w:t xml:space="preserve"> b</w:t>
            </w:r>
          </w:p>
        </w:tc>
        <w:tc>
          <w:tcPr>
            <w:tcW w:w="637" w:type="pct"/>
            <w:tcBorders>
              <w:bottom w:val="nil"/>
              <w:right w:val="double" w:sz="4" w:space="0" w:color="auto"/>
            </w:tcBorders>
            <w:noWrap/>
            <w:hideMark/>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c>
          <w:tcPr>
            <w:tcW w:w="637" w:type="pct"/>
            <w:tcBorders>
              <w:left w:val="double" w:sz="4" w:space="0" w:color="auto"/>
              <w:bottom w:val="nil"/>
              <w:right w:val="nil"/>
            </w:tcBorders>
          </w:tcPr>
          <w:p w:rsidR="009B59AF" w:rsidRPr="00FA4395" w:rsidRDefault="009B59AF" w:rsidP="006C48ED">
            <w:pPr>
              <w:pStyle w:val="TableText0"/>
              <w:spacing w:line="240" w:lineRule="auto"/>
              <w:jc w:val="right"/>
              <w:rPr>
                <w:b/>
                <w:szCs w:val="20"/>
              </w:rPr>
            </w:pPr>
          </w:p>
        </w:tc>
        <w:tc>
          <w:tcPr>
            <w:tcW w:w="637" w:type="pct"/>
            <w:tcBorders>
              <w:left w:val="nil"/>
              <w:bottom w:val="nil"/>
            </w:tcBorders>
          </w:tcPr>
          <w:p w:rsidR="009B59AF" w:rsidRPr="00FA4395" w:rsidRDefault="009B59AF" w:rsidP="006C48ED">
            <w:pPr>
              <w:pStyle w:val="TableText0"/>
              <w:spacing w:line="240" w:lineRule="auto"/>
              <w:jc w:val="right"/>
              <w:rPr>
                <w:b/>
                <w:szCs w:val="20"/>
              </w:rPr>
            </w:pPr>
          </w:p>
        </w:tc>
        <w:tc>
          <w:tcPr>
            <w:tcW w:w="638" w:type="pct"/>
            <w:tcBorders>
              <w:bottom w:val="nil"/>
            </w:tcBorders>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5000" w:type="pct"/>
            <w:gridSpan w:val="7"/>
            <w:tcBorders>
              <w:bottom w:val="single" w:sz="4" w:space="0" w:color="auto"/>
            </w:tcBorders>
            <w:noWrap/>
            <w:hideMark/>
          </w:tcPr>
          <w:p w:rsidR="006C48ED" w:rsidRPr="00FA4395" w:rsidRDefault="006C48ED" w:rsidP="006C48ED">
            <w:pPr>
              <w:pStyle w:val="TableText0"/>
              <w:spacing w:line="240" w:lineRule="auto"/>
              <w:rPr>
                <w:b/>
                <w:szCs w:val="20"/>
              </w:rPr>
            </w:pPr>
            <w:r w:rsidRPr="00FA4395">
              <w:rPr>
                <w:b/>
                <w:szCs w:val="20"/>
              </w:rPr>
              <w:t>Step 4 – Transformation of health outcomes into QALYs</w:t>
            </w:r>
          </w:p>
        </w:tc>
      </w:tr>
      <w:tr w:rsidR="006C48ED" w:rsidRPr="00C93348" w:rsidTr="00FA4395">
        <w:trPr>
          <w:trHeight w:val="20"/>
        </w:trPr>
        <w:tc>
          <w:tcPr>
            <w:tcW w:w="1177" w:type="pct"/>
            <w:tcBorders>
              <w:bottom w:val="nil"/>
            </w:tcBorders>
            <w:noWrap/>
            <w:hideMark/>
          </w:tcPr>
          <w:p w:rsidR="006C48ED" w:rsidRPr="00FA4395" w:rsidRDefault="006C48ED" w:rsidP="006C48ED">
            <w:pPr>
              <w:pStyle w:val="TableText0"/>
              <w:spacing w:line="240" w:lineRule="auto"/>
              <w:rPr>
                <w:szCs w:val="20"/>
              </w:rPr>
            </w:pPr>
            <w:r w:rsidRPr="00FA4395">
              <w:rPr>
                <w:szCs w:val="20"/>
              </w:rPr>
              <w:t>Total cost</w:t>
            </w:r>
            <w:r w:rsidRPr="00FA4395">
              <w:rPr>
                <w:szCs w:val="20"/>
                <w:vertAlign w:val="superscript"/>
              </w:rPr>
              <w:t xml:space="preserve"> b</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noWrap/>
            <w:hideMark/>
          </w:tcPr>
          <w:p w:rsidR="006C48ED" w:rsidRPr="00FA4395" w:rsidRDefault="006C48ED" w:rsidP="006C48ED">
            <w:pPr>
              <w:pStyle w:val="TableText0"/>
              <w:spacing w:line="240" w:lineRule="auto"/>
              <w:jc w:val="right"/>
              <w:rPr>
                <w:szCs w:val="20"/>
              </w:rPr>
            </w:pPr>
            <w:r w:rsidRPr="00FA4395">
              <w:rPr>
                <w:szCs w:val="20"/>
              </w:rPr>
              <w:t>$71,893</w:t>
            </w:r>
          </w:p>
        </w:tc>
        <w:tc>
          <w:tcPr>
            <w:tcW w:w="637" w:type="pct"/>
            <w:tcBorders>
              <w:bottom w:val="nil"/>
              <w:right w:val="double" w:sz="4" w:space="0" w:color="auto"/>
            </w:tcBorders>
            <w:noWrap/>
            <w:hideMark/>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left w:val="double" w:sz="4" w:space="0" w:color="auto"/>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c>
          <w:tcPr>
            <w:tcW w:w="637" w:type="pct"/>
            <w:tcBorders>
              <w:bottom w:val="nil"/>
            </w:tcBorders>
          </w:tcPr>
          <w:p w:rsidR="006C48ED" w:rsidRPr="00FA4395" w:rsidRDefault="006C48ED" w:rsidP="006C48ED">
            <w:pPr>
              <w:pStyle w:val="TableText0"/>
              <w:spacing w:line="240" w:lineRule="auto"/>
              <w:jc w:val="right"/>
              <w:rPr>
                <w:szCs w:val="20"/>
              </w:rPr>
            </w:pPr>
            <w:r w:rsidRPr="00FA4395">
              <w:rPr>
                <w:szCs w:val="20"/>
              </w:rPr>
              <w:t>$71,893</w:t>
            </w:r>
          </w:p>
        </w:tc>
        <w:tc>
          <w:tcPr>
            <w:tcW w:w="638" w:type="pct"/>
            <w:tcBorders>
              <w:bottom w:val="nil"/>
            </w:tcBorders>
          </w:tcPr>
          <w:p w:rsidR="006C48ED" w:rsidRPr="00FA4395" w:rsidRDefault="006C48ED" w:rsidP="006C48ED">
            <w:pPr>
              <w:pStyle w:val="TableText0"/>
              <w:spacing w:line="240" w:lineRule="auto"/>
              <w:jc w:val="right"/>
              <w:rPr>
                <w:szCs w:val="20"/>
              </w:rPr>
            </w:pPr>
            <w:r w:rsidRPr="00FA4395">
              <w:rPr>
                <w:szCs w:val="20"/>
              </w:rPr>
              <w:t>$</w:t>
            </w:r>
            <w:r w:rsidR="00B27C72">
              <w:rPr>
                <w:noProof/>
                <w:color w:val="000000"/>
                <w:szCs w:val="20"/>
                <w:highlight w:val="black"/>
              </w:rPr>
              <w:t>''''''''''''''''</w:t>
            </w:r>
          </w:p>
        </w:tc>
      </w:tr>
      <w:tr w:rsidR="006C48ED" w:rsidRPr="00C93348" w:rsidTr="00FA4395">
        <w:trPr>
          <w:trHeight w:val="20"/>
        </w:trPr>
        <w:tc>
          <w:tcPr>
            <w:tcW w:w="1177" w:type="pct"/>
            <w:tcBorders>
              <w:bottom w:val="single" w:sz="4" w:space="0" w:color="auto"/>
            </w:tcBorders>
            <w:noWrap/>
            <w:hideMark/>
          </w:tcPr>
          <w:p w:rsidR="006C48ED" w:rsidRPr="00FA4395" w:rsidRDefault="006C48ED" w:rsidP="006C48ED">
            <w:pPr>
              <w:pStyle w:val="TableText0"/>
              <w:spacing w:line="240" w:lineRule="auto"/>
              <w:rPr>
                <w:szCs w:val="20"/>
              </w:rPr>
            </w:pPr>
            <w:r w:rsidRPr="00FA4395">
              <w:rPr>
                <w:szCs w:val="20"/>
              </w:rPr>
              <w:t>Total QALYs</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right w:val="double" w:sz="4" w:space="0" w:color="auto"/>
            </w:tcBorders>
            <w:noWrap/>
            <w:hideMark/>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left w:val="double" w:sz="4" w:space="0" w:color="auto"/>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7"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c>
          <w:tcPr>
            <w:tcW w:w="638" w:type="pct"/>
            <w:tcBorders>
              <w:bottom w:val="single" w:sz="4" w:space="0" w:color="auto"/>
            </w:tcBorders>
          </w:tcPr>
          <w:p w:rsidR="006C48ED" w:rsidRPr="00B27C72" w:rsidRDefault="00B27C72" w:rsidP="006C48ED">
            <w:pPr>
              <w:pStyle w:val="TableText0"/>
              <w:spacing w:line="240" w:lineRule="auto"/>
              <w:jc w:val="right"/>
              <w:rPr>
                <w:szCs w:val="20"/>
                <w:highlight w:val="black"/>
              </w:rPr>
            </w:pPr>
            <w:r>
              <w:rPr>
                <w:noProof/>
                <w:color w:val="000000"/>
                <w:szCs w:val="20"/>
                <w:highlight w:val="black"/>
              </w:rPr>
              <w:t>'''''''''''''''''</w:t>
            </w:r>
          </w:p>
        </w:tc>
      </w:tr>
      <w:tr w:rsidR="009B59AF" w:rsidRPr="00C93348" w:rsidTr="00FA4395">
        <w:trPr>
          <w:trHeight w:val="225"/>
        </w:trPr>
        <w:tc>
          <w:tcPr>
            <w:tcW w:w="1813" w:type="pct"/>
            <w:gridSpan w:val="2"/>
            <w:tcBorders>
              <w:bottom w:val="single" w:sz="4" w:space="0" w:color="auto"/>
              <w:right w:val="nil"/>
            </w:tcBorders>
            <w:noWrap/>
            <w:hideMark/>
          </w:tcPr>
          <w:p w:rsidR="009B59AF" w:rsidRPr="00FA4395" w:rsidRDefault="009B59AF" w:rsidP="009B59AF">
            <w:pPr>
              <w:pStyle w:val="TableText0"/>
              <w:spacing w:line="240" w:lineRule="auto"/>
              <w:rPr>
                <w:b/>
                <w:szCs w:val="20"/>
              </w:rPr>
            </w:pPr>
            <w:r w:rsidRPr="00FA4395">
              <w:rPr>
                <w:b/>
                <w:szCs w:val="20"/>
              </w:rPr>
              <w:t>Incremental cost per QALY gained</w:t>
            </w:r>
            <w:r w:rsidRPr="00FA4395">
              <w:rPr>
                <w:szCs w:val="20"/>
                <w:vertAlign w:val="superscript"/>
              </w:rPr>
              <w:t xml:space="preserve"> b</w:t>
            </w:r>
          </w:p>
        </w:tc>
        <w:tc>
          <w:tcPr>
            <w:tcW w:w="637" w:type="pct"/>
            <w:tcBorders>
              <w:left w:val="nil"/>
              <w:bottom w:val="single" w:sz="4" w:space="0" w:color="auto"/>
            </w:tcBorders>
            <w:noWrap/>
            <w:hideMark/>
          </w:tcPr>
          <w:p w:rsidR="009B59AF" w:rsidRPr="00FA4395" w:rsidRDefault="009B59AF" w:rsidP="006C48ED">
            <w:pPr>
              <w:pStyle w:val="TableText0"/>
              <w:spacing w:line="240" w:lineRule="auto"/>
              <w:jc w:val="right"/>
              <w:rPr>
                <w:b/>
                <w:szCs w:val="20"/>
              </w:rPr>
            </w:pPr>
          </w:p>
        </w:tc>
        <w:tc>
          <w:tcPr>
            <w:tcW w:w="637" w:type="pct"/>
            <w:tcBorders>
              <w:bottom w:val="single" w:sz="4" w:space="0" w:color="auto"/>
              <w:right w:val="double" w:sz="4" w:space="0" w:color="auto"/>
            </w:tcBorders>
            <w:noWrap/>
            <w:hideMark/>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c>
          <w:tcPr>
            <w:tcW w:w="637" w:type="pct"/>
            <w:tcBorders>
              <w:left w:val="double" w:sz="4" w:space="0" w:color="auto"/>
              <w:bottom w:val="single" w:sz="4" w:space="0" w:color="auto"/>
              <w:right w:val="nil"/>
            </w:tcBorders>
          </w:tcPr>
          <w:p w:rsidR="009B59AF" w:rsidRPr="00FA4395" w:rsidRDefault="009B59AF" w:rsidP="006C48ED">
            <w:pPr>
              <w:pStyle w:val="TableText0"/>
              <w:spacing w:line="240" w:lineRule="auto"/>
              <w:jc w:val="right"/>
              <w:rPr>
                <w:b/>
                <w:szCs w:val="20"/>
              </w:rPr>
            </w:pPr>
          </w:p>
        </w:tc>
        <w:tc>
          <w:tcPr>
            <w:tcW w:w="637" w:type="pct"/>
            <w:tcBorders>
              <w:left w:val="nil"/>
              <w:bottom w:val="single" w:sz="4" w:space="0" w:color="auto"/>
            </w:tcBorders>
          </w:tcPr>
          <w:p w:rsidR="009B59AF" w:rsidRPr="00FA4395" w:rsidRDefault="009B59AF" w:rsidP="006C48ED">
            <w:pPr>
              <w:pStyle w:val="TableText0"/>
              <w:spacing w:line="240" w:lineRule="auto"/>
              <w:jc w:val="right"/>
              <w:rPr>
                <w:b/>
                <w:szCs w:val="20"/>
              </w:rPr>
            </w:pPr>
          </w:p>
        </w:tc>
        <w:tc>
          <w:tcPr>
            <w:tcW w:w="638" w:type="pct"/>
            <w:tcBorders>
              <w:bottom w:val="single" w:sz="4" w:space="0" w:color="auto"/>
            </w:tcBorders>
          </w:tcPr>
          <w:p w:rsidR="009B59AF" w:rsidRPr="00FA4395" w:rsidRDefault="009B59AF" w:rsidP="006C48ED">
            <w:pPr>
              <w:pStyle w:val="TableText0"/>
              <w:spacing w:line="240" w:lineRule="auto"/>
              <w:jc w:val="right"/>
              <w:rPr>
                <w:b/>
                <w:szCs w:val="20"/>
              </w:rPr>
            </w:pPr>
            <w:r w:rsidRPr="00FA4395">
              <w:rPr>
                <w:szCs w:val="20"/>
              </w:rPr>
              <w:t>$</w:t>
            </w:r>
            <w:r w:rsidR="00B27C72">
              <w:rPr>
                <w:noProof/>
                <w:color w:val="000000"/>
                <w:szCs w:val="20"/>
                <w:highlight w:val="black"/>
              </w:rPr>
              <w:t>'''''''''''''''''''''</w:t>
            </w:r>
          </w:p>
        </w:tc>
      </w:tr>
    </w:tbl>
    <w:p w:rsidR="00BA00F8" w:rsidRPr="00C93348" w:rsidRDefault="00BA00F8" w:rsidP="00BA00F8">
      <w:pPr>
        <w:pStyle w:val="TableFigureFooter"/>
      </w:pPr>
      <w:r w:rsidRPr="00C93348">
        <w:t>Source: Constructed during the evaluation from Table 3.8.1, p144 of the resubmission and the ‘Tagrisso (osimertinib) Economic Evaluation_July 2020 PBAC meeting.xlsm’ workbook.</w:t>
      </w:r>
    </w:p>
    <w:p w:rsidR="00BA00F8" w:rsidRPr="00C93348" w:rsidRDefault="00BA00F8" w:rsidP="00BA00F8">
      <w:pPr>
        <w:pStyle w:val="TableFigureFooter"/>
      </w:pPr>
      <w:r w:rsidRPr="00C93348">
        <w:t xml:space="preserve">ICER = incremental cost-effectiveness ratio; LY = life year; QALY = quality-adjusted life year; </w:t>
      </w:r>
      <w:r w:rsidR="00D72D9F" w:rsidRPr="00C93348">
        <w:t>SC</w:t>
      </w:r>
      <w:r w:rsidRPr="00C93348">
        <w:t xml:space="preserve"> = standard of care (erlotinib/gefitinib)</w:t>
      </w:r>
    </w:p>
    <w:p w:rsidR="00BA00F8" w:rsidRPr="00C93348" w:rsidRDefault="00BA00F8" w:rsidP="00BA00F8">
      <w:pPr>
        <w:pStyle w:val="TableFigureFooter"/>
      </w:pPr>
      <w:r w:rsidRPr="00C93348">
        <w:t>Note: The resubmission base-case analysis included an additional rebate of $</w:t>
      </w:r>
      <w:r w:rsidR="00B27C72">
        <w:rPr>
          <w:noProof/>
          <w:color w:val="000000"/>
          <w:highlight w:val="black"/>
        </w:rPr>
        <w:t>'''''''''''''''</w:t>
      </w:r>
      <w:r w:rsidRPr="00C93348">
        <w:t xml:space="preserve"> </w:t>
      </w:r>
      <w:r w:rsidR="00DE673E">
        <w:rPr>
          <w:noProof/>
          <w:color w:val="000000"/>
          <w:highlight w:val="black"/>
        </w:rPr>
        <w:t>'''''''''''''' '''''''''' '''''''''''''''' '''''' '''''' '''''''''''''''''''''''' ''''''''''''''''''''' ''''' ''''''' ''''''''''' ''''''' '''''''''''' ''''' ''''''''''''''''' ''''''''''''''''''''''''''''' ''''''''''''''''' '''' '''''''''''''''''''' ''''' '''''''''''''' '''''' '''' '''''''''''''' ''''''''''''''''' '''''' '''''''' '''''''''''' ''''''''''''''''''''''''' '''' ''''''''''''''''''' ''''' ''''''' '''''''''''''''''''''''' '''''''''''''''''''''</w:t>
      </w:r>
      <w:r w:rsidRPr="00C93348">
        <w:t>. Analyses are presented including and excluding this additional rebate.</w:t>
      </w:r>
    </w:p>
    <w:p w:rsidR="00BA00F8" w:rsidRPr="00C93348" w:rsidRDefault="00BA00F8" w:rsidP="00BA00F8">
      <w:pPr>
        <w:pStyle w:val="TableFigureFooter"/>
      </w:pPr>
      <w:r w:rsidRPr="00C93348">
        <w:rPr>
          <w:vertAlign w:val="superscript"/>
        </w:rPr>
        <w:t>a</w:t>
      </w:r>
      <w:r w:rsidRPr="00C93348">
        <w:t xml:space="preserve"> In Steps 1 and 2, costs were revised during the evaluation to reflect the cost of erlotinib only in the first-line treatment costs.</w:t>
      </w:r>
    </w:p>
    <w:p w:rsidR="00BA00F8" w:rsidRPr="00C93348" w:rsidRDefault="00BA00F8" w:rsidP="00BA00F8">
      <w:pPr>
        <w:pStyle w:val="TableFigureFooter"/>
      </w:pPr>
      <w:r w:rsidRPr="00C93348">
        <w:rPr>
          <w:vertAlign w:val="superscript"/>
        </w:rPr>
        <w:t>b</w:t>
      </w:r>
      <w:r w:rsidRPr="00C93348">
        <w:t xml:space="preserve"> In Steps 3 and 4, in addition to using the cost of erlotinib as the cost of first-line </w:t>
      </w:r>
      <w:r w:rsidR="00D72D9F" w:rsidRPr="00C93348">
        <w:t>SC</w:t>
      </w:r>
      <w:r w:rsidRPr="00C93348">
        <w:t xml:space="preserve">, the cost of subsequent therapy was revised during the evaluation to reflect 4 treatment cycles of carboplatin + gemcitabine, rather than 5.7; and the proportion of patients that </w:t>
      </w:r>
      <w:r w:rsidR="00855352" w:rsidRPr="00C93348">
        <w:t xml:space="preserve">discontinue first-line </w:t>
      </w:r>
      <w:r w:rsidR="00D72D9F" w:rsidRPr="00C93348">
        <w:t>SC</w:t>
      </w:r>
      <w:r w:rsidR="00855352" w:rsidRPr="00C93348">
        <w:t xml:space="preserve"> and </w:t>
      </w:r>
      <w:r w:rsidRPr="00C93348">
        <w:t>receive later-line osimertinib was reduced from 75.6%</w:t>
      </w:r>
      <w:r w:rsidR="00855352" w:rsidRPr="00C93348">
        <w:t xml:space="preserve"> (i.e. 136/180)</w:t>
      </w:r>
      <w:r w:rsidRPr="00C93348">
        <w:t xml:space="preserve"> to 51.5%</w:t>
      </w:r>
      <w:r w:rsidR="00855352" w:rsidRPr="00C93348">
        <w:t xml:space="preserve"> (i.e. 136/264)</w:t>
      </w:r>
      <w:r w:rsidRPr="00C93348">
        <w:t xml:space="preserve"> (the proportion receiving other subsequent treatments was weighted as per the resubmission’s base case assumptions).</w:t>
      </w:r>
    </w:p>
    <w:p w:rsidR="00BA00F8" w:rsidRPr="00C93348" w:rsidRDefault="00BA00F8" w:rsidP="00BA00F8">
      <w:pPr>
        <w:pStyle w:val="3-BodyText"/>
      </w:pPr>
      <w:r w:rsidRPr="00C93348">
        <w:t xml:space="preserve">The steps of the analysis that contribute most to the final ICER are the extrapolation of outcomes to the model time horizon and the inclusion of all other resource utilisation costs. </w:t>
      </w:r>
    </w:p>
    <w:p w:rsidR="00602536" w:rsidRPr="00C93348" w:rsidRDefault="00BA00F8" w:rsidP="00602536">
      <w:pPr>
        <w:pStyle w:val="3-BodyText"/>
      </w:pPr>
      <w:r w:rsidRPr="00C93348">
        <w:t xml:space="preserve">The incremental costs were driven by the cost of </w:t>
      </w:r>
      <w:r w:rsidR="000721B6" w:rsidRPr="00C93348">
        <w:t>first-line</w:t>
      </w:r>
      <w:r w:rsidRPr="00C93348">
        <w:t xml:space="preserve"> osimertinib, with cost offsets due to the cost of subsequent treatment (primarily later-line osimertinib treatment). </w:t>
      </w:r>
    </w:p>
    <w:p w:rsidR="00602536" w:rsidRPr="00C93348" w:rsidRDefault="00602536" w:rsidP="00602536">
      <w:pPr>
        <w:pStyle w:val="TableFigureHeading"/>
      </w:pPr>
      <w:r w:rsidRPr="00C93348">
        <w:t xml:space="preserve">Table </w:t>
      </w:r>
      <w:r w:rsidR="00CC4472">
        <w:rPr>
          <w:noProof/>
        </w:rPr>
        <w:t>13</w:t>
      </w:r>
      <w:r w:rsidRPr="00C93348">
        <w:t xml:space="preserve">: </w:t>
      </w:r>
      <w:r w:rsidRPr="00C93348">
        <w:rPr>
          <w:rStyle w:val="CommentReference"/>
          <w:b/>
          <w:szCs w:val="24"/>
        </w:rPr>
        <w:t>Health care resource items: disaggregated summary of cost impacts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731"/>
        <w:gridCol w:w="1731"/>
        <w:gridCol w:w="1731"/>
      </w:tblGrid>
      <w:tr w:rsidR="004A2129" w:rsidRPr="00C93348" w:rsidTr="00FA4395">
        <w:trPr>
          <w:tblHeader/>
        </w:trPr>
        <w:tc>
          <w:tcPr>
            <w:tcW w:w="2120" w:type="pct"/>
            <w:tcBorders>
              <w:bottom w:val="single" w:sz="4" w:space="0" w:color="auto"/>
            </w:tcBorders>
            <w:vAlign w:val="center"/>
          </w:tcPr>
          <w:p w:rsidR="004A2129" w:rsidRPr="00C93348" w:rsidRDefault="004A2129" w:rsidP="00332D05">
            <w:pPr>
              <w:pStyle w:val="In-tableHeading"/>
              <w:rPr>
                <w:lang w:val="en-AU"/>
              </w:rPr>
            </w:pPr>
          </w:p>
        </w:tc>
        <w:tc>
          <w:tcPr>
            <w:tcW w:w="960" w:type="pct"/>
            <w:tcBorders>
              <w:bottom w:val="single" w:sz="4" w:space="0" w:color="auto"/>
            </w:tcBorders>
            <w:vAlign w:val="center"/>
          </w:tcPr>
          <w:p w:rsidR="004A2129" w:rsidRPr="00C93348" w:rsidRDefault="004A2129" w:rsidP="00332D05">
            <w:pPr>
              <w:pStyle w:val="In-tableHeading"/>
              <w:jc w:val="center"/>
              <w:rPr>
                <w:lang w:val="en-AU"/>
              </w:rPr>
            </w:pPr>
            <w:r w:rsidRPr="00C93348">
              <w:rPr>
                <w:lang w:val="en-AU"/>
              </w:rPr>
              <w:t>Osimertinib</w:t>
            </w:r>
          </w:p>
        </w:tc>
        <w:tc>
          <w:tcPr>
            <w:tcW w:w="960" w:type="pct"/>
            <w:tcBorders>
              <w:bottom w:val="single" w:sz="4" w:space="0" w:color="auto"/>
            </w:tcBorders>
            <w:vAlign w:val="center"/>
          </w:tcPr>
          <w:p w:rsidR="004A2129" w:rsidRPr="00C93348" w:rsidRDefault="004A2129" w:rsidP="00332D05">
            <w:pPr>
              <w:pStyle w:val="In-tableHeading"/>
              <w:jc w:val="center"/>
              <w:rPr>
                <w:lang w:val="en-AU"/>
              </w:rPr>
            </w:pPr>
            <w:r w:rsidRPr="00C93348">
              <w:rPr>
                <w:lang w:val="en-AU"/>
              </w:rPr>
              <w:t>SC</w:t>
            </w:r>
          </w:p>
        </w:tc>
        <w:tc>
          <w:tcPr>
            <w:tcW w:w="960" w:type="pct"/>
            <w:tcBorders>
              <w:bottom w:val="single" w:sz="4" w:space="0" w:color="auto"/>
            </w:tcBorders>
            <w:vAlign w:val="center"/>
          </w:tcPr>
          <w:p w:rsidR="004A2129" w:rsidRPr="00C93348" w:rsidRDefault="004A2129" w:rsidP="00332D05">
            <w:pPr>
              <w:pStyle w:val="In-tableHeading"/>
              <w:jc w:val="center"/>
              <w:rPr>
                <w:lang w:val="en-AU"/>
              </w:rPr>
            </w:pPr>
            <w:r w:rsidRPr="00C93348">
              <w:rPr>
                <w:lang w:val="en-AU"/>
              </w:rPr>
              <w:t>Increment</w:t>
            </w:r>
          </w:p>
        </w:tc>
      </w:tr>
      <w:tr w:rsidR="004A2129" w:rsidRPr="00C93348" w:rsidTr="00FA4395">
        <w:tc>
          <w:tcPr>
            <w:tcW w:w="2120" w:type="pct"/>
            <w:tcBorders>
              <w:top w:val="single" w:sz="4" w:space="0" w:color="auto"/>
              <w:left w:val="single" w:sz="4" w:space="0" w:color="auto"/>
              <w:bottom w:val="nil"/>
              <w:right w:val="single" w:sz="4" w:space="0" w:color="auto"/>
            </w:tcBorders>
          </w:tcPr>
          <w:p w:rsidR="004A2129" w:rsidRPr="00C93348" w:rsidRDefault="004A2129" w:rsidP="00332D05">
            <w:pPr>
              <w:pStyle w:val="TableText0"/>
            </w:pPr>
            <w:r w:rsidRPr="00C93348">
              <w:t>First-line treatment</w:t>
            </w:r>
          </w:p>
        </w:tc>
        <w:tc>
          <w:tcPr>
            <w:tcW w:w="960" w:type="pct"/>
            <w:tcBorders>
              <w:top w:val="single" w:sz="4" w:space="0" w:color="auto"/>
              <w:left w:val="single" w:sz="4" w:space="0" w:color="auto"/>
              <w:bottom w:val="nil"/>
              <w:right w:val="single" w:sz="4" w:space="0" w:color="auto"/>
            </w:tcBorders>
          </w:tcPr>
          <w:p w:rsidR="004A2129" w:rsidRPr="00C93348" w:rsidRDefault="004A2129" w:rsidP="005F1C0D">
            <w:pPr>
              <w:pStyle w:val="TableText0"/>
              <w:jc w:val="center"/>
            </w:pPr>
            <w:r w:rsidRPr="00C93348">
              <w:t>$</w:t>
            </w:r>
            <w:r w:rsidR="00B27C72">
              <w:rPr>
                <w:noProof/>
                <w:color w:val="000000"/>
                <w:highlight w:val="black"/>
              </w:rPr>
              <w:t>'''''''''''''''''</w:t>
            </w:r>
          </w:p>
        </w:tc>
        <w:tc>
          <w:tcPr>
            <w:tcW w:w="960" w:type="pct"/>
            <w:vMerge w:val="restart"/>
            <w:tcBorders>
              <w:top w:val="single" w:sz="4" w:space="0" w:color="auto"/>
              <w:left w:val="single" w:sz="4" w:space="0" w:color="auto"/>
              <w:right w:val="single" w:sz="4" w:space="0" w:color="auto"/>
            </w:tcBorders>
          </w:tcPr>
          <w:p w:rsidR="004A2129" w:rsidRPr="00C93348" w:rsidRDefault="004A2129" w:rsidP="005F1C0D">
            <w:pPr>
              <w:pStyle w:val="TableText0"/>
              <w:jc w:val="center"/>
            </w:pPr>
            <w:r w:rsidRPr="00C93348">
              <w:t>$18,653</w:t>
            </w:r>
          </w:p>
        </w:tc>
        <w:tc>
          <w:tcPr>
            <w:tcW w:w="960" w:type="pct"/>
            <w:tcBorders>
              <w:top w:val="single" w:sz="4" w:space="0" w:color="auto"/>
              <w:left w:val="single" w:sz="4" w:space="0" w:color="auto"/>
              <w:bottom w:val="nil"/>
              <w:right w:val="single" w:sz="4" w:space="0" w:color="auto"/>
            </w:tcBorders>
          </w:tcPr>
          <w:p w:rsidR="004A2129" w:rsidRPr="00C93348" w:rsidRDefault="004A2129" w:rsidP="005F1C0D">
            <w:pPr>
              <w:pStyle w:val="TableText0"/>
              <w:jc w:val="center"/>
            </w:pPr>
            <w:r w:rsidRPr="00C93348">
              <w:t>$</w:t>
            </w:r>
            <w:r w:rsidR="00B27C72">
              <w:rPr>
                <w:noProof/>
                <w:color w:val="000000"/>
                <w:highlight w:val="black"/>
              </w:rPr>
              <w:t>'''''''''''''''''</w:t>
            </w:r>
          </w:p>
        </w:tc>
      </w:tr>
      <w:tr w:rsidR="004A2129" w:rsidRPr="00C93348" w:rsidTr="00FA4395">
        <w:tc>
          <w:tcPr>
            <w:tcW w:w="2120" w:type="pct"/>
            <w:tcBorders>
              <w:top w:val="nil"/>
              <w:left w:val="single" w:sz="4" w:space="0" w:color="auto"/>
              <w:bottom w:val="single" w:sz="4" w:space="0" w:color="auto"/>
              <w:right w:val="single" w:sz="4" w:space="0" w:color="auto"/>
            </w:tcBorders>
          </w:tcPr>
          <w:p w:rsidR="004A2129" w:rsidRPr="00C93348" w:rsidRDefault="004A2129" w:rsidP="008C3F6D">
            <w:pPr>
              <w:pStyle w:val="TableText0"/>
              <w:numPr>
                <w:ilvl w:val="0"/>
                <w:numId w:val="7"/>
              </w:numPr>
              <w:ind w:left="164" w:hanging="142"/>
            </w:pPr>
            <w:r w:rsidRPr="00C93348">
              <w:t xml:space="preserve">Excluding the additional </w:t>
            </w:r>
            <w:r w:rsidR="00430409" w:rsidRPr="00C93348">
              <w:t>rebate</w:t>
            </w:r>
            <w:r w:rsidR="00180444" w:rsidRPr="00C93348">
              <w:t xml:space="preserve"> ($</w:t>
            </w:r>
            <w:r w:rsidR="00B27C72">
              <w:rPr>
                <w:noProof/>
                <w:color w:val="000000"/>
                <w:highlight w:val="black"/>
              </w:rPr>
              <w:t>''''''''''''''''''</w:t>
            </w:r>
            <w:r w:rsidR="00180444" w:rsidRPr="00C93348">
              <w:t>)</w:t>
            </w:r>
          </w:p>
        </w:tc>
        <w:tc>
          <w:tcPr>
            <w:tcW w:w="960" w:type="pct"/>
            <w:tcBorders>
              <w:top w:val="nil"/>
              <w:left w:val="single" w:sz="4" w:space="0" w:color="auto"/>
              <w:bottom w:val="single" w:sz="4" w:space="0" w:color="auto"/>
              <w:right w:val="single" w:sz="4" w:space="0" w:color="auto"/>
            </w:tcBorders>
            <w:vAlign w:val="bottom"/>
          </w:tcPr>
          <w:p w:rsidR="004A2129" w:rsidRPr="00C93348" w:rsidRDefault="004A2129" w:rsidP="005F1C0D">
            <w:pPr>
              <w:pStyle w:val="TableText0"/>
              <w:jc w:val="center"/>
            </w:pPr>
            <w:r w:rsidRPr="00C93348">
              <w:t>$</w:t>
            </w:r>
            <w:r w:rsidR="00B27C72">
              <w:rPr>
                <w:noProof/>
                <w:color w:val="000000"/>
                <w:highlight w:val="black"/>
              </w:rPr>
              <w:t>''''''''''''''''</w:t>
            </w:r>
          </w:p>
        </w:tc>
        <w:tc>
          <w:tcPr>
            <w:tcW w:w="960" w:type="pct"/>
            <w:vMerge/>
            <w:tcBorders>
              <w:left w:val="single" w:sz="4" w:space="0" w:color="auto"/>
              <w:bottom w:val="single" w:sz="4" w:space="0" w:color="auto"/>
              <w:right w:val="single" w:sz="4" w:space="0" w:color="auto"/>
            </w:tcBorders>
          </w:tcPr>
          <w:p w:rsidR="004A2129" w:rsidRPr="00C93348" w:rsidRDefault="004A2129" w:rsidP="005F1C0D">
            <w:pPr>
              <w:pStyle w:val="TableText0"/>
              <w:jc w:val="center"/>
            </w:pPr>
          </w:p>
        </w:tc>
        <w:tc>
          <w:tcPr>
            <w:tcW w:w="960" w:type="pct"/>
            <w:tcBorders>
              <w:top w:val="nil"/>
              <w:left w:val="single" w:sz="4" w:space="0" w:color="auto"/>
              <w:bottom w:val="single" w:sz="4" w:space="0" w:color="auto"/>
              <w:right w:val="single" w:sz="4" w:space="0" w:color="auto"/>
            </w:tcBorders>
            <w:vAlign w:val="bottom"/>
          </w:tcPr>
          <w:p w:rsidR="004A2129" w:rsidRPr="00C93348" w:rsidRDefault="004A2129" w:rsidP="005F1C0D">
            <w:pPr>
              <w:pStyle w:val="TableText0"/>
              <w:jc w:val="center"/>
            </w:pPr>
            <w:r w:rsidRPr="00C93348">
              <w:t>$</w:t>
            </w:r>
            <w:r w:rsidR="00B27C72">
              <w:rPr>
                <w:noProof/>
                <w:color w:val="000000"/>
                <w:highlight w:val="black"/>
              </w:rPr>
              <w:t>'''''''''''''''</w:t>
            </w:r>
          </w:p>
        </w:tc>
      </w:tr>
      <w:tr w:rsidR="004A2129" w:rsidRPr="00C93348" w:rsidTr="00FA4395">
        <w:tc>
          <w:tcPr>
            <w:tcW w:w="2120" w:type="pct"/>
            <w:tcBorders>
              <w:top w:val="single" w:sz="4" w:space="0" w:color="auto"/>
              <w:left w:val="single" w:sz="4" w:space="0" w:color="auto"/>
              <w:bottom w:val="single" w:sz="4" w:space="0" w:color="auto"/>
              <w:right w:val="single" w:sz="4" w:space="0" w:color="auto"/>
            </w:tcBorders>
          </w:tcPr>
          <w:p w:rsidR="004A2129" w:rsidRPr="00C93348" w:rsidRDefault="004A2129" w:rsidP="00332D05">
            <w:pPr>
              <w:pStyle w:val="TableText0"/>
            </w:pPr>
            <w:r w:rsidRPr="00C93348">
              <w:t>PF management</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$2,950</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$1,763</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$1,187</w:t>
            </w:r>
          </w:p>
        </w:tc>
      </w:tr>
      <w:tr w:rsidR="004A2129" w:rsidRPr="00C93348" w:rsidTr="00FA4395">
        <w:tc>
          <w:tcPr>
            <w:tcW w:w="2120" w:type="pct"/>
            <w:tcBorders>
              <w:top w:val="single" w:sz="4" w:space="0" w:color="auto"/>
              <w:left w:val="single" w:sz="4" w:space="0" w:color="auto"/>
              <w:bottom w:val="single" w:sz="4" w:space="0" w:color="auto"/>
              <w:right w:val="single" w:sz="4" w:space="0" w:color="auto"/>
            </w:tcBorders>
          </w:tcPr>
          <w:p w:rsidR="004A2129" w:rsidRPr="00C93348" w:rsidRDefault="004A2129" w:rsidP="00332D05">
            <w:pPr>
              <w:pStyle w:val="TableText0"/>
            </w:pPr>
            <w:r w:rsidRPr="00C93348">
              <w:t>AEs</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$2,430</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$5,925</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–$3,495</w:t>
            </w:r>
          </w:p>
        </w:tc>
      </w:tr>
      <w:tr w:rsidR="004A2129" w:rsidRPr="00C93348" w:rsidTr="00FA4395">
        <w:tc>
          <w:tcPr>
            <w:tcW w:w="2120" w:type="pct"/>
            <w:tcBorders>
              <w:top w:val="single" w:sz="4" w:space="0" w:color="auto"/>
              <w:left w:val="single" w:sz="4" w:space="0" w:color="auto"/>
              <w:bottom w:val="single" w:sz="4" w:space="0" w:color="auto"/>
              <w:right w:val="single" w:sz="4" w:space="0" w:color="auto"/>
            </w:tcBorders>
          </w:tcPr>
          <w:p w:rsidR="004A2129" w:rsidRPr="00C93348" w:rsidRDefault="004A2129" w:rsidP="00332D05">
            <w:pPr>
              <w:pStyle w:val="TableText0"/>
            </w:pPr>
            <w:r w:rsidRPr="00C93348">
              <w:t>Subs</w:t>
            </w:r>
            <w:r w:rsidR="00F825BF" w:rsidRPr="00C93348">
              <w:t>equent</w:t>
            </w:r>
            <w:r w:rsidRPr="00C93348">
              <w:t xml:space="preserve"> treatment</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$2,382</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$29,551</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–$27,169</w:t>
            </w:r>
          </w:p>
        </w:tc>
      </w:tr>
      <w:tr w:rsidR="004A2129" w:rsidRPr="00C93348" w:rsidTr="00FA4395">
        <w:tc>
          <w:tcPr>
            <w:tcW w:w="2120" w:type="pct"/>
            <w:tcBorders>
              <w:top w:val="single" w:sz="4" w:space="0" w:color="auto"/>
              <w:left w:val="single" w:sz="4" w:space="0" w:color="auto"/>
              <w:bottom w:val="single" w:sz="4" w:space="0" w:color="auto"/>
              <w:right w:val="single" w:sz="4" w:space="0" w:color="auto"/>
            </w:tcBorders>
          </w:tcPr>
          <w:p w:rsidR="004A2129" w:rsidRPr="00C93348" w:rsidRDefault="004A2129" w:rsidP="00332D05">
            <w:pPr>
              <w:pStyle w:val="TableText0"/>
            </w:pPr>
            <w:r w:rsidRPr="00C93348">
              <w:t>PD management</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$2,221</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$2,652</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–$431</w:t>
            </w:r>
          </w:p>
        </w:tc>
      </w:tr>
      <w:tr w:rsidR="004A2129" w:rsidRPr="00C93348" w:rsidTr="00FA4395">
        <w:tc>
          <w:tcPr>
            <w:tcW w:w="2120" w:type="pct"/>
            <w:tcBorders>
              <w:top w:val="single" w:sz="4" w:space="0" w:color="auto"/>
              <w:left w:val="single" w:sz="4" w:space="0" w:color="auto"/>
              <w:bottom w:val="single" w:sz="4" w:space="0" w:color="auto"/>
              <w:right w:val="single" w:sz="4" w:space="0" w:color="auto"/>
            </w:tcBorders>
          </w:tcPr>
          <w:p w:rsidR="004A2129" w:rsidRPr="00C93348" w:rsidRDefault="004A2129" w:rsidP="00332D05">
            <w:pPr>
              <w:pStyle w:val="TableText0"/>
            </w:pPr>
            <w:r w:rsidRPr="00C93348">
              <w:t>Palliative care</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$12,993</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$13,350</w:t>
            </w:r>
          </w:p>
        </w:tc>
        <w:tc>
          <w:tcPr>
            <w:tcW w:w="960" w:type="pct"/>
            <w:tcBorders>
              <w:top w:val="single" w:sz="4" w:space="0" w:color="auto"/>
              <w:left w:val="single" w:sz="4" w:space="0" w:color="auto"/>
              <w:bottom w:val="single" w:sz="4" w:space="0" w:color="auto"/>
              <w:right w:val="single" w:sz="4" w:space="0" w:color="auto"/>
            </w:tcBorders>
          </w:tcPr>
          <w:p w:rsidR="004A2129" w:rsidRPr="00C93348" w:rsidRDefault="004A2129" w:rsidP="005F1C0D">
            <w:pPr>
              <w:pStyle w:val="TableText0"/>
              <w:jc w:val="center"/>
            </w:pPr>
            <w:r w:rsidRPr="00C93348">
              <w:t>–$356</w:t>
            </w:r>
          </w:p>
        </w:tc>
      </w:tr>
      <w:tr w:rsidR="004A2129" w:rsidRPr="00C93348" w:rsidTr="00FA4395">
        <w:tc>
          <w:tcPr>
            <w:tcW w:w="2120" w:type="pct"/>
            <w:tcBorders>
              <w:top w:val="single" w:sz="4" w:space="0" w:color="auto"/>
              <w:left w:val="single" w:sz="4" w:space="0" w:color="auto"/>
              <w:bottom w:val="nil"/>
              <w:right w:val="single" w:sz="4" w:space="0" w:color="auto"/>
            </w:tcBorders>
          </w:tcPr>
          <w:p w:rsidR="004A2129" w:rsidRPr="00C93348" w:rsidRDefault="004A2129" w:rsidP="00332D05">
            <w:pPr>
              <w:pStyle w:val="TableText0"/>
              <w:rPr>
                <w:b/>
              </w:rPr>
            </w:pPr>
            <w:r w:rsidRPr="00C93348">
              <w:rPr>
                <w:b/>
              </w:rPr>
              <w:t>Mean total cost</w:t>
            </w:r>
          </w:p>
        </w:tc>
        <w:tc>
          <w:tcPr>
            <w:tcW w:w="960" w:type="pct"/>
            <w:tcBorders>
              <w:top w:val="single" w:sz="4" w:space="0" w:color="auto"/>
              <w:left w:val="single" w:sz="4" w:space="0" w:color="auto"/>
              <w:bottom w:val="nil"/>
              <w:right w:val="single" w:sz="4" w:space="0" w:color="auto"/>
            </w:tcBorders>
          </w:tcPr>
          <w:p w:rsidR="004A2129" w:rsidRPr="00C93348" w:rsidRDefault="004A2129" w:rsidP="005F1C0D">
            <w:pPr>
              <w:pStyle w:val="TableText0"/>
              <w:jc w:val="center"/>
              <w:rPr>
                <w:b/>
              </w:rPr>
            </w:pPr>
            <w:r w:rsidRPr="00C93348">
              <w:rPr>
                <w:b/>
              </w:rPr>
              <w:t>$</w:t>
            </w:r>
            <w:r w:rsidR="00B27C72">
              <w:rPr>
                <w:b/>
                <w:noProof/>
                <w:color w:val="000000"/>
                <w:highlight w:val="black"/>
              </w:rPr>
              <w:t>''''''''''''''</w:t>
            </w:r>
          </w:p>
        </w:tc>
        <w:tc>
          <w:tcPr>
            <w:tcW w:w="960" w:type="pct"/>
            <w:vMerge w:val="restart"/>
            <w:tcBorders>
              <w:top w:val="single" w:sz="4" w:space="0" w:color="auto"/>
              <w:left w:val="single" w:sz="4" w:space="0" w:color="auto"/>
              <w:right w:val="single" w:sz="4" w:space="0" w:color="auto"/>
            </w:tcBorders>
          </w:tcPr>
          <w:p w:rsidR="004A2129" w:rsidRPr="00C93348" w:rsidRDefault="004A2129" w:rsidP="005F1C0D">
            <w:pPr>
              <w:pStyle w:val="TableText0"/>
              <w:jc w:val="center"/>
              <w:rPr>
                <w:b/>
              </w:rPr>
            </w:pPr>
            <w:r w:rsidRPr="00C93348">
              <w:rPr>
                <w:b/>
              </w:rPr>
              <w:t>$71,893</w:t>
            </w:r>
          </w:p>
        </w:tc>
        <w:tc>
          <w:tcPr>
            <w:tcW w:w="960" w:type="pct"/>
            <w:tcBorders>
              <w:top w:val="single" w:sz="4" w:space="0" w:color="auto"/>
              <w:left w:val="single" w:sz="4" w:space="0" w:color="auto"/>
              <w:bottom w:val="nil"/>
              <w:right w:val="single" w:sz="4" w:space="0" w:color="auto"/>
            </w:tcBorders>
          </w:tcPr>
          <w:p w:rsidR="004A2129" w:rsidRPr="00C93348" w:rsidRDefault="004A2129" w:rsidP="005F1C0D">
            <w:pPr>
              <w:pStyle w:val="TableText0"/>
              <w:jc w:val="center"/>
              <w:rPr>
                <w:b/>
              </w:rPr>
            </w:pPr>
            <w:r w:rsidRPr="00C93348">
              <w:rPr>
                <w:b/>
              </w:rPr>
              <w:t>$</w:t>
            </w:r>
            <w:r w:rsidR="00B27C72">
              <w:rPr>
                <w:b/>
                <w:noProof/>
                <w:color w:val="000000"/>
                <w:highlight w:val="black"/>
              </w:rPr>
              <w:t>'''''''''''''</w:t>
            </w:r>
          </w:p>
        </w:tc>
      </w:tr>
      <w:tr w:rsidR="004A2129" w:rsidRPr="00C93348" w:rsidTr="00FA4395">
        <w:tc>
          <w:tcPr>
            <w:tcW w:w="2120" w:type="pct"/>
            <w:tcBorders>
              <w:top w:val="nil"/>
              <w:left w:val="single" w:sz="4" w:space="0" w:color="auto"/>
              <w:bottom w:val="single" w:sz="4" w:space="0" w:color="auto"/>
              <w:right w:val="single" w:sz="4" w:space="0" w:color="auto"/>
            </w:tcBorders>
          </w:tcPr>
          <w:p w:rsidR="004A2129" w:rsidRPr="00C93348" w:rsidRDefault="004A2129" w:rsidP="008C3F6D">
            <w:pPr>
              <w:pStyle w:val="TableText0"/>
              <w:numPr>
                <w:ilvl w:val="0"/>
                <w:numId w:val="7"/>
              </w:numPr>
              <w:ind w:left="164" w:hanging="142"/>
              <w:rPr>
                <w:b/>
              </w:rPr>
            </w:pPr>
            <w:r w:rsidRPr="00C93348">
              <w:rPr>
                <w:b/>
              </w:rPr>
              <w:t xml:space="preserve">Excluding the additional </w:t>
            </w:r>
            <w:r w:rsidR="00D025B2" w:rsidRPr="00C93348">
              <w:rPr>
                <w:b/>
              </w:rPr>
              <w:t>rebate</w:t>
            </w:r>
            <w:r w:rsidR="00180444" w:rsidRPr="00C93348">
              <w:rPr>
                <w:b/>
              </w:rPr>
              <w:t xml:space="preserve"> ($</w:t>
            </w:r>
            <w:r w:rsidR="00B27C72">
              <w:rPr>
                <w:b/>
                <w:noProof/>
                <w:color w:val="000000"/>
                <w:highlight w:val="black"/>
              </w:rPr>
              <w:t>''''''''''''</w:t>
            </w:r>
            <w:r w:rsidR="00180444" w:rsidRPr="00C93348">
              <w:rPr>
                <w:b/>
              </w:rPr>
              <w:t>)</w:t>
            </w:r>
          </w:p>
        </w:tc>
        <w:tc>
          <w:tcPr>
            <w:tcW w:w="960" w:type="pct"/>
            <w:tcBorders>
              <w:top w:val="nil"/>
              <w:left w:val="single" w:sz="4" w:space="0" w:color="auto"/>
              <w:bottom w:val="single" w:sz="4" w:space="0" w:color="auto"/>
              <w:right w:val="single" w:sz="4" w:space="0" w:color="auto"/>
            </w:tcBorders>
            <w:vAlign w:val="bottom"/>
          </w:tcPr>
          <w:p w:rsidR="004A2129" w:rsidRPr="00C93348" w:rsidRDefault="004A2129" w:rsidP="005F1C0D">
            <w:pPr>
              <w:pStyle w:val="TableText0"/>
              <w:jc w:val="center"/>
              <w:rPr>
                <w:b/>
              </w:rPr>
            </w:pPr>
            <w:r w:rsidRPr="00C93348">
              <w:rPr>
                <w:b/>
              </w:rPr>
              <w:t>$</w:t>
            </w:r>
            <w:r w:rsidR="00B27C72">
              <w:rPr>
                <w:b/>
                <w:noProof/>
                <w:color w:val="000000"/>
                <w:highlight w:val="black"/>
              </w:rPr>
              <w:t>'''''''''''''''</w:t>
            </w:r>
          </w:p>
        </w:tc>
        <w:tc>
          <w:tcPr>
            <w:tcW w:w="960" w:type="pct"/>
            <w:vMerge/>
            <w:tcBorders>
              <w:left w:val="single" w:sz="4" w:space="0" w:color="auto"/>
              <w:bottom w:val="single" w:sz="4" w:space="0" w:color="auto"/>
              <w:right w:val="single" w:sz="4" w:space="0" w:color="auto"/>
            </w:tcBorders>
          </w:tcPr>
          <w:p w:rsidR="004A2129" w:rsidRPr="00C93348" w:rsidRDefault="004A2129" w:rsidP="005F1C0D">
            <w:pPr>
              <w:pStyle w:val="TableText0"/>
              <w:jc w:val="center"/>
              <w:rPr>
                <w:b/>
              </w:rPr>
            </w:pPr>
          </w:p>
        </w:tc>
        <w:tc>
          <w:tcPr>
            <w:tcW w:w="960" w:type="pct"/>
            <w:tcBorders>
              <w:top w:val="nil"/>
              <w:left w:val="single" w:sz="4" w:space="0" w:color="auto"/>
              <w:bottom w:val="single" w:sz="4" w:space="0" w:color="auto"/>
              <w:right w:val="single" w:sz="4" w:space="0" w:color="auto"/>
            </w:tcBorders>
            <w:vAlign w:val="bottom"/>
          </w:tcPr>
          <w:p w:rsidR="004A2129" w:rsidRPr="00C93348" w:rsidRDefault="004A2129" w:rsidP="005F1C0D">
            <w:pPr>
              <w:pStyle w:val="TableText0"/>
              <w:jc w:val="center"/>
              <w:rPr>
                <w:b/>
              </w:rPr>
            </w:pPr>
            <w:r w:rsidRPr="00C93348">
              <w:rPr>
                <w:b/>
              </w:rPr>
              <w:t>$</w:t>
            </w:r>
            <w:r w:rsidR="00B27C72">
              <w:rPr>
                <w:b/>
                <w:noProof/>
                <w:color w:val="000000"/>
                <w:highlight w:val="black"/>
              </w:rPr>
              <w:t>''''''''''''''</w:t>
            </w:r>
          </w:p>
        </w:tc>
      </w:tr>
    </w:tbl>
    <w:p w:rsidR="00602536" w:rsidRPr="00C93348" w:rsidRDefault="00602536" w:rsidP="00602536">
      <w:pPr>
        <w:pStyle w:val="TableFigureFooter"/>
      </w:pPr>
      <w:r w:rsidRPr="00C93348">
        <w:t>Source: Constructed during the evaluation from Table 3.8.2, p145 of the resubmission and the ‘Tagrisso (osimertinib) Economic Evaluation_July 2020 PBAC meeting.xlsm’ workbook.</w:t>
      </w:r>
    </w:p>
    <w:p w:rsidR="00602536" w:rsidRPr="00C93348" w:rsidRDefault="00602536" w:rsidP="00602536">
      <w:pPr>
        <w:pStyle w:val="TableFigureFooter"/>
      </w:pPr>
      <w:r w:rsidRPr="00C93348">
        <w:t>Note: Analyses were revised during the evaluation to reflect the cost of erlotinib only in the first-line treatment costs, 4 treatment cycles of carboplatin + gemcitabine, rather than 5.7; and reduced the proportion of patients that receive later-line osimertinib from 75.6%</w:t>
      </w:r>
      <w:r w:rsidR="00AE4C5D" w:rsidRPr="00C93348">
        <w:t xml:space="preserve"> (i.e. 136/180)</w:t>
      </w:r>
      <w:r w:rsidRPr="00C93348">
        <w:t xml:space="preserve"> to 51.5%</w:t>
      </w:r>
      <w:r w:rsidR="00AE4C5D" w:rsidRPr="00C93348">
        <w:t xml:space="preserve"> (136/264)</w:t>
      </w:r>
      <w:r w:rsidRPr="00C93348">
        <w:t>.</w:t>
      </w:r>
    </w:p>
    <w:p w:rsidR="00602536" w:rsidRPr="00C93348" w:rsidRDefault="00602536" w:rsidP="00A63791">
      <w:pPr>
        <w:pStyle w:val="TableFigureFooter"/>
      </w:pPr>
      <w:r w:rsidRPr="00C93348">
        <w:t xml:space="preserve">AE = adverse event; Osi = osimertinib; PD= progressive disease; PF = progression-free; SC = standard of care (erlotinib/gefitinib); Subs = subsequent. </w:t>
      </w:r>
    </w:p>
    <w:p w:rsidR="00BA00F8" w:rsidRPr="00C93348" w:rsidRDefault="00BA00F8" w:rsidP="00BA00F8">
      <w:pPr>
        <w:pStyle w:val="3-BodyText"/>
        <w:rPr>
          <w:rFonts w:ascii="Arial Narrow" w:eastAsiaTheme="majorEastAsia" w:hAnsi="Arial Narrow" w:cstheme="majorBidi"/>
          <w:b/>
          <w:bCs/>
          <w:snapToGrid/>
          <w:sz w:val="20"/>
        </w:rPr>
      </w:pPr>
      <w:r w:rsidRPr="00C93348">
        <w:t>The LYs and QALYs gained were accumulated primarily in the PF health state. The majority of the life years gained (70.5%) were accrued in the extrapolated period.</w:t>
      </w:r>
      <w:r w:rsidRPr="00C93348">
        <w:rPr>
          <w:rFonts w:ascii="Arial Narrow" w:eastAsiaTheme="majorEastAsia" w:hAnsi="Arial Narrow" w:cstheme="majorBidi"/>
          <w:b/>
          <w:bCs/>
          <w:snapToGrid/>
          <w:sz w:val="20"/>
        </w:rPr>
        <w:t xml:space="preserve"> </w:t>
      </w:r>
    </w:p>
    <w:p w:rsidR="00BA00F8" w:rsidRPr="00C93348" w:rsidRDefault="00BA00F8" w:rsidP="00BA00F8">
      <w:pPr>
        <w:pStyle w:val="3-BodyText"/>
      </w:pPr>
      <w:r w:rsidRPr="00C93348">
        <w:t xml:space="preserve">The results of the key sensitivity analyses for the revised base case, </w:t>
      </w:r>
      <w:r w:rsidR="00180444" w:rsidRPr="00C93348">
        <w:t xml:space="preserve">including and </w:t>
      </w:r>
      <w:r w:rsidRPr="00C93348">
        <w:t xml:space="preserve">excluding the additional </w:t>
      </w:r>
      <w:r w:rsidR="00430409" w:rsidRPr="00C93348">
        <w:t>rebate</w:t>
      </w:r>
      <w:r w:rsidR="00180444" w:rsidRPr="00C93348">
        <w:t xml:space="preserve"> ($</w:t>
      </w:r>
      <w:r w:rsidR="00B27C72">
        <w:rPr>
          <w:noProof/>
          <w:color w:val="000000"/>
          <w:highlight w:val="black"/>
        </w:rPr>
        <w:t>'''''''''''''</w:t>
      </w:r>
      <w:r w:rsidR="00180444" w:rsidRPr="00C93348">
        <w:t>)</w:t>
      </w:r>
      <w:r w:rsidRPr="00C93348">
        <w:t xml:space="preserve">, are presented below. </w:t>
      </w:r>
    </w:p>
    <w:p w:rsidR="00BA00F8" w:rsidRPr="00C93348" w:rsidRDefault="00BA00F8" w:rsidP="003C0631">
      <w:pPr>
        <w:pStyle w:val="TableFigureHeading"/>
      </w:pPr>
      <w:r w:rsidRPr="00C93348">
        <w:t xml:space="preserve">Table </w:t>
      </w:r>
      <w:r w:rsidR="00CC4472">
        <w:rPr>
          <w:noProof/>
        </w:rPr>
        <w:t>14</w:t>
      </w:r>
      <w:r w:rsidRPr="00C93348">
        <w:t xml:space="preserve">: </w:t>
      </w:r>
      <w:r w:rsidRPr="00C93348">
        <w:rPr>
          <w:rStyle w:val="CommentReference"/>
          <w:b/>
          <w:szCs w:val="24"/>
        </w:rPr>
        <w:t>Results of key sensitivity analyses for the revised base case</w:t>
      </w:r>
    </w:p>
    <w:tbl>
      <w:tblPr>
        <w:tblStyle w:val="TableGrid"/>
        <w:tblW w:w="5000" w:type="pct"/>
        <w:tblLayout w:type="fixed"/>
        <w:tblLook w:val="04A0" w:firstRow="1" w:lastRow="0" w:firstColumn="1" w:lastColumn="0" w:noHBand="0" w:noVBand="1"/>
      </w:tblPr>
      <w:tblGrid>
        <w:gridCol w:w="1980"/>
        <w:gridCol w:w="947"/>
        <w:gridCol w:w="45"/>
        <w:gridCol w:w="900"/>
        <w:gridCol w:w="92"/>
        <w:gridCol w:w="995"/>
        <w:gridCol w:w="545"/>
        <w:gridCol w:w="22"/>
        <w:gridCol w:w="932"/>
        <w:gridCol w:w="60"/>
        <w:gridCol w:w="851"/>
        <w:gridCol w:w="1001"/>
        <w:gridCol w:w="647"/>
      </w:tblGrid>
      <w:tr w:rsidR="00E80D66" w:rsidRPr="00C93348" w:rsidTr="00E80D66">
        <w:trPr>
          <w:trHeight w:val="255"/>
        </w:trPr>
        <w:tc>
          <w:tcPr>
            <w:tcW w:w="1098" w:type="pct"/>
            <w:noWrap/>
          </w:tcPr>
          <w:p w:rsidR="00A6734D" w:rsidRPr="00FA4395" w:rsidRDefault="00A6734D" w:rsidP="00A6734D">
            <w:pPr>
              <w:pStyle w:val="In-tableHeading"/>
              <w:jc w:val="center"/>
              <w:rPr>
                <w:szCs w:val="20"/>
                <w:lang w:val="en-AU"/>
              </w:rPr>
            </w:pPr>
          </w:p>
        </w:tc>
        <w:tc>
          <w:tcPr>
            <w:tcW w:w="1954" w:type="pct"/>
            <w:gridSpan w:val="6"/>
            <w:tcBorders>
              <w:right w:val="double" w:sz="4" w:space="0" w:color="auto"/>
            </w:tcBorders>
            <w:noWrap/>
          </w:tcPr>
          <w:p w:rsidR="00A6734D" w:rsidRPr="00FA4395" w:rsidRDefault="00A6734D" w:rsidP="00A6734D">
            <w:pPr>
              <w:pStyle w:val="In-tableHeading"/>
              <w:jc w:val="center"/>
              <w:rPr>
                <w:szCs w:val="20"/>
                <w:lang w:val="en-AU"/>
              </w:rPr>
            </w:pPr>
            <w:r w:rsidRPr="00FA4395">
              <w:rPr>
                <w:szCs w:val="20"/>
                <w:lang w:val="en-AU"/>
              </w:rPr>
              <w:t>Including the additional rebate</w:t>
            </w:r>
          </w:p>
        </w:tc>
        <w:tc>
          <w:tcPr>
            <w:tcW w:w="1949" w:type="pct"/>
            <w:gridSpan w:val="6"/>
            <w:tcBorders>
              <w:left w:val="double" w:sz="4" w:space="0" w:color="auto"/>
            </w:tcBorders>
          </w:tcPr>
          <w:p w:rsidR="00A6734D" w:rsidRPr="00FA4395" w:rsidRDefault="00A6734D" w:rsidP="00A6734D">
            <w:pPr>
              <w:pStyle w:val="In-tableHeading"/>
              <w:jc w:val="center"/>
              <w:rPr>
                <w:szCs w:val="20"/>
                <w:lang w:val="en-AU"/>
              </w:rPr>
            </w:pPr>
            <w:r w:rsidRPr="00FA4395">
              <w:rPr>
                <w:szCs w:val="20"/>
                <w:lang w:val="en-AU"/>
              </w:rPr>
              <w:t xml:space="preserve">Excluding the </w:t>
            </w:r>
            <w:r w:rsidR="00F40481" w:rsidRPr="00FA4395">
              <w:rPr>
                <w:szCs w:val="20"/>
                <w:lang w:val="en-AU"/>
              </w:rPr>
              <w:t>a</w:t>
            </w:r>
            <w:r w:rsidRPr="00FA4395">
              <w:rPr>
                <w:szCs w:val="20"/>
                <w:lang w:val="en-AU"/>
              </w:rPr>
              <w:t>dditional rebate</w:t>
            </w:r>
          </w:p>
        </w:tc>
      </w:tr>
      <w:tr w:rsidR="00E80D66" w:rsidRPr="00C93348" w:rsidTr="00E80D66">
        <w:trPr>
          <w:trHeight w:val="255"/>
        </w:trPr>
        <w:tc>
          <w:tcPr>
            <w:tcW w:w="1098" w:type="pct"/>
            <w:noWrap/>
            <w:hideMark/>
          </w:tcPr>
          <w:p w:rsidR="00A6734D" w:rsidRPr="00FA4395" w:rsidRDefault="00A6734D" w:rsidP="00A6734D">
            <w:pPr>
              <w:pStyle w:val="In-tableHeading"/>
              <w:jc w:val="center"/>
              <w:rPr>
                <w:szCs w:val="20"/>
                <w:lang w:val="en-AU"/>
              </w:rPr>
            </w:pPr>
          </w:p>
        </w:tc>
        <w:tc>
          <w:tcPr>
            <w:tcW w:w="525" w:type="pct"/>
            <w:noWrap/>
            <w:hideMark/>
          </w:tcPr>
          <w:p w:rsidR="00A6734D" w:rsidRPr="00FA4395" w:rsidRDefault="00A6734D" w:rsidP="00A6734D">
            <w:pPr>
              <w:pStyle w:val="In-tableHeading"/>
              <w:jc w:val="center"/>
              <w:rPr>
                <w:szCs w:val="20"/>
                <w:lang w:val="en-AU"/>
              </w:rPr>
            </w:pPr>
            <w:r w:rsidRPr="00FA4395">
              <w:rPr>
                <w:szCs w:val="20"/>
                <w:lang w:val="en-AU"/>
              </w:rPr>
              <w:t xml:space="preserve">Inc. </w:t>
            </w:r>
            <w:r w:rsidRPr="00FA4395">
              <w:rPr>
                <w:szCs w:val="20"/>
                <w:lang w:val="en-AU"/>
              </w:rPr>
              <w:br/>
              <w:t>cost</w:t>
            </w:r>
          </w:p>
        </w:tc>
        <w:tc>
          <w:tcPr>
            <w:tcW w:w="524" w:type="pct"/>
            <w:gridSpan w:val="2"/>
            <w:noWrap/>
            <w:hideMark/>
          </w:tcPr>
          <w:p w:rsidR="00A6734D" w:rsidRPr="00FA4395" w:rsidRDefault="00A6734D" w:rsidP="00A6734D">
            <w:pPr>
              <w:pStyle w:val="In-tableHeading"/>
              <w:jc w:val="center"/>
              <w:rPr>
                <w:szCs w:val="20"/>
                <w:lang w:val="en-AU"/>
              </w:rPr>
            </w:pPr>
            <w:r w:rsidRPr="00FA4395">
              <w:rPr>
                <w:szCs w:val="20"/>
                <w:lang w:val="en-AU"/>
              </w:rPr>
              <w:t>Inc. QALYs</w:t>
            </w:r>
          </w:p>
        </w:tc>
        <w:tc>
          <w:tcPr>
            <w:tcW w:w="603" w:type="pct"/>
            <w:gridSpan w:val="2"/>
            <w:noWrap/>
            <w:vAlign w:val="center"/>
            <w:hideMark/>
          </w:tcPr>
          <w:p w:rsidR="00A6734D" w:rsidRPr="00FA4395" w:rsidRDefault="00A6734D" w:rsidP="00A6734D">
            <w:pPr>
              <w:pStyle w:val="In-tableHeading"/>
              <w:jc w:val="center"/>
              <w:rPr>
                <w:szCs w:val="20"/>
                <w:lang w:val="en-AU"/>
              </w:rPr>
            </w:pPr>
            <w:r w:rsidRPr="00FA4395">
              <w:rPr>
                <w:szCs w:val="20"/>
                <w:lang w:val="en-AU"/>
              </w:rPr>
              <w:t>ICER</w:t>
            </w:r>
          </w:p>
        </w:tc>
        <w:tc>
          <w:tcPr>
            <w:tcW w:w="301" w:type="pct"/>
            <w:tcBorders>
              <w:right w:val="double" w:sz="4" w:space="0" w:color="auto"/>
            </w:tcBorders>
            <w:noWrap/>
            <w:vAlign w:val="center"/>
            <w:hideMark/>
          </w:tcPr>
          <w:p w:rsidR="00A6734D" w:rsidRPr="00FA4395" w:rsidRDefault="00A6734D" w:rsidP="00A6734D">
            <w:pPr>
              <w:pStyle w:val="In-tableHeading"/>
              <w:jc w:val="center"/>
              <w:rPr>
                <w:szCs w:val="20"/>
                <w:lang w:val="en-AU"/>
              </w:rPr>
            </w:pPr>
            <w:r w:rsidRPr="00FA4395">
              <w:rPr>
                <w:szCs w:val="20"/>
                <w:lang w:val="en-AU"/>
              </w:rPr>
              <w:t>%</w:t>
            </w:r>
          </w:p>
        </w:tc>
        <w:tc>
          <w:tcPr>
            <w:tcW w:w="529" w:type="pct"/>
            <w:gridSpan w:val="2"/>
            <w:tcBorders>
              <w:left w:val="double" w:sz="4" w:space="0" w:color="auto"/>
            </w:tcBorders>
          </w:tcPr>
          <w:p w:rsidR="00A6734D" w:rsidRPr="00FA4395" w:rsidRDefault="00A6734D" w:rsidP="00A6734D">
            <w:pPr>
              <w:pStyle w:val="In-tableHeading"/>
              <w:jc w:val="center"/>
              <w:rPr>
                <w:szCs w:val="20"/>
                <w:lang w:val="en-AU"/>
              </w:rPr>
            </w:pPr>
            <w:r w:rsidRPr="00FA4395">
              <w:rPr>
                <w:szCs w:val="20"/>
                <w:lang w:val="en-AU"/>
              </w:rPr>
              <w:t xml:space="preserve">Inc. </w:t>
            </w:r>
            <w:r w:rsidRPr="00FA4395">
              <w:rPr>
                <w:szCs w:val="20"/>
                <w:lang w:val="en-AU"/>
              </w:rPr>
              <w:br/>
              <w:t>cost</w:t>
            </w:r>
          </w:p>
        </w:tc>
        <w:tc>
          <w:tcPr>
            <w:tcW w:w="505" w:type="pct"/>
            <w:gridSpan w:val="2"/>
          </w:tcPr>
          <w:p w:rsidR="00A6734D" w:rsidRPr="00FA4395" w:rsidRDefault="00A6734D" w:rsidP="00A6734D">
            <w:pPr>
              <w:pStyle w:val="In-tableHeading"/>
              <w:jc w:val="center"/>
              <w:rPr>
                <w:szCs w:val="20"/>
                <w:lang w:val="en-AU"/>
              </w:rPr>
            </w:pPr>
            <w:r w:rsidRPr="00FA4395">
              <w:rPr>
                <w:szCs w:val="20"/>
                <w:lang w:val="en-AU"/>
              </w:rPr>
              <w:t>Inc. QALYs</w:t>
            </w:r>
          </w:p>
        </w:tc>
        <w:tc>
          <w:tcPr>
            <w:tcW w:w="555" w:type="pct"/>
            <w:vAlign w:val="center"/>
          </w:tcPr>
          <w:p w:rsidR="00A6734D" w:rsidRPr="00FA4395" w:rsidRDefault="00A6734D" w:rsidP="00A6734D">
            <w:pPr>
              <w:pStyle w:val="In-tableHeading"/>
              <w:jc w:val="center"/>
              <w:rPr>
                <w:szCs w:val="20"/>
                <w:lang w:val="en-AU"/>
              </w:rPr>
            </w:pPr>
            <w:r w:rsidRPr="00FA4395">
              <w:rPr>
                <w:szCs w:val="20"/>
                <w:lang w:val="en-AU"/>
              </w:rPr>
              <w:t>ICER</w:t>
            </w:r>
          </w:p>
        </w:tc>
        <w:tc>
          <w:tcPr>
            <w:tcW w:w="360" w:type="pct"/>
            <w:vAlign w:val="center"/>
          </w:tcPr>
          <w:p w:rsidR="00A6734D" w:rsidRPr="00FA4395" w:rsidRDefault="00A6734D" w:rsidP="00A6734D">
            <w:pPr>
              <w:pStyle w:val="In-tableHeading"/>
              <w:jc w:val="center"/>
              <w:rPr>
                <w:szCs w:val="20"/>
                <w:lang w:val="en-AU"/>
              </w:rPr>
            </w:pPr>
            <w:r w:rsidRPr="00FA4395">
              <w:rPr>
                <w:szCs w:val="20"/>
                <w:lang w:val="en-AU"/>
              </w:rPr>
              <w:t>%</w:t>
            </w:r>
          </w:p>
        </w:tc>
      </w:tr>
      <w:tr w:rsidR="00E80D66" w:rsidRPr="00C93348" w:rsidTr="00E80D66">
        <w:trPr>
          <w:trHeight w:val="255"/>
        </w:trPr>
        <w:tc>
          <w:tcPr>
            <w:tcW w:w="1098" w:type="pct"/>
            <w:tcBorders>
              <w:bottom w:val="single" w:sz="4" w:space="0" w:color="auto"/>
            </w:tcBorders>
            <w:noWrap/>
            <w:hideMark/>
          </w:tcPr>
          <w:p w:rsidR="00F40481" w:rsidRPr="00FA4395" w:rsidRDefault="001C591F" w:rsidP="00F40481">
            <w:pPr>
              <w:pStyle w:val="In-tableHeading"/>
              <w:rPr>
                <w:b w:val="0"/>
                <w:szCs w:val="20"/>
                <w:lang w:val="en-AU"/>
              </w:rPr>
            </w:pPr>
            <w:r w:rsidRPr="00FA4395">
              <w:rPr>
                <w:b w:val="0"/>
                <w:szCs w:val="20"/>
                <w:lang w:val="en-AU"/>
              </w:rPr>
              <w:t xml:space="preserve">Revised </w:t>
            </w:r>
            <w:r w:rsidR="00F40481" w:rsidRPr="00FA4395">
              <w:rPr>
                <w:b w:val="0"/>
                <w:szCs w:val="20"/>
                <w:lang w:val="en-AU"/>
              </w:rPr>
              <w:t>base case</w:t>
            </w:r>
          </w:p>
        </w:tc>
        <w:tc>
          <w:tcPr>
            <w:tcW w:w="525" w:type="pct"/>
            <w:tcBorders>
              <w:bottom w:val="single" w:sz="4" w:space="0" w:color="auto"/>
            </w:tcBorders>
            <w:noWrap/>
          </w:tcPr>
          <w:p w:rsidR="00F40481" w:rsidRPr="00FA4395" w:rsidRDefault="00F40481" w:rsidP="00F40481">
            <w:pPr>
              <w:pStyle w:val="In-tableHeading"/>
              <w:jc w:val="right"/>
              <w:rPr>
                <w:b w:val="0"/>
                <w:szCs w:val="20"/>
                <w:lang w:val="en-AU"/>
              </w:rPr>
            </w:pPr>
            <w:r w:rsidRPr="00FA4395">
              <w:rPr>
                <w:b w:val="0"/>
                <w:szCs w:val="20"/>
                <w:lang w:val="en-AU"/>
              </w:rPr>
              <w:t>$</w:t>
            </w:r>
            <w:r w:rsidR="00B27C72">
              <w:rPr>
                <w:b w:val="0"/>
                <w:noProof/>
                <w:color w:val="000000"/>
                <w:szCs w:val="20"/>
                <w:highlight w:val="black"/>
                <w:lang w:val="en-AU"/>
              </w:rPr>
              <w:t>'''''''''''''''</w:t>
            </w:r>
          </w:p>
        </w:tc>
        <w:tc>
          <w:tcPr>
            <w:tcW w:w="524" w:type="pct"/>
            <w:gridSpan w:val="2"/>
            <w:tcBorders>
              <w:bottom w:val="single" w:sz="4" w:space="0" w:color="auto"/>
            </w:tcBorders>
            <w:noWrap/>
          </w:tcPr>
          <w:p w:rsidR="00F40481" w:rsidRPr="00B27C72" w:rsidRDefault="00B27C72" w:rsidP="00F40481">
            <w:pPr>
              <w:pStyle w:val="In-tableHeading"/>
              <w:jc w:val="right"/>
              <w:rPr>
                <w:b w:val="0"/>
                <w:szCs w:val="20"/>
                <w:highlight w:val="black"/>
                <w:lang w:val="en-AU"/>
              </w:rPr>
            </w:pPr>
            <w:r>
              <w:rPr>
                <w:b w:val="0"/>
                <w:noProof/>
                <w:color w:val="000000"/>
                <w:szCs w:val="20"/>
                <w:highlight w:val="black"/>
                <w:lang w:val="en-AU"/>
              </w:rPr>
              <w:t>'''''''''''''''''</w:t>
            </w:r>
          </w:p>
        </w:tc>
        <w:tc>
          <w:tcPr>
            <w:tcW w:w="603" w:type="pct"/>
            <w:gridSpan w:val="2"/>
            <w:tcBorders>
              <w:bottom w:val="single" w:sz="4" w:space="0" w:color="auto"/>
            </w:tcBorders>
            <w:noWrap/>
          </w:tcPr>
          <w:p w:rsidR="00F40481" w:rsidRPr="00FA4395" w:rsidRDefault="00F40481" w:rsidP="00F40481">
            <w:pPr>
              <w:pStyle w:val="In-tableHeading"/>
              <w:jc w:val="right"/>
              <w:rPr>
                <w:b w:val="0"/>
                <w:szCs w:val="20"/>
                <w:lang w:val="en-AU"/>
              </w:rPr>
            </w:pPr>
            <w:r w:rsidRPr="00FA4395">
              <w:rPr>
                <w:b w:val="0"/>
                <w:szCs w:val="20"/>
                <w:lang w:val="en-AU"/>
              </w:rPr>
              <w:t>$</w:t>
            </w:r>
            <w:r w:rsidR="00B27C72">
              <w:rPr>
                <w:b w:val="0"/>
                <w:noProof/>
                <w:color w:val="000000"/>
                <w:szCs w:val="20"/>
                <w:highlight w:val="black"/>
                <w:lang w:val="en-AU"/>
              </w:rPr>
              <w:t>'''''''''''''''''</w:t>
            </w:r>
          </w:p>
        </w:tc>
        <w:tc>
          <w:tcPr>
            <w:tcW w:w="301" w:type="pct"/>
            <w:tcBorders>
              <w:bottom w:val="single" w:sz="4" w:space="0" w:color="auto"/>
              <w:right w:val="double" w:sz="4" w:space="0" w:color="auto"/>
            </w:tcBorders>
            <w:noWrap/>
          </w:tcPr>
          <w:p w:rsidR="00F40481" w:rsidRPr="00FA4395" w:rsidRDefault="00F40481" w:rsidP="00F873CA">
            <w:pPr>
              <w:pStyle w:val="In-tableHeading"/>
              <w:jc w:val="center"/>
              <w:rPr>
                <w:b w:val="0"/>
                <w:szCs w:val="20"/>
                <w:lang w:val="en-AU"/>
              </w:rPr>
            </w:pPr>
            <w:r w:rsidRPr="00FA4395">
              <w:rPr>
                <w:b w:val="0"/>
                <w:szCs w:val="20"/>
                <w:lang w:val="en-AU"/>
              </w:rPr>
              <w:t>–</w:t>
            </w:r>
          </w:p>
        </w:tc>
        <w:tc>
          <w:tcPr>
            <w:tcW w:w="529" w:type="pct"/>
            <w:gridSpan w:val="2"/>
            <w:tcBorders>
              <w:left w:val="double" w:sz="4" w:space="0" w:color="auto"/>
              <w:bottom w:val="single" w:sz="4" w:space="0" w:color="auto"/>
            </w:tcBorders>
          </w:tcPr>
          <w:p w:rsidR="00F40481" w:rsidRPr="00FA4395" w:rsidRDefault="00F40481" w:rsidP="004A14EA">
            <w:pPr>
              <w:pStyle w:val="In-tableHeading"/>
              <w:jc w:val="center"/>
              <w:rPr>
                <w:b w:val="0"/>
                <w:szCs w:val="20"/>
                <w:lang w:val="en-AU"/>
              </w:rPr>
            </w:pPr>
            <w:r w:rsidRPr="00FA4395">
              <w:rPr>
                <w:b w:val="0"/>
                <w:szCs w:val="20"/>
                <w:lang w:val="en-AU"/>
              </w:rPr>
              <w:t>$</w:t>
            </w:r>
            <w:r w:rsidR="00B27C72">
              <w:rPr>
                <w:b w:val="0"/>
                <w:noProof/>
                <w:color w:val="000000"/>
                <w:szCs w:val="20"/>
                <w:highlight w:val="black"/>
                <w:lang w:val="en-AU"/>
              </w:rPr>
              <w:t>''''''''''''''''''</w:t>
            </w:r>
          </w:p>
        </w:tc>
        <w:tc>
          <w:tcPr>
            <w:tcW w:w="505" w:type="pct"/>
            <w:gridSpan w:val="2"/>
            <w:tcBorders>
              <w:bottom w:val="single" w:sz="4" w:space="0" w:color="auto"/>
            </w:tcBorders>
          </w:tcPr>
          <w:p w:rsidR="00F40481" w:rsidRPr="00B27C72" w:rsidRDefault="00B27C72" w:rsidP="004A14EA">
            <w:pPr>
              <w:pStyle w:val="In-tableHeading"/>
              <w:jc w:val="center"/>
              <w:rPr>
                <w:b w:val="0"/>
                <w:szCs w:val="20"/>
                <w:highlight w:val="black"/>
                <w:lang w:val="en-AU"/>
              </w:rPr>
            </w:pPr>
            <w:r>
              <w:rPr>
                <w:b w:val="0"/>
                <w:noProof/>
                <w:color w:val="000000"/>
                <w:szCs w:val="20"/>
                <w:highlight w:val="black"/>
                <w:lang w:val="en-AU"/>
              </w:rPr>
              <w:t>'''''''''''''''''</w:t>
            </w:r>
          </w:p>
        </w:tc>
        <w:tc>
          <w:tcPr>
            <w:tcW w:w="555" w:type="pct"/>
            <w:tcBorders>
              <w:bottom w:val="single" w:sz="4" w:space="0" w:color="auto"/>
            </w:tcBorders>
          </w:tcPr>
          <w:p w:rsidR="00F40481" w:rsidRPr="00FA4395" w:rsidRDefault="00F40481" w:rsidP="004A14EA">
            <w:pPr>
              <w:pStyle w:val="In-tableHeading"/>
              <w:jc w:val="center"/>
              <w:rPr>
                <w:b w:val="0"/>
                <w:szCs w:val="20"/>
                <w:lang w:val="en-AU"/>
              </w:rPr>
            </w:pPr>
            <w:r w:rsidRPr="00FA4395">
              <w:rPr>
                <w:b w:val="0"/>
                <w:szCs w:val="20"/>
                <w:lang w:val="en-AU"/>
              </w:rPr>
              <w:t>$</w:t>
            </w:r>
            <w:r w:rsidR="00B27C72">
              <w:rPr>
                <w:b w:val="0"/>
                <w:noProof/>
                <w:color w:val="000000"/>
                <w:szCs w:val="20"/>
                <w:highlight w:val="black"/>
                <w:lang w:val="en-AU"/>
              </w:rPr>
              <w:t>'''''''''''''''''</w:t>
            </w:r>
          </w:p>
        </w:tc>
        <w:tc>
          <w:tcPr>
            <w:tcW w:w="360" w:type="pct"/>
            <w:tcBorders>
              <w:bottom w:val="single" w:sz="4" w:space="0" w:color="auto"/>
            </w:tcBorders>
          </w:tcPr>
          <w:p w:rsidR="00F40481" w:rsidRPr="00FA4395" w:rsidRDefault="00F40481" w:rsidP="00F873CA">
            <w:pPr>
              <w:pStyle w:val="In-tableHeading"/>
              <w:jc w:val="center"/>
              <w:rPr>
                <w:b w:val="0"/>
                <w:szCs w:val="20"/>
                <w:lang w:val="en-AU"/>
              </w:rPr>
            </w:pPr>
            <w:r w:rsidRPr="00FA4395">
              <w:rPr>
                <w:b w:val="0"/>
                <w:szCs w:val="20"/>
                <w:lang w:val="en-AU"/>
              </w:rPr>
              <w:t>–</w:t>
            </w:r>
          </w:p>
        </w:tc>
      </w:tr>
      <w:tr w:rsidR="00F40481" w:rsidRPr="00C93348" w:rsidTr="00A6734D">
        <w:trPr>
          <w:trHeight w:val="255"/>
        </w:trPr>
        <w:tc>
          <w:tcPr>
            <w:tcW w:w="5000" w:type="pct"/>
            <w:gridSpan w:val="13"/>
            <w:noWrap/>
            <w:hideMark/>
          </w:tcPr>
          <w:p w:rsidR="00F40481" w:rsidRPr="00FA4395" w:rsidRDefault="00F40481" w:rsidP="00F40481">
            <w:pPr>
              <w:pStyle w:val="TableText0"/>
              <w:rPr>
                <w:szCs w:val="20"/>
              </w:rPr>
            </w:pPr>
            <w:r w:rsidRPr="00FA4395">
              <w:rPr>
                <w:szCs w:val="20"/>
              </w:rPr>
              <w:t xml:space="preserve">Proportion of patients expected to receive later-line osimertinib after discontinuation of 1L </w:t>
            </w:r>
            <w:r w:rsidR="00D72D9F" w:rsidRPr="00FA4395">
              <w:rPr>
                <w:szCs w:val="20"/>
              </w:rPr>
              <w:t>SC</w:t>
            </w:r>
            <w:r w:rsidRPr="00FA4395">
              <w:rPr>
                <w:szCs w:val="20"/>
              </w:rPr>
              <w:t xml:space="preserve"> (base case: 51.5% (136/264))</w:t>
            </w:r>
          </w:p>
        </w:tc>
      </w:tr>
      <w:tr w:rsidR="00E80D66" w:rsidRPr="00C93348" w:rsidTr="00E80D66">
        <w:trPr>
          <w:trHeight w:val="255"/>
        </w:trPr>
        <w:tc>
          <w:tcPr>
            <w:tcW w:w="1098" w:type="pct"/>
            <w:tcBorders>
              <w:bottom w:val="single" w:sz="4" w:space="0" w:color="auto"/>
            </w:tcBorders>
            <w:noWrap/>
            <w:hideMark/>
          </w:tcPr>
          <w:p w:rsidR="00F40481" w:rsidRPr="00FA4395" w:rsidRDefault="00F40481" w:rsidP="00F40481">
            <w:pPr>
              <w:pStyle w:val="TableText0"/>
              <w:rPr>
                <w:szCs w:val="20"/>
              </w:rPr>
            </w:pPr>
            <w:r w:rsidRPr="00FA4395">
              <w:rPr>
                <w:szCs w:val="20"/>
              </w:rPr>
              <w:t>41.3% (109/264), based on FLAURA (#1)</w:t>
            </w:r>
          </w:p>
        </w:tc>
        <w:tc>
          <w:tcPr>
            <w:tcW w:w="550" w:type="pct"/>
            <w:gridSpan w:val="2"/>
            <w:tcBorders>
              <w:bottom w:val="single" w:sz="4" w:space="0" w:color="auto"/>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550" w:type="pct"/>
            <w:gridSpan w:val="2"/>
            <w:tcBorders>
              <w:bottom w:val="single" w:sz="4" w:space="0" w:color="auto"/>
            </w:tcBorders>
            <w:noWrap/>
          </w:tcPr>
          <w:p w:rsidR="00F40481" w:rsidRPr="00B27C72" w:rsidRDefault="00B27C72" w:rsidP="00E80D66">
            <w:pPr>
              <w:pStyle w:val="TableText0"/>
              <w:jc w:val="center"/>
              <w:rPr>
                <w:szCs w:val="20"/>
                <w:highlight w:val="black"/>
              </w:rPr>
            </w:pPr>
            <w:r>
              <w:rPr>
                <w:noProof/>
                <w:color w:val="000000"/>
                <w:szCs w:val="20"/>
                <w:highlight w:val="black"/>
              </w:rPr>
              <w:t>''''''''''''''''''</w:t>
            </w:r>
          </w:p>
        </w:tc>
        <w:tc>
          <w:tcPr>
            <w:tcW w:w="552" w:type="pct"/>
            <w:tcBorders>
              <w:bottom w:val="single" w:sz="4" w:space="0" w:color="auto"/>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14" w:type="pct"/>
            <w:gridSpan w:val="2"/>
            <w:tcBorders>
              <w:bottom w:val="single" w:sz="4" w:space="0" w:color="auto"/>
              <w:right w:val="double" w:sz="4" w:space="0" w:color="auto"/>
            </w:tcBorders>
            <w:noWrap/>
          </w:tcPr>
          <w:p w:rsidR="00F40481" w:rsidRPr="00FA4395" w:rsidRDefault="00F40481" w:rsidP="00E80D66">
            <w:pPr>
              <w:pStyle w:val="TableText0"/>
              <w:jc w:val="center"/>
              <w:rPr>
                <w:szCs w:val="20"/>
              </w:rPr>
            </w:pPr>
            <w:r w:rsidRPr="00FA4395">
              <w:rPr>
                <w:szCs w:val="20"/>
              </w:rPr>
              <w:t>14%</w:t>
            </w:r>
          </w:p>
        </w:tc>
        <w:tc>
          <w:tcPr>
            <w:tcW w:w="550" w:type="pct"/>
            <w:gridSpan w:val="2"/>
            <w:tcBorders>
              <w:left w:val="double" w:sz="4" w:space="0" w:color="auto"/>
              <w:bottom w:val="single" w:sz="4" w:space="0" w:color="auto"/>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471" w:type="pct"/>
            <w:tcBorders>
              <w:bottom w:val="single" w:sz="4" w:space="0" w:color="auto"/>
            </w:tcBorders>
          </w:tcPr>
          <w:p w:rsidR="00F40481" w:rsidRPr="00B27C72" w:rsidRDefault="00B27C72" w:rsidP="00E80D66">
            <w:pPr>
              <w:pStyle w:val="TableText0"/>
              <w:jc w:val="center"/>
              <w:rPr>
                <w:szCs w:val="20"/>
                <w:highlight w:val="black"/>
              </w:rPr>
            </w:pPr>
            <w:r>
              <w:rPr>
                <w:noProof/>
                <w:color w:val="000000"/>
                <w:szCs w:val="20"/>
                <w:highlight w:val="black"/>
              </w:rPr>
              <w:t>''''''''''''''''</w:t>
            </w:r>
          </w:p>
        </w:tc>
        <w:tc>
          <w:tcPr>
            <w:tcW w:w="555" w:type="pct"/>
            <w:tcBorders>
              <w:bottom w:val="single" w:sz="4" w:space="0" w:color="auto"/>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60" w:type="pct"/>
            <w:tcBorders>
              <w:bottom w:val="single" w:sz="4" w:space="0" w:color="auto"/>
            </w:tcBorders>
          </w:tcPr>
          <w:p w:rsidR="00F40481" w:rsidRPr="00FA4395" w:rsidRDefault="00F40481" w:rsidP="00E80D66">
            <w:pPr>
              <w:pStyle w:val="TableText0"/>
              <w:jc w:val="center"/>
              <w:rPr>
                <w:szCs w:val="20"/>
              </w:rPr>
            </w:pPr>
            <w:r w:rsidRPr="00FA4395">
              <w:rPr>
                <w:szCs w:val="20"/>
              </w:rPr>
              <w:t>10%</w:t>
            </w:r>
          </w:p>
        </w:tc>
      </w:tr>
      <w:tr w:rsidR="00F40481" w:rsidRPr="00C93348" w:rsidTr="00A6734D">
        <w:trPr>
          <w:trHeight w:val="255"/>
        </w:trPr>
        <w:tc>
          <w:tcPr>
            <w:tcW w:w="5000" w:type="pct"/>
            <w:gridSpan w:val="13"/>
            <w:tcBorders>
              <w:bottom w:val="single" w:sz="4" w:space="0" w:color="auto"/>
            </w:tcBorders>
            <w:noWrap/>
            <w:hideMark/>
          </w:tcPr>
          <w:p w:rsidR="00F40481" w:rsidRPr="00FA4395" w:rsidRDefault="00F40481" w:rsidP="00F40481">
            <w:pPr>
              <w:pStyle w:val="TableText0"/>
              <w:rPr>
                <w:szCs w:val="20"/>
              </w:rPr>
            </w:pPr>
            <w:r w:rsidRPr="00FA4395">
              <w:rPr>
                <w:szCs w:val="20"/>
              </w:rPr>
              <w:t>First-line osimertinib utilisation (base case: capped at 20.7 packs)</w:t>
            </w:r>
          </w:p>
        </w:tc>
      </w:tr>
      <w:tr w:rsidR="00E80D66" w:rsidRPr="00C93348" w:rsidTr="00E80D66">
        <w:trPr>
          <w:trHeight w:val="255"/>
        </w:trPr>
        <w:tc>
          <w:tcPr>
            <w:tcW w:w="1098" w:type="pct"/>
            <w:tcBorders>
              <w:bottom w:val="nil"/>
            </w:tcBorders>
            <w:noWrap/>
            <w:hideMark/>
          </w:tcPr>
          <w:p w:rsidR="00F40481" w:rsidRPr="00FA4395" w:rsidRDefault="00F40481" w:rsidP="00F40481">
            <w:pPr>
              <w:pStyle w:val="TableText0"/>
              <w:rPr>
                <w:szCs w:val="20"/>
              </w:rPr>
            </w:pPr>
            <w:r w:rsidRPr="00FA4395">
              <w:rPr>
                <w:szCs w:val="20"/>
              </w:rPr>
              <w:t>Based on extrapolated TTD, Gompertz – no utilisation cap (#2)</w:t>
            </w:r>
          </w:p>
        </w:tc>
        <w:tc>
          <w:tcPr>
            <w:tcW w:w="550" w:type="pct"/>
            <w:gridSpan w:val="2"/>
            <w:tcBorders>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550" w:type="pct"/>
            <w:gridSpan w:val="2"/>
            <w:tcBorders>
              <w:bottom w:val="nil"/>
            </w:tcBorders>
            <w:noWrap/>
          </w:tcPr>
          <w:p w:rsidR="00F40481" w:rsidRPr="00B27C72" w:rsidRDefault="00B27C72" w:rsidP="00E80D66">
            <w:pPr>
              <w:pStyle w:val="TableText0"/>
              <w:jc w:val="center"/>
              <w:rPr>
                <w:szCs w:val="20"/>
                <w:highlight w:val="black"/>
              </w:rPr>
            </w:pPr>
            <w:r>
              <w:rPr>
                <w:noProof/>
                <w:color w:val="000000"/>
                <w:szCs w:val="20"/>
                <w:highlight w:val="black"/>
              </w:rPr>
              <w:t>''''''''''''''''</w:t>
            </w:r>
          </w:p>
        </w:tc>
        <w:tc>
          <w:tcPr>
            <w:tcW w:w="552" w:type="pct"/>
            <w:tcBorders>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14" w:type="pct"/>
            <w:gridSpan w:val="2"/>
            <w:tcBorders>
              <w:bottom w:val="nil"/>
              <w:right w:val="double" w:sz="4" w:space="0" w:color="auto"/>
            </w:tcBorders>
            <w:noWrap/>
          </w:tcPr>
          <w:p w:rsidR="00F40481" w:rsidRPr="00FA4395" w:rsidRDefault="00F40481" w:rsidP="00E80D66">
            <w:pPr>
              <w:pStyle w:val="TableText0"/>
              <w:jc w:val="center"/>
              <w:rPr>
                <w:szCs w:val="20"/>
              </w:rPr>
            </w:pPr>
            <w:r w:rsidRPr="00FA4395">
              <w:rPr>
                <w:szCs w:val="20"/>
              </w:rPr>
              <w:t>80%</w:t>
            </w:r>
          </w:p>
        </w:tc>
        <w:tc>
          <w:tcPr>
            <w:tcW w:w="550" w:type="pct"/>
            <w:gridSpan w:val="2"/>
            <w:tcBorders>
              <w:left w:val="double" w:sz="4" w:space="0" w:color="auto"/>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471" w:type="pct"/>
            <w:tcBorders>
              <w:bottom w:val="nil"/>
            </w:tcBorders>
          </w:tcPr>
          <w:p w:rsidR="00F40481" w:rsidRPr="00B27C72" w:rsidRDefault="00B27C72" w:rsidP="00E80D66">
            <w:pPr>
              <w:pStyle w:val="TableText0"/>
              <w:jc w:val="center"/>
              <w:rPr>
                <w:szCs w:val="20"/>
                <w:highlight w:val="black"/>
              </w:rPr>
            </w:pPr>
            <w:r>
              <w:rPr>
                <w:noProof/>
                <w:color w:val="000000"/>
                <w:szCs w:val="20"/>
                <w:highlight w:val="black"/>
              </w:rPr>
              <w:t>''''''''''''''''''</w:t>
            </w:r>
          </w:p>
        </w:tc>
        <w:tc>
          <w:tcPr>
            <w:tcW w:w="555" w:type="pct"/>
            <w:tcBorders>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60" w:type="pct"/>
            <w:tcBorders>
              <w:bottom w:val="nil"/>
            </w:tcBorders>
          </w:tcPr>
          <w:p w:rsidR="00F40481" w:rsidRPr="00FA4395" w:rsidRDefault="00F40481" w:rsidP="00E80D66">
            <w:pPr>
              <w:pStyle w:val="TableText0"/>
              <w:jc w:val="center"/>
              <w:rPr>
                <w:szCs w:val="20"/>
              </w:rPr>
            </w:pPr>
            <w:r w:rsidRPr="00FA4395">
              <w:rPr>
                <w:szCs w:val="20"/>
              </w:rPr>
              <w:t>67%</w:t>
            </w:r>
          </w:p>
        </w:tc>
      </w:tr>
      <w:tr w:rsidR="00F40481" w:rsidRPr="00C93348" w:rsidTr="00A6734D">
        <w:trPr>
          <w:trHeight w:val="255"/>
        </w:trPr>
        <w:tc>
          <w:tcPr>
            <w:tcW w:w="5000" w:type="pct"/>
            <w:gridSpan w:val="13"/>
            <w:tcBorders>
              <w:bottom w:val="single" w:sz="4" w:space="0" w:color="auto"/>
            </w:tcBorders>
            <w:noWrap/>
            <w:hideMark/>
          </w:tcPr>
          <w:p w:rsidR="00F40481" w:rsidRPr="00FA4395" w:rsidRDefault="00F40481" w:rsidP="00F40481">
            <w:pPr>
              <w:pStyle w:val="TableText0"/>
              <w:jc w:val="both"/>
              <w:rPr>
                <w:szCs w:val="20"/>
              </w:rPr>
            </w:pPr>
            <w:r w:rsidRPr="00FA4395">
              <w:rPr>
                <w:szCs w:val="20"/>
              </w:rPr>
              <w:t>OS extrapolation time point (base case: 24 months)</w:t>
            </w:r>
            <w:r w:rsidRPr="00FA4395">
              <w:rPr>
                <w:szCs w:val="20"/>
                <w:vertAlign w:val="superscript"/>
              </w:rPr>
              <w:t>a</w:t>
            </w:r>
          </w:p>
        </w:tc>
      </w:tr>
      <w:tr w:rsidR="00E80D66" w:rsidRPr="00C93348" w:rsidTr="00E80D66">
        <w:trPr>
          <w:trHeight w:val="255"/>
        </w:trPr>
        <w:tc>
          <w:tcPr>
            <w:tcW w:w="1098" w:type="pct"/>
            <w:tcBorders>
              <w:top w:val="nil"/>
              <w:bottom w:val="nil"/>
            </w:tcBorders>
            <w:noWrap/>
            <w:hideMark/>
          </w:tcPr>
          <w:p w:rsidR="00F40481" w:rsidRPr="00FA4395" w:rsidRDefault="00F40481" w:rsidP="00F40481">
            <w:pPr>
              <w:pStyle w:val="TableText0"/>
              <w:rPr>
                <w:szCs w:val="20"/>
              </w:rPr>
            </w:pPr>
            <w:r w:rsidRPr="00FA4395">
              <w:rPr>
                <w:szCs w:val="20"/>
              </w:rPr>
              <w:t xml:space="preserve">Median OS (osi: 38.6 months, </w:t>
            </w:r>
            <w:r w:rsidR="00D72D9F" w:rsidRPr="00FA4395">
              <w:rPr>
                <w:szCs w:val="20"/>
              </w:rPr>
              <w:t>SC</w:t>
            </w:r>
            <w:r w:rsidRPr="00FA4395">
              <w:rPr>
                <w:szCs w:val="20"/>
              </w:rPr>
              <w:t>: 31.8 months) (#3)</w:t>
            </w:r>
          </w:p>
        </w:tc>
        <w:tc>
          <w:tcPr>
            <w:tcW w:w="550" w:type="pct"/>
            <w:gridSpan w:val="2"/>
            <w:tcBorders>
              <w:top w:val="nil"/>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550" w:type="pct"/>
            <w:gridSpan w:val="2"/>
            <w:tcBorders>
              <w:top w:val="nil"/>
              <w:bottom w:val="nil"/>
            </w:tcBorders>
            <w:noWrap/>
          </w:tcPr>
          <w:p w:rsidR="00F40481" w:rsidRPr="00B27C72" w:rsidRDefault="00B27C72" w:rsidP="00E80D66">
            <w:pPr>
              <w:pStyle w:val="TableText0"/>
              <w:jc w:val="center"/>
              <w:rPr>
                <w:szCs w:val="20"/>
                <w:highlight w:val="black"/>
              </w:rPr>
            </w:pPr>
            <w:r>
              <w:rPr>
                <w:noProof/>
                <w:color w:val="000000"/>
                <w:szCs w:val="20"/>
                <w:highlight w:val="black"/>
              </w:rPr>
              <w:t>''''''''''''''''</w:t>
            </w:r>
          </w:p>
        </w:tc>
        <w:tc>
          <w:tcPr>
            <w:tcW w:w="552" w:type="pct"/>
            <w:tcBorders>
              <w:top w:val="nil"/>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14" w:type="pct"/>
            <w:gridSpan w:val="2"/>
            <w:tcBorders>
              <w:top w:val="nil"/>
              <w:bottom w:val="nil"/>
              <w:right w:val="double" w:sz="4" w:space="0" w:color="auto"/>
            </w:tcBorders>
            <w:noWrap/>
          </w:tcPr>
          <w:p w:rsidR="00F40481" w:rsidRPr="00FA4395" w:rsidRDefault="00F40481" w:rsidP="00E80D66">
            <w:pPr>
              <w:pStyle w:val="TableText0"/>
              <w:jc w:val="center"/>
              <w:rPr>
                <w:szCs w:val="20"/>
              </w:rPr>
            </w:pPr>
            <w:r w:rsidRPr="00FA4395">
              <w:rPr>
                <w:szCs w:val="20"/>
              </w:rPr>
              <w:t>8%</w:t>
            </w:r>
          </w:p>
        </w:tc>
        <w:tc>
          <w:tcPr>
            <w:tcW w:w="550" w:type="pct"/>
            <w:gridSpan w:val="2"/>
            <w:tcBorders>
              <w:top w:val="nil"/>
              <w:left w:val="double" w:sz="4" w:space="0" w:color="auto"/>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471" w:type="pct"/>
            <w:tcBorders>
              <w:top w:val="nil"/>
              <w:bottom w:val="nil"/>
            </w:tcBorders>
          </w:tcPr>
          <w:p w:rsidR="00F40481" w:rsidRPr="00B27C72" w:rsidRDefault="00B27C72" w:rsidP="00E80D66">
            <w:pPr>
              <w:pStyle w:val="TableText0"/>
              <w:jc w:val="center"/>
              <w:rPr>
                <w:szCs w:val="20"/>
                <w:highlight w:val="black"/>
              </w:rPr>
            </w:pPr>
            <w:r>
              <w:rPr>
                <w:noProof/>
                <w:color w:val="000000"/>
                <w:szCs w:val="20"/>
                <w:highlight w:val="black"/>
              </w:rPr>
              <w:t>''''''''''''''''</w:t>
            </w:r>
          </w:p>
        </w:tc>
        <w:tc>
          <w:tcPr>
            <w:tcW w:w="555" w:type="pct"/>
            <w:tcBorders>
              <w:top w:val="nil"/>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60" w:type="pct"/>
            <w:tcBorders>
              <w:top w:val="nil"/>
              <w:bottom w:val="nil"/>
            </w:tcBorders>
          </w:tcPr>
          <w:p w:rsidR="00F40481" w:rsidRPr="00FA4395" w:rsidRDefault="00F40481" w:rsidP="00E80D66">
            <w:pPr>
              <w:pStyle w:val="TableText0"/>
              <w:jc w:val="center"/>
              <w:rPr>
                <w:szCs w:val="20"/>
              </w:rPr>
            </w:pPr>
            <w:r w:rsidRPr="00FA4395">
              <w:rPr>
                <w:szCs w:val="20"/>
              </w:rPr>
              <w:t>8%</w:t>
            </w:r>
          </w:p>
        </w:tc>
      </w:tr>
      <w:tr w:rsidR="00F40481" w:rsidRPr="00C93348" w:rsidTr="00A6734D">
        <w:trPr>
          <w:trHeight w:val="255"/>
        </w:trPr>
        <w:tc>
          <w:tcPr>
            <w:tcW w:w="5000" w:type="pct"/>
            <w:gridSpan w:val="13"/>
            <w:tcBorders>
              <w:top w:val="single" w:sz="4" w:space="0" w:color="auto"/>
              <w:bottom w:val="single" w:sz="4" w:space="0" w:color="auto"/>
            </w:tcBorders>
            <w:noWrap/>
          </w:tcPr>
          <w:p w:rsidR="00F40481" w:rsidRPr="00FA4395" w:rsidRDefault="00F40481" w:rsidP="00F40481">
            <w:pPr>
              <w:pStyle w:val="TableText0"/>
              <w:rPr>
                <w:b/>
                <w:szCs w:val="20"/>
              </w:rPr>
            </w:pPr>
            <w:r w:rsidRPr="00FA4395">
              <w:rPr>
                <w:b/>
                <w:szCs w:val="20"/>
              </w:rPr>
              <w:t>Multivariate analyses</w:t>
            </w:r>
          </w:p>
        </w:tc>
      </w:tr>
      <w:tr w:rsidR="00E80D66" w:rsidRPr="00C93348" w:rsidTr="00E80D66">
        <w:trPr>
          <w:trHeight w:val="255"/>
        </w:trPr>
        <w:tc>
          <w:tcPr>
            <w:tcW w:w="1098" w:type="pct"/>
            <w:tcBorders>
              <w:top w:val="single" w:sz="4" w:space="0" w:color="auto"/>
              <w:bottom w:val="nil"/>
            </w:tcBorders>
            <w:noWrap/>
          </w:tcPr>
          <w:p w:rsidR="00F40481" w:rsidRPr="00FA4395" w:rsidRDefault="00F40481" w:rsidP="00F40481">
            <w:pPr>
              <w:pStyle w:val="TableText0"/>
              <w:rPr>
                <w:szCs w:val="20"/>
              </w:rPr>
            </w:pPr>
            <w:r w:rsidRPr="00FA4395">
              <w:rPr>
                <w:szCs w:val="20"/>
              </w:rPr>
              <w:t>#1 AND #2</w:t>
            </w:r>
          </w:p>
        </w:tc>
        <w:tc>
          <w:tcPr>
            <w:tcW w:w="550" w:type="pct"/>
            <w:gridSpan w:val="2"/>
            <w:tcBorders>
              <w:top w:val="single" w:sz="4" w:space="0" w:color="auto"/>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550" w:type="pct"/>
            <w:gridSpan w:val="2"/>
            <w:tcBorders>
              <w:top w:val="single" w:sz="4" w:space="0" w:color="auto"/>
              <w:bottom w:val="nil"/>
            </w:tcBorders>
            <w:noWrap/>
          </w:tcPr>
          <w:p w:rsidR="00F40481" w:rsidRPr="00B27C72" w:rsidRDefault="00B27C72" w:rsidP="00E80D66">
            <w:pPr>
              <w:pStyle w:val="TableText0"/>
              <w:jc w:val="center"/>
              <w:rPr>
                <w:szCs w:val="20"/>
                <w:highlight w:val="black"/>
              </w:rPr>
            </w:pPr>
            <w:r>
              <w:rPr>
                <w:noProof/>
                <w:color w:val="000000"/>
                <w:szCs w:val="20"/>
                <w:highlight w:val="black"/>
              </w:rPr>
              <w:t>''''''''''''''''</w:t>
            </w:r>
          </w:p>
        </w:tc>
        <w:tc>
          <w:tcPr>
            <w:tcW w:w="552" w:type="pct"/>
            <w:tcBorders>
              <w:top w:val="single" w:sz="4" w:space="0" w:color="auto"/>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14" w:type="pct"/>
            <w:gridSpan w:val="2"/>
            <w:tcBorders>
              <w:top w:val="single" w:sz="4" w:space="0" w:color="auto"/>
              <w:bottom w:val="nil"/>
              <w:right w:val="double" w:sz="4" w:space="0" w:color="auto"/>
            </w:tcBorders>
            <w:noWrap/>
          </w:tcPr>
          <w:p w:rsidR="00F40481" w:rsidRPr="00FA4395" w:rsidRDefault="00F40481" w:rsidP="00E80D66">
            <w:pPr>
              <w:pStyle w:val="TableText0"/>
              <w:jc w:val="center"/>
              <w:rPr>
                <w:szCs w:val="20"/>
              </w:rPr>
            </w:pPr>
            <w:r w:rsidRPr="00FA4395">
              <w:rPr>
                <w:szCs w:val="20"/>
              </w:rPr>
              <w:t>94%</w:t>
            </w:r>
          </w:p>
        </w:tc>
        <w:tc>
          <w:tcPr>
            <w:tcW w:w="550" w:type="pct"/>
            <w:gridSpan w:val="2"/>
            <w:tcBorders>
              <w:top w:val="single" w:sz="4" w:space="0" w:color="auto"/>
              <w:left w:val="double" w:sz="4" w:space="0" w:color="auto"/>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471" w:type="pct"/>
            <w:tcBorders>
              <w:top w:val="single" w:sz="4" w:space="0" w:color="auto"/>
              <w:bottom w:val="nil"/>
            </w:tcBorders>
          </w:tcPr>
          <w:p w:rsidR="00F40481" w:rsidRPr="00B27C72" w:rsidRDefault="00B27C72" w:rsidP="00E80D66">
            <w:pPr>
              <w:pStyle w:val="TableText0"/>
              <w:jc w:val="center"/>
              <w:rPr>
                <w:szCs w:val="20"/>
                <w:highlight w:val="black"/>
              </w:rPr>
            </w:pPr>
            <w:r>
              <w:rPr>
                <w:noProof/>
                <w:color w:val="000000"/>
                <w:szCs w:val="20"/>
                <w:highlight w:val="black"/>
              </w:rPr>
              <w:t>'''''''''''''''</w:t>
            </w:r>
          </w:p>
        </w:tc>
        <w:tc>
          <w:tcPr>
            <w:tcW w:w="555" w:type="pct"/>
            <w:tcBorders>
              <w:top w:val="single" w:sz="4" w:space="0" w:color="auto"/>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60" w:type="pct"/>
            <w:tcBorders>
              <w:top w:val="single" w:sz="4" w:space="0" w:color="auto"/>
              <w:bottom w:val="nil"/>
            </w:tcBorders>
          </w:tcPr>
          <w:p w:rsidR="00F40481" w:rsidRPr="00FA4395" w:rsidRDefault="00F40481" w:rsidP="00E80D66">
            <w:pPr>
              <w:pStyle w:val="TableText0"/>
              <w:jc w:val="center"/>
              <w:rPr>
                <w:szCs w:val="20"/>
              </w:rPr>
            </w:pPr>
            <w:r w:rsidRPr="00FA4395">
              <w:rPr>
                <w:szCs w:val="20"/>
              </w:rPr>
              <w:t>78%</w:t>
            </w:r>
          </w:p>
        </w:tc>
      </w:tr>
      <w:tr w:rsidR="00E80D66" w:rsidRPr="00C93348" w:rsidTr="00E80D66">
        <w:trPr>
          <w:trHeight w:val="255"/>
        </w:trPr>
        <w:tc>
          <w:tcPr>
            <w:tcW w:w="1098" w:type="pct"/>
            <w:tcBorders>
              <w:top w:val="nil"/>
              <w:bottom w:val="nil"/>
            </w:tcBorders>
            <w:noWrap/>
          </w:tcPr>
          <w:p w:rsidR="00F40481" w:rsidRPr="00FA4395" w:rsidRDefault="00F40481" w:rsidP="00F40481">
            <w:pPr>
              <w:pStyle w:val="TableText0"/>
              <w:rPr>
                <w:szCs w:val="20"/>
              </w:rPr>
            </w:pPr>
            <w:r w:rsidRPr="00FA4395">
              <w:rPr>
                <w:szCs w:val="20"/>
              </w:rPr>
              <w:t>#1 AND #3</w:t>
            </w:r>
          </w:p>
        </w:tc>
        <w:tc>
          <w:tcPr>
            <w:tcW w:w="550" w:type="pct"/>
            <w:gridSpan w:val="2"/>
            <w:tcBorders>
              <w:top w:val="nil"/>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550" w:type="pct"/>
            <w:gridSpan w:val="2"/>
            <w:tcBorders>
              <w:top w:val="nil"/>
              <w:bottom w:val="nil"/>
            </w:tcBorders>
            <w:noWrap/>
          </w:tcPr>
          <w:p w:rsidR="00F40481" w:rsidRPr="00B27C72" w:rsidRDefault="00B27C72" w:rsidP="00E80D66">
            <w:pPr>
              <w:pStyle w:val="TableText0"/>
              <w:jc w:val="center"/>
              <w:rPr>
                <w:szCs w:val="20"/>
                <w:highlight w:val="black"/>
              </w:rPr>
            </w:pPr>
            <w:r>
              <w:rPr>
                <w:noProof/>
                <w:color w:val="000000"/>
                <w:szCs w:val="20"/>
                <w:highlight w:val="black"/>
              </w:rPr>
              <w:t>'''''''''''''''''</w:t>
            </w:r>
          </w:p>
        </w:tc>
        <w:tc>
          <w:tcPr>
            <w:tcW w:w="552" w:type="pct"/>
            <w:tcBorders>
              <w:top w:val="nil"/>
              <w:bottom w:val="nil"/>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14" w:type="pct"/>
            <w:gridSpan w:val="2"/>
            <w:tcBorders>
              <w:top w:val="nil"/>
              <w:bottom w:val="nil"/>
              <w:right w:val="double" w:sz="4" w:space="0" w:color="auto"/>
            </w:tcBorders>
            <w:noWrap/>
          </w:tcPr>
          <w:p w:rsidR="00F40481" w:rsidRPr="00FA4395" w:rsidRDefault="00F40481" w:rsidP="00E80D66">
            <w:pPr>
              <w:pStyle w:val="TableText0"/>
              <w:jc w:val="center"/>
              <w:rPr>
                <w:szCs w:val="20"/>
              </w:rPr>
            </w:pPr>
            <w:r w:rsidRPr="00FA4395">
              <w:rPr>
                <w:szCs w:val="20"/>
              </w:rPr>
              <w:t>24%</w:t>
            </w:r>
          </w:p>
        </w:tc>
        <w:tc>
          <w:tcPr>
            <w:tcW w:w="550" w:type="pct"/>
            <w:gridSpan w:val="2"/>
            <w:tcBorders>
              <w:top w:val="nil"/>
              <w:left w:val="double" w:sz="4" w:space="0" w:color="auto"/>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471" w:type="pct"/>
            <w:tcBorders>
              <w:top w:val="nil"/>
              <w:bottom w:val="nil"/>
            </w:tcBorders>
          </w:tcPr>
          <w:p w:rsidR="00F40481" w:rsidRPr="00B27C72" w:rsidRDefault="00B27C72" w:rsidP="00E80D66">
            <w:pPr>
              <w:pStyle w:val="TableText0"/>
              <w:jc w:val="center"/>
              <w:rPr>
                <w:szCs w:val="20"/>
                <w:highlight w:val="black"/>
              </w:rPr>
            </w:pPr>
            <w:r>
              <w:rPr>
                <w:noProof/>
                <w:color w:val="000000"/>
                <w:szCs w:val="20"/>
                <w:highlight w:val="black"/>
              </w:rPr>
              <w:t>''''''''''''''''</w:t>
            </w:r>
          </w:p>
        </w:tc>
        <w:tc>
          <w:tcPr>
            <w:tcW w:w="555" w:type="pct"/>
            <w:tcBorders>
              <w:top w:val="nil"/>
              <w:bottom w:val="nil"/>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tc>
        <w:tc>
          <w:tcPr>
            <w:tcW w:w="360" w:type="pct"/>
            <w:tcBorders>
              <w:top w:val="nil"/>
              <w:bottom w:val="nil"/>
            </w:tcBorders>
          </w:tcPr>
          <w:p w:rsidR="00F40481" w:rsidRPr="00FA4395" w:rsidRDefault="00F40481" w:rsidP="00E80D66">
            <w:pPr>
              <w:pStyle w:val="TableText0"/>
              <w:jc w:val="center"/>
              <w:rPr>
                <w:szCs w:val="20"/>
              </w:rPr>
            </w:pPr>
            <w:r w:rsidRPr="00FA4395">
              <w:rPr>
                <w:szCs w:val="20"/>
              </w:rPr>
              <w:t>20%</w:t>
            </w:r>
          </w:p>
        </w:tc>
      </w:tr>
      <w:tr w:rsidR="00E80D66" w:rsidRPr="00C93348" w:rsidTr="00E80D66">
        <w:trPr>
          <w:trHeight w:val="255"/>
        </w:trPr>
        <w:tc>
          <w:tcPr>
            <w:tcW w:w="1098" w:type="pct"/>
            <w:tcBorders>
              <w:top w:val="nil"/>
              <w:bottom w:val="single" w:sz="4" w:space="0" w:color="auto"/>
            </w:tcBorders>
            <w:noWrap/>
          </w:tcPr>
          <w:p w:rsidR="00F40481" w:rsidRPr="00FA4395" w:rsidRDefault="00F40481" w:rsidP="00F40481">
            <w:pPr>
              <w:pStyle w:val="TableText0"/>
              <w:rPr>
                <w:szCs w:val="20"/>
              </w:rPr>
            </w:pPr>
            <w:r w:rsidRPr="00FA4395">
              <w:rPr>
                <w:szCs w:val="20"/>
              </w:rPr>
              <w:t>#1, #2 AND #3</w:t>
            </w:r>
          </w:p>
          <w:p w:rsidR="003F790C" w:rsidRPr="00FA4395" w:rsidRDefault="001D049C" w:rsidP="00F40481">
            <w:pPr>
              <w:pStyle w:val="TableText0"/>
              <w:rPr>
                <w:i/>
                <w:szCs w:val="20"/>
              </w:rPr>
            </w:pPr>
            <w:r w:rsidRPr="00FA4395">
              <w:rPr>
                <w:szCs w:val="20"/>
              </w:rPr>
              <w:t xml:space="preserve">#2 AND </w:t>
            </w:r>
            <w:r w:rsidR="003F790C" w:rsidRPr="00FA4395">
              <w:rPr>
                <w:szCs w:val="20"/>
              </w:rPr>
              <w:t>#3</w:t>
            </w:r>
          </w:p>
        </w:tc>
        <w:tc>
          <w:tcPr>
            <w:tcW w:w="550" w:type="pct"/>
            <w:gridSpan w:val="2"/>
            <w:tcBorders>
              <w:top w:val="nil"/>
              <w:bottom w:val="single" w:sz="4" w:space="0" w:color="auto"/>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p w:rsidR="003F790C" w:rsidRPr="00FA4395" w:rsidRDefault="003F790C" w:rsidP="00E80D66">
            <w:pPr>
              <w:pStyle w:val="TableText0"/>
              <w:jc w:val="center"/>
              <w:rPr>
                <w:i/>
                <w:szCs w:val="20"/>
              </w:rPr>
            </w:pPr>
            <w:r w:rsidRPr="00FA4395">
              <w:rPr>
                <w:szCs w:val="20"/>
              </w:rPr>
              <w:t>$</w:t>
            </w:r>
            <w:r w:rsidR="00B27C72">
              <w:rPr>
                <w:noProof/>
                <w:color w:val="000000"/>
                <w:szCs w:val="20"/>
                <w:highlight w:val="black"/>
              </w:rPr>
              <w:t>'''''''''''''''''</w:t>
            </w:r>
          </w:p>
        </w:tc>
        <w:tc>
          <w:tcPr>
            <w:tcW w:w="550" w:type="pct"/>
            <w:gridSpan w:val="2"/>
            <w:tcBorders>
              <w:top w:val="nil"/>
              <w:bottom w:val="single" w:sz="4" w:space="0" w:color="auto"/>
            </w:tcBorders>
            <w:noWrap/>
          </w:tcPr>
          <w:p w:rsidR="00F40481" w:rsidRPr="00B27C72" w:rsidRDefault="00B27C72" w:rsidP="00E80D66">
            <w:pPr>
              <w:pStyle w:val="TableText0"/>
              <w:jc w:val="center"/>
              <w:rPr>
                <w:szCs w:val="20"/>
                <w:highlight w:val="black"/>
              </w:rPr>
            </w:pPr>
            <w:r>
              <w:rPr>
                <w:noProof/>
                <w:color w:val="000000"/>
                <w:szCs w:val="20"/>
                <w:highlight w:val="black"/>
              </w:rPr>
              <w:t>''''''''''''''''</w:t>
            </w:r>
          </w:p>
          <w:p w:rsidR="003F790C" w:rsidRPr="00B27C72" w:rsidRDefault="00B27C72" w:rsidP="00E80D66">
            <w:pPr>
              <w:pStyle w:val="TableText0"/>
              <w:jc w:val="center"/>
              <w:rPr>
                <w:szCs w:val="20"/>
                <w:highlight w:val="black"/>
              </w:rPr>
            </w:pPr>
            <w:r>
              <w:rPr>
                <w:noProof/>
                <w:color w:val="000000"/>
                <w:szCs w:val="20"/>
                <w:highlight w:val="black"/>
              </w:rPr>
              <w:t>'''''''''''''''</w:t>
            </w:r>
          </w:p>
          <w:p w:rsidR="003F790C" w:rsidRPr="00B27C72" w:rsidRDefault="003F790C" w:rsidP="00E80D66">
            <w:pPr>
              <w:pStyle w:val="TableText0"/>
              <w:jc w:val="center"/>
              <w:rPr>
                <w:i/>
                <w:szCs w:val="20"/>
              </w:rPr>
            </w:pPr>
          </w:p>
        </w:tc>
        <w:tc>
          <w:tcPr>
            <w:tcW w:w="552" w:type="pct"/>
            <w:tcBorders>
              <w:top w:val="nil"/>
              <w:bottom w:val="single" w:sz="4" w:space="0" w:color="auto"/>
            </w:tcBorders>
            <w:noWrap/>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p w:rsidR="003F790C" w:rsidRPr="00FA4395" w:rsidRDefault="003F790C" w:rsidP="00E80D66">
            <w:pPr>
              <w:pStyle w:val="TableText0"/>
              <w:jc w:val="center"/>
              <w:rPr>
                <w:szCs w:val="20"/>
              </w:rPr>
            </w:pPr>
            <w:r w:rsidRPr="00FA4395">
              <w:rPr>
                <w:szCs w:val="20"/>
              </w:rPr>
              <w:t>$</w:t>
            </w:r>
            <w:r w:rsidR="00B27C72">
              <w:rPr>
                <w:noProof/>
                <w:color w:val="000000"/>
                <w:szCs w:val="20"/>
                <w:highlight w:val="black"/>
              </w:rPr>
              <w:t>'''''''''''''''''''''</w:t>
            </w:r>
          </w:p>
          <w:p w:rsidR="003F790C" w:rsidRPr="00FA4395" w:rsidRDefault="003F790C" w:rsidP="00E80D66">
            <w:pPr>
              <w:pStyle w:val="TableText0"/>
              <w:jc w:val="center"/>
              <w:rPr>
                <w:i/>
                <w:szCs w:val="20"/>
              </w:rPr>
            </w:pPr>
          </w:p>
        </w:tc>
        <w:tc>
          <w:tcPr>
            <w:tcW w:w="314" w:type="pct"/>
            <w:gridSpan w:val="2"/>
            <w:tcBorders>
              <w:top w:val="nil"/>
              <w:bottom w:val="single" w:sz="4" w:space="0" w:color="auto"/>
              <w:right w:val="double" w:sz="4" w:space="0" w:color="auto"/>
            </w:tcBorders>
            <w:noWrap/>
          </w:tcPr>
          <w:p w:rsidR="00F40481" w:rsidRPr="00FA4395" w:rsidRDefault="00F40481" w:rsidP="003F790C">
            <w:pPr>
              <w:pStyle w:val="TableText0"/>
              <w:rPr>
                <w:szCs w:val="20"/>
              </w:rPr>
            </w:pPr>
            <w:r w:rsidRPr="00FA4395">
              <w:rPr>
                <w:szCs w:val="20"/>
              </w:rPr>
              <w:t>110</w:t>
            </w:r>
          </w:p>
          <w:p w:rsidR="003F790C" w:rsidRPr="00FA4395" w:rsidRDefault="003F790C" w:rsidP="00F873CA">
            <w:pPr>
              <w:pStyle w:val="TableText0"/>
              <w:jc w:val="center"/>
              <w:rPr>
                <w:szCs w:val="20"/>
              </w:rPr>
            </w:pPr>
            <w:r w:rsidRPr="00FA4395">
              <w:rPr>
                <w:szCs w:val="20"/>
              </w:rPr>
              <w:t>95%</w:t>
            </w:r>
          </w:p>
          <w:p w:rsidR="003F790C" w:rsidRPr="00FA4395" w:rsidRDefault="003F790C" w:rsidP="00F873CA">
            <w:pPr>
              <w:pStyle w:val="TableText0"/>
              <w:jc w:val="center"/>
              <w:rPr>
                <w:i/>
                <w:szCs w:val="20"/>
              </w:rPr>
            </w:pPr>
          </w:p>
        </w:tc>
        <w:tc>
          <w:tcPr>
            <w:tcW w:w="550" w:type="pct"/>
            <w:gridSpan w:val="2"/>
            <w:tcBorders>
              <w:top w:val="nil"/>
              <w:left w:val="double" w:sz="4" w:space="0" w:color="auto"/>
              <w:bottom w:val="single" w:sz="4" w:space="0" w:color="auto"/>
            </w:tcBorders>
          </w:tcPr>
          <w:p w:rsidR="003F790C" w:rsidRPr="00FA4395" w:rsidRDefault="00F40481" w:rsidP="00E80D66">
            <w:pPr>
              <w:pStyle w:val="TableText0"/>
              <w:jc w:val="center"/>
              <w:rPr>
                <w:szCs w:val="20"/>
              </w:rPr>
            </w:pPr>
            <w:r w:rsidRPr="00FA4395">
              <w:rPr>
                <w:szCs w:val="20"/>
              </w:rPr>
              <w:t>$</w:t>
            </w:r>
            <w:r w:rsidR="00B27C72">
              <w:rPr>
                <w:noProof/>
                <w:color w:val="000000"/>
                <w:szCs w:val="20"/>
                <w:highlight w:val="black"/>
              </w:rPr>
              <w:t>''''''''''''''''</w:t>
            </w:r>
          </w:p>
          <w:p w:rsidR="00F40481" w:rsidRPr="00FA4395" w:rsidRDefault="003F790C" w:rsidP="00E80D66">
            <w:pPr>
              <w:pStyle w:val="TableText0"/>
              <w:jc w:val="center"/>
              <w:rPr>
                <w:i/>
                <w:szCs w:val="20"/>
              </w:rPr>
            </w:pPr>
            <w:r w:rsidRPr="00FA4395">
              <w:rPr>
                <w:szCs w:val="20"/>
              </w:rPr>
              <w:t>$</w:t>
            </w:r>
            <w:r w:rsidR="00B27C72">
              <w:rPr>
                <w:noProof/>
                <w:color w:val="000000"/>
                <w:szCs w:val="20"/>
                <w:highlight w:val="black"/>
              </w:rPr>
              <w:t>'''''''''''''''</w:t>
            </w:r>
          </w:p>
        </w:tc>
        <w:tc>
          <w:tcPr>
            <w:tcW w:w="471" w:type="pct"/>
            <w:tcBorders>
              <w:top w:val="nil"/>
              <w:bottom w:val="single" w:sz="4" w:space="0" w:color="auto"/>
            </w:tcBorders>
          </w:tcPr>
          <w:p w:rsidR="00F40481" w:rsidRPr="00B27C72" w:rsidRDefault="00B27C72" w:rsidP="00E80D66">
            <w:pPr>
              <w:pStyle w:val="TableText0"/>
              <w:jc w:val="center"/>
              <w:rPr>
                <w:szCs w:val="20"/>
                <w:highlight w:val="black"/>
              </w:rPr>
            </w:pPr>
            <w:r>
              <w:rPr>
                <w:noProof/>
                <w:color w:val="000000"/>
                <w:szCs w:val="20"/>
                <w:highlight w:val="black"/>
              </w:rPr>
              <w:t>''''''''''''''''''</w:t>
            </w:r>
          </w:p>
          <w:p w:rsidR="003F790C" w:rsidRPr="00B27C72" w:rsidRDefault="00B27C72" w:rsidP="00E80D66">
            <w:pPr>
              <w:pStyle w:val="TableText0"/>
              <w:jc w:val="center"/>
              <w:rPr>
                <w:i/>
                <w:szCs w:val="20"/>
                <w:highlight w:val="black"/>
              </w:rPr>
            </w:pPr>
            <w:r>
              <w:rPr>
                <w:noProof/>
                <w:color w:val="000000"/>
                <w:szCs w:val="20"/>
                <w:highlight w:val="black"/>
              </w:rPr>
              <w:t>'''''''''''''''''</w:t>
            </w:r>
          </w:p>
        </w:tc>
        <w:tc>
          <w:tcPr>
            <w:tcW w:w="555" w:type="pct"/>
            <w:tcBorders>
              <w:top w:val="nil"/>
              <w:bottom w:val="single" w:sz="4" w:space="0" w:color="auto"/>
            </w:tcBorders>
          </w:tcPr>
          <w:p w:rsidR="00F40481" w:rsidRPr="00FA4395" w:rsidRDefault="00F40481" w:rsidP="00E80D66">
            <w:pPr>
              <w:pStyle w:val="TableText0"/>
              <w:jc w:val="center"/>
              <w:rPr>
                <w:szCs w:val="20"/>
              </w:rPr>
            </w:pPr>
            <w:r w:rsidRPr="00FA4395">
              <w:rPr>
                <w:szCs w:val="20"/>
              </w:rPr>
              <w:t>$</w:t>
            </w:r>
            <w:r w:rsidR="00B27C72">
              <w:rPr>
                <w:noProof/>
                <w:color w:val="000000"/>
                <w:szCs w:val="20"/>
                <w:highlight w:val="black"/>
              </w:rPr>
              <w:t>''''''''''''''''''</w:t>
            </w:r>
          </w:p>
          <w:p w:rsidR="003F790C" w:rsidRPr="00FA4395" w:rsidRDefault="003F790C" w:rsidP="00E80D66">
            <w:pPr>
              <w:pStyle w:val="TableText0"/>
              <w:jc w:val="center"/>
              <w:rPr>
                <w:i/>
                <w:szCs w:val="20"/>
              </w:rPr>
            </w:pPr>
            <w:r w:rsidRPr="00FA4395">
              <w:rPr>
                <w:szCs w:val="20"/>
              </w:rPr>
              <w:t>$</w:t>
            </w:r>
            <w:r w:rsidR="00B27C72">
              <w:rPr>
                <w:noProof/>
                <w:color w:val="000000"/>
                <w:szCs w:val="20"/>
                <w:highlight w:val="black"/>
              </w:rPr>
              <w:t>''''''''''''''''''</w:t>
            </w:r>
          </w:p>
        </w:tc>
        <w:tc>
          <w:tcPr>
            <w:tcW w:w="360" w:type="pct"/>
            <w:tcBorders>
              <w:top w:val="nil"/>
              <w:bottom w:val="single" w:sz="4" w:space="0" w:color="auto"/>
            </w:tcBorders>
          </w:tcPr>
          <w:p w:rsidR="00F40481" w:rsidRPr="00FA4395" w:rsidRDefault="00F40481" w:rsidP="00E80D66">
            <w:pPr>
              <w:pStyle w:val="TableText0"/>
              <w:jc w:val="center"/>
              <w:rPr>
                <w:szCs w:val="20"/>
              </w:rPr>
            </w:pPr>
            <w:r w:rsidRPr="00FA4395">
              <w:rPr>
                <w:szCs w:val="20"/>
              </w:rPr>
              <w:t>93%</w:t>
            </w:r>
          </w:p>
          <w:p w:rsidR="003F790C" w:rsidRPr="00FA4395" w:rsidRDefault="003F790C" w:rsidP="00E80D66">
            <w:pPr>
              <w:pStyle w:val="TableText0"/>
              <w:jc w:val="center"/>
              <w:rPr>
                <w:szCs w:val="20"/>
              </w:rPr>
            </w:pPr>
            <w:r w:rsidRPr="00FA4395">
              <w:rPr>
                <w:szCs w:val="20"/>
              </w:rPr>
              <w:t>81%</w:t>
            </w:r>
          </w:p>
          <w:p w:rsidR="003F790C" w:rsidRPr="00FA4395" w:rsidRDefault="003F790C" w:rsidP="00E80D66">
            <w:pPr>
              <w:pStyle w:val="TableText0"/>
              <w:jc w:val="center"/>
              <w:rPr>
                <w:i/>
                <w:szCs w:val="20"/>
              </w:rPr>
            </w:pPr>
          </w:p>
        </w:tc>
      </w:tr>
    </w:tbl>
    <w:p w:rsidR="00BA00F8" w:rsidRPr="00C93348" w:rsidRDefault="00BA00F8" w:rsidP="003C0631">
      <w:pPr>
        <w:pStyle w:val="TableFigureFooter"/>
        <w:keepNext/>
      </w:pPr>
      <w:r w:rsidRPr="00C93348">
        <w:t>Source: Constructed during the evaluation from the ‘Tagrisso (osimertinib) Economic Evaluation_July 2020 PBAC meeting.xlsm’ workbook.</w:t>
      </w:r>
    </w:p>
    <w:p w:rsidR="00BA00F8" w:rsidRPr="00C93348" w:rsidRDefault="00BA00F8" w:rsidP="003C0631">
      <w:pPr>
        <w:pStyle w:val="TableFigureFooter"/>
        <w:keepNext/>
      </w:pPr>
      <w:r w:rsidRPr="00C93348">
        <w:rPr>
          <w:vertAlign w:val="superscript"/>
        </w:rPr>
        <w:t>a</w:t>
      </w:r>
      <w:r w:rsidRPr="00C93348">
        <w:t xml:space="preserve"> Convergence begins at time point of osimertinib extrapolation.</w:t>
      </w:r>
    </w:p>
    <w:p w:rsidR="00BA00F8" w:rsidRPr="00C93348" w:rsidRDefault="00BA00F8" w:rsidP="003C0631">
      <w:pPr>
        <w:pStyle w:val="TableFigureFooter"/>
        <w:keepNext/>
      </w:pPr>
      <w:r w:rsidRPr="00C93348">
        <w:t xml:space="preserve">ICER = incremental cost-effectiveness ratio; OS = overall survival; osi = osimertinib; QALY = quality-adjusted life year; </w:t>
      </w:r>
      <w:r w:rsidR="00D72D9F" w:rsidRPr="00C93348">
        <w:t>SC</w:t>
      </w:r>
      <w:r w:rsidRPr="00C93348">
        <w:t xml:space="preserve"> = standard of care (erlotinib/gefitinib); TTD = time to treatment discontinuation</w:t>
      </w:r>
    </w:p>
    <w:p w:rsidR="007F6631" w:rsidRDefault="007F6631" w:rsidP="00A15737">
      <w:pPr>
        <w:pStyle w:val="3-BodyText"/>
        <w:numPr>
          <w:ilvl w:val="0"/>
          <w:numId w:val="0"/>
        </w:numPr>
        <w:ind w:left="720" w:hanging="720"/>
        <w:rPr>
          <w:i/>
        </w:rPr>
      </w:pPr>
    </w:p>
    <w:p w:rsidR="00A15737" w:rsidRPr="00A15737" w:rsidRDefault="00A15737" w:rsidP="00A15737">
      <w:pPr>
        <w:pStyle w:val="3-BodyText"/>
        <w:numPr>
          <w:ilvl w:val="0"/>
          <w:numId w:val="0"/>
        </w:numPr>
        <w:ind w:left="720" w:hanging="720"/>
        <w:rPr>
          <w:i/>
        </w:rPr>
      </w:pPr>
      <w:r>
        <w:rPr>
          <w:i/>
        </w:rPr>
        <w:t>The redacted table shows ICERs in the range of $15,000/QALY – $200,000/QALY when including the additional rebate; and $15,000/QALY - more than $200,000/QALY when excluding the additional rebate.</w:t>
      </w:r>
    </w:p>
    <w:p w:rsidR="00BA00F8" w:rsidRPr="00C93348" w:rsidRDefault="00BA00F8" w:rsidP="001D2257">
      <w:pPr>
        <w:pStyle w:val="3-BodyText"/>
      </w:pPr>
      <w:r w:rsidRPr="00C93348">
        <w:t xml:space="preserve">The ICER was most sensitive to the use of the extrapolated TTD curve to model the cost of first-line osimertinib. </w:t>
      </w:r>
    </w:p>
    <w:p w:rsidR="00BA00F8" w:rsidRPr="00C93348" w:rsidRDefault="00BA00F8" w:rsidP="00BA00F8">
      <w:pPr>
        <w:pStyle w:val="3-BodyText"/>
      </w:pPr>
      <w:r w:rsidRPr="00C93348">
        <w:t>Multivariate sensitivity analyses were conducted during the evaluation by changing the proportion costed</w:t>
      </w:r>
      <w:r w:rsidR="00827D60" w:rsidRPr="00C93348">
        <w:t xml:space="preserve"> as</w:t>
      </w:r>
      <w:r w:rsidRPr="00C93348">
        <w:t xml:space="preserve"> receiving later-line osimertinib to be consistent with that observed in the FLAURA trial, as well as estimating first-line utilisation of osimertinib based on the extrapolated TTD curve and setting the OS extrapolation time point to median OS. The ICER is highly sensitive to these cumulative changes.</w:t>
      </w:r>
    </w:p>
    <w:p w:rsidR="003B1BA4" w:rsidRPr="00C93348" w:rsidRDefault="003B1BA4" w:rsidP="00F04529">
      <w:pPr>
        <w:pStyle w:val="3-BodyText"/>
      </w:pPr>
      <w:bookmarkStart w:id="57" w:name="_Toc22897646"/>
      <w:bookmarkStart w:id="58" w:name="_Toc40709212"/>
      <w:r w:rsidRPr="00C93348">
        <w:t>The ESC advised that an appropriate respecified base case would (i) remove the rebate ($</w:t>
      </w:r>
      <w:r w:rsidR="00B27C72">
        <w:rPr>
          <w:noProof/>
          <w:color w:val="000000"/>
          <w:highlight w:val="black"/>
        </w:rPr>
        <w:t>''''''''''''</w:t>
      </w:r>
      <w:r w:rsidRPr="00C93348">
        <w:t xml:space="preserve"> per pack) </w:t>
      </w:r>
      <w:r w:rsidR="00DE673E">
        <w:rPr>
          <w:noProof/>
          <w:color w:val="000000"/>
          <w:highlight w:val="black"/>
        </w:rPr>
        <w:t>''''' ''''''' '''''''''''''''''''' '''''''''''''''' '''''''''''''''''</w:t>
      </w:r>
      <w:r w:rsidRPr="00C93348">
        <w:t>; (</w:t>
      </w:r>
      <w:r w:rsidRPr="00B633BF">
        <w:t xml:space="preserve">ii) assume </w:t>
      </w:r>
      <w:r w:rsidR="00B27C72">
        <w:rPr>
          <w:noProof/>
          <w:color w:val="000000"/>
          <w:highlight w:val="black"/>
        </w:rPr>
        <w:t>''''''''</w:t>
      </w:r>
      <w:r w:rsidRPr="00B633BF">
        <w:t xml:space="preserve"> packs of osimertinib; (iii) apply cost-offsets of later line osimertinib in 51.5% of SC patients that discontinue treatment and (iv) extrapolate OS from median survival</w:t>
      </w:r>
      <w:r w:rsidR="008A1B9D">
        <w:t xml:space="preserve"> </w:t>
      </w:r>
      <w:r w:rsidR="00F04529" w:rsidRPr="00C93348">
        <w:t xml:space="preserve">giving an ICER of </w:t>
      </w:r>
      <w:r w:rsidR="00F04529">
        <w:t>more than $200,000</w:t>
      </w:r>
      <w:r w:rsidR="00F04529" w:rsidRPr="00C93348">
        <w:t xml:space="preserve">/QALY gained. The ESC noted the ICER with the same assumptions but applying a cost of </w:t>
      </w:r>
      <w:r w:rsidR="00B27C72">
        <w:rPr>
          <w:noProof/>
          <w:color w:val="000000"/>
          <w:highlight w:val="black"/>
        </w:rPr>
        <w:t>'''''''''</w:t>
      </w:r>
      <w:r w:rsidR="00F04529" w:rsidRPr="00C93348">
        <w:t xml:space="preserve"> packs of osimertinib (as proposed in the resubmission) was </w:t>
      </w:r>
      <w:r w:rsidR="00F04529">
        <w:t>$105,000/QALY gained - $200,000/</w:t>
      </w:r>
      <w:r w:rsidR="00F04529" w:rsidRPr="00C93348">
        <w:t xml:space="preserve">QALY gained. If the rebate was included, the values of these ICERs decreased to </w:t>
      </w:r>
      <w:r w:rsidR="00F04529">
        <w:t>$105,000/QALY gained - $200,000/</w:t>
      </w:r>
      <w:r w:rsidR="00F04529" w:rsidRPr="00C93348">
        <w:t xml:space="preserve">QALY gained and </w:t>
      </w:r>
      <w:r w:rsidR="00F04529">
        <w:t>$75,000/QALY gained - $105,000/</w:t>
      </w:r>
      <w:r w:rsidR="00F04529" w:rsidRPr="00C93348">
        <w:t>QALY gained</w:t>
      </w:r>
      <w:r w:rsidRPr="00C93348">
        <w:t>, respectively. The sponsor increased the proposed rebate from $</w:t>
      </w:r>
      <w:r w:rsidR="00B27C72">
        <w:rPr>
          <w:noProof/>
          <w:color w:val="000000"/>
          <w:highlight w:val="black"/>
        </w:rPr>
        <w:t>''''''''''''</w:t>
      </w:r>
      <w:r w:rsidRPr="00C93348">
        <w:t xml:space="preserve"> to $</w:t>
      </w:r>
      <w:r w:rsidR="00B27C72">
        <w:rPr>
          <w:noProof/>
          <w:color w:val="000000"/>
          <w:highlight w:val="black"/>
        </w:rPr>
        <w:t>''''''''''''''''</w:t>
      </w:r>
      <w:r w:rsidRPr="00C93348">
        <w:t xml:space="preserve"> in the pre-PBAC response which resulted in a reduction in the ICER (assuming </w:t>
      </w:r>
      <w:r w:rsidR="00B27C72">
        <w:rPr>
          <w:noProof/>
          <w:color w:val="000000"/>
          <w:highlight w:val="black"/>
        </w:rPr>
        <w:t>''''''''</w:t>
      </w:r>
      <w:r w:rsidRPr="00B633BF">
        <w:t xml:space="preserve"> packs</w:t>
      </w:r>
      <w:r w:rsidRPr="00C93348">
        <w:t xml:space="preserve"> of osimertinib) from </w:t>
      </w:r>
      <w:r w:rsidR="00F04529">
        <w:t>$75,000/QALY - $105,000/</w:t>
      </w:r>
      <w:r w:rsidR="00F04529" w:rsidRPr="00C93348">
        <w:t xml:space="preserve">QALY to </w:t>
      </w:r>
      <w:r w:rsidR="00F04529">
        <w:t>$45,000/QALY - $75,000/QALY</w:t>
      </w:r>
      <w:r w:rsidRPr="00F04529">
        <w:t>.</w:t>
      </w:r>
      <w:r w:rsidRPr="00C93348">
        <w:t xml:space="preserve"> </w:t>
      </w:r>
    </w:p>
    <w:p w:rsidR="00BA00F8" w:rsidRPr="00C93348" w:rsidRDefault="00BA00F8" w:rsidP="00BA00F8">
      <w:pPr>
        <w:pStyle w:val="4-SubsectionHeading"/>
      </w:pPr>
      <w:r w:rsidRPr="00C93348">
        <w:t>Drug cost/patient/course</w:t>
      </w:r>
      <w:bookmarkEnd w:id="57"/>
      <w:bookmarkEnd w:id="58"/>
    </w:p>
    <w:p w:rsidR="00BA00F8" w:rsidRPr="00C93348" w:rsidRDefault="00BA00F8" w:rsidP="00FA4395">
      <w:pPr>
        <w:pStyle w:val="3-BodyText"/>
      </w:pPr>
      <w:r w:rsidRPr="00C93348">
        <w:t>The per patient drug costs for osimertinib and early-generation TKIs are presented in the table below. The cost for osimertinib per patient in the resubmission’s economic evaluation was calculated to be $</w:t>
      </w:r>
      <w:r w:rsidR="00B27C72">
        <w:rPr>
          <w:noProof/>
          <w:color w:val="000000"/>
          <w:highlight w:val="black"/>
        </w:rPr>
        <w:t>''''''''''''''</w:t>
      </w:r>
      <w:r w:rsidRPr="00C93348">
        <w:t xml:space="preserve">. This is calculated by assuming </w:t>
      </w:r>
      <w:r w:rsidR="00B27C72">
        <w:rPr>
          <w:noProof/>
          <w:color w:val="000000"/>
          <w:highlight w:val="black"/>
        </w:rPr>
        <w:t>'''''''''</w:t>
      </w:r>
      <w:r w:rsidRPr="00C93348">
        <w:t xml:space="preserve"> osimertinib packs dispensed per patient (based on the TTD curve in the FLAURA trial but capped when average use is </w:t>
      </w:r>
      <w:r w:rsidR="00B27C72">
        <w:rPr>
          <w:noProof/>
          <w:color w:val="000000"/>
          <w:highlight w:val="black"/>
        </w:rPr>
        <w:t>'''''</w:t>
      </w:r>
      <w:r w:rsidRPr="00E0537F">
        <w:t xml:space="preserve"> </w:t>
      </w:r>
      <w:r w:rsidRPr="00C93348">
        <w:t xml:space="preserve">packs, to reflect the proposed RSA) and excluding the additional rebate </w:t>
      </w:r>
      <w:r w:rsidR="00DE673E">
        <w:rPr>
          <w:noProof/>
          <w:color w:val="000000"/>
          <w:highlight w:val="black"/>
        </w:rPr>
        <w:t>''''''''''''''' ''''' '''''''''''''' '''' ''''''' '''''''''''''''' ''''''''''''''''''''</w:t>
      </w:r>
      <w:r w:rsidRPr="00C93348">
        <w:t xml:space="preserve">. </w:t>
      </w:r>
      <w:r w:rsidRPr="00C93348">
        <w:rPr>
          <w:iCs/>
        </w:rPr>
        <w:t xml:space="preserve">Without the RSA (i.e. based on an uncapped TTD curve), the average number of packs used per patient would be </w:t>
      </w:r>
      <w:r w:rsidR="00B27C72">
        <w:rPr>
          <w:iCs/>
          <w:noProof/>
          <w:color w:val="000000"/>
          <w:highlight w:val="black"/>
        </w:rPr>
        <w:t>''''''''</w:t>
      </w:r>
      <w:r w:rsidRPr="00C93348">
        <w:rPr>
          <w:iCs/>
        </w:rPr>
        <w:t>, at a cost of $</w:t>
      </w:r>
      <w:r w:rsidR="00B27C72">
        <w:rPr>
          <w:iCs/>
          <w:noProof/>
          <w:color w:val="000000"/>
          <w:highlight w:val="black"/>
        </w:rPr>
        <w:t>''''''''''''''</w:t>
      </w:r>
      <w:r w:rsidRPr="00C93348">
        <w:rPr>
          <w:iCs/>
        </w:rPr>
        <w:t>.</w:t>
      </w:r>
      <w:r w:rsidR="00917B57" w:rsidRPr="00C93348">
        <w:rPr>
          <w:iCs/>
        </w:rPr>
        <w:t xml:space="preserve"> </w:t>
      </w:r>
      <w:r w:rsidRPr="00C93348">
        <w:t xml:space="preserve">The drug cost for erlotinib/gefitinib in the economic evaluation was estimated to be </w:t>
      </w:r>
      <w:r w:rsidRPr="00C93348">
        <w:rPr>
          <w:color w:val="000000"/>
        </w:rPr>
        <w:t>$19,246 (revised to assume only the cost of erlotinib),</w:t>
      </w:r>
      <w:r w:rsidRPr="00C93348">
        <w:t xml:space="preserve"> using the TTD curve in FLAURA which has been extrapolated using parametric functions over the modelled time horizon.</w:t>
      </w:r>
    </w:p>
    <w:p w:rsidR="00BA00F8" w:rsidRPr="00C93348" w:rsidRDefault="00BA00F8" w:rsidP="00BA00F8">
      <w:pPr>
        <w:pStyle w:val="TableFigureHeading"/>
      </w:pPr>
      <w:r w:rsidRPr="00C93348">
        <w:t xml:space="preserve">Table </w:t>
      </w:r>
      <w:r w:rsidR="00CC4472">
        <w:rPr>
          <w:noProof/>
        </w:rPr>
        <w:t>15</w:t>
      </w:r>
      <w:r w:rsidRPr="00C93348">
        <w:t xml:space="preserve">: </w:t>
      </w:r>
      <w:r w:rsidRPr="00C93348">
        <w:rPr>
          <w:rStyle w:val="CommentReference"/>
          <w:b/>
          <w:szCs w:val="24"/>
        </w:rPr>
        <w:t xml:space="preserve">Drug cost per patient for osimertinib and </w:t>
      </w:r>
      <w:r w:rsidR="00D72D9F" w:rsidRPr="00C93348">
        <w:rPr>
          <w:rStyle w:val="CommentReference"/>
          <w:b/>
          <w:szCs w:val="24"/>
        </w:rPr>
        <w:t>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7"/>
        <w:gridCol w:w="1179"/>
        <w:gridCol w:w="1181"/>
        <w:gridCol w:w="1181"/>
        <w:gridCol w:w="1306"/>
        <w:gridCol w:w="1306"/>
        <w:gridCol w:w="1307"/>
      </w:tblGrid>
      <w:tr w:rsidR="00BA00F8" w:rsidRPr="00C93348" w:rsidTr="00FA4395">
        <w:trPr>
          <w:cantSplit/>
          <w:tblHeader/>
          <w:jc w:val="center"/>
        </w:trPr>
        <w:tc>
          <w:tcPr>
            <w:tcW w:w="863" w:type="pct"/>
            <w:vMerge w:val="restart"/>
            <w:shd w:val="clear" w:color="auto" w:fill="auto"/>
            <w:vAlign w:val="center"/>
          </w:tcPr>
          <w:p w:rsidR="00BA00F8" w:rsidRPr="00C93348" w:rsidRDefault="00BA00F8" w:rsidP="004F4D09">
            <w:pPr>
              <w:pStyle w:val="In-tableHeading"/>
              <w:jc w:val="center"/>
              <w:rPr>
                <w:lang w:val="en-AU"/>
              </w:rPr>
            </w:pPr>
          </w:p>
        </w:tc>
        <w:tc>
          <w:tcPr>
            <w:tcW w:w="1964" w:type="pct"/>
            <w:gridSpan w:val="3"/>
            <w:shd w:val="clear" w:color="auto" w:fill="auto"/>
            <w:vAlign w:val="center"/>
          </w:tcPr>
          <w:p w:rsidR="00BA00F8" w:rsidRPr="00C93348" w:rsidRDefault="00BA00F8" w:rsidP="004F4D09">
            <w:pPr>
              <w:pStyle w:val="In-tableHeading"/>
              <w:jc w:val="center"/>
              <w:rPr>
                <w:lang w:val="en-AU"/>
              </w:rPr>
            </w:pPr>
            <w:r w:rsidRPr="00C93348">
              <w:rPr>
                <w:lang w:val="en-AU"/>
              </w:rPr>
              <w:t>Osimertinib</w:t>
            </w:r>
          </w:p>
        </w:tc>
        <w:tc>
          <w:tcPr>
            <w:tcW w:w="2173" w:type="pct"/>
            <w:gridSpan w:val="3"/>
            <w:shd w:val="clear" w:color="auto" w:fill="auto"/>
            <w:vAlign w:val="center"/>
          </w:tcPr>
          <w:p w:rsidR="00BA00F8" w:rsidRPr="00C93348" w:rsidRDefault="00D72D9F" w:rsidP="004F4D09">
            <w:pPr>
              <w:pStyle w:val="In-tableHeading"/>
              <w:jc w:val="center"/>
              <w:rPr>
                <w:lang w:val="en-AU"/>
              </w:rPr>
            </w:pPr>
            <w:r w:rsidRPr="00C93348">
              <w:rPr>
                <w:lang w:val="en-AU"/>
              </w:rPr>
              <w:t>SC</w:t>
            </w:r>
          </w:p>
        </w:tc>
      </w:tr>
      <w:tr w:rsidR="00BA00F8" w:rsidRPr="00C93348" w:rsidTr="00FA4395">
        <w:trPr>
          <w:cantSplit/>
          <w:tblHeader/>
          <w:jc w:val="center"/>
        </w:trPr>
        <w:tc>
          <w:tcPr>
            <w:tcW w:w="863" w:type="pct"/>
            <w:vMerge/>
            <w:shd w:val="clear" w:color="auto" w:fill="auto"/>
            <w:vAlign w:val="center"/>
          </w:tcPr>
          <w:p w:rsidR="00BA00F8" w:rsidRPr="00C93348" w:rsidRDefault="00BA00F8" w:rsidP="004F4D09">
            <w:pPr>
              <w:pStyle w:val="In-tableHeading"/>
              <w:jc w:val="center"/>
              <w:rPr>
                <w:lang w:val="en-AU"/>
              </w:rPr>
            </w:pPr>
          </w:p>
        </w:tc>
        <w:tc>
          <w:tcPr>
            <w:tcW w:w="654" w:type="pct"/>
            <w:shd w:val="clear" w:color="auto" w:fill="auto"/>
            <w:vAlign w:val="center"/>
          </w:tcPr>
          <w:p w:rsidR="00BA00F8" w:rsidRPr="00C93348" w:rsidRDefault="00BA00F8" w:rsidP="004F4D09">
            <w:pPr>
              <w:pStyle w:val="In-tableHeading"/>
              <w:jc w:val="center"/>
              <w:rPr>
                <w:lang w:val="en-AU"/>
              </w:rPr>
            </w:pPr>
            <w:r w:rsidRPr="00C93348">
              <w:rPr>
                <w:lang w:val="en-AU"/>
              </w:rPr>
              <w:t>Use in FLAURA</w:t>
            </w:r>
          </w:p>
        </w:tc>
        <w:tc>
          <w:tcPr>
            <w:tcW w:w="655" w:type="pct"/>
            <w:shd w:val="clear" w:color="auto" w:fill="auto"/>
            <w:vAlign w:val="center"/>
          </w:tcPr>
          <w:p w:rsidR="00BA00F8" w:rsidRPr="00C93348" w:rsidRDefault="00BA00F8" w:rsidP="004F4D09">
            <w:pPr>
              <w:pStyle w:val="In-tableHeading"/>
              <w:jc w:val="center"/>
              <w:rPr>
                <w:lang w:val="en-AU"/>
              </w:rPr>
            </w:pPr>
            <w:r w:rsidRPr="00C93348">
              <w:rPr>
                <w:lang w:val="en-AU"/>
              </w:rPr>
              <w:t>Model</w:t>
            </w:r>
          </w:p>
        </w:tc>
        <w:tc>
          <w:tcPr>
            <w:tcW w:w="655" w:type="pct"/>
            <w:shd w:val="clear" w:color="auto" w:fill="auto"/>
            <w:vAlign w:val="center"/>
          </w:tcPr>
          <w:p w:rsidR="00BA00F8" w:rsidRPr="00C93348" w:rsidRDefault="00BA00F8" w:rsidP="004F4D09">
            <w:pPr>
              <w:pStyle w:val="In-tableHeading"/>
              <w:jc w:val="center"/>
              <w:rPr>
                <w:lang w:val="en-AU"/>
              </w:rPr>
            </w:pPr>
            <w:r w:rsidRPr="00C93348">
              <w:rPr>
                <w:lang w:val="en-AU"/>
              </w:rPr>
              <w:t>Financial estimates</w:t>
            </w:r>
          </w:p>
        </w:tc>
        <w:tc>
          <w:tcPr>
            <w:tcW w:w="724" w:type="pct"/>
            <w:shd w:val="clear" w:color="auto" w:fill="auto"/>
            <w:vAlign w:val="center"/>
          </w:tcPr>
          <w:p w:rsidR="00BA00F8" w:rsidRPr="00C93348" w:rsidRDefault="00BA00F8" w:rsidP="004F4D09">
            <w:pPr>
              <w:pStyle w:val="In-tableHeading"/>
              <w:jc w:val="center"/>
              <w:rPr>
                <w:lang w:val="en-AU"/>
              </w:rPr>
            </w:pPr>
            <w:r w:rsidRPr="00C93348">
              <w:rPr>
                <w:lang w:val="en-AU"/>
              </w:rPr>
              <w:t>Use in FLAURA</w:t>
            </w:r>
          </w:p>
        </w:tc>
        <w:tc>
          <w:tcPr>
            <w:tcW w:w="724" w:type="pct"/>
            <w:shd w:val="clear" w:color="auto" w:fill="auto"/>
            <w:vAlign w:val="center"/>
          </w:tcPr>
          <w:p w:rsidR="00BA00F8" w:rsidRPr="00C93348" w:rsidRDefault="00BA00F8" w:rsidP="004F4D09">
            <w:pPr>
              <w:pStyle w:val="In-tableHeading"/>
              <w:jc w:val="center"/>
              <w:rPr>
                <w:lang w:val="en-AU"/>
              </w:rPr>
            </w:pPr>
            <w:r w:rsidRPr="00C93348">
              <w:rPr>
                <w:lang w:val="en-AU"/>
              </w:rPr>
              <w:t>Model</w:t>
            </w:r>
          </w:p>
        </w:tc>
        <w:tc>
          <w:tcPr>
            <w:tcW w:w="725" w:type="pct"/>
          </w:tcPr>
          <w:p w:rsidR="00BA00F8" w:rsidRPr="00C93348" w:rsidRDefault="00BA00F8" w:rsidP="004F4D09">
            <w:pPr>
              <w:pStyle w:val="In-tableHeading"/>
              <w:jc w:val="center"/>
              <w:rPr>
                <w:lang w:val="en-AU"/>
              </w:rPr>
            </w:pPr>
            <w:r w:rsidRPr="00C93348">
              <w:rPr>
                <w:lang w:val="en-AU"/>
              </w:rPr>
              <w:t>Financial estimates</w:t>
            </w:r>
          </w:p>
        </w:tc>
      </w:tr>
      <w:tr w:rsidR="00BA00F8" w:rsidRPr="00C93348" w:rsidTr="00FA4395">
        <w:trPr>
          <w:cantSplit/>
          <w:jc w:val="center"/>
        </w:trPr>
        <w:tc>
          <w:tcPr>
            <w:tcW w:w="863" w:type="pct"/>
            <w:shd w:val="clear" w:color="auto" w:fill="auto"/>
            <w:vAlign w:val="center"/>
          </w:tcPr>
          <w:p w:rsidR="00BA00F8" w:rsidRPr="00C93348" w:rsidRDefault="00BA00F8" w:rsidP="004F4D09">
            <w:pPr>
              <w:pStyle w:val="TableText0"/>
            </w:pPr>
            <w:r w:rsidRPr="00C93348">
              <w:t>Mean dose</w:t>
            </w:r>
          </w:p>
        </w:tc>
        <w:tc>
          <w:tcPr>
            <w:tcW w:w="654" w:type="pct"/>
            <w:shd w:val="clear" w:color="auto" w:fill="auto"/>
            <w:vAlign w:val="center"/>
          </w:tcPr>
          <w:p w:rsidR="00BA00F8" w:rsidRPr="00C93348" w:rsidRDefault="00BA00F8" w:rsidP="004F4D09">
            <w:pPr>
              <w:pStyle w:val="TableText0"/>
              <w:jc w:val="center"/>
            </w:pPr>
            <w:r w:rsidRPr="00C93348">
              <w:t>80 mg/day</w:t>
            </w:r>
          </w:p>
        </w:tc>
        <w:tc>
          <w:tcPr>
            <w:tcW w:w="655" w:type="pct"/>
            <w:shd w:val="clear" w:color="auto" w:fill="auto"/>
            <w:vAlign w:val="center"/>
          </w:tcPr>
          <w:p w:rsidR="00BA00F8" w:rsidRPr="00C93348" w:rsidRDefault="00BA00F8" w:rsidP="004F4D09">
            <w:pPr>
              <w:pStyle w:val="TableText0"/>
              <w:jc w:val="center"/>
            </w:pPr>
            <w:r w:rsidRPr="00C93348">
              <w:t>80 mg/day</w:t>
            </w:r>
          </w:p>
        </w:tc>
        <w:tc>
          <w:tcPr>
            <w:tcW w:w="655" w:type="pct"/>
            <w:shd w:val="clear" w:color="auto" w:fill="auto"/>
            <w:vAlign w:val="center"/>
          </w:tcPr>
          <w:p w:rsidR="00BA00F8" w:rsidRPr="00C93348" w:rsidRDefault="00BA00F8" w:rsidP="004F4D09">
            <w:pPr>
              <w:pStyle w:val="TableText0"/>
              <w:jc w:val="center"/>
            </w:pPr>
            <w:r w:rsidRPr="00C93348">
              <w:t>80 mg/day</w:t>
            </w:r>
          </w:p>
        </w:tc>
        <w:tc>
          <w:tcPr>
            <w:tcW w:w="724" w:type="pct"/>
            <w:shd w:val="clear" w:color="auto" w:fill="auto"/>
            <w:vAlign w:val="center"/>
          </w:tcPr>
          <w:p w:rsidR="00BA00F8" w:rsidRPr="00C93348" w:rsidRDefault="00BA00F8" w:rsidP="004F4D09">
            <w:pPr>
              <w:pStyle w:val="TableText0"/>
              <w:jc w:val="center"/>
            </w:pPr>
            <w:r w:rsidRPr="00C93348">
              <w:t>Erl: 150 mg/day</w:t>
            </w:r>
          </w:p>
          <w:p w:rsidR="00BA00F8" w:rsidRPr="00C93348" w:rsidRDefault="00BA00F8" w:rsidP="004F4D09">
            <w:pPr>
              <w:pStyle w:val="TableText0"/>
              <w:jc w:val="center"/>
            </w:pPr>
            <w:r w:rsidRPr="00C93348">
              <w:t>Gef: 250 mg/day</w:t>
            </w:r>
          </w:p>
        </w:tc>
        <w:tc>
          <w:tcPr>
            <w:tcW w:w="724" w:type="pct"/>
            <w:shd w:val="clear" w:color="auto" w:fill="auto"/>
            <w:vAlign w:val="center"/>
          </w:tcPr>
          <w:p w:rsidR="00BA00F8" w:rsidRPr="00C93348" w:rsidRDefault="00BA00F8" w:rsidP="004F4D09">
            <w:pPr>
              <w:pStyle w:val="TableText0"/>
              <w:jc w:val="center"/>
            </w:pPr>
            <w:r w:rsidRPr="00C93348">
              <w:t>Erl: 150 mg/day</w:t>
            </w:r>
          </w:p>
          <w:p w:rsidR="00BA00F8" w:rsidRPr="00C93348" w:rsidRDefault="00BA00F8" w:rsidP="004F4D09">
            <w:pPr>
              <w:pStyle w:val="TableText0"/>
              <w:jc w:val="center"/>
            </w:pPr>
            <w:r w:rsidRPr="00C93348">
              <w:t>Gef: 250 mg/day</w:t>
            </w:r>
          </w:p>
        </w:tc>
        <w:tc>
          <w:tcPr>
            <w:tcW w:w="725" w:type="pct"/>
          </w:tcPr>
          <w:p w:rsidR="00BA00F8" w:rsidRPr="00C93348" w:rsidRDefault="00BA00F8" w:rsidP="004F4D09">
            <w:pPr>
              <w:pStyle w:val="TableText0"/>
              <w:jc w:val="center"/>
            </w:pPr>
            <w:r w:rsidRPr="00C93348">
              <w:t>Erl: 150 mg/day</w:t>
            </w:r>
          </w:p>
          <w:p w:rsidR="00BA00F8" w:rsidRPr="00C93348" w:rsidRDefault="00BA00F8" w:rsidP="004F4D09">
            <w:pPr>
              <w:pStyle w:val="TableText0"/>
              <w:jc w:val="center"/>
            </w:pPr>
            <w:r w:rsidRPr="00C93348">
              <w:t>Gef: 250 mg/day</w:t>
            </w:r>
          </w:p>
          <w:p w:rsidR="00BA00F8" w:rsidRPr="00C93348" w:rsidRDefault="00BA00F8" w:rsidP="004F4D09">
            <w:pPr>
              <w:pStyle w:val="TableText0"/>
              <w:jc w:val="center"/>
            </w:pPr>
            <w:r w:rsidRPr="00C93348">
              <w:t>Afa: 40 mg/day</w:t>
            </w:r>
          </w:p>
        </w:tc>
      </w:tr>
      <w:tr w:rsidR="00BA00F8" w:rsidRPr="00C93348" w:rsidTr="00FA4395">
        <w:trPr>
          <w:cantSplit/>
          <w:jc w:val="center"/>
        </w:trPr>
        <w:tc>
          <w:tcPr>
            <w:tcW w:w="863" w:type="pct"/>
            <w:shd w:val="clear" w:color="auto" w:fill="auto"/>
            <w:vAlign w:val="center"/>
          </w:tcPr>
          <w:p w:rsidR="00BA00F8" w:rsidRPr="00C93348" w:rsidRDefault="00BA00F8" w:rsidP="004F4D09">
            <w:pPr>
              <w:pStyle w:val="TableText0"/>
            </w:pPr>
            <w:r w:rsidRPr="00C93348">
              <w:t>Mean duration</w:t>
            </w:r>
          </w:p>
        </w:tc>
        <w:tc>
          <w:tcPr>
            <w:tcW w:w="654" w:type="pct"/>
            <w:shd w:val="clear" w:color="auto" w:fill="auto"/>
            <w:vAlign w:val="center"/>
          </w:tcPr>
          <w:p w:rsidR="00BA00F8" w:rsidRPr="00C93348" w:rsidRDefault="00BA00F8" w:rsidP="004F4D09">
            <w:pPr>
              <w:pStyle w:val="TableText0"/>
              <w:jc w:val="center"/>
            </w:pPr>
            <w:r w:rsidRPr="00C93348">
              <w:t xml:space="preserve">23.02 months truncated </w:t>
            </w:r>
            <w:r w:rsidR="00182C76" w:rsidRPr="00C93348">
              <w:t>actual</w:t>
            </w:r>
            <w:r w:rsidR="00182C76" w:rsidRPr="00C93348">
              <w:rPr>
                <w:vertAlign w:val="superscript"/>
              </w:rPr>
              <w:t>a</w:t>
            </w:r>
            <w:r w:rsidR="00182C76" w:rsidRPr="00C93348">
              <w:t xml:space="preserve"> </w:t>
            </w:r>
            <w:r w:rsidRPr="00C93348">
              <w:t>mean</w:t>
            </w:r>
          </w:p>
          <w:p w:rsidR="00BA00F8" w:rsidRPr="00C93348" w:rsidRDefault="00BA00F8" w:rsidP="004F4D09">
            <w:pPr>
              <w:pStyle w:val="TableText0"/>
              <w:jc w:val="center"/>
            </w:pPr>
            <w:r w:rsidRPr="00C93348">
              <w:t>(23.36 packs)</w:t>
            </w:r>
          </w:p>
        </w:tc>
        <w:tc>
          <w:tcPr>
            <w:tcW w:w="655" w:type="pct"/>
            <w:shd w:val="clear" w:color="auto" w:fill="auto"/>
            <w:vAlign w:val="center"/>
          </w:tcPr>
          <w:p w:rsidR="00BA00F8" w:rsidRPr="00C93348" w:rsidRDefault="00AB2BC7" w:rsidP="004F4D09">
            <w:pPr>
              <w:pStyle w:val="TableText0"/>
              <w:jc w:val="center"/>
            </w:pPr>
            <w:r>
              <w:rPr>
                <w:noProof/>
                <w:color w:val="000000"/>
                <w:highlight w:val="black"/>
              </w:rPr>
              <w:t>''''''''''''''</w:t>
            </w:r>
            <w:r w:rsidR="00BA00F8" w:rsidRPr="00C93348">
              <w:t xml:space="preserve"> months, cost capped at </w:t>
            </w:r>
            <w:r w:rsidR="00333DCA" w:rsidRPr="00C93348">
              <w:t xml:space="preserve">an average of </w:t>
            </w:r>
            <w:r>
              <w:rPr>
                <w:noProof/>
                <w:color w:val="000000"/>
                <w:highlight w:val="black"/>
              </w:rPr>
              <w:t>'''''''''''</w:t>
            </w:r>
            <w:r w:rsidR="00BA00F8" w:rsidRPr="00C93348">
              <w:t xml:space="preserve"> packs </w:t>
            </w:r>
            <w:r w:rsidR="00BA00F8" w:rsidRPr="00C93348">
              <w:rPr>
                <w:vertAlign w:val="superscript"/>
              </w:rPr>
              <w:t>b</w:t>
            </w:r>
          </w:p>
        </w:tc>
        <w:tc>
          <w:tcPr>
            <w:tcW w:w="655" w:type="pct"/>
            <w:shd w:val="clear" w:color="auto" w:fill="auto"/>
            <w:vAlign w:val="center"/>
          </w:tcPr>
          <w:p w:rsidR="00BA00F8" w:rsidRPr="00C93348" w:rsidRDefault="00AB2BC7" w:rsidP="00182C76">
            <w:pPr>
              <w:pStyle w:val="TableText0"/>
              <w:jc w:val="center"/>
            </w:pPr>
            <w:r>
              <w:rPr>
                <w:noProof/>
                <w:color w:val="000000"/>
                <w:highlight w:val="black"/>
              </w:rPr>
              <w:t>''''''''''</w:t>
            </w:r>
            <w:r w:rsidR="00BA00F8" w:rsidRPr="00C93348">
              <w:t xml:space="preserve"> months truncated </w:t>
            </w:r>
            <w:r w:rsidR="00182C76" w:rsidRPr="00C93348">
              <w:t>actual</w:t>
            </w:r>
            <w:r w:rsidR="00182C76" w:rsidRPr="00C93348">
              <w:rPr>
                <w:vertAlign w:val="superscript"/>
              </w:rPr>
              <w:t>a</w:t>
            </w:r>
            <w:r w:rsidR="00182C76" w:rsidRPr="00C93348">
              <w:t xml:space="preserve"> </w:t>
            </w:r>
            <w:r w:rsidR="00BA00F8" w:rsidRPr="00C93348">
              <w:t>median (</w:t>
            </w:r>
            <w:r>
              <w:rPr>
                <w:noProof/>
                <w:color w:val="000000"/>
                <w:highlight w:val="black"/>
              </w:rPr>
              <w:t>'''''''''</w:t>
            </w:r>
            <w:r w:rsidR="00BA00F8" w:rsidRPr="00C93348">
              <w:t xml:space="preserve"> packs)</w:t>
            </w:r>
          </w:p>
        </w:tc>
        <w:tc>
          <w:tcPr>
            <w:tcW w:w="724" w:type="pct"/>
            <w:shd w:val="clear" w:color="auto" w:fill="auto"/>
            <w:vAlign w:val="center"/>
          </w:tcPr>
          <w:p w:rsidR="00BA00F8" w:rsidRPr="00C93348" w:rsidRDefault="00BA00F8" w:rsidP="00182C76">
            <w:pPr>
              <w:pStyle w:val="TableText0"/>
              <w:jc w:val="center"/>
            </w:pPr>
            <w:r w:rsidRPr="00C93348">
              <w:t xml:space="preserve">14.42 months truncated </w:t>
            </w:r>
            <w:r w:rsidR="00182C76" w:rsidRPr="00C93348">
              <w:t>actual</w:t>
            </w:r>
            <w:r w:rsidR="00182C76" w:rsidRPr="00C93348">
              <w:rPr>
                <w:vertAlign w:val="superscript"/>
              </w:rPr>
              <w:t>a</w:t>
            </w:r>
            <w:r w:rsidR="00182C76" w:rsidRPr="00C93348">
              <w:t xml:space="preserve"> </w:t>
            </w:r>
            <w:r w:rsidRPr="00C93348">
              <w:t xml:space="preserve">mean </w:t>
            </w:r>
            <w:r w:rsidRPr="00C93348">
              <w:rPr>
                <w:vertAlign w:val="superscript"/>
              </w:rPr>
              <w:t>c</w:t>
            </w:r>
          </w:p>
        </w:tc>
        <w:tc>
          <w:tcPr>
            <w:tcW w:w="724" w:type="pct"/>
            <w:shd w:val="clear" w:color="auto" w:fill="auto"/>
            <w:vAlign w:val="center"/>
          </w:tcPr>
          <w:p w:rsidR="00BA00F8" w:rsidRPr="00C93348" w:rsidRDefault="00BA00F8" w:rsidP="004F4D09">
            <w:pPr>
              <w:pStyle w:val="TableText0"/>
              <w:jc w:val="center"/>
            </w:pPr>
            <w:r w:rsidRPr="00C93348">
              <w:t>16.47 months (16.71 packs)</w:t>
            </w:r>
          </w:p>
        </w:tc>
        <w:tc>
          <w:tcPr>
            <w:tcW w:w="725" w:type="pct"/>
            <w:vAlign w:val="center"/>
          </w:tcPr>
          <w:p w:rsidR="00BA00F8" w:rsidRPr="00C93348" w:rsidRDefault="00BA00F8" w:rsidP="00182C76">
            <w:pPr>
              <w:pStyle w:val="TableText0"/>
              <w:jc w:val="center"/>
            </w:pPr>
            <w:r w:rsidRPr="00C93348">
              <w:t xml:space="preserve">14.42 months truncated </w:t>
            </w:r>
            <w:r w:rsidR="00182C76" w:rsidRPr="00C93348">
              <w:t>actual</w:t>
            </w:r>
            <w:r w:rsidR="00182C76" w:rsidRPr="00C93348">
              <w:rPr>
                <w:vertAlign w:val="superscript"/>
              </w:rPr>
              <w:t>a</w:t>
            </w:r>
            <w:r w:rsidR="00182C76" w:rsidRPr="00C93348" w:rsidDel="00D047F3">
              <w:t xml:space="preserve"> </w:t>
            </w:r>
            <w:r w:rsidRPr="00C93348">
              <w:t xml:space="preserve">mean </w:t>
            </w:r>
            <w:r w:rsidRPr="00C93348">
              <w:rPr>
                <w:vertAlign w:val="superscript"/>
              </w:rPr>
              <w:t>d</w:t>
            </w:r>
          </w:p>
        </w:tc>
      </w:tr>
      <w:tr w:rsidR="00BA00F8" w:rsidRPr="00C93348" w:rsidTr="00FA4395">
        <w:trPr>
          <w:cantSplit/>
          <w:jc w:val="center"/>
        </w:trPr>
        <w:tc>
          <w:tcPr>
            <w:tcW w:w="863" w:type="pct"/>
            <w:shd w:val="clear" w:color="auto" w:fill="auto"/>
            <w:vAlign w:val="center"/>
          </w:tcPr>
          <w:p w:rsidR="00BA00F8" w:rsidRPr="00C93348" w:rsidRDefault="00BA00F8" w:rsidP="004F4D09">
            <w:pPr>
              <w:pStyle w:val="TableText0"/>
            </w:pPr>
            <w:r w:rsidRPr="00C93348">
              <w:t>Cost/patient/pack</w:t>
            </w:r>
          </w:p>
        </w:tc>
        <w:tc>
          <w:tcPr>
            <w:tcW w:w="654"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 xml:space="preserve">''''''''''''''''''' </w:t>
            </w:r>
            <w:r w:rsidR="00855352" w:rsidRPr="00C93348">
              <w:rPr>
                <w:vertAlign w:val="superscript"/>
              </w:rPr>
              <w:t>e</w:t>
            </w:r>
          </w:p>
        </w:tc>
        <w:tc>
          <w:tcPr>
            <w:tcW w:w="655"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w:t>
            </w:r>
            <w:r w:rsidRPr="00C93348">
              <w:rPr>
                <w:vertAlign w:val="superscript"/>
              </w:rPr>
              <w:t xml:space="preserve"> e</w:t>
            </w:r>
          </w:p>
        </w:tc>
        <w:tc>
          <w:tcPr>
            <w:tcW w:w="655"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w:t>
            </w:r>
            <w:r w:rsidR="00855352" w:rsidRPr="00C93348">
              <w:rPr>
                <w:vertAlign w:val="superscript"/>
              </w:rPr>
              <w:t xml:space="preserve"> e</w:t>
            </w:r>
          </w:p>
        </w:tc>
        <w:tc>
          <w:tcPr>
            <w:tcW w:w="724" w:type="pct"/>
            <w:shd w:val="clear" w:color="auto" w:fill="auto"/>
            <w:vAlign w:val="center"/>
          </w:tcPr>
          <w:p w:rsidR="00BA00F8" w:rsidRPr="00C93348" w:rsidRDefault="00BA00F8" w:rsidP="00BD368F">
            <w:pPr>
              <w:pStyle w:val="TableText0"/>
              <w:jc w:val="center"/>
              <w:rPr>
                <w:i/>
              </w:rPr>
            </w:pPr>
            <w:r w:rsidRPr="00C93348">
              <w:t>$</w:t>
            </w:r>
            <w:r w:rsidRPr="00E0537F">
              <w:t>1,151.77</w:t>
            </w:r>
            <w:r w:rsidRPr="00C93348">
              <w:t xml:space="preserve"> </w:t>
            </w:r>
            <w:r w:rsidR="00BD368F" w:rsidRPr="00C93348">
              <w:rPr>
                <w:vertAlign w:val="superscript"/>
              </w:rPr>
              <w:t>f</w:t>
            </w:r>
          </w:p>
        </w:tc>
        <w:tc>
          <w:tcPr>
            <w:tcW w:w="724" w:type="pct"/>
            <w:shd w:val="clear" w:color="auto" w:fill="auto"/>
            <w:vAlign w:val="center"/>
          </w:tcPr>
          <w:p w:rsidR="00BA00F8" w:rsidRPr="00C93348" w:rsidRDefault="00BA00F8" w:rsidP="00BD368F">
            <w:pPr>
              <w:pStyle w:val="TableText0"/>
              <w:jc w:val="center"/>
            </w:pPr>
            <w:r w:rsidRPr="00C93348">
              <w:t>$</w:t>
            </w:r>
            <w:r w:rsidRPr="00E0537F">
              <w:t>1,151.77</w:t>
            </w:r>
            <w:r w:rsidRPr="00C93348">
              <w:t xml:space="preserve"> </w:t>
            </w:r>
            <w:r w:rsidR="00BD368F" w:rsidRPr="00C93348">
              <w:rPr>
                <w:vertAlign w:val="superscript"/>
              </w:rPr>
              <w:t>f</w:t>
            </w:r>
          </w:p>
        </w:tc>
        <w:tc>
          <w:tcPr>
            <w:tcW w:w="725" w:type="pct"/>
          </w:tcPr>
          <w:p w:rsidR="00BA00F8" w:rsidRPr="00C93348" w:rsidRDefault="00BA00F8" w:rsidP="00BD368F">
            <w:pPr>
              <w:pStyle w:val="TableText0"/>
              <w:jc w:val="center"/>
              <w:rPr>
                <w:i/>
              </w:rPr>
            </w:pPr>
            <w:r w:rsidRPr="00C93348">
              <w:t>$</w:t>
            </w:r>
            <w:r w:rsidRPr="00E0537F">
              <w:t>1,169.30</w:t>
            </w:r>
            <w:r w:rsidRPr="00C93348">
              <w:t xml:space="preserve"> </w:t>
            </w:r>
            <w:r w:rsidR="00BD368F" w:rsidRPr="00C93348">
              <w:rPr>
                <w:vertAlign w:val="superscript"/>
              </w:rPr>
              <w:t>g</w:t>
            </w:r>
            <w:r w:rsidRPr="00C93348">
              <w:rPr>
                <w:vertAlign w:val="superscript"/>
              </w:rPr>
              <w:t xml:space="preserve">, </w:t>
            </w:r>
            <w:r w:rsidR="00BD368F" w:rsidRPr="00C93348">
              <w:rPr>
                <w:vertAlign w:val="superscript"/>
              </w:rPr>
              <w:t>h</w:t>
            </w:r>
          </w:p>
        </w:tc>
      </w:tr>
      <w:tr w:rsidR="00BA00F8" w:rsidRPr="00C93348" w:rsidTr="00FA4395">
        <w:trPr>
          <w:cantSplit/>
          <w:jc w:val="center"/>
        </w:trPr>
        <w:tc>
          <w:tcPr>
            <w:tcW w:w="863" w:type="pct"/>
            <w:shd w:val="clear" w:color="auto" w:fill="auto"/>
            <w:vAlign w:val="center"/>
          </w:tcPr>
          <w:p w:rsidR="00BA00F8" w:rsidRPr="00C93348" w:rsidRDefault="00BA00F8" w:rsidP="004F4D09">
            <w:pPr>
              <w:pStyle w:val="TableText0"/>
            </w:pPr>
            <w:r w:rsidRPr="00C93348">
              <w:t>Cost/patient/course</w:t>
            </w:r>
          </w:p>
        </w:tc>
        <w:tc>
          <w:tcPr>
            <w:tcW w:w="654"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w:t>
            </w:r>
          </w:p>
        </w:tc>
        <w:tc>
          <w:tcPr>
            <w:tcW w:w="655"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w:t>
            </w:r>
          </w:p>
        </w:tc>
        <w:tc>
          <w:tcPr>
            <w:tcW w:w="655" w:type="pct"/>
            <w:shd w:val="clear" w:color="auto" w:fill="auto"/>
            <w:vAlign w:val="center"/>
          </w:tcPr>
          <w:p w:rsidR="00BA00F8" w:rsidRPr="00C93348" w:rsidRDefault="00BA00F8" w:rsidP="004F4D09">
            <w:pPr>
              <w:pStyle w:val="TableText0"/>
              <w:jc w:val="center"/>
            </w:pPr>
            <w:r w:rsidRPr="00C93348">
              <w:t>$</w:t>
            </w:r>
            <w:r w:rsidR="00B27C72">
              <w:rPr>
                <w:noProof/>
                <w:color w:val="000000"/>
                <w:highlight w:val="black"/>
              </w:rPr>
              <w:t>'''''''''''''''''</w:t>
            </w:r>
          </w:p>
        </w:tc>
        <w:tc>
          <w:tcPr>
            <w:tcW w:w="724" w:type="pct"/>
            <w:shd w:val="clear" w:color="auto" w:fill="auto"/>
            <w:vAlign w:val="center"/>
          </w:tcPr>
          <w:p w:rsidR="00BA00F8" w:rsidRPr="00C93348" w:rsidRDefault="00BA00F8" w:rsidP="004F4D09">
            <w:pPr>
              <w:pStyle w:val="TableText0"/>
              <w:jc w:val="center"/>
              <w:rPr>
                <w:i/>
              </w:rPr>
            </w:pPr>
            <w:r w:rsidRPr="00C93348">
              <w:t>$</w:t>
            </w:r>
            <w:r w:rsidRPr="00E0537F">
              <w:t>16,851</w:t>
            </w:r>
          </w:p>
        </w:tc>
        <w:tc>
          <w:tcPr>
            <w:tcW w:w="724" w:type="pct"/>
            <w:shd w:val="clear" w:color="auto" w:fill="auto"/>
            <w:vAlign w:val="center"/>
          </w:tcPr>
          <w:p w:rsidR="00BA00F8" w:rsidRPr="00C93348" w:rsidRDefault="00BA00F8" w:rsidP="004F4D09">
            <w:pPr>
              <w:pStyle w:val="TableText0"/>
              <w:jc w:val="center"/>
              <w:rPr>
                <w:i/>
              </w:rPr>
            </w:pPr>
            <w:r w:rsidRPr="00C93348">
              <w:t>$</w:t>
            </w:r>
            <w:r w:rsidRPr="00E0537F">
              <w:t>19,246</w:t>
            </w:r>
          </w:p>
        </w:tc>
        <w:tc>
          <w:tcPr>
            <w:tcW w:w="725" w:type="pct"/>
          </w:tcPr>
          <w:p w:rsidR="00BA00F8" w:rsidRPr="00C93348" w:rsidRDefault="00BA00F8" w:rsidP="004F4D09">
            <w:pPr>
              <w:pStyle w:val="TableText0"/>
              <w:jc w:val="center"/>
              <w:rPr>
                <w:i/>
              </w:rPr>
            </w:pPr>
            <w:r w:rsidRPr="00C93348">
              <w:t>$</w:t>
            </w:r>
            <w:r w:rsidRPr="00E0537F">
              <w:t>16,975</w:t>
            </w:r>
          </w:p>
        </w:tc>
      </w:tr>
    </w:tbl>
    <w:p w:rsidR="00BA00F8" w:rsidRPr="00C93348" w:rsidRDefault="00BA00F8" w:rsidP="00BA00F8">
      <w:pPr>
        <w:pStyle w:val="TableFigureFooter"/>
      </w:pPr>
      <w:r w:rsidRPr="00C93348">
        <w:t>Source: Constructed during the evaluation from the ‘Tagrisso (osimertinib) Economic Evaluation_July 2020 PBAC meeting.xlsm’ workbook and Section 4 of the resubmission.</w:t>
      </w:r>
    </w:p>
    <w:p w:rsidR="00BA00F8" w:rsidRPr="00C93348" w:rsidRDefault="00BA00F8" w:rsidP="00BA00F8">
      <w:pPr>
        <w:pStyle w:val="TableFigureFooter"/>
      </w:pPr>
      <w:r w:rsidRPr="00C93348">
        <w:t xml:space="preserve">Afa = afatinib; Erl = erlotinib; Gef = gefitinib; </w:t>
      </w:r>
      <w:r w:rsidR="00D72D9F" w:rsidRPr="00C93348">
        <w:t>SC</w:t>
      </w:r>
      <w:r w:rsidRPr="00C93348">
        <w:t xml:space="preserve"> = standard of care</w:t>
      </w:r>
    </w:p>
    <w:p w:rsidR="00BA00F8" w:rsidRPr="00C93348" w:rsidRDefault="00BA00F8" w:rsidP="00BA00F8">
      <w:pPr>
        <w:pStyle w:val="TableFigureFooter"/>
      </w:pPr>
      <w:r w:rsidRPr="00C93348">
        <w:rPr>
          <w:vertAlign w:val="superscript"/>
        </w:rPr>
        <w:t xml:space="preserve">a </w:t>
      </w:r>
      <w:r w:rsidR="00182C76" w:rsidRPr="00C93348">
        <w:t xml:space="preserve">Actual </w:t>
      </w:r>
      <w:r w:rsidRPr="00C93348">
        <w:t>treatment duration accounts for dose interruptions.</w:t>
      </w:r>
      <w:r w:rsidR="00182C76" w:rsidRPr="00C93348">
        <w:t xml:space="preserve"> Durations are truncated as at the time of the latest data cut, some patients continued to receive randomised treatment (21.9% of patients randomised to osimertinib, and 4.7% of those randomised to </w:t>
      </w:r>
      <w:r w:rsidR="00D72D9F" w:rsidRPr="00C93348">
        <w:t>SC</w:t>
      </w:r>
      <w:r w:rsidR="00182C76" w:rsidRPr="00C93348">
        <w:t>).</w:t>
      </w:r>
    </w:p>
    <w:p w:rsidR="00BA00F8" w:rsidRPr="00C93348" w:rsidRDefault="00BA00F8" w:rsidP="00BA00F8">
      <w:pPr>
        <w:pStyle w:val="TableFigureFooter"/>
      </w:pPr>
      <w:r w:rsidRPr="00C93348">
        <w:rPr>
          <w:vertAlign w:val="superscript"/>
        </w:rPr>
        <w:t>b</w:t>
      </w:r>
      <w:r w:rsidRPr="00C93348">
        <w:t xml:space="preserve"> In the base case analysis, the number of osimertinib scripts was set up to (and including) an average of </w:t>
      </w:r>
      <w:r w:rsidR="00B27C72">
        <w:rPr>
          <w:noProof/>
          <w:color w:val="000000"/>
          <w:highlight w:val="black"/>
        </w:rPr>
        <w:t>''''''</w:t>
      </w:r>
      <w:r w:rsidRPr="00C93348">
        <w:t xml:space="preserve"> packs, as accumulated by the time to treatment discontinuation curve. The average modelled was </w:t>
      </w:r>
      <w:r w:rsidR="00B27C72">
        <w:rPr>
          <w:noProof/>
          <w:color w:val="000000"/>
          <w:highlight w:val="black"/>
        </w:rPr>
        <w:t>''''''''''</w:t>
      </w:r>
      <w:r w:rsidRPr="00C93348">
        <w:t xml:space="preserve"> packs.</w:t>
      </w:r>
    </w:p>
    <w:p w:rsidR="00BA00F8" w:rsidRPr="00C93348" w:rsidRDefault="00BA00F8" w:rsidP="00BA00F8">
      <w:pPr>
        <w:pStyle w:val="TableFigureFooter"/>
      </w:pPr>
      <w:r w:rsidRPr="00C93348">
        <w:rPr>
          <w:vertAlign w:val="superscript"/>
        </w:rPr>
        <w:t>c</w:t>
      </w:r>
      <w:r w:rsidRPr="00C93348">
        <w:t xml:space="preserve"> Estimated to be 14.63 packs of erlotinib or gefitinib</w:t>
      </w:r>
    </w:p>
    <w:p w:rsidR="00BA00F8" w:rsidRPr="00C93348" w:rsidRDefault="00BA00F8" w:rsidP="00BA00F8">
      <w:pPr>
        <w:pStyle w:val="TableFigureFooter"/>
      </w:pPr>
      <w:r w:rsidRPr="00C93348">
        <w:rPr>
          <w:vertAlign w:val="superscript"/>
        </w:rPr>
        <w:t>d</w:t>
      </w:r>
      <w:r w:rsidRPr="00C93348">
        <w:t>. Estimated to be 14.63 packs of erlotinib or gefitinib, 15.68 packs of afatinib</w:t>
      </w:r>
    </w:p>
    <w:p w:rsidR="00BA00F8" w:rsidRPr="00C93348" w:rsidRDefault="00BA00F8" w:rsidP="00BA00F8">
      <w:pPr>
        <w:pStyle w:val="TableFigureFooter"/>
      </w:pPr>
      <w:r w:rsidRPr="00C93348">
        <w:rPr>
          <w:vertAlign w:val="superscript"/>
        </w:rPr>
        <w:t>e</w:t>
      </w:r>
      <w:r w:rsidRPr="00C93348">
        <w:t xml:space="preserve"> Cost excludes additional rebate </w:t>
      </w:r>
      <w:r w:rsidR="00DE673E">
        <w:rPr>
          <w:noProof/>
          <w:color w:val="000000"/>
          <w:highlight w:val="black"/>
        </w:rPr>
        <w:t>'''''''''''''''''''' '''''' ''''''''''''''''' ''''' ''''''' ''''''''''''''''''''''' '''''''''''''''''''''''''</w:t>
      </w:r>
    </w:p>
    <w:p w:rsidR="00BA00F8" w:rsidRPr="00C93348" w:rsidRDefault="00BD368F" w:rsidP="00BA00F8">
      <w:pPr>
        <w:pStyle w:val="TableFigureFooter"/>
      </w:pPr>
      <w:r w:rsidRPr="00C93348">
        <w:rPr>
          <w:vertAlign w:val="superscript"/>
        </w:rPr>
        <w:t>f</w:t>
      </w:r>
      <w:r w:rsidR="00BA00F8" w:rsidRPr="00C93348">
        <w:t xml:space="preserve"> Revised to assume only the cost of erlotinib</w:t>
      </w:r>
    </w:p>
    <w:p w:rsidR="00BA00F8" w:rsidRPr="00C93348" w:rsidRDefault="00BD368F" w:rsidP="00372C33">
      <w:pPr>
        <w:pStyle w:val="TableFigureFooter"/>
        <w:keepLines/>
      </w:pPr>
      <w:r w:rsidRPr="00C93348">
        <w:rPr>
          <w:vertAlign w:val="superscript"/>
        </w:rPr>
        <w:t>h</w:t>
      </w:r>
      <w:r w:rsidR="00BA00F8" w:rsidRPr="00C93348">
        <w:rPr>
          <w:vertAlign w:val="superscript"/>
        </w:rPr>
        <w:t xml:space="preserve"> </w:t>
      </w:r>
      <w:r w:rsidR="00BA00F8" w:rsidRPr="00C93348">
        <w:t>Weighted erlotinib:gefitinib:afatinib, 58.9%:28.4%:11.8%, and assuming an effective price for afatinib of $1,080.16</w:t>
      </w:r>
    </w:p>
    <w:p w:rsidR="00BA00F8" w:rsidRPr="00C93348" w:rsidRDefault="00BA00F8" w:rsidP="00372C33">
      <w:pPr>
        <w:pStyle w:val="TableFigureFooter"/>
        <w:keepLines/>
        <w:rPr>
          <w:vertAlign w:val="superscript"/>
        </w:rPr>
      </w:pPr>
      <w:r w:rsidRPr="00C93348">
        <w:rPr>
          <w:vertAlign w:val="superscript"/>
        </w:rPr>
        <w:t>i</w:t>
      </w:r>
      <w:r w:rsidRPr="00C93348">
        <w:t xml:space="preserve"> Revised to update the DPMQ of gefitinib</w:t>
      </w:r>
    </w:p>
    <w:p w:rsidR="00BA00F8" w:rsidRPr="00C93348" w:rsidRDefault="00BA00F8" w:rsidP="00BA00F8">
      <w:pPr>
        <w:pStyle w:val="4-SubsectionHeading"/>
      </w:pPr>
      <w:bookmarkStart w:id="59" w:name="_Toc40709213"/>
      <w:r w:rsidRPr="00C93348">
        <w:t>Estimated PBS usage &amp; financial implications</w:t>
      </w:r>
      <w:bookmarkEnd w:id="50"/>
      <w:bookmarkEnd w:id="59"/>
    </w:p>
    <w:p w:rsidR="00BA00F8" w:rsidRPr="00C93348" w:rsidRDefault="00BA00F8" w:rsidP="00BA00F8">
      <w:pPr>
        <w:pStyle w:val="3-BodyText"/>
        <w:rPr>
          <w:color w:val="0066FF"/>
        </w:rPr>
      </w:pPr>
      <w:bookmarkStart w:id="60" w:name="_Toc22897650"/>
      <w:r w:rsidRPr="00C93348">
        <w:t xml:space="preserve">This resubmission </w:t>
      </w:r>
      <w:r w:rsidR="005B6B6C" w:rsidRPr="00C93348">
        <w:t xml:space="preserve">was </w:t>
      </w:r>
      <w:r w:rsidRPr="00C93348">
        <w:t>not considered by DUSC</w:t>
      </w:r>
      <w:r w:rsidRPr="00C93348">
        <w:rPr>
          <w:color w:val="0070C0"/>
        </w:rPr>
        <w:t xml:space="preserve">. </w:t>
      </w:r>
    </w:p>
    <w:p w:rsidR="00BA00F8" w:rsidRPr="00C93348" w:rsidRDefault="00BA00F8" w:rsidP="00BA00F8">
      <w:pPr>
        <w:pStyle w:val="3-BodyText"/>
      </w:pPr>
      <w:r w:rsidRPr="00C93348">
        <w:t>The resubmission has used a</w:t>
      </w:r>
      <w:r w:rsidR="00B052EC" w:rsidRPr="00C93348">
        <w:t xml:space="preserve"> market share</w:t>
      </w:r>
      <w:r w:rsidRPr="00C93348">
        <w:t xml:space="preserve"> approach to estimate the financial impact of listing osimertinib in the first-line EGFRm NSCLC setting. </w:t>
      </w:r>
      <w:r w:rsidR="00F825BF" w:rsidRPr="00C93348">
        <w:t>A</w:t>
      </w:r>
      <w:r w:rsidRPr="00C93348">
        <w:t xml:space="preserve">n epidemiological approach was taken in the previous submission </w:t>
      </w:r>
      <w:r w:rsidR="00F825BF" w:rsidRPr="00C93348">
        <w:t>and</w:t>
      </w:r>
      <w:r w:rsidRPr="00C93348">
        <w:t xml:space="preserve"> the PBAC considered that patient numbers were overestimated (paragraph 7.14, </w:t>
      </w:r>
      <w:r w:rsidR="007C7EBA" w:rsidRPr="00C93348">
        <w:t>O</w:t>
      </w:r>
      <w:r w:rsidRPr="00C93348">
        <w:t>simertinib PSD, July 2019 PBAC Meeting). The key data sources and parameter values used in the financial estimates are summarised below.</w:t>
      </w:r>
    </w:p>
    <w:p w:rsidR="00BA00F8" w:rsidRPr="00C93348" w:rsidRDefault="00BA00F8" w:rsidP="00BA00F8">
      <w:pPr>
        <w:pStyle w:val="TableFigureHeading"/>
      </w:pPr>
      <w:r w:rsidRPr="00C93348">
        <w:t xml:space="preserve">Table </w:t>
      </w:r>
      <w:r w:rsidR="00CC4472">
        <w:rPr>
          <w:noProof/>
        </w:rPr>
        <w:t>16</w:t>
      </w:r>
      <w:r w:rsidRPr="00C93348">
        <w:t xml:space="preserve">: </w:t>
      </w:r>
      <w:r w:rsidRPr="00C93348">
        <w:rPr>
          <w:rStyle w:val="CommentReference"/>
          <w:b/>
          <w:szCs w:val="24"/>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0"/>
        <w:gridCol w:w="2519"/>
        <w:gridCol w:w="2882"/>
      </w:tblGrid>
      <w:tr w:rsidR="00BA00F8" w:rsidRPr="00C93348" w:rsidTr="00FA4395">
        <w:trPr>
          <w:tblHeader/>
        </w:trPr>
        <w:tc>
          <w:tcPr>
            <w:tcW w:w="996" w:type="pct"/>
            <w:vAlign w:val="center"/>
          </w:tcPr>
          <w:p w:rsidR="00BA00F8" w:rsidRPr="00FA4395" w:rsidRDefault="00BA00F8" w:rsidP="004F4D09">
            <w:pPr>
              <w:pStyle w:val="In-tableHeading"/>
              <w:jc w:val="center"/>
              <w:rPr>
                <w:szCs w:val="20"/>
                <w:lang w:val="en-AU"/>
              </w:rPr>
            </w:pPr>
            <w:r w:rsidRPr="00FA4395">
              <w:rPr>
                <w:szCs w:val="20"/>
                <w:lang w:val="en-AU"/>
              </w:rPr>
              <w:t>Data</w:t>
            </w:r>
          </w:p>
        </w:tc>
        <w:tc>
          <w:tcPr>
            <w:tcW w:w="1009" w:type="pct"/>
            <w:vAlign w:val="center"/>
          </w:tcPr>
          <w:p w:rsidR="00BA00F8" w:rsidRPr="00FA4395" w:rsidRDefault="00BA00F8" w:rsidP="004F4D09">
            <w:pPr>
              <w:pStyle w:val="In-tableHeading"/>
              <w:jc w:val="center"/>
              <w:rPr>
                <w:szCs w:val="20"/>
                <w:lang w:val="en-AU"/>
              </w:rPr>
            </w:pPr>
            <w:r w:rsidRPr="00FA4395">
              <w:rPr>
                <w:szCs w:val="20"/>
                <w:lang w:val="en-AU"/>
              </w:rPr>
              <w:t>Value</w:t>
            </w:r>
          </w:p>
        </w:tc>
        <w:tc>
          <w:tcPr>
            <w:tcW w:w="1397" w:type="pct"/>
            <w:vAlign w:val="center"/>
          </w:tcPr>
          <w:p w:rsidR="00BA00F8" w:rsidRPr="00FA4395" w:rsidRDefault="00BA00F8" w:rsidP="004F4D09">
            <w:pPr>
              <w:pStyle w:val="In-tableHeading"/>
              <w:jc w:val="center"/>
              <w:rPr>
                <w:szCs w:val="20"/>
                <w:lang w:val="en-AU"/>
              </w:rPr>
            </w:pPr>
            <w:r w:rsidRPr="00FA4395">
              <w:rPr>
                <w:szCs w:val="20"/>
                <w:lang w:val="en-AU"/>
              </w:rPr>
              <w:t>Source</w:t>
            </w:r>
          </w:p>
        </w:tc>
        <w:tc>
          <w:tcPr>
            <w:tcW w:w="1599" w:type="pct"/>
            <w:vAlign w:val="center"/>
          </w:tcPr>
          <w:p w:rsidR="00BA00F8" w:rsidRPr="00FA4395" w:rsidRDefault="00BA00F8" w:rsidP="004F4D09">
            <w:pPr>
              <w:pStyle w:val="In-tableHeading"/>
              <w:jc w:val="center"/>
              <w:rPr>
                <w:szCs w:val="20"/>
                <w:lang w:val="en-AU"/>
              </w:rPr>
            </w:pPr>
            <w:r w:rsidRPr="00FA4395">
              <w:rPr>
                <w:szCs w:val="20"/>
                <w:lang w:val="en-AU"/>
              </w:rPr>
              <w:t>Comment</w:t>
            </w:r>
          </w:p>
        </w:tc>
      </w:tr>
      <w:tr w:rsidR="00BA00F8" w:rsidRPr="00C93348" w:rsidTr="00FA4395">
        <w:tc>
          <w:tcPr>
            <w:tcW w:w="5000" w:type="pct"/>
            <w:gridSpan w:val="4"/>
            <w:vAlign w:val="center"/>
          </w:tcPr>
          <w:p w:rsidR="00BA00F8" w:rsidRPr="00FA4395" w:rsidRDefault="00BA00F8" w:rsidP="004F4D09">
            <w:pPr>
              <w:pStyle w:val="In-tableHeading"/>
              <w:rPr>
                <w:szCs w:val="20"/>
                <w:lang w:val="en-AU"/>
              </w:rPr>
            </w:pPr>
            <w:r w:rsidRPr="00FA4395">
              <w:rPr>
                <w:szCs w:val="20"/>
                <w:lang w:val="en-AU"/>
              </w:rPr>
              <w:t>Eligible population</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No. patients who receive an EGFR-TKI for the first time, 2014−2018</w:t>
            </w:r>
          </w:p>
        </w:tc>
        <w:tc>
          <w:tcPr>
            <w:tcW w:w="1009" w:type="pct"/>
            <w:vAlign w:val="center"/>
          </w:tcPr>
          <w:p w:rsidR="00BA00F8" w:rsidRPr="00FA4395" w:rsidRDefault="00BA00F8" w:rsidP="004F4D09">
            <w:pPr>
              <w:pStyle w:val="TableText0"/>
              <w:keepNext w:val="0"/>
              <w:rPr>
                <w:szCs w:val="20"/>
              </w:rPr>
            </w:pPr>
            <w:r w:rsidRPr="00FA4395">
              <w:rPr>
                <w:szCs w:val="20"/>
              </w:rPr>
              <w:t xml:space="preserve">2014: </w:t>
            </w:r>
            <w:r w:rsidR="000F533E">
              <w:rPr>
                <w:szCs w:val="20"/>
              </w:rPr>
              <w:t>less than 10,000</w:t>
            </w:r>
          </w:p>
          <w:p w:rsidR="00BA00F8" w:rsidRPr="00FA4395" w:rsidRDefault="00BA00F8" w:rsidP="004F4D09">
            <w:pPr>
              <w:pStyle w:val="TableText0"/>
              <w:keepNext w:val="0"/>
              <w:rPr>
                <w:szCs w:val="20"/>
              </w:rPr>
            </w:pPr>
            <w:r w:rsidRPr="00FA4395">
              <w:rPr>
                <w:szCs w:val="20"/>
              </w:rPr>
              <w:t xml:space="preserve">2015: </w:t>
            </w:r>
            <w:r w:rsidR="000F533E">
              <w:rPr>
                <w:szCs w:val="20"/>
              </w:rPr>
              <w:t>less than 10,000</w:t>
            </w:r>
          </w:p>
          <w:p w:rsidR="00BA00F8" w:rsidRPr="00FA4395" w:rsidRDefault="00BA00F8" w:rsidP="004F4D09">
            <w:pPr>
              <w:pStyle w:val="TableText0"/>
              <w:keepNext w:val="0"/>
              <w:rPr>
                <w:szCs w:val="20"/>
              </w:rPr>
            </w:pPr>
            <w:r w:rsidRPr="00FA4395">
              <w:rPr>
                <w:szCs w:val="20"/>
              </w:rPr>
              <w:t xml:space="preserve">2016: </w:t>
            </w:r>
            <w:r w:rsidR="000F533E">
              <w:rPr>
                <w:szCs w:val="20"/>
              </w:rPr>
              <w:t>less than 10,000</w:t>
            </w:r>
          </w:p>
          <w:p w:rsidR="00BA00F8" w:rsidRPr="00FA4395" w:rsidRDefault="00BA00F8" w:rsidP="004F4D09">
            <w:pPr>
              <w:pStyle w:val="TableText0"/>
              <w:keepNext w:val="0"/>
              <w:rPr>
                <w:szCs w:val="20"/>
              </w:rPr>
            </w:pPr>
            <w:r w:rsidRPr="00FA4395">
              <w:rPr>
                <w:szCs w:val="20"/>
              </w:rPr>
              <w:t xml:space="preserve">2017: </w:t>
            </w:r>
            <w:r w:rsidR="000F533E">
              <w:rPr>
                <w:szCs w:val="20"/>
              </w:rPr>
              <w:t>less than 10,000</w:t>
            </w:r>
          </w:p>
          <w:p w:rsidR="00BA00F8" w:rsidRPr="00FA4395" w:rsidRDefault="00BA00F8" w:rsidP="004F4D09">
            <w:pPr>
              <w:pStyle w:val="TableText0"/>
              <w:keepNext w:val="0"/>
              <w:rPr>
                <w:szCs w:val="20"/>
              </w:rPr>
            </w:pPr>
            <w:r w:rsidRPr="00FA4395">
              <w:rPr>
                <w:szCs w:val="20"/>
              </w:rPr>
              <w:t xml:space="preserve">2018: </w:t>
            </w:r>
            <w:r w:rsidR="000F533E">
              <w:rPr>
                <w:szCs w:val="20"/>
              </w:rPr>
              <w:t>less than 10,000</w:t>
            </w:r>
          </w:p>
        </w:tc>
        <w:tc>
          <w:tcPr>
            <w:tcW w:w="1397" w:type="pct"/>
            <w:vAlign w:val="center"/>
          </w:tcPr>
          <w:p w:rsidR="00BA00F8" w:rsidRPr="00FA4395" w:rsidRDefault="00BA00F8" w:rsidP="004F4D09">
            <w:pPr>
              <w:pStyle w:val="TableText0"/>
              <w:keepNext w:val="0"/>
              <w:rPr>
                <w:color w:val="000000"/>
                <w:szCs w:val="20"/>
              </w:rPr>
            </w:pPr>
            <w:r w:rsidRPr="00FA4395">
              <w:rPr>
                <w:rFonts w:eastAsia="Calibri" w:cs="Times New Roman"/>
                <w:szCs w:val="20"/>
              </w:rPr>
              <w:t xml:space="preserve">PBS/RPBS service data, extracted from the </w:t>
            </w:r>
            <w:r w:rsidRPr="00FA4395">
              <w:rPr>
                <w:color w:val="000000"/>
                <w:szCs w:val="20"/>
              </w:rPr>
              <w:t>DHS Pharmacy Claims Database on the 19 August 2019.</w:t>
            </w:r>
          </w:p>
        </w:tc>
        <w:tc>
          <w:tcPr>
            <w:tcW w:w="1599" w:type="pct"/>
            <w:vAlign w:val="center"/>
          </w:tcPr>
          <w:p w:rsidR="00BA00F8" w:rsidRPr="00FA4395" w:rsidRDefault="00BA00F8" w:rsidP="00A37BB3">
            <w:pPr>
              <w:pStyle w:val="TableText0"/>
              <w:keepNext w:val="0"/>
              <w:rPr>
                <w:szCs w:val="20"/>
              </w:rPr>
            </w:pPr>
            <w:r w:rsidRPr="00FA4395">
              <w:rPr>
                <w:szCs w:val="20"/>
              </w:rPr>
              <w:t xml:space="preserve">Only the 2017 observation was used in the analysis. While exclusion of the number of patients reported in 2014 has been reasonably justified (prior to the EGFRm listing in first-line), the exclusion of the other observations </w:t>
            </w:r>
            <w:r w:rsidR="002A33C7" w:rsidRPr="00FA4395">
              <w:rPr>
                <w:szCs w:val="20"/>
              </w:rPr>
              <w:t xml:space="preserve">may </w:t>
            </w:r>
            <w:r w:rsidRPr="00FA4395">
              <w:rPr>
                <w:szCs w:val="20"/>
              </w:rPr>
              <w:t>not</w:t>
            </w:r>
            <w:r w:rsidR="002A33C7" w:rsidRPr="00FA4395">
              <w:rPr>
                <w:szCs w:val="20"/>
              </w:rPr>
              <w:t xml:space="preserve"> be</w:t>
            </w:r>
            <w:r w:rsidRPr="00FA4395">
              <w:rPr>
                <w:szCs w:val="20"/>
              </w:rPr>
              <w:t>.</w:t>
            </w:r>
            <w:r w:rsidR="00736505" w:rsidRPr="00FA4395">
              <w:rPr>
                <w:szCs w:val="20"/>
              </w:rPr>
              <w:t xml:space="preserve"> </w:t>
            </w:r>
            <w:r w:rsidR="00A37BB3" w:rsidRPr="00FA4395">
              <w:rPr>
                <w:szCs w:val="20"/>
              </w:rPr>
              <w:t xml:space="preserve">The ESC noted the actual number of patients treated with a TKI in 2019 should be available and requested that this be included in the ESC advice. Data provided subsequent to the ESC meeting indicated </w:t>
            </w:r>
            <w:r w:rsidR="00462871">
              <w:rPr>
                <w:szCs w:val="20"/>
              </w:rPr>
              <w:t>less than 10,000</w:t>
            </w:r>
            <w:r w:rsidR="00736505" w:rsidRPr="00FA4395">
              <w:rPr>
                <w:szCs w:val="20"/>
              </w:rPr>
              <w:t xml:space="preserve"> patients received an EGFR-TKI for the first time in 2019</w:t>
            </w:r>
            <w:r w:rsidR="00736505" w:rsidRPr="00FA4395">
              <w:rPr>
                <w:rStyle w:val="FootnoteReference"/>
                <w:szCs w:val="20"/>
              </w:rPr>
              <w:footnoteReference w:id="6"/>
            </w:r>
            <w:r w:rsidR="00736505" w:rsidRPr="00FA4395">
              <w:rPr>
                <w:szCs w:val="20"/>
              </w:rPr>
              <w:t xml:space="preserve">. </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Lung cancer incidence growth rate</w:t>
            </w:r>
          </w:p>
        </w:tc>
        <w:tc>
          <w:tcPr>
            <w:tcW w:w="1009" w:type="pct"/>
            <w:vAlign w:val="center"/>
          </w:tcPr>
          <w:p w:rsidR="00BA00F8" w:rsidRPr="00FA4395" w:rsidRDefault="00BA00F8" w:rsidP="004F4D09">
            <w:pPr>
              <w:pStyle w:val="TableText0"/>
              <w:keepNext w:val="0"/>
              <w:rPr>
                <w:szCs w:val="20"/>
              </w:rPr>
            </w:pPr>
            <w:r w:rsidRPr="00FA4395">
              <w:rPr>
                <w:szCs w:val="20"/>
              </w:rPr>
              <w:t>3%</w:t>
            </w:r>
          </w:p>
        </w:tc>
        <w:tc>
          <w:tcPr>
            <w:tcW w:w="1397" w:type="pct"/>
            <w:vAlign w:val="center"/>
          </w:tcPr>
          <w:p w:rsidR="00BA00F8" w:rsidRPr="00FA4395" w:rsidRDefault="00BA00F8" w:rsidP="004F4D09">
            <w:pPr>
              <w:pStyle w:val="TableText0"/>
              <w:keepNext w:val="0"/>
              <w:rPr>
                <w:szCs w:val="20"/>
              </w:rPr>
            </w:pPr>
            <w:r w:rsidRPr="00FA4395">
              <w:rPr>
                <w:szCs w:val="20"/>
              </w:rPr>
              <w:t>AIHW Cancer Incidence Projections (2012)</w:t>
            </w:r>
          </w:p>
        </w:tc>
        <w:tc>
          <w:tcPr>
            <w:tcW w:w="1599" w:type="pct"/>
            <w:vAlign w:val="center"/>
          </w:tcPr>
          <w:p w:rsidR="00BA00F8" w:rsidRPr="00FA4395" w:rsidRDefault="00BA00F8" w:rsidP="004F4D09">
            <w:pPr>
              <w:pStyle w:val="TableText0"/>
              <w:keepNext w:val="0"/>
              <w:rPr>
                <w:szCs w:val="20"/>
              </w:rPr>
            </w:pPr>
            <w:r w:rsidRPr="00FA4395">
              <w:rPr>
                <w:szCs w:val="20"/>
              </w:rPr>
              <w:t>The average annual growth rate observed in updated AIHW lung cancer projections</w:t>
            </w:r>
            <w:r w:rsidRPr="00FA4395">
              <w:rPr>
                <w:rStyle w:val="FootnoteReference"/>
                <w:szCs w:val="20"/>
              </w:rPr>
              <w:footnoteReference w:id="7"/>
            </w:r>
            <w:r w:rsidRPr="00FA4395">
              <w:rPr>
                <w:szCs w:val="20"/>
              </w:rPr>
              <w:t xml:space="preserve"> was 2.16%</w:t>
            </w:r>
            <w:r w:rsidR="00F825BF" w:rsidRPr="00FA4395">
              <w:rPr>
                <w:szCs w:val="20"/>
              </w:rPr>
              <w:t>.</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Increase in EGFRm prevalence</w:t>
            </w:r>
          </w:p>
        </w:tc>
        <w:tc>
          <w:tcPr>
            <w:tcW w:w="1009" w:type="pct"/>
            <w:vAlign w:val="center"/>
          </w:tcPr>
          <w:p w:rsidR="00BA00F8" w:rsidRPr="00FA4395" w:rsidRDefault="00BA00F8" w:rsidP="004F4D09">
            <w:pPr>
              <w:pStyle w:val="TableText0"/>
              <w:keepNext w:val="0"/>
              <w:rPr>
                <w:szCs w:val="20"/>
              </w:rPr>
            </w:pPr>
            <w:r w:rsidRPr="00FA4395">
              <w:rPr>
                <w:szCs w:val="20"/>
              </w:rPr>
              <w:t>2019: 1%</w:t>
            </w:r>
          </w:p>
          <w:p w:rsidR="00BA00F8" w:rsidRPr="00FA4395" w:rsidRDefault="00BA00F8" w:rsidP="004F4D09">
            <w:pPr>
              <w:pStyle w:val="TableText0"/>
              <w:keepNext w:val="0"/>
              <w:rPr>
                <w:szCs w:val="20"/>
              </w:rPr>
            </w:pPr>
            <w:r w:rsidRPr="00FA4395">
              <w:rPr>
                <w:szCs w:val="20"/>
              </w:rPr>
              <w:t>2020: 1%</w:t>
            </w:r>
          </w:p>
        </w:tc>
        <w:tc>
          <w:tcPr>
            <w:tcW w:w="1397" w:type="pct"/>
            <w:vAlign w:val="center"/>
          </w:tcPr>
          <w:p w:rsidR="00BA00F8" w:rsidRPr="00FA4395" w:rsidRDefault="00BA00F8" w:rsidP="004F4D09">
            <w:pPr>
              <w:pStyle w:val="TableText0"/>
              <w:keepNext w:val="0"/>
              <w:rPr>
                <w:szCs w:val="20"/>
              </w:rPr>
            </w:pPr>
            <w:r w:rsidRPr="00FA4395">
              <w:rPr>
                <w:szCs w:val="20"/>
              </w:rPr>
              <w:t>An increase in the reported prevalence of EGFRm in Australian NSCLC patients (range: 17.9−26%)</w:t>
            </w:r>
            <w:r w:rsidRPr="00FA4395">
              <w:rPr>
                <w:rStyle w:val="FootnoteReference"/>
                <w:szCs w:val="20"/>
              </w:rPr>
              <w:footnoteReference w:id="8"/>
            </w:r>
            <w:r w:rsidRPr="00FA4395">
              <w:rPr>
                <w:szCs w:val="20"/>
              </w:rPr>
              <w:t xml:space="preserve"> relative to what the PBAC accepted at the time of listing erlotinib and gefitinib in the first-line setting (15%)</w:t>
            </w:r>
          </w:p>
        </w:tc>
        <w:tc>
          <w:tcPr>
            <w:tcW w:w="1599" w:type="pct"/>
            <w:vMerge w:val="restart"/>
            <w:vAlign w:val="center"/>
          </w:tcPr>
          <w:p w:rsidR="00BA00F8" w:rsidRPr="00FA4395" w:rsidRDefault="002A2688" w:rsidP="00E66B8F">
            <w:pPr>
              <w:pStyle w:val="TableText0"/>
              <w:rPr>
                <w:szCs w:val="20"/>
              </w:rPr>
            </w:pPr>
            <w:r w:rsidRPr="00FA4395">
              <w:rPr>
                <w:szCs w:val="20"/>
              </w:rPr>
              <w:t xml:space="preserve">Given changes in the population demographic and limited availability of clinical trials in the setting of first-line NSCLC, </w:t>
            </w:r>
            <w:r w:rsidR="000D13C0" w:rsidRPr="00FA4395">
              <w:rPr>
                <w:szCs w:val="20"/>
              </w:rPr>
              <w:t xml:space="preserve">the evaluation considered </w:t>
            </w:r>
            <w:r w:rsidR="00BA00F8" w:rsidRPr="00FA4395">
              <w:rPr>
                <w:szCs w:val="20"/>
              </w:rPr>
              <w:t>adjustment for these factors may be reasonable</w:t>
            </w:r>
            <w:r w:rsidRPr="00FA4395">
              <w:rPr>
                <w:szCs w:val="20"/>
              </w:rPr>
              <w:t>;</w:t>
            </w:r>
            <w:r w:rsidR="00BA00F8" w:rsidRPr="00FA4395">
              <w:rPr>
                <w:szCs w:val="20"/>
              </w:rPr>
              <w:t xml:space="preserve"> </w:t>
            </w:r>
            <w:r w:rsidRPr="00FA4395">
              <w:rPr>
                <w:szCs w:val="20"/>
              </w:rPr>
              <w:t xml:space="preserve">however </w:t>
            </w:r>
            <w:r w:rsidR="00BA00F8" w:rsidRPr="00FA4395">
              <w:rPr>
                <w:szCs w:val="20"/>
              </w:rPr>
              <w:t>the estimates selected in the resubmission are not well supported and are highly uncertain.</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Additional patients opting for PBS-subsidised treatment, due to lack of</w:t>
            </w:r>
            <w:r w:rsidR="002A2688" w:rsidRPr="00FA4395">
              <w:rPr>
                <w:szCs w:val="20"/>
              </w:rPr>
              <w:t xml:space="preserve"> available clinical</w:t>
            </w:r>
            <w:r w:rsidRPr="00FA4395">
              <w:rPr>
                <w:szCs w:val="20"/>
              </w:rPr>
              <w:t xml:space="preserve"> trials</w:t>
            </w:r>
          </w:p>
        </w:tc>
        <w:tc>
          <w:tcPr>
            <w:tcW w:w="1009" w:type="pct"/>
            <w:vAlign w:val="center"/>
          </w:tcPr>
          <w:p w:rsidR="00BA00F8" w:rsidRPr="00FA4395" w:rsidRDefault="00BA00F8" w:rsidP="004F4D09">
            <w:pPr>
              <w:pStyle w:val="TableText0"/>
              <w:keepNext w:val="0"/>
              <w:rPr>
                <w:szCs w:val="20"/>
              </w:rPr>
            </w:pPr>
            <w:r w:rsidRPr="00FA4395">
              <w:rPr>
                <w:szCs w:val="20"/>
              </w:rPr>
              <w:t>2019: 5%</w:t>
            </w:r>
          </w:p>
        </w:tc>
        <w:tc>
          <w:tcPr>
            <w:tcW w:w="1397" w:type="pct"/>
            <w:vAlign w:val="center"/>
          </w:tcPr>
          <w:p w:rsidR="00BA00F8" w:rsidRPr="00FA4395" w:rsidRDefault="00BA00F8" w:rsidP="004F4D09">
            <w:pPr>
              <w:pStyle w:val="TableText0"/>
              <w:keepNext w:val="0"/>
              <w:rPr>
                <w:szCs w:val="20"/>
              </w:rPr>
            </w:pPr>
            <w:r w:rsidRPr="00FA4395">
              <w:rPr>
                <w:szCs w:val="20"/>
              </w:rPr>
              <w:t>Assumption</w:t>
            </w:r>
          </w:p>
        </w:tc>
        <w:tc>
          <w:tcPr>
            <w:tcW w:w="1599" w:type="pct"/>
            <w:vMerge/>
            <w:vAlign w:val="center"/>
          </w:tcPr>
          <w:p w:rsidR="00BA00F8" w:rsidRPr="00FA4395" w:rsidRDefault="00BA00F8" w:rsidP="004F4D09">
            <w:pPr>
              <w:pStyle w:val="TableText0"/>
              <w:keepNext w:val="0"/>
              <w:rPr>
                <w:i/>
                <w:szCs w:val="20"/>
              </w:rPr>
            </w:pP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Number of grandfathered patients</w:t>
            </w:r>
          </w:p>
        </w:tc>
        <w:tc>
          <w:tcPr>
            <w:tcW w:w="1009" w:type="pct"/>
            <w:vAlign w:val="center"/>
          </w:tcPr>
          <w:p w:rsidR="00BA00F8" w:rsidRPr="00FA4395" w:rsidRDefault="00BA00F8" w:rsidP="004F4D09">
            <w:pPr>
              <w:pStyle w:val="TableText0"/>
              <w:keepNext w:val="0"/>
              <w:rPr>
                <w:szCs w:val="20"/>
              </w:rPr>
            </w:pPr>
            <w:r w:rsidRPr="00FA4395">
              <w:rPr>
                <w:szCs w:val="20"/>
              </w:rPr>
              <w:t xml:space="preserve">Yr 1: </w:t>
            </w:r>
            <w:r w:rsidR="00522F59">
              <w:rPr>
                <w:szCs w:val="20"/>
              </w:rPr>
              <w:t>less than 10,000</w:t>
            </w:r>
          </w:p>
        </w:tc>
        <w:tc>
          <w:tcPr>
            <w:tcW w:w="1397" w:type="pct"/>
            <w:vAlign w:val="center"/>
          </w:tcPr>
          <w:p w:rsidR="00BA00F8" w:rsidRPr="00FA4395" w:rsidRDefault="00BA00F8" w:rsidP="004F4D09">
            <w:pPr>
              <w:pStyle w:val="TableText0"/>
              <w:keepNext w:val="0"/>
              <w:rPr>
                <w:szCs w:val="20"/>
              </w:rPr>
            </w:pPr>
            <w:r w:rsidRPr="00FA4395">
              <w:rPr>
                <w:szCs w:val="20"/>
              </w:rPr>
              <w:t>Assumption</w:t>
            </w:r>
          </w:p>
        </w:tc>
        <w:tc>
          <w:tcPr>
            <w:tcW w:w="1599" w:type="pct"/>
            <w:vAlign w:val="center"/>
          </w:tcPr>
          <w:p w:rsidR="00BA00F8" w:rsidRPr="00FA4395" w:rsidRDefault="00BA00F8" w:rsidP="009B59AF">
            <w:pPr>
              <w:pStyle w:val="TableText0"/>
              <w:keepNext w:val="0"/>
              <w:rPr>
                <w:szCs w:val="20"/>
              </w:rPr>
            </w:pPr>
            <w:r w:rsidRPr="00FA4395">
              <w:rPr>
                <w:szCs w:val="20"/>
              </w:rPr>
              <w:t xml:space="preserve">This estimate has not been </w:t>
            </w:r>
            <w:r w:rsidR="009B59AF" w:rsidRPr="00FA4395">
              <w:rPr>
                <w:szCs w:val="20"/>
              </w:rPr>
              <w:t xml:space="preserve">verified. </w:t>
            </w:r>
          </w:p>
        </w:tc>
      </w:tr>
      <w:tr w:rsidR="00BA00F8" w:rsidRPr="00C93348" w:rsidTr="00FA4395">
        <w:tc>
          <w:tcPr>
            <w:tcW w:w="5000" w:type="pct"/>
            <w:gridSpan w:val="4"/>
            <w:vAlign w:val="center"/>
          </w:tcPr>
          <w:p w:rsidR="00BA00F8" w:rsidRPr="00FA4395" w:rsidRDefault="00BA00F8" w:rsidP="004F4D09">
            <w:pPr>
              <w:pStyle w:val="TableText0"/>
              <w:rPr>
                <w:b/>
                <w:szCs w:val="20"/>
              </w:rPr>
            </w:pPr>
            <w:r w:rsidRPr="00FA4395">
              <w:rPr>
                <w:b/>
                <w:szCs w:val="20"/>
              </w:rPr>
              <w:t>Treatment utilisation</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Uptake rate</w:t>
            </w:r>
          </w:p>
        </w:tc>
        <w:tc>
          <w:tcPr>
            <w:tcW w:w="1009" w:type="pct"/>
            <w:vAlign w:val="center"/>
          </w:tcPr>
          <w:p w:rsidR="00BA00F8" w:rsidRPr="00FA4395" w:rsidRDefault="00BA00F8" w:rsidP="004F4D09">
            <w:pPr>
              <w:pStyle w:val="TableText0"/>
              <w:keepNext w:val="0"/>
              <w:rPr>
                <w:szCs w:val="20"/>
              </w:rPr>
            </w:pPr>
            <w:r w:rsidRPr="00FA4395">
              <w:rPr>
                <w:szCs w:val="20"/>
              </w:rPr>
              <w:t>Yr 1: 80%</w:t>
            </w:r>
          </w:p>
          <w:p w:rsidR="00BA00F8" w:rsidRPr="00FA4395" w:rsidRDefault="00BA00F8" w:rsidP="004F4D09">
            <w:pPr>
              <w:pStyle w:val="TableText0"/>
              <w:keepNext w:val="0"/>
              <w:rPr>
                <w:szCs w:val="20"/>
              </w:rPr>
            </w:pPr>
            <w:r w:rsidRPr="00FA4395">
              <w:rPr>
                <w:szCs w:val="20"/>
              </w:rPr>
              <w:t>Yr 2+: 85%</w:t>
            </w:r>
          </w:p>
        </w:tc>
        <w:tc>
          <w:tcPr>
            <w:tcW w:w="1397" w:type="pct"/>
            <w:vAlign w:val="center"/>
          </w:tcPr>
          <w:p w:rsidR="00BA00F8" w:rsidRPr="00FA4395" w:rsidRDefault="00BA00F8" w:rsidP="004F4D09">
            <w:pPr>
              <w:pStyle w:val="TableText0"/>
              <w:keepNext w:val="0"/>
              <w:rPr>
                <w:szCs w:val="20"/>
              </w:rPr>
            </w:pPr>
            <w:r w:rsidRPr="00FA4395">
              <w:rPr>
                <w:szCs w:val="20"/>
              </w:rPr>
              <w:t>Assumption</w:t>
            </w:r>
          </w:p>
        </w:tc>
        <w:tc>
          <w:tcPr>
            <w:tcW w:w="1599" w:type="pct"/>
            <w:vAlign w:val="center"/>
          </w:tcPr>
          <w:p w:rsidR="00BA00F8" w:rsidRPr="00FA4395" w:rsidRDefault="00BA00F8" w:rsidP="000D13C0">
            <w:pPr>
              <w:pStyle w:val="TableText0"/>
              <w:keepNext w:val="0"/>
              <w:rPr>
                <w:szCs w:val="20"/>
              </w:rPr>
            </w:pPr>
            <w:r w:rsidRPr="00FA4395">
              <w:rPr>
                <w:szCs w:val="20"/>
              </w:rPr>
              <w:t>The maximum rate of uptake, 85%, was lower than in the previous submission (90% in Years 5 and 6 of listing). The resubmission stated that the rate of uptake assumed was consistent with other countries where osimertinib is reimbursed in the 1L setting. This could not be verified.</w:t>
            </w:r>
            <w:r w:rsidR="004A0B30" w:rsidRPr="00FA4395">
              <w:rPr>
                <w:szCs w:val="20"/>
              </w:rPr>
              <w:t xml:space="preserve"> </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Market share of EGFR-TKIs</w:t>
            </w:r>
          </w:p>
        </w:tc>
        <w:tc>
          <w:tcPr>
            <w:tcW w:w="1009" w:type="pct"/>
            <w:vAlign w:val="center"/>
          </w:tcPr>
          <w:p w:rsidR="00BA00F8" w:rsidRPr="00FA4395" w:rsidRDefault="00BA00F8" w:rsidP="004F4D09">
            <w:pPr>
              <w:pStyle w:val="TableText0"/>
              <w:keepNext w:val="0"/>
              <w:rPr>
                <w:szCs w:val="20"/>
              </w:rPr>
            </w:pPr>
            <w:r w:rsidRPr="00FA4395">
              <w:rPr>
                <w:szCs w:val="20"/>
              </w:rPr>
              <w:t>Erl: 58.9%</w:t>
            </w:r>
          </w:p>
          <w:p w:rsidR="00BA00F8" w:rsidRPr="00FA4395" w:rsidRDefault="00BA00F8" w:rsidP="004F4D09">
            <w:pPr>
              <w:pStyle w:val="TableText0"/>
              <w:keepNext w:val="0"/>
              <w:rPr>
                <w:szCs w:val="20"/>
              </w:rPr>
            </w:pPr>
            <w:r w:rsidRPr="00FA4395">
              <w:rPr>
                <w:szCs w:val="20"/>
              </w:rPr>
              <w:t>Gef: 28.4%</w:t>
            </w:r>
          </w:p>
          <w:p w:rsidR="00BA00F8" w:rsidRPr="00FA4395" w:rsidRDefault="00BA00F8" w:rsidP="004F4D09">
            <w:pPr>
              <w:pStyle w:val="TableText0"/>
              <w:keepNext w:val="0"/>
              <w:rPr>
                <w:szCs w:val="20"/>
              </w:rPr>
            </w:pPr>
            <w:r w:rsidRPr="00FA4395">
              <w:rPr>
                <w:szCs w:val="20"/>
              </w:rPr>
              <w:t>Afa: 11.8%</w:t>
            </w:r>
          </w:p>
        </w:tc>
        <w:tc>
          <w:tcPr>
            <w:tcW w:w="1397" w:type="pct"/>
            <w:vAlign w:val="center"/>
          </w:tcPr>
          <w:p w:rsidR="00BA00F8" w:rsidRPr="00FA4395" w:rsidRDefault="00BA00F8" w:rsidP="004F4D09">
            <w:pPr>
              <w:pStyle w:val="TableText0"/>
              <w:keepNext w:val="0"/>
              <w:rPr>
                <w:szCs w:val="20"/>
              </w:rPr>
            </w:pPr>
            <w:r w:rsidRPr="00FA4395">
              <w:rPr>
                <w:szCs w:val="20"/>
              </w:rPr>
              <w:t>Services Australia PBS item statistics, Jan−Dec 2019 for EGFR-TKI items</w:t>
            </w:r>
            <w:r w:rsidRPr="00FA4395">
              <w:rPr>
                <w:szCs w:val="20"/>
                <w:vertAlign w:val="superscript"/>
              </w:rPr>
              <w:t xml:space="preserve"> a</w:t>
            </w:r>
          </w:p>
        </w:tc>
        <w:tc>
          <w:tcPr>
            <w:tcW w:w="1599" w:type="pct"/>
            <w:vAlign w:val="center"/>
          </w:tcPr>
          <w:p w:rsidR="00BA00F8" w:rsidRPr="00FA4395" w:rsidRDefault="00BA00F8" w:rsidP="004F4D09">
            <w:pPr>
              <w:pStyle w:val="TableText0"/>
              <w:keepNext w:val="0"/>
              <w:rPr>
                <w:szCs w:val="20"/>
              </w:rPr>
            </w:pPr>
            <w:r w:rsidRPr="00FA4395">
              <w:rPr>
                <w:szCs w:val="20"/>
              </w:rPr>
              <w:t>This is appropriate</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Osimertinib (1L) scripts dispensed per patient</w:t>
            </w:r>
          </w:p>
        </w:tc>
        <w:tc>
          <w:tcPr>
            <w:tcW w:w="1009" w:type="pct"/>
            <w:vAlign w:val="center"/>
          </w:tcPr>
          <w:p w:rsidR="00BA00F8" w:rsidRPr="00FA4395" w:rsidRDefault="00BA00F8" w:rsidP="004F4D09">
            <w:pPr>
              <w:pStyle w:val="TableText0"/>
              <w:keepNext w:val="0"/>
              <w:rPr>
                <w:szCs w:val="20"/>
              </w:rPr>
            </w:pPr>
            <w:r w:rsidRPr="00FA4395">
              <w:rPr>
                <w:szCs w:val="20"/>
              </w:rPr>
              <w:t xml:space="preserve">First year of treatment: </w:t>
            </w:r>
            <w:r w:rsidR="00B27C72">
              <w:rPr>
                <w:noProof/>
                <w:color w:val="000000"/>
                <w:szCs w:val="20"/>
                <w:highlight w:val="black"/>
              </w:rPr>
              <w:t>'''''''''''''</w:t>
            </w:r>
          </w:p>
          <w:p w:rsidR="00BA00F8" w:rsidRPr="00FA4395" w:rsidRDefault="00BA00F8" w:rsidP="004F4D09">
            <w:pPr>
              <w:pStyle w:val="TableText0"/>
              <w:keepNext w:val="0"/>
              <w:rPr>
                <w:szCs w:val="20"/>
              </w:rPr>
            </w:pPr>
            <w:r w:rsidRPr="00FA4395">
              <w:rPr>
                <w:szCs w:val="20"/>
              </w:rPr>
              <w:t>Second year of treatment:</w:t>
            </w:r>
            <w:r w:rsidRPr="007615FD">
              <w:rPr>
                <w:szCs w:val="20"/>
              </w:rPr>
              <w:t xml:space="preserve"> </w:t>
            </w:r>
            <w:r w:rsidR="00B27C72">
              <w:rPr>
                <w:noProof/>
                <w:color w:val="000000"/>
                <w:szCs w:val="20"/>
                <w:highlight w:val="black"/>
              </w:rPr>
              <w:t>'''''''''''</w:t>
            </w:r>
          </w:p>
        </w:tc>
        <w:tc>
          <w:tcPr>
            <w:tcW w:w="1397" w:type="pct"/>
            <w:vAlign w:val="center"/>
          </w:tcPr>
          <w:p w:rsidR="00BA00F8" w:rsidRPr="00FA4395" w:rsidRDefault="00BA00F8" w:rsidP="004F4D09">
            <w:pPr>
              <w:pStyle w:val="TableText0"/>
              <w:keepNext w:val="0"/>
              <w:rPr>
                <w:szCs w:val="20"/>
              </w:rPr>
            </w:pPr>
            <w:r w:rsidRPr="00FA4395">
              <w:rPr>
                <w:szCs w:val="20"/>
              </w:rPr>
              <w:t xml:space="preserve">Median actual treatment duration of 20.7 months from the FLAURA trial, which equates to 21 scripts per patient. As this is a truncated estimate of treatment duration, a subsidisation cap is proposed based on </w:t>
            </w:r>
            <w:r w:rsidR="002A33C7" w:rsidRPr="00FA4395">
              <w:rPr>
                <w:szCs w:val="20"/>
              </w:rPr>
              <w:t xml:space="preserve">an average of </w:t>
            </w:r>
            <w:r w:rsidR="00B27C72">
              <w:rPr>
                <w:noProof/>
                <w:color w:val="000000"/>
                <w:szCs w:val="20"/>
                <w:highlight w:val="black"/>
              </w:rPr>
              <w:t>''''''</w:t>
            </w:r>
            <w:r w:rsidRPr="00FA4395">
              <w:rPr>
                <w:szCs w:val="20"/>
              </w:rPr>
              <w:t xml:space="preserve"> packs per patient in the 1L setting</w:t>
            </w:r>
          </w:p>
        </w:tc>
        <w:tc>
          <w:tcPr>
            <w:tcW w:w="1599" w:type="pct"/>
            <w:vAlign w:val="center"/>
          </w:tcPr>
          <w:p w:rsidR="00BA00F8" w:rsidRPr="00FA4395" w:rsidRDefault="002A33C7" w:rsidP="002A33C7">
            <w:pPr>
              <w:pStyle w:val="TableText0"/>
              <w:keepNext w:val="0"/>
              <w:rPr>
                <w:szCs w:val="20"/>
              </w:rPr>
            </w:pPr>
            <w:r w:rsidRPr="00FA4395">
              <w:rPr>
                <w:szCs w:val="20"/>
              </w:rPr>
              <w:t xml:space="preserve">Whether the proposed average cost per patient would be realised, as intended through the RSA, relies on accurate estimates of patient numbers </w:t>
            </w:r>
            <w:r w:rsidR="00BA00F8" w:rsidRPr="00FA4395">
              <w:rPr>
                <w:szCs w:val="20"/>
              </w:rPr>
              <w:t>(paragraphs 7.11 and 7.13, Osimertinib PSD, July 2019 PBAC Meeting)</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Erlotinib/gefitinib scripts dispensed per patient</w:t>
            </w:r>
          </w:p>
        </w:tc>
        <w:tc>
          <w:tcPr>
            <w:tcW w:w="1009" w:type="pct"/>
            <w:vAlign w:val="center"/>
          </w:tcPr>
          <w:p w:rsidR="00BA00F8" w:rsidRPr="00FA4395" w:rsidRDefault="00BA00F8" w:rsidP="004F4D09">
            <w:pPr>
              <w:pStyle w:val="TableText0"/>
              <w:keepNext w:val="0"/>
              <w:rPr>
                <w:szCs w:val="20"/>
              </w:rPr>
            </w:pPr>
            <w:r w:rsidRPr="00FA4395">
              <w:rPr>
                <w:szCs w:val="20"/>
              </w:rPr>
              <w:t>First year of treatment: 12.18</w:t>
            </w:r>
          </w:p>
          <w:p w:rsidR="00BA00F8" w:rsidRPr="00FA4395" w:rsidRDefault="00BA00F8" w:rsidP="004F4D09">
            <w:pPr>
              <w:pStyle w:val="TableText0"/>
              <w:keepNext w:val="0"/>
              <w:rPr>
                <w:szCs w:val="20"/>
              </w:rPr>
            </w:pPr>
            <w:r w:rsidRPr="00FA4395">
              <w:rPr>
                <w:szCs w:val="20"/>
              </w:rPr>
              <w:t>Second year of treatment: 2.45</w:t>
            </w:r>
          </w:p>
        </w:tc>
        <w:tc>
          <w:tcPr>
            <w:tcW w:w="1397" w:type="pct"/>
            <w:vAlign w:val="center"/>
          </w:tcPr>
          <w:p w:rsidR="00BA00F8" w:rsidRPr="00FA4395" w:rsidRDefault="00BA00F8" w:rsidP="004F4D09">
            <w:pPr>
              <w:pStyle w:val="TableText0"/>
              <w:keepNext w:val="0"/>
              <w:rPr>
                <w:szCs w:val="20"/>
              </w:rPr>
            </w:pPr>
            <w:r w:rsidRPr="00FA4395">
              <w:rPr>
                <w:szCs w:val="20"/>
              </w:rPr>
              <w:t>Average treatment duration of 14.42 months (based on actual average treatment duration in FLAURA)</w:t>
            </w:r>
          </w:p>
        </w:tc>
        <w:tc>
          <w:tcPr>
            <w:tcW w:w="1599" w:type="pct"/>
            <w:vAlign w:val="center"/>
          </w:tcPr>
          <w:p w:rsidR="00BA00F8" w:rsidRPr="00FA4395" w:rsidRDefault="00BA00F8" w:rsidP="004F4D09">
            <w:pPr>
              <w:pStyle w:val="TableText0"/>
              <w:keepNext w:val="0"/>
              <w:rPr>
                <w:szCs w:val="20"/>
              </w:rPr>
            </w:pPr>
            <w:r w:rsidRPr="00FA4395">
              <w:rPr>
                <w:szCs w:val="20"/>
              </w:rPr>
              <w:t>This is reasonable</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Afatinib scripts dispensed per patient</w:t>
            </w:r>
          </w:p>
        </w:tc>
        <w:tc>
          <w:tcPr>
            <w:tcW w:w="1009" w:type="pct"/>
            <w:vAlign w:val="center"/>
          </w:tcPr>
          <w:p w:rsidR="00BA00F8" w:rsidRPr="00FA4395" w:rsidRDefault="00BA00F8" w:rsidP="004F4D09">
            <w:pPr>
              <w:pStyle w:val="TableText0"/>
              <w:keepNext w:val="0"/>
              <w:rPr>
                <w:szCs w:val="20"/>
              </w:rPr>
            </w:pPr>
            <w:r w:rsidRPr="00FA4395">
              <w:rPr>
                <w:szCs w:val="20"/>
              </w:rPr>
              <w:t>First year of treatment: 12.18</w:t>
            </w:r>
          </w:p>
          <w:p w:rsidR="00BA00F8" w:rsidRPr="00FA4395" w:rsidRDefault="00BA00F8" w:rsidP="004F4D09">
            <w:pPr>
              <w:pStyle w:val="TableText0"/>
              <w:keepNext w:val="0"/>
              <w:rPr>
                <w:szCs w:val="20"/>
              </w:rPr>
            </w:pPr>
            <w:r w:rsidRPr="00FA4395">
              <w:rPr>
                <w:szCs w:val="20"/>
              </w:rPr>
              <w:t>Second year of treatment: 3.50</w:t>
            </w:r>
          </w:p>
        </w:tc>
        <w:tc>
          <w:tcPr>
            <w:tcW w:w="1397" w:type="pct"/>
            <w:vAlign w:val="center"/>
          </w:tcPr>
          <w:p w:rsidR="00BA00F8" w:rsidRPr="00FA4395" w:rsidRDefault="00BA00F8" w:rsidP="004F4D09">
            <w:pPr>
              <w:pStyle w:val="TableText0"/>
              <w:keepNext w:val="0"/>
              <w:rPr>
                <w:szCs w:val="20"/>
              </w:rPr>
            </w:pPr>
            <w:r w:rsidRPr="00FA4395">
              <w:rPr>
                <w:szCs w:val="20"/>
              </w:rPr>
              <w:t>Average treatment duration of 14.42 months (based on actual average treatment duration in FLAURA)</w:t>
            </w:r>
          </w:p>
        </w:tc>
        <w:tc>
          <w:tcPr>
            <w:tcW w:w="1599" w:type="pct"/>
            <w:vAlign w:val="center"/>
          </w:tcPr>
          <w:p w:rsidR="00BA00F8" w:rsidRPr="00FA4395" w:rsidRDefault="00BA00F8" w:rsidP="004F4D09">
            <w:pPr>
              <w:pStyle w:val="TableText0"/>
              <w:keepNext w:val="0"/>
              <w:rPr>
                <w:szCs w:val="20"/>
              </w:rPr>
            </w:pPr>
            <w:r w:rsidRPr="00FA4395">
              <w:rPr>
                <w:szCs w:val="20"/>
              </w:rPr>
              <w:t>While the total estimate of packs per patient is correct, there would be 13.05 scripts in the first year of treatment, and 2.63 in the second. Further, the resubmission has assumed 2.45 scripts per PBS patient in the second year of treatment (instead of 3.5).</w:t>
            </w:r>
          </w:p>
        </w:tc>
      </w:tr>
      <w:tr w:rsidR="00BA00F8" w:rsidRPr="00C93348" w:rsidTr="00FA4395">
        <w:tc>
          <w:tcPr>
            <w:tcW w:w="996" w:type="pct"/>
            <w:vAlign w:val="center"/>
          </w:tcPr>
          <w:p w:rsidR="00BA00F8" w:rsidRPr="00FA4395" w:rsidRDefault="00BA00F8" w:rsidP="004F4D09">
            <w:pPr>
              <w:pStyle w:val="TableText0"/>
              <w:keepNext w:val="0"/>
              <w:rPr>
                <w:szCs w:val="20"/>
              </w:rPr>
            </w:pPr>
            <w:r w:rsidRPr="00FA4395">
              <w:rPr>
                <w:szCs w:val="20"/>
              </w:rPr>
              <w:t>No. patients who would have been treated with 2L osimertinib</w:t>
            </w:r>
          </w:p>
        </w:tc>
        <w:tc>
          <w:tcPr>
            <w:tcW w:w="1009" w:type="pct"/>
            <w:vAlign w:val="center"/>
          </w:tcPr>
          <w:p w:rsidR="00BA00F8" w:rsidRPr="00FA4395" w:rsidRDefault="00BA00F8" w:rsidP="004F4D09">
            <w:pPr>
              <w:pStyle w:val="TableText0"/>
              <w:keepNext w:val="0"/>
              <w:rPr>
                <w:szCs w:val="20"/>
              </w:rPr>
            </w:pPr>
            <w:r w:rsidRPr="00FA4395">
              <w:rPr>
                <w:szCs w:val="20"/>
              </w:rPr>
              <w:t xml:space="preserve">Yr 1: </w:t>
            </w:r>
            <w:r w:rsidR="00206529">
              <w:rPr>
                <w:szCs w:val="20"/>
              </w:rPr>
              <w:t>less than 10,000</w:t>
            </w:r>
          </w:p>
          <w:p w:rsidR="00BA00F8" w:rsidRPr="00FA4395" w:rsidRDefault="00BA00F8" w:rsidP="004F4D09">
            <w:pPr>
              <w:pStyle w:val="TableText0"/>
              <w:keepNext w:val="0"/>
              <w:rPr>
                <w:szCs w:val="20"/>
              </w:rPr>
            </w:pPr>
            <w:r w:rsidRPr="00FA4395">
              <w:rPr>
                <w:szCs w:val="20"/>
              </w:rPr>
              <w:t xml:space="preserve">Yr 2: </w:t>
            </w:r>
            <w:r w:rsidR="00206529">
              <w:rPr>
                <w:szCs w:val="20"/>
              </w:rPr>
              <w:t>less than 10,000</w:t>
            </w:r>
          </w:p>
          <w:p w:rsidR="00BA00F8" w:rsidRPr="00FA4395" w:rsidRDefault="00BA00F8" w:rsidP="004F4D09">
            <w:pPr>
              <w:pStyle w:val="TableText0"/>
              <w:keepNext w:val="0"/>
              <w:rPr>
                <w:szCs w:val="20"/>
              </w:rPr>
            </w:pPr>
            <w:r w:rsidRPr="00FA4395">
              <w:rPr>
                <w:szCs w:val="20"/>
              </w:rPr>
              <w:t xml:space="preserve">Yr 3: </w:t>
            </w:r>
            <w:r w:rsidR="00206529">
              <w:rPr>
                <w:szCs w:val="20"/>
              </w:rPr>
              <w:t>less than 10,000</w:t>
            </w:r>
          </w:p>
          <w:p w:rsidR="00BA00F8" w:rsidRPr="00FA4395" w:rsidRDefault="00BA00F8" w:rsidP="004F4D09">
            <w:pPr>
              <w:pStyle w:val="TableText0"/>
              <w:keepNext w:val="0"/>
              <w:rPr>
                <w:szCs w:val="20"/>
              </w:rPr>
            </w:pPr>
            <w:r w:rsidRPr="00FA4395">
              <w:rPr>
                <w:szCs w:val="20"/>
              </w:rPr>
              <w:t xml:space="preserve">Yr 4: </w:t>
            </w:r>
            <w:r w:rsidR="00206529">
              <w:rPr>
                <w:szCs w:val="20"/>
              </w:rPr>
              <w:t>less than 10,000</w:t>
            </w:r>
          </w:p>
          <w:p w:rsidR="00BA00F8" w:rsidRPr="00FA4395" w:rsidRDefault="00BA00F8" w:rsidP="004F4D09">
            <w:pPr>
              <w:pStyle w:val="TableText0"/>
              <w:keepNext w:val="0"/>
              <w:rPr>
                <w:szCs w:val="20"/>
              </w:rPr>
            </w:pPr>
            <w:r w:rsidRPr="00FA4395">
              <w:rPr>
                <w:szCs w:val="20"/>
              </w:rPr>
              <w:t xml:space="preserve">Yr 5: </w:t>
            </w:r>
            <w:r w:rsidR="00206529">
              <w:rPr>
                <w:szCs w:val="20"/>
              </w:rPr>
              <w:t>less than 10,000</w:t>
            </w:r>
          </w:p>
          <w:p w:rsidR="00BA00F8" w:rsidRPr="00FA4395" w:rsidRDefault="00BA00F8" w:rsidP="004F4D09">
            <w:pPr>
              <w:pStyle w:val="TableText0"/>
              <w:keepNext w:val="0"/>
              <w:rPr>
                <w:szCs w:val="20"/>
              </w:rPr>
            </w:pPr>
            <w:r w:rsidRPr="00FA4395">
              <w:rPr>
                <w:szCs w:val="20"/>
              </w:rPr>
              <w:t xml:space="preserve">Yr 6: </w:t>
            </w:r>
            <w:r w:rsidR="00206529">
              <w:rPr>
                <w:szCs w:val="20"/>
              </w:rPr>
              <w:t>less than 10,000</w:t>
            </w:r>
          </w:p>
        </w:tc>
        <w:tc>
          <w:tcPr>
            <w:tcW w:w="1397" w:type="pct"/>
            <w:vAlign w:val="center"/>
          </w:tcPr>
          <w:p w:rsidR="00BA00F8" w:rsidRPr="00FA4395" w:rsidRDefault="00BA00F8" w:rsidP="00FB1506">
            <w:pPr>
              <w:pStyle w:val="TableText0"/>
              <w:keepNext w:val="0"/>
              <w:rPr>
                <w:szCs w:val="20"/>
              </w:rPr>
            </w:pPr>
            <w:r w:rsidRPr="00FA4395">
              <w:rPr>
                <w:szCs w:val="20"/>
              </w:rPr>
              <w:t>PBAC osimertinib second-line submission (July 2018). The same assumptions were used to extrapolate the figures to 2026. Cost of 2L osimertinib use were offset in the proportion of patients expected to receive 1L osimertinib (i.e. 80−85%)</w:t>
            </w:r>
            <w:r w:rsidR="00844B14" w:rsidRPr="00FA4395">
              <w:rPr>
                <w:szCs w:val="20"/>
              </w:rPr>
              <w:t xml:space="preserve">. </w:t>
            </w:r>
          </w:p>
        </w:tc>
        <w:tc>
          <w:tcPr>
            <w:tcW w:w="1599" w:type="pct"/>
            <w:vAlign w:val="center"/>
          </w:tcPr>
          <w:p w:rsidR="00182C76" w:rsidRPr="00FA4395" w:rsidRDefault="00FB1506" w:rsidP="00844B14">
            <w:pPr>
              <w:pStyle w:val="TableText0"/>
              <w:keepNext w:val="0"/>
              <w:rPr>
                <w:szCs w:val="20"/>
              </w:rPr>
            </w:pPr>
            <w:r w:rsidRPr="00FA4395">
              <w:rPr>
                <w:szCs w:val="20"/>
              </w:rPr>
              <w:t>This represented 44-45% of patients who would have received 1L EGFR-TKI in the absence of 1L osimertinib. This estimate is lower than used in the economic analysis (51.5%).</w:t>
            </w:r>
          </w:p>
          <w:p w:rsidR="000D13C0" w:rsidRPr="00FA4395" w:rsidRDefault="000D13C0" w:rsidP="00844B14">
            <w:pPr>
              <w:pStyle w:val="TableText0"/>
              <w:keepNext w:val="0"/>
              <w:rPr>
                <w:szCs w:val="20"/>
              </w:rPr>
            </w:pPr>
          </w:p>
        </w:tc>
      </w:tr>
    </w:tbl>
    <w:p w:rsidR="00BA00F8" w:rsidRPr="00C93348" w:rsidRDefault="00BA00F8" w:rsidP="00BA00F8">
      <w:pPr>
        <w:pStyle w:val="TableFigureFooter"/>
      </w:pPr>
      <w:r w:rsidRPr="00C93348">
        <w:t>Source: Table 4.1.1, p150 of the resubmission.</w:t>
      </w:r>
    </w:p>
    <w:p w:rsidR="00BA00F8" w:rsidRPr="00C93348" w:rsidRDefault="00BA00F8" w:rsidP="00BA00F8">
      <w:pPr>
        <w:pStyle w:val="TableFigureFooter"/>
      </w:pPr>
      <w:r w:rsidRPr="00C93348">
        <w:t>1L = first-line; 2L = second-line; EGFR-TKI = epidermal growth factor receptor tyrosine kinase inhibitor; EGFRm= epidermal growth factor receptor mutation positive; NSCLC = non-small cell lung cancer; RSA = risk-sharing arrangement.</w:t>
      </w:r>
    </w:p>
    <w:p w:rsidR="006D2860" w:rsidRPr="00C93348" w:rsidRDefault="00BA00F8" w:rsidP="006D2860">
      <w:pPr>
        <w:pStyle w:val="3-BodyText"/>
      </w:pPr>
      <w:r w:rsidRPr="00C93348">
        <w:t>The resubmission obtained PBS/RPBS data on the number of patients initiating treatment with a PBS-subsidised EGFR-TKI from 2014</w:t>
      </w:r>
      <w:r w:rsidRPr="00C93348">
        <w:rPr>
          <w:rFonts w:cs="Calibri"/>
        </w:rPr>
        <w:t xml:space="preserve"> to </w:t>
      </w:r>
      <w:r w:rsidRPr="00C93348">
        <w:t>2018. The number of eligible patients was extrapolated over the first six years of listing by applying a growth rate of 3% per annum to the number of patients initiating treatment in 2017.</w:t>
      </w:r>
      <w:r w:rsidR="001F5C30" w:rsidRPr="00C93348">
        <w:t xml:space="preserve"> </w:t>
      </w:r>
      <w:r w:rsidRPr="00C93348">
        <w:t xml:space="preserve">This </w:t>
      </w:r>
      <w:r w:rsidR="001F5C30" w:rsidRPr="00C93348">
        <w:t xml:space="preserve">annual </w:t>
      </w:r>
      <w:r w:rsidRPr="00C93348">
        <w:t xml:space="preserve">growth rate was based on the AIHW lung cancer incidence projections published in 2012. </w:t>
      </w:r>
      <w:r w:rsidR="001F5C30" w:rsidRPr="00C93348">
        <w:t>The PBAC considered it was appropriate to apply an annual growth rate of 2.16%</w:t>
      </w:r>
      <w:r w:rsidR="006D2860" w:rsidRPr="00C93348">
        <w:t xml:space="preserve"> as recently published by the AIHW</w:t>
      </w:r>
      <w:r w:rsidR="001A037E" w:rsidRPr="00C93348">
        <w:rPr>
          <w:rStyle w:val="FootnoteReference"/>
        </w:rPr>
        <w:footnoteReference w:id="9"/>
      </w:r>
      <w:r w:rsidR="001F5C30" w:rsidRPr="00C93348">
        <w:t xml:space="preserve">. </w:t>
      </w:r>
    </w:p>
    <w:p w:rsidR="001F5C30" w:rsidRPr="00C93348" w:rsidRDefault="006D2860" w:rsidP="001F5C30">
      <w:pPr>
        <w:pStyle w:val="3-BodyText"/>
      </w:pPr>
      <w:r w:rsidRPr="00C93348">
        <w:t>The ESC noted the financial model a</w:t>
      </w:r>
      <w:r w:rsidR="003C2195" w:rsidRPr="00C93348">
        <w:t>lso included a growth rate (</w:t>
      </w:r>
      <w:r w:rsidRPr="00C93348">
        <w:t>1%) due to increases in the prevalence of EGFRm and additional number of patients opting for PBS-subsidised treatment due to lack of trials (5% increase). The PBAC agreed with ESC that these rates were uncertain and considered application of these rates contributed to an increase in patient numbers that was not reasonable.</w:t>
      </w:r>
    </w:p>
    <w:p w:rsidR="001F5C30" w:rsidRPr="00C93348" w:rsidRDefault="00A37BB3" w:rsidP="001F5C30">
      <w:pPr>
        <w:pStyle w:val="3-BodyText"/>
      </w:pPr>
      <w:r w:rsidRPr="00C93348">
        <w:t xml:space="preserve">The ESC noted the actual number of patients treated with </w:t>
      </w:r>
      <w:r w:rsidR="00375FD0" w:rsidRPr="00C93348">
        <w:t>EGFR-</w:t>
      </w:r>
      <w:r w:rsidRPr="00C93348">
        <w:t>TKI</w:t>
      </w:r>
      <w:r w:rsidR="00375FD0" w:rsidRPr="00C93348">
        <w:t>s</w:t>
      </w:r>
      <w:r w:rsidRPr="00C93348">
        <w:t xml:space="preserve"> in 2019 should be available and requested that this be included in the ESC advice. Data provided subsequent to the ESC meeting indicated </w:t>
      </w:r>
      <w:r w:rsidR="002D3A53">
        <w:t>less than 10,000</w:t>
      </w:r>
      <w:r w:rsidR="002D3A53" w:rsidRPr="00C93348">
        <w:t xml:space="preserve"> </w:t>
      </w:r>
      <w:r w:rsidRPr="00C93348">
        <w:t xml:space="preserve">patients received an EGFR-TKI for the first time in 2019, which is </w:t>
      </w:r>
      <w:r w:rsidR="00375FD0" w:rsidRPr="00C93348">
        <w:t xml:space="preserve">lower </w:t>
      </w:r>
      <w:r w:rsidRPr="00C93348">
        <w:t>than estimated in the financial model (</w:t>
      </w:r>
      <w:r w:rsidR="002D3A53">
        <w:t>less than 10,000</w:t>
      </w:r>
      <w:r w:rsidRPr="00C93348">
        <w:t>)</w:t>
      </w:r>
      <w:r w:rsidR="00C93348" w:rsidRPr="00C93348">
        <w:t xml:space="preserve">. </w:t>
      </w:r>
    </w:p>
    <w:p w:rsidR="00BA00F8" w:rsidRPr="00C93348" w:rsidRDefault="00BA00F8" w:rsidP="00BA00F8">
      <w:pPr>
        <w:pStyle w:val="3-BodyText"/>
        <w:rPr>
          <w:color w:val="0066FF"/>
        </w:rPr>
      </w:pPr>
      <w:r w:rsidRPr="00C93348">
        <w:t>The resubmission has assumed that of those eligible for a first-line EGFR-TKI, 80% in the first year of listing would opt to be treated with osimertinib, increasing to 85% in all subsequent years. While initial uptake was higher than in the previous submission (55%, increasing to 75% in Year 3) (and so is more consistent with the ESC consideration that that majority of eligible patients would receive osimertinib in this setting (</w:t>
      </w:r>
      <w:r w:rsidR="00D309A3" w:rsidRPr="00C93348">
        <w:t xml:space="preserve">paragraph </w:t>
      </w:r>
      <w:r w:rsidRPr="00C93348">
        <w:t xml:space="preserve">6.41, Osimertinib PSD July 2019 PBAC Meeting)), the maximum rate of uptake assumed (i.e. 85%) was lower than previously estimated (90% in Years 5 and 6). </w:t>
      </w:r>
      <w:r w:rsidR="000D13C0" w:rsidRPr="00C93348">
        <w:t xml:space="preserve">The sponsor revised the uptake of osimertinib in Year 3 to 6 to 90% in the pre-PBAC response, stating this was more aligned with </w:t>
      </w:r>
      <w:r w:rsidR="00C52853" w:rsidRPr="00C93348">
        <w:t xml:space="preserve">the </w:t>
      </w:r>
      <w:r w:rsidR="000D13C0" w:rsidRPr="00C93348">
        <w:t xml:space="preserve">uptake </w:t>
      </w:r>
      <w:r w:rsidR="00C52853" w:rsidRPr="00C93348">
        <w:t xml:space="preserve">observed </w:t>
      </w:r>
      <w:r w:rsidR="000D13C0" w:rsidRPr="00C93348">
        <w:t xml:space="preserve">in overseas markets. </w:t>
      </w:r>
    </w:p>
    <w:p w:rsidR="00BA00F8" w:rsidRPr="00C93348" w:rsidRDefault="00BA00F8" w:rsidP="00A46C89">
      <w:pPr>
        <w:pStyle w:val="3-BodyText"/>
      </w:pPr>
      <w:r w:rsidRPr="00C93348">
        <w:t>The estimated number of osimertinib prescriptions dispensed per patient was based on the median actual treatment duration (</w:t>
      </w:r>
      <w:r w:rsidR="00DE673E" w:rsidRPr="00215980">
        <w:t>20.7</w:t>
      </w:r>
      <w:r w:rsidRPr="00C93348">
        <w:t xml:space="preserve"> months) reported in the FLAURA trial. As one osimertinib prescription supplies 30 days of therapy, this equates to </w:t>
      </w:r>
      <w:r w:rsidR="00B27C72">
        <w:rPr>
          <w:noProof/>
          <w:color w:val="000000"/>
          <w:highlight w:val="black"/>
        </w:rPr>
        <w:t xml:space="preserve">''''' </w:t>
      </w:r>
      <w:r w:rsidRPr="00C93348">
        <w:t>scripts</w:t>
      </w:r>
      <w:r w:rsidR="00A46C89" w:rsidRPr="00C93348">
        <w:rPr>
          <w:rStyle w:val="FootnoteReference"/>
        </w:rPr>
        <w:footnoteReference w:id="10"/>
      </w:r>
      <w:r w:rsidRPr="00C93348">
        <w:t xml:space="preserve"> per patient (</w:t>
      </w:r>
      <w:r w:rsidR="00B27C72">
        <w:rPr>
          <w:noProof/>
          <w:color w:val="000000"/>
          <w:highlight w:val="black"/>
        </w:rPr>
        <w:t>'''''''''''</w:t>
      </w:r>
      <w:r w:rsidRPr="00C93348">
        <w:t xml:space="preserve"> in the first year of treatment, and </w:t>
      </w:r>
      <w:r w:rsidR="00B27C72">
        <w:rPr>
          <w:noProof/>
          <w:color w:val="000000"/>
          <w:highlight w:val="black"/>
        </w:rPr>
        <w:t>''''''''</w:t>
      </w:r>
      <w:r w:rsidRPr="00C93348">
        <w:t xml:space="preserve"> in the second year). The resubmission has proposed a subsidisation cap based on </w:t>
      </w:r>
      <w:r w:rsidR="00F97082" w:rsidRPr="00C93348">
        <w:t xml:space="preserve">an average of </w:t>
      </w:r>
      <w:r w:rsidR="00B27C72">
        <w:rPr>
          <w:noProof/>
          <w:color w:val="000000"/>
          <w:highlight w:val="black"/>
        </w:rPr>
        <w:t xml:space="preserve">''''' </w:t>
      </w:r>
      <w:r w:rsidRPr="00C93348">
        <w:t>packs per patient</w:t>
      </w:r>
      <w:r w:rsidR="00952DEA" w:rsidRPr="00C93348">
        <w:t>.</w:t>
      </w:r>
    </w:p>
    <w:p w:rsidR="00BA00F8" w:rsidRPr="00C93348" w:rsidRDefault="00BA00F8" w:rsidP="00BA00F8">
      <w:pPr>
        <w:pStyle w:val="3-BodyText"/>
      </w:pPr>
      <w:r w:rsidRPr="00C93348">
        <w:t xml:space="preserve">The resubmission additionally considered that there would be </w:t>
      </w:r>
      <w:r w:rsidR="00746BBB">
        <w:t>less than 10,000</w:t>
      </w:r>
      <w:r w:rsidR="00746BBB" w:rsidRPr="00C93348">
        <w:t xml:space="preserve"> </w:t>
      </w:r>
      <w:r w:rsidRPr="00C93348">
        <w:t>patients grandfathered onto PBS-subsidised treatment. This estimate was not justified in the resubmission</w:t>
      </w:r>
      <w:r w:rsidR="003901A6" w:rsidRPr="00C93348">
        <w:t>.</w:t>
      </w:r>
      <w:r w:rsidR="004A0B30" w:rsidRPr="00C93348">
        <w:t xml:space="preserve"> </w:t>
      </w:r>
      <w:r w:rsidRPr="00C93348">
        <w:t xml:space="preserve">Grandfathered patients were each assumed to receive </w:t>
      </w:r>
      <w:r w:rsidR="00B27C72">
        <w:rPr>
          <w:noProof/>
          <w:color w:val="000000"/>
          <w:highlight w:val="black"/>
        </w:rPr>
        <w:t>'''''''''''</w:t>
      </w:r>
      <w:r w:rsidRPr="00C93348">
        <w:t xml:space="preserve"> scripts.</w:t>
      </w:r>
      <w:r w:rsidR="00D346BF" w:rsidRPr="00C93348">
        <w:t xml:space="preserve"> The ESC </w:t>
      </w:r>
      <w:r w:rsidR="00CF192D" w:rsidRPr="00C93348">
        <w:t xml:space="preserve">considered the number of grandfathered patients may be overestimated and the use of </w:t>
      </w:r>
      <w:r w:rsidR="00B27C72">
        <w:rPr>
          <w:noProof/>
          <w:color w:val="000000"/>
          <w:highlight w:val="black"/>
        </w:rPr>
        <w:t>''''''''''''</w:t>
      </w:r>
      <w:r w:rsidR="00CF192D" w:rsidRPr="00C93348">
        <w:t xml:space="preserve"> scripts to estimate the treatment cost for grandfathered patients may not be reasonable. </w:t>
      </w:r>
    </w:p>
    <w:p w:rsidR="00BA00F8" w:rsidRPr="00C93348" w:rsidRDefault="00BA00F8" w:rsidP="00BA00F8">
      <w:pPr>
        <w:pStyle w:val="3-BodyText"/>
      </w:pPr>
      <w:r w:rsidRPr="00C93348">
        <w:t xml:space="preserve">The numbers of prescriptions for erlotinib, gefitinib and afatinib were estimated based on the actual average treatment duration of </w:t>
      </w:r>
      <w:r w:rsidR="00D72D9F" w:rsidRPr="00C93348">
        <w:t>SC</w:t>
      </w:r>
      <w:r w:rsidRPr="00C93348">
        <w:t xml:space="preserve"> in the FLAURA trial (14.42 months). Adjusting for the pack size for these agents, the average number of prescriptions dispensed per patient was estimated to be 14.63 for erlotinib and gefitinib (12.18 scripts in the first year of treatment, and 2.45 in the second) and 15.67 for afatinib (12.18</w:t>
      </w:r>
      <w:r w:rsidRPr="00C93348">
        <w:rPr>
          <w:rStyle w:val="FootnoteReference"/>
        </w:rPr>
        <w:footnoteReference w:id="11"/>
      </w:r>
      <w:r w:rsidRPr="00C93348">
        <w:t xml:space="preserve"> in the first year, and 3.50 in the second). </w:t>
      </w:r>
      <w:r w:rsidR="00D46B00" w:rsidRPr="00C93348">
        <w:t>G</w:t>
      </w:r>
      <w:r w:rsidRPr="00C93348">
        <w:t xml:space="preserve">iven that fewer than 5% of patients randomised to </w:t>
      </w:r>
      <w:r w:rsidR="00D72D9F" w:rsidRPr="00C93348">
        <w:t>SC</w:t>
      </w:r>
      <w:r w:rsidRPr="00C93348">
        <w:t xml:space="preserve"> in FLAURA remained on treatment at the latest data cut, the use of these estimates was reasonable.</w:t>
      </w:r>
    </w:p>
    <w:p w:rsidR="00BA00F8" w:rsidRPr="00C93348" w:rsidRDefault="00BA00F8" w:rsidP="00BA00F8">
      <w:pPr>
        <w:pStyle w:val="3-BodyText"/>
      </w:pPr>
      <w:r w:rsidRPr="00C93348">
        <w:t xml:space="preserve">The reduction in the number of patients that would have received second-line osimertinib was based on estimates presented in the July 2018 submission for osimertinib in the later-line T790M M+ NSCLC setting. The same rate of first-line osimertinib </w:t>
      </w:r>
      <w:r w:rsidR="00BF6149" w:rsidRPr="00C93348">
        <w:t xml:space="preserve">uptake </w:t>
      </w:r>
      <w:r w:rsidR="00BF6149">
        <w:t>as</w:t>
      </w:r>
      <w:r w:rsidR="0022738E">
        <w:t xml:space="preserve"> applied in the resubmission </w:t>
      </w:r>
      <w:r w:rsidRPr="00C93348">
        <w:t>(i.e. 80% in Year 1, increasing to 85% in subsequent years) was applied to estimate the number of patients in whom a reduction in second-line use of osimertinib is assumed.</w:t>
      </w:r>
    </w:p>
    <w:p w:rsidR="00BA00F8" w:rsidRPr="00C93348" w:rsidRDefault="00BA00F8" w:rsidP="00BA00F8">
      <w:pPr>
        <w:pStyle w:val="3-BodyText"/>
      </w:pPr>
      <w:r w:rsidRPr="00C93348">
        <w:t xml:space="preserve">The resubmission </w:t>
      </w:r>
      <w:r w:rsidR="00BB0DD0" w:rsidRPr="00C93348">
        <w:t xml:space="preserve">estimated the reduction in cost of second-line osimertinib </w:t>
      </w:r>
      <w:r w:rsidRPr="00C93348">
        <w:t>by applying the average cost per patient of $</w:t>
      </w:r>
      <w:r w:rsidR="00B27C72">
        <w:rPr>
          <w:noProof/>
          <w:color w:val="000000"/>
          <w:highlight w:val="black"/>
        </w:rPr>
        <w:t>''''''''''''''</w:t>
      </w:r>
      <w:r w:rsidRPr="00C93348">
        <w:t xml:space="preserve"> from the current (second-line) osimertinib RSA to the estimated number of patients who would no longer receive treatment with osimertinib in the second-line setting. However, the average cost per patient is intended to be achieved via subsidisation caps and is therefore dependent on estimated utilisation being met or exceed</w:t>
      </w:r>
      <w:r w:rsidR="00CB0DE7" w:rsidRPr="00C93348">
        <w:t>ed</w:t>
      </w:r>
      <w:r w:rsidRPr="00C93348">
        <w:t>.</w:t>
      </w:r>
    </w:p>
    <w:p w:rsidR="00BA00F8" w:rsidRPr="00C93348" w:rsidRDefault="00BA00F8" w:rsidP="00E74E19">
      <w:pPr>
        <w:pStyle w:val="3-BodyText"/>
      </w:pPr>
      <w:r w:rsidRPr="00C93348">
        <w:t>The resubmission proposed an additional rebate of $</w:t>
      </w:r>
      <w:r w:rsidR="00B27C72">
        <w:rPr>
          <w:noProof/>
          <w:color w:val="000000"/>
          <w:highlight w:val="black"/>
        </w:rPr>
        <w:t>''''''''''''''</w:t>
      </w:r>
      <w:r w:rsidRPr="00C93348">
        <w:t xml:space="preserve"> for each estimated osimertinib prescription in the first-line setting. While it </w:t>
      </w:r>
      <w:r w:rsidR="00F02265" w:rsidRPr="00C93348">
        <w:t>was</w:t>
      </w:r>
      <w:r w:rsidRPr="00C93348">
        <w:t xml:space="preserve"> proposed that the rebate arrangement is limited to a term of 5 years from the date of osimertinib PBS listing, the rebate </w:t>
      </w:r>
      <w:r w:rsidR="00F02265" w:rsidRPr="00C93348">
        <w:t xml:space="preserve">was </w:t>
      </w:r>
      <w:r w:rsidRPr="00C93348">
        <w:t xml:space="preserve">additionally estimated and applied in the sixth year estimates presented in the resubmission. </w:t>
      </w:r>
      <w:r w:rsidR="008965A8" w:rsidRPr="00C93348">
        <w:t xml:space="preserve">This was corrected during the evaluation. </w:t>
      </w:r>
      <w:r w:rsidR="00E74E19" w:rsidRPr="00E74E19">
        <w:t>The sponsor increased the proposed rebate to $</w:t>
      </w:r>
      <w:r w:rsidR="00B27C72">
        <w:rPr>
          <w:noProof/>
          <w:color w:val="000000"/>
          <w:highlight w:val="black"/>
        </w:rPr>
        <w:t>'''''''''''''''</w:t>
      </w:r>
      <w:r w:rsidR="00E74E19" w:rsidRPr="00E74E19">
        <w:t xml:space="preserve"> in the pre-PBAC response</w:t>
      </w:r>
      <w:r w:rsidR="00E74E19">
        <w:t>.</w:t>
      </w:r>
    </w:p>
    <w:p w:rsidR="00BA00F8" w:rsidRPr="00CC4472" w:rsidRDefault="00BA00F8" w:rsidP="00BA00F8">
      <w:pPr>
        <w:pStyle w:val="3-BodyText"/>
      </w:pPr>
      <w:r w:rsidRPr="00C93348">
        <w:t>The estimated use of first-line osimertinib and associated financial impact are summarised below.</w:t>
      </w:r>
      <w:r w:rsidR="00EA2F9B" w:rsidRPr="00C93348">
        <w:t xml:space="preserve"> The estimates presented include (a) correction to number of afatinib scripts per patient per year </w:t>
      </w:r>
      <w:r w:rsidR="00CF192D" w:rsidRPr="00C93348">
        <w:t>(</w:t>
      </w:r>
      <w:r w:rsidR="00CF192D" w:rsidRPr="00CC4472">
        <w:t>paragraph 6.4</w:t>
      </w:r>
      <w:r w:rsidR="00CC4472" w:rsidRPr="00CC4472">
        <w:t>9</w:t>
      </w:r>
      <w:r w:rsidR="00CF192D" w:rsidRPr="00CC4472">
        <w:t xml:space="preserve">) </w:t>
      </w:r>
      <w:r w:rsidR="00EA2F9B" w:rsidRPr="00CC4472">
        <w:t>(b) amendment to gefitinib DPMQ to account for a reduction that occurred on 1 April 2020</w:t>
      </w:r>
      <w:r w:rsidR="008965A8" w:rsidRPr="00CC4472">
        <w:t xml:space="preserve"> and (c) removal of the rebate in Year 6 (paragraph 6.5</w:t>
      </w:r>
      <w:r w:rsidR="00CC4472" w:rsidRPr="00CC4472">
        <w:t>4</w:t>
      </w:r>
      <w:r w:rsidR="008965A8" w:rsidRPr="00CC4472">
        <w:t>)</w:t>
      </w:r>
      <w:r w:rsidR="00EA2F9B" w:rsidRPr="00CC4472">
        <w:t xml:space="preserve">. </w:t>
      </w:r>
    </w:p>
    <w:p w:rsidR="00BA00F8" w:rsidRPr="00C93348" w:rsidRDefault="00BA00F8" w:rsidP="003C0631">
      <w:pPr>
        <w:pStyle w:val="TableFigureHeading"/>
        <w:rPr>
          <w:rStyle w:val="CommentReference"/>
          <w:rFonts w:ascii="Calibri" w:hAnsi="Calibri"/>
          <w:b/>
          <w:sz w:val="18"/>
          <w:szCs w:val="18"/>
        </w:rPr>
      </w:pPr>
      <w:r w:rsidRPr="00C93348">
        <w:t xml:space="preserve">Table </w:t>
      </w:r>
      <w:r w:rsidR="00CC4472">
        <w:rPr>
          <w:noProof/>
        </w:rPr>
        <w:t>17</w:t>
      </w:r>
      <w:r w:rsidRPr="00C93348">
        <w:t>:</w:t>
      </w:r>
      <w:r w:rsidRPr="00C93348">
        <w:rPr>
          <w:rStyle w:val="CommentReference"/>
          <w:b/>
          <w:szCs w:val="24"/>
        </w:rPr>
        <w:t xml:space="preserve"> Estimated use and financial implications</w:t>
      </w:r>
      <w:r w:rsidR="00D346BF" w:rsidRPr="00C93348">
        <w:rPr>
          <w:rStyle w:val="CommentReference"/>
          <w:b/>
          <w:szCs w:val="24"/>
        </w:rPr>
        <w:t xml:space="preserve"> </w:t>
      </w:r>
    </w:p>
    <w:tbl>
      <w:tblPr>
        <w:tblStyle w:val="TableGrid"/>
        <w:tblW w:w="5001" w:type="pct"/>
        <w:tblLayout w:type="fixed"/>
        <w:tblLook w:val="04A0" w:firstRow="1" w:lastRow="0" w:firstColumn="1" w:lastColumn="0" w:noHBand="0" w:noVBand="1"/>
      </w:tblPr>
      <w:tblGrid>
        <w:gridCol w:w="2404"/>
        <w:gridCol w:w="1279"/>
        <w:gridCol w:w="1133"/>
        <w:gridCol w:w="1043"/>
        <w:gridCol w:w="1053"/>
        <w:gridCol w:w="1055"/>
        <w:gridCol w:w="1052"/>
      </w:tblGrid>
      <w:tr w:rsidR="00BA00F8" w:rsidRPr="00C93348" w:rsidTr="004F4D09">
        <w:trPr>
          <w:trHeight w:val="255"/>
        </w:trPr>
        <w:tc>
          <w:tcPr>
            <w:tcW w:w="1333" w:type="pct"/>
            <w:tcBorders>
              <w:bottom w:val="single" w:sz="4" w:space="0" w:color="auto"/>
            </w:tcBorders>
            <w:noWrap/>
          </w:tcPr>
          <w:p w:rsidR="00BA00F8" w:rsidRPr="00FA4395" w:rsidRDefault="00BA00F8" w:rsidP="003C0631">
            <w:pPr>
              <w:pStyle w:val="In-tableHeading"/>
              <w:ind w:hanging="84"/>
              <w:rPr>
                <w:szCs w:val="20"/>
                <w:lang w:val="en-AU"/>
              </w:rPr>
            </w:pPr>
          </w:p>
        </w:tc>
        <w:tc>
          <w:tcPr>
            <w:tcW w:w="709"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1</w:t>
            </w:r>
          </w:p>
        </w:tc>
        <w:tc>
          <w:tcPr>
            <w:tcW w:w="628"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2</w:t>
            </w:r>
          </w:p>
        </w:tc>
        <w:tc>
          <w:tcPr>
            <w:tcW w:w="578"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3</w:t>
            </w:r>
          </w:p>
        </w:tc>
        <w:tc>
          <w:tcPr>
            <w:tcW w:w="584"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4</w:t>
            </w:r>
          </w:p>
        </w:tc>
        <w:tc>
          <w:tcPr>
            <w:tcW w:w="585"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5</w:t>
            </w:r>
          </w:p>
        </w:tc>
        <w:tc>
          <w:tcPr>
            <w:tcW w:w="583" w:type="pct"/>
            <w:tcBorders>
              <w:bottom w:val="single" w:sz="4" w:space="0" w:color="auto"/>
            </w:tcBorders>
            <w:noWrap/>
          </w:tcPr>
          <w:p w:rsidR="00BA00F8" w:rsidRPr="00FA4395" w:rsidRDefault="00BA00F8" w:rsidP="003C0631">
            <w:pPr>
              <w:pStyle w:val="In-tableHeading"/>
              <w:ind w:right="-96"/>
              <w:jc w:val="center"/>
              <w:rPr>
                <w:szCs w:val="20"/>
                <w:lang w:val="en-AU"/>
              </w:rPr>
            </w:pPr>
            <w:r w:rsidRPr="00FA4395">
              <w:rPr>
                <w:szCs w:val="20"/>
                <w:lang w:val="en-AU"/>
              </w:rPr>
              <w:t>Year 6</w:t>
            </w:r>
          </w:p>
        </w:tc>
      </w:tr>
      <w:tr w:rsidR="00BA00F8" w:rsidRPr="00C93348" w:rsidTr="002A2688">
        <w:trPr>
          <w:trHeight w:val="255"/>
        </w:trPr>
        <w:tc>
          <w:tcPr>
            <w:tcW w:w="1333" w:type="pct"/>
            <w:tcBorders>
              <w:bottom w:val="single" w:sz="4" w:space="0" w:color="auto"/>
              <w:right w:val="nil"/>
            </w:tcBorders>
            <w:noWrap/>
          </w:tcPr>
          <w:p w:rsidR="00BA00F8" w:rsidRPr="00FA4395" w:rsidRDefault="00BA00F8" w:rsidP="003C0631">
            <w:pPr>
              <w:pStyle w:val="In-tableHeading"/>
              <w:ind w:hanging="84"/>
              <w:rPr>
                <w:szCs w:val="20"/>
                <w:lang w:val="en-AU"/>
              </w:rPr>
            </w:pPr>
            <w:r w:rsidRPr="00FA4395">
              <w:rPr>
                <w:szCs w:val="20"/>
                <w:lang w:val="en-AU"/>
              </w:rPr>
              <w:t>Estimated extent of use</w:t>
            </w:r>
          </w:p>
        </w:tc>
        <w:tc>
          <w:tcPr>
            <w:tcW w:w="709" w:type="pct"/>
            <w:tcBorders>
              <w:left w:val="nil"/>
              <w:bottom w:val="single" w:sz="4" w:space="0" w:color="auto"/>
              <w:right w:val="nil"/>
            </w:tcBorders>
            <w:noWrap/>
          </w:tcPr>
          <w:p w:rsidR="00BA00F8" w:rsidRPr="00FA4395" w:rsidRDefault="00BA00F8" w:rsidP="003C0631">
            <w:pPr>
              <w:pStyle w:val="In-tableHeading"/>
              <w:ind w:right="-96"/>
              <w:jc w:val="center"/>
              <w:rPr>
                <w:szCs w:val="20"/>
                <w:lang w:val="en-AU"/>
              </w:rPr>
            </w:pPr>
          </w:p>
        </w:tc>
        <w:tc>
          <w:tcPr>
            <w:tcW w:w="628" w:type="pct"/>
            <w:tcBorders>
              <w:left w:val="nil"/>
              <w:bottom w:val="single" w:sz="4" w:space="0" w:color="auto"/>
              <w:right w:val="nil"/>
            </w:tcBorders>
            <w:noWrap/>
          </w:tcPr>
          <w:p w:rsidR="00BA00F8" w:rsidRPr="00FA4395" w:rsidRDefault="00BA00F8" w:rsidP="003C0631">
            <w:pPr>
              <w:pStyle w:val="In-tableHeading"/>
              <w:ind w:right="-96"/>
              <w:jc w:val="center"/>
              <w:rPr>
                <w:szCs w:val="20"/>
                <w:lang w:val="en-AU"/>
              </w:rPr>
            </w:pPr>
          </w:p>
        </w:tc>
        <w:tc>
          <w:tcPr>
            <w:tcW w:w="578" w:type="pct"/>
            <w:tcBorders>
              <w:left w:val="nil"/>
              <w:bottom w:val="single" w:sz="4" w:space="0" w:color="auto"/>
              <w:right w:val="nil"/>
            </w:tcBorders>
            <w:noWrap/>
          </w:tcPr>
          <w:p w:rsidR="00BA00F8" w:rsidRPr="00FA4395" w:rsidRDefault="00BA00F8" w:rsidP="003C0631">
            <w:pPr>
              <w:pStyle w:val="In-tableHeading"/>
              <w:ind w:right="-96"/>
              <w:jc w:val="center"/>
              <w:rPr>
                <w:szCs w:val="20"/>
                <w:lang w:val="en-AU"/>
              </w:rPr>
            </w:pPr>
          </w:p>
        </w:tc>
        <w:tc>
          <w:tcPr>
            <w:tcW w:w="584" w:type="pct"/>
            <w:tcBorders>
              <w:left w:val="nil"/>
              <w:bottom w:val="single" w:sz="4" w:space="0" w:color="auto"/>
              <w:right w:val="nil"/>
            </w:tcBorders>
            <w:noWrap/>
          </w:tcPr>
          <w:p w:rsidR="00BA00F8" w:rsidRPr="00FA4395" w:rsidRDefault="00BA00F8" w:rsidP="003C0631">
            <w:pPr>
              <w:pStyle w:val="In-tableHeading"/>
              <w:ind w:right="-96"/>
              <w:jc w:val="center"/>
              <w:rPr>
                <w:szCs w:val="20"/>
                <w:lang w:val="en-AU"/>
              </w:rPr>
            </w:pPr>
          </w:p>
        </w:tc>
        <w:tc>
          <w:tcPr>
            <w:tcW w:w="585" w:type="pct"/>
            <w:tcBorders>
              <w:left w:val="nil"/>
              <w:bottom w:val="single" w:sz="4" w:space="0" w:color="auto"/>
              <w:right w:val="nil"/>
            </w:tcBorders>
            <w:noWrap/>
          </w:tcPr>
          <w:p w:rsidR="00BA00F8" w:rsidRPr="00FA4395" w:rsidRDefault="00BA00F8" w:rsidP="003C0631">
            <w:pPr>
              <w:pStyle w:val="In-tableHeading"/>
              <w:ind w:right="-96"/>
              <w:jc w:val="center"/>
              <w:rPr>
                <w:szCs w:val="20"/>
                <w:lang w:val="en-AU"/>
              </w:rPr>
            </w:pPr>
          </w:p>
        </w:tc>
        <w:tc>
          <w:tcPr>
            <w:tcW w:w="583" w:type="pct"/>
            <w:tcBorders>
              <w:left w:val="nil"/>
              <w:bottom w:val="single" w:sz="4" w:space="0" w:color="auto"/>
            </w:tcBorders>
            <w:noWrap/>
          </w:tcPr>
          <w:p w:rsidR="00BA00F8" w:rsidRPr="00FA4395" w:rsidRDefault="00BA00F8" w:rsidP="003C0631">
            <w:pPr>
              <w:pStyle w:val="In-tableHeading"/>
              <w:ind w:right="-96"/>
              <w:jc w:val="center"/>
              <w:rPr>
                <w:szCs w:val="20"/>
                <w:lang w:val="en-AU"/>
              </w:rPr>
            </w:pPr>
          </w:p>
        </w:tc>
      </w:tr>
      <w:tr w:rsidR="00BA00F8" w:rsidRPr="00C93348" w:rsidTr="004F4D09">
        <w:trPr>
          <w:trHeight w:val="255"/>
        </w:trPr>
        <w:tc>
          <w:tcPr>
            <w:tcW w:w="1333" w:type="pct"/>
            <w:tcBorders>
              <w:top w:val="single" w:sz="4" w:space="0" w:color="auto"/>
              <w:bottom w:val="nil"/>
            </w:tcBorders>
            <w:noWrap/>
          </w:tcPr>
          <w:p w:rsidR="00BA00F8" w:rsidRPr="00FA4395" w:rsidRDefault="00BA00F8" w:rsidP="003C0631">
            <w:pPr>
              <w:pStyle w:val="TableText0"/>
              <w:ind w:left="-85"/>
              <w:rPr>
                <w:szCs w:val="20"/>
              </w:rPr>
            </w:pPr>
            <w:r w:rsidRPr="00FA4395">
              <w:rPr>
                <w:szCs w:val="20"/>
              </w:rPr>
              <w:t>Eligible patients</w:t>
            </w:r>
          </w:p>
        </w:tc>
        <w:tc>
          <w:tcPr>
            <w:tcW w:w="709"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628"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78"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4"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5"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3" w:type="pct"/>
            <w:tcBorders>
              <w:top w:val="single" w:sz="4" w:space="0" w:color="auto"/>
              <w:bottom w:val="nil"/>
            </w:tcBorders>
            <w:noWrap/>
          </w:tcPr>
          <w:p w:rsidR="00BA00F8" w:rsidRPr="00B27C72" w:rsidRDefault="00B27C72" w:rsidP="009D638B">
            <w:pPr>
              <w:pStyle w:val="TableText0"/>
              <w:ind w:hanging="120"/>
              <w:jc w:val="center"/>
              <w:rPr>
                <w:szCs w:val="20"/>
                <w:highlight w:val="black"/>
              </w:rPr>
            </w:pPr>
            <w:r>
              <w:rPr>
                <w:noProof/>
                <w:color w:val="000000"/>
                <w:szCs w:val="20"/>
                <w:highlight w:val="black"/>
              </w:rPr>
              <w:t>''''''''''</w:t>
            </w:r>
          </w:p>
        </w:tc>
      </w:tr>
      <w:tr w:rsidR="002A2688" w:rsidRPr="00C93348" w:rsidTr="002A2688">
        <w:trPr>
          <w:trHeight w:val="255"/>
        </w:trPr>
        <w:tc>
          <w:tcPr>
            <w:tcW w:w="1333" w:type="pct"/>
            <w:tcBorders>
              <w:top w:val="nil"/>
              <w:bottom w:val="nil"/>
            </w:tcBorders>
            <w:noWrap/>
          </w:tcPr>
          <w:p w:rsidR="002A2688" w:rsidRPr="00FA4395" w:rsidRDefault="002A2688" w:rsidP="003C0631">
            <w:pPr>
              <w:pStyle w:val="TableText0"/>
              <w:ind w:left="-85"/>
              <w:rPr>
                <w:szCs w:val="20"/>
              </w:rPr>
            </w:pPr>
            <w:r w:rsidRPr="00FA4395">
              <w:rPr>
                <w:szCs w:val="20"/>
              </w:rPr>
              <w:t>No. that uptake 1L osimertinib</w:t>
            </w:r>
            <w:r w:rsidRPr="00FA4395">
              <w:rPr>
                <w:szCs w:val="20"/>
                <w:vertAlign w:val="superscript"/>
              </w:rPr>
              <w:t>a</w:t>
            </w:r>
          </w:p>
        </w:tc>
        <w:tc>
          <w:tcPr>
            <w:tcW w:w="709"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628"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578"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584"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585"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583"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r>
      <w:tr w:rsidR="002A2688" w:rsidRPr="00C93348" w:rsidTr="002A2688">
        <w:trPr>
          <w:trHeight w:val="255"/>
        </w:trPr>
        <w:tc>
          <w:tcPr>
            <w:tcW w:w="1333" w:type="pct"/>
            <w:tcBorders>
              <w:top w:val="nil"/>
              <w:bottom w:val="nil"/>
            </w:tcBorders>
            <w:noWrap/>
          </w:tcPr>
          <w:p w:rsidR="002A2688" w:rsidRPr="00FA4395" w:rsidRDefault="002A2688" w:rsidP="003C0631">
            <w:pPr>
              <w:pStyle w:val="TableText0"/>
              <w:ind w:left="-85"/>
              <w:rPr>
                <w:szCs w:val="20"/>
              </w:rPr>
            </w:pPr>
            <w:r w:rsidRPr="00FA4395">
              <w:rPr>
                <w:szCs w:val="20"/>
              </w:rPr>
              <w:t>Grandfathered patients</w:t>
            </w:r>
          </w:p>
        </w:tc>
        <w:tc>
          <w:tcPr>
            <w:tcW w:w="709" w:type="pct"/>
            <w:tcBorders>
              <w:top w:val="nil"/>
              <w:bottom w:val="nil"/>
            </w:tcBorders>
            <w:noWrap/>
          </w:tcPr>
          <w:p w:rsidR="002A2688" w:rsidRPr="00B27C72" w:rsidRDefault="00B27C72" w:rsidP="009D638B">
            <w:pPr>
              <w:pStyle w:val="TableText0"/>
              <w:ind w:hanging="120"/>
              <w:jc w:val="center"/>
              <w:rPr>
                <w:szCs w:val="20"/>
                <w:highlight w:val="black"/>
              </w:rPr>
            </w:pPr>
            <w:r>
              <w:rPr>
                <w:noProof/>
                <w:color w:val="000000"/>
                <w:szCs w:val="20"/>
                <w:highlight w:val="black"/>
              </w:rPr>
              <w:t>''''''''''</w:t>
            </w:r>
          </w:p>
        </w:tc>
        <w:tc>
          <w:tcPr>
            <w:tcW w:w="628" w:type="pct"/>
            <w:tcBorders>
              <w:top w:val="nil"/>
              <w:bottom w:val="nil"/>
            </w:tcBorders>
            <w:noWrap/>
          </w:tcPr>
          <w:p w:rsidR="002A2688" w:rsidRPr="00B27C72" w:rsidRDefault="002A2688" w:rsidP="009D638B">
            <w:pPr>
              <w:pStyle w:val="TableText0"/>
              <w:ind w:hanging="120"/>
              <w:jc w:val="center"/>
              <w:rPr>
                <w:szCs w:val="20"/>
              </w:rPr>
            </w:pPr>
          </w:p>
        </w:tc>
        <w:tc>
          <w:tcPr>
            <w:tcW w:w="578" w:type="pct"/>
            <w:tcBorders>
              <w:top w:val="nil"/>
              <w:bottom w:val="nil"/>
            </w:tcBorders>
            <w:noWrap/>
          </w:tcPr>
          <w:p w:rsidR="002A2688" w:rsidRPr="00B27C72" w:rsidRDefault="002A2688" w:rsidP="009D638B">
            <w:pPr>
              <w:pStyle w:val="TableText0"/>
              <w:ind w:hanging="120"/>
              <w:jc w:val="center"/>
              <w:rPr>
                <w:szCs w:val="20"/>
              </w:rPr>
            </w:pPr>
          </w:p>
        </w:tc>
        <w:tc>
          <w:tcPr>
            <w:tcW w:w="584" w:type="pct"/>
            <w:tcBorders>
              <w:top w:val="nil"/>
              <w:bottom w:val="nil"/>
            </w:tcBorders>
            <w:noWrap/>
          </w:tcPr>
          <w:p w:rsidR="002A2688" w:rsidRPr="00B27C72" w:rsidRDefault="002A2688" w:rsidP="009D638B">
            <w:pPr>
              <w:pStyle w:val="TableText0"/>
              <w:ind w:hanging="120"/>
              <w:jc w:val="center"/>
              <w:rPr>
                <w:szCs w:val="20"/>
              </w:rPr>
            </w:pPr>
          </w:p>
        </w:tc>
        <w:tc>
          <w:tcPr>
            <w:tcW w:w="585" w:type="pct"/>
            <w:tcBorders>
              <w:top w:val="nil"/>
              <w:bottom w:val="nil"/>
            </w:tcBorders>
            <w:noWrap/>
          </w:tcPr>
          <w:p w:rsidR="002A2688" w:rsidRPr="00B27C72" w:rsidRDefault="002A2688" w:rsidP="009D638B">
            <w:pPr>
              <w:pStyle w:val="TableText0"/>
              <w:ind w:hanging="120"/>
              <w:jc w:val="center"/>
              <w:rPr>
                <w:szCs w:val="20"/>
              </w:rPr>
            </w:pPr>
          </w:p>
        </w:tc>
        <w:tc>
          <w:tcPr>
            <w:tcW w:w="583" w:type="pct"/>
            <w:tcBorders>
              <w:top w:val="nil"/>
              <w:bottom w:val="nil"/>
            </w:tcBorders>
            <w:noWrap/>
          </w:tcPr>
          <w:p w:rsidR="002A2688" w:rsidRPr="00B27C72" w:rsidRDefault="002A2688" w:rsidP="009D638B">
            <w:pPr>
              <w:pStyle w:val="TableText0"/>
              <w:ind w:hanging="120"/>
              <w:jc w:val="center"/>
              <w:rPr>
                <w:szCs w:val="20"/>
              </w:rPr>
            </w:pPr>
          </w:p>
        </w:tc>
      </w:tr>
      <w:tr w:rsidR="00BA00F8" w:rsidRPr="00C93348" w:rsidTr="004F4D09">
        <w:trPr>
          <w:trHeight w:val="255"/>
        </w:trPr>
        <w:tc>
          <w:tcPr>
            <w:tcW w:w="1333" w:type="pct"/>
            <w:tcBorders>
              <w:top w:val="nil"/>
              <w:bottom w:val="nil"/>
            </w:tcBorders>
            <w:noWrap/>
            <w:hideMark/>
          </w:tcPr>
          <w:p w:rsidR="00BA00F8" w:rsidRPr="00FA4395" w:rsidRDefault="00BA00F8" w:rsidP="003C0631">
            <w:pPr>
              <w:pStyle w:val="TableText0"/>
              <w:ind w:left="-85"/>
              <w:rPr>
                <w:szCs w:val="20"/>
              </w:rPr>
            </w:pPr>
            <w:r w:rsidRPr="00FA4395">
              <w:rPr>
                <w:szCs w:val="20"/>
              </w:rPr>
              <w:t>No. patients that uptake 1L osimertinib</w:t>
            </w:r>
          </w:p>
        </w:tc>
        <w:tc>
          <w:tcPr>
            <w:tcW w:w="709"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628"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78"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4"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5"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c>
          <w:tcPr>
            <w:tcW w:w="583" w:type="pct"/>
            <w:tcBorders>
              <w:top w:val="nil"/>
              <w:bottom w:val="nil"/>
            </w:tcBorders>
            <w:noWrap/>
            <w:hideMark/>
          </w:tcPr>
          <w:p w:rsidR="00BA00F8" w:rsidRPr="00B27C72" w:rsidRDefault="00B27C72" w:rsidP="009D638B">
            <w:pPr>
              <w:pStyle w:val="TableText0"/>
              <w:ind w:hanging="120"/>
              <w:jc w:val="center"/>
              <w:rPr>
                <w:szCs w:val="20"/>
                <w:highlight w:val="black"/>
              </w:rPr>
            </w:pPr>
            <w:r>
              <w:rPr>
                <w:noProof/>
                <w:color w:val="000000"/>
                <w:szCs w:val="20"/>
                <w:highlight w:val="black"/>
              </w:rPr>
              <w:t>''''''''</w:t>
            </w:r>
          </w:p>
        </w:tc>
      </w:tr>
      <w:tr w:rsidR="00BA00F8" w:rsidRPr="00C93348" w:rsidTr="004F4D09">
        <w:trPr>
          <w:trHeight w:val="255"/>
        </w:trPr>
        <w:tc>
          <w:tcPr>
            <w:tcW w:w="1333" w:type="pct"/>
            <w:tcBorders>
              <w:top w:val="nil"/>
              <w:bottom w:val="single" w:sz="4" w:space="0" w:color="auto"/>
            </w:tcBorders>
            <w:noWrap/>
          </w:tcPr>
          <w:p w:rsidR="00BA00F8" w:rsidRPr="00FA4395" w:rsidRDefault="00BA00F8" w:rsidP="003C0631">
            <w:pPr>
              <w:pStyle w:val="TableText0"/>
              <w:ind w:left="-85"/>
              <w:rPr>
                <w:szCs w:val="20"/>
              </w:rPr>
            </w:pPr>
            <w:r w:rsidRPr="00FA4395">
              <w:rPr>
                <w:szCs w:val="20"/>
              </w:rPr>
              <w:t xml:space="preserve">Total 1L osimertinib scripts </w:t>
            </w:r>
            <w:r w:rsidRPr="00FA4395">
              <w:rPr>
                <w:szCs w:val="20"/>
                <w:vertAlign w:val="superscript"/>
              </w:rPr>
              <w:t>b</w:t>
            </w:r>
          </w:p>
        </w:tc>
        <w:tc>
          <w:tcPr>
            <w:tcW w:w="709"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c>
          <w:tcPr>
            <w:tcW w:w="628"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c>
          <w:tcPr>
            <w:tcW w:w="578"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c>
          <w:tcPr>
            <w:tcW w:w="584"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c>
          <w:tcPr>
            <w:tcW w:w="585"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c>
          <w:tcPr>
            <w:tcW w:w="583" w:type="pct"/>
            <w:tcBorders>
              <w:top w:val="nil"/>
              <w:bottom w:val="single" w:sz="4" w:space="0" w:color="auto"/>
            </w:tcBorders>
            <w:noWrap/>
          </w:tcPr>
          <w:p w:rsidR="00BA00F8" w:rsidRPr="00B27C72" w:rsidRDefault="00B27C72" w:rsidP="009D638B">
            <w:pPr>
              <w:pStyle w:val="TableText0"/>
              <w:ind w:left="-85"/>
              <w:jc w:val="center"/>
              <w:rPr>
                <w:szCs w:val="20"/>
                <w:highlight w:val="black"/>
              </w:rPr>
            </w:pPr>
            <w:r>
              <w:rPr>
                <w:noProof/>
                <w:color w:val="000000"/>
                <w:szCs w:val="20"/>
                <w:highlight w:val="black"/>
              </w:rPr>
              <w:t>''''''''''''''''</w:t>
            </w:r>
          </w:p>
        </w:tc>
      </w:tr>
      <w:tr w:rsidR="00BA00F8" w:rsidRPr="00C93348" w:rsidTr="004F4D09">
        <w:trPr>
          <w:trHeight w:val="255"/>
        </w:trPr>
        <w:tc>
          <w:tcPr>
            <w:tcW w:w="5000" w:type="pct"/>
            <w:gridSpan w:val="7"/>
            <w:tcBorders>
              <w:bottom w:val="single" w:sz="4" w:space="0" w:color="auto"/>
            </w:tcBorders>
            <w:noWrap/>
          </w:tcPr>
          <w:p w:rsidR="00BA00F8" w:rsidRPr="00FA4395" w:rsidRDefault="00BA00F8" w:rsidP="003C0631">
            <w:pPr>
              <w:pStyle w:val="In-tableHeading"/>
              <w:ind w:right="-96"/>
              <w:rPr>
                <w:szCs w:val="20"/>
                <w:lang w:val="en-AU"/>
              </w:rPr>
            </w:pPr>
            <w:r w:rsidRPr="00FA4395">
              <w:rPr>
                <w:bCs/>
                <w:color w:val="000000"/>
                <w:szCs w:val="20"/>
                <w:lang w:val="en-AU"/>
              </w:rPr>
              <w:t>Estimated financial implications of</w:t>
            </w:r>
            <w:r w:rsidRPr="00FA4395">
              <w:rPr>
                <w:color w:val="000000"/>
                <w:szCs w:val="20"/>
                <w:lang w:val="en-AU"/>
              </w:rPr>
              <w:t xml:space="preserve"> 1L osimertinib</w:t>
            </w:r>
          </w:p>
        </w:tc>
      </w:tr>
      <w:tr w:rsidR="00BA00F8" w:rsidRPr="00C93348" w:rsidTr="004F4D09">
        <w:trPr>
          <w:trHeight w:val="255"/>
        </w:trPr>
        <w:tc>
          <w:tcPr>
            <w:tcW w:w="1333" w:type="pct"/>
            <w:tcBorders>
              <w:top w:val="single" w:sz="4" w:space="0" w:color="auto"/>
            </w:tcBorders>
            <w:noWrap/>
            <w:hideMark/>
          </w:tcPr>
          <w:p w:rsidR="00BA00F8" w:rsidRPr="00FA4395" w:rsidRDefault="00BA00F8" w:rsidP="003C0631">
            <w:pPr>
              <w:pStyle w:val="TableText0"/>
              <w:ind w:left="-85"/>
              <w:rPr>
                <w:szCs w:val="20"/>
              </w:rPr>
            </w:pPr>
            <w:r w:rsidRPr="00FA4395">
              <w:rPr>
                <w:szCs w:val="20"/>
              </w:rPr>
              <w:t>Cost to the PBS/RPBS, less copayments</w:t>
            </w:r>
          </w:p>
        </w:tc>
        <w:tc>
          <w:tcPr>
            <w:tcW w:w="709"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B27C72">
              <w:rPr>
                <w:noProof/>
                <w:color w:val="000000"/>
                <w:szCs w:val="20"/>
                <w:highlight w:val="black"/>
              </w:rPr>
              <w:t>'''''''''''''''''''''''''''''</w:t>
            </w:r>
          </w:p>
        </w:tc>
        <w:tc>
          <w:tcPr>
            <w:tcW w:w="628"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B27C72">
              <w:rPr>
                <w:noProof/>
                <w:color w:val="000000"/>
                <w:szCs w:val="20"/>
                <w:highlight w:val="black"/>
              </w:rPr>
              <w:t>''''''''''''''''''''''''''''</w:t>
            </w:r>
          </w:p>
        </w:tc>
        <w:tc>
          <w:tcPr>
            <w:tcW w:w="578"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517BEC">
              <w:rPr>
                <w:noProof/>
                <w:color w:val="000000"/>
                <w:szCs w:val="20"/>
                <w:highlight w:val="black"/>
              </w:rPr>
              <w:t>''''''''''''''''''''''''''</w:t>
            </w:r>
          </w:p>
        </w:tc>
        <w:tc>
          <w:tcPr>
            <w:tcW w:w="584"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B27C72">
              <w:rPr>
                <w:noProof/>
                <w:color w:val="000000"/>
                <w:szCs w:val="20"/>
                <w:highlight w:val="black"/>
              </w:rPr>
              <w:t>''''''''''''''''''''''''</w:t>
            </w:r>
          </w:p>
        </w:tc>
        <w:tc>
          <w:tcPr>
            <w:tcW w:w="585"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B27C72">
              <w:rPr>
                <w:noProof/>
                <w:color w:val="000000"/>
                <w:szCs w:val="20"/>
                <w:highlight w:val="black"/>
              </w:rPr>
              <w:t>'''''''''''''''''''''''''</w:t>
            </w:r>
          </w:p>
        </w:tc>
        <w:tc>
          <w:tcPr>
            <w:tcW w:w="583" w:type="pct"/>
            <w:tcBorders>
              <w:top w:val="single" w:sz="4" w:space="0" w:color="auto"/>
            </w:tcBorders>
            <w:noWrap/>
            <w:hideMark/>
          </w:tcPr>
          <w:p w:rsidR="00BA00F8" w:rsidRPr="00FA4395" w:rsidRDefault="00BA00F8" w:rsidP="009D638B">
            <w:pPr>
              <w:pStyle w:val="TableText0"/>
              <w:ind w:right="-96"/>
              <w:jc w:val="center"/>
              <w:rPr>
                <w:szCs w:val="20"/>
              </w:rPr>
            </w:pPr>
            <w:r w:rsidRPr="00FA4395">
              <w:rPr>
                <w:szCs w:val="20"/>
              </w:rPr>
              <w:t>$</w:t>
            </w:r>
            <w:r w:rsidR="00B27C72">
              <w:rPr>
                <w:noProof/>
                <w:color w:val="000000"/>
                <w:szCs w:val="20"/>
                <w:highlight w:val="black"/>
              </w:rPr>
              <w:t>'''''''''''''''''''''''''</w:t>
            </w:r>
          </w:p>
        </w:tc>
      </w:tr>
      <w:tr w:rsidR="00BA00F8" w:rsidRPr="00C93348" w:rsidTr="004F4D09">
        <w:trPr>
          <w:trHeight w:val="255"/>
        </w:trPr>
        <w:tc>
          <w:tcPr>
            <w:tcW w:w="5000" w:type="pct"/>
            <w:gridSpan w:val="7"/>
            <w:tcBorders>
              <w:top w:val="single" w:sz="4" w:space="0" w:color="auto"/>
              <w:bottom w:val="single" w:sz="4" w:space="0" w:color="auto"/>
            </w:tcBorders>
            <w:noWrap/>
          </w:tcPr>
          <w:p w:rsidR="00BA00F8" w:rsidRPr="00FA4395" w:rsidRDefault="00BA00F8" w:rsidP="003C0631">
            <w:pPr>
              <w:pStyle w:val="TableText0"/>
              <w:ind w:right="-92"/>
              <w:rPr>
                <w:b/>
                <w:szCs w:val="20"/>
              </w:rPr>
            </w:pPr>
            <w:r w:rsidRPr="00FA4395">
              <w:rPr>
                <w:b/>
                <w:szCs w:val="20"/>
              </w:rPr>
              <w:t>Substitution of first-line erlotinib, gefitinib and afatinib</w:t>
            </w:r>
          </w:p>
        </w:tc>
      </w:tr>
      <w:tr w:rsidR="00BA00F8" w:rsidRPr="00C93348" w:rsidTr="004F4D09">
        <w:trPr>
          <w:trHeight w:val="255"/>
        </w:trPr>
        <w:tc>
          <w:tcPr>
            <w:tcW w:w="1333" w:type="pct"/>
            <w:tcBorders>
              <w:top w:val="single" w:sz="4" w:space="0" w:color="auto"/>
              <w:bottom w:val="nil"/>
            </w:tcBorders>
            <w:noWrap/>
          </w:tcPr>
          <w:p w:rsidR="00BA00F8" w:rsidRPr="00FA4395" w:rsidRDefault="00BA00F8" w:rsidP="003C0631">
            <w:pPr>
              <w:pStyle w:val="TableText0"/>
              <w:rPr>
                <w:szCs w:val="20"/>
              </w:rPr>
            </w:pPr>
            <w:r w:rsidRPr="00FA4395">
              <w:rPr>
                <w:szCs w:val="20"/>
              </w:rPr>
              <w:t xml:space="preserve">Erlotinib PBS/RPBS scripts </w:t>
            </w:r>
            <w:r w:rsidRPr="00FA4395">
              <w:rPr>
                <w:szCs w:val="20"/>
                <w:vertAlign w:val="superscript"/>
              </w:rPr>
              <w:t>c</w:t>
            </w:r>
          </w:p>
        </w:tc>
        <w:tc>
          <w:tcPr>
            <w:tcW w:w="709"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628"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78"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4"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5"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3" w:type="pct"/>
            <w:tcBorders>
              <w:top w:val="single" w:sz="4" w:space="0" w:color="auto"/>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r>
      <w:tr w:rsidR="00BA00F8" w:rsidRPr="00C93348" w:rsidTr="004F4D09">
        <w:trPr>
          <w:trHeight w:val="255"/>
        </w:trPr>
        <w:tc>
          <w:tcPr>
            <w:tcW w:w="1333" w:type="pct"/>
            <w:tcBorders>
              <w:top w:val="nil"/>
              <w:bottom w:val="nil"/>
            </w:tcBorders>
            <w:noWrap/>
          </w:tcPr>
          <w:p w:rsidR="00BA00F8" w:rsidRPr="00FA4395" w:rsidRDefault="00BA00F8" w:rsidP="003C0631">
            <w:pPr>
              <w:pStyle w:val="TableText0"/>
              <w:rPr>
                <w:szCs w:val="20"/>
              </w:rPr>
            </w:pPr>
            <w:r w:rsidRPr="00FA4395">
              <w:rPr>
                <w:szCs w:val="20"/>
              </w:rPr>
              <w:t xml:space="preserve">Gefitinib PBS/RPBS scripts </w:t>
            </w:r>
            <w:r w:rsidRPr="00FA4395">
              <w:rPr>
                <w:szCs w:val="20"/>
                <w:vertAlign w:val="superscript"/>
              </w:rPr>
              <w:t>c</w:t>
            </w:r>
          </w:p>
        </w:tc>
        <w:tc>
          <w:tcPr>
            <w:tcW w:w="709"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628"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78"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4"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5"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3"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r>
      <w:tr w:rsidR="00BA00F8" w:rsidRPr="00C93348" w:rsidTr="004F4D09">
        <w:trPr>
          <w:trHeight w:val="255"/>
        </w:trPr>
        <w:tc>
          <w:tcPr>
            <w:tcW w:w="1333" w:type="pct"/>
            <w:tcBorders>
              <w:top w:val="nil"/>
              <w:bottom w:val="nil"/>
            </w:tcBorders>
            <w:noWrap/>
          </w:tcPr>
          <w:p w:rsidR="00BA00F8" w:rsidRPr="00FA4395" w:rsidRDefault="00BA00F8" w:rsidP="003C0631">
            <w:pPr>
              <w:pStyle w:val="TableText0"/>
              <w:rPr>
                <w:szCs w:val="20"/>
              </w:rPr>
            </w:pPr>
            <w:r w:rsidRPr="00FA4395">
              <w:rPr>
                <w:szCs w:val="20"/>
              </w:rPr>
              <w:t xml:space="preserve">Afatinib PBS/RPBS scripts </w:t>
            </w:r>
            <w:r w:rsidRPr="00FA4395">
              <w:rPr>
                <w:szCs w:val="20"/>
                <w:vertAlign w:val="superscript"/>
              </w:rPr>
              <w:t>d</w:t>
            </w:r>
          </w:p>
        </w:tc>
        <w:tc>
          <w:tcPr>
            <w:tcW w:w="709"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628"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78"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4"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5"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c>
          <w:tcPr>
            <w:tcW w:w="583" w:type="pct"/>
            <w:tcBorders>
              <w:top w:val="nil"/>
              <w:bottom w:val="nil"/>
            </w:tcBorders>
            <w:noWrap/>
          </w:tcPr>
          <w:p w:rsidR="00BA00F8" w:rsidRPr="00B27C72" w:rsidRDefault="00B27C72" w:rsidP="009D638B">
            <w:pPr>
              <w:pStyle w:val="TableText0"/>
              <w:ind w:right="-92"/>
              <w:jc w:val="center"/>
              <w:rPr>
                <w:szCs w:val="20"/>
                <w:highlight w:val="black"/>
              </w:rPr>
            </w:pPr>
            <w:r>
              <w:rPr>
                <w:noProof/>
                <w:color w:val="000000"/>
                <w:szCs w:val="20"/>
                <w:highlight w:val="black"/>
              </w:rPr>
              <w:t>'''''''''''''</w:t>
            </w:r>
          </w:p>
        </w:tc>
      </w:tr>
      <w:tr w:rsidR="00363F15" w:rsidRPr="00C93348" w:rsidTr="004F4D09">
        <w:trPr>
          <w:trHeight w:val="255"/>
        </w:trPr>
        <w:tc>
          <w:tcPr>
            <w:tcW w:w="1333" w:type="pct"/>
            <w:tcBorders>
              <w:bottom w:val="nil"/>
            </w:tcBorders>
            <w:noWrap/>
          </w:tcPr>
          <w:p w:rsidR="00363F15" w:rsidRPr="00FA4395" w:rsidRDefault="00363F15" w:rsidP="00363F15">
            <w:pPr>
              <w:pStyle w:val="TableText0"/>
              <w:rPr>
                <w:szCs w:val="20"/>
              </w:rPr>
            </w:pPr>
            <w:r w:rsidRPr="00FA4395">
              <w:rPr>
                <w:szCs w:val="20"/>
              </w:rPr>
              <w:t>Reduction in cost to the PBS/RPBS, less patient copayments</w:t>
            </w:r>
            <w:r w:rsidRPr="00FA4395">
              <w:rPr>
                <w:szCs w:val="20"/>
                <w:vertAlign w:val="superscript"/>
              </w:rPr>
              <w:t xml:space="preserve"> </w:t>
            </w:r>
            <w:r w:rsidR="0036355E" w:rsidRPr="00FA4395">
              <w:rPr>
                <w:szCs w:val="20"/>
                <w:vertAlign w:val="superscript"/>
              </w:rPr>
              <w:t>e</w:t>
            </w:r>
          </w:p>
        </w:tc>
        <w:tc>
          <w:tcPr>
            <w:tcW w:w="709"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B27C72">
              <w:rPr>
                <w:noProof/>
                <w:color w:val="000000"/>
                <w:szCs w:val="20"/>
                <w:highlight w:val="black"/>
              </w:rPr>
              <w:t>'''''''''''''''''''''''</w:t>
            </w:r>
          </w:p>
        </w:tc>
        <w:tc>
          <w:tcPr>
            <w:tcW w:w="628"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B27C72">
              <w:rPr>
                <w:noProof/>
                <w:color w:val="000000"/>
                <w:szCs w:val="20"/>
                <w:highlight w:val="black"/>
              </w:rPr>
              <w:t>'''''''''''''''''''''''''''''</w:t>
            </w:r>
          </w:p>
        </w:tc>
        <w:tc>
          <w:tcPr>
            <w:tcW w:w="578"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B27C72">
              <w:rPr>
                <w:noProof/>
                <w:color w:val="000000"/>
                <w:szCs w:val="20"/>
                <w:highlight w:val="black"/>
              </w:rPr>
              <w:t>''''''''''''''''''''''''</w:t>
            </w:r>
          </w:p>
        </w:tc>
        <w:tc>
          <w:tcPr>
            <w:tcW w:w="584"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517BEC">
              <w:rPr>
                <w:noProof/>
                <w:color w:val="000000"/>
                <w:szCs w:val="20"/>
                <w:highlight w:val="black"/>
              </w:rPr>
              <w:t>''''''''''''''''''''''''''</w:t>
            </w:r>
          </w:p>
        </w:tc>
        <w:tc>
          <w:tcPr>
            <w:tcW w:w="585"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517BEC">
              <w:rPr>
                <w:noProof/>
                <w:color w:val="000000"/>
                <w:szCs w:val="20"/>
                <w:highlight w:val="black"/>
              </w:rPr>
              <w:t>''''''''''''''''''''''''''</w:t>
            </w:r>
          </w:p>
        </w:tc>
        <w:tc>
          <w:tcPr>
            <w:tcW w:w="583" w:type="pct"/>
            <w:tcBorders>
              <w:bottom w:val="nil"/>
            </w:tcBorders>
            <w:noWrap/>
          </w:tcPr>
          <w:p w:rsidR="00363F15" w:rsidRPr="00FA4395" w:rsidRDefault="00363F15" w:rsidP="009D638B">
            <w:pPr>
              <w:pStyle w:val="TableText0"/>
              <w:ind w:right="-92"/>
              <w:jc w:val="center"/>
              <w:rPr>
                <w:szCs w:val="20"/>
              </w:rPr>
            </w:pPr>
            <w:r w:rsidRPr="00FA4395">
              <w:rPr>
                <w:szCs w:val="20"/>
              </w:rPr>
              <w:t>$</w:t>
            </w:r>
            <w:r w:rsidR="00517BEC">
              <w:rPr>
                <w:noProof/>
                <w:color w:val="000000"/>
                <w:szCs w:val="20"/>
                <w:highlight w:val="black"/>
              </w:rPr>
              <w:t>''''''''''''''''''''''''''</w:t>
            </w:r>
          </w:p>
        </w:tc>
      </w:tr>
      <w:tr w:rsidR="00363F15" w:rsidRPr="00C93348" w:rsidTr="004F4D09">
        <w:trPr>
          <w:trHeight w:val="255"/>
        </w:trPr>
        <w:tc>
          <w:tcPr>
            <w:tcW w:w="5000" w:type="pct"/>
            <w:gridSpan w:val="7"/>
            <w:tcBorders>
              <w:top w:val="single" w:sz="4" w:space="0" w:color="auto"/>
              <w:bottom w:val="single" w:sz="4" w:space="0" w:color="auto"/>
            </w:tcBorders>
            <w:noWrap/>
          </w:tcPr>
          <w:p w:rsidR="00363F15" w:rsidRPr="00FA4395" w:rsidRDefault="00363F15" w:rsidP="00363F15">
            <w:pPr>
              <w:pStyle w:val="TableText0"/>
              <w:ind w:right="-92"/>
              <w:rPr>
                <w:b/>
                <w:szCs w:val="20"/>
              </w:rPr>
            </w:pPr>
            <w:r w:rsidRPr="00FA4395">
              <w:rPr>
                <w:b/>
                <w:szCs w:val="20"/>
              </w:rPr>
              <w:t>Reduction in 2L osimertinib</w:t>
            </w:r>
          </w:p>
        </w:tc>
      </w:tr>
      <w:tr w:rsidR="00363F15" w:rsidRPr="00C93348" w:rsidTr="004F4D09">
        <w:trPr>
          <w:trHeight w:val="255"/>
        </w:trPr>
        <w:tc>
          <w:tcPr>
            <w:tcW w:w="1333" w:type="pct"/>
            <w:tcBorders>
              <w:top w:val="nil"/>
              <w:bottom w:val="nil"/>
            </w:tcBorders>
            <w:noWrap/>
            <w:hideMark/>
          </w:tcPr>
          <w:p w:rsidR="00363F15" w:rsidRPr="00FA4395" w:rsidRDefault="00363F15" w:rsidP="00363F15">
            <w:pPr>
              <w:pStyle w:val="TableText0"/>
              <w:rPr>
                <w:szCs w:val="20"/>
              </w:rPr>
            </w:pPr>
            <w:r w:rsidRPr="00FA4395">
              <w:rPr>
                <w:szCs w:val="20"/>
              </w:rPr>
              <w:t>Patients eligible for 2L osimertinib</w:t>
            </w:r>
          </w:p>
        </w:tc>
        <w:tc>
          <w:tcPr>
            <w:tcW w:w="709"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628"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78"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4"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5"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3"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r>
      <w:tr w:rsidR="00363F15" w:rsidRPr="00C93348" w:rsidTr="004F4D09">
        <w:trPr>
          <w:trHeight w:val="255"/>
        </w:trPr>
        <w:tc>
          <w:tcPr>
            <w:tcW w:w="1333" w:type="pct"/>
            <w:tcBorders>
              <w:top w:val="nil"/>
              <w:bottom w:val="nil"/>
            </w:tcBorders>
            <w:noWrap/>
            <w:hideMark/>
          </w:tcPr>
          <w:p w:rsidR="00363F15" w:rsidRPr="00FA4395" w:rsidRDefault="00363F15" w:rsidP="00363F15">
            <w:pPr>
              <w:pStyle w:val="TableText0"/>
              <w:rPr>
                <w:szCs w:val="20"/>
              </w:rPr>
            </w:pPr>
            <w:r w:rsidRPr="00FA4395">
              <w:rPr>
                <w:szCs w:val="20"/>
              </w:rPr>
              <w:t xml:space="preserve">No. patients with a reduction in 2L osimertinib use </w:t>
            </w:r>
            <w:r w:rsidRPr="00FA4395">
              <w:rPr>
                <w:szCs w:val="20"/>
                <w:vertAlign w:val="superscript"/>
              </w:rPr>
              <w:t>a</w:t>
            </w:r>
          </w:p>
        </w:tc>
        <w:tc>
          <w:tcPr>
            <w:tcW w:w="709"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628"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78"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4"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5"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c>
          <w:tcPr>
            <w:tcW w:w="583" w:type="pct"/>
            <w:tcBorders>
              <w:top w:val="nil"/>
              <w:bottom w:val="nil"/>
            </w:tcBorders>
            <w:noWrap/>
            <w:hideMark/>
          </w:tcPr>
          <w:p w:rsidR="00363F15" w:rsidRPr="00B27C72" w:rsidRDefault="00B27C72" w:rsidP="009D638B">
            <w:pPr>
              <w:pStyle w:val="TableText0"/>
              <w:ind w:right="-96"/>
              <w:jc w:val="center"/>
              <w:rPr>
                <w:szCs w:val="20"/>
                <w:highlight w:val="black"/>
              </w:rPr>
            </w:pPr>
            <w:r>
              <w:rPr>
                <w:noProof/>
                <w:color w:val="000000"/>
                <w:szCs w:val="20"/>
                <w:highlight w:val="black"/>
              </w:rPr>
              <w:t>''''''''</w:t>
            </w:r>
          </w:p>
        </w:tc>
      </w:tr>
      <w:tr w:rsidR="00363F15" w:rsidRPr="00C93348" w:rsidTr="004F4D09">
        <w:trPr>
          <w:trHeight w:val="255"/>
        </w:trPr>
        <w:tc>
          <w:tcPr>
            <w:tcW w:w="1333" w:type="pct"/>
            <w:tcBorders>
              <w:top w:val="nil"/>
              <w:bottom w:val="nil"/>
            </w:tcBorders>
            <w:noWrap/>
          </w:tcPr>
          <w:p w:rsidR="00363F15" w:rsidRPr="00FA4395" w:rsidRDefault="00363F15" w:rsidP="00363F15">
            <w:pPr>
              <w:pStyle w:val="TableText0"/>
              <w:rPr>
                <w:szCs w:val="20"/>
              </w:rPr>
            </w:pPr>
            <w:r w:rsidRPr="00FA4395">
              <w:rPr>
                <w:szCs w:val="20"/>
              </w:rPr>
              <w:t>As a proportion of those who uptake 1L osimertinib</w:t>
            </w:r>
          </w:p>
        </w:tc>
        <w:tc>
          <w:tcPr>
            <w:tcW w:w="709"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c>
          <w:tcPr>
            <w:tcW w:w="628"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c>
          <w:tcPr>
            <w:tcW w:w="578"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c>
          <w:tcPr>
            <w:tcW w:w="584"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c>
          <w:tcPr>
            <w:tcW w:w="585"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c>
          <w:tcPr>
            <w:tcW w:w="583" w:type="pct"/>
            <w:tcBorders>
              <w:top w:val="nil"/>
              <w:bottom w:val="nil"/>
            </w:tcBorders>
            <w:noWrap/>
          </w:tcPr>
          <w:p w:rsidR="00363F15" w:rsidRPr="00FA4395" w:rsidRDefault="00B27C72" w:rsidP="009D638B">
            <w:pPr>
              <w:pStyle w:val="TableText0"/>
              <w:ind w:right="-96"/>
              <w:jc w:val="center"/>
              <w:rPr>
                <w:szCs w:val="20"/>
              </w:rPr>
            </w:pPr>
            <w:r>
              <w:rPr>
                <w:noProof/>
                <w:color w:val="000000"/>
                <w:szCs w:val="20"/>
                <w:highlight w:val="black"/>
              </w:rPr>
              <w:t>''''''</w:t>
            </w:r>
            <w:r w:rsidR="00363F15" w:rsidRPr="00FA4395">
              <w:rPr>
                <w:szCs w:val="20"/>
              </w:rPr>
              <w:t>%</w:t>
            </w:r>
          </w:p>
        </w:tc>
      </w:tr>
      <w:tr w:rsidR="00363F15" w:rsidRPr="00C93348" w:rsidTr="004F4D09">
        <w:trPr>
          <w:trHeight w:val="255"/>
        </w:trPr>
        <w:tc>
          <w:tcPr>
            <w:tcW w:w="1333" w:type="pct"/>
            <w:noWrap/>
          </w:tcPr>
          <w:p w:rsidR="00363F15" w:rsidRPr="00FA4395" w:rsidRDefault="00363F15" w:rsidP="0036355E">
            <w:pPr>
              <w:pStyle w:val="TableText0"/>
              <w:rPr>
                <w:szCs w:val="20"/>
              </w:rPr>
            </w:pPr>
            <w:r w:rsidRPr="00FA4395">
              <w:rPr>
                <w:szCs w:val="20"/>
              </w:rPr>
              <w:t>Reduction in cost to the PBS/RPBS, less patient copayments</w:t>
            </w:r>
            <w:r w:rsidRPr="00FA4395">
              <w:rPr>
                <w:szCs w:val="20"/>
                <w:vertAlign w:val="superscript"/>
              </w:rPr>
              <w:t xml:space="preserve"> </w:t>
            </w:r>
            <w:r w:rsidR="0036355E" w:rsidRPr="00FA4395">
              <w:rPr>
                <w:szCs w:val="20"/>
                <w:vertAlign w:val="superscript"/>
              </w:rPr>
              <w:t>f</w:t>
            </w:r>
          </w:p>
        </w:tc>
        <w:tc>
          <w:tcPr>
            <w:tcW w:w="709" w:type="pct"/>
            <w:noWrap/>
          </w:tcPr>
          <w:p w:rsidR="00363F15" w:rsidRPr="00FA4395" w:rsidRDefault="00363F15" w:rsidP="009D638B">
            <w:pPr>
              <w:pStyle w:val="TableText0"/>
              <w:ind w:right="-96"/>
              <w:jc w:val="center"/>
              <w:rPr>
                <w:szCs w:val="20"/>
              </w:rPr>
            </w:pPr>
            <w:r w:rsidRPr="00FA4395">
              <w:rPr>
                <w:szCs w:val="20"/>
              </w:rPr>
              <w:t>$</w:t>
            </w:r>
            <w:r w:rsidR="00B27C72">
              <w:rPr>
                <w:noProof/>
                <w:color w:val="000000"/>
                <w:szCs w:val="20"/>
                <w:highlight w:val="black"/>
              </w:rPr>
              <w:t>'''''''''''''''''''''''''</w:t>
            </w:r>
          </w:p>
        </w:tc>
        <w:tc>
          <w:tcPr>
            <w:tcW w:w="628" w:type="pct"/>
            <w:noWrap/>
          </w:tcPr>
          <w:p w:rsidR="00363F15" w:rsidRPr="00FA4395" w:rsidRDefault="00363F15" w:rsidP="009D638B">
            <w:pPr>
              <w:pStyle w:val="TableText0"/>
              <w:ind w:right="-96"/>
              <w:jc w:val="center"/>
              <w:rPr>
                <w:szCs w:val="20"/>
              </w:rPr>
            </w:pPr>
            <w:r w:rsidRPr="00FA4395">
              <w:rPr>
                <w:szCs w:val="20"/>
              </w:rPr>
              <w:t>$</w:t>
            </w:r>
            <w:r w:rsidR="00B27C72">
              <w:rPr>
                <w:noProof/>
                <w:color w:val="000000"/>
                <w:szCs w:val="20"/>
                <w:highlight w:val="black"/>
              </w:rPr>
              <w:t>''''''''''''''''''''''''''</w:t>
            </w:r>
          </w:p>
        </w:tc>
        <w:tc>
          <w:tcPr>
            <w:tcW w:w="578" w:type="pct"/>
            <w:noWrap/>
          </w:tcPr>
          <w:p w:rsidR="00363F15" w:rsidRPr="00FA4395" w:rsidRDefault="00363F15" w:rsidP="009D638B">
            <w:pPr>
              <w:pStyle w:val="TableText0"/>
              <w:ind w:right="-96"/>
              <w:jc w:val="center"/>
              <w:rPr>
                <w:szCs w:val="20"/>
              </w:rPr>
            </w:pPr>
            <w:r w:rsidRPr="00FA4395">
              <w:rPr>
                <w:szCs w:val="20"/>
              </w:rPr>
              <w:t>$</w:t>
            </w:r>
            <w:r w:rsidR="00517BEC">
              <w:rPr>
                <w:noProof/>
                <w:color w:val="000000"/>
                <w:szCs w:val="20"/>
                <w:highlight w:val="black"/>
              </w:rPr>
              <w:t>''''''''''''''''''''''''''</w:t>
            </w:r>
          </w:p>
        </w:tc>
        <w:tc>
          <w:tcPr>
            <w:tcW w:w="584" w:type="pct"/>
            <w:noWrap/>
          </w:tcPr>
          <w:p w:rsidR="00363F15" w:rsidRPr="00FA4395" w:rsidRDefault="00363F15" w:rsidP="009D638B">
            <w:pPr>
              <w:pStyle w:val="TableText0"/>
              <w:ind w:right="-96"/>
              <w:jc w:val="center"/>
              <w:rPr>
                <w:szCs w:val="20"/>
              </w:rPr>
            </w:pPr>
            <w:r w:rsidRPr="00FA4395">
              <w:rPr>
                <w:szCs w:val="20"/>
              </w:rPr>
              <w:t>$</w:t>
            </w:r>
            <w:r w:rsidR="00517BEC">
              <w:rPr>
                <w:noProof/>
                <w:color w:val="000000"/>
                <w:szCs w:val="20"/>
                <w:highlight w:val="black"/>
              </w:rPr>
              <w:t>''''''''''''''''''''''''''</w:t>
            </w:r>
          </w:p>
        </w:tc>
        <w:tc>
          <w:tcPr>
            <w:tcW w:w="585" w:type="pct"/>
            <w:noWrap/>
          </w:tcPr>
          <w:p w:rsidR="00363F15" w:rsidRPr="00FA4395" w:rsidRDefault="00363F15" w:rsidP="009D638B">
            <w:pPr>
              <w:pStyle w:val="TableText0"/>
              <w:ind w:right="-96"/>
              <w:jc w:val="center"/>
              <w:rPr>
                <w:szCs w:val="20"/>
              </w:rPr>
            </w:pPr>
            <w:r w:rsidRPr="00FA4395">
              <w:rPr>
                <w:szCs w:val="20"/>
              </w:rPr>
              <w:t>$</w:t>
            </w:r>
            <w:r w:rsidR="00517BEC">
              <w:rPr>
                <w:noProof/>
                <w:color w:val="000000"/>
                <w:szCs w:val="20"/>
                <w:highlight w:val="black"/>
              </w:rPr>
              <w:t>''''''''''''''''''''''''''</w:t>
            </w:r>
          </w:p>
        </w:tc>
        <w:tc>
          <w:tcPr>
            <w:tcW w:w="583" w:type="pct"/>
            <w:noWrap/>
          </w:tcPr>
          <w:p w:rsidR="00363F15" w:rsidRPr="00FA4395" w:rsidRDefault="00363F15" w:rsidP="009D638B">
            <w:pPr>
              <w:pStyle w:val="TableText0"/>
              <w:ind w:right="-96"/>
              <w:jc w:val="center"/>
              <w:rPr>
                <w:szCs w:val="20"/>
              </w:rPr>
            </w:pPr>
            <w:r w:rsidRPr="00FA4395">
              <w:rPr>
                <w:szCs w:val="20"/>
              </w:rPr>
              <w:t>$</w:t>
            </w:r>
            <w:r w:rsidR="00517BEC">
              <w:rPr>
                <w:noProof/>
                <w:color w:val="000000"/>
                <w:szCs w:val="20"/>
                <w:highlight w:val="black"/>
              </w:rPr>
              <w:t>''''''''''''''''''''''''''</w:t>
            </w:r>
          </w:p>
        </w:tc>
      </w:tr>
      <w:tr w:rsidR="002E6168" w:rsidRPr="00C93348" w:rsidTr="004F4D09">
        <w:trPr>
          <w:trHeight w:val="255"/>
        </w:trPr>
        <w:tc>
          <w:tcPr>
            <w:tcW w:w="1333" w:type="pct"/>
            <w:tcBorders>
              <w:bottom w:val="nil"/>
            </w:tcBorders>
            <w:noWrap/>
          </w:tcPr>
          <w:p w:rsidR="002E6168" w:rsidRPr="00FA4395" w:rsidRDefault="002E6168" w:rsidP="002E6168">
            <w:pPr>
              <w:pStyle w:val="TableText0"/>
              <w:rPr>
                <w:b/>
                <w:szCs w:val="20"/>
              </w:rPr>
            </w:pPr>
            <w:r w:rsidRPr="00FA4395">
              <w:rPr>
                <w:b/>
                <w:szCs w:val="20"/>
              </w:rPr>
              <w:t>Net cost to the PBS/RPBS</w:t>
            </w:r>
          </w:p>
        </w:tc>
        <w:tc>
          <w:tcPr>
            <w:tcW w:w="709"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B27C72">
              <w:rPr>
                <w:b/>
                <w:noProof/>
                <w:color w:val="000000"/>
                <w:szCs w:val="20"/>
                <w:highlight w:val="black"/>
              </w:rPr>
              <w:t>''''''''''''''''''''''</w:t>
            </w:r>
          </w:p>
        </w:tc>
        <w:tc>
          <w:tcPr>
            <w:tcW w:w="628"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B27C72">
              <w:rPr>
                <w:b/>
                <w:noProof/>
                <w:color w:val="000000"/>
                <w:szCs w:val="20"/>
                <w:highlight w:val="black"/>
              </w:rPr>
              <w:t>'''''''''''''''''''</w:t>
            </w:r>
          </w:p>
        </w:tc>
        <w:tc>
          <w:tcPr>
            <w:tcW w:w="578"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B27C72">
              <w:rPr>
                <w:b/>
                <w:noProof/>
                <w:color w:val="000000"/>
                <w:szCs w:val="20"/>
                <w:highlight w:val="black"/>
              </w:rPr>
              <w:t>''''''''''''''''''''</w:t>
            </w:r>
          </w:p>
        </w:tc>
        <w:tc>
          <w:tcPr>
            <w:tcW w:w="584"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B27C72">
              <w:rPr>
                <w:b/>
                <w:noProof/>
                <w:color w:val="000000"/>
                <w:szCs w:val="20"/>
                <w:highlight w:val="black"/>
              </w:rPr>
              <w:t>'''''''''''''''''''''</w:t>
            </w:r>
          </w:p>
        </w:tc>
        <w:tc>
          <w:tcPr>
            <w:tcW w:w="585"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517BEC">
              <w:rPr>
                <w:b/>
                <w:noProof/>
                <w:color w:val="000000"/>
                <w:szCs w:val="20"/>
                <w:highlight w:val="black"/>
              </w:rPr>
              <w:t>''''''''''''''''''''</w:t>
            </w:r>
          </w:p>
        </w:tc>
        <w:tc>
          <w:tcPr>
            <w:tcW w:w="583" w:type="pct"/>
            <w:tcBorders>
              <w:bottom w:val="nil"/>
            </w:tcBorders>
            <w:noWrap/>
          </w:tcPr>
          <w:p w:rsidR="002E6168" w:rsidRPr="00FA4395" w:rsidRDefault="002E6168" w:rsidP="009D638B">
            <w:pPr>
              <w:pStyle w:val="TableText0"/>
              <w:ind w:right="-96"/>
              <w:jc w:val="center"/>
              <w:rPr>
                <w:b/>
                <w:szCs w:val="20"/>
              </w:rPr>
            </w:pPr>
            <w:r w:rsidRPr="00FA4395">
              <w:rPr>
                <w:b/>
                <w:szCs w:val="20"/>
              </w:rPr>
              <w:t>$</w:t>
            </w:r>
            <w:r w:rsidR="00517BEC">
              <w:rPr>
                <w:b/>
                <w:noProof/>
                <w:color w:val="000000"/>
                <w:szCs w:val="20"/>
                <w:highlight w:val="black"/>
              </w:rPr>
              <w:t>'''''''''''''''''''''</w:t>
            </w:r>
          </w:p>
        </w:tc>
      </w:tr>
      <w:tr w:rsidR="002E6168" w:rsidRPr="00C93348" w:rsidTr="004F4D09">
        <w:trPr>
          <w:trHeight w:val="255"/>
        </w:trPr>
        <w:tc>
          <w:tcPr>
            <w:tcW w:w="5000" w:type="pct"/>
            <w:gridSpan w:val="7"/>
            <w:tcBorders>
              <w:top w:val="single" w:sz="4" w:space="0" w:color="auto"/>
              <w:bottom w:val="single" w:sz="4" w:space="0" w:color="auto"/>
            </w:tcBorders>
            <w:noWrap/>
          </w:tcPr>
          <w:p w:rsidR="002E6168" w:rsidRPr="00FA4395" w:rsidRDefault="002E6168" w:rsidP="002E6168">
            <w:pPr>
              <w:pStyle w:val="TableText0"/>
              <w:ind w:right="-91"/>
              <w:rPr>
                <w:b/>
                <w:szCs w:val="20"/>
              </w:rPr>
            </w:pPr>
            <w:r w:rsidRPr="00FA4395">
              <w:rPr>
                <w:b/>
                <w:szCs w:val="20"/>
              </w:rPr>
              <w:t xml:space="preserve">Annual rebate </w:t>
            </w:r>
            <w:r w:rsidR="00DE673E">
              <w:rPr>
                <w:b/>
                <w:noProof/>
                <w:color w:val="000000"/>
                <w:szCs w:val="20"/>
                <w:highlight w:val="black"/>
              </w:rPr>
              <w:t>''''' ''''''''''''''''' '''' ''''''' ''''''''''''''''''' ''''''''''''''''''''''</w:t>
            </w:r>
          </w:p>
        </w:tc>
      </w:tr>
      <w:tr w:rsidR="002E6168" w:rsidRPr="00C93348" w:rsidTr="004F4D09">
        <w:trPr>
          <w:trHeight w:val="255"/>
        </w:trPr>
        <w:tc>
          <w:tcPr>
            <w:tcW w:w="1333" w:type="pct"/>
            <w:tcBorders>
              <w:top w:val="single" w:sz="4" w:space="0" w:color="auto"/>
              <w:bottom w:val="nil"/>
            </w:tcBorders>
            <w:noWrap/>
            <w:hideMark/>
          </w:tcPr>
          <w:p w:rsidR="002E6168" w:rsidRPr="00FA4395" w:rsidRDefault="002E6168" w:rsidP="0036355E">
            <w:pPr>
              <w:pStyle w:val="TableText0"/>
              <w:rPr>
                <w:szCs w:val="20"/>
              </w:rPr>
            </w:pPr>
            <w:r w:rsidRPr="00FA4395">
              <w:rPr>
                <w:szCs w:val="20"/>
              </w:rPr>
              <w:t>Estimated rebate ($</w:t>
            </w:r>
            <w:r w:rsidR="00B27C72">
              <w:rPr>
                <w:noProof/>
                <w:color w:val="000000"/>
                <w:szCs w:val="20"/>
                <w:highlight w:val="black"/>
              </w:rPr>
              <w:t>''''''''''''''''</w:t>
            </w:r>
            <w:r w:rsidRPr="00FA4395">
              <w:rPr>
                <w:szCs w:val="20"/>
              </w:rPr>
              <w:t xml:space="preserve">/ </w:t>
            </w:r>
            <w:r w:rsidR="00DE673E">
              <w:rPr>
                <w:noProof/>
                <w:color w:val="000000"/>
                <w:szCs w:val="20"/>
                <w:highlight w:val="black"/>
              </w:rPr>
              <w:t>'''''' '''''''''''''''''''''''' '''''''''''''</w:t>
            </w:r>
            <w:r w:rsidRPr="00FA4395">
              <w:rPr>
                <w:szCs w:val="20"/>
              </w:rPr>
              <w:t>)</w:t>
            </w:r>
            <w:r w:rsidRPr="00FA4395">
              <w:rPr>
                <w:szCs w:val="20"/>
                <w:vertAlign w:val="superscript"/>
              </w:rPr>
              <w:t xml:space="preserve"> </w:t>
            </w:r>
            <w:r w:rsidR="0036355E" w:rsidRPr="00FA4395">
              <w:rPr>
                <w:szCs w:val="20"/>
                <w:vertAlign w:val="superscript"/>
              </w:rPr>
              <w:t>g</w:t>
            </w:r>
          </w:p>
        </w:tc>
        <w:tc>
          <w:tcPr>
            <w:tcW w:w="709"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628"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78"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84"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c>
          <w:tcPr>
            <w:tcW w:w="585"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83" w:type="pct"/>
            <w:tcBorders>
              <w:top w:val="single" w:sz="4" w:space="0" w:color="auto"/>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r>
      <w:tr w:rsidR="002E6168" w:rsidRPr="00C93348" w:rsidTr="00566800">
        <w:trPr>
          <w:trHeight w:val="255"/>
        </w:trPr>
        <w:tc>
          <w:tcPr>
            <w:tcW w:w="1333" w:type="pct"/>
            <w:tcBorders>
              <w:bottom w:val="nil"/>
            </w:tcBorders>
            <w:noWrap/>
            <w:hideMark/>
          </w:tcPr>
          <w:p w:rsidR="002E6168" w:rsidRPr="00FA4395" w:rsidRDefault="002E6168" w:rsidP="002E6168">
            <w:pPr>
              <w:pStyle w:val="TableText0"/>
              <w:rPr>
                <w:szCs w:val="20"/>
              </w:rPr>
            </w:pPr>
            <w:r w:rsidRPr="00FA4395">
              <w:rPr>
                <w:szCs w:val="20"/>
              </w:rPr>
              <w:t>Net cost to the PBS/RPBS</w:t>
            </w:r>
          </w:p>
        </w:tc>
        <w:tc>
          <w:tcPr>
            <w:tcW w:w="709" w:type="pct"/>
            <w:tcBorders>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628" w:type="pct"/>
            <w:tcBorders>
              <w:bottom w:val="nil"/>
            </w:tcBorders>
            <w:noWrap/>
            <w:hideMark/>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78" w:type="pct"/>
            <w:tcBorders>
              <w:bottom w:val="nil"/>
            </w:tcBorders>
            <w:noWrap/>
            <w:hideMark/>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c>
          <w:tcPr>
            <w:tcW w:w="584" w:type="pct"/>
            <w:tcBorders>
              <w:bottom w:val="nil"/>
            </w:tcBorders>
            <w:noWrap/>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c>
          <w:tcPr>
            <w:tcW w:w="585" w:type="pct"/>
            <w:tcBorders>
              <w:bottom w:val="nil"/>
            </w:tcBorders>
            <w:noWrap/>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83" w:type="pct"/>
            <w:tcBorders>
              <w:bottom w:val="nil"/>
            </w:tcBorders>
            <w:noWrap/>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r>
      <w:tr w:rsidR="002E6168" w:rsidRPr="00C93348" w:rsidTr="004F4D09">
        <w:tc>
          <w:tcPr>
            <w:tcW w:w="5000" w:type="pct"/>
            <w:gridSpan w:val="7"/>
            <w:tcBorders>
              <w:top w:val="double" w:sz="4" w:space="0" w:color="auto"/>
            </w:tcBorders>
            <w:shd w:val="clear" w:color="auto" w:fill="DBE5F1" w:themeFill="accent1" w:themeFillTint="33"/>
            <w:vAlign w:val="center"/>
          </w:tcPr>
          <w:p w:rsidR="002E6168" w:rsidRPr="00FA4395" w:rsidRDefault="002E6168" w:rsidP="002E6168">
            <w:pPr>
              <w:pStyle w:val="Tabletext"/>
              <w:keepNext/>
              <w:rPr>
                <w:b/>
                <w:szCs w:val="20"/>
              </w:rPr>
            </w:pPr>
            <w:r w:rsidRPr="00FA4395">
              <w:rPr>
                <w:b/>
                <w:szCs w:val="20"/>
              </w:rPr>
              <w:t>July 2019 PBAC consideration</w:t>
            </w:r>
          </w:p>
        </w:tc>
      </w:tr>
      <w:tr w:rsidR="002E6168" w:rsidRPr="00C93348" w:rsidTr="004F4D09">
        <w:tc>
          <w:tcPr>
            <w:tcW w:w="1333" w:type="pct"/>
            <w:shd w:val="clear" w:color="auto" w:fill="DBE5F1" w:themeFill="accent1" w:themeFillTint="33"/>
            <w:vAlign w:val="center"/>
          </w:tcPr>
          <w:p w:rsidR="002E6168" w:rsidRPr="00FA4395" w:rsidRDefault="002E6168" w:rsidP="002E6168">
            <w:pPr>
              <w:pStyle w:val="Tabletext"/>
              <w:keepNext/>
              <w:rPr>
                <w:szCs w:val="20"/>
              </w:rPr>
            </w:pPr>
            <w:r w:rsidRPr="00FA4395">
              <w:rPr>
                <w:szCs w:val="20"/>
              </w:rPr>
              <w:t>Number of patients treated</w:t>
            </w:r>
          </w:p>
        </w:tc>
        <w:tc>
          <w:tcPr>
            <w:tcW w:w="709"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c>
          <w:tcPr>
            <w:tcW w:w="628"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c>
          <w:tcPr>
            <w:tcW w:w="578"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c>
          <w:tcPr>
            <w:tcW w:w="584"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c>
          <w:tcPr>
            <w:tcW w:w="585"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c>
          <w:tcPr>
            <w:tcW w:w="583" w:type="pct"/>
            <w:shd w:val="clear" w:color="auto" w:fill="DBE5F1" w:themeFill="accent1" w:themeFillTint="33"/>
          </w:tcPr>
          <w:p w:rsidR="002E6168" w:rsidRPr="00B27C72" w:rsidRDefault="00B27C72" w:rsidP="009D638B">
            <w:pPr>
              <w:pStyle w:val="Tabletext"/>
              <w:keepNext/>
              <w:jc w:val="center"/>
              <w:rPr>
                <w:i/>
                <w:szCs w:val="20"/>
                <w:highlight w:val="black"/>
              </w:rPr>
            </w:pPr>
            <w:r>
              <w:rPr>
                <w:noProof/>
                <w:color w:val="000000"/>
                <w:szCs w:val="20"/>
                <w:highlight w:val="black"/>
                <w:lang w:bidi="en-US"/>
              </w:rPr>
              <w:t>''''''''''''</w:t>
            </w:r>
          </w:p>
        </w:tc>
      </w:tr>
      <w:tr w:rsidR="002E6168" w:rsidRPr="00C93348" w:rsidTr="004F4D09">
        <w:tc>
          <w:tcPr>
            <w:tcW w:w="1333" w:type="pct"/>
            <w:shd w:val="clear" w:color="auto" w:fill="DBE5F1" w:themeFill="accent1" w:themeFillTint="33"/>
            <w:vAlign w:val="center"/>
          </w:tcPr>
          <w:p w:rsidR="002E6168" w:rsidRPr="00FA4395" w:rsidRDefault="002E6168" w:rsidP="0036355E">
            <w:pPr>
              <w:pStyle w:val="Tabletext"/>
              <w:keepNext/>
              <w:rPr>
                <w:szCs w:val="20"/>
              </w:rPr>
            </w:pPr>
            <w:r w:rsidRPr="00FA4395">
              <w:rPr>
                <w:szCs w:val="20"/>
              </w:rPr>
              <w:t xml:space="preserve">Number of scripts dispensed </w:t>
            </w:r>
            <w:r w:rsidR="0036355E" w:rsidRPr="00FA4395">
              <w:rPr>
                <w:szCs w:val="20"/>
                <w:vertAlign w:val="superscript"/>
              </w:rPr>
              <w:t>h</w:t>
            </w:r>
          </w:p>
        </w:tc>
        <w:tc>
          <w:tcPr>
            <w:tcW w:w="709"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c>
          <w:tcPr>
            <w:tcW w:w="628"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c>
          <w:tcPr>
            <w:tcW w:w="578"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c>
          <w:tcPr>
            <w:tcW w:w="584"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c>
          <w:tcPr>
            <w:tcW w:w="585"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c>
          <w:tcPr>
            <w:tcW w:w="583" w:type="pct"/>
            <w:shd w:val="clear" w:color="auto" w:fill="DBE5F1" w:themeFill="accent1" w:themeFillTint="33"/>
            <w:vAlign w:val="center"/>
          </w:tcPr>
          <w:p w:rsidR="002E6168" w:rsidRPr="00B27C72" w:rsidRDefault="00B27C72" w:rsidP="009D638B">
            <w:pPr>
              <w:pStyle w:val="Tabletext"/>
              <w:keepNext/>
              <w:jc w:val="center"/>
              <w:rPr>
                <w:i/>
                <w:szCs w:val="20"/>
                <w:highlight w:val="black"/>
              </w:rPr>
            </w:pPr>
            <w:r>
              <w:rPr>
                <w:noProof/>
                <w:color w:val="000000"/>
                <w:szCs w:val="20"/>
                <w:highlight w:val="black"/>
              </w:rPr>
              <w:t>'''''''''''''''</w:t>
            </w:r>
          </w:p>
        </w:tc>
      </w:tr>
      <w:tr w:rsidR="002E6168" w:rsidRPr="00C93348" w:rsidTr="004F4D09">
        <w:tc>
          <w:tcPr>
            <w:tcW w:w="1333" w:type="pct"/>
            <w:shd w:val="clear" w:color="auto" w:fill="DBE5F1" w:themeFill="accent1" w:themeFillTint="33"/>
          </w:tcPr>
          <w:p w:rsidR="002E6168" w:rsidRPr="00FA4395" w:rsidRDefault="002E6168" w:rsidP="002E6168">
            <w:pPr>
              <w:pStyle w:val="Tabletext"/>
              <w:keepNext/>
              <w:rPr>
                <w:szCs w:val="20"/>
              </w:rPr>
            </w:pPr>
            <w:r w:rsidRPr="00FA4395">
              <w:rPr>
                <w:szCs w:val="20"/>
              </w:rPr>
              <w:t>Net costs to PBS/RPBS</w:t>
            </w:r>
          </w:p>
        </w:tc>
        <w:tc>
          <w:tcPr>
            <w:tcW w:w="709"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628"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78"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84"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c>
          <w:tcPr>
            <w:tcW w:w="585"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B27C72">
              <w:rPr>
                <w:noProof/>
                <w:color w:val="000000"/>
                <w:szCs w:val="20"/>
                <w:highlight w:val="black"/>
              </w:rPr>
              <w:t>''''''''''''''''''''''''</w:t>
            </w:r>
          </w:p>
        </w:tc>
        <w:tc>
          <w:tcPr>
            <w:tcW w:w="583" w:type="pct"/>
            <w:shd w:val="clear" w:color="auto" w:fill="DBE5F1" w:themeFill="accent1" w:themeFillTint="33"/>
          </w:tcPr>
          <w:p w:rsidR="002E6168" w:rsidRPr="00FA4395" w:rsidRDefault="002E6168" w:rsidP="009D638B">
            <w:pPr>
              <w:pStyle w:val="TableText0"/>
              <w:ind w:right="-96"/>
              <w:jc w:val="center"/>
              <w:rPr>
                <w:szCs w:val="20"/>
              </w:rPr>
            </w:pPr>
            <w:r w:rsidRPr="00FA4395">
              <w:rPr>
                <w:szCs w:val="20"/>
              </w:rPr>
              <w:t>$</w:t>
            </w:r>
            <w:r w:rsidR="00517BEC">
              <w:rPr>
                <w:noProof/>
                <w:color w:val="000000"/>
                <w:szCs w:val="20"/>
                <w:highlight w:val="black"/>
              </w:rPr>
              <w:t>''''''''''''''''''''''''''</w:t>
            </w:r>
          </w:p>
        </w:tc>
      </w:tr>
    </w:tbl>
    <w:p w:rsidR="00BA00F8" w:rsidRPr="00C93348" w:rsidRDefault="00BA00F8" w:rsidP="003C0631">
      <w:pPr>
        <w:pStyle w:val="TableFigureFooter"/>
        <w:keepNext/>
      </w:pPr>
      <w:r w:rsidRPr="00C93348">
        <w:t xml:space="preserve">Source: Table 4.1.5, p153, Table 4.2.1, p160; Table 4.2.2, p161, Table 4.2.4, p161, Table 4.3.1, p162; Table 4.3.2, p163; Table 4.3.5, p165, Table 4.3.3, p163; Table 4.3.4, p164; and Table 4.4.1, p167 of the resubmission, and Table 14, osimertinib, </w:t>
      </w:r>
      <w:r w:rsidR="00F6650C">
        <w:t>Public Summary Document</w:t>
      </w:r>
      <w:r w:rsidRPr="00C93348">
        <w:t>, July 2019 PBAC meeting.</w:t>
      </w:r>
    </w:p>
    <w:p w:rsidR="00BA00F8" w:rsidRPr="00C93348" w:rsidRDefault="00BA00F8" w:rsidP="003C0631">
      <w:pPr>
        <w:pStyle w:val="TableFigureFooter"/>
        <w:keepNext/>
      </w:pPr>
      <w:r w:rsidRPr="00C93348">
        <w:rPr>
          <w:vertAlign w:val="superscript"/>
        </w:rPr>
        <w:t>a</w:t>
      </w:r>
      <w:r w:rsidRPr="00C93348">
        <w:t xml:space="preserve"> Estimated uptake in 2021 is 80%, increasing to 85% in all subsequent years.</w:t>
      </w:r>
    </w:p>
    <w:p w:rsidR="00853A73" w:rsidRPr="00195AF2" w:rsidRDefault="00853A73" w:rsidP="00853A73">
      <w:pPr>
        <w:pStyle w:val="TableFigureFooter"/>
        <w:keepNext/>
      </w:pPr>
      <w:r w:rsidRPr="00C93348">
        <w:rPr>
          <w:vertAlign w:val="superscript"/>
        </w:rPr>
        <w:t>b</w:t>
      </w:r>
      <w:r w:rsidRPr="00C93348">
        <w:t xml:space="preserve"> </w:t>
      </w:r>
      <w:r w:rsidR="00B27C72">
        <w:rPr>
          <w:noProof/>
          <w:color w:val="000000"/>
          <w:highlight w:val="black"/>
        </w:rPr>
        <w:t>''''''''''''</w:t>
      </w:r>
      <w:r w:rsidRPr="00195AF2">
        <w:t xml:space="preserve"> scripts in the first year of treatment, and </w:t>
      </w:r>
      <w:r w:rsidR="00B27C72">
        <w:rPr>
          <w:noProof/>
          <w:color w:val="000000"/>
          <w:highlight w:val="black"/>
        </w:rPr>
        <w:t>'''''''''''</w:t>
      </w:r>
      <w:r w:rsidRPr="00195AF2">
        <w:t xml:space="preserve"> in the second year of treatment</w:t>
      </w:r>
    </w:p>
    <w:p w:rsidR="00853A73" w:rsidRPr="00195AF2" w:rsidRDefault="00853A73" w:rsidP="00853A73">
      <w:pPr>
        <w:pStyle w:val="TableFigureFooter"/>
        <w:keepNext/>
      </w:pPr>
      <w:r w:rsidRPr="00195AF2">
        <w:rPr>
          <w:vertAlign w:val="superscript"/>
        </w:rPr>
        <w:t>c</w:t>
      </w:r>
      <w:r w:rsidRPr="00195AF2">
        <w:t xml:space="preserve"> 12.18 scripts in the first year of treatment, 2.45 in the second year of treatment</w:t>
      </w:r>
    </w:p>
    <w:p w:rsidR="00853A73" w:rsidRPr="00195AF2" w:rsidRDefault="00853A73" w:rsidP="00853A73">
      <w:pPr>
        <w:pStyle w:val="TableFigureFooter"/>
        <w:keepNext/>
      </w:pPr>
      <w:r w:rsidRPr="00195AF2">
        <w:rPr>
          <w:vertAlign w:val="superscript"/>
        </w:rPr>
        <w:t xml:space="preserve">d </w:t>
      </w:r>
      <w:r w:rsidRPr="00195AF2">
        <w:t xml:space="preserve">13.04 scripts in the first year of treatment, and 2.63 in the second year of treatment (corrected from 12.18 scripts in first year of treatment, 2.45/ 3.5 in second year of treatment in PBS/ RPBS patients). </w:t>
      </w:r>
    </w:p>
    <w:p w:rsidR="00853A73" w:rsidRPr="00195AF2" w:rsidRDefault="00853A73" w:rsidP="00853A73">
      <w:pPr>
        <w:pStyle w:val="TableFigureFooter"/>
        <w:keepNext/>
      </w:pPr>
      <w:r w:rsidRPr="00195AF2">
        <w:rPr>
          <w:vertAlign w:val="superscript"/>
        </w:rPr>
        <w:t>e</w:t>
      </w:r>
      <w:r w:rsidRPr="00195AF2">
        <w:t>In addition to the revision of the number of afatinib scripts, the cost per script of gefitinib was also updated to reflect the current price ($1,211.45)</w:t>
      </w:r>
    </w:p>
    <w:p w:rsidR="00853A73" w:rsidRPr="00195AF2" w:rsidRDefault="00853A73" w:rsidP="00853A73">
      <w:pPr>
        <w:pStyle w:val="TableFigureFooter"/>
        <w:keepNext/>
      </w:pPr>
      <w:r w:rsidRPr="00195AF2">
        <w:rPr>
          <w:vertAlign w:val="superscript"/>
        </w:rPr>
        <w:t>f</w:t>
      </w:r>
      <w:r w:rsidRPr="00195AF2">
        <w:t xml:space="preserve"> The cost of second-line osimertinib was estimated assuming a per-patient treatment course cost of $</w:t>
      </w:r>
      <w:r w:rsidR="00B27C72">
        <w:rPr>
          <w:noProof/>
          <w:color w:val="000000"/>
          <w:highlight w:val="black"/>
        </w:rPr>
        <w:t>''''''''''''''''</w:t>
      </w:r>
      <w:r w:rsidRPr="00195AF2">
        <w:t xml:space="preserve">. However patient copayments were estimated assuming </w:t>
      </w:r>
      <w:r w:rsidR="00B27C72">
        <w:rPr>
          <w:noProof/>
          <w:color w:val="000000"/>
          <w:highlight w:val="black"/>
        </w:rPr>
        <w:t>'''''''''''''</w:t>
      </w:r>
      <w:r w:rsidRPr="00195AF2">
        <w:t xml:space="preserve"> scripts per patient</w:t>
      </w:r>
    </w:p>
    <w:p w:rsidR="00853A73" w:rsidRPr="00195AF2" w:rsidRDefault="00853A73" w:rsidP="00853A73">
      <w:pPr>
        <w:pStyle w:val="TableFigureFooter"/>
        <w:keepNext/>
      </w:pPr>
      <w:r w:rsidRPr="00195AF2">
        <w:rPr>
          <w:vertAlign w:val="superscript"/>
        </w:rPr>
        <w:t>g</w:t>
      </w:r>
      <w:r w:rsidRPr="00195AF2">
        <w:t xml:space="preserve"> Revised to exclude the additional rebate in Year 6</w:t>
      </w:r>
    </w:p>
    <w:p w:rsidR="00853A73" w:rsidRPr="00C93348" w:rsidRDefault="00853A73" w:rsidP="00853A73">
      <w:pPr>
        <w:pStyle w:val="TableFigureFooter"/>
        <w:keepNext/>
      </w:pPr>
      <w:r w:rsidRPr="00195AF2">
        <w:rPr>
          <w:vertAlign w:val="superscript"/>
        </w:rPr>
        <w:t>h</w:t>
      </w:r>
      <w:r w:rsidRPr="00195AF2">
        <w:t xml:space="preserve"> </w:t>
      </w:r>
      <w:r w:rsidR="00B27C72">
        <w:rPr>
          <w:noProof/>
          <w:color w:val="000000"/>
          <w:highlight w:val="black"/>
        </w:rPr>
        <w:t>'''''''''''''''</w:t>
      </w:r>
      <w:r w:rsidRPr="00195AF2">
        <w:t xml:space="preserve"> scripts in the first year of treatment, </w:t>
      </w:r>
      <w:r w:rsidR="00B27C72">
        <w:rPr>
          <w:noProof/>
          <w:color w:val="000000"/>
          <w:highlight w:val="black"/>
        </w:rPr>
        <w:t>''''''''''</w:t>
      </w:r>
      <w:r w:rsidRPr="00195AF2">
        <w:t xml:space="preserve"> scripts in the</w:t>
      </w:r>
      <w:r w:rsidRPr="00C93348">
        <w:t xml:space="preserve"> second year of treatment</w:t>
      </w:r>
    </w:p>
    <w:p w:rsidR="0079343C" w:rsidRPr="0079343C" w:rsidRDefault="0079343C" w:rsidP="00517BEC">
      <w:pPr>
        <w:pStyle w:val="3-BodyText"/>
        <w:numPr>
          <w:ilvl w:val="0"/>
          <w:numId w:val="0"/>
        </w:numPr>
        <w:ind w:left="720" w:hanging="11"/>
        <w:rPr>
          <w:i/>
        </w:rPr>
      </w:pPr>
      <w:r>
        <w:rPr>
          <w:i/>
        </w:rPr>
        <w:t>The redacted table shows that at Year 6, the estimated number of 1L osimertinib scripts was 10,000 – 50,000.</w:t>
      </w:r>
    </w:p>
    <w:p w:rsidR="00BA00F8" w:rsidRPr="00C93348" w:rsidRDefault="00BA00F8" w:rsidP="00BA00F8">
      <w:pPr>
        <w:pStyle w:val="3-BodyText"/>
      </w:pPr>
      <w:r w:rsidRPr="00C93348">
        <w:t xml:space="preserve">The total net cost to the PBS/RPBS of listing osimertinib was estimated to be approximately </w:t>
      </w:r>
      <w:r w:rsidR="00A04AC6" w:rsidRPr="00C93348">
        <w:t>$</w:t>
      </w:r>
      <w:r w:rsidR="005433DA">
        <w:t>30 - $60</w:t>
      </w:r>
      <w:r w:rsidR="005433DA" w:rsidRPr="00C93348">
        <w:t xml:space="preserve"> </w:t>
      </w:r>
      <w:r w:rsidR="00A04AC6" w:rsidRPr="00C93348">
        <w:t xml:space="preserve">million in Year 1, increasing to </w:t>
      </w:r>
      <w:r w:rsidRPr="00C93348">
        <w:t>$</w:t>
      </w:r>
      <w:r w:rsidR="005433DA">
        <w:t>30 - $60</w:t>
      </w:r>
      <w:r w:rsidR="005433DA" w:rsidRPr="00C93348">
        <w:t xml:space="preserve"> </w:t>
      </w:r>
      <w:r w:rsidRPr="00C93348">
        <w:t xml:space="preserve">million in Year 6, and a total of approximately </w:t>
      </w:r>
      <w:r w:rsidR="005433DA">
        <w:t>more than $100</w:t>
      </w:r>
      <w:r w:rsidRPr="00C93348">
        <w:t xml:space="preserve"> million in the first 6 years of listing</w:t>
      </w:r>
      <w:r w:rsidRPr="00C93348">
        <w:rPr>
          <w:rFonts w:ascii="Calibri" w:hAnsi="Calibri"/>
          <w:snapToGrid/>
        </w:rPr>
        <w:t xml:space="preserve">, when the proposed </w:t>
      </w:r>
      <w:r w:rsidRPr="00C93348">
        <w:t xml:space="preserve">annual rebate </w:t>
      </w:r>
      <w:r w:rsidR="00B27C72">
        <w:rPr>
          <w:noProof/>
          <w:color w:val="000000"/>
          <w:highlight w:val="black"/>
        </w:rPr>
        <w:t>'''''' '''''''''''''' ''''' ''''''' ''''''''''''''''' ''''''''''''''''''''</w:t>
      </w:r>
      <w:r w:rsidRPr="00C93348">
        <w:t xml:space="preserve"> was excluded.</w:t>
      </w:r>
      <w:r w:rsidR="00EA2F9B" w:rsidRPr="00C93348">
        <w:t xml:space="preserve"> The total net cost to the PBS/RPBS of listing osimertinib </w:t>
      </w:r>
      <w:r w:rsidR="00A46C89" w:rsidRPr="00C93348">
        <w:t xml:space="preserve">including the proposed annual rebate </w:t>
      </w:r>
      <w:r w:rsidR="00EA2F9B" w:rsidRPr="00C93348">
        <w:t>was estimated to be approximately $</w:t>
      </w:r>
      <w:r w:rsidR="00820324">
        <w:t>20 - $30</w:t>
      </w:r>
      <w:r w:rsidR="00820324" w:rsidRPr="00C93348">
        <w:t xml:space="preserve"> </w:t>
      </w:r>
      <w:r w:rsidR="00EA2F9B" w:rsidRPr="00C93348">
        <w:t xml:space="preserve">million in Year 1 and a total of approximately </w:t>
      </w:r>
      <w:r w:rsidR="00820324">
        <w:t xml:space="preserve">more than $100 </w:t>
      </w:r>
      <w:r w:rsidR="00EA2F9B" w:rsidRPr="00C93348">
        <w:t>million in the first 6 years of listing.</w:t>
      </w:r>
      <w:r w:rsidR="00756E6A" w:rsidRPr="00C93348">
        <w:t xml:space="preserve"> </w:t>
      </w:r>
      <w:r w:rsidRPr="00C93348">
        <w:t xml:space="preserve">This is compared with </w:t>
      </w:r>
      <w:r w:rsidRPr="00C93348">
        <w:rPr>
          <w:rFonts w:cstheme="minorHAnsi"/>
          <w:bCs/>
        </w:rPr>
        <w:t xml:space="preserve">the total net cost to the PBS over 6 years being </w:t>
      </w:r>
      <w:r w:rsidR="00EC7772">
        <w:rPr>
          <w:rFonts w:cstheme="minorHAnsi"/>
          <w:bCs/>
        </w:rPr>
        <w:t xml:space="preserve">more than $100 </w:t>
      </w:r>
      <w:r w:rsidRPr="00C93348">
        <w:rPr>
          <w:rFonts w:cstheme="minorHAnsi"/>
          <w:bCs/>
        </w:rPr>
        <w:t>million, as presented in the previous submission.</w:t>
      </w:r>
    </w:p>
    <w:p w:rsidR="00D77E40" w:rsidRPr="00C93348" w:rsidRDefault="00527641" w:rsidP="00527641">
      <w:pPr>
        <w:pStyle w:val="3-BodyText"/>
      </w:pPr>
      <w:r w:rsidRPr="00C93348">
        <w:t xml:space="preserve">The </w:t>
      </w:r>
      <w:r w:rsidR="0047243C" w:rsidRPr="00C93348">
        <w:t xml:space="preserve">PBAC </w:t>
      </w:r>
      <w:r w:rsidRPr="00C93348">
        <w:t xml:space="preserve">considered the </w:t>
      </w:r>
      <w:r w:rsidR="005E498F" w:rsidRPr="00C93348">
        <w:t xml:space="preserve">estimated number of eligible patients </w:t>
      </w:r>
      <w:r w:rsidR="00F02265" w:rsidRPr="00C93348">
        <w:t>should be</w:t>
      </w:r>
      <w:r w:rsidR="00FA45F3" w:rsidRPr="00C93348">
        <w:t xml:space="preserve"> revised</w:t>
      </w:r>
      <w:r w:rsidR="00D77E40" w:rsidRPr="00C93348">
        <w:t xml:space="preserve"> as follows:</w:t>
      </w:r>
    </w:p>
    <w:p w:rsidR="006D2860" w:rsidRPr="00F5143F" w:rsidRDefault="00963FC3" w:rsidP="008C3F6D">
      <w:pPr>
        <w:pStyle w:val="3-BodyText"/>
        <w:numPr>
          <w:ilvl w:val="1"/>
          <w:numId w:val="7"/>
        </w:numPr>
      </w:pPr>
      <w:r w:rsidRPr="00C93348">
        <w:t>Appl</w:t>
      </w:r>
      <w:r w:rsidR="006D2860" w:rsidRPr="00C93348">
        <w:t>y</w:t>
      </w:r>
      <w:r w:rsidRPr="00C93348">
        <w:t xml:space="preserve"> a</w:t>
      </w:r>
      <w:r w:rsidR="00162221" w:rsidRPr="00C93348">
        <w:t xml:space="preserve"> lung </w:t>
      </w:r>
      <w:r w:rsidR="00162221" w:rsidRPr="00F5143F">
        <w:t>cancer</w:t>
      </w:r>
      <w:r w:rsidRPr="00F5143F">
        <w:t xml:space="preserve"> incident growth rate of 2.16%</w:t>
      </w:r>
      <w:r w:rsidR="006D2860" w:rsidRPr="00F5143F">
        <w:t xml:space="preserve"> (paragraph 6.4</w:t>
      </w:r>
      <w:r w:rsidR="00F5143F" w:rsidRPr="00F5143F">
        <w:t>5</w:t>
      </w:r>
      <w:r w:rsidR="006D2860" w:rsidRPr="00F5143F">
        <w:t>)</w:t>
      </w:r>
      <w:r w:rsidR="0096423D" w:rsidRPr="00F5143F">
        <w:t>;</w:t>
      </w:r>
      <w:r w:rsidR="005E498F" w:rsidRPr="00F5143F">
        <w:t xml:space="preserve"> </w:t>
      </w:r>
    </w:p>
    <w:p w:rsidR="006D2860" w:rsidRPr="00F5143F" w:rsidRDefault="006D2860" w:rsidP="008C3F6D">
      <w:pPr>
        <w:pStyle w:val="3-BodyText"/>
        <w:numPr>
          <w:ilvl w:val="1"/>
          <w:numId w:val="7"/>
        </w:numPr>
      </w:pPr>
      <w:r w:rsidRPr="00F5143F">
        <w:t xml:space="preserve">Remove the additional 1% and 5% growth </w:t>
      </w:r>
      <w:r w:rsidR="00162221" w:rsidRPr="00F5143F">
        <w:t xml:space="preserve">in patient numbers </w:t>
      </w:r>
      <w:r w:rsidRPr="00F5143F">
        <w:t>(paragraph 6.4</w:t>
      </w:r>
      <w:r w:rsidR="00F5143F" w:rsidRPr="00F5143F">
        <w:t>6</w:t>
      </w:r>
      <w:r w:rsidRPr="00F5143F">
        <w:t>)</w:t>
      </w:r>
      <w:r w:rsidR="0096423D" w:rsidRPr="00F5143F">
        <w:t>;</w:t>
      </w:r>
    </w:p>
    <w:p w:rsidR="006D2860" w:rsidRPr="00F5143F" w:rsidRDefault="006D2860" w:rsidP="008C3F6D">
      <w:pPr>
        <w:pStyle w:val="3-BodyText"/>
        <w:numPr>
          <w:ilvl w:val="1"/>
          <w:numId w:val="7"/>
        </w:numPr>
      </w:pPr>
      <w:r w:rsidRPr="00F5143F">
        <w:t>Use actual patient numbers treated with first-line TKIs in 2019 in the financial model (645) (paragraph 6.4</w:t>
      </w:r>
      <w:r w:rsidR="00F5143F" w:rsidRPr="00F5143F">
        <w:t>7</w:t>
      </w:r>
      <w:r w:rsidRPr="00F5143F">
        <w:t>)</w:t>
      </w:r>
      <w:r w:rsidR="0096423D" w:rsidRPr="00F5143F">
        <w:t>;</w:t>
      </w:r>
      <w:r w:rsidRPr="00F5143F">
        <w:t xml:space="preserve"> </w:t>
      </w:r>
    </w:p>
    <w:p w:rsidR="0096423D" w:rsidRPr="00F5143F" w:rsidRDefault="0047243C" w:rsidP="008C3F6D">
      <w:pPr>
        <w:pStyle w:val="3-BodyText"/>
        <w:numPr>
          <w:ilvl w:val="1"/>
          <w:numId w:val="7"/>
        </w:numPr>
      </w:pPr>
      <w:r w:rsidRPr="00F5143F">
        <w:t>Apply a</w:t>
      </w:r>
      <w:r w:rsidR="0096423D" w:rsidRPr="00F5143F">
        <w:t xml:space="preserve">n uptake of first-line osimertinib </w:t>
      </w:r>
      <w:r w:rsidRPr="00F5143F">
        <w:t>of 90% in Year 3 to 6 as proposed by the sponsor in the pre-PBAC response</w:t>
      </w:r>
      <w:r w:rsidR="0096423D" w:rsidRPr="00F5143F">
        <w:t xml:space="preserve"> (paragraph 6.4</w:t>
      </w:r>
      <w:r w:rsidR="00F5143F" w:rsidRPr="00F5143F">
        <w:t>8</w:t>
      </w:r>
      <w:r w:rsidR="0096423D" w:rsidRPr="00F5143F">
        <w:t>); and</w:t>
      </w:r>
    </w:p>
    <w:p w:rsidR="0047243C" w:rsidRPr="00F5143F" w:rsidRDefault="0096423D" w:rsidP="008C3F6D">
      <w:pPr>
        <w:pStyle w:val="3-BodyText"/>
        <w:numPr>
          <w:ilvl w:val="1"/>
          <w:numId w:val="7"/>
        </w:numPr>
      </w:pPr>
      <w:r w:rsidRPr="00F5143F">
        <w:t xml:space="preserve">Apply the revised first-line uptake (90% in Year 3 to 6) to the </w:t>
      </w:r>
      <w:r w:rsidR="0047243C" w:rsidRPr="00F5143F">
        <w:t>number of patients in whom a reduction in second-line use of osimertinib is assumed</w:t>
      </w:r>
      <w:r w:rsidRPr="00F5143F">
        <w:t xml:space="preserve"> (paragraph 6.5</w:t>
      </w:r>
      <w:r w:rsidR="00F5143F" w:rsidRPr="00F5143F">
        <w:t>2</w:t>
      </w:r>
      <w:r w:rsidRPr="00F5143F">
        <w:t>)</w:t>
      </w:r>
      <w:r w:rsidR="0047243C" w:rsidRPr="00F5143F">
        <w:t>.</w:t>
      </w:r>
    </w:p>
    <w:p w:rsidR="00375FD0" w:rsidRPr="00C93348" w:rsidRDefault="00375FD0" w:rsidP="00375FD0">
      <w:pPr>
        <w:pStyle w:val="3-BodyText"/>
        <w:numPr>
          <w:ilvl w:val="0"/>
          <w:numId w:val="0"/>
        </w:numPr>
        <w:ind w:left="720"/>
      </w:pPr>
      <w:r w:rsidRPr="00C93348">
        <w:t xml:space="preserve">The revised </w:t>
      </w:r>
      <w:r w:rsidR="00FA0B46" w:rsidRPr="00C93348">
        <w:t xml:space="preserve">number of patients treated first-line with osimertinib and the </w:t>
      </w:r>
      <w:r w:rsidRPr="00C93348">
        <w:t>financial</w:t>
      </w:r>
      <w:r w:rsidR="00FA0B46" w:rsidRPr="00C93348">
        <w:t xml:space="preserve"> implications</w:t>
      </w:r>
      <w:r w:rsidR="001A5FAB" w:rsidRPr="00C93348">
        <w:t xml:space="preserve"> </w:t>
      </w:r>
      <w:r w:rsidRPr="00C93348">
        <w:t>applying these assumptions</w:t>
      </w:r>
      <w:r w:rsidR="001A5FAB" w:rsidRPr="00C93348">
        <w:t xml:space="preserve"> (and assum</w:t>
      </w:r>
      <w:r w:rsidR="009B58F7" w:rsidRPr="00C93348">
        <w:t>ing</w:t>
      </w:r>
      <w:r w:rsidR="001A5FAB" w:rsidRPr="00C93348">
        <w:t xml:space="preserve"> </w:t>
      </w:r>
      <w:r w:rsidR="00B27C72">
        <w:rPr>
          <w:noProof/>
          <w:color w:val="000000"/>
          <w:highlight w:val="black"/>
        </w:rPr>
        <w:t>'''''</w:t>
      </w:r>
      <w:r w:rsidR="001A5FAB" w:rsidRPr="00C93348">
        <w:t xml:space="preserve"> packs per patient)</w:t>
      </w:r>
      <w:r w:rsidRPr="00C93348">
        <w:t xml:space="preserve"> are summarised </w:t>
      </w:r>
      <w:r w:rsidR="0047243C" w:rsidRPr="00C93348">
        <w:t xml:space="preserve">in the table </w:t>
      </w:r>
      <w:r w:rsidRPr="00C93348">
        <w:t>below</w:t>
      </w:r>
      <w:r w:rsidR="0047243C" w:rsidRPr="00C93348">
        <w:t>. The estimated impact of the rebate proposed in the pre-PBAC response ($</w:t>
      </w:r>
      <w:r w:rsidR="00B27C72">
        <w:rPr>
          <w:noProof/>
          <w:color w:val="000000"/>
          <w:highlight w:val="black"/>
        </w:rPr>
        <w:t>''''''''''''''''</w:t>
      </w:r>
      <w:r w:rsidR="0047243C" w:rsidRPr="00C93348">
        <w:t xml:space="preserve">) is </w:t>
      </w:r>
      <w:r w:rsidR="008965A8" w:rsidRPr="00C93348">
        <w:t>also presented</w:t>
      </w:r>
      <w:r w:rsidR="0047243C" w:rsidRPr="00C93348">
        <w:t xml:space="preserve">. </w:t>
      </w:r>
    </w:p>
    <w:p w:rsidR="00375FD0" w:rsidRPr="00C93348" w:rsidRDefault="00375FD0" w:rsidP="00375FD0">
      <w:pPr>
        <w:pStyle w:val="TableFigureHeading"/>
        <w:rPr>
          <w:rStyle w:val="CommentReference"/>
          <w:rFonts w:ascii="Calibri" w:hAnsi="Calibri"/>
          <w:b/>
          <w:sz w:val="18"/>
          <w:szCs w:val="18"/>
        </w:rPr>
      </w:pPr>
      <w:r w:rsidRPr="00C93348">
        <w:t xml:space="preserve">Table </w:t>
      </w:r>
      <w:r w:rsidR="00CC4472">
        <w:rPr>
          <w:noProof/>
        </w:rPr>
        <w:t>18</w:t>
      </w:r>
      <w:r w:rsidRPr="00C93348">
        <w:t>:</w:t>
      </w:r>
      <w:r w:rsidRPr="00C93348">
        <w:rPr>
          <w:rStyle w:val="CommentReference"/>
          <w:b/>
          <w:szCs w:val="24"/>
        </w:rPr>
        <w:t xml:space="preserve"> Revised estimated use and financial implications </w:t>
      </w:r>
      <w:r w:rsidR="00B12D9C" w:rsidRPr="00C93348">
        <w:rPr>
          <w:rStyle w:val="CommentReference"/>
          <w:b/>
          <w:szCs w:val="24"/>
        </w:rPr>
        <w:t>of first-line osimertinib</w:t>
      </w:r>
    </w:p>
    <w:tbl>
      <w:tblPr>
        <w:tblStyle w:val="TableGrid"/>
        <w:tblW w:w="5001" w:type="pct"/>
        <w:tblLayout w:type="fixed"/>
        <w:tblLook w:val="04A0" w:firstRow="1" w:lastRow="0" w:firstColumn="1" w:lastColumn="0" w:noHBand="0" w:noVBand="1"/>
      </w:tblPr>
      <w:tblGrid>
        <w:gridCol w:w="2404"/>
        <w:gridCol w:w="1279"/>
        <w:gridCol w:w="1133"/>
        <w:gridCol w:w="1043"/>
        <w:gridCol w:w="1053"/>
        <w:gridCol w:w="1055"/>
        <w:gridCol w:w="1052"/>
      </w:tblGrid>
      <w:tr w:rsidR="00375FD0" w:rsidRPr="00C93348" w:rsidTr="00D00965">
        <w:trPr>
          <w:trHeight w:val="255"/>
        </w:trPr>
        <w:tc>
          <w:tcPr>
            <w:tcW w:w="1333" w:type="pct"/>
            <w:noWrap/>
          </w:tcPr>
          <w:p w:rsidR="00375FD0" w:rsidRPr="00A80684" w:rsidRDefault="00375FD0" w:rsidP="00375FD0">
            <w:pPr>
              <w:pStyle w:val="In-tableHeading"/>
              <w:ind w:hanging="84"/>
              <w:rPr>
                <w:szCs w:val="20"/>
                <w:lang w:val="en-AU"/>
              </w:rPr>
            </w:pPr>
          </w:p>
        </w:tc>
        <w:tc>
          <w:tcPr>
            <w:tcW w:w="709" w:type="pct"/>
            <w:noWrap/>
          </w:tcPr>
          <w:p w:rsidR="00375FD0" w:rsidRPr="00A80684" w:rsidRDefault="00375FD0" w:rsidP="00375FD0">
            <w:pPr>
              <w:pStyle w:val="In-tableHeading"/>
              <w:ind w:right="-96"/>
              <w:jc w:val="center"/>
              <w:rPr>
                <w:szCs w:val="20"/>
                <w:lang w:val="en-AU"/>
              </w:rPr>
            </w:pPr>
            <w:r w:rsidRPr="00A80684">
              <w:rPr>
                <w:szCs w:val="20"/>
                <w:lang w:val="en-AU"/>
              </w:rPr>
              <w:t>Year 1</w:t>
            </w:r>
          </w:p>
        </w:tc>
        <w:tc>
          <w:tcPr>
            <w:tcW w:w="628" w:type="pct"/>
            <w:noWrap/>
          </w:tcPr>
          <w:p w:rsidR="00375FD0" w:rsidRPr="00A80684" w:rsidRDefault="00375FD0" w:rsidP="00375FD0">
            <w:pPr>
              <w:pStyle w:val="In-tableHeading"/>
              <w:ind w:right="-96"/>
              <w:jc w:val="center"/>
              <w:rPr>
                <w:szCs w:val="20"/>
                <w:lang w:val="en-AU"/>
              </w:rPr>
            </w:pPr>
            <w:r w:rsidRPr="00A80684">
              <w:rPr>
                <w:szCs w:val="20"/>
                <w:lang w:val="en-AU"/>
              </w:rPr>
              <w:t>Year 2</w:t>
            </w:r>
          </w:p>
        </w:tc>
        <w:tc>
          <w:tcPr>
            <w:tcW w:w="578" w:type="pct"/>
            <w:noWrap/>
          </w:tcPr>
          <w:p w:rsidR="00375FD0" w:rsidRPr="00A80684" w:rsidRDefault="00375FD0" w:rsidP="00375FD0">
            <w:pPr>
              <w:pStyle w:val="In-tableHeading"/>
              <w:ind w:right="-96"/>
              <w:jc w:val="center"/>
              <w:rPr>
                <w:szCs w:val="20"/>
                <w:lang w:val="en-AU"/>
              </w:rPr>
            </w:pPr>
            <w:r w:rsidRPr="00A80684">
              <w:rPr>
                <w:szCs w:val="20"/>
                <w:lang w:val="en-AU"/>
              </w:rPr>
              <w:t>Year 3</w:t>
            </w:r>
          </w:p>
        </w:tc>
        <w:tc>
          <w:tcPr>
            <w:tcW w:w="584" w:type="pct"/>
            <w:noWrap/>
          </w:tcPr>
          <w:p w:rsidR="00375FD0" w:rsidRPr="00A80684" w:rsidRDefault="00375FD0" w:rsidP="00375FD0">
            <w:pPr>
              <w:pStyle w:val="In-tableHeading"/>
              <w:ind w:right="-96"/>
              <w:jc w:val="center"/>
              <w:rPr>
                <w:szCs w:val="20"/>
                <w:lang w:val="en-AU"/>
              </w:rPr>
            </w:pPr>
            <w:r w:rsidRPr="00A80684">
              <w:rPr>
                <w:szCs w:val="20"/>
                <w:lang w:val="en-AU"/>
              </w:rPr>
              <w:t>Year 4</w:t>
            </w:r>
          </w:p>
        </w:tc>
        <w:tc>
          <w:tcPr>
            <w:tcW w:w="585" w:type="pct"/>
            <w:noWrap/>
          </w:tcPr>
          <w:p w:rsidR="00375FD0" w:rsidRPr="00A80684" w:rsidRDefault="00375FD0" w:rsidP="00375FD0">
            <w:pPr>
              <w:pStyle w:val="In-tableHeading"/>
              <w:ind w:right="-96"/>
              <w:jc w:val="center"/>
              <w:rPr>
                <w:szCs w:val="20"/>
                <w:lang w:val="en-AU"/>
              </w:rPr>
            </w:pPr>
            <w:r w:rsidRPr="00A80684">
              <w:rPr>
                <w:szCs w:val="20"/>
                <w:lang w:val="en-AU"/>
              </w:rPr>
              <w:t>Year 5</w:t>
            </w:r>
          </w:p>
        </w:tc>
        <w:tc>
          <w:tcPr>
            <w:tcW w:w="583" w:type="pct"/>
            <w:noWrap/>
          </w:tcPr>
          <w:p w:rsidR="00375FD0" w:rsidRPr="00A80684" w:rsidRDefault="00375FD0" w:rsidP="00375FD0">
            <w:pPr>
              <w:pStyle w:val="In-tableHeading"/>
              <w:ind w:right="-96"/>
              <w:jc w:val="center"/>
              <w:rPr>
                <w:szCs w:val="20"/>
                <w:lang w:val="en-AU"/>
              </w:rPr>
            </w:pPr>
            <w:r w:rsidRPr="00A80684">
              <w:rPr>
                <w:szCs w:val="20"/>
                <w:lang w:val="en-AU"/>
              </w:rPr>
              <w:t>Year 6</w:t>
            </w:r>
          </w:p>
        </w:tc>
      </w:tr>
      <w:tr w:rsidR="00375FD0" w:rsidRPr="00C93348" w:rsidTr="00D00965">
        <w:trPr>
          <w:trHeight w:val="255"/>
        </w:trPr>
        <w:tc>
          <w:tcPr>
            <w:tcW w:w="1333" w:type="pct"/>
            <w:noWrap/>
          </w:tcPr>
          <w:p w:rsidR="00375FD0" w:rsidRPr="00A80684" w:rsidRDefault="00375FD0" w:rsidP="00375FD0">
            <w:pPr>
              <w:pStyle w:val="In-tableHeading"/>
              <w:ind w:hanging="84"/>
              <w:rPr>
                <w:szCs w:val="20"/>
                <w:lang w:val="en-AU"/>
              </w:rPr>
            </w:pPr>
            <w:r w:rsidRPr="00A80684">
              <w:rPr>
                <w:szCs w:val="20"/>
                <w:lang w:val="en-AU"/>
              </w:rPr>
              <w:t>Estimated extent of use</w:t>
            </w:r>
          </w:p>
        </w:tc>
        <w:tc>
          <w:tcPr>
            <w:tcW w:w="709" w:type="pct"/>
            <w:noWrap/>
          </w:tcPr>
          <w:p w:rsidR="00375FD0" w:rsidRPr="00A80684" w:rsidRDefault="00375FD0" w:rsidP="00375FD0">
            <w:pPr>
              <w:pStyle w:val="In-tableHeading"/>
              <w:ind w:right="-96"/>
              <w:jc w:val="center"/>
              <w:rPr>
                <w:szCs w:val="20"/>
                <w:lang w:val="en-AU"/>
              </w:rPr>
            </w:pPr>
          </w:p>
        </w:tc>
        <w:tc>
          <w:tcPr>
            <w:tcW w:w="628" w:type="pct"/>
            <w:noWrap/>
          </w:tcPr>
          <w:p w:rsidR="00375FD0" w:rsidRPr="00A80684" w:rsidRDefault="00375FD0" w:rsidP="00375FD0">
            <w:pPr>
              <w:pStyle w:val="In-tableHeading"/>
              <w:ind w:right="-96"/>
              <w:jc w:val="center"/>
              <w:rPr>
                <w:szCs w:val="20"/>
                <w:lang w:val="en-AU"/>
              </w:rPr>
            </w:pPr>
          </w:p>
        </w:tc>
        <w:tc>
          <w:tcPr>
            <w:tcW w:w="578" w:type="pct"/>
            <w:noWrap/>
          </w:tcPr>
          <w:p w:rsidR="00375FD0" w:rsidRPr="00A80684" w:rsidRDefault="00375FD0" w:rsidP="00375FD0">
            <w:pPr>
              <w:pStyle w:val="In-tableHeading"/>
              <w:ind w:right="-96"/>
              <w:jc w:val="center"/>
              <w:rPr>
                <w:szCs w:val="20"/>
                <w:lang w:val="en-AU"/>
              </w:rPr>
            </w:pPr>
          </w:p>
        </w:tc>
        <w:tc>
          <w:tcPr>
            <w:tcW w:w="584" w:type="pct"/>
            <w:noWrap/>
          </w:tcPr>
          <w:p w:rsidR="00375FD0" w:rsidRPr="00A80684" w:rsidRDefault="00375FD0" w:rsidP="00375FD0">
            <w:pPr>
              <w:pStyle w:val="In-tableHeading"/>
              <w:ind w:right="-96"/>
              <w:jc w:val="center"/>
              <w:rPr>
                <w:szCs w:val="20"/>
                <w:lang w:val="en-AU"/>
              </w:rPr>
            </w:pPr>
          </w:p>
        </w:tc>
        <w:tc>
          <w:tcPr>
            <w:tcW w:w="585" w:type="pct"/>
            <w:noWrap/>
          </w:tcPr>
          <w:p w:rsidR="00375FD0" w:rsidRPr="00A80684" w:rsidRDefault="00375FD0" w:rsidP="00375FD0">
            <w:pPr>
              <w:pStyle w:val="In-tableHeading"/>
              <w:ind w:right="-96"/>
              <w:jc w:val="center"/>
              <w:rPr>
                <w:szCs w:val="20"/>
                <w:lang w:val="en-AU"/>
              </w:rPr>
            </w:pPr>
          </w:p>
        </w:tc>
        <w:tc>
          <w:tcPr>
            <w:tcW w:w="583" w:type="pct"/>
            <w:noWrap/>
          </w:tcPr>
          <w:p w:rsidR="00375FD0" w:rsidRPr="00A80684" w:rsidRDefault="00375FD0" w:rsidP="00375FD0">
            <w:pPr>
              <w:pStyle w:val="In-tableHeading"/>
              <w:ind w:right="-96"/>
              <w:jc w:val="center"/>
              <w:rPr>
                <w:szCs w:val="20"/>
                <w:lang w:val="en-AU"/>
              </w:rPr>
            </w:pPr>
          </w:p>
        </w:tc>
      </w:tr>
      <w:tr w:rsidR="00981726" w:rsidRPr="00C93348" w:rsidTr="00D00965">
        <w:trPr>
          <w:trHeight w:val="255"/>
        </w:trPr>
        <w:tc>
          <w:tcPr>
            <w:tcW w:w="1333" w:type="pct"/>
            <w:noWrap/>
          </w:tcPr>
          <w:p w:rsidR="00B12D9C" w:rsidRPr="00A80684" w:rsidRDefault="00B12D9C" w:rsidP="00B12D9C">
            <w:pPr>
              <w:pStyle w:val="TableText0"/>
              <w:ind w:left="-85"/>
              <w:rPr>
                <w:szCs w:val="20"/>
              </w:rPr>
            </w:pPr>
            <w:r w:rsidRPr="00A80684">
              <w:rPr>
                <w:szCs w:val="20"/>
              </w:rPr>
              <w:t>Eligible patients</w:t>
            </w:r>
          </w:p>
        </w:tc>
        <w:tc>
          <w:tcPr>
            <w:tcW w:w="709"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628"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78"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4"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5"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3"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r>
      <w:tr w:rsidR="00B12D9C" w:rsidRPr="00C93348" w:rsidTr="00D00965">
        <w:trPr>
          <w:trHeight w:val="255"/>
        </w:trPr>
        <w:tc>
          <w:tcPr>
            <w:tcW w:w="1333" w:type="pct"/>
            <w:noWrap/>
          </w:tcPr>
          <w:p w:rsidR="00B12D9C" w:rsidRPr="00A80684" w:rsidRDefault="00B12D9C" w:rsidP="00B12D9C">
            <w:pPr>
              <w:pStyle w:val="TableText0"/>
              <w:ind w:left="-85"/>
              <w:rPr>
                <w:szCs w:val="20"/>
              </w:rPr>
            </w:pPr>
            <w:r w:rsidRPr="00A80684">
              <w:rPr>
                <w:szCs w:val="20"/>
              </w:rPr>
              <w:t>No. that uptake 1L osimertinib</w:t>
            </w:r>
          </w:p>
        </w:tc>
        <w:tc>
          <w:tcPr>
            <w:tcW w:w="709"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628"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78"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4"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5"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583"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r>
      <w:tr w:rsidR="00B12D9C" w:rsidRPr="00C93348" w:rsidTr="00D00965">
        <w:trPr>
          <w:trHeight w:val="255"/>
        </w:trPr>
        <w:tc>
          <w:tcPr>
            <w:tcW w:w="1333" w:type="pct"/>
            <w:noWrap/>
          </w:tcPr>
          <w:p w:rsidR="00B12D9C" w:rsidRPr="00A80684" w:rsidRDefault="00B12D9C" w:rsidP="00B12D9C">
            <w:pPr>
              <w:pStyle w:val="TableText0"/>
              <w:ind w:left="-85"/>
              <w:rPr>
                <w:szCs w:val="20"/>
              </w:rPr>
            </w:pPr>
            <w:r w:rsidRPr="00A80684">
              <w:rPr>
                <w:szCs w:val="20"/>
              </w:rPr>
              <w:t>Grandfathered patients</w:t>
            </w:r>
          </w:p>
        </w:tc>
        <w:tc>
          <w:tcPr>
            <w:tcW w:w="709" w:type="pct"/>
            <w:noWrap/>
          </w:tcPr>
          <w:p w:rsidR="00B12D9C" w:rsidRPr="00B27C72" w:rsidRDefault="00B27C72" w:rsidP="00E70540">
            <w:pPr>
              <w:pStyle w:val="TableText0"/>
              <w:ind w:right="-92"/>
              <w:jc w:val="center"/>
              <w:rPr>
                <w:szCs w:val="20"/>
                <w:highlight w:val="black"/>
              </w:rPr>
            </w:pPr>
            <w:r>
              <w:rPr>
                <w:noProof/>
                <w:color w:val="000000"/>
                <w:szCs w:val="20"/>
                <w:highlight w:val="black"/>
              </w:rPr>
              <w:t>''''''''''</w:t>
            </w:r>
          </w:p>
        </w:tc>
        <w:tc>
          <w:tcPr>
            <w:tcW w:w="628" w:type="pct"/>
            <w:noWrap/>
          </w:tcPr>
          <w:p w:rsidR="00B12D9C" w:rsidRPr="00B27C72" w:rsidRDefault="00B12D9C" w:rsidP="00E70540">
            <w:pPr>
              <w:pStyle w:val="TableText0"/>
              <w:ind w:right="-92"/>
              <w:jc w:val="center"/>
              <w:rPr>
                <w:szCs w:val="20"/>
              </w:rPr>
            </w:pPr>
          </w:p>
        </w:tc>
        <w:tc>
          <w:tcPr>
            <w:tcW w:w="578" w:type="pct"/>
            <w:noWrap/>
          </w:tcPr>
          <w:p w:rsidR="00B12D9C" w:rsidRPr="00B27C72" w:rsidRDefault="00B12D9C" w:rsidP="00E70540">
            <w:pPr>
              <w:pStyle w:val="TableText0"/>
              <w:ind w:right="-92"/>
              <w:jc w:val="center"/>
              <w:rPr>
                <w:szCs w:val="20"/>
              </w:rPr>
            </w:pPr>
          </w:p>
        </w:tc>
        <w:tc>
          <w:tcPr>
            <w:tcW w:w="584" w:type="pct"/>
            <w:noWrap/>
          </w:tcPr>
          <w:p w:rsidR="00B12D9C" w:rsidRPr="00B27C72" w:rsidRDefault="00B12D9C" w:rsidP="00E70540">
            <w:pPr>
              <w:pStyle w:val="TableText0"/>
              <w:ind w:right="-92"/>
              <w:jc w:val="center"/>
              <w:rPr>
                <w:szCs w:val="20"/>
              </w:rPr>
            </w:pPr>
          </w:p>
        </w:tc>
        <w:tc>
          <w:tcPr>
            <w:tcW w:w="585" w:type="pct"/>
            <w:noWrap/>
          </w:tcPr>
          <w:p w:rsidR="00B12D9C" w:rsidRPr="00B27C72" w:rsidRDefault="00B12D9C" w:rsidP="00E70540">
            <w:pPr>
              <w:pStyle w:val="TableText0"/>
              <w:ind w:right="-92"/>
              <w:jc w:val="center"/>
              <w:rPr>
                <w:szCs w:val="20"/>
              </w:rPr>
            </w:pPr>
          </w:p>
        </w:tc>
        <w:tc>
          <w:tcPr>
            <w:tcW w:w="583" w:type="pct"/>
            <w:noWrap/>
          </w:tcPr>
          <w:p w:rsidR="00B12D9C" w:rsidRPr="00B27C72" w:rsidRDefault="00B12D9C" w:rsidP="00E70540">
            <w:pPr>
              <w:pStyle w:val="TableText0"/>
              <w:ind w:right="-92"/>
              <w:jc w:val="center"/>
              <w:rPr>
                <w:szCs w:val="20"/>
              </w:rPr>
            </w:pPr>
          </w:p>
        </w:tc>
      </w:tr>
      <w:tr w:rsidR="0081198C" w:rsidRPr="00C93348" w:rsidTr="00D00965">
        <w:trPr>
          <w:trHeight w:val="255"/>
        </w:trPr>
        <w:tc>
          <w:tcPr>
            <w:tcW w:w="1333" w:type="pct"/>
            <w:noWrap/>
            <w:hideMark/>
          </w:tcPr>
          <w:p w:rsidR="0081198C" w:rsidRPr="00A80684" w:rsidRDefault="0081198C" w:rsidP="0081198C">
            <w:pPr>
              <w:pStyle w:val="TableText0"/>
              <w:ind w:left="-85"/>
              <w:rPr>
                <w:szCs w:val="20"/>
              </w:rPr>
            </w:pPr>
            <w:r w:rsidRPr="00A80684">
              <w:rPr>
                <w:szCs w:val="20"/>
              </w:rPr>
              <w:t>No. patients that uptake 1L osimertinib</w:t>
            </w:r>
          </w:p>
        </w:tc>
        <w:tc>
          <w:tcPr>
            <w:tcW w:w="709"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c>
          <w:tcPr>
            <w:tcW w:w="628"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c>
          <w:tcPr>
            <w:tcW w:w="578"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c>
          <w:tcPr>
            <w:tcW w:w="584"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c>
          <w:tcPr>
            <w:tcW w:w="585"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c>
          <w:tcPr>
            <w:tcW w:w="583" w:type="pct"/>
            <w:noWrap/>
          </w:tcPr>
          <w:p w:rsidR="0081198C" w:rsidRPr="00B27C72" w:rsidRDefault="00B27C72" w:rsidP="0081198C">
            <w:pPr>
              <w:pStyle w:val="TableText0"/>
              <w:ind w:right="-92"/>
              <w:jc w:val="center"/>
              <w:rPr>
                <w:szCs w:val="20"/>
                <w:highlight w:val="black"/>
              </w:rPr>
            </w:pPr>
            <w:r>
              <w:rPr>
                <w:noProof/>
                <w:color w:val="000000"/>
                <w:szCs w:val="20"/>
                <w:highlight w:val="black"/>
              </w:rPr>
              <w:t>''''''''''</w:t>
            </w:r>
          </w:p>
        </w:tc>
      </w:tr>
      <w:tr w:rsidR="0081198C" w:rsidRPr="00C93348" w:rsidTr="00D00965">
        <w:trPr>
          <w:trHeight w:val="255"/>
        </w:trPr>
        <w:tc>
          <w:tcPr>
            <w:tcW w:w="1333" w:type="pct"/>
            <w:noWrap/>
          </w:tcPr>
          <w:p w:rsidR="0081198C" w:rsidRPr="00A80684" w:rsidRDefault="0081198C" w:rsidP="0081198C">
            <w:pPr>
              <w:pStyle w:val="TableText0"/>
              <w:ind w:left="-85"/>
              <w:rPr>
                <w:szCs w:val="20"/>
              </w:rPr>
            </w:pPr>
            <w:r w:rsidRPr="00A80684">
              <w:rPr>
                <w:szCs w:val="20"/>
              </w:rPr>
              <w:t xml:space="preserve">Total 1L osimertinib scripts </w:t>
            </w:r>
          </w:p>
        </w:tc>
        <w:tc>
          <w:tcPr>
            <w:tcW w:w="709"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c>
          <w:tcPr>
            <w:tcW w:w="628"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c>
          <w:tcPr>
            <w:tcW w:w="578"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c>
          <w:tcPr>
            <w:tcW w:w="584"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c>
          <w:tcPr>
            <w:tcW w:w="585"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c>
          <w:tcPr>
            <w:tcW w:w="583" w:type="pct"/>
            <w:noWrap/>
          </w:tcPr>
          <w:p w:rsidR="0081198C" w:rsidRPr="00B27C72" w:rsidRDefault="00B27C72" w:rsidP="0081198C">
            <w:pPr>
              <w:pStyle w:val="TableText0"/>
              <w:ind w:left="-85"/>
              <w:jc w:val="center"/>
              <w:rPr>
                <w:szCs w:val="20"/>
                <w:highlight w:val="black"/>
              </w:rPr>
            </w:pPr>
            <w:r>
              <w:rPr>
                <w:rFonts w:cs="Arial"/>
                <w:bCs w:val="0"/>
                <w:noProof/>
                <w:color w:val="000000"/>
                <w:szCs w:val="20"/>
                <w:highlight w:val="black"/>
              </w:rPr>
              <w:t>''''''''''''''''''</w:t>
            </w:r>
          </w:p>
        </w:tc>
      </w:tr>
      <w:tr w:rsidR="0081198C" w:rsidRPr="00C93348" w:rsidTr="00D00965">
        <w:trPr>
          <w:trHeight w:val="255"/>
        </w:trPr>
        <w:tc>
          <w:tcPr>
            <w:tcW w:w="5000" w:type="pct"/>
            <w:gridSpan w:val="7"/>
            <w:noWrap/>
          </w:tcPr>
          <w:p w:rsidR="0081198C" w:rsidRPr="00A80684" w:rsidRDefault="0081198C" w:rsidP="0081198C">
            <w:pPr>
              <w:pStyle w:val="In-tableHeading"/>
              <w:ind w:right="-96"/>
              <w:rPr>
                <w:szCs w:val="20"/>
                <w:lang w:val="en-AU"/>
              </w:rPr>
            </w:pPr>
            <w:r w:rsidRPr="00A80684">
              <w:rPr>
                <w:bCs/>
                <w:color w:val="000000"/>
                <w:szCs w:val="20"/>
                <w:lang w:val="en-AU"/>
              </w:rPr>
              <w:t>Estimated financial implications of</w:t>
            </w:r>
            <w:r w:rsidRPr="00A80684">
              <w:rPr>
                <w:color w:val="000000"/>
                <w:szCs w:val="20"/>
                <w:lang w:val="en-AU"/>
              </w:rPr>
              <w:t xml:space="preserve"> 1L osimertinib</w:t>
            </w:r>
          </w:p>
        </w:tc>
      </w:tr>
      <w:tr w:rsidR="00D254FE" w:rsidRPr="00C93348" w:rsidTr="00D00965">
        <w:trPr>
          <w:trHeight w:val="255"/>
        </w:trPr>
        <w:tc>
          <w:tcPr>
            <w:tcW w:w="1333" w:type="pct"/>
            <w:noWrap/>
          </w:tcPr>
          <w:p w:rsidR="00D254FE" w:rsidRPr="00A80684" w:rsidRDefault="00D254FE" w:rsidP="00D254FE">
            <w:pPr>
              <w:pStyle w:val="TableText0"/>
              <w:ind w:right="-96"/>
              <w:rPr>
                <w:szCs w:val="20"/>
              </w:rPr>
            </w:pPr>
            <w:r w:rsidRPr="00A80684">
              <w:rPr>
                <w:szCs w:val="20"/>
              </w:rPr>
              <w:t>Cost to the PBS/RPBS, less copayments</w:t>
            </w:r>
          </w:p>
        </w:tc>
        <w:tc>
          <w:tcPr>
            <w:tcW w:w="709"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62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7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84" w:type="pct"/>
            <w:noWrap/>
          </w:tcPr>
          <w:p w:rsidR="00D254FE" w:rsidRPr="00A80684" w:rsidRDefault="00D254FE" w:rsidP="00D254FE">
            <w:pPr>
              <w:pStyle w:val="TableText0"/>
              <w:ind w:right="-96"/>
              <w:jc w:val="center"/>
              <w:rPr>
                <w:szCs w:val="20"/>
              </w:rPr>
            </w:pPr>
            <w:r w:rsidRPr="00A80684">
              <w:rPr>
                <w:szCs w:val="20"/>
              </w:rPr>
              <w:t>$</w:t>
            </w:r>
            <w:r w:rsidR="00517BEC">
              <w:rPr>
                <w:noProof/>
                <w:color w:val="000000"/>
                <w:szCs w:val="20"/>
                <w:highlight w:val="black"/>
              </w:rPr>
              <w:t>''''''''''''''''''''''''''</w:t>
            </w:r>
          </w:p>
        </w:tc>
        <w:tc>
          <w:tcPr>
            <w:tcW w:w="585" w:type="pct"/>
            <w:noWrap/>
          </w:tcPr>
          <w:p w:rsidR="00D254FE" w:rsidRPr="00A80684" w:rsidRDefault="00D254FE" w:rsidP="00D254FE">
            <w:pPr>
              <w:pStyle w:val="TableText0"/>
              <w:ind w:right="-96"/>
              <w:jc w:val="center"/>
              <w:rPr>
                <w:szCs w:val="20"/>
              </w:rPr>
            </w:pPr>
            <w:r w:rsidRPr="00A80684">
              <w:rPr>
                <w:szCs w:val="20"/>
              </w:rPr>
              <w:t>$</w:t>
            </w:r>
            <w:r w:rsidR="00517BEC">
              <w:rPr>
                <w:noProof/>
                <w:color w:val="000000"/>
                <w:szCs w:val="20"/>
                <w:highlight w:val="black"/>
              </w:rPr>
              <w:t>''''''''''''''''''''''''''</w:t>
            </w:r>
          </w:p>
        </w:tc>
        <w:tc>
          <w:tcPr>
            <w:tcW w:w="583"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r>
      <w:tr w:rsidR="00D254FE" w:rsidRPr="00C93348" w:rsidTr="00D00965">
        <w:trPr>
          <w:trHeight w:val="255"/>
        </w:trPr>
        <w:tc>
          <w:tcPr>
            <w:tcW w:w="5000" w:type="pct"/>
            <w:gridSpan w:val="7"/>
            <w:noWrap/>
          </w:tcPr>
          <w:p w:rsidR="00D254FE" w:rsidRPr="00A80684" w:rsidRDefault="00D254FE" w:rsidP="00D254FE">
            <w:pPr>
              <w:pStyle w:val="TableText0"/>
              <w:ind w:right="-92"/>
              <w:rPr>
                <w:b/>
                <w:szCs w:val="20"/>
              </w:rPr>
            </w:pPr>
            <w:r w:rsidRPr="00A80684">
              <w:rPr>
                <w:b/>
                <w:szCs w:val="20"/>
              </w:rPr>
              <w:t>Substitution of first-line erlotinib, gefitinib and afatinib</w:t>
            </w:r>
          </w:p>
        </w:tc>
      </w:tr>
      <w:tr w:rsidR="00D00965" w:rsidRPr="00C93348" w:rsidTr="00D00965">
        <w:trPr>
          <w:trHeight w:val="255"/>
        </w:trPr>
        <w:tc>
          <w:tcPr>
            <w:tcW w:w="1333" w:type="pct"/>
            <w:noWrap/>
          </w:tcPr>
          <w:p w:rsidR="00D00965" w:rsidRPr="00A80684" w:rsidRDefault="00D00965" w:rsidP="00D00965">
            <w:pPr>
              <w:pStyle w:val="TableText0"/>
              <w:rPr>
                <w:szCs w:val="20"/>
              </w:rPr>
            </w:pPr>
            <w:r w:rsidRPr="00A80684">
              <w:rPr>
                <w:szCs w:val="20"/>
              </w:rPr>
              <w:t>Reduction in cost to the PBS/RPBS, less patient copayments</w:t>
            </w:r>
            <w:r w:rsidRPr="00A80684">
              <w:rPr>
                <w:szCs w:val="20"/>
                <w:vertAlign w:val="superscript"/>
              </w:rPr>
              <w:t xml:space="preserve"> </w:t>
            </w:r>
          </w:p>
        </w:tc>
        <w:tc>
          <w:tcPr>
            <w:tcW w:w="709"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628"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578" w:type="pct"/>
            <w:noWrap/>
          </w:tcPr>
          <w:p w:rsidR="00D00965" w:rsidRPr="00A80684" w:rsidRDefault="00D00965" w:rsidP="00D00965">
            <w:pPr>
              <w:pStyle w:val="TableText0"/>
              <w:ind w:right="-96"/>
              <w:jc w:val="center"/>
              <w:rPr>
                <w:szCs w:val="20"/>
              </w:rPr>
            </w:pPr>
            <w:r w:rsidRPr="00A80684">
              <w:rPr>
                <w:szCs w:val="20"/>
              </w:rPr>
              <w:t>$</w:t>
            </w:r>
            <w:r w:rsidR="00517BEC">
              <w:rPr>
                <w:noProof/>
                <w:color w:val="000000"/>
                <w:szCs w:val="20"/>
                <w:highlight w:val="black"/>
              </w:rPr>
              <w:t>'''''''''''''''''''''''''</w:t>
            </w:r>
          </w:p>
        </w:tc>
        <w:tc>
          <w:tcPr>
            <w:tcW w:w="584" w:type="pct"/>
            <w:noWrap/>
          </w:tcPr>
          <w:p w:rsidR="00D00965" w:rsidRPr="00A80684" w:rsidRDefault="00D00965" w:rsidP="00D00965">
            <w:pPr>
              <w:pStyle w:val="TableText0"/>
              <w:ind w:right="-96"/>
              <w:jc w:val="center"/>
              <w:rPr>
                <w:szCs w:val="20"/>
              </w:rPr>
            </w:pPr>
            <w:r w:rsidRPr="00A80684">
              <w:rPr>
                <w:szCs w:val="20"/>
              </w:rPr>
              <w:t>$</w:t>
            </w:r>
            <w:r w:rsidR="00517BEC">
              <w:rPr>
                <w:noProof/>
                <w:color w:val="000000"/>
                <w:szCs w:val="20"/>
                <w:highlight w:val="black"/>
              </w:rPr>
              <w:t>''''''''''''''''''''''''''</w:t>
            </w:r>
          </w:p>
        </w:tc>
        <w:tc>
          <w:tcPr>
            <w:tcW w:w="585"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583" w:type="pct"/>
            <w:noWrap/>
          </w:tcPr>
          <w:p w:rsidR="00D00965" w:rsidRPr="00A80684" w:rsidRDefault="00D00965" w:rsidP="00D00965">
            <w:pPr>
              <w:pStyle w:val="TableText0"/>
              <w:ind w:right="-96"/>
              <w:jc w:val="center"/>
              <w:rPr>
                <w:szCs w:val="20"/>
              </w:rPr>
            </w:pPr>
            <w:r w:rsidRPr="00A80684">
              <w:rPr>
                <w:szCs w:val="20"/>
              </w:rPr>
              <w:t>$</w:t>
            </w:r>
            <w:r w:rsidR="00517BEC">
              <w:rPr>
                <w:noProof/>
                <w:color w:val="000000"/>
                <w:szCs w:val="20"/>
                <w:highlight w:val="black"/>
              </w:rPr>
              <w:t>''''''''''''''''''''''''''</w:t>
            </w:r>
          </w:p>
        </w:tc>
      </w:tr>
      <w:tr w:rsidR="00D254FE" w:rsidRPr="00C93348" w:rsidTr="00D00965">
        <w:trPr>
          <w:trHeight w:val="255"/>
        </w:trPr>
        <w:tc>
          <w:tcPr>
            <w:tcW w:w="5000" w:type="pct"/>
            <w:gridSpan w:val="7"/>
            <w:noWrap/>
          </w:tcPr>
          <w:p w:rsidR="00D254FE" w:rsidRPr="00A80684" w:rsidRDefault="00D254FE" w:rsidP="00D254FE">
            <w:pPr>
              <w:pStyle w:val="TableText0"/>
              <w:ind w:right="-92"/>
              <w:rPr>
                <w:b/>
                <w:szCs w:val="20"/>
              </w:rPr>
            </w:pPr>
            <w:r w:rsidRPr="00A80684">
              <w:rPr>
                <w:b/>
                <w:szCs w:val="20"/>
              </w:rPr>
              <w:t>Reduction in 2L osimertinib</w:t>
            </w:r>
          </w:p>
        </w:tc>
      </w:tr>
      <w:tr w:rsidR="00D254FE" w:rsidRPr="00C93348" w:rsidTr="00D00965">
        <w:trPr>
          <w:trHeight w:val="255"/>
        </w:trPr>
        <w:tc>
          <w:tcPr>
            <w:tcW w:w="1333" w:type="pct"/>
            <w:noWrap/>
          </w:tcPr>
          <w:p w:rsidR="00D254FE" w:rsidRPr="00A80684" w:rsidRDefault="00D254FE" w:rsidP="00D254FE">
            <w:pPr>
              <w:pStyle w:val="TableText0"/>
              <w:rPr>
                <w:szCs w:val="20"/>
              </w:rPr>
            </w:pPr>
            <w:r w:rsidRPr="00A80684">
              <w:rPr>
                <w:szCs w:val="20"/>
              </w:rPr>
              <w:t>Patients eligible for 2L osimertinib</w:t>
            </w:r>
          </w:p>
        </w:tc>
        <w:tc>
          <w:tcPr>
            <w:tcW w:w="709"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628"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78"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4"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5"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3"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r>
      <w:tr w:rsidR="00D254FE" w:rsidRPr="00C93348" w:rsidTr="00D00965">
        <w:trPr>
          <w:trHeight w:val="255"/>
        </w:trPr>
        <w:tc>
          <w:tcPr>
            <w:tcW w:w="1333" w:type="pct"/>
            <w:noWrap/>
          </w:tcPr>
          <w:p w:rsidR="00D254FE" w:rsidRPr="00A80684" w:rsidRDefault="00D254FE" w:rsidP="00D254FE">
            <w:pPr>
              <w:pStyle w:val="TableText0"/>
              <w:rPr>
                <w:szCs w:val="20"/>
              </w:rPr>
            </w:pPr>
            <w:r w:rsidRPr="00A80684">
              <w:rPr>
                <w:szCs w:val="20"/>
              </w:rPr>
              <w:t xml:space="preserve">No. patients with a reduction in 2L osimertinib use </w:t>
            </w:r>
          </w:p>
        </w:tc>
        <w:tc>
          <w:tcPr>
            <w:tcW w:w="709"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628"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78"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4"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5"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c>
          <w:tcPr>
            <w:tcW w:w="583" w:type="pct"/>
            <w:noWrap/>
          </w:tcPr>
          <w:p w:rsidR="00D254FE" w:rsidRPr="00B27C72" w:rsidRDefault="00B27C72" w:rsidP="00D254FE">
            <w:pPr>
              <w:pStyle w:val="TableText0"/>
              <w:ind w:right="-96"/>
              <w:jc w:val="center"/>
              <w:rPr>
                <w:szCs w:val="20"/>
                <w:highlight w:val="black"/>
              </w:rPr>
            </w:pPr>
            <w:r>
              <w:rPr>
                <w:noProof/>
                <w:color w:val="000000"/>
                <w:szCs w:val="20"/>
                <w:highlight w:val="black"/>
              </w:rPr>
              <w:t>'''''''''</w:t>
            </w:r>
          </w:p>
        </w:tc>
      </w:tr>
      <w:tr w:rsidR="00D254FE" w:rsidRPr="00C93348" w:rsidTr="00D00965">
        <w:trPr>
          <w:trHeight w:val="255"/>
        </w:trPr>
        <w:tc>
          <w:tcPr>
            <w:tcW w:w="1333" w:type="pct"/>
            <w:noWrap/>
          </w:tcPr>
          <w:p w:rsidR="00D254FE" w:rsidRPr="00A80684" w:rsidRDefault="00D254FE" w:rsidP="00D254FE">
            <w:pPr>
              <w:pStyle w:val="TableText0"/>
              <w:rPr>
                <w:szCs w:val="20"/>
              </w:rPr>
            </w:pPr>
            <w:r w:rsidRPr="00A80684">
              <w:rPr>
                <w:szCs w:val="20"/>
              </w:rPr>
              <w:t>As a proportion of those who uptake 1L osimertinib</w:t>
            </w:r>
          </w:p>
        </w:tc>
        <w:tc>
          <w:tcPr>
            <w:tcW w:w="709"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c>
          <w:tcPr>
            <w:tcW w:w="628"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c>
          <w:tcPr>
            <w:tcW w:w="578"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c>
          <w:tcPr>
            <w:tcW w:w="584"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c>
          <w:tcPr>
            <w:tcW w:w="585"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c>
          <w:tcPr>
            <w:tcW w:w="583" w:type="pct"/>
            <w:noWrap/>
          </w:tcPr>
          <w:p w:rsidR="00D254FE" w:rsidRPr="00A80684" w:rsidRDefault="00AB2BC7" w:rsidP="00D254FE">
            <w:pPr>
              <w:pStyle w:val="TableText0"/>
              <w:ind w:right="-96"/>
              <w:jc w:val="center"/>
              <w:rPr>
                <w:szCs w:val="20"/>
              </w:rPr>
            </w:pPr>
            <w:r>
              <w:rPr>
                <w:noProof/>
                <w:color w:val="000000"/>
                <w:szCs w:val="20"/>
                <w:highlight w:val="black"/>
              </w:rPr>
              <w:t>''''''</w:t>
            </w:r>
            <w:r w:rsidR="00D254FE" w:rsidRPr="00A80684">
              <w:rPr>
                <w:szCs w:val="20"/>
              </w:rPr>
              <w:t>%</w:t>
            </w:r>
          </w:p>
        </w:tc>
      </w:tr>
      <w:tr w:rsidR="00D254FE" w:rsidRPr="00C93348" w:rsidTr="00D00965">
        <w:trPr>
          <w:trHeight w:val="255"/>
        </w:trPr>
        <w:tc>
          <w:tcPr>
            <w:tcW w:w="1333" w:type="pct"/>
            <w:noWrap/>
          </w:tcPr>
          <w:p w:rsidR="00D254FE" w:rsidRPr="00A80684" w:rsidRDefault="00D254FE" w:rsidP="00D254FE">
            <w:pPr>
              <w:pStyle w:val="TableText0"/>
              <w:rPr>
                <w:szCs w:val="20"/>
              </w:rPr>
            </w:pPr>
            <w:r w:rsidRPr="00A80684">
              <w:rPr>
                <w:szCs w:val="20"/>
              </w:rPr>
              <w:t>Reduction in cost to the PBS/RPBS, less patient copayments</w:t>
            </w:r>
            <w:r w:rsidRPr="00A80684">
              <w:rPr>
                <w:szCs w:val="20"/>
                <w:vertAlign w:val="superscript"/>
              </w:rPr>
              <w:t xml:space="preserve"> </w:t>
            </w:r>
          </w:p>
        </w:tc>
        <w:tc>
          <w:tcPr>
            <w:tcW w:w="709"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62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7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84"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85" w:type="pct"/>
            <w:noWrap/>
          </w:tcPr>
          <w:p w:rsidR="00D254FE" w:rsidRPr="00A80684" w:rsidRDefault="00D254FE" w:rsidP="00D254FE">
            <w:pPr>
              <w:pStyle w:val="TableText0"/>
              <w:ind w:right="-96"/>
              <w:jc w:val="center"/>
              <w:rPr>
                <w:szCs w:val="20"/>
              </w:rPr>
            </w:pPr>
            <w:r w:rsidRPr="00A80684">
              <w:rPr>
                <w:szCs w:val="20"/>
              </w:rPr>
              <w:t>$</w:t>
            </w:r>
            <w:r w:rsidR="00517BEC">
              <w:rPr>
                <w:noProof/>
                <w:color w:val="000000"/>
                <w:szCs w:val="20"/>
                <w:highlight w:val="black"/>
              </w:rPr>
              <w:t>''''''''''''''''''''''''''</w:t>
            </w:r>
          </w:p>
        </w:tc>
        <w:tc>
          <w:tcPr>
            <w:tcW w:w="583" w:type="pct"/>
            <w:noWrap/>
          </w:tcPr>
          <w:p w:rsidR="00D254FE" w:rsidRPr="00A80684" w:rsidRDefault="00D254FE" w:rsidP="00D254FE">
            <w:pPr>
              <w:pStyle w:val="TableText0"/>
              <w:ind w:right="-96"/>
              <w:jc w:val="center"/>
              <w:rPr>
                <w:szCs w:val="20"/>
              </w:rPr>
            </w:pPr>
            <w:r w:rsidRPr="00A80684">
              <w:rPr>
                <w:szCs w:val="20"/>
              </w:rPr>
              <w:t>$</w:t>
            </w:r>
            <w:r w:rsidR="00517BEC">
              <w:rPr>
                <w:noProof/>
                <w:color w:val="000000"/>
                <w:szCs w:val="20"/>
                <w:highlight w:val="black"/>
              </w:rPr>
              <w:t>''''''''''''''''''''''''''</w:t>
            </w:r>
          </w:p>
        </w:tc>
      </w:tr>
      <w:tr w:rsidR="00D00965" w:rsidRPr="00C93348" w:rsidTr="00D00965">
        <w:trPr>
          <w:trHeight w:val="255"/>
        </w:trPr>
        <w:tc>
          <w:tcPr>
            <w:tcW w:w="1333" w:type="pct"/>
            <w:noWrap/>
          </w:tcPr>
          <w:p w:rsidR="00D00965" w:rsidRPr="00A80684" w:rsidRDefault="00D00965" w:rsidP="00D00965">
            <w:pPr>
              <w:pStyle w:val="TableText0"/>
              <w:rPr>
                <w:b/>
                <w:szCs w:val="20"/>
              </w:rPr>
            </w:pPr>
            <w:r w:rsidRPr="00A80684">
              <w:rPr>
                <w:b/>
                <w:szCs w:val="20"/>
              </w:rPr>
              <w:t>Net cost to the PBS/RPBS</w:t>
            </w:r>
          </w:p>
        </w:tc>
        <w:tc>
          <w:tcPr>
            <w:tcW w:w="709" w:type="pct"/>
            <w:noWrap/>
          </w:tcPr>
          <w:p w:rsidR="00D00965" w:rsidRPr="00A80684" w:rsidRDefault="00D00965" w:rsidP="00D00965">
            <w:pPr>
              <w:pStyle w:val="TableText0"/>
              <w:ind w:right="-96"/>
              <w:jc w:val="center"/>
              <w:rPr>
                <w:szCs w:val="20"/>
              </w:rPr>
            </w:pPr>
            <w:r w:rsidRPr="00A80684">
              <w:rPr>
                <w:rFonts w:cs="Arial"/>
                <w:color w:val="000000"/>
                <w:szCs w:val="20"/>
              </w:rPr>
              <w:t>$</w:t>
            </w:r>
            <w:r w:rsidR="00B27C72">
              <w:rPr>
                <w:rFonts w:cs="Arial"/>
                <w:noProof/>
                <w:color w:val="000000"/>
                <w:szCs w:val="20"/>
                <w:highlight w:val="black"/>
              </w:rPr>
              <w:t>''''''''''''''''''''''''''''</w:t>
            </w:r>
          </w:p>
        </w:tc>
        <w:tc>
          <w:tcPr>
            <w:tcW w:w="628" w:type="pct"/>
            <w:noWrap/>
          </w:tcPr>
          <w:p w:rsidR="00D00965" w:rsidRPr="00A80684" w:rsidRDefault="00D00965" w:rsidP="00D00965">
            <w:pPr>
              <w:pStyle w:val="TableText0"/>
              <w:ind w:right="-96"/>
              <w:jc w:val="center"/>
              <w:rPr>
                <w:szCs w:val="20"/>
              </w:rPr>
            </w:pPr>
            <w:r w:rsidRPr="00A80684">
              <w:rPr>
                <w:rFonts w:cs="Arial"/>
                <w:color w:val="000000"/>
                <w:szCs w:val="20"/>
              </w:rPr>
              <w:t>$</w:t>
            </w:r>
            <w:r w:rsidR="00B27C72">
              <w:rPr>
                <w:rFonts w:cs="Arial"/>
                <w:noProof/>
                <w:color w:val="000000"/>
                <w:szCs w:val="20"/>
                <w:highlight w:val="black"/>
              </w:rPr>
              <w:t>'''''''''''''''''''''''''''</w:t>
            </w:r>
          </w:p>
        </w:tc>
        <w:tc>
          <w:tcPr>
            <w:tcW w:w="578" w:type="pct"/>
            <w:noWrap/>
          </w:tcPr>
          <w:p w:rsidR="00D00965" w:rsidRPr="00A80684" w:rsidRDefault="00D00965" w:rsidP="00D00965">
            <w:pPr>
              <w:pStyle w:val="TableText0"/>
              <w:ind w:right="-96"/>
              <w:jc w:val="center"/>
              <w:rPr>
                <w:szCs w:val="20"/>
              </w:rPr>
            </w:pPr>
            <w:r w:rsidRPr="00A80684">
              <w:rPr>
                <w:rFonts w:cs="Arial"/>
                <w:color w:val="000000"/>
                <w:szCs w:val="20"/>
              </w:rPr>
              <w:t>$</w:t>
            </w:r>
            <w:r w:rsidR="00517BEC">
              <w:rPr>
                <w:rFonts w:cs="Arial"/>
                <w:noProof/>
                <w:color w:val="000000"/>
                <w:szCs w:val="20"/>
                <w:highlight w:val="black"/>
              </w:rPr>
              <w:t>''''''''''''''''''''''''''</w:t>
            </w:r>
          </w:p>
        </w:tc>
        <w:tc>
          <w:tcPr>
            <w:tcW w:w="584" w:type="pct"/>
            <w:noWrap/>
          </w:tcPr>
          <w:p w:rsidR="00D00965" w:rsidRPr="00A80684" w:rsidRDefault="00D00965" w:rsidP="00D00965">
            <w:pPr>
              <w:pStyle w:val="TableText0"/>
              <w:ind w:right="-96"/>
              <w:jc w:val="center"/>
              <w:rPr>
                <w:szCs w:val="20"/>
              </w:rPr>
            </w:pPr>
            <w:r w:rsidRPr="00A80684">
              <w:rPr>
                <w:rFonts w:cs="Arial"/>
                <w:color w:val="000000"/>
                <w:szCs w:val="20"/>
              </w:rPr>
              <w:t>$</w:t>
            </w:r>
            <w:r w:rsidR="00517BEC">
              <w:rPr>
                <w:rFonts w:cs="Arial"/>
                <w:noProof/>
                <w:color w:val="000000"/>
                <w:szCs w:val="20"/>
                <w:highlight w:val="black"/>
              </w:rPr>
              <w:t>''''''''''''''''''''''''''</w:t>
            </w:r>
          </w:p>
        </w:tc>
        <w:tc>
          <w:tcPr>
            <w:tcW w:w="585" w:type="pct"/>
            <w:noWrap/>
          </w:tcPr>
          <w:p w:rsidR="00D00965" w:rsidRPr="00A80684" w:rsidRDefault="00D00965" w:rsidP="00D00965">
            <w:pPr>
              <w:pStyle w:val="TableText0"/>
              <w:ind w:right="-96"/>
              <w:jc w:val="center"/>
              <w:rPr>
                <w:szCs w:val="20"/>
              </w:rPr>
            </w:pPr>
            <w:r w:rsidRPr="00A80684">
              <w:rPr>
                <w:rFonts w:cs="Arial"/>
                <w:color w:val="000000"/>
                <w:szCs w:val="20"/>
              </w:rPr>
              <w:t>$</w:t>
            </w:r>
            <w:r w:rsidR="00B27C72">
              <w:rPr>
                <w:rFonts w:cs="Arial"/>
                <w:noProof/>
                <w:color w:val="000000"/>
                <w:szCs w:val="20"/>
                <w:highlight w:val="black"/>
              </w:rPr>
              <w:t>''''''''''''''''''''''''</w:t>
            </w:r>
          </w:p>
        </w:tc>
        <w:tc>
          <w:tcPr>
            <w:tcW w:w="583" w:type="pct"/>
            <w:noWrap/>
          </w:tcPr>
          <w:p w:rsidR="00D00965" w:rsidRPr="00A80684" w:rsidRDefault="00D00965" w:rsidP="00D00965">
            <w:pPr>
              <w:pStyle w:val="TableText0"/>
              <w:ind w:right="-96"/>
              <w:jc w:val="center"/>
              <w:rPr>
                <w:szCs w:val="20"/>
              </w:rPr>
            </w:pPr>
            <w:r w:rsidRPr="00A80684">
              <w:rPr>
                <w:rFonts w:cs="Arial"/>
                <w:color w:val="000000"/>
                <w:szCs w:val="20"/>
              </w:rPr>
              <w:t>$</w:t>
            </w:r>
            <w:r w:rsidR="00517BEC">
              <w:rPr>
                <w:rFonts w:cs="Arial"/>
                <w:noProof/>
                <w:color w:val="000000"/>
                <w:szCs w:val="20"/>
                <w:highlight w:val="black"/>
              </w:rPr>
              <w:t>''''''''''''''''''''''''''</w:t>
            </w:r>
          </w:p>
        </w:tc>
      </w:tr>
      <w:tr w:rsidR="008965A8" w:rsidRPr="00C93348" w:rsidTr="008965A8">
        <w:trPr>
          <w:trHeight w:val="255"/>
        </w:trPr>
        <w:tc>
          <w:tcPr>
            <w:tcW w:w="5000" w:type="pct"/>
            <w:gridSpan w:val="7"/>
            <w:noWrap/>
          </w:tcPr>
          <w:p w:rsidR="008965A8" w:rsidRPr="00A80684" w:rsidRDefault="008965A8" w:rsidP="008965A8">
            <w:pPr>
              <w:pStyle w:val="TableText0"/>
              <w:ind w:right="-96"/>
              <w:rPr>
                <w:b/>
                <w:szCs w:val="20"/>
              </w:rPr>
            </w:pPr>
            <w:r w:rsidRPr="00A80684">
              <w:rPr>
                <w:b/>
                <w:szCs w:val="20"/>
              </w:rPr>
              <w:t xml:space="preserve">Annual rebate </w:t>
            </w:r>
            <w:r w:rsidR="00517BEC">
              <w:rPr>
                <w:b/>
                <w:noProof/>
                <w:color w:val="000000"/>
                <w:szCs w:val="20"/>
                <w:highlight w:val="black"/>
              </w:rPr>
              <w:t>'''''' '''''''''''''''' '''' ''''''' '''''''''''''''''''' '''''''''''''''''''</w:t>
            </w:r>
          </w:p>
        </w:tc>
      </w:tr>
      <w:tr w:rsidR="00D254FE" w:rsidRPr="00C93348" w:rsidTr="00D00965">
        <w:trPr>
          <w:trHeight w:val="255"/>
        </w:trPr>
        <w:tc>
          <w:tcPr>
            <w:tcW w:w="1333" w:type="pct"/>
            <w:noWrap/>
          </w:tcPr>
          <w:p w:rsidR="00D254FE" w:rsidRPr="00A80684" w:rsidRDefault="008965A8" w:rsidP="008965A8">
            <w:pPr>
              <w:pStyle w:val="TableText0"/>
              <w:rPr>
                <w:szCs w:val="20"/>
              </w:rPr>
            </w:pPr>
            <w:r w:rsidRPr="00A80684">
              <w:rPr>
                <w:szCs w:val="20"/>
              </w:rPr>
              <w:t>Estimated rebate ($</w:t>
            </w:r>
            <w:r w:rsidR="00B27C72">
              <w:rPr>
                <w:noProof/>
                <w:color w:val="000000"/>
                <w:szCs w:val="20"/>
                <w:highlight w:val="black"/>
              </w:rPr>
              <w:t>''''''''''''''''''''''</w:t>
            </w:r>
            <w:r w:rsidRPr="00A80684">
              <w:rPr>
                <w:szCs w:val="20"/>
              </w:rPr>
              <w:t xml:space="preserve">/ </w:t>
            </w:r>
            <w:r w:rsidR="00646896">
              <w:rPr>
                <w:noProof/>
                <w:color w:val="000000"/>
                <w:szCs w:val="20"/>
                <w:highlight w:val="black"/>
              </w:rPr>
              <w:t>'''''' ''''''''''''''''''''''''' ''''''''''''</w:t>
            </w:r>
            <w:r w:rsidRPr="00A80684">
              <w:rPr>
                <w:szCs w:val="20"/>
              </w:rPr>
              <w:t xml:space="preserve">) per script </w:t>
            </w:r>
          </w:p>
        </w:tc>
        <w:tc>
          <w:tcPr>
            <w:tcW w:w="709"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62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78"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84"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c>
          <w:tcPr>
            <w:tcW w:w="585" w:type="pct"/>
            <w:noWrap/>
          </w:tcPr>
          <w:p w:rsidR="00D254FE" w:rsidRPr="00A80684" w:rsidRDefault="00D254FE" w:rsidP="00D254FE">
            <w:pPr>
              <w:pStyle w:val="TableText0"/>
              <w:ind w:right="-96"/>
              <w:jc w:val="center"/>
              <w:rPr>
                <w:szCs w:val="20"/>
              </w:rPr>
            </w:pPr>
            <w:r w:rsidRPr="00A80684">
              <w:rPr>
                <w:szCs w:val="20"/>
              </w:rPr>
              <w:t>$</w:t>
            </w:r>
            <w:r w:rsidR="00517BEC">
              <w:rPr>
                <w:noProof/>
                <w:color w:val="000000"/>
                <w:szCs w:val="20"/>
                <w:highlight w:val="black"/>
              </w:rPr>
              <w:t>''''''''''''''''''''''''''</w:t>
            </w:r>
          </w:p>
        </w:tc>
        <w:tc>
          <w:tcPr>
            <w:tcW w:w="583" w:type="pct"/>
            <w:noWrap/>
          </w:tcPr>
          <w:p w:rsidR="00D254FE" w:rsidRPr="00A80684" w:rsidRDefault="00D254FE" w:rsidP="00D254FE">
            <w:pPr>
              <w:pStyle w:val="TableText0"/>
              <w:ind w:right="-96"/>
              <w:jc w:val="center"/>
              <w:rPr>
                <w:szCs w:val="20"/>
              </w:rPr>
            </w:pPr>
            <w:r w:rsidRPr="00A80684">
              <w:rPr>
                <w:szCs w:val="20"/>
              </w:rPr>
              <w:t>$</w:t>
            </w:r>
            <w:r w:rsidR="00B27C72">
              <w:rPr>
                <w:noProof/>
                <w:color w:val="000000"/>
                <w:szCs w:val="20"/>
                <w:highlight w:val="black"/>
              </w:rPr>
              <w:t>'''''''''''''''''''''''</w:t>
            </w:r>
          </w:p>
        </w:tc>
      </w:tr>
      <w:tr w:rsidR="00D00965" w:rsidRPr="00C93348" w:rsidTr="00D00965">
        <w:trPr>
          <w:trHeight w:val="255"/>
        </w:trPr>
        <w:tc>
          <w:tcPr>
            <w:tcW w:w="1333" w:type="pct"/>
            <w:noWrap/>
          </w:tcPr>
          <w:p w:rsidR="00D00965" w:rsidRPr="00A80684" w:rsidRDefault="00D00965" w:rsidP="00D00965">
            <w:pPr>
              <w:pStyle w:val="TableText0"/>
              <w:rPr>
                <w:b/>
                <w:szCs w:val="20"/>
              </w:rPr>
            </w:pPr>
            <w:r w:rsidRPr="00A80684">
              <w:rPr>
                <w:b/>
                <w:szCs w:val="20"/>
              </w:rPr>
              <w:t xml:space="preserve">Net cost to the PBS/ RPBS including rebate </w:t>
            </w:r>
          </w:p>
        </w:tc>
        <w:tc>
          <w:tcPr>
            <w:tcW w:w="709"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628"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578" w:type="pct"/>
            <w:noWrap/>
          </w:tcPr>
          <w:p w:rsidR="00D00965" w:rsidRPr="00A80684" w:rsidRDefault="00D00965" w:rsidP="00D00965">
            <w:pPr>
              <w:pStyle w:val="TableText0"/>
              <w:ind w:right="-96"/>
              <w:jc w:val="center"/>
              <w:rPr>
                <w:szCs w:val="20"/>
              </w:rPr>
            </w:pPr>
            <w:r w:rsidRPr="00A80684">
              <w:rPr>
                <w:szCs w:val="20"/>
              </w:rPr>
              <w:t>$</w:t>
            </w:r>
            <w:r w:rsidR="00517BEC">
              <w:rPr>
                <w:noProof/>
                <w:color w:val="000000"/>
                <w:szCs w:val="20"/>
                <w:highlight w:val="black"/>
              </w:rPr>
              <w:t>''''''''''''''''''''''''''</w:t>
            </w:r>
          </w:p>
        </w:tc>
        <w:tc>
          <w:tcPr>
            <w:tcW w:w="584"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c>
          <w:tcPr>
            <w:tcW w:w="585" w:type="pct"/>
            <w:noWrap/>
          </w:tcPr>
          <w:p w:rsidR="00D00965" w:rsidRPr="00A80684" w:rsidRDefault="00D00965" w:rsidP="00D00965">
            <w:pPr>
              <w:pStyle w:val="TableText0"/>
              <w:ind w:right="-96"/>
              <w:jc w:val="center"/>
              <w:rPr>
                <w:szCs w:val="20"/>
              </w:rPr>
            </w:pPr>
            <w:r w:rsidRPr="00A80684">
              <w:rPr>
                <w:szCs w:val="20"/>
              </w:rPr>
              <w:t>$</w:t>
            </w:r>
            <w:r w:rsidR="00517BEC">
              <w:rPr>
                <w:noProof/>
                <w:color w:val="000000"/>
                <w:szCs w:val="20"/>
                <w:highlight w:val="black"/>
              </w:rPr>
              <w:t>''''''''''''''''''''''''''</w:t>
            </w:r>
          </w:p>
        </w:tc>
        <w:tc>
          <w:tcPr>
            <w:tcW w:w="583" w:type="pct"/>
            <w:noWrap/>
          </w:tcPr>
          <w:p w:rsidR="00D00965" w:rsidRPr="00A80684" w:rsidRDefault="00D00965" w:rsidP="00D00965">
            <w:pPr>
              <w:pStyle w:val="TableText0"/>
              <w:ind w:right="-96"/>
              <w:jc w:val="center"/>
              <w:rPr>
                <w:szCs w:val="20"/>
              </w:rPr>
            </w:pPr>
            <w:r w:rsidRPr="00A80684">
              <w:rPr>
                <w:szCs w:val="20"/>
              </w:rPr>
              <w:t>$</w:t>
            </w:r>
            <w:r w:rsidR="00B27C72">
              <w:rPr>
                <w:noProof/>
                <w:color w:val="000000"/>
                <w:szCs w:val="20"/>
                <w:highlight w:val="black"/>
              </w:rPr>
              <w:t>''''''''''''''''''''''''</w:t>
            </w:r>
          </w:p>
        </w:tc>
      </w:tr>
    </w:tbl>
    <w:p w:rsidR="006F73B2" w:rsidRPr="006F73B2" w:rsidRDefault="006F73B2" w:rsidP="00517BEC">
      <w:pPr>
        <w:pStyle w:val="3-BodyText"/>
        <w:numPr>
          <w:ilvl w:val="0"/>
          <w:numId w:val="0"/>
        </w:numPr>
        <w:spacing w:before="120"/>
        <w:ind w:left="720" w:hanging="11"/>
        <w:rPr>
          <w:i/>
        </w:rPr>
      </w:pPr>
      <w:r w:rsidRPr="006F73B2">
        <w:rPr>
          <w:i/>
        </w:rPr>
        <w:t>The redacted table shows that at Year 6, the estimated number of 1L osimertinib scripts was 10,000 – 50,000.</w:t>
      </w:r>
    </w:p>
    <w:p w:rsidR="001E581D" w:rsidRPr="00C93348" w:rsidRDefault="001E581D" w:rsidP="00A80684">
      <w:pPr>
        <w:pStyle w:val="3-BodyText"/>
        <w:spacing w:before="120"/>
      </w:pPr>
      <w:r w:rsidRPr="00C93348">
        <w:t>The PBAC noted the revised total net cost to the PBS/RPBS of listing osimertinib was estimated to be approximately $</w:t>
      </w:r>
      <w:r w:rsidR="006F73B2">
        <w:t>20 - $30</w:t>
      </w:r>
      <w:r w:rsidR="006F73B2" w:rsidRPr="00C93348">
        <w:t xml:space="preserve"> </w:t>
      </w:r>
      <w:r w:rsidRPr="00C93348">
        <w:t>million in Year 1, increasing to $</w:t>
      </w:r>
      <w:r w:rsidR="006F73B2">
        <w:t xml:space="preserve">30 - $60 </w:t>
      </w:r>
      <w:r w:rsidRPr="00C93348">
        <w:t xml:space="preserve">million in Year 6, and a total of approximately </w:t>
      </w:r>
      <w:r w:rsidR="006F73B2">
        <w:t xml:space="preserve">more than $100 </w:t>
      </w:r>
      <w:r w:rsidRPr="00C93348">
        <w:t>million in the first 6 years of listing</w:t>
      </w:r>
      <w:r w:rsidRPr="00C93348">
        <w:rPr>
          <w:rFonts w:ascii="Calibri" w:hAnsi="Calibri"/>
          <w:snapToGrid/>
        </w:rPr>
        <w:t xml:space="preserve">, when the proposed </w:t>
      </w:r>
      <w:r w:rsidRPr="00C93348">
        <w:t xml:space="preserve">annual </w:t>
      </w:r>
      <w:r w:rsidR="00DE673E">
        <w:rPr>
          <w:noProof/>
          <w:color w:val="000000"/>
          <w:highlight w:val="black"/>
        </w:rPr>
        <w:t xml:space="preserve">''''''''''''' '''''' ''''''''''''''' ''''' ''''''' ''''''''''''''''''' ''''''''''''''''''' </w:t>
      </w:r>
      <w:r w:rsidRPr="00C93348">
        <w:t xml:space="preserve">was excluded. Including the revised proposed rebate, the estimated total net cost to the PBS/ RPBS was </w:t>
      </w:r>
      <w:r w:rsidR="006F73B2">
        <w:t xml:space="preserve">more than $100 </w:t>
      </w:r>
      <w:r w:rsidRPr="00C93348">
        <w:t xml:space="preserve">million in the first 6 years of listing. </w:t>
      </w:r>
    </w:p>
    <w:p w:rsidR="00BA00F8" w:rsidRPr="00C93348" w:rsidRDefault="00BA00F8" w:rsidP="00BA00F8">
      <w:pPr>
        <w:pStyle w:val="4-SubsectionHeading"/>
      </w:pPr>
      <w:bookmarkStart w:id="61" w:name="_Toc22897649"/>
      <w:bookmarkStart w:id="62" w:name="_Toc40709215"/>
      <w:r w:rsidRPr="00C93348">
        <w:t>Financial Management – Risk Sharing Arrangements</w:t>
      </w:r>
      <w:bookmarkEnd w:id="61"/>
      <w:bookmarkEnd w:id="62"/>
    </w:p>
    <w:p w:rsidR="00237F82" w:rsidRPr="00C93348" w:rsidRDefault="00BA00F8" w:rsidP="00BA00F8">
      <w:pPr>
        <w:pStyle w:val="3-BodyText"/>
      </w:pPr>
      <w:r w:rsidRPr="00C93348">
        <w:t>In addition to the proposed SPA, the resubmission proposed two forms of RSAs. The first was in the form of a subsidisation cap and the agreed expenditure caps for first-line osimertinib treatment, accounting for cost savings resulting from reduced utilisation of osimertinib as second-line treatment, would be added to the current osimertinib subsidisation caps to form one set of annual subsidisation caps for osimertinib treatment of EGFR</w:t>
      </w:r>
      <w:r w:rsidR="00257845">
        <w:t>m</w:t>
      </w:r>
      <w:r w:rsidRPr="00C93348">
        <w:t xml:space="preserve"> NSCLC. </w:t>
      </w:r>
      <w:r w:rsidR="009D1D34">
        <w:t xml:space="preserve">The resubmission </w:t>
      </w:r>
      <w:r w:rsidRPr="00C93348">
        <w:t xml:space="preserve">proposed that </w:t>
      </w:r>
      <w:r w:rsidR="00B27C72">
        <w:rPr>
          <w:noProof/>
          <w:color w:val="000000"/>
          <w:highlight w:val="black"/>
        </w:rPr>
        <w:t>'''''''</w:t>
      </w:r>
      <w:r w:rsidRPr="00C93348">
        <w:t xml:space="preserve">% of expenditure exceeding the subsidisation caps is rebated by the sponsor. </w:t>
      </w:r>
    </w:p>
    <w:p w:rsidR="00A32BEC" w:rsidRPr="00C93348" w:rsidRDefault="00A32BEC" w:rsidP="00A32BEC">
      <w:pPr>
        <w:pStyle w:val="3-BodyText"/>
      </w:pPr>
      <w:r w:rsidRPr="00C93348">
        <w:t xml:space="preserve">The PBAC noted the lower treatment cost per patient applied in the economic and financial modelling </w:t>
      </w:r>
      <w:r w:rsidR="00DB09E0" w:rsidRPr="00C93348">
        <w:t xml:space="preserve">(paragraph </w:t>
      </w:r>
      <w:r w:rsidR="00DB09E0" w:rsidRPr="00F5143F">
        <w:t>6.2</w:t>
      </w:r>
      <w:r w:rsidR="00DA7DBB" w:rsidRPr="00F5143F">
        <w:t>6</w:t>
      </w:r>
      <w:r w:rsidR="00DB09E0" w:rsidRPr="00F5143F">
        <w:t>)</w:t>
      </w:r>
      <w:r w:rsidR="00DB09E0" w:rsidRPr="00C93348">
        <w:t xml:space="preserve"> </w:t>
      </w:r>
      <w:r w:rsidRPr="00C93348">
        <w:t xml:space="preserve">was proposed to be achieved through a RSA in which the financial caps are calculated as the cost per patient multiplied by the number of patients. </w:t>
      </w:r>
    </w:p>
    <w:p w:rsidR="00BA00F8" w:rsidRPr="00C93348" w:rsidRDefault="009A260C" w:rsidP="00BA00F8">
      <w:pPr>
        <w:pStyle w:val="3-BodyText"/>
      </w:pPr>
      <w:r w:rsidRPr="00C93348">
        <w:t>The current</w:t>
      </w:r>
      <w:r w:rsidR="004D76BE" w:rsidRPr="00C93348">
        <w:t xml:space="preserve"> expenditure</w:t>
      </w:r>
      <w:r w:rsidRPr="00C93348">
        <w:t xml:space="preserve"> caps for second-line osimertinib </w:t>
      </w:r>
      <w:r w:rsidR="007766FC" w:rsidRPr="00C93348">
        <w:t xml:space="preserve">are summarised in </w:t>
      </w:r>
      <w:r w:rsidR="00CC4472" w:rsidRPr="00C93348">
        <w:t xml:space="preserve">Table </w:t>
      </w:r>
      <w:r w:rsidR="00CC4472" w:rsidRPr="00CC4472">
        <w:t>19</w:t>
      </w:r>
      <w:r w:rsidR="008D3BE3" w:rsidRPr="00C93348">
        <w:t>.</w:t>
      </w:r>
      <w:r w:rsidR="007766FC" w:rsidRPr="00C93348">
        <w:t xml:space="preserve"> </w:t>
      </w:r>
    </w:p>
    <w:p w:rsidR="00DD16B8" w:rsidRPr="00C93348" w:rsidRDefault="00DD16B8" w:rsidP="00BB0DD0">
      <w:pPr>
        <w:pStyle w:val="TableFigureHeading"/>
      </w:pPr>
      <w:bookmarkStart w:id="63" w:name="_Ref40358143"/>
      <w:r w:rsidRPr="00C93348">
        <w:t xml:space="preserve">Table </w:t>
      </w:r>
      <w:r w:rsidR="00CC4472">
        <w:rPr>
          <w:bCs w:val="0"/>
          <w:noProof/>
        </w:rPr>
        <w:t>19</w:t>
      </w:r>
      <w:bookmarkEnd w:id="63"/>
      <w:r w:rsidRPr="00C93348">
        <w:t>:</w:t>
      </w:r>
      <w:r w:rsidR="005F2802" w:rsidRPr="00C93348">
        <w:t xml:space="preserve"> </w:t>
      </w:r>
      <w:r w:rsidR="009A260C" w:rsidRPr="00C93348">
        <w:t xml:space="preserve">Expenditure </w:t>
      </w:r>
      <w:r w:rsidR="00F16BE6" w:rsidRPr="00C93348">
        <w:t xml:space="preserve">cap and Commonwealth expenditure </w:t>
      </w:r>
      <w:r w:rsidR="00AD5340" w:rsidRPr="00C93348">
        <w:t>for second-line osimertinib</w:t>
      </w:r>
    </w:p>
    <w:tbl>
      <w:tblPr>
        <w:tblStyle w:val="TableGrid"/>
        <w:tblW w:w="5000" w:type="pct"/>
        <w:tblLook w:val="04A0" w:firstRow="1" w:lastRow="0" w:firstColumn="1" w:lastColumn="0" w:noHBand="0" w:noVBand="1"/>
      </w:tblPr>
      <w:tblGrid>
        <w:gridCol w:w="2621"/>
        <w:gridCol w:w="1279"/>
        <w:gridCol w:w="1279"/>
        <w:gridCol w:w="1280"/>
        <w:gridCol w:w="1279"/>
        <w:gridCol w:w="1279"/>
      </w:tblGrid>
      <w:tr w:rsidR="007766FC" w:rsidRPr="00C93348" w:rsidTr="00A80684">
        <w:tc>
          <w:tcPr>
            <w:tcW w:w="1453" w:type="pct"/>
          </w:tcPr>
          <w:p w:rsidR="007766FC" w:rsidRPr="00C93348" w:rsidRDefault="007766FC" w:rsidP="00DD16B8">
            <w:pPr>
              <w:pStyle w:val="In-tableHeading"/>
              <w:rPr>
                <w:lang w:val="en-AU"/>
              </w:rPr>
            </w:pPr>
          </w:p>
        </w:tc>
        <w:tc>
          <w:tcPr>
            <w:tcW w:w="709" w:type="pct"/>
          </w:tcPr>
          <w:p w:rsidR="007766FC" w:rsidRPr="00C93348" w:rsidRDefault="007766FC" w:rsidP="00DD16B8">
            <w:pPr>
              <w:pStyle w:val="In-tableHeading"/>
              <w:rPr>
                <w:lang w:val="en-AU"/>
              </w:rPr>
            </w:pPr>
            <w:r w:rsidRPr="00C93348">
              <w:rPr>
                <w:lang w:val="en-AU"/>
              </w:rPr>
              <w:t xml:space="preserve">Year 1 </w:t>
            </w:r>
          </w:p>
          <w:p w:rsidR="007766FC" w:rsidRPr="00C93348" w:rsidRDefault="007766FC" w:rsidP="00DD16B8">
            <w:pPr>
              <w:pStyle w:val="In-tableHeading"/>
              <w:rPr>
                <w:lang w:val="en-AU"/>
              </w:rPr>
            </w:pPr>
            <w:r w:rsidRPr="00C93348">
              <w:rPr>
                <w:lang w:val="en-AU"/>
              </w:rPr>
              <w:t>(Feb 2019 to Jan 2020)</w:t>
            </w:r>
          </w:p>
        </w:tc>
        <w:tc>
          <w:tcPr>
            <w:tcW w:w="709" w:type="pct"/>
          </w:tcPr>
          <w:p w:rsidR="007766FC" w:rsidRPr="00C93348" w:rsidRDefault="007766FC" w:rsidP="00DD16B8">
            <w:pPr>
              <w:pStyle w:val="In-tableHeading"/>
              <w:rPr>
                <w:lang w:val="en-AU"/>
              </w:rPr>
            </w:pPr>
            <w:r w:rsidRPr="00C93348">
              <w:rPr>
                <w:lang w:val="en-AU"/>
              </w:rPr>
              <w:t>Year 2</w:t>
            </w:r>
          </w:p>
          <w:p w:rsidR="007766FC" w:rsidRPr="00C93348" w:rsidRDefault="007766FC" w:rsidP="00DD16B8">
            <w:pPr>
              <w:pStyle w:val="In-tableHeading"/>
              <w:rPr>
                <w:lang w:val="en-AU"/>
              </w:rPr>
            </w:pPr>
            <w:r w:rsidRPr="00C93348">
              <w:rPr>
                <w:lang w:val="en-AU"/>
              </w:rPr>
              <w:t>(Feb 2020 to Jan 2020)</w:t>
            </w:r>
          </w:p>
        </w:tc>
        <w:tc>
          <w:tcPr>
            <w:tcW w:w="710" w:type="pct"/>
          </w:tcPr>
          <w:p w:rsidR="007766FC" w:rsidRPr="00C93348" w:rsidRDefault="007766FC" w:rsidP="00DD16B8">
            <w:pPr>
              <w:pStyle w:val="In-tableHeading"/>
              <w:rPr>
                <w:lang w:val="en-AU"/>
              </w:rPr>
            </w:pPr>
            <w:r w:rsidRPr="00C93348">
              <w:rPr>
                <w:lang w:val="en-AU"/>
              </w:rPr>
              <w:t>Year 3</w:t>
            </w:r>
          </w:p>
          <w:p w:rsidR="007766FC" w:rsidRPr="00C93348" w:rsidRDefault="007766FC" w:rsidP="00DD16B8">
            <w:pPr>
              <w:pStyle w:val="In-tableHeading"/>
              <w:rPr>
                <w:lang w:val="en-AU"/>
              </w:rPr>
            </w:pPr>
            <w:r w:rsidRPr="00C93348">
              <w:rPr>
                <w:lang w:val="en-AU"/>
              </w:rPr>
              <w:t>(Feb 2021 to Jan 2022)</w:t>
            </w:r>
          </w:p>
        </w:tc>
        <w:tc>
          <w:tcPr>
            <w:tcW w:w="709" w:type="pct"/>
          </w:tcPr>
          <w:p w:rsidR="007766FC" w:rsidRPr="00C93348" w:rsidRDefault="007766FC" w:rsidP="00DD16B8">
            <w:pPr>
              <w:pStyle w:val="In-tableHeading"/>
              <w:rPr>
                <w:lang w:val="en-AU"/>
              </w:rPr>
            </w:pPr>
            <w:r w:rsidRPr="00C93348">
              <w:rPr>
                <w:lang w:val="en-AU"/>
              </w:rPr>
              <w:t>Year 4</w:t>
            </w:r>
          </w:p>
          <w:p w:rsidR="007766FC" w:rsidRPr="00C93348" w:rsidRDefault="007766FC" w:rsidP="00DD16B8">
            <w:pPr>
              <w:pStyle w:val="In-tableHeading"/>
              <w:rPr>
                <w:lang w:val="en-AU"/>
              </w:rPr>
            </w:pPr>
            <w:r w:rsidRPr="00C93348">
              <w:rPr>
                <w:lang w:val="en-AU"/>
              </w:rPr>
              <w:t>(Feb 2022 to Jan 2023)</w:t>
            </w:r>
          </w:p>
        </w:tc>
        <w:tc>
          <w:tcPr>
            <w:tcW w:w="709" w:type="pct"/>
          </w:tcPr>
          <w:p w:rsidR="007766FC" w:rsidRPr="00C93348" w:rsidRDefault="007766FC" w:rsidP="00DD16B8">
            <w:pPr>
              <w:pStyle w:val="In-tableHeading"/>
              <w:rPr>
                <w:lang w:val="en-AU"/>
              </w:rPr>
            </w:pPr>
            <w:r w:rsidRPr="00C93348">
              <w:rPr>
                <w:lang w:val="en-AU"/>
              </w:rPr>
              <w:t>Year 5</w:t>
            </w:r>
          </w:p>
          <w:p w:rsidR="007766FC" w:rsidRPr="00C93348" w:rsidRDefault="007766FC" w:rsidP="00DD16B8">
            <w:pPr>
              <w:pStyle w:val="In-tableHeading"/>
              <w:rPr>
                <w:lang w:val="en-AU"/>
              </w:rPr>
            </w:pPr>
            <w:r w:rsidRPr="00C93348">
              <w:rPr>
                <w:lang w:val="en-AU"/>
              </w:rPr>
              <w:t>(Feb 2023 to Jan 2024)</w:t>
            </w:r>
          </w:p>
        </w:tc>
      </w:tr>
      <w:tr w:rsidR="007766FC" w:rsidRPr="00C93348" w:rsidTr="00A80684">
        <w:tc>
          <w:tcPr>
            <w:tcW w:w="1453" w:type="pct"/>
          </w:tcPr>
          <w:p w:rsidR="007766FC" w:rsidRPr="00C93348" w:rsidRDefault="007766FC" w:rsidP="00DD16B8">
            <w:pPr>
              <w:pStyle w:val="In-tableHeading"/>
              <w:rPr>
                <w:b w:val="0"/>
                <w:lang w:val="en-AU"/>
              </w:rPr>
            </w:pPr>
            <w:r w:rsidRPr="00C93348">
              <w:rPr>
                <w:b w:val="0"/>
                <w:lang w:val="en-AU"/>
              </w:rPr>
              <w:t>Expenditure cap</w:t>
            </w:r>
          </w:p>
        </w:tc>
        <w:tc>
          <w:tcPr>
            <w:tcW w:w="709" w:type="pct"/>
          </w:tcPr>
          <w:p w:rsidR="007766FC" w:rsidRPr="00C93348" w:rsidRDefault="007766FC" w:rsidP="00DD16B8">
            <w:pPr>
              <w:pStyle w:val="In-tableHeading"/>
              <w:rPr>
                <w:b w:val="0"/>
                <w:lang w:val="en-AU"/>
              </w:rPr>
            </w:pPr>
            <w:r w:rsidRPr="00C93348">
              <w:rPr>
                <w:b w:val="0"/>
                <w:szCs w:val="20"/>
                <w:lang w:val="en-AU"/>
              </w:rPr>
              <w:t>$</w:t>
            </w:r>
            <w:r w:rsidR="00B27C72">
              <w:rPr>
                <w:b w:val="0"/>
                <w:noProof/>
                <w:color w:val="000000"/>
                <w:szCs w:val="20"/>
                <w:highlight w:val="black"/>
                <w:lang w:val="en-AU"/>
              </w:rPr>
              <w:t>''''''''''''''''''''''''''</w:t>
            </w:r>
          </w:p>
        </w:tc>
        <w:tc>
          <w:tcPr>
            <w:tcW w:w="709" w:type="pct"/>
          </w:tcPr>
          <w:p w:rsidR="007766FC" w:rsidRPr="00C93348" w:rsidRDefault="007766FC" w:rsidP="00DD16B8">
            <w:pPr>
              <w:pStyle w:val="In-tableHeading"/>
              <w:rPr>
                <w:b w:val="0"/>
                <w:lang w:val="en-AU"/>
              </w:rPr>
            </w:pPr>
            <w:r w:rsidRPr="00C93348">
              <w:rPr>
                <w:b w:val="0"/>
                <w:szCs w:val="20"/>
                <w:lang w:val="en-AU"/>
              </w:rPr>
              <w:t>$</w:t>
            </w:r>
            <w:r w:rsidR="00B27C72">
              <w:rPr>
                <w:b w:val="0"/>
                <w:noProof/>
                <w:color w:val="000000"/>
                <w:szCs w:val="20"/>
                <w:highlight w:val="black"/>
                <w:lang w:val="en-AU"/>
              </w:rPr>
              <w:t>''''''''''''''''''''''''''</w:t>
            </w:r>
          </w:p>
        </w:tc>
        <w:tc>
          <w:tcPr>
            <w:tcW w:w="710" w:type="pct"/>
          </w:tcPr>
          <w:p w:rsidR="007766FC" w:rsidRPr="00C93348" w:rsidRDefault="007766FC" w:rsidP="00DD16B8">
            <w:pPr>
              <w:pStyle w:val="In-tableHeading"/>
              <w:rPr>
                <w:b w:val="0"/>
                <w:lang w:val="en-AU"/>
              </w:rPr>
            </w:pPr>
            <w:r w:rsidRPr="00C93348">
              <w:rPr>
                <w:b w:val="0"/>
                <w:szCs w:val="20"/>
                <w:lang w:val="en-AU"/>
              </w:rPr>
              <w:t>$</w:t>
            </w:r>
            <w:r w:rsidR="00B27C72">
              <w:rPr>
                <w:b w:val="0"/>
                <w:noProof/>
                <w:color w:val="000000"/>
                <w:szCs w:val="20"/>
                <w:highlight w:val="black"/>
                <w:lang w:val="en-AU"/>
              </w:rPr>
              <w:t>''''''''''''''''''''''''</w:t>
            </w:r>
          </w:p>
        </w:tc>
        <w:tc>
          <w:tcPr>
            <w:tcW w:w="709" w:type="pct"/>
          </w:tcPr>
          <w:p w:rsidR="007766FC" w:rsidRPr="00C93348" w:rsidRDefault="007766FC" w:rsidP="00DD16B8">
            <w:pPr>
              <w:pStyle w:val="In-tableHeading"/>
              <w:rPr>
                <w:b w:val="0"/>
                <w:lang w:val="en-AU"/>
              </w:rPr>
            </w:pPr>
            <w:r w:rsidRPr="00C93348">
              <w:rPr>
                <w:b w:val="0"/>
                <w:szCs w:val="20"/>
                <w:lang w:val="en-AU"/>
              </w:rPr>
              <w:t>$</w:t>
            </w:r>
            <w:r w:rsidR="00B27C72">
              <w:rPr>
                <w:b w:val="0"/>
                <w:noProof/>
                <w:color w:val="000000"/>
                <w:szCs w:val="20"/>
                <w:highlight w:val="black"/>
                <w:lang w:val="en-AU"/>
              </w:rPr>
              <w:t>''''''''''''''''''''''''</w:t>
            </w:r>
          </w:p>
        </w:tc>
        <w:tc>
          <w:tcPr>
            <w:tcW w:w="709" w:type="pct"/>
          </w:tcPr>
          <w:p w:rsidR="007766FC" w:rsidRPr="00C93348" w:rsidRDefault="007766FC" w:rsidP="00DD16B8">
            <w:pPr>
              <w:pStyle w:val="In-tableHeading"/>
              <w:rPr>
                <w:b w:val="0"/>
                <w:lang w:val="en-AU"/>
              </w:rPr>
            </w:pPr>
            <w:r w:rsidRPr="00C93348">
              <w:rPr>
                <w:b w:val="0"/>
                <w:szCs w:val="20"/>
                <w:lang w:val="en-AU"/>
              </w:rPr>
              <w:t>$</w:t>
            </w:r>
            <w:r w:rsidR="00B27C72">
              <w:rPr>
                <w:b w:val="0"/>
                <w:noProof/>
                <w:color w:val="000000"/>
                <w:szCs w:val="20"/>
                <w:highlight w:val="black"/>
                <w:lang w:val="en-AU"/>
              </w:rPr>
              <w:t>''''''''''''''''''''''''''''</w:t>
            </w:r>
          </w:p>
        </w:tc>
      </w:tr>
      <w:tr w:rsidR="007766FC" w:rsidRPr="00C93348" w:rsidTr="00A80684">
        <w:tc>
          <w:tcPr>
            <w:tcW w:w="1453" w:type="pct"/>
          </w:tcPr>
          <w:p w:rsidR="007766FC" w:rsidRPr="00C93348" w:rsidRDefault="007766FC" w:rsidP="009A260C">
            <w:pPr>
              <w:pStyle w:val="In-tableHeading"/>
              <w:rPr>
                <w:b w:val="0"/>
                <w:lang w:val="en-AU"/>
              </w:rPr>
            </w:pPr>
            <w:r w:rsidRPr="00C93348">
              <w:rPr>
                <w:b w:val="0"/>
                <w:lang w:val="en-AU"/>
              </w:rPr>
              <w:t>Commonwealth expenditure</w:t>
            </w:r>
          </w:p>
        </w:tc>
        <w:tc>
          <w:tcPr>
            <w:tcW w:w="709" w:type="pct"/>
          </w:tcPr>
          <w:p w:rsidR="007766FC" w:rsidRPr="00C93348" w:rsidRDefault="007766FC" w:rsidP="00DD16B8">
            <w:pPr>
              <w:pStyle w:val="In-tableHeading"/>
              <w:rPr>
                <w:b w:val="0"/>
                <w:szCs w:val="20"/>
                <w:lang w:val="en-AU"/>
              </w:rPr>
            </w:pPr>
            <w:r w:rsidRPr="00C93348">
              <w:rPr>
                <w:b w:val="0"/>
                <w:lang w:val="en-AU"/>
              </w:rPr>
              <w:t>$</w:t>
            </w:r>
            <w:r w:rsidR="00B27C72">
              <w:rPr>
                <w:b w:val="0"/>
                <w:noProof/>
                <w:color w:val="000000"/>
                <w:highlight w:val="black"/>
                <w:lang w:val="en-AU"/>
              </w:rPr>
              <w:t>''''''''''''''''''''''''''</w:t>
            </w:r>
          </w:p>
        </w:tc>
        <w:tc>
          <w:tcPr>
            <w:tcW w:w="709" w:type="pct"/>
          </w:tcPr>
          <w:p w:rsidR="007766FC" w:rsidRPr="00C93348" w:rsidRDefault="007766FC" w:rsidP="00DD16B8">
            <w:pPr>
              <w:pStyle w:val="In-tableHeading"/>
              <w:rPr>
                <w:b w:val="0"/>
                <w:szCs w:val="20"/>
                <w:lang w:val="en-AU"/>
              </w:rPr>
            </w:pPr>
            <w:r w:rsidRPr="00C93348">
              <w:rPr>
                <w:b w:val="0"/>
                <w:szCs w:val="20"/>
                <w:lang w:val="en-AU"/>
              </w:rPr>
              <w:t>-</w:t>
            </w:r>
          </w:p>
        </w:tc>
        <w:tc>
          <w:tcPr>
            <w:tcW w:w="710" w:type="pct"/>
          </w:tcPr>
          <w:p w:rsidR="007766FC" w:rsidRPr="00C93348" w:rsidRDefault="007766FC" w:rsidP="00DD16B8">
            <w:pPr>
              <w:pStyle w:val="In-tableHeading"/>
              <w:rPr>
                <w:b w:val="0"/>
                <w:szCs w:val="20"/>
                <w:lang w:val="en-AU"/>
              </w:rPr>
            </w:pPr>
            <w:r w:rsidRPr="00C93348">
              <w:rPr>
                <w:b w:val="0"/>
                <w:szCs w:val="20"/>
                <w:lang w:val="en-AU"/>
              </w:rPr>
              <w:t>-</w:t>
            </w:r>
          </w:p>
        </w:tc>
        <w:tc>
          <w:tcPr>
            <w:tcW w:w="709" w:type="pct"/>
          </w:tcPr>
          <w:p w:rsidR="007766FC" w:rsidRPr="00C93348" w:rsidRDefault="007766FC" w:rsidP="00DD16B8">
            <w:pPr>
              <w:pStyle w:val="In-tableHeading"/>
              <w:rPr>
                <w:b w:val="0"/>
                <w:szCs w:val="20"/>
                <w:lang w:val="en-AU"/>
              </w:rPr>
            </w:pPr>
            <w:r w:rsidRPr="00C93348">
              <w:rPr>
                <w:b w:val="0"/>
                <w:szCs w:val="20"/>
                <w:lang w:val="en-AU"/>
              </w:rPr>
              <w:t>-</w:t>
            </w:r>
          </w:p>
        </w:tc>
        <w:tc>
          <w:tcPr>
            <w:tcW w:w="709" w:type="pct"/>
          </w:tcPr>
          <w:p w:rsidR="007766FC" w:rsidRPr="00C93348" w:rsidRDefault="007766FC" w:rsidP="00DD16B8">
            <w:pPr>
              <w:pStyle w:val="In-tableHeading"/>
              <w:rPr>
                <w:b w:val="0"/>
                <w:szCs w:val="20"/>
                <w:lang w:val="en-AU"/>
              </w:rPr>
            </w:pPr>
            <w:r w:rsidRPr="00C93348">
              <w:rPr>
                <w:b w:val="0"/>
                <w:szCs w:val="20"/>
                <w:lang w:val="en-AU"/>
              </w:rPr>
              <w:t>-</w:t>
            </w:r>
          </w:p>
        </w:tc>
      </w:tr>
    </w:tbl>
    <w:p w:rsidR="008D3BE3" w:rsidRPr="00C93348" w:rsidRDefault="008D3BE3" w:rsidP="00A80684">
      <w:pPr>
        <w:pStyle w:val="3-BodyText"/>
        <w:spacing w:before="120"/>
      </w:pPr>
      <w:r w:rsidRPr="00C93348">
        <w:t xml:space="preserve">The estimated </w:t>
      </w:r>
      <w:r w:rsidR="00A32BEC" w:rsidRPr="00C93348">
        <w:t xml:space="preserve">net </w:t>
      </w:r>
      <w:r w:rsidRPr="00C93348">
        <w:t xml:space="preserve">expenditure on first-line osimertinib applying the changes to the patient estimates outlined </w:t>
      </w:r>
      <w:r w:rsidRPr="00F5143F">
        <w:t>in paragraph 6.5</w:t>
      </w:r>
      <w:r w:rsidR="009610FD" w:rsidRPr="00F5143F">
        <w:t>7</w:t>
      </w:r>
      <w:r w:rsidR="00A32BEC" w:rsidRPr="00F5143F">
        <w:t xml:space="preserve"> is</w:t>
      </w:r>
      <w:r w:rsidR="00A32BEC" w:rsidRPr="00C93348">
        <w:t xml:space="preserve"> </w:t>
      </w:r>
      <w:r w:rsidRPr="00C93348">
        <w:t xml:space="preserve">summarised in </w:t>
      </w:r>
      <w:r w:rsidR="00CC4472" w:rsidRPr="00C93348">
        <w:t xml:space="preserve">Table </w:t>
      </w:r>
      <w:r w:rsidR="00CC4472">
        <w:rPr>
          <w:bCs/>
          <w:noProof/>
        </w:rPr>
        <w:t>20</w:t>
      </w:r>
      <w:r w:rsidRPr="00C93348">
        <w:t xml:space="preserve">. </w:t>
      </w:r>
    </w:p>
    <w:p w:rsidR="007766FC" w:rsidRPr="00C93348" w:rsidRDefault="007766FC" w:rsidP="0074666D">
      <w:pPr>
        <w:pStyle w:val="TableFigureHeading"/>
      </w:pPr>
      <w:bookmarkStart w:id="64" w:name="_Ref42869193"/>
      <w:r w:rsidRPr="00C93348">
        <w:t xml:space="preserve">Table </w:t>
      </w:r>
      <w:r w:rsidR="00CC4472">
        <w:rPr>
          <w:bCs w:val="0"/>
          <w:noProof/>
        </w:rPr>
        <w:t>20</w:t>
      </w:r>
      <w:bookmarkEnd w:id="64"/>
      <w:r w:rsidRPr="00C93348">
        <w:t xml:space="preserve">: </w:t>
      </w:r>
      <w:r w:rsidR="0074666D" w:rsidRPr="00C93348">
        <w:t xml:space="preserve">Estimated net expenditure on osimertinib if the </w:t>
      </w:r>
      <w:r w:rsidR="000721B6" w:rsidRPr="00C93348">
        <w:t>first-line</w:t>
      </w:r>
      <w:r w:rsidR="0074666D" w:rsidRPr="00C93348">
        <w:t xml:space="preserve"> indication is listed on the PBS</w:t>
      </w:r>
      <w:r w:rsidR="00237F82" w:rsidRPr="00C93348">
        <w:t xml:space="preserve">, using revised patient numbers as specified in </w:t>
      </w:r>
      <w:r w:rsidR="00237F82" w:rsidRPr="00F5143F">
        <w:t>paragraph 6.5</w:t>
      </w:r>
      <w:r w:rsidR="009610FD" w:rsidRPr="00F5143F">
        <w:t>7</w:t>
      </w:r>
    </w:p>
    <w:tbl>
      <w:tblPr>
        <w:tblStyle w:val="TableGrid"/>
        <w:tblW w:w="5000" w:type="pct"/>
        <w:tblLook w:val="04A0" w:firstRow="1" w:lastRow="0" w:firstColumn="1" w:lastColumn="0" w:noHBand="0" w:noVBand="1"/>
      </w:tblPr>
      <w:tblGrid>
        <w:gridCol w:w="1695"/>
        <w:gridCol w:w="1219"/>
        <w:gridCol w:w="1221"/>
        <w:gridCol w:w="1221"/>
        <w:gridCol w:w="1219"/>
        <w:gridCol w:w="1221"/>
        <w:gridCol w:w="1221"/>
      </w:tblGrid>
      <w:tr w:rsidR="0074666D" w:rsidRPr="00C93348" w:rsidTr="00A80684">
        <w:tc>
          <w:tcPr>
            <w:tcW w:w="940" w:type="pct"/>
          </w:tcPr>
          <w:p w:rsidR="004A034B" w:rsidRPr="00C93348" w:rsidRDefault="004A034B" w:rsidP="00DD16B8">
            <w:pPr>
              <w:pStyle w:val="In-tableHeading"/>
              <w:rPr>
                <w:b w:val="0"/>
                <w:szCs w:val="20"/>
                <w:lang w:val="en-AU"/>
              </w:rPr>
            </w:pPr>
          </w:p>
        </w:tc>
        <w:tc>
          <w:tcPr>
            <w:tcW w:w="676" w:type="pct"/>
          </w:tcPr>
          <w:p w:rsidR="004A034B" w:rsidRPr="00C93348" w:rsidRDefault="004A034B" w:rsidP="00DD16B8">
            <w:pPr>
              <w:pStyle w:val="In-tableHeading"/>
              <w:rPr>
                <w:b w:val="0"/>
                <w:szCs w:val="20"/>
                <w:lang w:val="en-AU"/>
              </w:rPr>
            </w:pPr>
            <w:r w:rsidRPr="00C93348">
              <w:rPr>
                <w:b w:val="0"/>
                <w:szCs w:val="20"/>
                <w:lang w:val="en-AU"/>
              </w:rPr>
              <w:t>Year 1</w:t>
            </w:r>
          </w:p>
        </w:tc>
        <w:tc>
          <w:tcPr>
            <w:tcW w:w="677" w:type="pct"/>
          </w:tcPr>
          <w:p w:rsidR="004A034B" w:rsidRPr="00C93348" w:rsidRDefault="004A034B" w:rsidP="00DD16B8">
            <w:pPr>
              <w:pStyle w:val="In-tableHeading"/>
              <w:rPr>
                <w:b w:val="0"/>
                <w:szCs w:val="20"/>
                <w:lang w:val="en-AU"/>
              </w:rPr>
            </w:pPr>
            <w:r w:rsidRPr="00C93348">
              <w:rPr>
                <w:b w:val="0"/>
                <w:szCs w:val="20"/>
                <w:lang w:val="en-AU"/>
              </w:rPr>
              <w:t>Year 2</w:t>
            </w:r>
          </w:p>
        </w:tc>
        <w:tc>
          <w:tcPr>
            <w:tcW w:w="677" w:type="pct"/>
          </w:tcPr>
          <w:p w:rsidR="004A034B" w:rsidRPr="00C93348" w:rsidRDefault="004A034B" w:rsidP="00DD16B8">
            <w:pPr>
              <w:pStyle w:val="In-tableHeading"/>
              <w:rPr>
                <w:b w:val="0"/>
                <w:szCs w:val="20"/>
                <w:lang w:val="en-AU"/>
              </w:rPr>
            </w:pPr>
            <w:r w:rsidRPr="00C93348">
              <w:rPr>
                <w:b w:val="0"/>
                <w:szCs w:val="20"/>
                <w:lang w:val="en-AU"/>
              </w:rPr>
              <w:t>Year 3</w:t>
            </w:r>
          </w:p>
        </w:tc>
        <w:tc>
          <w:tcPr>
            <w:tcW w:w="676" w:type="pct"/>
          </w:tcPr>
          <w:p w:rsidR="004A034B" w:rsidRPr="00C93348" w:rsidRDefault="004A034B" w:rsidP="00DD16B8">
            <w:pPr>
              <w:pStyle w:val="In-tableHeading"/>
              <w:rPr>
                <w:b w:val="0"/>
                <w:szCs w:val="20"/>
                <w:lang w:val="en-AU"/>
              </w:rPr>
            </w:pPr>
            <w:r w:rsidRPr="00C93348">
              <w:rPr>
                <w:b w:val="0"/>
                <w:szCs w:val="20"/>
                <w:lang w:val="en-AU"/>
              </w:rPr>
              <w:t>Year 4</w:t>
            </w:r>
          </w:p>
        </w:tc>
        <w:tc>
          <w:tcPr>
            <w:tcW w:w="677" w:type="pct"/>
          </w:tcPr>
          <w:p w:rsidR="004A034B" w:rsidRPr="00C93348" w:rsidRDefault="004A034B" w:rsidP="00DD16B8">
            <w:pPr>
              <w:pStyle w:val="In-tableHeading"/>
              <w:rPr>
                <w:b w:val="0"/>
                <w:szCs w:val="20"/>
                <w:lang w:val="en-AU"/>
              </w:rPr>
            </w:pPr>
            <w:r w:rsidRPr="00C93348">
              <w:rPr>
                <w:b w:val="0"/>
                <w:szCs w:val="20"/>
                <w:lang w:val="en-AU"/>
              </w:rPr>
              <w:t>Year 5</w:t>
            </w:r>
          </w:p>
        </w:tc>
        <w:tc>
          <w:tcPr>
            <w:tcW w:w="677" w:type="pct"/>
          </w:tcPr>
          <w:p w:rsidR="004A034B" w:rsidRPr="00C93348" w:rsidRDefault="004A034B" w:rsidP="00DD16B8">
            <w:pPr>
              <w:pStyle w:val="In-tableHeading"/>
              <w:rPr>
                <w:b w:val="0"/>
                <w:szCs w:val="20"/>
                <w:lang w:val="en-AU"/>
              </w:rPr>
            </w:pPr>
            <w:r w:rsidRPr="00C93348">
              <w:rPr>
                <w:b w:val="0"/>
                <w:szCs w:val="20"/>
                <w:lang w:val="en-AU"/>
              </w:rPr>
              <w:t>Year 6</w:t>
            </w:r>
          </w:p>
        </w:tc>
      </w:tr>
      <w:tr w:rsidR="00D00965" w:rsidRPr="00C93348" w:rsidTr="00A80684">
        <w:tc>
          <w:tcPr>
            <w:tcW w:w="940" w:type="pct"/>
          </w:tcPr>
          <w:p w:rsidR="00D00965" w:rsidRPr="00C93348" w:rsidRDefault="00D00965" w:rsidP="00D00965">
            <w:pPr>
              <w:pStyle w:val="In-tableHeading"/>
              <w:rPr>
                <w:b w:val="0"/>
                <w:szCs w:val="20"/>
                <w:lang w:val="en-AU"/>
              </w:rPr>
            </w:pPr>
            <w:r w:rsidRPr="00C93348">
              <w:rPr>
                <w:b w:val="0"/>
                <w:color w:val="000000"/>
                <w:lang w:val="en-AU"/>
              </w:rPr>
              <w:t>Cost of 1L osimertinib</w:t>
            </w:r>
            <w:r w:rsidRPr="00C93348">
              <w:rPr>
                <w:b w:val="0"/>
                <w:lang w:val="en-AU"/>
              </w:rPr>
              <w:t xml:space="preserve"> </w:t>
            </w:r>
          </w:p>
        </w:tc>
        <w:tc>
          <w:tcPr>
            <w:tcW w:w="676"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rFonts w:cstheme="majorBidi"/>
                <w:b w:val="0"/>
                <w:lang w:val="en-AU"/>
              </w:rPr>
              <w:t>$</w:t>
            </w:r>
            <w:r w:rsidR="00B27C72">
              <w:rPr>
                <w:rFonts w:cstheme="majorBidi"/>
                <w:b w:val="0"/>
                <w:noProof/>
                <w:color w:val="000000"/>
                <w:highlight w:val="black"/>
                <w:lang w:val="en-AU"/>
              </w:rPr>
              <w:t>'''''''''''''''''''''''''''''</w:t>
            </w:r>
          </w:p>
        </w:tc>
        <w:tc>
          <w:tcPr>
            <w:tcW w:w="676" w:type="pct"/>
          </w:tcPr>
          <w:p w:rsidR="00D00965" w:rsidRPr="00C93348" w:rsidRDefault="00D00965" w:rsidP="00D00965">
            <w:pPr>
              <w:pStyle w:val="In-tableHeading"/>
              <w:rPr>
                <w:b w:val="0"/>
                <w:lang w:val="en-AU"/>
              </w:rPr>
            </w:pPr>
            <w:r w:rsidRPr="00C93348">
              <w:rPr>
                <w:rFonts w:cstheme="majorBidi"/>
                <w:b w:val="0"/>
                <w:lang w:val="en-AU"/>
              </w:rPr>
              <w:t>$</w:t>
            </w:r>
            <w:r w:rsidR="00B27C72">
              <w:rPr>
                <w:rFonts w:cstheme="majorBidi"/>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rFonts w:cstheme="majorBidi"/>
                <w:b w:val="0"/>
                <w:lang w:val="en-AU"/>
              </w:rPr>
              <w:t>$</w:t>
            </w:r>
            <w:r w:rsidR="00B27C72">
              <w:rPr>
                <w:rFonts w:cstheme="majorBidi"/>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rFonts w:cstheme="majorBidi"/>
                <w:b w:val="0"/>
                <w:lang w:val="en-AU"/>
              </w:rPr>
              <w:t>$</w:t>
            </w:r>
            <w:r w:rsidR="00B27C72">
              <w:rPr>
                <w:rFonts w:cstheme="majorBidi"/>
                <w:b w:val="0"/>
                <w:noProof/>
                <w:color w:val="000000"/>
                <w:highlight w:val="black"/>
                <w:lang w:val="en-AU"/>
              </w:rPr>
              <w:t>'''''''''''''''''''''''''''''</w:t>
            </w:r>
          </w:p>
        </w:tc>
      </w:tr>
      <w:tr w:rsidR="00D00965" w:rsidRPr="00C93348" w:rsidTr="00A80684">
        <w:tc>
          <w:tcPr>
            <w:tcW w:w="940" w:type="pct"/>
          </w:tcPr>
          <w:p w:rsidR="00D00965" w:rsidRPr="00C93348" w:rsidRDefault="00D00965" w:rsidP="00D00965">
            <w:pPr>
              <w:pStyle w:val="In-tableHeading"/>
              <w:rPr>
                <w:b w:val="0"/>
                <w:szCs w:val="20"/>
                <w:lang w:val="en-AU"/>
              </w:rPr>
            </w:pPr>
            <w:r w:rsidRPr="00C93348">
              <w:rPr>
                <w:b w:val="0"/>
                <w:lang w:val="en-AU"/>
              </w:rPr>
              <w:t>Reduction in cost of 2L osimertinib</w:t>
            </w:r>
          </w:p>
        </w:tc>
        <w:tc>
          <w:tcPr>
            <w:tcW w:w="676"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6"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r>
      <w:tr w:rsidR="00D00965" w:rsidRPr="00C93348" w:rsidTr="00A80684">
        <w:tc>
          <w:tcPr>
            <w:tcW w:w="940" w:type="pct"/>
          </w:tcPr>
          <w:p w:rsidR="00D00965" w:rsidRPr="00C93348" w:rsidRDefault="00D00965" w:rsidP="00D00965">
            <w:pPr>
              <w:pStyle w:val="In-tableHeading"/>
              <w:rPr>
                <w:b w:val="0"/>
                <w:lang w:val="en-AU"/>
              </w:rPr>
            </w:pPr>
            <w:r w:rsidRPr="00C93348">
              <w:rPr>
                <w:b w:val="0"/>
                <w:lang w:val="en-AU"/>
              </w:rPr>
              <w:t>Net expenditure on osimertinib</w:t>
            </w:r>
          </w:p>
        </w:tc>
        <w:tc>
          <w:tcPr>
            <w:tcW w:w="676"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6"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c>
          <w:tcPr>
            <w:tcW w:w="677" w:type="pct"/>
          </w:tcPr>
          <w:p w:rsidR="00D00965" w:rsidRPr="00C93348" w:rsidRDefault="00D00965" w:rsidP="00D00965">
            <w:pPr>
              <w:pStyle w:val="In-tableHeading"/>
              <w:rPr>
                <w:b w:val="0"/>
                <w:lang w:val="en-AU"/>
              </w:rPr>
            </w:pPr>
            <w:r w:rsidRPr="00C93348">
              <w:rPr>
                <w:b w:val="0"/>
                <w:lang w:val="en-AU"/>
              </w:rPr>
              <w:t>$</w:t>
            </w:r>
            <w:r w:rsidR="00B27C72">
              <w:rPr>
                <w:b w:val="0"/>
                <w:noProof/>
                <w:color w:val="000000"/>
                <w:highlight w:val="black"/>
                <w:lang w:val="en-AU"/>
              </w:rPr>
              <w:t>'''''''''''''''''''''''''''</w:t>
            </w:r>
          </w:p>
        </w:tc>
      </w:tr>
    </w:tbl>
    <w:p w:rsidR="00A91FF6" w:rsidRPr="00A80684" w:rsidRDefault="005F2802" w:rsidP="00A80684">
      <w:pPr>
        <w:pStyle w:val="3-BodyText"/>
        <w:spacing w:before="120"/>
      </w:pPr>
      <w:r w:rsidRPr="00C93348">
        <w:t xml:space="preserve">The second form of RSA proposed was an additional </w:t>
      </w:r>
      <w:r w:rsidR="00D025B2" w:rsidRPr="00C93348">
        <w:t>rebate</w:t>
      </w:r>
      <w:r w:rsidRPr="00C93348">
        <w:t xml:space="preserve"> delivered via an annual rebate, paid quarterly, </w:t>
      </w:r>
      <w:r w:rsidR="00B27C72">
        <w:rPr>
          <w:noProof/>
          <w:color w:val="000000"/>
          <w:highlight w:val="black"/>
        </w:rPr>
        <w:t>'''' '''''''' '''''''''''''''''''''''' '''''' '''''''''''''''' ''''''''''''''''''''' ''''''''''''''''' ''''''' ''''''''''' ''''' '''''''''''' '''''' ''''''' '''''''''''''''''' '''''''''''''' '''' ''''''''''''''' ''''''''''''''''''' '''''''''''''''''''''''''''</w:t>
      </w:r>
      <w:r w:rsidRPr="00C93348">
        <w:t xml:space="preserve">. The resubmission proposed that this rebate arrangement would be limited to a term for 5 years from the date of osimertinib PBS listing. </w:t>
      </w:r>
    </w:p>
    <w:p w:rsidR="00531BF9" w:rsidRPr="00C93348" w:rsidRDefault="00E77FC1" w:rsidP="00F5143F">
      <w:pPr>
        <w:ind w:firstLine="720"/>
        <w:rPr>
          <w:i/>
        </w:rPr>
      </w:pPr>
      <w:r w:rsidRPr="00C93348">
        <w:rPr>
          <w:i/>
        </w:rPr>
        <w:t>For more detail on PBAC’s view, see section 7 PBAC outcome.</w:t>
      </w:r>
    </w:p>
    <w:p w:rsidR="005E693A" w:rsidRPr="00C93348" w:rsidRDefault="005E693A" w:rsidP="000F038D">
      <w:pPr>
        <w:pStyle w:val="2-SectionHeading"/>
      </w:pPr>
      <w:r w:rsidRPr="00C93348">
        <w:t>PBAC Outcome</w:t>
      </w:r>
    </w:p>
    <w:p w:rsidR="004B2469" w:rsidRPr="00C93348" w:rsidRDefault="005E693A" w:rsidP="0037679F">
      <w:pPr>
        <w:pStyle w:val="3-BodyText"/>
      </w:pPr>
      <w:r w:rsidRPr="00C93348">
        <w:t>The PBAC recommended the listing of</w:t>
      </w:r>
      <w:r w:rsidR="00D81781" w:rsidRPr="00C93348">
        <w:t xml:space="preserve"> osimertinib for the first-line treatment of locally advanced or metastatic (Stage IIIB or IV), epidermal growth factor receptor mutation positive</w:t>
      </w:r>
      <w:r w:rsidR="00496E52" w:rsidRPr="00C93348">
        <w:t xml:space="preserve"> (EGFRm)</w:t>
      </w:r>
      <w:r w:rsidR="00D81781" w:rsidRPr="00C93348">
        <w:t xml:space="preserve">, non-small cell lung cancer (NSCLC). </w:t>
      </w:r>
      <w:r w:rsidR="002C03A5" w:rsidRPr="00C93348">
        <w:t xml:space="preserve">The PBAC’s recommendation for listing was based on, among other matters, its assessment that the cost-effectiveness of osimertinib would be acceptable if the incremental cost effectiveness ratio was </w:t>
      </w:r>
      <w:r w:rsidR="002C03A5" w:rsidRPr="00C93348">
        <w:rPr>
          <w:rFonts w:cstheme="minorHAnsi"/>
        </w:rPr>
        <w:t xml:space="preserve">less than </w:t>
      </w:r>
      <w:r w:rsidR="002C03A5" w:rsidRPr="00C93348">
        <w:t>$</w:t>
      </w:r>
      <w:r w:rsidR="0037679F" w:rsidRPr="0037679F">
        <w:t>45,000/QALY – $75,000</w:t>
      </w:r>
      <w:r w:rsidR="002C03A5" w:rsidRPr="00C93348">
        <w:t>/QALY gained.</w:t>
      </w:r>
    </w:p>
    <w:p w:rsidR="009A49FB" w:rsidRPr="00C93348" w:rsidRDefault="008F6EB7" w:rsidP="00FD0E2B">
      <w:pPr>
        <w:pStyle w:val="3-BodyText"/>
      </w:pPr>
      <w:r w:rsidRPr="00C93348">
        <w:t xml:space="preserve">The PBAC is satisfied that osimertinib provides, for some patients, a significant improvement in </w:t>
      </w:r>
      <w:r w:rsidR="00E84252" w:rsidRPr="00C93348">
        <w:t>efficacy</w:t>
      </w:r>
      <w:r w:rsidRPr="00C93348">
        <w:t xml:space="preserve"> and reduction in toxicity over</w:t>
      </w:r>
      <w:r w:rsidR="00257845">
        <w:t xml:space="preserve"> PBS listed</w:t>
      </w:r>
      <w:r w:rsidR="00A6008F" w:rsidRPr="00C93348">
        <w:t xml:space="preserve"> </w:t>
      </w:r>
      <w:r w:rsidR="00257845">
        <w:t>EGFR-</w:t>
      </w:r>
      <w:r w:rsidRPr="00C93348">
        <w:t>TKIs.</w:t>
      </w:r>
      <w:r w:rsidR="00A6008F" w:rsidRPr="00C93348">
        <w:t xml:space="preserve"> The PBAC recalled that it had previously considered the claim </w:t>
      </w:r>
      <w:r w:rsidR="00E84252" w:rsidRPr="00C93348">
        <w:t xml:space="preserve">that osimertinib is superior to </w:t>
      </w:r>
      <w:r w:rsidR="00971629">
        <w:t>EGFR-</w:t>
      </w:r>
      <w:r w:rsidR="00E84252" w:rsidRPr="00C93348">
        <w:t xml:space="preserve">TKIs for PFS </w:t>
      </w:r>
      <w:r w:rsidR="00D34C50" w:rsidRPr="00C93348">
        <w:t xml:space="preserve">and safety </w:t>
      </w:r>
      <w:r w:rsidR="00E84252" w:rsidRPr="00C93348">
        <w:t xml:space="preserve">was </w:t>
      </w:r>
      <w:r w:rsidR="00A6008F" w:rsidRPr="00C93348">
        <w:t>reasonable.</w:t>
      </w:r>
      <w:r w:rsidR="00E84252" w:rsidRPr="00C93348">
        <w:t xml:space="preserve"> However, </w:t>
      </w:r>
      <w:r w:rsidR="00FF0DD7" w:rsidRPr="00C93348">
        <w:t xml:space="preserve">it previously considered </w:t>
      </w:r>
      <w:r w:rsidR="00E84252" w:rsidRPr="00C93348">
        <w:t xml:space="preserve">the claim of superiority based on OS was not reasonable as the </w:t>
      </w:r>
      <w:r w:rsidR="00D34C50" w:rsidRPr="00C93348">
        <w:t xml:space="preserve">incremental </w:t>
      </w:r>
      <w:r w:rsidR="00E84252" w:rsidRPr="00C93348">
        <w:t>benefit was uncertain due to immaturity of the data and potential</w:t>
      </w:r>
      <w:r w:rsidR="00FF5D4A" w:rsidRPr="00C93348">
        <w:t xml:space="preserve">ly </w:t>
      </w:r>
      <w:r w:rsidR="00E84252" w:rsidRPr="00C93348">
        <w:t>overestimated due to the likely underuse of second-line osimertinib post-progression in the comparator arm</w:t>
      </w:r>
      <w:r w:rsidR="00263702" w:rsidRPr="00C93348">
        <w:t xml:space="preserve"> (</w:t>
      </w:r>
      <w:r w:rsidR="008369BA" w:rsidRPr="00C93348">
        <w:t>paragraph 6.24, Osimertinib PSD, July 2019 PBAC meeting)</w:t>
      </w:r>
      <w:r w:rsidR="00E84252" w:rsidRPr="00C93348">
        <w:t xml:space="preserve">. The PBAC considered the </w:t>
      </w:r>
      <w:r w:rsidR="00FF5D4A" w:rsidRPr="00C93348">
        <w:t>data provided in the resubmission, based on a longer duration of follow up</w:t>
      </w:r>
      <w:r w:rsidR="008369BA" w:rsidRPr="00C93348">
        <w:t xml:space="preserve"> and with a higher proportion of patients in the comparator arm receiving second-line osimertinib</w:t>
      </w:r>
      <w:r w:rsidR="00FF5D4A" w:rsidRPr="00C93348">
        <w:t>, support</w:t>
      </w:r>
      <w:r w:rsidR="00D34C50" w:rsidRPr="00C93348">
        <w:t>ed the claim of superiority for OS</w:t>
      </w:r>
      <w:r w:rsidR="00C93348" w:rsidRPr="00C93348">
        <w:t xml:space="preserve">. </w:t>
      </w:r>
    </w:p>
    <w:p w:rsidR="003F447F" w:rsidRPr="00C93348" w:rsidRDefault="001D663D" w:rsidP="003F447F">
      <w:pPr>
        <w:pStyle w:val="3-BodyText"/>
      </w:pPr>
      <w:r w:rsidRPr="00C93348">
        <w:t xml:space="preserve">The PBAC </w:t>
      </w:r>
      <w:r w:rsidR="003B3853" w:rsidRPr="00C93348">
        <w:t xml:space="preserve">considered </w:t>
      </w:r>
      <w:r w:rsidRPr="00C93348">
        <w:t>separate restriction criteria for first-line and second</w:t>
      </w:r>
      <w:r w:rsidR="001E519C" w:rsidRPr="00C93348">
        <w:t>-line use of osimertinib</w:t>
      </w:r>
      <w:r w:rsidR="00EA5A1F" w:rsidRPr="00C93348">
        <w:t xml:space="preserve"> </w:t>
      </w:r>
      <w:r w:rsidR="00D272C7" w:rsidRPr="00C93348">
        <w:t xml:space="preserve">were </w:t>
      </w:r>
      <w:r w:rsidR="00FF0DD7" w:rsidRPr="00C93348">
        <w:t>reasonable (</w:t>
      </w:r>
      <w:r w:rsidR="00FF0DD7" w:rsidRPr="00F5143F">
        <w:t>paragraph 3.3)</w:t>
      </w:r>
      <w:r w:rsidRPr="00F5143F">
        <w:t>.</w:t>
      </w:r>
      <w:r w:rsidRPr="00C93348">
        <w:t xml:space="preserve"> The PBAC </w:t>
      </w:r>
      <w:r w:rsidR="003B3853" w:rsidRPr="00C93348">
        <w:t xml:space="preserve">considered </w:t>
      </w:r>
      <w:r w:rsidRPr="00C93348">
        <w:t xml:space="preserve">the </w:t>
      </w:r>
      <w:r w:rsidR="00447C51">
        <w:t xml:space="preserve">restriction criteria in paragraph </w:t>
      </w:r>
      <w:r w:rsidR="00447C51" w:rsidRPr="00F5143F">
        <w:t>3.1</w:t>
      </w:r>
      <w:r w:rsidR="00447C51">
        <w:t xml:space="preserve">, including the </w:t>
      </w:r>
      <w:r w:rsidRPr="00C93348">
        <w:t>chan</w:t>
      </w:r>
      <w:r w:rsidR="00FF0DD7" w:rsidRPr="00C93348">
        <w:t>ges</w:t>
      </w:r>
      <w:r w:rsidR="00FB43AC" w:rsidRPr="00C93348">
        <w:t xml:space="preserve"> proposed by the Secretariat</w:t>
      </w:r>
      <w:r w:rsidR="00447C51">
        <w:t>,</w:t>
      </w:r>
      <w:r w:rsidR="00FB43AC" w:rsidRPr="00C93348">
        <w:t xml:space="preserve"> were appropriate. </w:t>
      </w:r>
      <w:r w:rsidR="003F447F">
        <w:t xml:space="preserve">The PBAC recommended that the </w:t>
      </w:r>
      <w:r w:rsidR="00447C51">
        <w:t xml:space="preserve">first-line </w:t>
      </w:r>
      <w:r w:rsidR="003F447F">
        <w:t>grandfather listing could be removed after 12 months</w:t>
      </w:r>
      <w:r w:rsidR="00447C51">
        <w:t xml:space="preserve"> and the second-line grandfather listing could be removed immediately as it was over 12 months old</w:t>
      </w:r>
      <w:r w:rsidR="003F447F">
        <w:t>.</w:t>
      </w:r>
      <w:r w:rsidR="00447C51">
        <w:t xml:space="preserve"> The PBAC considered it would be appropriate to amend the second-line osimertinib listing to be Authority Required (</w:t>
      </w:r>
      <w:r w:rsidR="00CC2C14">
        <w:t>t</w:t>
      </w:r>
      <w:r w:rsidR="00447C51">
        <w:t>elephone</w:t>
      </w:r>
      <w:r w:rsidR="00CC2C14">
        <w:t>/online</w:t>
      </w:r>
      <w:r w:rsidR="00447C51">
        <w:t>) for initial treatment and Authority Required (Streamlined) for continuing treatment</w:t>
      </w:r>
      <w:r w:rsidR="00BF4348">
        <w:t>.</w:t>
      </w:r>
      <w:r w:rsidR="00447C51">
        <w:t xml:space="preserve">  </w:t>
      </w:r>
    </w:p>
    <w:p w:rsidR="001E519C" w:rsidRPr="00C93348" w:rsidRDefault="003B3853" w:rsidP="003B3853">
      <w:pPr>
        <w:pStyle w:val="3-BodyText"/>
      </w:pPr>
      <w:r w:rsidRPr="00C93348">
        <w:t xml:space="preserve">The PBAC noted the key evidence </w:t>
      </w:r>
      <w:r w:rsidR="00B712EF" w:rsidRPr="00C93348">
        <w:t xml:space="preserve">to support the clinical claim </w:t>
      </w:r>
      <w:r w:rsidRPr="00C93348">
        <w:t xml:space="preserve">(the FLAURA trial) remained unchanged from the previous submission but included OS data based on a longer duration </w:t>
      </w:r>
      <w:r w:rsidR="002D00D8" w:rsidRPr="00C93348">
        <w:t xml:space="preserve">of </w:t>
      </w:r>
      <w:r w:rsidRPr="00C93348">
        <w:t xml:space="preserve">follow up (35.8 months compared to </w:t>
      </w:r>
      <w:r w:rsidR="002D00D8" w:rsidRPr="00C93348">
        <w:t>18.6 months in the previous submission)</w:t>
      </w:r>
      <w:r w:rsidRPr="00C93348">
        <w:t xml:space="preserve">. </w:t>
      </w:r>
      <w:r w:rsidR="002D00D8" w:rsidRPr="00C93348">
        <w:t>The PBAC noted the OS hazard ratio was 0.799 (95%CI: 0.640, 0.996) with a difference in median OS of 6.8 months</w:t>
      </w:r>
      <w:r w:rsidR="00C93348" w:rsidRPr="00C93348">
        <w:t xml:space="preserve">. </w:t>
      </w:r>
    </w:p>
    <w:p w:rsidR="00D31B67" w:rsidRPr="00C93348" w:rsidRDefault="005E17DA" w:rsidP="00B13B4A">
      <w:pPr>
        <w:pStyle w:val="3-BodyText"/>
      </w:pPr>
      <w:r w:rsidRPr="00C93348">
        <w:t xml:space="preserve">The PBAC considered the respecified economic model </w:t>
      </w:r>
      <w:r w:rsidR="00FD0E2B" w:rsidRPr="00C93348">
        <w:t xml:space="preserve">applying a cost </w:t>
      </w:r>
      <w:r w:rsidR="00FD0E2B" w:rsidRPr="00C64578">
        <w:t xml:space="preserve">of </w:t>
      </w:r>
      <w:r w:rsidR="00B27C72">
        <w:rPr>
          <w:noProof/>
          <w:color w:val="000000"/>
          <w:highlight w:val="black"/>
        </w:rPr>
        <w:t>''''''''</w:t>
      </w:r>
      <w:r w:rsidR="00FD0E2B" w:rsidRPr="00C93348">
        <w:t xml:space="preserve"> packs of osimertinib, </w:t>
      </w:r>
      <w:r w:rsidRPr="00C93348">
        <w:t xml:space="preserve">as outlined in paragraph </w:t>
      </w:r>
      <w:r w:rsidR="00FD0E2B" w:rsidRPr="00F5143F">
        <w:t>6.41</w:t>
      </w:r>
      <w:r w:rsidR="00FD0E2B" w:rsidRPr="00C93348">
        <w:t xml:space="preserve">, </w:t>
      </w:r>
      <w:r w:rsidRPr="00C93348">
        <w:t>provided a reasonable basis for</w:t>
      </w:r>
      <w:r w:rsidR="00282DBA" w:rsidRPr="00C93348">
        <w:t xml:space="preserve"> assessing the cost effectiveness of osimertinib.</w:t>
      </w:r>
      <w:r w:rsidR="00FD0E2B" w:rsidRPr="00C93348">
        <w:t xml:space="preserve"> The PBAC noted the ICER was </w:t>
      </w:r>
      <w:r w:rsidR="003044E1">
        <w:t>$</w:t>
      </w:r>
      <w:r w:rsidR="003044E1" w:rsidRPr="000564A4">
        <w:t>105,000/QALY - $200,000</w:t>
      </w:r>
      <w:r w:rsidR="00FD0E2B" w:rsidRPr="000564A4">
        <w:t>/ QALY gained</w:t>
      </w:r>
      <w:r w:rsidR="00FD0E2B" w:rsidRPr="00C93348">
        <w:t xml:space="preserve"> excluding the proposed rebate </w:t>
      </w:r>
      <w:r w:rsidR="00B27C72">
        <w:rPr>
          <w:noProof/>
          <w:color w:val="000000"/>
          <w:highlight w:val="black"/>
        </w:rPr>
        <w:t>'''''' ''''''''''''''' '''''''''''''''''</w:t>
      </w:r>
      <w:r w:rsidR="00FD0E2B" w:rsidRPr="00C93348">
        <w:t xml:space="preserve">. </w:t>
      </w:r>
      <w:r w:rsidR="00D31B67" w:rsidRPr="00C93348">
        <w:t xml:space="preserve">The PBAC recalled </w:t>
      </w:r>
      <w:r w:rsidR="00530ED1" w:rsidRPr="00C93348">
        <w:t>it had</w:t>
      </w:r>
      <w:r w:rsidR="00D31B67" w:rsidRPr="00C93348">
        <w:t xml:space="preserve"> previously considered osimertinib would be cost effective in this treatment setting if the ICER was no more than </w:t>
      </w:r>
      <w:r w:rsidR="004C5A35">
        <w:t>$45,000/QALY - $75,000</w:t>
      </w:r>
      <w:r w:rsidR="00D31B67" w:rsidRPr="00C93348">
        <w:t>/QALY gained</w:t>
      </w:r>
      <w:r w:rsidR="008369BA" w:rsidRPr="00C93348">
        <w:t xml:space="preserve"> (paragraph 7.13, Osimertinib PSD, July 2019 PBAC meeting)</w:t>
      </w:r>
      <w:r w:rsidR="00D31B67" w:rsidRPr="00C93348">
        <w:t xml:space="preserve">. </w:t>
      </w:r>
      <w:r w:rsidR="00B13B4A">
        <w:t xml:space="preserve">The PBAC noted the pre-PBAC response proposed an ICER of </w:t>
      </w:r>
      <w:r w:rsidR="00B13B4A" w:rsidRPr="00B13B4A">
        <w:t>$</w:t>
      </w:r>
      <w:r w:rsidR="009B3772">
        <w:t>45,000/QALY - $75,000/QALY</w:t>
      </w:r>
      <w:r w:rsidR="00E55711">
        <w:t xml:space="preserve"> (</w:t>
      </w:r>
      <w:r w:rsidR="00E55711" w:rsidRPr="00F5143F">
        <w:t>paragraph 6.41)</w:t>
      </w:r>
      <w:r w:rsidR="00B13B4A" w:rsidRPr="00F5143F">
        <w:t>.</w:t>
      </w:r>
      <w:r w:rsidR="00B13B4A">
        <w:t xml:space="preserve"> </w:t>
      </w:r>
      <w:r w:rsidR="00D31B67" w:rsidRPr="00C93348">
        <w:t>The PBAC considered the respecified economic model incorporating clinical data with a longer duration of follow up</w:t>
      </w:r>
      <w:r w:rsidR="00B01C18">
        <w:t xml:space="preserve"> and evidence of </w:t>
      </w:r>
      <w:r w:rsidR="00F5143F">
        <w:t xml:space="preserve">an </w:t>
      </w:r>
      <w:r w:rsidR="00B01C18">
        <w:t>OS benefit,</w:t>
      </w:r>
      <w:r w:rsidR="00D31B67" w:rsidRPr="00C93348">
        <w:t xml:space="preserve"> provided a more reliable estimate of cost effectiveness and advised a </w:t>
      </w:r>
      <w:r w:rsidR="009D1D34">
        <w:t>higher ICER threshold</w:t>
      </w:r>
      <w:r w:rsidR="00D31B67" w:rsidRPr="00C93348">
        <w:t xml:space="preserve"> was reasonable in this circumstance</w:t>
      </w:r>
      <w:r w:rsidR="00C93348" w:rsidRPr="00C93348">
        <w:t xml:space="preserve">. </w:t>
      </w:r>
      <w:r w:rsidR="00B13B4A" w:rsidRPr="00C93348">
        <w:t>The PBAC considered that osimertinib would be cost effective for the first-line treatment of EGFRm NSCLC if the ICER was less than $</w:t>
      </w:r>
      <w:r w:rsidR="006B61B9">
        <w:t>45,000/QALY - $75,000/QALY</w:t>
      </w:r>
      <w:r w:rsidR="00B13B4A" w:rsidRPr="00C93348">
        <w:t xml:space="preserve"> gained</w:t>
      </w:r>
      <w:r w:rsidR="00B13B4A">
        <w:t>.</w:t>
      </w:r>
    </w:p>
    <w:p w:rsidR="00FD0E2B" w:rsidRPr="00C93348" w:rsidRDefault="00B55863" w:rsidP="00D31B67">
      <w:pPr>
        <w:pStyle w:val="3-BodyText"/>
      </w:pPr>
      <w:r>
        <w:t xml:space="preserve">The PBAC considered that </w:t>
      </w:r>
      <w:r w:rsidR="002C03A5">
        <w:t xml:space="preserve">to achieve an ICER </w:t>
      </w:r>
      <w:r w:rsidR="00E253E3">
        <w:t xml:space="preserve">of </w:t>
      </w:r>
      <w:r w:rsidR="002C03A5">
        <w:t>less than $</w:t>
      </w:r>
      <w:r w:rsidR="002C5130">
        <w:t>45,000/QALY - $75,000/QALY</w:t>
      </w:r>
      <w:r w:rsidR="002C5130" w:rsidDel="002C5130">
        <w:t xml:space="preserve"> </w:t>
      </w:r>
      <w:r w:rsidR="002C03A5">
        <w:t>the</w:t>
      </w:r>
      <w:r>
        <w:t xml:space="preserve"> </w:t>
      </w:r>
      <w:r w:rsidR="003D27A3">
        <w:t xml:space="preserve">cost </w:t>
      </w:r>
      <w:r>
        <w:t xml:space="preserve">of </w:t>
      </w:r>
      <w:r w:rsidR="002C03A5">
        <w:t>osimertinib for first</w:t>
      </w:r>
      <w:r w:rsidR="003F447F">
        <w:t>-</w:t>
      </w:r>
      <w:r w:rsidR="002C03A5">
        <w:t xml:space="preserve">line treatment of </w:t>
      </w:r>
      <w:r w:rsidR="003F447F">
        <w:t xml:space="preserve">EGFRm </w:t>
      </w:r>
      <w:r w:rsidR="002C03A5">
        <w:t xml:space="preserve">NSCLC would need to be reduced by </w:t>
      </w:r>
      <w:r>
        <w:t>approximately $</w:t>
      </w:r>
      <w:r w:rsidR="00B27C72">
        <w:rPr>
          <w:noProof/>
          <w:color w:val="000000"/>
          <w:highlight w:val="black"/>
        </w:rPr>
        <w:t>''''''''''</w:t>
      </w:r>
      <w:r w:rsidR="002C03A5">
        <w:t>,</w:t>
      </w:r>
      <w:r>
        <w:t xml:space="preserve"> </w:t>
      </w:r>
      <w:r w:rsidR="002C03A5">
        <w:t xml:space="preserve">which was consistent with </w:t>
      </w:r>
      <w:r w:rsidR="002C03A5" w:rsidRPr="00C93348">
        <w:t>the revised rebate ($</w:t>
      </w:r>
      <w:r w:rsidR="00B27C72">
        <w:rPr>
          <w:noProof/>
          <w:color w:val="000000"/>
          <w:highlight w:val="black"/>
        </w:rPr>
        <w:t>''''''''''''''''</w:t>
      </w:r>
      <w:r w:rsidR="002C03A5" w:rsidRPr="00C93348">
        <w:t xml:space="preserve">) </w:t>
      </w:r>
      <w:r w:rsidR="00B27C72">
        <w:rPr>
          <w:noProof/>
          <w:color w:val="000000"/>
          <w:highlight w:val="black"/>
        </w:rPr>
        <w:t>''''' '''''''''''''''' ''''''''''''''''</w:t>
      </w:r>
      <w:r w:rsidR="002C03A5" w:rsidRPr="00C93348">
        <w:t xml:space="preserve"> offered in the sponsor’s pre-PBAC response</w:t>
      </w:r>
      <w:r>
        <w:t>.</w:t>
      </w:r>
      <w:r w:rsidR="003F447F">
        <w:t xml:space="preserve"> The PBAC noted that while the specific administration of rebates is a matter for Government, for osimertinib to be cost effective, the cost per patient which results in an ICER of below $</w:t>
      </w:r>
      <w:r w:rsidR="003E582B">
        <w:t>45,000/QALY - $75,000/QALY</w:t>
      </w:r>
      <w:r w:rsidR="003E582B" w:rsidDel="003E582B">
        <w:t xml:space="preserve"> </w:t>
      </w:r>
      <w:r w:rsidR="003F447F">
        <w:t>would need to be realised in a way which provided certainty that it is achieved in practice and will continue to be achieved in all future years of PBS listing.</w:t>
      </w:r>
      <w:r w:rsidR="003D27A3">
        <w:t xml:space="preserve"> </w:t>
      </w:r>
    </w:p>
    <w:p w:rsidR="0068455C" w:rsidRPr="00C93348" w:rsidRDefault="00C14FBD" w:rsidP="001D663D">
      <w:pPr>
        <w:pStyle w:val="3-BodyText"/>
      </w:pPr>
      <w:r w:rsidRPr="00C93348">
        <w:t xml:space="preserve">The PBAC noted the </w:t>
      </w:r>
      <w:r w:rsidRPr="00F04529">
        <w:t xml:space="preserve">economic and financial modelling applied a lower treatment cost per patient </w:t>
      </w:r>
      <w:r w:rsidR="00CA1F75" w:rsidRPr="00F04529">
        <w:t>(based on ~</w:t>
      </w:r>
      <w:r w:rsidR="00B27C72">
        <w:rPr>
          <w:noProof/>
          <w:color w:val="000000"/>
          <w:highlight w:val="black"/>
        </w:rPr>
        <w:t>'''''</w:t>
      </w:r>
      <w:r w:rsidR="00CA1F75" w:rsidRPr="00F04529">
        <w:t xml:space="preserve"> packs) compared to the treatment cost estimated using the time to treatment discontinuation modelling (based on ~</w:t>
      </w:r>
      <w:r w:rsidR="00B27C72">
        <w:rPr>
          <w:noProof/>
          <w:color w:val="000000"/>
          <w:highlight w:val="black"/>
        </w:rPr>
        <w:t>'''''</w:t>
      </w:r>
      <w:r w:rsidR="00CA1F75" w:rsidRPr="00F04529">
        <w:t xml:space="preserve"> packs) (paragraph 6.26). </w:t>
      </w:r>
      <w:r w:rsidR="000F7549" w:rsidRPr="00F04529">
        <w:t>The PBAC noted the lower treatment cost was proposed to be achieved</w:t>
      </w:r>
      <w:r w:rsidR="000F7549" w:rsidRPr="00C93348">
        <w:t xml:space="preserve"> through a RSA (</w:t>
      </w:r>
      <w:r w:rsidR="000F7549" w:rsidRPr="00B431C6">
        <w:t>paragraph 6.60).</w:t>
      </w:r>
      <w:r w:rsidR="000F7549" w:rsidRPr="00C93348">
        <w:t xml:space="preserve"> </w:t>
      </w:r>
      <w:r w:rsidR="00CA1F75" w:rsidRPr="00C93348">
        <w:t>The</w:t>
      </w:r>
      <w:r w:rsidR="000F7549" w:rsidRPr="00C93348">
        <w:t xml:space="preserve"> PBAC recalled it had</w:t>
      </w:r>
      <w:r w:rsidR="00CA1F75" w:rsidRPr="00C93348">
        <w:t xml:space="preserve"> previously considered </w:t>
      </w:r>
      <w:r w:rsidR="000F7549" w:rsidRPr="00C93348">
        <w:t xml:space="preserve">achieving a lower treatment cost per patient is dependent on meeting (or exceeding) the utilisation estimates that are used to calculate the subsidisation caps for the RSA (paragraph 7.11, Osimertinib PSD, July 2019 PBAC Meeting). </w:t>
      </w:r>
    </w:p>
    <w:p w:rsidR="00C4795A" w:rsidRPr="00C93348" w:rsidRDefault="009A49FB" w:rsidP="003E3DAA">
      <w:pPr>
        <w:pStyle w:val="3-BodyText"/>
      </w:pPr>
      <w:r w:rsidRPr="00C93348">
        <w:t xml:space="preserve">The PBAC noted the estimated number of patients expected to be treated with first-line osimertinib was based on the number of patients currently treated in the first-line setting with </w:t>
      </w:r>
      <w:r w:rsidR="00971629">
        <w:t>EGFR-</w:t>
      </w:r>
      <w:r w:rsidRPr="00C93348">
        <w:t>TKIs. The PBAC considered the market share approach used in the resubmission was more appropriate than the epidemiological approach used in the July 2019 submission and provided more certainty regarding the</w:t>
      </w:r>
      <w:r w:rsidR="005553EA" w:rsidRPr="00C93348">
        <w:t xml:space="preserve"> utilisation and hence</w:t>
      </w:r>
      <w:r w:rsidRPr="00C93348">
        <w:t xml:space="preserve"> financial estimates. </w:t>
      </w:r>
      <w:r w:rsidR="003E3DAA" w:rsidRPr="003E3DAA">
        <w:t>The PBAC considered the estimated number of patients tre</w:t>
      </w:r>
      <w:r w:rsidR="003E3DAA">
        <w:t>ated with first-line</w:t>
      </w:r>
      <w:r w:rsidR="003E3DAA" w:rsidRPr="003E3DAA">
        <w:t xml:space="preserve"> osimer</w:t>
      </w:r>
      <w:r w:rsidR="003E3DAA">
        <w:t>tinib, and the reduced use of second-line</w:t>
      </w:r>
      <w:r w:rsidR="003E3DAA" w:rsidRPr="003E3DAA">
        <w:t xml:space="preserve"> osimertinib, should be amended as outlined in </w:t>
      </w:r>
      <w:r w:rsidR="003E3DAA" w:rsidRPr="00F5143F">
        <w:t>paragraph 6.57.</w:t>
      </w:r>
      <w:r w:rsidR="003E3DAA" w:rsidRPr="00C93348" w:rsidDel="003E3DAA">
        <w:t xml:space="preserve"> </w:t>
      </w:r>
    </w:p>
    <w:p w:rsidR="001D663D" w:rsidRPr="00C93348" w:rsidRDefault="00E40FD0" w:rsidP="003E3DAA">
      <w:pPr>
        <w:pStyle w:val="3-BodyText"/>
      </w:pPr>
      <w:r w:rsidRPr="00C93348">
        <w:t>The PBAC</w:t>
      </w:r>
      <w:r w:rsidR="00C4795A" w:rsidRPr="00C93348">
        <w:t xml:space="preserve"> noted the significant number of </w:t>
      </w:r>
      <w:r w:rsidR="005A570E" w:rsidRPr="00C93348">
        <w:t xml:space="preserve">grandfathered </w:t>
      </w:r>
      <w:r w:rsidR="00C4795A" w:rsidRPr="00C93348">
        <w:t xml:space="preserve">patients </w:t>
      </w:r>
      <w:r w:rsidR="005A570E" w:rsidRPr="00C93348">
        <w:t>(</w:t>
      </w:r>
      <w:r w:rsidR="003E582B">
        <w:t>less than 10,000</w:t>
      </w:r>
      <w:r w:rsidR="005A570E" w:rsidRPr="00C93348">
        <w:t xml:space="preserve">) </w:t>
      </w:r>
      <w:r w:rsidR="00C4795A" w:rsidRPr="00C93348">
        <w:t>included in the financial estimates</w:t>
      </w:r>
      <w:r w:rsidR="005A570E" w:rsidRPr="00C93348">
        <w:t xml:space="preserve"> at a cost of </w:t>
      </w:r>
      <w:r w:rsidR="00B27C72">
        <w:rPr>
          <w:noProof/>
          <w:color w:val="000000"/>
          <w:highlight w:val="black"/>
        </w:rPr>
        <w:t>''''''''''</w:t>
      </w:r>
      <w:r w:rsidR="005A570E" w:rsidRPr="003D5755">
        <w:t xml:space="preserve"> packs (compared to </w:t>
      </w:r>
      <w:r w:rsidR="00B27C72">
        <w:rPr>
          <w:noProof/>
          <w:color w:val="000000"/>
          <w:highlight w:val="black"/>
        </w:rPr>
        <w:t xml:space="preserve">''''' </w:t>
      </w:r>
      <w:r w:rsidR="005A570E" w:rsidRPr="003D5755">
        <w:t>packs for incident patients)</w:t>
      </w:r>
      <w:r w:rsidR="00C4795A" w:rsidRPr="003D5755">
        <w:t>.</w:t>
      </w:r>
      <w:r w:rsidR="005A570E" w:rsidRPr="003D5755">
        <w:t xml:space="preserve"> The PBAC also noted the financial estimates assume</w:t>
      </w:r>
      <w:r w:rsidR="00A60DF7" w:rsidRPr="003D5755">
        <w:t>d</w:t>
      </w:r>
      <w:r w:rsidR="005A570E" w:rsidRPr="003D5755">
        <w:t xml:space="preserve"> </w:t>
      </w:r>
      <w:r w:rsidR="00A60DF7" w:rsidRPr="003D5755">
        <w:t xml:space="preserve">all </w:t>
      </w:r>
      <w:r w:rsidR="005A570E" w:rsidRPr="003D5755">
        <w:t xml:space="preserve">incident patients in Year 1 receive a full year of treatment </w:t>
      </w:r>
      <w:r w:rsidR="008369BA" w:rsidRPr="003D5755">
        <w:t>(</w:t>
      </w:r>
      <w:r w:rsidR="00B27C72">
        <w:rPr>
          <w:noProof/>
          <w:color w:val="000000"/>
          <w:highlight w:val="black"/>
        </w:rPr>
        <w:t>''''''''''</w:t>
      </w:r>
      <w:r w:rsidR="008369BA" w:rsidRPr="003D5755">
        <w:t xml:space="preserve"> packs) </w:t>
      </w:r>
      <w:r w:rsidR="005A570E" w:rsidRPr="003D5755">
        <w:t>which will overestimate the cost</w:t>
      </w:r>
      <w:r w:rsidR="008369BA" w:rsidRPr="003D5755">
        <w:t xml:space="preserve"> as patients will commence treatment throughout the</w:t>
      </w:r>
      <w:r w:rsidR="008369BA" w:rsidRPr="00C93348">
        <w:t xml:space="preserve"> year</w:t>
      </w:r>
      <w:r w:rsidR="00A60DF7" w:rsidRPr="00C93348">
        <w:t xml:space="preserve"> and, on average, will receive a lower number of packs</w:t>
      </w:r>
      <w:r w:rsidR="003E3DAA">
        <w:t xml:space="preserve">. The PBAC advised a </w:t>
      </w:r>
      <w:r w:rsidR="003E3DAA" w:rsidRPr="003E3DAA">
        <w:t>lower uptake rate should be applied in Year 1 to account for a lower number of prescriptions per patient.</w:t>
      </w:r>
    </w:p>
    <w:p w:rsidR="002B0142" w:rsidRPr="00C93348" w:rsidRDefault="00B712EF" w:rsidP="00405F5A">
      <w:pPr>
        <w:pStyle w:val="3-BodyText"/>
      </w:pPr>
      <w:r w:rsidRPr="00C93348">
        <w:t>The PBAC considered a</w:t>
      </w:r>
      <w:r w:rsidR="00405F5A" w:rsidRPr="00C93348">
        <w:t xml:space="preserve"> </w:t>
      </w:r>
      <w:r w:rsidRPr="00C93348">
        <w:t>RSA for osimertinib</w:t>
      </w:r>
      <w:r w:rsidR="00405F5A" w:rsidRPr="00C93348">
        <w:t xml:space="preserve"> would be required with subsidisation caps accounting for expenditure on first-line osimertinib</w:t>
      </w:r>
      <w:r w:rsidR="00754D36">
        <w:t xml:space="preserve"> </w:t>
      </w:r>
      <w:r w:rsidR="00405F5A" w:rsidRPr="00C93348">
        <w:t xml:space="preserve">and cost savings resulting from reduced utilisation of second-line osimertinib. The PBAC considered a </w:t>
      </w:r>
      <w:r w:rsidR="00B27C72">
        <w:rPr>
          <w:noProof/>
          <w:color w:val="000000"/>
          <w:highlight w:val="black"/>
        </w:rPr>
        <w:t>''''''''</w:t>
      </w:r>
      <w:r w:rsidR="00405F5A" w:rsidRPr="00C93348">
        <w:t xml:space="preserve">% rebate payable for Commonwealth expenditure over the caps was </w:t>
      </w:r>
      <w:r w:rsidR="00E10C5D" w:rsidRPr="00C93348">
        <w:t>appropriate</w:t>
      </w:r>
      <w:r w:rsidRPr="00C93348">
        <w:t xml:space="preserve">. </w:t>
      </w:r>
    </w:p>
    <w:p w:rsidR="009572E2" w:rsidRPr="00C93348" w:rsidRDefault="009572E2" w:rsidP="00A80684">
      <w:pPr>
        <w:pStyle w:val="3-BodyText"/>
      </w:pPr>
      <w:r w:rsidRPr="00C93348">
        <w:t xml:space="preserve">The PBAC noted that </w:t>
      </w:r>
      <w:r w:rsidR="00F74E9D">
        <w:t xml:space="preserve">supportive </w:t>
      </w:r>
      <w:r w:rsidRPr="00C93348">
        <w:t xml:space="preserve">advice from the Medical Services Advisory Committee was </w:t>
      </w:r>
      <w:r w:rsidR="00F74E9D">
        <w:t>foreshadowed</w:t>
      </w:r>
      <w:r w:rsidRPr="00C93348">
        <w:t xml:space="preserve"> to include osimertinib on the existing MBS Item 73337 for the purpose of assessing PBS eligibility for treatment</w:t>
      </w:r>
      <w:r w:rsidR="00F74E9D">
        <w:t>,</w:t>
      </w:r>
      <w:r w:rsidRPr="00C93348">
        <w:t xml:space="preserve"> and that this </w:t>
      </w:r>
      <w:r w:rsidR="00F74E9D">
        <w:t xml:space="preserve">amendment to the MBS listing would be </w:t>
      </w:r>
      <w:r w:rsidRPr="00C93348">
        <w:t xml:space="preserve">required </w:t>
      </w:r>
      <w:r w:rsidR="00F74E9D">
        <w:t xml:space="preserve">alongside the recommended </w:t>
      </w:r>
      <w:r w:rsidRPr="00C93348">
        <w:t xml:space="preserve">PBS listing. </w:t>
      </w:r>
    </w:p>
    <w:p w:rsidR="005F56D8" w:rsidRPr="00C93348" w:rsidRDefault="005F56D8" w:rsidP="00A80684">
      <w:pPr>
        <w:pStyle w:val="3-BodyText"/>
        <w:rPr>
          <w:i/>
        </w:rPr>
      </w:pPr>
      <w:r w:rsidRPr="00C93348">
        <w:t xml:space="preserve">The PBAC found that the criteria prescribed by the </w:t>
      </w:r>
      <w:r w:rsidRPr="00C93348">
        <w:rPr>
          <w:i/>
        </w:rPr>
        <w:t>National Health (Pharmaceuticals and Vaccines – Cost Recovery) Regulations 2009</w:t>
      </w:r>
      <w:r w:rsidRPr="00C93348">
        <w:t xml:space="preserve"> for Pricing Pathway A were not met. Specifically the PBAC found that in the circumstances of its recommendation for osimertinib: </w:t>
      </w:r>
    </w:p>
    <w:p w:rsidR="005F56D8" w:rsidRPr="00C93348" w:rsidRDefault="005F56D8" w:rsidP="008C3F6D">
      <w:pPr>
        <w:numPr>
          <w:ilvl w:val="0"/>
          <w:numId w:val="9"/>
        </w:numPr>
        <w:spacing w:after="120"/>
        <w:contextualSpacing/>
        <w:rPr>
          <w:rFonts w:asciiTheme="minorHAnsi" w:hAnsiTheme="minorHAnsi"/>
          <w:bCs/>
          <w:snapToGrid w:val="0"/>
        </w:rPr>
      </w:pPr>
      <w:r w:rsidRPr="00C93348">
        <w:rPr>
          <w:rFonts w:asciiTheme="minorHAnsi" w:hAnsiTheme="minorHAnsi"/>
          <w:bCs/>
          <w:snapToGrid w:val="0"/>
        </w:rPr>
        <w:t>Treatment with</w:t>
      </w:r>
      <w:r w:rsidR="004A0B30" w:rsidRPr="00C93348">
        <w:rPr>
          <w:rFonts w:asciiTheme="minorHAnsi" w:hAnsiTheme="minorHAnsi"/>
          <w:bCs/>
          <w:snapToGrid w:val="0"/>
        </w:rPr>
        <w:t xml:space="preserve"> </w:t>
      </w:r>
      <w:r w:rsidRPr="00C93348">
        <w:rPr>
          <w:rFonts w:asciiTheme="minorHAnsi" w:hAnsiTheme="minorHAnsi"/>
          <w:bCs/>
          <w:snapToGrid w:val="0"/>
        </w:rPr>
        <w:t>osimertinib is expected to provide a substantial and clinically relevant improvement in efficacy and reduction in toxicity over alternative therapies;</w:t>
      </w:r>
    </w:p>
    <w:p w:rsidR="005F56D8" w:rsidRPr="00C93348" w:rsidRDefault="005F56D8" w:rsidP="008C3F6D">
      <w:pPr>
        <w:numPr>
          <w:ilvl w:val="0"/>
          <w:numId w:val="9"/>
        </w:numPr>
        <w:spacing w:after="120"/>
        <w:contextualSpacing/>
        <w:rPr>
          <w:rFonts w:asciiTheme="minorHAnsi" w:hAnsiTheme="minorHAnsi"/>
          <w:bCs/>
          <w:snapToGrid w:val="0"/>
        </w:rPr>
      </w:pPr>
      <w:r w:rsidRPr="00C93348">
        <w:rPr>
          <w:rFonts w:asciiTheme="minorHAnsi" w:hAnsiTheme="minorHAnsi"/>
          <w:bCs/>
          <w:snapToGrid w:val="0"/>
        </w:rPr>
        <w:t>Treatment with osimertinib is not expected to address a high and urgent unmet clinical need because other subsidised therapies (including osimertinib in the second-line setting) are available;</w:t>
      </w:r>
    </w:p>
    <w:p w:rsidR="005F56D8" w:rsidRPr="00C93348" w:rsidRDefault="005F56D8" w:rsidP="008C3F6D">
      <w:pPr>
        <w:numPr>
          <w:ilvl w:val="0"/>
          <w:numId w:val="9"/>
        </w:numPr>
        <w:spacing w:after="120"/>
        <w:contextualSpacing/>
        <w:rPr>
          <w:rFonts w:asciiTheme="minorHAnsi" w:hAnsiTheme="minorHAnsi"/>
          <w:bCs/>
          <w:snapToGrid w:val="0"/>
        </w:rPr>
      </w:pPr>
      <w:r w:rsidRPr="00C93348">
        <w:rPr>
          <w:rFonts w:asciiTheme="minorHAnsi" w:hAnsiTheme="minorHAnsi"/>
          <w:bCs/>
          <w:snapToGrid w:val="0"/>
        </w:rPr>
        <w:t>It was not necessary to make a finding in relation to whether it would be in the public interest for the subsequent pricing application to be progressed under Pricing Pathway A because one or more of the preceding tests had failed.</w:t>
      </w:r>
    </w:p>
    <w:p w:rsidR="0091432E" w:rsidRPr="00AF4F7D" w:rsidRDefault="003A333F" w:rsidP="00AF4F7D">
      <w:pPr>
        <w:pStyle w:val="3-BodyText"/>
      </w:pPr>
      <w:r w:rsidRPr="00C93348">
        <w:t xml:space="preserve">The PBAC noted that this submission is not eligible for an Independent Review as it </w:t>
      </w:r>
      <w:r w:rsidR="008105B9" w:rsidRPr="00C93348">
        <w:t>was</w:t>
      </w:r>
      <w:r w:rsidRPr="00C93348">
        <w:t xml:space="preserve"> recommended for listing.</w:t>
      </w:r>
      <w:r w:rsidR="004A0B30" w:rsidRPr="00C93348">
        <w:t xml:space="preserve"> </w:t>
      </w:r>
    </w:p>
    <w:p w:rsidR="0026202D" w:rsidRPr="00C93348" w:rsidRDefault="0026202D">
      <w:pPr>
        <w:jc w:val="left"/>
        <w:rPr>
          <w:rFonts w:asciiTheme="minorHAnsi" w:hAnsiTheme="minorHAnsi"/>
          <w:b/>
          <w:snapToGrid w:val="0"/>
        </w:rPr>
      </w:pPr>
      <w:r w:rsidRPr="00C93348">
        <w:rPr>
          <w:rFonts w:asciiTheme="minorHAnsi" w:hAnsiTheme="minorHAnsi"/>
          <w:b/>
          <w:snapToGrid w:val="0"/>
        </w:rPr>
        <w:t>Outcome:</w:t>
      </w:r>
    </w:p>
    <w:p w:rsidR="003E4436" w:rsidRPr="00AF4F7D" w:rsidRDefault="0026202D">
      <w:pPr>
        <w:jc w:val="left"/>
        <w:rPr>
          <w:rFonts w:asciiTheme="minorHAnsi" w:hAnsiTheme="minorHAnsi"/>
          <w:snapToGrid w:val="0"/>
        </w:rPr>
      </w:pPr>
      <w:r w:rsidRPr="00C93348">
        <w:rPr>
          <w:rFonts w:asciiTheme="minorHAnsi" w:hAnsiTheme="minorHAnsi"/>
          <w:snapToGrid w:val="0"/>
        </w:rPr>
        <w:t>Recommended</w:t>
      </w:r>
      <w:r w:rsidR="008105B9" w:rsidRPr="00C93348">
        <w:rPr>
          <w:rFonts w:asciiTheme="minorHAnsi" w:hAnsiTheme="minorHAnsi"/>
          <w:snapToGrid w:val="0"/>
        </w:rPr>
        <w:t>.</w:t>
      </w:r>
    </w:p>
    <w:p w:rsidR="0026202D" w:rsidRPr="00C93348" w:rsidRDefault="0026202D" w:rsidP="0026202D">
      <w:pPr>
        <w:pStyle w:val="2-SectionHeading"/>
      </w:pPr>
      <w:r w:rsidRPr="00C93348">
        <w:t>Recommended listing</w:t>
      </w:r>
    </w:p>
    <w:p w:rsidR="0062451B" w:rsidRPr="00A80684" w:rsidRDefault="00CC2C14" w:rsidP="00AF4F7D">
      <w:pPr>
        <w:ind w:left="851" w:hanging="851"/>
      </w:pPr>
      <w:r w:rsidRPr="00A80684">
        <w:t>8.1</w:t>
      </w:r>
      <w:r w:rsidRPr="00A80684">
        <w:tab/>
      </w:r>
      <w:r w:rsidR="0062451B" w:rsidRPr="00A80684">
        <w:t xml:space="preserve">Add new first-line treatment listing </w:t>
      </w:r>
      <w:r w:rsidR="00997D37" w:rsidRPr="00A80684">
        <w:t xml:space="preserve">at the same time MBS item 73337 is updated, </w:t>
      </w:r>
      <w:r w:rsidR="0062451B" w:rsidRPr="00A80684">
        <w:t>as foll</w:t>
      </w:r>
      <w:r w:rsidR="00AF4F7D" w:rsidRPr="00A80684">
        <w:t>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6"/>
        <w:gridCol w:w="1288"/>
        <w:gridCol w:w="860"/>
        <w:gridCol w:w="859"/>
        <w:gridCol w:w="716"/>
        <w:gridCol w:w="2578"/>
      </w:tblGrid>
      <w:tr w:rsidR="0062451B" w:rsidRPr="00C93348" w:rsidTr="008D4AB1">
        <w:trPr>
          <w:cantSplit/>
          <w:trHeight w:val="471"/>
        </w:trPr>
        <w:tc>
          <w:tcPr>
            <w:tcW w:w="2716" w:type="dxa"/>
          </w:tcPr>
          <w:p w:rsidR="0062451B" w:rsidRPr="00C93348" w:rsidRDefault="0062451B" w:rsidP="0062451B">
            <w:pPr>
              <w:keepNext/>
              <w:ind w:left="-108"/>
              <w:rPr>
                <w:rFonts w:ascii="Arial Narrow" w:eastAsiaTheme="minorHAnsi" w:hAnsi="Arial Narrow"/>
                <w:b/>
                <w:sz w:val="18"/>
                <w:szCs w:val="18"/>
              </w:rPr>
            </w:pPr>
            <w:r w:rsidRPr="00C93348">
              <w:rPr>
                <w:rFonts w:ascii="Arial Narrow" w:eastAsiaTheme="minorHAnsi" w:hAnsi="Arial Narrow"/>
                <w:b/>
                <w:sz w:val="18"/>
                <w:szCs w:val="18"/>
              </w:rPr>
              <w:t>Name, Restriction,</w:t>
            </w:r>
          </w:p>
          <w:p w:rsidR="0062451B" w:rsidRPr="00C93348" w:rsidRDefault="0062451B" w:rsidP="0062451B">
            <w:pPr>
              <w:keepNext/>
              <w:ind w:left="-108"/>
              <w:rPr>
                <w:rFonts w:ascii="Arial Narrow" w:eastAsiaTheme="minorHAnsi" w:hAnsi="Arial Narrow"/>
                <w:b/>
                <w:sz w:val="18"/>
                <w:szCs w:val="18"/>
              </w:rPr>
            </w:pPr>
            <w:r w:rsidRPr="00C93348">
              <w:rPr>
                <w:rFonts w:ascii="Arial Narrow" w:eastAsiaTheme="minorHAnsi" w:hAnsi="Arial Narrow"/>
                <w:b/>
                <w:sz w:val="18"/>
                <w:szCs w:val="18"/>
              </w:rPr>
              <w:t>Manner of administration and form</w:t>
            </w:r>
          </w:p>
        </w:tc>
        <w:tc>
          <w:tcPr>
            <w:tcW w:w="1288" w:type="dxa"/>
          </w:tcPr>
          <w:p w:rsidR="0062451B" w:rsidRPr="00C93348" w:rsidRDefault="0062451B" w:rsidP="0062451B">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PBS item code</w:t>
            </w:r>
          </w:p>
        </w:tc>
        <w:tc>
          <w:tcPr>
            <w:tcW w:w="860" w:type="dxa"/>
          </w:tcPr>
          <w:p w:rsidR="0062451B" w:rsidRPr="00C93348" w:rsidRDefault="0062451B" w:rsidP="0062451B">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Max. qty packs</w:t>
            </w:r>
          </w:p>
        </w:tc>
        <w:tc>
          <w:tcPr>
            <w:tcW w:w="859" w:type="dxa"/>
          </w:tcPr>
          <w:p w:rsidR="0062451B" w:rsidRPr="00C93348" w:rsidRDefault="0062451B" w:rsidP="0062451B">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Max. qty units</w:t>
            </w:r>
          </w:p>
        </w:tc>
        <w:tc>
          <w:tcPr>
            <w:tcW w:w="716" w:type="dxa"/>
          </w:tcPr>
          <w:p w:rsidR="0062451B" w:rsidRPr="00C93348" w:rsidRDefault="0062451B" w:rsidP="0062451B">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№.of</w:t>
            </w:r>
          </w:p>
          <w:p w:rsidR="0062451B" w:rsidRPr="00C93348" w:rsidRDefault="0062451B" w:rsidP="0062451B">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Rpts</w:t>
            </w:r>
          </w:p>
        </w:tc>
        <w:tc>
          <w:tcPr>
            <w:tcW w:w="2578" w:type="dxa"/>
          </w:tcPr>
          <w:p w:rsidR="0062451B" w:rsidRPr="00C93348" w:rsidRDefault="008D4AB1" w:rsidP="0062451B">
            <w:pPr>
              <w:keepNext/>
              <w:jc w:val="left"/>
              <w:rPr>
                <w:rFonts w:ascii="Arial Narrow" w:eastAsiaTheme="minorHAnsi" w:hAnsi="Arial Narrow"/>
                <w:b/>
                <w:sz w:val="18"/>
                <w:szCs w:val="18"/>
              </w:rPr>
            </w:pPr>
            <w:r>
              <w:rPr>
                <w:rFonts w:ascii="Arial Narrow" w:eastAsiaTheme="minorHAnsi" w:hAnsi="Arial Narrow"/>
                <w:b/>
                <w:sz w:val="18"/>
                <w:szCs w:val="18"/>
              </w:rPr>
              <w:t>Available brands</w:t>
            </w:r>
          </w:p>
        </w:tc>
      </w:tr>
      <w:tr w:rsidR="008D4AB1" w:rsidRPr="00C93348" w:rsidTr="00AF4F7D">
        <w:trPr>
          <w:cantSplit/>
          <w:trHeight w:val="439"/>
        </w:trPr>
        <w:tc>
          <w:tcPr>
            <w:tcW w:w="2716" w:type="dxa"/>
          </w:tcPr>
          <w:p w:rsidR="008D4AB1" w:rsidRPr="00C93348" w:rsidRDefault="00AF4F7D" w:rsidP="00AF4F7D">
            <w:pPr>
              <w:keepNext/>
              <w:ind w:left="-108"/>
              <w:jc w:val="left"/>
              <w:rPr>
                <w:rFonts w:ascii="Arial Narrow" w:eastAsiaTheme="minorHAnsi" w:hAnsi="Arial Narrow"/>
                <w:sz w:val="18"/>
                <w:szCs w:val="18"/>
              </w:rPr>
            </w:pPr>
            <w:r>
              <w:rPr>
                <w:rFonts w:ascii="Arial Narrow" w:eastAsiaTheme="minorHAnsi" w:hAnsi="Arial Narrow"/>
                <w:sz w:val="18"/>
                <w:szCs w:val="18"/>
              </w:rPr>
              <w:t>OSIMERTINIB</w:t>
            </w:r>
          </w:p>
          <w:p w:rsidR="008D4AB1" w:rsidRPr="00C93348" w:rsidRDefault="008D4AB1" w:rsidP="0062451B">
            <w:pPr>
              <w:keepNext/>
              <w:ind w:left="-108"/>
              <w:rPr>
                <w:rFonts w:ascii="Arial Narrow" w:eastAsiaTheme="minorHAnsi" w:hAnsi="Arial Narrow"/>
                <w:sz w:val="18"/>
                <w:szCs w:val="18"/>
              </w:rPr>
            </w:pPr>
            <w:r w:rsidRPr="00C93348">
              <w:rPr>
                <w:rFonts w:ascii="Arial Narrow" w:eastAsiaTheme="minorHAnsi" w:hAnsi="Arial Narrow"/>
                <w:sz w:val="18"/>
                <w:szCs w:val="18"/>
              </w:rPr>
              <w:t>osimertinib 80 mg tablet, 30</w:t>
            </w:r>
          </w:p>
        </w:tc>
        <w:tc>
          <w:tcPr>
            <w:tcW w:w="1288" w:type="dxa"/>
          </w:tcPr>
          <w:p w:rsidR="008D4AB1" w:rsidRPr="00C93348" w:rsidRDefault="008D4AB1" w:rsidP="00AF4F7D">
            <w:pPr>
              <w:keepNext/>
              <w:rPr>
                <w:rFonts w:ascii="Arial Narrow" w:eastAsiaTheme="minorHAnsi" w:hAnsi="Arial Narrow"/>
                <w:sz w:val="18"/>
                <w:szCs w:val="18"/>
              </w:rPr>
            </w:pPr>
          </w:p>
          <w:p w:rsidR="008D4AB1" w:rsidRPr="00C93348" w:rsidRDefault="008D4AB1" w:rsidP="0062451B">
            <w:pPr>
              <w:keepNext/>
              <w:ind w:left="-108"/>
              <w:jc w:val="center"/>
              <w:rPr>
                <w:rFonts w:ascii="Arial Narrow" w:eastAsiaTheme="minorHAnsi" w:hAnsi="Arial Narrow"/>
                <w:sz w:val="18"/>
                <w:szCs w:val="18"/>
              </w:rPr>
            </w:pPr>
            <w:r w:rsidRPr="00C93348">
              <w:rPr>
                <w:rFonts w:ascii="Arial Narrow" w:eastAsiaTheme="minorHAnsi" w:hAnsi="Arial Narrow"/>
                <w:sz w:val="18"/>
                <w:szCs w:val="18"/>
              </w:rPr>
              <w:t>11622Q</w:t>
            </w:r>
          </w:p>
        </w:tc>
        <w:tc>
          <w:tcPr>
            <w:tcW w:w="860" w:type="dxa"/>
          </w:tcPr>
          <w:p w:rsidR="008D4AB1" w:rsidRPr="00C93348" w:rsidRDefault="008D4AB1" w:rsidP="00AF4F7D">
            <w:pPr>
              <w:keepNext/>
              <w:rPr>
                <w:rFonts w:ascii="Arial Narrow" w:eastAsiaTheme="minorHAnsi" w:hAnsi="Arial Narrow"/>
                <w:sz w:val="18"/>
                <w:szCs w:val="18"/>
              </w:rPr>
            </w:pPr>
          </w:p>
          <w:p w:rsidR="008D4AB1" w:rsidRPr="00C93348" w:rsidRDefault="008D4AB1" w:rsidP="0062451B">
            <w:pPr>
              <w:keepNext/>
              <w:jc w:val="center"/>
              <w:rPr>
                <w:rFonts w:ascii="Arial Narrow" w:eastAsiaTheme="minorHAnsi" w:hAnsi="Arial Narrow"/>
                <w:sz w:val="18"/>
                <w:szCs w:val="18"/>
              </w:rPr>
            </w:pPr>
            <w:r w:rsidRPr="00C93348">
              <w:rPr>
                <w:rFonts w:ascii="Arial Narrow" w:eastAsiaTheme="minorHAnsi" w:hAnsi="Arial Narrow"/>
                <w:sz w:val="18"/>
                <w:szCs w:val="18"/>
              </w:rPr>
              <w:t>1</w:t>
            </w:r>
          </w:p>
        </w:tc>
        <w:tc>
          <w:tcPr>
            <w:tcW w:w="859" w:type="dxa"/>
          </w:tcPr>
          <w:p w:rsidR="008D4AB1" w:rsidRPr="00C93348" w:rsidRDefault="008D4AB1" w:rsidP="0062451B">
            <w:pPr>
              <w:keepNext/>
              <w:jc w:val="left"/>
              <w:rPr>
                <w:rFonts w:ascii="Arial Narrow" w:eastAsiaTheme="minorHAnsi" w:hAnsi="Arial Narrow"/>
                <w:sz w:val="18"/>
                <w:szCs w:val="18"/>
              </w:rPr>
            </w:pPr>
          </w:p>
          <w:p w:rsidR="008D4AB1" w:rsidRPr="00C93348" w:rsidRDefault="008D4AB1" w:rsidP="0062451B">
            <w:pPr>
              <w:keepNext/>
              <w:ind w:left="-108"/>
              <w:jc w:val="center"/>
              <w:rPr>
                <w:rFonts w:ascii="Arial Narrow" w:eastAsiaTheme="minorHAnsi" w:hAnsi="Arial Narrow"/>
                <w:sz w:val="18"/>
                <w:szCs w:val="18"/>
              </w:rPr>
            </w:pPr>
            <w:r w:rsidRPr="00C93348">
              <w:rPr>
                <w:rFonts w:ascii="Arial Narrow" w:eastAsiaTheme="minorHAnsi" w:hAnsi="Arial Narrow"/>
                <w:sz w:val="18"/>
                <w:szCs w:val="18"/>
              </w:rPr>
              <w:t>30</w:t>
            </w:r>
          </w:p>
        </w:tc>
        <w:tc>
          <w:tcPr>
            <w:tcW w:w="716" w:type="dxa"/>
          </w:tcPr>
          <w:p w:rsidR="008D4AB1" w:rsidRPr="00C93348" w:rsidRDefault="008D4AB1" w:rsidP="0062451B">
            <w:pPr>
              <w:keepNext/>
              <w:ind w:left="-108"/>
              <w:jc w:val="center"/>
              <w:rPr>
                <w:rFonts w:ascii="Arial Narrow" w:eastAsiaTheme="minorHAnsi" w:hAnsi="Arial Narrow"/>
                <w:sz w:val="18"/>
                <w:szCs w:val="18"/>
              </w:rPr>
            </w:pPr>
          </w:p>
          <w:p w:rsidR="008D4AB1" w:rsidRPr="00C93348" w:rsidRDefault="00AF4F7D" w:rsidP="00AF4F7D">
            <w:pPr>
              <w:keepNext/>
              <w:ind w:left="-108"/>
              <w:jc w:val="center"/>
              <w:rPr>
                <w:rFonts w:ascii="Arial Narrow" w:eastAsiaTheme="minorHAnsi" w:hAnsi="Arial Narrow"/>
                <w:sz w:val="18"/>
                <w:szCs w:val="18"/>
              </w:rPr>
            </w:pPr>
            <w:r>
              <w:rPr>
                <w:rFonts w:ascii="Arial Narrow" w:eastAsiaTheme="minorHAnsi" w:hAnsi="Arial Narrow"/>
                <w:sz w:val="18"/>
                <w:szCs w:val="18"/>
              </w:rPr>
              <w:t>5</w:t>
            </w:r>
          </w:p>
        </w:tc>
        <w:tc>
          <w:tcPr>
            <w:tcW w:w="2578" w:type="dxa"/>
          </w:tcPr>
          <w:p w:rsidR="008D4AB1" w:rsidRPr="00C93348" w:rsidRDefault="008D4AB1" w:rsidP="0062451B">
            <w:pPr>
              <w:keepNext/>
              <w:rPr>
                <w:rFonts w:ascii="Arial Narrow" w:eastAsiaTheme="minorHAnsi" w:hAnsi="Arial Narrow"/>
                <w:sz w:val="18"/>
                <w:szCs w:val="18"/>
              </w:rPr>
            </w:pPr>
          </w:p>
          <w:p w:rsidR="008D4AB1" w:rsidRPr="00C93348" w:rsidRDefault="008D4AB1" w:rsidP="008D4AB1">
            <w:pPr>
              <w:keepNext/>
              <w:rPr>
                <w:rFonts w:ascii="Arial Narrow" w:eastAsiaTheme="minorHAnsi" w:hAnsi="Arial Narrow"/>
                <w:sz w:val="18"/>
                <w:szCs w:val="18"/>
              </w:rPr>
            </w:pPr>
            <w:r w:rsidRPr="00C93348">
              <w:rPr>
                <w:rFonts w:ascii="Arial Narrow" w:eastAsiaTheme="minorHAnsi" w:hAnsi="Arial Narrow"/>
                <w:sz w:val="18"/>
                <w:szCs w:val="18"/>
              </w:rPr>
              <w:t>Tagrisso</w:t>
            </w:r>
          </w:p>
        </w:tc>
      </w:tr>
    </w:tbl>
    <w:p w:rsidR="0062451B" w:rsidRPr="00C93348" w:rsidRDefault="0062451B" w:rsidP="0062451B">
      <w:pPr>
        <w:rPr>
          <w:rFonts w:ascii="Arial Narrow" w:hAnsi="Arial Narrow"/>
          <w:b/>
          <w:sz w:val="18"/>
          <w:szCs w:val="18"/>
        </w:rPr>
      </w:pPr>
    </w:p>
    <w:p w:rsidR="00B85453" w:rsidRDefault="00632778" w:rsidP="0062451B">
      <w:r w:rsidRPr="00C93348">
        <w:rPr>
          <w:rFonts w:ascii="Arial Narrow" w:hAnsi="Arial Narrow"/>
          <w:b/>
          <w:sz w:val="18"/>
          <w:szCs w:val="18"/>
        </w:rPr>
        <w:t>Initial first-line Restriction Summary [NEW] / ToC: [New]:</w:t>
      </w:r>
    </w:p>
    <w:tbl>
      <w:tblPr>
        <w:tblStyle w:val="TableGrid"/>
        <w:tblW w:w="5000" w:type="pct"/>
        <w:tblLayout w:type="fixed"/>
        <w:tblLook w:val="04A0" w:firstRow="1" w:lastRow="0" w:firstColumn="1" w:lastColumn="0" w:noHBand="0" w:noVBand="1"/>
      </w:tblPr>
      <w:tblGrid>
        <w:gridCol w:w="1129"/>
        <w:gridCol w:w="7888"/>
      </w:tblGrid>
      <w:tr w:rsidR="00632778" w:rsidRPr="00997D37" w:rsidTr="00B85453">
        <w:tc>
          <w:tcPr>
            <w:tcW w:w="626" w:type="pct"/>
            <w:vMerge w:val="restart"/>
          </w:tcPr>
          <w:p w:rsidR="00632778" w:rsidRPr="00997D37" w:rsidRDefault="00632778" w:rsidP="00B85453">
            <w:pPr>
              <w:jc w:val="center"/>
              <w:rPr>
                <w:rFonts w:ascii="Arial Narrow" w:hAnsi="Arial Narrow"/>
                <w:b/>
                <w:bCs/>
                <w:sz w:val="18"/>
                <w:szCs w:val="18"/>
              </w:rPr>
            </w:pPr>
            <w:r w:rsidRPr="00997D37">
              <w:rPr>
                <w:rFonts w:ascii="Arial Narrow" w:hAnsi="Arial Narrow"/>
                <w:b/>
                <w:bCs/>
                <w:sz w:val="18"/>
                <w:szCs w:val="18"/>
              </w:rPr>
              <w:t>Concept Id:</w:t>
            </w:r>
          </w:p>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(for internal Dept. use)</w:t>
            </w: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 xml:space="preserve">Category / Program: </w:t>
            </w:r>
            <w:r w:rsidRPr="00997D37">
              <w:rPr>
                <w:rFonts w:ascii="Arial Narrow" w:hAnsi="Arial Narrow"/>
                <w:bCs/>
                <w:sz w:val="18"/>
                <w:szCs w:val="18"/>
              </w:rPr>
              <w:t>Section 85 – General Schedule – Code (GE)</w:t>
            </w:r>
          </w:p>
        </w:tc>
      </w:tr>
      <w:tr w:rsidR="00632778" w:rsidRPr="00997D37" w:rsidTr="00B85453">
        <w:tc>
          <w:tcPr>
            <w:tcW w:w="626" w:type="pct"/>
            <w:vMerge/>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
                <w:bCs/>
                <w:sz w:val="18"/>
                <w:szCs w:val="18"/>
              </w:rPr>
              <w:t>Prescriber type:</w:t>
            </w:r>
            <w:r w:rsidRPr="00997D37">
              <w:rPr>
                <w:rFonts w:ascii="Arial Narrow" w:hAnsi="Arial Narrow"/>
                <w:bCs/>
                <w:sz w:val="18"/>
                <w:szCs w:val="18"/>
              </w:rPr>
              <w:t xml:space="preserve"> </w:t>
            </w:r>
            <w:r w:rsidRPr="00997D37">
              <w:rPr>
                <w:rFonts w:ascii="Arial Narrow" w:hAnsi="Arial Narrow"/>
                <w:bCs/>
                <w:sz w:val="18"/>
                <w:szCs w:val="18"/>
              </w:rPr>
              <w:fldChar w:fldCharType="begin">
                <w:ffData>
                  <w:name w:val="Check1"/>
                  <w:enabled/>
                  <w:calcOnExit w:val="0"/>
                  <w:checkBox>
                    <w:sizeAuto/>
                    <w:default w:val="1"/>
                  </w:checkBox>
                </w:ffData>
              </w:fldChar>
            </w:r>
            <w:r w:rsidRPr="00997D37">
              <w:rPr>
                <w:rFonts w:ascii="Arial Narrow" w:hAnsi="Arial Narrow"/>
                <w:bCs/>
                <w:sz w:val="18"/>
                <w:szCs w:val="18"/>
              </w:rPr>
              <w:instrText xml:space="preserve"> FORMCHECKBOX </w:instrText>
            </w:r>
            <w:r w:rsidR="00646896">
              <w:rPr>
                <w:rFonts w:ascii="Arial Narrow" w:hAnsi="Arial Narrow"/>
                <w:bCs/>
                <w:sz w:val="18"/>
                <w:szCs w:val="18"/>
              </w:rPr>
            </w:r>
            <w:r w:rsidR="00646896">
              <w:rPr>
                <w:rFonts w:ascii="Arial Narrow" w:hAnsi="Arial Narrow"/>
                <w:bCs/>
                <w:sz w:val="18"/>
                <w:szCs w:val="18"/>
              </w:rPr>
              <w:fldChar w:fldCharType="separate"/>
            </w:r>
            <w:r w:rsidRPr="00997D37">
              <w:rPr>
                <w:rFonts w:ascii="Arial Narrow" w:hAnsi="Arial Narrow"/>
                <w:sz w:val="18"/>
                <w:szCs w:val="18"/>
              </w:rPr>
              <w:fldChar w:fldCharType="end"/>
            </w:r>
            <w:r w:rsidRPr="00997D37">
              <w:rPr>
                <w:rFonts w:ascii="Arial Narrow" w:hAnsi="Arial Narrow"/>
                <w:bCs/>
                <w:sz w:val="18"/>
                <w:szCs w:val="18"/>
              </w:rPr>
              <w:t xml:space="preserve"> Medical Practitioners </w:t>
            </w:r>
          </w:p>
        </w:tc>
      </w:tr>
      <w:tr w:rsidR="00632778" w:rsidRPr="00997D37" w:rsidTr="00B85453">
        <w:tc>
          <w:tcPr>
            <w:tcW w:w="626" w:type="pct"/>
            <w:vMerge/>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
                <w:sz w:val="18"/>
                <w:szCs w:val="18"/>
              </w:rPr>
            </w:pPr>
            <w:r w:rsidRPr="00997D37">
              <w:rPr>
                <w:rFonts w:ascii="Arial Narrow" w:hAnsi="Arial Narrow"/>
                <w:b/>
                <w:sz w:val="18"/>
                <w:szCs w:val="18"/>
              </w:rPr>
              <w:t xml:space="preserve">Restriction Type / Method: </w:t>
            </w:r>
            <w:r w:rsidRPr="00997D37">
              <w:rPr>
                <w:rFonts w:ascii="Arial Narrow" w:hAnsi="Arial Narrow"/>
                <w:sz w:val="18"/>
                <w:szCs w:val="18"/>
              </w:rPr>
              <w:fldChar w:fldCharType="begin">
                <w:ffData>
                  <w:name w:val="Check3"/>
                  <w:enabled/>
                  <w:calcOnExit w:val="0"/>
                  <w:checkBox>
                    <w:sizeAuto/>
                    <w:default w:val="1"/>
                  </w:checkBox>
                </w:ffData>
              </w:fldChar>
            </w:r>
            <w:bookmarkStart w:id="65" w:name="Check3"/>
            <w:r w:rsidRPr="00997D37">
              <w:rPr>
                <w:rFonts w:ascii="Arial Narrow" w:hAnsi="Arial Narrow"/>
                <w:sz w:val="18"/>
                <w:szCs w:val="18"/>
              </w:rPr>
              <w:instrText xml:space="preserve"> FORMCHECKBOX </w:instrText>
            </w:r>
            <w:r w:rsidR="00646896">
              <w:rPr>
                <w:rFonts w:ascii="Arial Narrow" w:hAnsi="Arial Narrow"/>
                <w:sz w:val="18"/>
                <w:szCs w:val="18"/>
              </w:rPr>
            </w:r>
            <w:r w:rsidR="00646896">
              <w:rPr>
                <w:rFonts w:ascii="Arial Narrow" w:hAnsi="Arial Narrow"/>
                <w:sz w:val="18"/>
                <w:szCs w:val="18"/>
              </w:rPr>
              <w:fldChar w:fldCharType="separate"/>
            </w:r>
            <w:r w:rsidRPr="00997D37">
              <w:rPr>
                <w:rFonts w:ascii="Arial Narrow" w:hAnsi="Arial Narrow"/>
                <w:sz w:val="18"/>
                <w:szCs w:val="18"/>
              </w:rPr>
              <w:fldChar w:fldCharType="end"/>
            </w:r>
            <w:bookmarkEnd w:id="65"/>
            <w:r w:rsidRPr="00997D37">
              <w:rPr>
                <w:rFonts w:ascii="Arial Narrow" w:hAnsi="Arial Narrow"/>
                <w:sz w:val="18"/>
                <w:szCs w:val="18"/>
              </w:rPr>
              <w:t xml:space="preserve">Authority Required – immediate/real time assessment by </w:t>
            </w:r>
            <w:r w:rsidR="007C4836">
              <w:rPr>
                <w:rFonts w:ascii="Arial Narrow" w:hAnsi="Arial Narrow"/>
                <w:sz w:val="18"/>
                <w:szCs w:val="18"/>
              </w:rPr>
              <w:t xml:space="preserve">Services Australia </w:t>
            </w:r>
            <w:r w:rsidRPr="00997D37">
              <w:rPr>
                <w:rFonts w:ascii="Arial Narrow" w:hAnsi="Arial Narrow"/>
                <w:sz w:val="18"/>
                <w:szCs w:val="18"/>
              </w:rPr>
              <w:t>(telephone/online/emergency)</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9828</w:t>
            </w: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PBS indication</w:t>
            </w:r>
            <w:r w:rsidRPr="00997D37">
              <w:rPr>
                <w:rFonts w:ascii="Arial Narrow" w:hAnsi="Arial Narrow"/>
                <w:b/>
                <w:bCs/>
                <w:i/>
                <w:sz w:val="18"/>
                <w:szCs w:val="18"/>
              </w:rPr>
              <w:t>:</w:t>
            </w:r>
            <w:r w:rsidRPr="00997D37">
              <w:rPr>
                <w:rFonts w:ascii="Arial Narrow" w:hAnsi="Arial Narrow"/>
                <w:bCs/>
                <w:i/>
                <w:sz w:val="18"/>
                <w:szCs w:val="18"/>
              </w:rPr>
              <w:t xml:space="preserve"> </w:t>
            </w:r>
            <w:r w:rsidRPr="00997D37">
              <w:rPr>
                <w:rFonts w:ascii="Arial Narrow" w:hAnsi="Arial Narrow"/>
                <w:bCs/>
                <w:sz w:val="18"/>
                <w:szCs w:val="18"/>
              </w:rPr>
              <w:t>Stage IIIB (locally advanced) or Stage IV (metastatic) non-small cell lung cancer (NSCLC)</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
                <w:bCs/>
                <w:i/>
                <w:sz w:val="18"/>
                <w:szCs w:val="18"/>
              </w:rPr>
            </w:pPr>
            <w:r w:rsidRPr="00997D37">
              <w:rPr>
                <w:rFonts w:ascii="Arial Narrow" w:hAnsi="Arial Narrow"/>
                <w:b/>
                <w:bCs/>
                <w:sz w:val="18"/>
                <w:szCs w:val="18"/>
              </w:rPr>
              <w:t>Treatment phase:</w:t>
            </w:r>
            <w:r w:rsidRPr="00997D37">
              <w:rPr>
                <w:rFonts w:ascii="Arial Narrow" w:hAnsi="Arial Narrow"/>
                <w:bCs/>
                <w:sz w:val="18"/>
                <w:szCs w:val="18"/>
              </w:rPr>
              <w:t xml:space="preserve"> Initial treatment </w:t>
            </w:r>
            <w:r w:rsidR="00A97E7B" w:rsidRPr="00BF4348">
              <w:rPr>
                <w:rFonts w:ascii="Arial Narrow" w:hAnsi="Arial Narrow"/>
                <w:bCs/>
                <w:sz w:val="18"/>
                <w:szCs w:val="18"/>
              </w:rPr>
              <w:t>as</w:t>
            </w:r>
            <w:r w:rsidR="00A97E7B">
              <w:rPr>
                <w:rFonts w:ascii="Arial Narrow" w:hAnsi="Arial Narrow"/>
                <w:bCs/>
                <w:sz w:val="18"/>
                <w:szCs w:val="18"/>
              </w:rPr>
              <w:t xml:space="preserve"> </w:t>
            </w:r>
            <w:r w:rsidRPr="00997D37">
              <w:rPr>
                <w:rFonts w:ascii="Arial Narrow" w:hAnsi="Arial Narrow"/>
                <w:bCs/>
                <w:sz w:val="18"/>
                <w:szCs w:val="18"/>
              </w:rPr>
              <w:t xml:space="preserve">first-line </w:t>
            </w:r>
            <w:r w:rsidR="00971629" w:rsidRPr="00997D37">
              <w:rPr>
                <w:rFonts w:ascii="Arial Narrow" w:hAnsi="Arial Narrow"/>
                <w:bCs/>
                <w:sz w:val="18"/>
                <w:szCs w:val="18"/>
              </w:rPr>
              <w:t xml:space="preserve">epidermal growth factor receptor </w:t>
            </w:r>
            <w:r w:rsidRPr="00997D37">
              <w:rPr>
                <w:rFonts w:ascii="Arial Narrow" w:hAnsi="Arial Narrow"/>
                <w:bCs/>
                <w:sz w:val="18"/>
                <w:szCs w:val="18"/>
              </w:rPr>
              <w:t>tyrosine kinase inhibitor therapy</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7890</w:t>
            </w:r>
          </w:p>
        </w:tc>
        <w:tc>
          <w:tcPr>
            <w:tcW w:w="4374" w:type="pct"/>
          </w:tcPr>
          <w:p w:rsidR="00632778" w:rsidRPr="00997D37" w:rsidDel="00BB344B" w:rsidRDefault="00632778" w:rsidP="00B85453">
            <w:pPr>
              <w:rPr>
                <w:rFonts w:ascii="Arial Narrow" w:hAnsi="Arial Narrow"/>
                <w:b/>
                <w:bCs/>
                <w:sz w:val="18"/>
                <w:szCs w:val="18"/>
              </w:rPr>
            </w:pPr>
            <w:r w:rsidRPr="00997D37">
              <w:rPr>
                <w:rFonts w:ascii="Arial Narrow" w:hAnsi="Arial Narrow"/>
                <w:b/>
                <w:bCs/>
                <w:sz w:val="18"/>
                <w:szCs w:val="18"/>
              </w:rPr>
              <w:t>Clinical criteria:</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7889</w:t>
            </w:r>
          </w:p>
        </w:tc>
        <w:tc>
          <w:tcPr>
            <w:tcW w:w="4374" w:type="pct"/>
          </w:tcPr>
          <w:p w:rsidR="00632778" w:rsidRPr="00997D37" w:rsidDel="00BB344B" w:rsidRDefault="00632778" w:rsidP="00B85453">
            <w:pPr>
              <w:rPr>
                <w:rFonts w:ascii="Arial Narrow" w:hAnsi="Arial Narrow"/>
                <w:bCs/>
                <w:sz w:val="18"/>
                <w:szCs w:val="18"/>
              </w:rPr>
            </w:pPr>
            <w:r w:rsidRPr="00997D37">
              <w:rPr>
                <w:rFonts w:ascii="Arial Narrow" w:hAnsi="Arial Narrow"/>
                <w:bCs/>
                <w:sz w:val="18"/>
                <w:szCs w:val="18"/>
              </w:rPr>
              <w:t>The treatment must be the sole PBS-subsidised therapy for this condition</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AND</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7601</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Cs/>
                <w:sz w:val="18"/>
                <w:szCs w:val="18"/>
              </w:rPr>
              <w:t>Patient must have a WHO performance status of 2 or less</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AND</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14392</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Cs/>
                <w:sz w:val="18"/>
                <w:szCs w:val="18"/>
              </w:rPr>
              <w:t>Patient must not have previously received PBS-subsidised treatment with this drug for this condition</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AND</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9831</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Cs/>
                <w:sz w:val="18"/>
                <w:szCs w:val="18"/>
              </w:rPr>
              <w:t>Patient must not have received previous PBS-subsidised treatment with another epidermal growth factor receptor (EGFR) tyrosine kinase inhibitor (TKI); OR</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9832</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Cs/>
                <w:sz w:val="18"/>
                <w:szCs w:val="18"/>
              </w:rPr>
              <w:t>Patient must have developed intolerance to another epidermal growth factor receptor (EGFR) tyrosine kinase inhibitor (TKI) of a severity necessitating permanent treatment withdrawal</w:t>
            </w:r>
          </w:p>
        </w:tc>
      </w:tr>
      <w:tr w:rsidR="00632778" w:rsidRPr="00997D37" w:rsidTr="00B85453">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9836</w:t>
            </w:r>
          </w:p>
        </w:tc>
        <w:tc>
          <w:tcPr>
            <w:tcW w:w="4374" w:type="pct"/>
          </w:tcPr>
          <w:p w:rsidR="00632778" w:rsidRPr="00997D37" w:rsidRDefault="00632778" w:rsidP="00B85453">
            <w:pPr>
              <w:rPr>
                <w:rFonts w:ascii="Arial Narrow" w:hAnsi="Arial Narrow"/>
                <w:b/>
                <w:bCs/>
                <w:sz w:val="18"/>
                <w:szCs w:val="18"/>
              </w:rPr>
            </w:pPr>
            <w:r w:rsidRPr="00997D37">
              <w:rPr>
                <w:rFonts w:ascii="Arial Narrow" w:hAnsi="Arial Narrow"/>
                <w:b/>
                <w:bCs/>
                <w:sz w:val="18"/>
                <w:szCs w:val="18"/>
              </w:rPr>
              <w:t>Population criteria:</w:t>
            </w:r>
          </w:p>
        </w:tc>
      </w:tr>
      <w:tr w:rsidR="00632778" w:rsidRPr="00997D37" w:rsidTr="00B85453">
        <w:trPr>
          <w:trHeight w:val="377"/>
        </w:trPr>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Edit</w:t>
            </w:r>
          </w:p>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9835 (flow-on change to all)</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Cs/>
                <w:sz w:val="18"/>
                <w:szCs w:val="18"/>
              </w:rPr>
              <w:t xml:space="preserve">Patient must have evidence in tumour material of an activating epidermal growth factor receptor (EGFR) gene mutation known to confer sensitivity to treatment with EGFR tyrosine kinase inhibitors </w:t>
            </w:r>
          </w:p>
          <w:p w:rsidR="00632778" w:rsidRPr="00997D37" w:rsidRDefault="00632778" w:rsidP="00B85453">
            <w:pPr>
              <w:rPr>
                <w:rFonts w:ascii="Arial Narrow" w:hAnsi="Arial Narrow"/>
                <w:bCs/>
                <w:sz w:val="18"/>
                <w:szCs w:val="18"/>
              </w:rPr>
            </w:pPr>
          </w:p>
        </w:tc>
      </w:tr>
      <w:tr w:rsidR="00632778" w:rsidRPr="00997D37" w:rsidTr="00B85453">
        <w:trPr>
          <w:trHeight w:val="717"/>
        </w:trPr>
        <w:tc>
          <w:tcPr>
            <w:tcW w:w="626" w:type="pct"/>
          </w:tcPr>
          <w:p w:rsidR="00632778" w:rsidRPr="00997D37" w:rsidRDefault="00632778" w:rsidP="00B85453">
            <w:pPr>
              <w:jc w:val="center"/>
              <w:rPr>
                <w:rFonts w:ascii="Arial Narrow" w:hAnsi="Arial Narrow"/>
                <w:bCs/>
                <w:sz w:val="18"/>
                <w:szCs w:val="18"/>
              </w:rPr>
            </w:pPr>
          </w:p>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25796</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
                <w:bCs/>
                <w:sz w:val="18"/>
                <w:szCs w:val="18"/>
              </w:rPr>
              <w:t>Administrative Advice:</w:t>
            </w:r>
          </w:p>
          <w:p w:rsidR="00632778" w:rsidRPr="00997D37" w:rsidRDefault="00632778" w:rsidP="00B85453">
            <w:pPr>
              <w:rPr>
                <w:rFonts w:ascii="Arial Narrow" w:hAnsi="Arial Narrow"/>
                <w:bCs/>
                <w:i/>
                <w:sz w:val="18"/>
                <w:szCs w:val="18"/>
              </w:rPr>
            </w:pPr>
            <w:r w:rsidRPr="00997D37">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632778" w:rsidRPr="00997D37" w:rsidTr="00B85453">
        <w:trPr>
          <w:trHeight w:val="297"/>
        </w:trPr>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7606</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
                <w:bCs/>
                <w:sz w:val="18"/>
                <w:szCs w:val="18"/>
              </w:rPr>
              <w:t>Administrative Advice:</w:t>
            </w:r>
            <w:r w:rsidRPr="00997D37">
              <w:rPr>
                <w:rFonts w:ascii="Arial Narrow" w:hAnsi="Arial Narrow"/>
                <w:bCs/>
                <w:sz w:val="18"/>
                <w:szCs w:val="18"/>
              </w:rPr>
              <w:t xml:space="preserve"> No increase in the maximum quantity or number of units may be authorised</w:t>
            </w:r>
          </w:p>
        </w:tc>
      </w:tr>
      <w:tr w:rsidR="00632778" w:rsidRPr="00997D37" w:rsidTr="00B85453">
        <w:trPr>
          <w:trHeight w:val="268"/>
        </w:trPr>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7607</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
                <w:bCs/>
                <w:sz w:val="18"/>
                <w:szCs w:val="18"/>
              </w:rPr>
              <w:t>Administrative Advice:</w:t>
            </w:r>
            <w:r w:rsidRPr="00997D37">
              <w:rPr>
                <w:rFonts w:ascii="Arial Narrow" w:hAnsi="Arial Narrow"/>
                <w:bCs/>
                <w:sz w:val="18"/>
                <w:szCs w:val="18"/>
              </w:rPr>
              <w:t xml:space="preserve"> No increase in the maximum number of repeats may be authorised</w:t>
            </w:r>
          </w:p>
        </w:tc>
      </w:tr>
      <w:tr w:rsidR="00632778" w:rsidRPr="00997D37" w:rsidTr="00B85453">
        <w:trPr>
          <w:trHeight w:val="202"/>
        </w:trPr>
        <w:tc>
          <w:tcPr>
            <w:tcW w:w="626" w:type="pct"/>
          </w:tcPr>
          <w:p w:rsidR="00632778" w:rsidRPr="00997D37" w:rsidRDefault="00632778" w:rsidP="00B85453">
            <w:pPr>
              <w:jc w:val="center"/>
              <w:rPr>
                <w:rFonts w:ascii="Arial Narrow" w:hAnsi="Arial Narrow"/>
                <w:bCs/>
                <w:sz w:val="18"/>
                <w:szCs w:val="18"/>
              </w:rPr>
            </w:pPr>
            <w:r w:rsidRPr="00997D37">
              <w:rPr>
                <w:rFonts w:ascii="Arial Narrow" w:hAnsi="Arial Narrow"/>
                <w:bCs/>
                <w:sz w:val="18"/>
                <w:szCs w:val="18"/>
              </w:rPr>
              <w:t>7608</w:t>
            </w:r>
          </w:p>
        </w:tc>
        <w:tc>
          <w:tcPr>
            <w:tcW w:w="4374" w:type="pct"/>
          </w:tcPr>
          <w:p w:rsidR="00632778" w:rsidRPr="00997D37" w:rsidRDefault="00632778" w:rsidP="00B85453">
            <w:pPr>
              <w:rPr>
                <w:rFonts w:ascii="Arial Narrow" w:hAnsi="Arial Narrow"/>
                <w:bCs/>
                <w:sz w:val="18"/>
                <w:szCs w:val="18"/>
              </w:rPr>
            </w:pPr>
            <w:r w:rsidRPr="00997D37">
              <w:rPr>
                <w:rFonts w:ascii="Arial Narrow" w:hAnsi="Arial Narrow"/>
                <w:b/>
                <w:bCs/>
                <w:sz w:val="18"/>
                <w:szCs w:val="18"/>
              </w:rPr>
              <w:t>Administrative Advice:</w:t>
            </w:r>
            <w:r w:rsidRPr="00997D37">
              <w:rPr>
                <w:rFonts w:ascii="Arial Narrow" w:hAnsi="Arial Narrow"/>
                <w:bCs/>
                <w:sz w:val="18"/>
                <w:szCs w:val="18"/>
              </w:rPr>
              <w:t xml:space="preserve"> Special Pricing Arrangements apply</w:t>
            </w:r>
          </w:p>
        </w:tc>
      </w:tr>
    </w:tbl>
    <w:p w:rsidR="00282B35" w:rsidRDefault="00282B35" w:rsidP="0062451B">
      <w:pPr>
        <w:rPr>
          <w:color w:val="FF00FF"/>
        </w:rPr>
      </w:pPr>
    </w:p>
    <w:p w:rsidR="00632778" w:rsidRPr="00C93348" w:rsidRDefault="00632778" w:rsidP="0062451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1134"/>
        <w:gridCol w:w="993"/>
        <w:gridCol w:w="992"/>
        <w:gridCol w:w="1984"/>
      </w:tblGrid>
      <w:tr w:rsidR="004D69E8" w:rsidRPr="00C93348" w:rsidTr="008D4AB1">
        <w:trPr>
          <w:cantSplit/>
          <w:trHeight w:val="471"/>
        </w:trPr>
        <w:tc>
          <w:tcPr>
            <w:tcW w:w="2689" w:type="dxa"/>
          </w:tcPr>
          <w:p w:rsidR="004D69E8" w:rsidRPr="00C93348" w:rsidRDefault="004D69E8" w:rsidP="002C03A5">
            <w:pPr>
              <w:keepNext/>
              <w:ind w:left="-108"/>
              <w:rPr>
                <w:rFonts w:ascii="Arial Narrow" w:eastAsiaTheme="minorHAnsi" w:hAnsi="Arial Narrow"/>
                <w:b/>
                <w:sz w:val="18"/>
                <w:szCs w:val="18"/>
              </w:rPr>
            </w:pPr>
            <w:r w:rsidRPr="00C93348">
              <w:rPr>
                <w:rFonts w:ascii="Arial Narrow" w:eastAsiaTheme="minorHAnsi" w:hAnsi="Arial Narrow"/>
                <w:b/>
                <w:sz w:val="18"/>
                <w:szCs w:val="18"/>
              </w:rPr>
              <w:t>Name, Restriction,</w:t>
            </w:r>
          </w:p>
          <w:p w:rsidR="004D69E8" w:rsidRPr="00C93348" w:rsidRDefault="004D69E8" w:rsidP="002C03A5">
            <w:pPr>
              <w:keepNext/>
              <w:ind w:left="-108"/>
              <w:rPr>
                <w:rFonts w:ascii="Arial Narrow" w:eastAsiaTheme="minorHAnsi" w:hAnsi="Arial Narrow"/>
                <w:b/>
                <w:sz w:val="18"/>
                <w:szCs w:val="18"/>
              </w:rPr>
            </w:pPr>
            <w:r w:rsidRPr="00C93348">
              <w:rPr>
                <w:rFonts w:ascii="Arial Narrow" w:eastAsiaTheme="minorHAnsi" w:hAnsi="Arial Narrow"/>
                <w:b/>
                <w:sz w:val="18"/>
                <w:szCs w:val="18"/>
              </w:rPr>
              <w:t>Manner of administration and form</w:t>
            </w:r>
          </w:p>
        </w:tc>
        <w:tc>
          <w:tcPr>
            <w:tcW w:w="1275" w:type="dxa"/>
          </w:tcPr>
          <w:p w:rsidR="004D69E8" w:rsidRPr="00C93348" w:rsidRDefault="004D69E8" w:rsidP="002C03A5">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PBS item code</w:t>
            </w:r>
          </w:p>
        </w:tc>
        <w:tc>
          <w:tcPr>
            <w:tcW w:w="1134" w:type="dxa"/>
          </w:tcPr>
          <w:p w:rsidR="004D69E8" w:rsidRPr="00C93348" w:rsidRDefault="004D69E8" w:rsidP="002C03A5">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Max. qty packs</w:t>
            </w:r>
          </w:p>
        </w:tc>
        <w:tc>
          <w:tcPr>
            <w:tcW w:w="993" w:type="dxa"/>
          </w:tcPr>
          <w:p w:rsidR="004D69E8" w:rsidRPr="00C93348" w:rsidRDefault="004D69E8" w:rsidP="002C03A5">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Max. qty units</w:t>
            </w:r>
          </w:p>
        </w:tc>
        <w:tc>
          <w:tcPr>
            <w:tcW w:w="992" w:type="dxa"/>
          </w:tcPr>
          <w:p w:rsidR="004D69E8" w:rsidRPr="00C93348" w:rsidRDefault="004D69E8" w:rsidP="002C03A5">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№.of</w:t>
            </w:r>
          </w:p>
          <w:p w:rsidR="004D69E8" w:rsidRPr="00C93348" w:rsidRDefault="004D69E8" w:rsidP="002C03A5">
            <w:pPr>
              <w:keepNext/>
              <w:ind w:left="-108"/>
              <w:jc w:val="center"/>
              <w:rPr>
                <w:rFonts w:ascii="Arial Narrow" w:eastAsiaTheme="minorHAnsi" w:hAnsi="Arial Narrow"/>
                <w:b/>
                <w:sz w:val="18"/>
                <w:szCs w:val="18"/>
              </w:rPr>
            </w:pPr>
            <w:r w:rsidRPr="00C93348">
              <w:rPr>
                <w:rFonts w:ascii="Arial Narrow" w:eastAsiaTheme="minorHAnsi" w:hAnsi="Arial Narrow"/>
                <w:b/>
                <w:sz w:val="18"/>
                <w:szCs w:val="18"/>
              </w:rPr>
              <w:t>Rpts</w:t>
            </w:r>
          </w:p>
        </w:tc>
        <w:tc>
          <w:tcPr>
            <w:tcW w:w="1984" w:type="dxa"/>
          </w:tcPr>
          <w:p w:rsidR="004D69E8" w:rsidRPr="00C93348" w:rsidRDefault="004D69E8" w:rsidP="002C03A5">
            <w:pPr>
              <w:keepNext/>
              <w:jc w:val="left"/>
              <w:rPr>
                <w:rFonts w:ascii="Arial Narrow" w:eastAsiaTheme="minorHAnsi" w:hAnsi="Arial Narrow"/>
                <w:b/>
                <w:sz w:val="18"/>
                <w:szCs w:val="18"/>
              </w:rPr>
            </w:pPr>
            <w:r>
              <w:rPr>
                <w:rFonts w:ascii="Arial Narrow" w:eastAsiaTheme="minorHAnsi" w:hAnsi="Arial Narrow"/>
                <w:b/>
                <w:sz w:val="18"/>
                <w:szCs w:val="18"/>
              </w:rPr>
              <w:t>Available brands</w:t>
            </w:r>
          </w:p>
        </w:tc>
      </w:tr>
      <w:tr w:rsidR="004D69E8" w:rsidRPr="00C93348" w:rsidTr="008D4AB1">
        <w:trPr>
          <w:cantSplit/>
          <w:trHeight w:val="649"/>
        </w:trPr>
        <w:tc>
          <w:tcPr>
            <w:tcW w:w="2689" w:type="dxa"/>
          </w:tcPr>
          <w:p w:rsidR="004D69E8" w:rsidRPr="00C93348" w:rsidRDefault="00AF4F7D" w:rsidP="00AF4F7D">
            <w:pPr>
              <w:keepNext/>
              <w:ind w:left="-108"/>
              <w:jc w:val="left"/>
              <w:rPr>
                <w:rFonts w:ascii="Arial Narrow" w:eastAsiaTheme="minorHAnsi" w:hAnsi="Arial Narrow"/>
                <w:sz w:val="18"/>
                <w:szCs w:val="18"/>
              </w:rPr>
            </w:pPr>
            <w:r>
              <w:rPr>
                <w:rFonts w:ascii="Arial Narrow" w:eastAsiaTheme="minorHAnsi" w:hAnsi="Arial Narrow"/>
                <w:sz w:val="18"/>
                <w:szCs w:val="18"/>
              </w:rPr>
              <w:t>OSIMERTINIB</w:t>
            </w:r>
          </w:p>
          <w:p w:rsidR="004D69E8" w:rsidRPr="00C93348" w:rsidRDefault="004D69E8" w:rsidP="002C03A5">
            <w:pPr>
              <w:keepNext/>
              <w:ind w:left="-108"/>
              <w:rPr>
                <w:rFonts w:ascii="Arial Narrow" w:eastAsiaTheme="minorHAnsi" w:hAnsi="Arial Narrow"/>
                <w:sz w:val="18"/>
                <w:szCs w:val="18"/>
              </w:rPr>
            </w:pPr>
            <w:r w:rsidRPr="00C93348">
              <w:rPr>
                <w:rFonts w:ascii="Arial Narrow" w:eastAsiaTheme="minorHAnsi" w:hAnsi="Arial Narrow"/>
                <w:sz w:val="18"/>
                <w:szCs w:val="18"/>
              </w:rPr>
              <w:t>osimertinib 40 mg tablet, 30</w:t>
            </w:r>
          </w:p>
        </w:tc>
        <w:tc>
          <w:tcPr>
            <w:tcW w:w="1275" w:type="dxa"/>
          </w:tcPr>
          <w:p w:rsidR="004D69E8" w:rsidRPr="00C93348" w:rsidRDefault="004D69E8" w:rsidP="002C03A5">
            <w:pPr>
              <w:keepNext/>
              <w:ind w:left="-108"/>
              <w:jc w:val="center"/>
              <w:rPr>
                <w:rFonts w:ascii="Arial Narrow" w:eastAsiaTheme="minorHAnsi" w:hAnsi="Arial Narrow"/>
                <w:sz w:val="18"/>
                <w:szCs w:val="18"/>
              </w:rPr>
            </w:pPr>
          </w:p>
          <w:p w:rsidR="004D69E8" w:rsidRPr="00C93348" w:rsidRDefault="004D69E8" w:rsidP="002C03A5">
            <w:pPr>
              <w:keepNext/>
              <w:ind w:left="-108"/>
              <w:jc w:val="center"/>
              <w:rPr>
                <w:rFonts w:ascii="Arial Narrow" w:eastAsiaTheme="minorHAnsi" w:hAnsi="Arial Narrow"/>
                <w:sz w:val="18"/>
                <w:szCs w:val="18"/>
              </w:rPr>
            </w:pPr>
            <w:r w:rsidRPr="00C93348">
              <w:rPr>
                <w:rFonts w:ascii="Arial Narrow" w:eastAsiaTheme="minorHAnsi" w:hAnsi="Arial Narrow"/>
                <w:sz w:val="18"/>
                <w:szCs w:val="18"/>
              </w:rPr>
              <w:t>11620N</w:t>
            </w:r>
          </w:p>
        </w:tc>
        <w:tc>
          <w:tcPr>
            <w:tcW w:w="1134" w:type="dxa"/>
          </w:tcPr>
          <w:p w:rsidR="004D69E8" w:rsidRPr="00C93348" w:rsidRDefault="004D69E8" w:rsidP="002C03A5">
            <w:pPr>
              <w:keepNext/>
              <w:jc w:val="center"/>
              <w:rPr>
                <w:rFonts w:ascii="Arial Narrow" w:eastAsiaTheme="minorHAnsi" w:hAnsi="Arial Narrow"/>
                <w:sz w:val="18"/>
                <w:szCs w:val="18"/>
              </w:rPr>
            </w:pPr>
          </w:p>
          <w:p w:rsidR="004D69E8" w:rsidRPr="00C93348" w:rsidRDefault="004D69E8" w:rsidP="002C03A5">
            <w:pPr>
              <w:keepNext/>
              <w:jc w:val="center"/>
              <w:rPr>
                <w:rFonts w:ascii="Arial Narrow" w:eastAsiaTheme="minorHAnsi" w:hAnsi="Arial Narrow"/>
                <w:sz w:val="18"/>
                <w:szCs w:val="18"/>
              </w:rPr>
            </w:pPr>
            <w:r w:rsidRPr="00C93348">
              <w:rPr>
                <w:rFonts w:ascii="Arial Narrow" w:eastAsiaTheme="minorHAnsi" w:hAnsi="Arial Narrow"/>
                <w:sz w:val="18"/>
                <w:szCs w:val="18"/>
              </w:rPr>
              <w:t>1</w:t>
            </w:r>
          </w:p>
        </w:tc>
        <w:tc>
          <w:tcPr>
            <w:tcW w:w="993" w:type="dxa"/>
          </w:tcPr>
          <w:p w:rsidR="004D69E8" w:rsidRPr="00C93348" w:rsidRDefault="004D69E8" w:rsidP="002C03A5">
            <w:pPr>
              <w:keepNext/>
              <w:ind w:left="-108"/>
              <w:jc w:val="center"/>
              <w:rPr>
                <w:rFonts w:ascii="Arial Narrow" w:eastAsiaTheme="minorHAnsi" w:hAnsi="Arial Narrow"/>
                <w:sz w:val="18"/>
                <w:szCs w:val="18"/>
              </w:rPr>
            </w:pPr>
          </w:p>
          <w:p w:rsidR="004D69E8" w:rsidRPr="00C93348" w:rsidRDefault="004D69E8" w:rsidP="002C03A5">
            <w:pPr>
              <w:keepNext/>
              <w:ind w:left="-108"/>
              <w:jc w:val="center"/>
              <w:rPr>
                <w:rFonts w:ascii="Arial Narrow" w:eastAsiaTheme="minorHAnsi" w:hAnsi="Arial Narrow"/>
                <w:sz w:val="18"/>
                <w:szCs w:val="18"/>
              </w:rPr>
            </w:pPr>
            <w:r w:rsidRPr="00C93348">
              <w:rPr>
                <w:rFonts w:ascii="Arial Narrow" w:eastAsiaTheme="minorHAnsi" w:hAnsi="Arial Narrow"/>
                <w:sz w:val="18"/>
                <w:szCs w:val="18"/>
              </w:rPr>
              <w:t>30</w:t>
            </w:r>
          </w:p>
        </w:tc>
        <w:tc>
          <w:tcPr>
            <w:tcW w:w="992" w:type="dxa"/>
          </w:tcPr>
          <w:p w:rsidR="004D69E8" w:rsidRPr="00C93348" w:rsidRDefault="004D69E8" w:rsidP="002C03A5">
            <w:pPr>
              <w:keepNext/>
              <w:ind w:left="-108"/>
              <w:jc w:val="center"/>
              <w:rPr>
                <w:rFonts w:ascii="Arial Narrow" w:eastAsiaTheme="minorHAnsi" w:hAnsi="Arial Narrow"/>
                <w:sz w:val="18"/>
                <w:szCs w:val="18"/>
              </w:rPr>
            </w:pPr>
          </w:p>
          <w:p w:rsidR="004D69E8" w:rsidRPr="00C93348" w:rsidRDefault="00AF4F7D" w:rsidP="00AF4F7D">
            <w:pPr>
              <w:keepNext/>
              <w:ind w:left="-108"/>
              <w:jc w:val="center"/>
              <w:rPr>
                <w:rFonts w:ascii="Arial Narrow" w:eastAsiaTheme="minorHAnsi" w:hAnsi="Arial Narrow"/>
                <w:sz w:val="18"/>
                <w:szCs w:val="18"/>
              </w:rPr>
            </w:pPr>
            <w:r>
              <w:rPr>
                <w:rFonts w:ascii="Arial Narrow" w:eastAsiaTheme="minorHAnsi" w:hAnsi="Arial Narrow"/>
                <w:sz w:val="18"/>
                <w:szCs w:val="18"/>
              </w:rPr>
              <w:t>5</w:t>
            </w:r>
          </w:p>
        </w:tc>
        <w:tc>
          <w:tcPr>
            <w:tcW w:w="1984" w:type="dxa"/>
          </w:tcPr>
          <w:p w:rsidR="004D69E8" w:rsidRPr="00C93348" w:rsidRDefault="004D69E8" w:rsidP="002C03A5">
            <w:pPr>
              <w:keepNext/>
              <w:rPr>
                <w:rFonts w:ascii="Arial Narrow" w:eastAsiaTheme="minorHAnsi" w:hAnsi="Arial Narrow"/>
                <w:sz w:val="18"/>
                <w:szCs w:val="18"/>
              </w:rPr>
            </w:pPr>
          </w:p>
          <w:p w:rsidR="004D69E8" w:rsidRPr="00C93348" w:rsidRDefault="004D69E8" w:rsidP="002C03A5">
            <w:pPr>
              <w:keepNext/>
              <w:jc w:val="left"/>
              <w:rPr>
                <w:rFonts w:ascii="Arial Narrow" w:eastAsiaTheme="minorHAnsi" w:hAnsi="Arial Narrow"/>
                <w:sz w:val="18"/>
                <w:szCs w:val="18"/>
              </w:rPr>
            </w:pPr>
            <w:r w:rsidRPr="00C93348">
              <w:rPr>
                <w:rFonts w:ascii="Arial Narrow" w:eastAsiaTheme="minorHAnsi" w:hAnsi="Arial Narrow"/>
                <w:sz w:val="18"/>
                <w:szCs w:val="18"/>
              </w:rPr>
              <w:t>Tagrisso</w:t>
            </w:r>
          </w:p>
        </w:tc>
      </w:tr>
      <w:tr w:rsidR="004D69E8" w:rsidRPr="00C93348" w:rsidTr="008D4AB1">
        <w:trPr>
          <w:cantSplit/>
          <w:trHeight w:val="478"/>
        </w:trPr>
        <w:tc>
          <w:tcPr>
            <w:tcW w:w="2689" w:type="dxa"/>
          </w:tcPr>
          <w:p w:rsidR="004D69E8" w:rsidRPr="00C93348" w:rsidRDefault="004D69E8" w:rsidP="004D69E8">
            <w:pPr>
              <w:keepNext/>
              <w:ind w:left="-108"/>
              <w:rPr>
                <w:rFonts w:ascii="Arial Narrow" w:eastAsiaTheme="minorHAnsi" w:hAnsi="Arial Narrow"/>
                <w:sz w:val="18"/>
                <w:szCs w:val="18"/>
              </w:rPr>
            </w:pPr>
          </w:p>
          <w:p w:rsidR="004D69E8" w:rsidRPr="00C93348" w:rsidRDefault="004D69E8" w:rsidP="004D69E8">
            <w:pPr>
              <w:keepNext/>
              <w:ind w:left="-108"/>
              <w:jc w:val="left"/>
              <w:rPr>
                <w:rFonts w:ascii="Arial Narrow" w:eastAsiaTheme="minorHAnsi" w:hAnsi="Arial Narrow"/>
                <w:sz w:val="18"/>
                <w:szCs w:val="18"/>
              </w:rPr>
            </w:pPr>
            <w:r>
              <w:rPr>
                <w:rFonts w:ascii="Arial Narrow" w:eastAsiaTheme="minorHAnsi" w:hAnsi="Arial Narrow"/>
                <w:sz w:val="18"/>
                <w:szCs w:val="18"/>
              </w:rPr>
              <w:t>osimertinib 8</w:t>
            </w:r>
            <w:r w:rsidRPr="00C93348">
              <w:rPr>
                <w:rFonts w:ascii="Arial Narrow" w:eastAsiaTheme="minorHAnsi" w:hAnsi="Arial Narrow"/>
                <w:sz w:val="18"/>
                <w:szCs w:val="18"/>
              </w:rPr>
              <w:t>0 mg tablet, 30</w:t>
            </w:r>
          </w:p>
        </w:tc>
        <w:tc>
          <w:tcPr>
            <w:tcW w:w="1275" w:type="dxa"/>
          </w:tcPr>
          <w:p w:rsidR="004D69E8" w:rsidRPr="00C93348" w:rsidRDefault="004D69E8" w:rsidP="004D69E8">
            <w:pPr>
              <w:keepNext/>
              <w:ind w:left="-108"/>
              <w:jc w:val="center"/>
              <w:rPr>
                <w:rFonts w:ascii="Arial Narrow" w:eastAsiaTheme="minorHAnsi" w:hAnsi="Arial Narrow"/>
                <w:sz w:val="18"/>
                <w:szCs w:val="18"/>
              </w:rPr>
            </w:pPr>
          </w:p>
          <w:p w:rsidR="004D69E8" w:rsidRPr="00C93348" w:rsidRDefault="004D69E8" w:rsidP="004D69E8">
            <w:pPr>
              <w:keepNext/>
              <w:jc w:val="center"/>
              <w:rPr>
                <w:rFonts w:ascii="Arial Narrow" w:eastAsiaTheme="minorHAnsi" w:hAnsi="Arial Narrow"/>
                <w:sz w:val="18"/>
                <w:szCs w:val="18"/>
              </w:rPr>
            </w:pPr>
            <w:r>
              <w:rPr>
                <w:rFonts w:ascii="Arial Narrow" w:eastAsiaTheme="minorHAnsi" w:hAnsi="Arial Narrow"/>
                <w:sz w:val="18"/>
                <w:szCs w:val="18"/>
              </w:rPr>
              <w:t>11622Q</w:t>
            </w:r>
          </w:p>
        </w:tc>
        <w:tc>
          <w:tcPr>
            <w:tcW w:w="1134" w:type="dxa"/>
          </w:tcPr>
          <w:p w:rsidR="004D69E8" w:rsidRPr="00C93348" w:rsidRDefault="004D69E8" w:rsidP="004D69E8">
            <w:pPr>
              <w:keepNext/>
              <w:rPr>
                <w:rFonts w:ascii="Arial Narrow" w:eastAsiaTheme="minorHAnsi" w:hAnsi="Arial Narrow"/>
                <w:sz w:val="18"/>
                <w:szCs w:val="18"/>
              </w:rPr>
            </w:pPr>
          </w:p>
          <w:p w:rsidR="004D69E8" w:rsidRPr="00C93348" w:rsidRDefault="004D69E8" w:rsidP="004D69E8">
            <w:pPr>
              <w:keepNext/>
              <w:jc w:val="center"/>
              <w:rPr>
                <w:rFonts w:ascii="Arial Narrow" w:eastAsiaTheme="minorHAnsi" w:hAnsi="Arial Narrow"/>
                <w:sz w:val="18"/>
                <w:szCs w:val="18"/>
              </w:rPr>
            </w:pPr>
            <w:r w:rsidRPr="00C93348">
              <w:rPr>
                <w:rFonts w:ascii="Arial Narrow" w:eastAsiaTheme="minorHAnsi" w:hAnsi="Arial Narrow"/>
                <w:sz w:val="18"/>
                <w:szCs w:val="18"/>
              </w:rPr>
              <w:t>1</w:t>
            </w:r>
          </w:p>
        </w:tc>
        <w:tc>
          <w:tcPr>
            <w:tcW w:w="993" w:type="dxa"/>
          </w:tcPr>
          <w:p w:rsidR="004D69E8" w:rsidRPr="00C93348" w:rsidRDefault="004D69E8" w:rsidP="004D69E8">
            <w:pPr>
              <w:keepNext/>
              <w:jc w:val="left"/>
              <w:rPr>
                <w:rFonts w:ascii="Arial Narrow" w:eastAsiaTheme="minorHAnsi" w:hAnsi="Arial Narrow"/>
                <w:sz w:val="18"/>
                <w:szCs w:val="18"/>
              </w:rPr>
            </w:pPr>
          </w:p>
          <w:p w:rsidR="004D69E8" w:rsidRPr="00C93348" w:rsidRDefault="004D69E8" w:rsidP="004D69E8">
            <w:pPr>
              <w:keepNext/>
              <w:ind w:left="-108"/>
              <w:jc w:val="center"/>
              <w:rPr>
                <w:rFonts w:ascii="Arial Narrow" w:eastAsiaTheme="minorHAnsi" w:hAnsi="Arial Narrow"/>
                <w:sz w:val="18"/>
                <w:szCs w:val="18"/>
              </w:rPr>
            </w:pPr>
            <w:r w:rsidRPr="00C93348">
              <w:rPr>
                <w:rFonts w:ascii="Arial Narrow" w:eastAsiaTheme="minorHAnsi" w:hAnsi="Arial Narrow"/>
                <w:sz w:val="18"/>
                <w:szCs w:val="18"/>
              </w:rPr>
              <w:t xml:space="preserve"> 30</w:t>
            </w:r>
          </w:p>
        </w:tc>
        <w:tc>
          <w:tcPr>
            <w:tcW w:w="992" w:type="dxa"/>
          </w:tcPr>
          <w:p w:rsidR="004D69E8" w:rsidRPr="00C93348" w:rsidRDefault="004D69E8" w:rsidP="004D69E8">
            <w:pPr>
              <w:keepNext/>
              <w:rPr>
                <w:rFonts w:ascii="Arial Narrow" w:eastAsiaTheme="minorHAnsi" w:hAnsi="Arial Narrow"/>
                <w:sz w:val="18"/>
                <w:szCs w:val="18"/>
              </w:rPr>
            </w:pPr>
          </w:p>
          <w:p w:rsidR="004D69E8" w:rsidRPr="00C93348" w:rsidRDefault="00AF4F7D" w:rsidP="00AF4F7D">
            <w:pPr>
              <w:keepNext/>
              <w:ind w:left="-108"/>
              <w:jc w:val="center"/>
              <w:rPr>
                <w:rFonts w:ascii="Arial Narrow" w:eastAsiaTheme="minorHAnsi" w:hAnsi="Arial Narrow"/>
                <w:sz w:val="18"/>
                <w:szCs w:val="18"/>
              </w:rPr>
            </w:pPr>
            <w:r>
              <w:rPr>
                <w:rFonts w:ascii="Arial Narrow" w:eastAsiaTheme="minorHAnsi" w:hAnsi="Arial Narrow"/>
                <w:sz w:val="18"/>
                <w:szCs w:val="18"/>
              </w:rPr>
              <w:t xml:space="preserve"> 5</w:t>
            </w:r>
          </w:p>
        </w:tc>
        <w:tc>
          <w:tcPr>
            <w:tcW w:w="1984" w:type="dxa"/>
          </w:tcPr>
          <w:p w:rsidR="004D69E8" w:rsidRPr="00C93348" w:rsidRDefault="004D69E8" w:rsidP="004D69E8">
            <w:pPr>
              <w:keepNext/>
              <w:rPr>
                <w:rFonts w:ascii="Arial Narrow" w:eastAsiaTheme="minorHAnsi" w:hAnsi="Arial Narrow"/>
                <w:sz w:val="18"/>
                <w:szCs w:val="18"/>
              </w:rPr>
            </w:pPr>
          </w:p>
          <w:p w:rsidR="004D69E8" w:rsidRPr="00C93348" w:rsidRDefault="004D69E8" w:rsidP="004D69E8">
            <w:pPr>
              <w:keepNext/>
              <w:jc w:val="left"/>
              <w:rPr>
                <w:rFonts w:ascii="Arial Narrow" w:eastAsiaTheme="minorHAnsi" w:hAnsi="Arial Narrow"/>
                <w:sz w:val="18"/>
                <w:szCs w:val="18"/>
              </w:rPr>
            </w:pPr>
            <w:r w:rsidRPr="00C93348">
              <w:rPr>
                <w:rFonts w:ascii="Arial Narrow" w:eastAsiaTheme="minorHAnsi" w:hAnsi="Arial Narrow"/>
                <w:sz w:val="18"/>
                <w:szCs w:val="18"/>
              </w:rPr>
              <w:t>Tagrisso</w:t>
            </w:r>
          </w:p>
        </w:tc>
      </w:tr>
    </w:tbl>
    <w:p w:rsidR="004D69E8" w:rsidRDefault="004D69E8" w:rsidP="0062451B">
      <w:pPr>
        <w:rPr>
          <w:rFonts w:ascii="Arial Narrow" w:hAnsi="Arial Narrow"/>
          <w:b/>
          <w:sz w:val="18"/>
          <w:szCs w:val="18"/>
        </w:rPr>
      </w:pPr>
    </w:p>
    <w:p w:rsidR="0062451B" w:rsidRPr="00C93348" w:rsidRDefault="0062451B" w:rsidP="0062451B">
      <w:pPr>
        <w:rPr>
          <w:rFonts w:ascii="Arial Narrow" w:hAnsi="Arial Narrow"/>
          <w:b/>
          <w:sz w:val="18"/>
          <w:szCs w:val="18"/>
        </w:rPr>
      </w:pPr>
      <w:r w:rsidRPr="00C93348">
        <w:rPr>
          <w:rFonts w:ascii="Arial Narrow" w:hAnsi="Arial Narrow"/>
          <w:b/>
          <w:sz w:val="18"/>
          <w:szCs w:val="18"/>
        </w:rPr>
        <w:t>Continuing first-line Restriction Summary [NEW / 8530 with treatment phase edited] / ToC: [NEW / 8537]:</w:t>
      </w:r>
    </w:p>
    <w:tbl>
      <w:tblPr>
        <w:tblStyle w:val="TableGrid"/>
        <w:tblW w:w="5000" w:type="pct"/>
        <w:tblLook w:val="04A0" w:firstRow="1" w:lastRow="0" w:firstColumn="1" w:lastColumn="0" w:noHBand="0" w:noVBand="1"/>
      </w:tblPr>
      <w:tblGrid>
        <w:gridCol w:w="9017"/>
      </w:tblGrid>
      <w:tr w:rsidR="001039A4" w:rsidRPr="00C93348" w:rsidTr="001039A4">
        <w:tc>
          <w:tcPr>
            <w:tcW w:w="5000" w:type="pct"/>
          </w:tcPr>
          <w:p w:rsidR="001039A4" w:rsidRPr="00C93348" w:rsidRDefault="001039A4" w:rsidP="0062451B">
            <w:pPr>
              <w:pStyle w:val="TableText0"/>
              <w:rPr>
                <w:sz w:val="18"/>
                <w:szCs w:val="18"/>
              </w:rPr>
            </w:pPr>
            <w:r w:rsidRPr="00C93348">
              <w:rPr>
                <w:b/>
                <w:sz w:val="18"/>
                <w:szCs w:val="18"/>
              </w:rPr>
              <w:t>Category / Program:</w:t>
            </w:r>
            <w:r w:rsidRPr="00C93348">
              <w:rPr>
                <w:sz w:val="18"/>
                <w:szCs w:val="18"/>
              </w:rPr>
              <w:t xml:space="preserve"> Section 85 – General Schedule – Code GE</w:t>
            </w:r>
          </w:p>
        </w:tc>
      </w:tr>
      <w:tr w:rsidR="001039A4" w:rsidRPr="00C93348" w:rsidTr="001039A4">
        <w:tc>
          <w:tcPr>
            <w:tcW w:w="5000" w:type="pct"/>
          </w:tcPr>
          <w:p w:rsidR="001039A4" w:rsidRPr="00C93348" w:rsidRDefault="001039A4" w:rsidP="00997D37">
            <w:pPr>
              <w:pStyle w:val="TableText0"/>
              <w:rPr>
                <w:sz w:val="18"/>
                <w:szCs w:val="18"/>
              </w:rPr>
            </w:pPr>
            <w:r w:rsidRPr="00C93348">
              <w:rPr>
                <w:b/>
                <w:sz w:val="18"/>
                <w:szCs w:val="18"/>
              </w:rPr>
              <w:t>Prescriber type</w:t>
            </w:r>
            <w:r w:rsidRPr="00C93348">
              <w:rPr>
                <w:sz w:val="18"/>
                <w:szCs w:val="18"/>
              </w:rPr>
              <w:t>:</w:t>
            </w:r>
            <w:r>
              <w:rPr>
                <w:sz w:val="18"/>
                <w:szCs w:val="18"/>
              </w:rPr>
              <w:t xml:space="preserve"> </w:t>
            </w:r>
            <w:r w:rsidRPr="00C93348">
              <w:rPr>
                <w:sz w:val="18"/>
                <w:szCs w:val="18"/>
              </w:rPr>
              <w:fldChar w:fldCharType="begin">
                <w:ffData>
                  <w:name w:val="Check1"/>
                  <w:enabled/>
                  <w:calcOnExit w:val="0"/>
                  <w:checkBox>
                    <w:sizeAuto/>
                    <w:default w:val="1"/>
                  </w:checkBox>
                </w:ffData>
              </w:fldChar>
            </w:r>
            <w:r w:rsidRPr="00C93348">
              <w:rPr>
                <w:sz w:val="18"/>
                <w:szCs w:val="18"/>
              </w:rPr>
              <w:instrText xml:space="preserve"> FORMCHECKBOX </w:instrText>
            </w:r>
            <w:r w:rsidR="00646896">
              <w:rPr>
                <w:sz w:val="18"/>
                <w:szCs w:val="18"/>
              </w:rPr>
            </w:r>
            <w:r w:rsidR="00646896">
              <w:rPr>
                <w:sz w:val="18"/>
                <w:szCs w:val="18"/>
              </w:rPr>
              <w:fldChar w:fldCharType="separate"/>
            </w:r>
            <w:r w:rsidRPr="00C93348">
              <w:rPr>
                <w:sz w:val="18"/>
                <w:szCs w:val="18"/>
              </w:rPr>
              <w:fldChar w:fldCharType="end"/>
            </w:r>
            <w:r w:rsidRPr="00C93348">
              <w:rPr>
                <w:sz w:val="18"/>
                <w:szCs w:val="18"/>
              </w:rPr>
              <w:t xml:space="preserve"> Medical Practitioners </w:t>
            </w:r>
          </w:p>
        </w:tc>
      </w:tr>
      <w:tr w:rsidR="001039A4" w:rsidRPr="00C93348" w:rsidTr="001039A4">
        <w:tc>
          <w:tcPr>
            <w:tcW w:w="5000" w:type="pct"/>
          </w:tcPr>
          <w:p w:rsidR="001039A4" w:rsidRPr="00C93348" w:rsidRDefault="001039A4" w:rsidP="007C4836">
            <w:pPr>
              <w:pStyle w:val="TableText0"/>
              <w:rPr>
                <w:sz w:val="18"/>
                <w:szCs w:val="18"/>
              </w:rPr>
            </w:pPr>
            <w:r w:rsidRPr="00C93348">
              <w:rPr>
                <w:rFonts w:eastAsia="Calibri"/>
                <w:sz w:val="18"/>
                <w:szCs w:val="18"/>
              </w:rPr>
              <w:fldChar w:fldCharType="begin">
                <w:ffData>
                  <w:name w:val=""/>
                  <w:enabled/>
                  <w:calcOnExit w:val="0"/>
                  <w:checkBox>
                    <w:sizeAuto/>
                    <w:default w:val="1"/>
                  </w:checkBox>
                </w:ffData>
              </w:fldChar>
            </w:r>
            <w:r w:rsidRPr="00C93348">
              <w:rPr>
                <w:rFonts w:eastAsia="Calibri"/>
                <w:sz w:val="18"/>
                <w:szCs w:val="18"/>
              </w:rPr>
              <w:instrText xml:space="preserve"> FORMCHECKBOX </w:instrText>
            </w:r>
            <w:r w:rsidR="00646896">
              <w:rPr>
                <w:rFonts w:eastAsia="Calibri"/>
                <w:sz w:val="18"/>
                <w:szCs w:val="18"/>
              </w:rPr>
            </w:r>
            <w:r w:rsidR="00646896">
              <w:rPr>
                <w:rFonts w:eastAsia="Calibri"/>
                <w:sz w:val="18"/>
                <w:szCs w:val="18"/>
              </w:rPr>
              <w:fldChar w:fldCharType="separate"/>
            </w:r>
            <w:r w:rsidRPr="00C93348">
              <w:rPr>
                <w:rFonts w:eastAsia="Calibri"/>
                <w:sz w:val="18"/>
                <w:szCs w:val="18"/>
              </w:rPr>
              <w:fldChar w:fldCharType="end"/>
            </w:r>
            <w:r w:rsidRPr="00C93348">
              <w:rPr>
                <w:rFonts w:eastAsia="Calibri"/>
                <w:sz w:val="18"/>
                <w:szCs w:val="18"/>
              </w:rPr>
              <w:t xml:space="preserve"> </w:t>
            </w:r>
            <w:r w:rsidRPr="00C93348">
              <w:rPr>
                <w:rFonts w:eastAsia="Calibri"/>
                <w:sz w:val="18"/>
                <w:szCs w:val="18"/>
                <w:lang w:eastAsia="en-US"/>
              </w:rPr>
              <w:t>Authority Required – Streamlined [new code]</w:t>
            </w:r>
          </w:p>
        </w:tc>
      </w:tr>
      <w:tr w:rsidR="001039A4" w:rsidRPr="00C93348" w:rsidTr="001039A4">
        <w:tc>
          <w:tcPr>
            <w:tcW w:w="5000" w:type="pct"/>
          </w:tcPr>
          <w:p w:rsidR="001039A4" w:rsidRPr="00C93348" w:rsidRDefault="001039A4" w:rsidP="0062451B">
            <w:pPr>
              <w:pStyle w:val="TableText0"/>
              <w:rPr>
                <w:sz w:val="18"/>
                <w:szCs w:val="18"/>
              </w:rPr>
            </w:pPr>
            <w:r w:rsidRPr="00C93348">
              <w:rPr>
                <w:b/>
                <w:sz w:val="18"/>
                <w:szCs w:val="18"/>
              </w:rPr>
              <w:t>PBS indication:</w:t>
            </w:r>
            <w:r w:rsidRPr="00C93348">
              <w:rPr>
                <w:sz w:val="18"/>
                <w:szCs w:val="18"/>
              </w:rPr>
              <w:t xml:space="preserve"> Stage IIIB (locally advanced) or Stage IV (metastatic) non-small cell lung cancer (NSCLC)</w:t>
            </w:r>
          </w:p>
        </w:tc>
      </w:tr>
      <w:tr w:rsidR="001039A4" w:rsidRPr="00C93348" w:rsidTr="001039A4">
        <w:tc>
          <w:tcPr>
            <w:tcW w:w="5000" w:type="pct"/>
          </w:tcPr>
          <w:p w:rsidR="001039A4" w:rsidRPr="00C93348" w:rsidRDefault="001039A4" w:rsidP="00A97E7B">
            <w:pPr>
              <w:pStyle w:val="TableText0"/>
              <w:rPr>
                <w:sz w:val="18"/>
                <w:szCs w:val="18"/>
              </w:rPr>
            </w:pPr>
            <w:r w:rsidRPr="00C93348">
              <w:rPr>
                <w:b/>
                <w:sz w:val="18"/>
                <w:szCs w:val="18"/>
              </w:rPr>
              <w:t>Treatment phase:</w:t>
            </w:r>
            <w:r w:rsidRPr="00C93348">
              <w:rPr>
                <w:sz w:val="18"/>
                <w:szCs w:val="18"/>
              </w:rPr>
              <w:t xml:space="preserve"> Continuing treatment </w:t>
            </w:r>
            <w:r w:rsidRPr="00BF4348">
              <w:rPr>
                <w:sz w:val="18"/>
                <w:szCs w:val="18"/>
              </w:rPr>
              <w:t>of</w:t>
            </w:r>
            <w:r>
              <w:rPr>
                <w:sz w:val="18"/>
                <w:szCs w:val="18"/>
              </w:rPr>
              <w:t xml:space="preserve"> </w:t>
            </w:r>
            <w:r w:rsidRPr="00C93348">
              <w:rPr>
                <w:sz w:val="18"/>
                <w:szCs w:val="18"/>
              </w:rPr>
              <w:t xml:space="preserve">first-line </w:t>
            </w:r>
            <w:r w:rsidRPr="00997D37">
              <w:rPr>
                <w:bCs w:val="0"/>
                <w:sz w:val="18"/>
                <w:szCs w:val="18"/>
              </w:rPr>
              <w:t>EGFR</w:t>
            </w:r>
            <w:r w:rsidRPr="00C93348">
              <w:rPr>
                <w:sz w:val="18"/>
                <w:szCs w:val="18"/>
              </w:rPr>
              <w:t xml:space="preserve"> tyrosine kinase inhibitor therapy</w:t>
            </w:r>
          </w:p>
        </w:tc>
      </w:tr>
      <w:tr w:rsidR="001039A4" w:rsidRPr="00C93348" w:rsidTr="001039A4">
        <w:trPr>
          <w:trHeight w:val="132"/>
        </w:trPr>
        <w:tc>
          <w:tcPr>
            <w:tcW w:w="5000" w:type="pct"/>
          </w:tcPr>
          <w:p w:rsidR="001039A4" w:rsidRPr="00C93348" w:rsidRDefault="001039A4" w:rsidP="0062451B">
            <w:pPr>
              <w:pStyle w:val="TableText0"/>
              <w:rPr>
                <w:b/>
                <w:sz w:val="18"/>
                <w:szCs w:val="18"/>
              </w:rPr>
            </w:pPr>
            <w:r w:rsidRPr="00C93348">
              <w:rPr>
                <w:b/>
                <w:sz w:val="18"/>
                <w:szCs w:val="18"/>
              </w:rPr>
              <w:t>Clinical criteria:</w:t>
            </w:r>
          </w:p>
        </w:tc>
      </w:tr>
      <w:tr w:rsidR="001039A4" w:rsidRPr="00C93348" w:rsidTr="001039A4">
        <w:trPr>
          <w:trHeight w:val="132"/>
        </w:trPr>
        <w:tc>
          <w:tcPr>
            <w:tcW w:w="5000" w:type="pct"/>
          </w:tcPr>
          <w:p w:rsidR="001039A4" w:rsidRPr="00C93348" w:rsidRDefault="001039A4" w:rsidP="0062451B">
            <w:pPr>
              <w:pStyle w:val="TableText0"/>
              <w:rPr>
                <w:sz w:val="18"/>
                <w:szCs w:val="18"/>
              </w:rPr>
            </w:pPr>
            <w:r w:rsidRPr="00C93348">
              <w:rPr>
                <w:sz w:val="18"/>
                <w:szCs w:val="18"/>
              </w:rPr>
              <w:t>The treatment must be the sole PBS-subsidised therapy for this condition,</w:t>
            </w:r>
          </w:p>
        </w:tc>
      </w:tr>
      <w:tr w:rsidR="001039A4" w:rsidRPr="00C93348" w:rsidTr="001039A4">
        <w:trPr>
          <w:trHeight w:val="132"/>
        </w:trPr>
        <w:tc>
          <w:tcPr>
            <w:tcW w:w="5000" w:type="pct"/>
          </w:tcPr>
          <w:p w:rsidR="001039A4" w:rsidRPr="00C93348" w:rsidRDefault="001039A4" w:rsidP="0062451B">
            <w:pPr>
              <w:pStyle w:val="TableText0"/>
              <w:rPr>
                <w:b/>
                <w:sz w:val="18"/>
                <w:szCs w:val="18"/>
              </w:rPr>
            </w:pPr>
            <w:r w:rsidRPr="00C93348">
              <w:rPr>
                <w:b/>
                <w:sz w:val="18"/>
                <w:szCs w:val="18"/>
              </w:rPr>
              <w:t>AND</w:t>
            </w:r>
          </w:p>
        </w:tc>
      </w:tr>
      <w:tr w:rsidR="001039A4" w:rsidRPr="00C93348" w:rsidTr="001039A4">
        <w:trPr>
          <w:trHeight w:val="132"/>
        </w:trPr>
        <w:tc>
          <w:tcPr>
            <w:tcW w:w="5000" w:type="pct"/>
          </w:tcPr>
          <w:p w:rsidR="001039A4" w:rsidRPr="00C93348" w:rsidRDefault="001039A4" w:rsidP="0062451B">
            <w:pPr>
              <w:pStyle w:val="TableText0"/>
              <w:rPr>
                <w:sz w:val="18"/>
                <w:szCs w:val="18"/>
              </w:rPr>
            </w:pPr>
            <w:r w:rsidRPr="00C93348">
              <w:rPr>
                <w:sz w:val="18"/>
                <w:szCs w:val="18"/>
              </w:rPr>
              <w:t>Patient must have previously received PBS-subsidised treatment with this drug for this condition,</w:t>
            </w:r>
          </w:p>
        </w:tc>
      </w:tr>
      <w:tr w:rsidR="001039A4" w:rsidRPr="00C93348" w:rsidTr="001039A4">
        <w:trPr>
          <w:trHeight w:val="132"/>
        </w:trPr>
        <w:tc>
          <w:tcPr>
            <w:tcW w:w="5000" w:type="pct"/>
          </w:tcPr>
          <w:p w:rsidR="001039A4" w:rsidRPr="00C93348" w:rsidRDefault="001039A4" w:rsidP="0062451B">
            <w:pPr>
              <w:pStyle w:val="TableText0"/>
              <w:rPr>
                <w:b/>
                <w:sz w:val="18"/>
                <w:szCs w:val="18"/>
              </w:rPr>
            </w:pPr>
            <w:r w:rsidRPr="00C93348">
              <w:rPr>
                <w:b/>
                <w:sz w:val="18"/>
                <w:szCs w:val="18"/>
              </w:rPr>
              <w:t>AND</w:t>
            </w:r>
          </w:p>
        </w:tc>
      </w:tr>
      <w:tr w:rsidR="001039A4" w:rsidRPr="00C93348" w:rsidTr="001039A4">
        <w:trPr>
          <w:trHeight w:val="132"/>
        </w:trPr>
        <w:tc>
          <w:tcPr>
            <w:tcW w:w="5000" w:type="pct"/>
          </w:tcPr>
          <w:p w:rsidR="001039A4" w:rsidRPr="00C93348" w:rsidRDefault="001039A4" w:rsidP="0062451B">
            <w:pPr>
              <w:pStyle w:val="TableText0"/>
              <w:rPr>
                <w:sz w:val="18"/>
                <w:szCs w:val="18"/>
              </w:rPr>
            </w:pPr>
            <w:r w:rsidRPr="00C93348">
              <w:rPr>
                <w:sz w:val="18"/>
                <w:szCs w:val="18"/>
              </w:rPr>
              <w:t>Patient must not have developed disease progression while receiving treatment with this drug for this condition.</w:t>
            </w:r>
          </w:p>
        </w:tc>
      </w:tr>
      <w:tr w:rsidR="001039A4" w:rsidRPr="00C93348" w:rsidTr="001039A4">
        <w:tc>
          <w:tcPr>
            <w:tcW w:w="5000" w:type="pct"/>
          </w:tcPr>
          <w:p w:rsidR="001039A4" w:rsidRPr="00C93348" w:rsidRDefault="001039A4" w:rsidP="0062451B">
            <w:pPr>
              <w:pStyle w:val="TableText0"/>
              <w:rPr>
                <w:sz w:val="18"/>
                <w:szCs w:val="18"/>
              </w:rPr>
            </w:pPr>
            <w:r w:rsidRPr="00C93348">
              <w:rPr>
                <w:b/>
                <w:sz w:val="18"/>
                <w:szCs w:val="18"/>
              </w:rPr>
              <w:t>Administrative advice:</w:t>
            </w:r>
            <w:r w:rsidRPr="00C93348">
              <w:rPr>
                <w:sz w:val="18"/>
                <w:szCs w:val="18"/>
              </w:rPr>
              <w:t xml:space="preserve"> No increase in the maximum quantity or number of units may be authorised</w:t>
            </w:r>
          </w:p>
        </w:tc>
      </w:tr>
      <w:tr w:rsidR="001039A4" w:rsidRPr="00C93348" w:rsidTr="001039A4">
        <w:tc>
          <w:tcPr>
            <w:tcW w:w="5000" w:type="pct"/>
          </w:tcPr>
          <w:p w:rsidR="001039A4" w:rsidRPr="00C93348" w:rsidRDefault="001039A4" w:rsidP="0062451B">
            <w:pPr>
              <w:pStyle w:val="TableText0"/>
              <w:rPr>
                <w:sz w:val="18"/>
                <w:szCs w:val="18"/>
              </w:rPr>
            </w:pPr>
            <w:r w:rsidRPr="00C93348">
              <w:rPr>
                <w:b/>
                <w:sz w:val="18"/>
                <w:szCs w:val="18"/>
              </w:rPr>
              <w:t>Administrative advice:</w:t>
            </w:r>
            <w:r w:rsidRPr="00C93348">
              <w:rPr>
                <w:sz w:val="18"/>
                <w:szCs w:val="18"/>
              </w:rPr>
              <w:t xml:space="preserve"> No increase in the maximum number of repeats may be authorised</w:t>
            </w:r>
          </w:p>
        </w:tc>
      </w:tr>
      <w:tr w:rsidR="001039A4" w:rsidRPr="00C93348" w:rsidTr="001039A4">
        <w:tc>
          <w:tcPr>
            <w:tcW w:w="5000" w:type="pct"/>
          </w:tcPr>
          <w:p w:rsidR="001039A4" w:rsidRPr="00C93348" w:rsidRDefault="001039A4" w:rsidP="0062451B">
            <w:pPr>
              <w:pStyle w:val="TableText0"/>
              <w:rPr>
                <w:sz w:val="18"/>
                <w:szCs w:val="18"/>
              </w:rPr>
            </w:pPr>
            <w:r w:rsidRPr="00C93348">
              <w:rPr>
                <w:b/>
                <w:sz w:val="18"/>
                <w:szCs w:val="18"/>
              </w:rPr>
              <w:t>Administrative advice:</w:t>
            </w:r>
            <w:r w:rsidRPr="00C93348">
              <w:rPr>
                <w:sz w:val="18"/>
                <w:szCs w:val="18"/>
              </w:rPr>
              <w:t xml:space="preserve"> Special Pricing Arrangements apply</w:t>
            </w:r>
          </w:p>
        </w:tc>
      </w:tr>
    </w:tbl>
    <w:p w:rsidR="001039A4" w:rsidRDefault="001039A4" w:rsidP="00A80684">
      <w:pPr>
        <w:keepNext/>
        <w:keepLines/>
        <w:rPr>
          <w:rFonts w:ascii="Arial Narrow" w:hAnsi="Arial Narrow"/>
          <w:b/>
          <w:sz w:val="18"/>
          <w:szCs w:val="18"/>
        </w:rPr>
      </w:pPr>
    </w:p>
    <w:p w:rsidR="0062451B" w:rsidRDefault="004D69E8" w:rsidP="00A80684">
      <w:pPr>
        <w:keepNext/>
        <w:keepLines/>
        <w:rPr>
          <w:rFonts w:ascii="Arial Narrow" w:hAnsi="Arial Narrow"/>
          <w:b/>
          <w:sz w:val="18"/>
          <w:szCs w:val="18"/>
        </w:rPr>
      </w:pPr>
      <w:r>
        <w:rPr>
          <w:rFonts w:ascii="Arial Narrow" w:hAnsi="Arial Narrow"/>
          <w:b/>
          <w:sz w:val="18"/>
          <w:szCs w:val="18"/>
        </w:rPr>
        <w:t>F</w:t>
      </w:r>
      <w:r w:rsidR="0062451B" w:rsidRPr="00C93348">
        <w:rPr>
          <w:rFonts w:ascii="Arial Narrow" w:hAnsi="Arial Narrow"/>
          <w:b/>
          <w:sz w:val="18"/>
          <w:szCs w:val="18"/>
        </w:rPr>
        <w:t xml:space="preserve">irst-line </w:t>
      </w:r>
      <w:r>
        <w:rPr>
          <w:rFonts w:ascii="Arial Narrow" w:hAnsi="Arial Narrow"/>
          <w:b/>
          <w:sz w:val="18"/>
          <w:szCs w:val="18"/>
        </w:rPr>
        <w:t xml:space="preserve">Grandfather </w:t>
      </w:r>
      <w:r w:rsidR="0062451B" w:rsidRPr="00C93348">
        <w:rPr>
          <w:rFonts w:ascii="Arial Narrow" w:hAnsi="Arial Narrow"/>
          <w:b/>
          <w:sz w:val="18"/>
          <w:szCs w:val="18"/>
        </w:rPr>
        <w:t>treatment Restriction Summary [NEW] / ToC: [NEW]:</w:t>
      </w:r>
    </w:p>
    <w:tbl>
      <w:tblPr>
        <w:tblStyle w:val="TableGrid"/>
        <w:tblW w:w="5000" w:type="pct"/>
        <w:tblLook w:val="04A0" w:firstRow="1" w:lastRow="0" w:firstColumn="1" w:lastColumn="0" w:noHBand="0" w:noVBand="1"/>
      </w:tblPr>
      <w:tblGrid>
        <w:gridCol w:w="9017"/>
      </w:tblGrid>
      <w:tr w:rsidR="001039A4" w:rsidRPr="00C93348" w:rsidTr="001039A4">
        <w:tc>
          <w:tcPr>
            <w:tcW w:w="5000" w:type="pct"/>
          </w:tcPr>
          <w:p w:rsidR="001039A4" w:rsidRPr="00C93348" w:rsidRDefault="001039A4" w:rsidP="00A80684">
            <w:pPr>
              <w:keepNext/>
              <w:keepLines/>
              <w:rPr>
                <w:rFonts w:ascii="Arial Narrow" w:eastAsiaTheme="majorEastAsia" w:hAnsi="Arial Narrow"/>
                <w:sz w:val="18"/>
                <w:szCs w:val="18"/>
                <w:lang w:bidi="en-US"/>
              </w:rPr>
            </w:pPr>
            <w:r w:rsidRPr="00C93348">
              <w:rPr>
                <w:rFonts w:ascii="Arial Narrow" w:eastAsiaTheme="majorEastAsia" w:hAnsi="Arial Narrow"/>
                <w:b/>
                <w:sz w:val="18"/>
                <w:szCs w:val="18"/>
                <w:lang w:bidi="en-US"/>
              </w:rPr>
              <w:t>Category / Program:</w:t>
            </w:r>
            <w:r w:rsidRPr="00C93348">
              <w:rPr>
                <w:rFonts w:ascii="Arial Narrow" w:eastAsiaTheme="majorEastAsia" w:hAnsi="Arial Narrow"/>
                <w:sz w:val="18"/>
                <w:szCs w:val="18"/>
                <w:lang w:bidi="en-US"/>
              </w:rPr>
              <w:t xml:space="preserve"> Section 85 – General Schedule – Code GE</w:t>
            </w:r>
          </w:p>
        </w:tc>
      </w:tr>
      <w:tr w:rsidR="001039A4" w:rsidRPr="00C93348" w:rsidTr="001039A4">
        <w:tc>
          <w:tcPr>
            <w:tcW w:w="5000" w:type="pct"/>
          </w:tcPr>
          <w:p w:rsidR="001039A4" w:rsidRPr="00C93348" w:rsidRDefault="001039A4" w:rsidP="00A80684">
            <w:pPr>
              <w:keepNext/>
              <w:keepLines/>
              <w:rPr>
                <w:rFonts w:ascii="Arial Narrow" w:eastAsiaTheme="majorEastAsia" w:hAnsi="Arial Narrow"/>
                <w:sz w:val="18"/>
                <w:szCs w:val="18"/>
                <w:lang w:bidi="en-US"/>
              </w:rPr>
            </w:pPr>
            <w:r w:rsidRPr="00C93348">
              <w:rPr>
                <w:rFonts w:ascii="Arial Narrow" w:eastAsiaTheme="majorEastAsia" w:hAnsi="Arial Narrow"/>
                <w:b/>
                <w:sz w:val="18"/>
                <w:szCs w:val="18"/>
                <w:lang w:bidi="en-US"/>
              </w:rPr>
              <w:t>Prescriber type:</w:t>
            </w:r>
            <w:r w:rsidRPr="00C93348">
              <w:rPr>
                <w:rFonts w:ascii="Arial Narrow" w:eastAsiaTheme="majorEastAsia" w:hAnsi="Arial Narrow"/>
                <w:sz w:val="18"/>
                <w:szCs w:val="18"/>
                <w:lang w:bidi="en-US"/>
              </w:rPr>
              <w:t xml:space="preserve"> </w:t>
            </w:r>
            <w:r w:rsidRPr="00C93348">
              <w:rPr>
                <w:rFonts w:ascii="Arial Narrow" w:eastAsiaTheme="majorEastAsia" w:hAnsi="Arial Narrow"/>
                <w:sz w:val="18"/>
                <w:szCs w:val="18"/>
                <w:lang w:bidi="en-US"/>
              </w:rPr>
              <w:fldChar w:fldCharType="begin">
                <w:ffData>
                  <w:name w:val="Check1"/>
                  <w:enabled/>
                  <w:calcOnExit w:val="0"/>
                  <w:checkBox>
                    <w:sizeAuto/>
                    <w:default w:val="1"/>
                  </w:checkBox>
                </w:ffData>
              </w:fldChar>
            </w:r>
            <w:r w:rsidRPr="00C93348">
              <w:rPr>
                <w:rFonts w:ascii="Arial Narrow" w:eastAsiaTheme="majorEastAsia" w:hAnsi="Arial Narrow"/>
                <w:sz w:val="18"/>
                <w:szCs w:val="18"/>
                <w:lang w:bidi="en-US"/>
              </w:rPr>
              <w:instrText xml:space="preserve"> FORMCHECKBOX </w:instrText>
            </w:r>
            <w:r w:rsidR="00646896">
              <w:rPr>
                <w:rFonts w:ascii="Arial Narrow" w:eastAsiaTheme="majorEastAsia" w:hAnsi="Arial Narrow"/>
                <w:sz w:val="18"/>
                <w:szCs w:val="18"/>
                <w:lang w:bidi="en-US"/>
              </w:rPr>
            </w:r>
            <w:r w:rsidR="00646896">
              <w:rPr>
                <w:rFonts w:ascii="Arial Narrow" w:eastAsiaTheme="majorEastAsia" w:hAnsi="Arial Narrow"/>
                <w:sz w:val="18"/>
                <w:szCs w:val="18"/>
                <w:lang w:bidi="en-US"/>
              </w:rPr>
              <w:fldChar w:fldCharType="separate"/>
            </w:r>
            <w:r w:rsidRPr="00C93348">
              <w:rPr>
                <w:rFonts w:ascii="Arial Narrow" w:eastAsiaTheme="majorEastAsia" w:hAnsi="Arial Narrow"/>
                <w:sz w:val="18"/>
                <w:szCs w:val="18"/>
                <w:lang w:bidi="en-US"/>
              </w:rPr>
              <w:fldChar w:fldCharType="end"/>
            </w:r>
            <w:r w:rsidRPr="00C93348">
              <w:rPr>
                <w:rFonts w:ascii="Arial Narrow" w:eastAsiaTheme="majorEastAsia" w:hAnsi="Arial Narrow"/>
                <w:sz w:val="18"/>
                <w:szCs w:val="18"/>
                <w:lang w:bidi="en-US"/>
              </w:rPr>
              <w:t xml:space="preserve"> Medical Practitioners </w:t>
            </w:r>
          </w:p>
        </w:tc>
      </w:tr>
      <w:tr w:rsidR="001039A4" w:rsidRPr="00C93348" w:rsidTr="001039A4">
        <w:tc>
          <w:tcPr>
            <w:tcW w:w="5000" w:type="pct"/>
          </w:tcPr>
          <w:p w:rsidR="001039A4" w:rsidRPr="00C93348" w:rsidRDefault="001039A4" w:rsidP="00A80684">
            <w:pPr>
              <w:keepNext/>
              <w:keepLines/>
              <w:rPr>
                <w:rFonts w:ascii="Arial Narrow" w:eastAsia="Calibri" w:hAnsi="Arial Narrow"/>
                <w:sz w:val="18"/>
                <w:szCs w:val="18"/>
              </w:rPr>
            </w:pPr>
            <w:r w:rsidRPr="00C93348">
              <w:rPr>
                <w:rFonts w:ascii="Arial Narrow" w:eastAsia="Calibri" w:hAnsi="Arial Narrow"/>
                <w:sz w:val="18"/>
                <w:szCs w:val="18"/>
              </w:rPr>
              <w:fldChar w:fldCharType="begin">
                <w:ffData>
                  <w:name w:val="Check3"/>
                  <w:enabled/>
                  <w:calcOnExit w:val="0"/>
                  <w:checkBox>
                    <w:sizeAuto/>
                    <w:default w:val="1"/>
                  </w:checkBox>
                </w:ffData>
              </w:fldChar>
            </w:r>
            <w:r w:rsidRPr="00C93348">
              <w:rPr>
                <w:rFonts w:ascii="Arial Narrow" w:eastAsia="Calibri" w:hAnsi="Arial Narrow"/>
                <w:sz w:val="18"/>
                <w:szCs w:val="18"/>
              </w:rPr>
              <w:instrText xml:space="preserve"> FORMCHECKBOX </w:instrText>
            </w:r>
            <w:r w:rsidR="00646896">
              <w:rPr>
                <w:rFonts w:ascii="Arial Narrow" w:eastAsia="Calibri" w:hAnsi="Arial Narrow"/>
                <w:sz w:val="18"/>
                <w:szCs w:val="18"/>
              </w:rPr>
            </w:r>
            <w:r w:rsidR="00646896">
              <w:rPr>
                <w:rFonts w:ascii="Arial Narrow" w:eastAsia="Calibri" w:hAnsi="Arial Narrow"/>
                <w:sz w:val="18"/>
                <w:szCs w:val="18"/>
              </w:rPr>
              <w:fldChar w:fldCharType="separate"/>
            </w:r>
            <w:r w:rsidRPr="00C93348">
              <w:rPr>
                <w:rFonts w:ascii="Arial Narrow" w:eastAsia="Calibri" w:hAnsi="Arial Narrow"/>
                <w:sz w:val="18"/>
                <w:szCs w:val="18"/>
              </w:rPr>
              <w:fldChar w:fldCharType="end"/>
            </w:r>
            <w:r w:rsidRPr="00C93348">
              <w:rPr>
                <w:rFonts w:ascii="Arial Narrow" w:eastAsia="Calibri" w:hAnsi="Arial Narrow"/>
                <w:sz w:val="18"/>
                <w:szCs w:val="18"/>
              </w:rPr>
              <w:t xml:space="preserve">Authority Required – immediate/real time assessment by </w:t>
            </w:r>
            <w:r>
              <w:rPr>
                <w:rFonts w:ascii="Arial Narrow" w:eastAsia="Calibri" w:hAnsi="Arial Narrow"/>
                <w:sz w:val="18"/>
                <w:szCs w:val="18"/>
              </w:rPr>
              <w:t xml:space="preserve">Services Australia </w:t>
            </w:r>
            <w:r w:rsidRPr="00C93348">
              <w:rPr>
                <w:rFonts w:ascii="Arial Narrow" w:eastAsia="Calibri" w:hAnsi="Arial Narrow"/>
                <w:sz w:val="18"/>
                <w:szCs w:val="18"/>
              </w:rPr>
              <w:t>(telephone/online)</w:t>
            </w:r>
          </w:p>
        </w:tc>
      </w:tr>
      <w:tr w:rsidR="001039A4" w:rsidRPr="00C93348" w:rsidTr="001039A4">
        <w:tc>
          <w:tcPr>
            <w:tcW w:w="5000" w:type="pct"/>
          </w:tcPr>
          <w:p w:rsidR="001039A4" w:rsidRPr="00C93348" w:rsidRDefault="001039A4" w:rsidP="00A80684">
            <w:pPr>
              <w:keepNext/>
              <w:keepLines/>
              <w:rPr>
                <w:rFonts w:ascii="Arial Narrow" w:eastAsiaTheme="majorEastAsia" w:hAnsi="Arial Narrow"/>
                <w:sz w:val="18"/>
                <w:szCs w:val="18"/>
                <w:lang w:bidi="en-US"/>
              </w:rPr>
            </w:pPr>
            <w:r w:rsidRPr="00C93348">
              <w:rPr>
                <w:rFonts w:ascii="Arial Narrow" w:hAnsi="Arial Narrow"/>
                <w:b/>
                <w:sz w:val="18"/>
                <w:szCs w:val="18"/>
              </w:rPr>
              <w:t>PBS indication:</w:t>
            </w:r>
            <w:r w:rsidRPr="00C93348">
              <w:rPr>
                <w:rFonts w:ascii="Arial Narrow" w:hAnsi="Arial Narrow"/>
                <w:sz w:val="18"/>
                <w:szCs w:val="18"/>
              </w:rPr>
              <w:t xml:space="preserve"> Stage IIIB (locally advanced) or Stage IV (metastatic) non-small cell lung cancer (NSCLC)</w:t>
            </w:r>
          </w:p>
        </w:tc>
      </w:tr>
      <w:tr w:rsidR="001039A4" w:rsidRPr="00C93348" w:rsidTr="001039A4">
        <w:tc>
          <w:tcPr>
            <w:tcW w:w="5000" w:type="pct"/>
          </w:tcPr>
          <w:p w:rsidR="001039A4" w:rsidRPr="00C93348" w:rsidRDefault="001039A4" w:rsidP="004D69E8">
            <w:pPr>
              <w:keepNext/>
              <w:rPr>
                <w:rFonts w:ascii="Arial Narrow" w:eastAsiaTheme="majorEastAsia" w:hAnsi="Arial Narrow"/>
                <w:sz w:val="18"/>
                <w:szCs w:val="18"/>
                <w:lang w:bidi="en-US"/>
              </w:rPr>
            </w:pPr>
            <w:r w:rsidRPr="00C93348">
              <w:rPr>
                <w:rFonts w:ascii="Arial Narrow" w:eastAsiaTheme="majorEastAsia" w:hAnsi="Arial Narrow"/>
                <w:b/>
                <w:sz w:val="18"/>
                <w:szCs w:val="18"/>
                <w:lang w:bidi="en-US"/>
              </w:rPr>
              <w:t>Treatment phase</w:t>
            </w:r>
            <w:r>
              <w:rPr>
                <w:rFonts w:ascii="Arial Narrow" w:eastAsiaTheme="majorEastAsia" w:hAnsi="Arial Narrow"/>
                <w:sz w:val="18"/>
                <w:szCs w:val="18"/>
                <w:lang w:bidi="en-US"/>
              </w:rPr>
              <w:t xml:space="preserve">: Transitioning from </w:t>
            </w:r>
            <w:r w:rsidRPr="00C93348">
              <w:rPr>
                <w:rFonts w:ascii="Arial Narrow" w:eastAsiaTheme="majorEastAsia" w:hAnsi="Arial Narrow"/>
                <w:sz w:val="18"/>
                <w:szCs w:val="18"/>
                <w:lang w:bidi="en-US"/>
              </w:rPr>
              <w:t xml:space="preserve">non-PBS </w:t>
            </w:r>
            <w:r>
              <w:rPr>
                <w:rFonts w:ascii="Arial Narrow" w:eastAsiaTheme="majorEastAsia" w:hAnsi="Arial Narrow"/>
                <w:sz w:val="18"/>
                <w:szCs w:val="18"/>
                <w:lang w:bidi="en-US"/>
              </w:rPr>
              <w:t>to PBS-</w:t>
            </w:r>
            <w:r w:rsidRPr="00C93348">
              <w:rPr>
                <w:rFonts w:ascii="Arial Narrow" w:eastAsiaTheme="majorEastAsia" w:hAnsi="Arial Narrow"/>
                <w:sz w:val="18"/>
                <w:szCs w:val="18"/>
                <w:lang w:bidi="en-US"/>
              </w:rPr>
              <w:t xml:space="preserve">subsidised </w:t>
            </w:r>
            <w:r>
              <w:rPr>
                <w:rFonts w:ascii="Arial Narrow" w:eastAsiaTheme="majorEastAsia" w:hAnsi="Arial Narrow"/>
                <w:sz w:val="18"/>
                <w:szCs w:val="18"/>
                <w:lang w:bidi="en-US"/>
              </w:rPr>
              <w:t xml:space="preserve">supply </w:t>
            </w:r>
            <w:r w:rsidRPr="00C93348">
              <w:rPr>
                <w:rFonts w:ascii="Arial Narrow" w:eastAsiaTheme="majorEastAsia" w:hAnsi="Arial Narrow"/>
                <w:sz w:val="18"/>
                <w:szCs w:val="18"/>
                <w:lang w:bidi="en-US"/>
              </w:rPr>
              <w:t>as</w:t>
            </w:r>
            <w:r>
              <w:rPr>
                <w:rFonts w:ascii="Arial Narrow" w:eastAsiaTheme="majorEastAsia" w:hAnsi="Arial Narrow"/>
                <w:sz w:val="18"/>
                <w:szCs w:val="18"/>
                <w:lang w:bidi="en-US"/>
              </w:rPr>
              <w:t xml:space="preserve"> </w:t>
            </w:r>
            <w:r w:rsidRPr="00C93348">
              <w:rPr>
                <w:rFonts w:ascii="Arial Narrow" w:eastAsiaTheme="majorEastAsia" w:hAnsi="Arial Narrow"/>
                <w:sz w:val="18"/>
                <w:szCs w:val="18"/>
                <w:lang w:bidi="en-US"/>
              </w:rPr>
              <w:t>first-line</w:t>
            </w:r>
            <w:r>
              <w:rPr>
                <w:rFonts w:ascii="Arial Narrow" w:eastAsiaTheme="majorEastAsia" w:hAnsi="Arial Narrow"/>
                <w:sz w:val="18"/>
                <w:szCs w:val="18"/>
                <w:lang w:bidi="en-US"/>
              </w:rPr>
              <w:t xml:space="preserve"> EGFR</w:t>
            </w:r>
            <w:r w:rsidRPr="00C93348">
              <w:rPr>
                <w:rFonts w:ascii="Arial Narrow" w:eastAsiaTheme="majorEastAsia" w:hAnsi="Arial Narrow"/>
                <w:sz w:val="18"/>
                <w:szCs w:val="18"/>
                <w:lang w:bidi="en-US"/>
              </w:rPr>
              <w:t xml:space="preserve"> tyrosin</w:t>
            </w:r>
            <w:r>
              <w:rPr>
                <w:rFonts w:ascii="Arial Narrow" w:eastAsiaTheme="majorEastAsia" w:hAnsi="Arial Narrow"/>
                <w:sz w:val="18"/>
                <w:szCs w:val="18"/>
                <w:lang w:bidi="en-US"/>
              </w:rPr>
              <w:t>e kinase inhibitor therapy – ‘Grandfather’ treatment</w:t>
            </w:r>
            <w:r w:rsidRPr="00C93348">
              <w:rPr>
                <w:rFonts w:ascii="Arial Narrow" w:eastAsiaTheme="majorEastAsia" w:hAnsi="Arial Narrow"/>
                <w:sz w:val="18"/>
                <w:szCs w:val="18"/>
                <w:lang w:bidi="en-US"/>
              </w:rPr>
              <w:t xml:space="preserve"> </w:t>
            </w:r>
          </w:p>
        </w:tc>
      </w:tr>
      <w:tr w:rsidR="001039A4" w:rsidRPr="00C93348" w:rsidTr="001039A4">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Clinical criteria:</w:t>
            </w:r>
          </w:p>
        </w:tc>
      </w:tr>
      <w:tr w:rsidR="001039A4" w:rsidRPr="00C93348" w:rsidTr="001039A4">
        <w:tc>
          <w:tcPr>
            <w:tcW w:w="5000" w:type="pct"/>
          </w:tcPr>
          <w:p w:rsidR="001039A4" w:rsidRPr="00C93348" w:rsidRDefault="001039A4" w:rsidP="00FB43AC">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 xml:space="preserve">Patient must have received non-PBS subsidised treatment with this drug as first-line </w:t>
            </w:r>
            <w:r>
              <w:rPr>
                <w:rFonts w:ascii="Arial Narrow" w:eastAsiaTheme="majorEastAsia" w:hAnsi="Arial Narrow"/>
                <w:sz w:val="18"/>
                <w:szCs w:val="18"/>
                <w:lang w:bidi="en-US"/>
              </w:rPr>
              <w:t xml:space="preserve">EGFR </w:t>
            </w:r>
            <w:r w:rsidRPr="00C93348">
              <w:rPr>
                <w:rFonts w:ascii="Arial Narrow" w:eastAsiaTheme="majorEastAsia" w:hAnsi="Arial Narrow"/>
                <w:sz w:val="18"/>
                <w:szCs w:val="18"/>
                <w:lang w:bidi="en-US"/>
              </w:rPr>
              <w:t>tyrosine kinase inhibitor therapy for this PBS indication prior to [listing date],</w:t>
            </w:r>
          </w:p>
        </w:tc>
      </w:tr>
      <w:tr w:rsidR="001039A4" w:rsidRPr="00C93348" w:rsidTr="001039A4">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AND</w:t>
            </w:r>
          </w:p>
        </w:tc>
      </w:tr>
      <w:tr w:rsidR="001039A4" w:rsidRPr="00C93348" w:rsidTr="001039A4">
        <w:tc>
          <w:tcPr>
            <w:tcW w:w="5000" w:type="pct"/>
          </w:tcPr>
          <w:p w:rsidR="001039A4" w:rsidRPr="00C93348" w:rsidRDefault="001039A4" w:rsidP="0062451B">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 xml:space="preserve">The treatment must be the sole PBS-subsidised therapy for this condition </w:t>
            </w:r>
          </w:p>
        </w:tc>
      </w:tr>
      <w:tr w:rsidR="001039A4" w:rsidRPr="00C93348" w:rsidTr="001039A4">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AND</w:t>
            </w:r>
          </w:p>
        </w:tc>
      </w:tr>
      <w:tr w:rsidR="001039A4" w:rsidRPr="00C93348" w:rsidTr="001039A4">
        <w:tc>
          <w:tcPr>
            <w:tcW w:w="5000" w:type="pct"/>
          </w:tcPr>
          <w:p w:rsidR="001039A4" w:rsidRPr="00C93348" w:rsidRDefault="001039A4" w:rsidP="0062451B">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Patient must have had a WHO performance status of 2 or less prior to initiating non-PBS subsidised treatment</w:t>
            </w:r>
          </w:p>
        </w:tc>
      </w:tr>
      <w:tr w:rsidR="001039A4" w:rsidRPr="00C93348" w:rsidTr="001039A4">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AND</w:t>
            </w:r>
          </w:p>
        </w:tc>
      </w:tr>
      <w:tr w:rsidR="001039A4" w:rsidRPr="00C93348" w:rsidTr="001039A4">
        <w:tc>
          <w:tcPr>
            <w:tcW w:w="5000" w:type="pct"/>
          </w:tcPr>
          <w:p w:rsidR="001039A4" w:rsidRPr="00C93348" w:rsidRDefault="001039A4" w:rsidP="0062451B">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Patient must not have developed disease progression while receiving non-PBS subsidised treatment with this drug for this condition</w:t>
            </w:r>
          </w:p>
        </w:tc>
      </w:tr>
      <w:tr w:rsidR="001039A4" w:rsidRPr="00C93348" w:rsidTr="001039A4">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Population criteria:</w:t>
            </w:r>
          </w:p>
        </w:tc>
      </w:tr>
      <w:tr w:rsidR="001039A4" w:rsidRPr="00C93348" w:rsidTr="001039A4">
        <w:trPr>
          <w:trHeight w:val="677"/>
        </w:trPr>
        <w:tc>
          <w:tcPr>
            <w:tcW w:w="5000" w:type="pct"/>
          </w:tcPr>
          <w:p w:rsidR="001039A4" w:rsidRPr="00C93348" w:rsidRDefault="001039A4" w:rsidP="00FB43AC">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Patient must have evidence in tumour material of an activating epidermal growth factor receptor (EGFR) gene mutation known to confer sensitivity to treatment with EGFR tyrosine kinase inhibitors that was obtained</w:t>
            </w:r>
            <w:r w:rsidRPr="00C93348">
              <w:rPr>
                <w:rFonts w:ascii="Arial Narrow" w:eastAsiaTheme="majorEastAsia" w:hAnsi="Arial Narrow"/>
                <w:i/>
                <w:sz w:val="18"/>
                <w:szCs w:val="18"/>
                <w:lang w:bidi="en-US"/>
              </w:rPr>
              <w:t xml:space="preserve"> </w:t>
            </w:r>
            <w:r w:rsidRPr="00C93348">
              <w:rPr>
                <w:rFonts w:ascii="Arial Narrow" w:eastAsiaTheme="majorEastAsia" w:hAnsi="Arial Narrow"/>
                <w:sz w:val="18"/>
                <w:szCs w:val="18"/>
                <w:lang w:bidi="en-US"/>
              </w:rPr>
              <w:t>prior to initiating non-PBS subsidised treatment</w:t>
            </w:r>
          </w:p>
        </w:tc>
      </w:tr>
      <w:tr w:rsidR="001039A4" w:rsidRPr="00C93348" w:rsidTr="001039A4">
        <w:trPr>
          <w:trHeight w:val="677"/>
        </w:trPr>
        <w:tc>
          <w:tcPr>
            <w:tcW w:w="5000" w:type="pct"/>
          </w:tcPr>
          <w:p w:rsidR="001039A4" w:rsidRPr="00C93348" w:rsidRDefault="001039A4" w:rsidP="0062451B">
            <w:pPr>
              <w:keepNext/>
              <w:rPr>
                <w:rFonts w:ascii="Arial Narrow" w:eastAsiaTheme="majorEastAsia" w:hAnsi="Arial Narrow"/>
                <w:b/>
                <w:sz w:val="18"/>
                <w:szCs w:val="18"/>
                <w:lang w:bidi="en-US"/>
              </w:rPr>
            </w:pPr>
            <w:r w:rsidRPr="00C93348">
              <w:rPr>
                <w:rFonts w:ascii="Arial Narrow" w:eastAsiaTheme="majorEastAsia" w:hAnsi="Arial Narrow"/>
                <w:b/>
                <w:sz w:val="18"/>
                <w:szCs w:val="18"/>
                <w:lang w:bidi="en-US"/>
              </w:rPr>
              <w:t>Prescribing instructions:</w:t>
            </w:r>
          </w:p>
          <w:p w:rsidR="001039A4" w:rsidRPr="00C93348" w:rsidRDefault="001039A4" w:rsidP="0062451B">
            <w:pPr>
              <w:keepNext/>
              <w:rPr>
                <w:rFonts w:ascii="Arial Narrow" w:eastAsiaTheme="majorEastAsia" w:hAnsi="Arial Narrow"/>
                <w:sz w:val="18"/>
                <w:szCs w:val="18"/>
                <w:lang w:bidi="en-US"/>
              </w:rPr>
            </w:pPr>
            <w:r w:rsidRPr="00C93348">
              <w:rPr>
                <w:rFonts w:ascii="Arial Narrow" w:eastAsiaTheme="majorEastAsia" w:hAnsi="Arial Narrow"/>
                <w:sz w:val="18"/>
                <w:szCs w:val="18"/>
                <w:lang w:bidi="en-US"/>
              </w:rPr>
              <w:t xml:space="preserve">A Grandfathered patient may qualify for PBS-subsidised treatment under this restriction once only. </w:t>
            </w:r>
            <w:r w:rsidRPr="00C93348">
              <w:rPr>
                <w:rFonts w:ascii="Arial Narrow" w:hAnsi="Arial Narrow"/>
                <w:sz w:val="18"/>
                <w:szCs w:val="18"/>
              </w:rPr>
              <w:t xml:space="preserve">For continuing PBS-subsidised treatment, a Grandfathered patient must qualify under the continuing treatment criteria. </w:t>
            </w:r>
          </w:p>
        </w:tc>
      </w:tr>
      <w:tr w:rsidR="001039A4" w:rsidRPr="00C93348" w:rsidTr="001039A4">
        <w:trPr>
          <w:trHeight w:val="677"/>
        </w:trPr>
        <w:tc>
          <w:tcPr>
            <w:tcW w:w="5000" w:type="pct"/>
          </w:tcPr>
          <w:p w:rsidR="001039A4" w:rsidRPr="00C93348" w:rsidRDefault="001039A4" w:rsidP="0062451B">
            <w:pPr>
              <w:pStyle w:val="TableText0"/>
              <w:rPr>
                <w:sz w:val="18"/>
                <w:szCs w:val="18"/>
              </w:rPr>
            </w:pPr>
            <w:r w:rsidRPr="00C93348">
              <w:rPr>
                <w:b/>
                <w:sz w:val="18"/>
                <w:szCs w:val="18"/>
              </w:rPr>
              <w:t>Administrative Advice:</w:t>
            </w:r>
          </w:p>
          <w:p w:rsidR="001039A4" w:rsidRPr="00C93348" w:rsidRDefault="001039A4" w:rsidP="0062451B">
            <w:pPr>
              <w:keepNext/>
              <w:rPr>
                <w:rFonts w:ascii="Arial Narrow" w:eastAsiaTheme="majorEastAsia" w:hAnsi="Arial Narrow"/>
                <w:b/>
                <w:i/>
                <w:sz w:val="18"/>
                <w:szCs w:val="18"/>
                <w:lang w:bidi="en-US"/>
              </w:rPr>
            </w:pPr>
            <w:r w:rsidRPr="00C93348">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1039A4" w:rsidRPr="00C93348" w:rsidTr="001039A4">
        <w:trPr>
          <w:trHeight w:val="323"/>
        </w:trPr>
        <w:tc>
          <w:tcPr>
            <w:tcW w:w="5000" w:type="pct"/>
          </w:tcPr>
          <w:p w:rsidR="001039A4" w:rsidRPr="00C93348" w:rsidRDefault="001039A4" w:rsidP="0062451B">
            <w:pPr>
              <w:pStyle w:val="TableText0"/>
              <w:rPr>
                <w:i/>
                <w:sz w:val="18"/>
                <w:szCs w:val="18"/>
              </w:rPr>
            </w:pPr>
            <w:r w:rsidRPr="00C93348">
              <w:rPr>
                <w:b/>
                <w:sz w:val="18"/>
                <w:szCs w:val="18"/>
              </w:rPr>
              <w:t>Administrative advice:</w:t>
            </w:r>
            <w:r w:rsidRPr="00C93348">
              <w:rPr>
                <w:sz w:val="18"/>
                <w:szCs w:val="18"/>
              </w:rPr>
              <w:t xml:space="preserve"> No increase in the maximum quantity or number of units may be authorised</w:t>
            </w:r>
          </w:p>
        </w:tc>
      </w:tr>
      <w:tr w:rsidR="001039A4" w:rsidRPr="00C93348" w:rsidTr="001039A4">
        <w:trPr>
          <w:trHeight w:val="271"/>
        </w:trPr>
        <w:tc>
          <w:tcPr>
            <w:tcW w:w="5000" w:type="pct"/>
          </w:tcPr>
          <w:p w:rsidR="001039A4" w:rsidRPr="00C93348" w:rsidRDefault="001039A4" w:rsidP="0062451B">
            <w:pPr>
              <w:pStyle w:val="TableText0"/>
              <w:rPr>
                <w:sz w:val="18"/>
                <w:szCs w:val="18"/>
              </w:rPr>
            </w:pPr>
            <w:r w:rsidRPr="00C93348">
              <w:rPr>
                <w:b/>
                <w:sz w:val="18"/>
                <w:szCs w:val="18"/>
              </w:rPr>
              <w:t>Administrative advice</w:t>
            </w:r>
            <w:r w:rsidRPr="00C93348">
              <w:rPr>
                <w:sz w:val="18"/>
                <w:szCs w:val="18"/>
              </w:rPr>
              <w:t>: No increase in the maximum number of repeats may be authorised</w:t>
            </w:r>
          </w:p>
        </w:tc>
      </w:tr>
      <w:tr w:rsidR="001039A4" w:rsidRPr="00C93348" w:rsidTr="001039A4">
        <w:trPr>
          <w:trHeight w:val="275"/>
        </w:trPr>
        <w:tc>
          <w:tcPr>
            <w:tcW w:w="5000" w:type="pct"/>
          </w:tcPr>
          <w:p w:rsidR="001039A4" w:rsidRPr="00C93348" w:rsidRDefault="001039A4" w:rsidP="0062451B">
            <w:pPr>
              <w:pStyle w:val="TableText0"/>
              <w:rPr>
                <w:sz w:val="18"/>
                <w:szCs w:val="18"/>
              </w:rPr>
            </w:pPr>
            <w:r w:rsidRPr="00C93348">
              <w:rPr>
                <w:b/>
                <w:sz w:val="18"/>
                <w:szCs w:val="18"/>
              </w:rPr>
              <w:t>Administrative advice:</w:t>
            </w:r>
            <w:r w:rsidRPr="00C93348">
              <w:rPr>
                <w:sz w:val="18"/>
                <w:szCs w:val="18"/>
              </w:rPr>
              <w:t xml:space="preserve"> Special Pricing Arrangements apply</w:t>
            </w:r>
          </w:p>
        </w:tc>
      </w:tr>
      <w:tr w:rsidR="001039A4" w:rsidRPr="00C93348" w:rsidTr="001039A4">
        <w:trPr>
          <w:trHeight w:val="275"/>
        </w:trPr>
        <w:tc>
          <w:tcPr>
            <w:tcW w:w="5000" w:type="pct"/>
          </w:tcPr>
          <w:p w:rsidR="001039A4" w:rsidRPr="00C93348" w:rsidRDefault="001039A4" w:rsidP="0062451B">
            <w:pPr>
              <w:pStyle w:val="TableText0"/>
              <w:rPr>
                <w:b/>
                <w:sz w:val="18"/>
                <w:szCs w:val="18"/>
              </w:rPr>
            </w:pPr>
            <w:r w:rsidRPr="00C93348">
              <w:rPr>
                <w:b/>
                <w:sz w:val="18"/>
                <w:szCs w:val="18"/>
              </w:rPr>
              <w:t>Administrative advice:</w:t>
            </w:r>
          </w:p>
          <w:p w:rsidR="001039A4" w:rsidRPr="00C93348" w:rsidRDefault="001039A4" w:rsidP="0062451B">
            <w:pPr>
              <w:pStyle w:val="TableText0"/>
              <w:rPr>
                <w:i/>
                <w:sz w:val="18"/>
                <w:szCs w:val="18"/>
              </w:rPr>
            </w:pPr>
            <w:r w:rsidRPr="00C93348">
              <w:rPr>
                <w:sz w:val="18"/>
                <w:szCs w:val="18"/>
              </w:rPr>
              <w:t>This grandfather restriction will cease to operate from 12 months after the date specified in the Clinical criteria</w:t>
            </w:r>
          </w:p>
        </w:tc>
      </w:tr>
    </w:tbl>
    <w:p w:rsidR="0062451B" w:rsidRPr="00C93348" w:rsidRDefault="0062451B" w:rsidP="0062451B">
      <w:pPr>
        <w:rPr>
          <w:rFonts w:ascii="Arial Narrow" w:hAnsi="Arial Narrow"/>
          <w:i/>
          <w:sz w:val="18"/>
          <w:szCs w:val="18"/>
        </w:rPr>
      </w:pPr>
    </w:p>
    <w:p w:rsidR="00FB43AC" w:rsidRPr="008D4AB1" w:rsidRDefault="008D4AB1" w:rsidP="0062451B">
      <w:pPr>
        <w:rPr>
          <w:rFonts w:asciiTheme="minorHAnsi" w:hAnsiTheme="minorHAnsi" w:cstheme="minorHAnsi"/>
          <w:u w:val="single"/>
        </w:rPr>
      </w:pPr>
      <w:r>
        <w:rPr>
          <w:rFonts w:asciiTheme="minorHAnsi" w:hAnsiTheme="minorHAnsi" w:cstheme="minorHAnsi"/>
          <w:u w:val="single"/>
        </w:rPr>
        <w:t xml:space="preserve">Flow-on changes: </w:t>
      </w:r>
    </w:p>
    <w:p w:rsidR="0062451B" w:rsidRPr="008D4AB1" w:rsidRDefault="008D4AB1" w:rsidP="0062451B">
      <w:pPr>
        <w:rPr>
          <w:rFonts w:asciiTheme="minorHAnsi" w:hAnsiTheme="minorHAnsi" w:cstheme="minorHAnsi"/>
        </w:rPr>
      </w:pPr>
      <w:r>
        <w:rPr>
          <w:rFonts w:asciiTheme="minorHAnsi" w:hAnsiTheme="minorHAnsi" w:cstheme="minorHAnsi"/>
        </w:rPr>
        <w:t xml:space="preserve">Amend </w:t>
      </w:r>
      <w:r w:rsidR="0062451B" w:rsidRPr="008D4AB1">
        <w:rPr>
          <w:rFonts w:asciiTheme="minorHAnsi" w:hAnsiTheme="minorHAnsi" w:cstheme="minorHAnsi"/>
        </w:rPr>
        <w:t>osimertinib’s existing second-line treatment listings</w:t>
      </w:r>
      <w:r w:rsidR="00472BD3">
        <w:rPr>
          <w:rFonts w:asciiTheme="minorHAnsi" w:hAnsiTheme="minorHAnsi" w:cstheme="minorHAnsi"/>
        </w:rPr>
        <w:t xml:space="preserve"> </w:t>
      </w:r>
      <w:r>
        <w:rPr>
          <w:rFonts w:asciiTheme="minorHAnsi" w:hAnsiTheme="minorHAnsi" w:cstheme="minorHAnsi"/>
        </w:rPr>
        <w:t>as follows</w:t>
      </w:r>
      <w:r w:rsidR="0062451B" w:rsidRPr="008D4AB1">
        <w:rPr>
          <w:rFonts w:asciiTheme="minorHAnsi" w:hAnsiTheme="minorHAnsi" w:cstheme="minorHAnsi"/>
        </w:rPr>
        <w:t>:</w:t>
      </w:r>
    </w:p>
    <w:p w:rsidR="0062451B" w:rsidRDefault="003832FD" w:rsidP="008C3F6D">
      <w:pPr>
        <w:pStyle w:val="ListParagraph"/>
        <w:widowControl w:val="0"/>
        <w:numPr>
          <w:ilvl w:val="0"/>
          <w:numId w:val="8"/>
        </w:numPr>
        <w:spacing w:after="0"/>
        <w:rPr>
          <w:rFonts w:cstheme="minorHAnsi"/>
        </w:rPr>
      </w:pPr>
      <w:r>
        <w:rPr>
          <w:rFonts w:cstheme="minorHAnsi"/>
        </w:rPr>
        <w:t xml:space="preserve">Edit </w:t>
      </w:r>
      <w:r w:rsidR="0062451B" w:rsidRPr="008D4AB1">
        <w:rPr>
          <w:rFonts w:cstheme="minorHAnsi"/>
        </w:rPr>
        <w:t>Treatment phase descriptions to make first-line and second-line treatment quickly distinguishable</w:t>
      </w:r>
      <w:r w:rsidR="008D4AB1">
        <w:rPr>
          <w:rFonts w:cstheme="minorHAnsi"/>
        </w:rPr>
        <w:t>:</w:t>
      </w:r>
    </w:p>
    <w:p w:rsidR="00D757D2" w:rsidRPr="00D757D2" w:rsidRDefault="00D757D2" w:rsidP="00D757D2">
      <w:pPr>
        <w:pStyle w:val="ListBullet"/>
        <w:numPr>
          <w:ilvl w:val="0"/>
          <w:numId w:val="0"/>
        </w:numPr>
        <w:ind w:left="360"/>
      </w:pPr>
    </w:p>
    <w:tbl>
      <w:tblPr>
        <w:tblStyle w:val="TableGrid"/>
        <w:tblW w:w="0" w:type="auto"/>
        <w:tblInd w:w="360" w:type="dxa"/>
        <w:tblLook w:val="04A0" w:firstRow="1" w:lastRow="0" w:firstColumn="1" w:lastColumn="0" w:noHBand="0" w:noVBand="1"/>
      </w:tblPr>
      <w:tblGrid>
        <w:gridCol w:w="6754"/>
      </w:tblGrid>
      <w:tr w:rsidR="001039A4" w:rsidRPr="00D757D2" w:rsidTr="002C03A5">
        <w:tc>
          <w:tcPr>
            <w:tcW w:w="6754" w:type="dxa"/>
          </w:tcPr>
          <w:p w:rsidR="001039A4" w:rsidRPr="006F6BEC" w:rsidRDefault="001039A4" w:rsidP="00D757D2">
            <w:pPr>
              <w:pStyle w:val="ListBullet"/>
              <w:numPr>
                <w:ilvl w:val="0"/>
                <w:numId w:val="0"/>
              </w:numPr>
              <w:rPr>
                <w:rFonts w:ascii="Arial Narrow" w:hAnsi="Arial Narrow"/>
                <w:sz w:val="18"/>
                <w:szCs w:val="18"/>
              </w:rPr>
            </w:pPr>
            <w:r w:rsidRPr="006F6BEC">
              <w:rPr>
                <w:rFonts w:ascii="Arial Narrow" w:hAnsi="Arial Narrow"/>
                <w:b/>
                <w:sz w:val="18"/>
                <w:szCs w:val="18"/>
              </w:rPr>
              <w:t>Treatment Phase:</w:t>
            </w:r>
            <w:r w:rsidRPr="006F6BEC">
              <w:rPr>
                <w:rFonts w:ascii="Arial Narrow" w:hAnsi="Arial Narrow"/>
                <w:sz w:val="18"/>
                <w:szCs w:val="18"/>
              </w:rPr>
              <w:t xml:space="preserve"> Continuing treatment of second-line EGFR tyrosine kinase inhibitor therapy</w:t>
            </w:r>
          </w:p>
        </w:tc>
      </w:tr>
      <w:tr w:rsidR="001039A4" w:rsidRPr="00D757D2" w:rsidTr="002C03A5">
        <w:tc>
          <w:tcPr>
            <w:tcW w:w="6754" w:type="dxa"/>
          </w:tcPr>
          <w:p w:rsidR="001039A4" w:rsidRPr="006F6BEC" w:rsidRDefault="001039A4" w:rsidP="008D4AB1">
            <w:pPr>
              <w:pStyle w:val="ListBullet"/>
              <w:numPr>
                <w:ilvl w:val="0"/>
                <w:numId w:val="0"/>
              </w:numPr>
              <w:rPr>
                <w:rFonts w:ascii="Arial Narrow" w:hAnsi="Arial Narrow"/>
                <w:sz w:val="18"/>
                <w:szCs w:val="18"/>
              </w:rPr>
            </w:pPr>
            <w:r w:rsidRPr="006F6BEC">
              <w:rPr>
                <w:rFonts w:ascii="Arial Narrow" w:hAnsi="Arial Narrow"/>
                <w:b/>
                <w:sz w:val="18"/>
                <w:szCs w:val="18"/>
              </w:rPr>
              <w:t>Treatment Phase:</w:t>
            </w:r>
            <w:r w:rsidRPr="006F6BEC">
              <w:rPr>
                <w:rFonts w:ascii="Arial Narrow" w:hAnsi="Arial Narrow"/>
                <w:sz w:val="18"/>
                <w:szCs w:val="18"/>
              </w:rPr>
              <w:t xml:space="preserve"> Initial treatment as second-line EGFR tyrosine kinase inhibitor therapy</w:t>
            </w:r>
          </w:p>
          <w:p w:rsidR="001039A4" w:rsidRPr="006F6BEC" w:rsidRDefault="001039A4" w:rsidP="008D4AB1">
            <w:pPr>
              <w:pStyle w:val="ListBullet"/>
              <w:numPr>
                <w:ilvl w:val="0"/>
                <w:numId w:val="0"/>
              </w:numPr>
              <w:rPr>
                <w:rFonts w:ascii="Arial Narrow" w:hAnsi="Arial Narrow"/>
                <w:sz w:val="18"/>
                <w:szCs w:val="18"/>
              </w:rPr>
            </w:pPr>
            <w:r w:rsidRPr="006F6BEC">
              <w:rPr>
                <w:rFonts w:ascii="Arial Narrow" w:hAnsi="Arial Narrow"/>
                <w:b/>
                <w:sz w:val="18"/>
                <w:szCs w:val="18"/>
              </w:rPr>
              <w:t>Treatment Phase:</w:t>
            </w:r>
            <w:r w:rsidRPr="006F6BEC">
              <w:rPr>
                <w:rFonts w:ascii="Arial Narrow" w:hAnsi="Arial Narrow"/>
                <w:sz w:val="18"/>
                <w:szCs w:val="18"/>
              </w:rPr>
              <w:t xml:space="preserve"> Continuing treatment of second-line EGFR  tyrosine kinase inhibitor therapy</w:t>
            </w:r>
          </w:p>
        </w:tc>
      </w:tr>
    </w:tbl>
    <w:p w:rsidR="008D4AB1" w:rsidRPr="008D4AB1" w:rsidRDefault="008D4AB1" w:rsidP="00D757D2">
      <w:pPr>
        <w:pStyle w:val="ListBullet"/>
        <w:numPr>
          <w:ilvl w:val="0"/>
          <w:numId w:val="0"/>
        </w:numPr>
      </w:pPr>
    </w:p>
    <w:p w:rsidR="0062451B" w:rsidRDefault="0062451B" w:rsidP="008C3F6D">
      <w:pPr>
        <w:pStyle w:val="ListParagraph"/>
        <w:widowControl w:val="0"/>
        <w:numPr>
          <w:ilvl w:val="0"/>
          <w:numId w:val="8"/>
        </w:numPr>
        <w:spacing w:after="0"/>
        <w:rPr>
          <w:rFonts w:cstheme="minorHAnsi"/>
        </w:rPr>
      </w:pPr>
      <w:r w:rsidRPr="008D4AB1">
        <w:rPr>
          <w:rFonts w:cstheme="minorHAnsi"/>
        </w:rPr>
        <w:t xml:space="preserve">Add a </w:t>
      </w:r>
      <w:r w:rsidR="00D757D2">
        <w:rPr>
          <w:rFonts w:cstheme="minorHAnsi"/>
        </w:rPr>
        <w:t xml:space="preserve">clinical </w:t>
      </w:r>
      <w:r w:rsidRPr="008D4AB1">
        <w:rPr>
          <w:rFonts w:cstheme="minorHAnsi"/>
        </w:rPr>
        <w:t>criterion</w:t>
      </w:r>
      <w:r w:rsidR="00D757D2">
        <w:rPr>
          <w:rFonts w:cstheme="minorHAnsi"/>
        </w:rPr>
        <w:t xml:space="preserve"> into the Initial treatment restriction</w:t>
      </w:r>
      <w:r w:rsidR="00D757D2">
        <w:rPr>
          <w:rFonts w:cstheme="minorHAnsi"/>
        </w:rPr>
        <w:br/>
      </w:r>
      <w:r w:rsidRPr="008D4AB1">
        <w:rPr>
          <w:rFonts w:cstheme="minorHAnsi"/>
        </w:rPr>
        <w:t>to prevent re-treatment with osimertinib if the patient has taken it in first-line treatment</w:t>
      </w:r>
      <w:r w:rsidR="00D757D2">
        <w:rPr>
          <w:rFonts w:cstheme="minorHAnsi"/>
        </w:rPr>
        <w:t>:</w:t>
      </w:r>
    </w:p>
    <w:p w:rsidR="007E7982" w:rsidRPr="007E7982" w:rsidRDefault="007E7982" w:rsidP="007E7982">
      <w:pPr>
        <w:pStyle w:val="ListBullet"/>
        <w:numPr>
          <w:ilvl w:val="0"/>
          <w:numId w:val="0"/>
        </w:numPr>
        <w:ind w:left="360"/>
      </w:pPr>
    </w:p>
    <w:p w:rsidR="00D757D2" w:rsidRDefault="007E7982" w:rsidP="00D757D2">
      <w:pPr>
        <w:pStyle w:val="ListBullet"/>
        <w:numPr>
          <w:ilvl w:val="0"/>
          <w:numId w:val="0"/>
        </w:numPr>
        <w:ind w:left="360"/>
      </w:pPr>
      <w:r>
        <w:t xml:space="preserve">To PBS item code: </w:t>
      </w:r>
      <w:r w:rsidR="00BF4348" w:rsidRPr="007E3339">
        <w:rPr>
          <w:rFonts w:ascii="Open Sans" w:hAnsi="Open Sans" w:cs="Open Sans"/>
          <w:color w:val="0A3467"/>
          <w:sz w:val="20"/>
          <w:szCs w:val="20"/>
          <w:u w:val="single"/>
          <w:bdr w:val="none" w:sz="0" w:space="0" w:color="auto" w:frame="1"/>
          <w:shd w:val="clear" w:color="auto" w:fill="EEEEEE"/>
        </w:rPr>
        <w:t>11622Q</w:t>
      </w:r>
      <w:r>
        <w:t>/Restriction Summary 8527:</w:t>
      </w:r>
    </w:p>
    <w:tbl>
      <w:tblPr>
        <w:tblStyle w:val="TableGrid"/>
        <w:tblW w:w="0" w:type="auto"/>
        <w:tblInd w:w="360" w:type="dxa"/>
        <w:tblLook w:val="04A0" w:firstRow="1" w:lastRow="0" w:firstColumn="1" w:lastColumn="0" w:noHBand="0" w:noVBand="1"/>
      </w:tblPr>
      <w:tblGrid>
        <w:gridCol w:w="7321"/>
      </w:tblGrid>
      <w:tr w:rsidR="001039A4" w:rsidRPr="007C4836" w:rsidTr="007C4836">
        <w:tc>
          <w:tcPr>
            <w:tcW w:w="7321" w:type="dxa"/>
          </w:tcPr>
          <w:p w:rsidR="001039A4" w:rsidRPr="007C4836" w:rsidRDefault="001039A4" w:rsidP="00D757D2">
            <w:pPr>
              <w:pStyle w:val="ListBullet"/>
              <w:numPr>
                <w:ilvl w:val="0"/>
                <w:numId w:val="0"/>
              </w:numPr>
              <w:rPr>
                <w:rFonts w:ascii="Arial Narrow" w:hAnsi="Arial Narrow"/>
                <w:b/>
                <w:sz w:val="18"/>
                <w:szCs w:val="18"/>
              </w:rPr>
            </w:pPr>
            <w:r w:rsidRPr="007C4836">
              <w:rPr>
                <w:rFonts w:ascii="Arial Narrow" w:hAnsi="Arial Narrow"/>
                <w:b/>
                <w:sz w:val="18"/>
                <w:szCs w:val="18"/>
              </w:rPr>
              <w:t>Clinical criteria:</w:t>
            </w:r>
          </w:p>
        </w:tc>
      </w:tr>
      <w:tr w:rsidR="001039A4" w:rsidRPr="007C4836" w:rsidTr="007C4836">
        <w:tc>
          <w:tcPr>
            <w:tcW w:w="7321" w:type="dxa"/>
          </w:tcPr>
          <w:p w:rsidR="001039A4" w:rsidRPr="007C4836" w:rsidRDefault="001039A4" w:rsidP="00D757D2">
            <w:pPr>
              <w:pStyle w:val="ListBullet"/>
              <w:numPr>
                <w:ilvl w:val="0"/>
                <w:numId w:val="0"/>
              </w:numPr>
              <w:rPr>
                <w:rFonts w:ascii="Arial Narrow" w:hAnsi="Arial Narrow"/>
                <w:sz w:val="18"/>
                <w:szCs w:val="18"/>
              </w:rPr>
            </w:pPr>
            <w:r w:rsidRPr="007C4836">
              <w:rPr>
                <w:rFonts w:ascii="Arial Narrow" w:hAnsi="Arial Narrow"/>
                <w:sz w:val="18"/>
                <w:szCs w:val="18"/>
              </w:rPr>
              <w:t>Patient must not have previously received this drug for this condition.</w:t>
            </w:r>
          </w:p>
        </w:tc>
      </w:tr>
    </w:tbl>
    <w:p w:rsidR="0062451B" w:rsidRPr="00472BD3" w:rsidRDefault="0062451B" w:rsidP="008C3F6D">
      <w:pPr>
        <w:pStyle w:val="ListParagraph"/>
        <w:widowControl w:val="0"/>
        <w:numPr>
          <w:ilvl w:val="0"/>
          <w:numId w:val="8"/>
        </w:numPr>
        <w:spacing w:after="0"/>
        <w:rPr>
          <w:rFonts w:cstheme="minorHAnsi"/>
        </w:rPr>
      </w:pPr>
      <w:r w:rsidRPr="00472BD3">
        <w:rPr>
          <w:rFonts w:cstheme="minorHAnsi"/>
        </w:rPr>
        <w:t>Amend Authority approval method from ‘written-only’ where it appears (Initial/Grandfather) to ‘telephone/online’</w:t>
      </w:r>
      <w:r w:rsidR="007C4836" w:rsidRPr="00472BD3">
        <w:rPr>
          <w:rFonts w:cstheme="minorHAnsi"/>
        </w:rPr>
        <w:t>;</w:t>
      </w:r>
    </w:p>
    <w:p w:rsidR="006F6BEC" w:rsidRDefault="0062451B" w:rsidP="008C3F6D">
      <w:pPr>
        <w:pStyle w:val="ListParagraph"/>
        <w:widowControl w:val="0"/>
        <w:numPr>
          <w:ilvl w:val="0"/>
          <w:numId w:val="8"/>
        </w:numPr>
        <w:spacing w:after="0"/>
        <w:rPr>
          <w:rFonts w:cstheme="minorHAnsi"/>
        </w:rPr>
      </w:pPr>
      <w:r w:rsidRPr="00472BD3">
        <w:rPr>
          <w:rFonts w:cstheme="minorHAnsi"/>
        </w:rPr>
        <w:t>Remove ‘Complex Authority Required’ flag and replace associated administrative note with that applying to a telephone/online authority approval listing</w:t>
      </w:r>
      <w:r w:rsidR="007C4836" w:rsidRPr="00472BD3">
        <w:rPr>
          <w:rFonts w:cstheme="minorHAnsi"/>
        </w:rPr>
        <w:t xml:space="preserve"> (concept Id 25796); </w:t>
      </w:r>
    </w:p>
    <w:p w:rsidR="006F6BEC" w:rsidRPr="006F6BEC" w:rsidRDefault="006F6BEC" w:rsidP="008C3F6D">
      <w:pPr>
        <w:pStyle w:val="ListParagraph"/>
        <w:widowControl w:val="0"/>
        <w:numPr>
          <w:ilvl w:val="0"/>
          <w:numId w:val="8"/>
        </w:numPr>
        <w:spacing w:after="0"/>
        <w:rPr>
          <w:rFonts w:cstheme="minorHAnsi"/>
        </w:rPr>
      </w:pPr>
      <w:r>
        <w:t>Amend Authority approval method from ‘telephone/online’ where it appears (Continuing) to ‘Streamlined’; and</w:t>
      </w:r>
    </w:p>
    <w:p w:rsidR="0062451B" w:rsidRPr="008D4AB1" w:rsidRDefault="0062451B" w:rsidP="008C3F6D">
      <w:pPr>
        <w:pStyle w:val="ListParagraph"/>
        <w:widowControl w:val="0"/>
        <w:numPr>
          <w:ilvl w:val="0"/>
          <w:numId w:val="8"/>
        </w:numPr>
        <w:spacing w:after="0"/>
        <w:rPr>
          <w:rFonts w:cstheme="minorHAnsi"/>
        </w:rPr>
      </w:pPr>
      <w:r w:rsidRPr="008D4AB1">
        <w:rPr>
          <w:rFonts w:cstheme="minorHAnsi"/>
        </w:rPr>
        <w:t>Remove Grandfather listing that is now more than 12 months old</w:t>
      </w:r>
      <w:r w:rsidR="006F6BEC">
        <w:rPr>
          <w:rFonts w:cstheme="minorHAnsi"/>
        </w:rPr>
        <w:t>.</w:t>
      </w:r>
    </w:p>
    <w:p w:rsidR="007C4836" w:rsidRDefault="007C4836" w:rsidP="002B7B11">
      <w:pPr>
        <w:ind w:left="360"/>
        <w:rPr>
          <w:rFonts w:cs="Calibri"/>
          <w:b/>
          <w:i/>
        </w:rPr>
      </w:pPr>
    </w:p>
    <w:p w:rsidR="0062451B" w:rsidRDefault="003832FD" w:rsidP="00394AC3">
      <w:pPr>
        <w:ind w:left="360"/>
        <w:rPr>
          <w:rFonts w:cs="Calibri"/>
          <w:b/>
          <w:i/>
        </w:rPr>
      </w:pPr>
      <w:r w:rsidRPr="00C93348">
        <w:rPr>
          <w:rFonts w:cs="Calibri"/>
          <w:b/>
          <w:i/>
        </w:rPr>
        <w:t>This restriction may be subject to further review. Should there be any changes made to the restriction the Sponsor will be informed.</w:t>
      </w:r>
      <w:bookmarkEnd w:id="51"/>
      <w:bookmarkEnd w:id="52"/>
      <w:bookmarkEnd w:id="53"/>
      <w:bookmarkEnd w:id="54"/>
      <w:bookmarkEnd w:id="55"/>
      <w:bookmarkEnd w:id="60"/>
    </w:p>
    <w:p w:rsidR="008C3F6D" w:rsidRDefault="008C3F6D" w:rsidP="00394AC3">
      <w:pPr>
        <w:ind w:left="360"/>
        <w:rPr>
          <w:rFonts w:cs="Calibri"/>
          <w:b/>
          <w:i/>
        </w:rPr>
      </w:pPr>
    </w:p>
    <w:p w:rsidR="008C3F6D" w:rsidRPr="008C3F6D" w:rsidRDefault="008C3F6D" w:rsidP="008C3F6D">
      <w:pPr>
        <w:pStyle w:val="2-SectionHeading"/>
      </w:pPr>
      <w:r w:rsidRPr="008C3F6D">
        <w:t>Context for Decision</w:t>
      </w:r>
    </w:p>
    <w:p w:rsidR="008C3F6D" w:rsidRPr="007129F2" w:rsidRDefault="008C3F6D" w:rsidP="008C3F6D">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C3F6D" w:rsidRPr="00C07617" w:rsidRDefault="008C3F6D" w:rsidP="008C3F6D">
      <w:pPr>
        <w:pStyle w:val="2-SectionHeading"/>
        <w:rPr>
          <w:b w:val="0"/>
        </w:rPr>
      </w:pPr>
      <w:r w:rsidRPr="008C3F6D">
        <w:t>Sponsor’s Comment</w:t>
      </w:r>
    </w:p>
    <w:p w:rsidR="008C3F6D" w:rsidRPr="001179AC" w:rsidRDefault="008C3F6D" w:rsidP="008C3F6D">
      <w:pPr>
        <w:spacing w:after="120"/>
        <w:ind w:left="709"/>
        <w:rPr>
          <w:rFonts w:asciiTheme="minorHAnsi" w:hAnsiTheme="minorHAnsi"/>
          <w:bCs/>
        </w:rPr>
      </w:pPr>
      <w:r w:rsidRPr="00C07617">
        <w:rPr>
          <w:rFonts w:asciiTheme="minorHAnsi" w:hAnsiTheme="minorHAnsi"/>
          <w:bCs/>
        </w:rPr>
        <w:t>The sponsor had no comment.</w:t>
      </w:r>
    </w:p>
    <w:p w:rsidR="008C3F6D" w:rsidRPr="00394AC3" w:rsidRDefault="008C3F6D" w:rsidP="00394AC3">
      <w:pPr>
        <w:ind w:left="360"/>
        <w:rPr>
          <w:rFonts w:cs="Calibri"/>
          <w:b/>
          <w:i/>
        </w:rPr>
      </w:pPr>
    </w:p>
    <w:sectPr w:rsidR="008C3F6D" w:rsidRPr="00394AC3" w:rsidSect="0062451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9BD04" w16cex:dateUtc="2020-06-21T01:03:00Z"/>
  <w16cex:commentExtensible w16cex:durableId="2299BDE4" w16cex:dateUtc="2020-06-21T01:07:00Z"/>
  <w16cex:commentExtensible w16cex:durableId="229C8D71" w16cex:dateUtc="2020-06-23T04:17:00Z"/>
  <w16cex:commentExtensible w16cex:durableId="2299BF6B" w16cex:dateUtc="2020-06-21T01:13:00Z"/>
  <w16cex:commentExtensible w16cex:durableId="229C8DCD" w16cex:dateUtc="2020-06-23T04:18:00Z"/>
  <w16cex:commentExtensible w16cex:durableId="229B013E" w16cex:dateUtc="2020-06-22T00:06:00Z"/>
  <w16cex:commentExtensible w16cex:durableId="229C8FC6" w16cex:dateUtc="2020-06-23T04:27:00Z"/>
  <w16cex:commentExtensible w16cex:durableId="229B05E9" w16cex:dateUtc="2020-06-22T00:26:00Z"/>
  <w16cex:commentExtensible w16cex:durableId="229B060D" w16cex:dateUtc="2020-06-22T00:27:00Z"/>
  <w16cex:commentExtensible w16cex:durableId="229B0668" w16cex:dateUtc="2020-06-22T00:28:00Z"/>
  <w16cex:commentExtensible w16cex:durableId="229B0753" w16cex:dateUtc="2020-06-22T00:32:00Z"/>
  <w16cex:commentExtensible w16cex:durableId="229C8F37" w16cex:dateUtc="2020-06-23T04:24:00Z"/>
  <w16cex:commentExtensible w16cex:durableId="229C8F67" w16cex:dateUtc="2020-06-23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50556" w16cid:durableId="22C7DAC5"/>
  <w16cid:commentId w16cid:paraId="57100930" w16cid:durableId="22C7DAC6"/>
  <w16cid:commentId w16cid:paraId="416E9E65" w16cid:durableId="22C7DAC7"/>
  <w16cid:commentId w16cid:paraId="30C9E653" w16cid:durableId="22C7DB78"/>
  <w16cid:commentId w16cid:paraId="0EE2908D" w16cid:durableId="22C7DCAA"/>
  <w16cid:commentId w16cid:paraId="07BF2B29" w16cid:durableId="22C80048"/>
  <w16cid:commentId w16cid:paraId="64B51E80" w16cid:durableId="22C7DAC8"/>
  <w16cid:commentId w16cid:paraId="796DF2F1" w16cid:durableId="22C7DCFF"/>
  <w16cid:commentId w16cid:paraId="7878909B" w16cid:durableId="22C7DAC9"/>
  <w16cid:commentId w16cid:paraId="55345812" w16cid:durableId="22C7DACA"/>
  <w16cid:commentId w16cid:paraId="427B97BE" w16cid:durableId="22C7FCF0"/>
  <w16cid:commentId w16cid:paraId="6D251CFF" w16cid:durableId="22C7DACB"/>
  <w16cid:commentId w16cid:paraId="48F324A2" w16cid:durableId="22C7FD31"/>
  <w16cid:commentId w16cid:paraId="32D2392F" w16cid:durableId="22C7DACC"/>
  <w16cid:commentId w16cid:paraId="3A1B4418" w16cid:durableId="22C7FE6E"/>
  <w16cid:commentId w16cid:paraId="4051234D" w16cid:durableId="22C7DACD"/>
  <w16cid:commentId w16cid:paraId="2A994F20" w16cid:durableId="22C7D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896" w:rsidRDefault="00646896" w:rsidP="00124A51">
      <w:r>
        <w:separator/>
      </w:r>
    </w:p>
    <w:p w:rsidR="00646896" w:rsidRDefault="00646896"/>
  </w:endnote>
  <w:endnote w:type="continuationSeparator" w:id="0">
    <w:p w:rsidR="00646896" w:rsidRDefault="00646896" w:rsidP="00124A51">
      <w:r>
        <w:continuationSeparator/>
      </w:r>
    </w:p>
    <w:p w:rsidR="00646896" w:rsidRDefault="00646896"/>
  </w:endnote>
  <w:endnote w:type="continuationNotice" w:id="1">
    <w:p w:rsidR="00646896" w:rsidRDefault="0064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72" w:rsidRDefault="00B2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AA" w:rsidRPr="00534745" w:rsidRDefault="00395CAA" w:rsidP="00015886">
    <w:pPr>
      <w:ind w:right="360"/>
      <w:jc w:val="center"/>
      <w:rPr>
        <w:b/>
      </w:rPr>
    </w:pPr>
  </w:p>
  <w:p w:rsidR="00395CAA" w:rsidRPr="007C1CD9" w:rsidRDefault="00395CAA" w:rsidP="00E77FC1">
    <w:pPr>
      <w:ind w:right="360"/>
      <w:jc w:val="center"/>
    </w:pPr>
    <w:r w:rsidRPr="00E77FC1">
      <w:rPr>
        <w:b/>
      </w:rPr>
      <w:fldChar w:fldCharType="begin"/>
    </w:r>
    <w:r w:rsidRPr="00E77FC1">
      <w:rPr>
        <w:b/>
      </w:rPr>
      <w:instrText xml:space="preserve"> PAGE   \* MERGEFORMAT </w:instrText>
    </w:r>
    <w:r w:rsidRPr="00E77FC1">
      <w:rPr>
        <w:b/>
      </w:rPr>
      <w:fldChar w:fldCharType="separate"/>
    </w:r>
    <w:r w:rsidR="00646896">
      <w:rPr>
        <w:b/>
        <w:noProof/>
      </w:rPr>
      <w:t>30</w:t>
    </w:r>
    <w:r w:rsidRPr="00E77FC1">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72" w:rsidRDefault="00B2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896" w:rsidRDefault="00646896" w:rsidP="00124A51">
      <w:r>
        <w:separator/>
      </w:r>
    </w:p>
    <w:p w:rsidR="00646896" w:rsidRDefault="00646896"/>
  </w:footnote>
  <w:footnote w:type="continuationSeparator" w:id="0">
    <w:p w:rsidR="00646896" w:rsidRDefault="00646896" w:rsidP="00124A51">
      <w:r>
        <w:continuationSeparator/>
      </w:r>
    </w:p>
    <w:p w:rsidR="00646896" w:rsidRDefault="00646896"/>
  </w:footnote>
  <w:footnote w:type="continuationNotice" w:id="1">
    <w:p w:rsidR="00646896" w:rsidRDefault="00646896"/>
  </w:footnote>
  <w:footnote w:id="2">
    <w:p w:rsidR="00395CAA" w:rsidRDefault="00395CAA" w:rsidP="0079691F">
      <w:pPr>
        <w:pStyle w:val="FootnoteText"/>
      </w:pPr>
      <w:r>
        <w:rPr>
          <w:rStyle w:val="FootnoteReference"/>
          <w:rFonts w:eastAsiaTheme="minorHAnsi"/>
        </w:rPr>
        <w:footnoteRef/>
      </w:r>
      <w:r>
        <w:t xml:space="preserve"> </w:t>
      </w:r>
      <w:r w:rsidRPr="00981187">
        <w:t xml:space="preserve">AIHW. Cancer incidence projections Australia, 2011 to 2020. Cat. no. CAN 62. </w:t>
      </w:r>
      <w:r>
        <w:t xml:space="preserve">2012. </w:t>
      </w:r>
      <w:r w:rsidRPr="00981187">
        <w:t xml:space="preserve">Available from: </w:t>
      </w:r>
      <w:hyperlink r:id="rId1" w:history="1">
        <w:r w:rsidRPr="00F66F01">
          <w:rPr>
            <w:rStyle w:val="Hyperlink"/>
          </w:rPr>
          <w:t>https://www.aihw.gov.au/reports/cancer/cancer-incidence-projections-australia-2011-to-20/contents/table-of-contents</w:t>
        </w:r>
      </w:hyperlink>
      <w:r>
        <w:t xml:space="preserve">; </w:t>
      </w:r>
      <w:r w:rsidRPr="00981187">
        <w:t xml:space="preserve">AIHW, Cancer Australia. Lung cancer in Australia: an overview. Cat. no. CAN 58. </w:t>
      </w:r>
      <w:r>
        <w:t xml:space="preserve">2011. </w:t>
      </w:r>
      <w:r w:rsidRPr="00981187">
        <w:t xml:space="preserve">Available from: </w:t>
      </w:r>
      <w:hyperlink r:id="rId2" w:history="1">
        <w:r w:rsidRPr="00F66F01">
          <w:rPr>
            <w:rStyle w:val="Hyperlink"/>
          </w:rPr>
          <w:t>https://www.aihw.gov.au/reports/cancer/lung-cancer-in-australia-overview/contents/table-of-contents</w:t>
        </w:r>
      </w:hyperlink>
      <w:r w:rsidRPr="00981187">
        <w:t>.</w:t>
      </w:r>
    </w:p>
  </w:footnote>
  <w:footnote w:id="3">
    <w:p w:rsidR="00395CAA" w:rsidRDefault="00395CAA" w:rsidP="0079691F">
      <w:pPr>
        <w:pStyle w:val="FootnoteText"/>
      </w:pPr>
      <w:r>
        <w:rPr>
          <w:rStyle w:val="FootnoteReference"/>
          <w:rFonts w:eastAsiaTheme="minorHAnsi"/>
        </w:rPr>
        <w:footnoteRef/>
      </w:r>
      <w:r>
        <w:t xml:space="preserve"> </w:t>
      </w:r>
      <w:r w:rsidRPr="00981187">
        <w:t>I</w:t>
      </w:r>
      <w:r>
        <w:t>PSOS</w:t>
      </w:r>
      <w:r w:rsidRPr="00981187">
        <w:t>. Overview of the NSCLC cancer treatment landscape - 2018 Q2 IPSOS Global Oncology Monitor in Australia</w:t>
      </w:r>
      <w:r>
        <w:t>. 2018</w:t>
      </w:r>
      <w:r w:rsidRPr="00981187">
        <w:t xml:space="preserve">; Peters MJ, Bowden JJ, </w:t>
      </w:r>
      <w:r>
        <w:rPr>
          <w:i/>
        </w:rPr>
        <w:t>et al</w:t>
      </w:r>
      <w:r w:rsidRPr="00981187">
        <w:t xml:space="preserve">. Outcomes of an Australian testing programme for epidermal growth factor receptor mutations in non-small cell lung cancer. </w:t>
      </w:r>
      <w:r w:rsidRPr="00981187">
        <w:rPr>
          <w:i/>
        </w:rPr>
        <w:t>Intern Med J</w:t>
      </w:r>
      <w:r w:rsidRPr="00981187">
        <w:t>. 2014;44(6):575-80.</w:t>
      </w:r>
    </w:p>
  </w:footnote>
  <w:footnote w:id="4">
    <w:p w:rsidR="00395CAA" w:rsidRDefault="00395CAA">
      <w:pPr>
        <w:pStyle w:val="FootnoteText"/>
      </w:pPr>
      <w:r>
        <w:rPr>
          <w:rStyle w:val="FootnoteReference"/>
        </w:rPr>
        <w:footnoteRef/>
      </w:r>
      <w:r>
        <w:t xml:space="preserve"> </w:t>
      </w:r>
      <w:r w:rsidRPr="00525B39">
        <w:rPr>
          <w:rFonts w:asciiTheme="minorHAnsi" w:hAnsiTheme="minorHAnsi"/>
          <w:bCs/>
          <w:snapToGrid w:val="0"/>
          <w:sz w:val="16"/>
        </w:rPr>
        <w:t>Cherny NI, Dafni U, Bogaerts J, et al: ESMO-Magnitude of Clinical Benefit Scale version 1.1. Annals of Oncology 28:2340-2366, 2017</w:t>
      </w:r>
    </w:p>
  </w:footnote>
  <w:footnote w:id="5">
    <w:p w:rsidR="00395CAA" w:rsidRPr="003213AE" w:rsidRDefault="00395CAA" w:rsidP="00BA00F8">
      <w:pPr>
        <w:pStyle w:val="FootnoteText"/>
        <w:rPr>
          <w:lang w:val="en-US"/>
        </w:rPr>
      </w:pPr>
      <w:r>
        <w:rPr>
          <w:rStyle w:val="FootnoteReference"/>
        </w:rPr>
        <w:footnoteRef/>
      </w:r>
      <w:r>
        <w:t xml:space="preserve"> </w:t>
      </w:r>
      <w:r w:rsidRPr="003213AE">
        <w:t>Chouaid C, Agulnik J, Goker E, Herder GJ, Lester JF, Vansteenkiste J, et al. Health-related quality of life and utility in patients with advanced non-small-cell lung cancer: a prospective cross-sectional patient survey in a real-world setting. J Thorac Oncol. 2013 Aug;8(8):997-1003.</w:t>
      </w:r>
    </w:p>
  </w:footnote>
  <w:footnote w:id="6">
    <w:p w:rsidR="00395CAA" w:rsidRDefault="00395CAA">
      <w:pPr>
        <w:pStyle w:val="FootnoteText"/>
      </w:pPr>
      <w:r w:rsidRPr="00A37BB3">
        <w:rPr>
          <w:rStyle w:val="FootnoteReference"/>
        </w:rPr>
        <w:footnoteRef/>
      </w:r>
      <w:r w:rsidRPr="00A37BB3">
        <w:t xml:space="preserve"> </w:t>
      </w:r>
      <w:r w:rsidRPr="000D13C0">
        <w:t>Data extracted from the DHS Claims Database on the 17 June 2020</w:t>
      </w:r>
    </w:p>
  </w:footnote>
  <w:footnote w:id="7">
    <w:p w:rsidR="00395CAA" w:rsidRPr="00224900" w:rsidRDefault="00395CAA" w:rsidP="00BA00F8">
      <w:pPr>
        <w:pStyle w:val="FootnoteText"/>
        <w:rPr>
          <w:rFonts w:asciiTheme="minorHAnsi" w:hAnsiTheme="minorHAnsi" w:cstheme="minorHAnsi"/>
          <w:sz w:val="22"/>
          <w:lang w:val="en-US"/>
        </w:rPr>
      </w:pPr>
      <w:r>
        <w:rPr>
          <w:rStyle w:val="FootnoteReference"/>
        </w:rPr>
        <w:footnoteRef/>
      </w:r>
      <w:r>
        <w:t xml:space="preserve"> </w:t>
      </w:r>
      <w:r>
        <w:rPr>
          <w:rFonts w:asciiTheme="minorHAnsi" w:hAnsiTheme="minorHAnsi" w:cstheme="minorHAnsi"/>
          <w:szCs w:val="18"/>
        </w:rPr>
        <w:t>AIHW</w:t>
      </w:r>
      <w:r w:rsidRPr="00224900">
        <w:rPr>
          <w:rFonts w:asciiTheme="minorHAnsi" w:hAnsiTheme="minorHAnsi" w:cstheme="minorHAnsi"/>
          <w:szCs w:val="18"/>
        </w:rPr>
        <w:t>. Lung cancer (C33-C34). Cancer data i</w:t>
      </w:r>
      <w:r>
        <w:rPr>
          <w:rFonts w:asciiTheme="minorHAnsi" w:hAnsiTheme="minorHAnsi" w:cstheme="minorHAnsi"/>
          <w:szCs w:val="18"/>
        </w:rPr>
        <w:t xml:space="preserve">n Australia. Cat. no. CAN 122. </w:t>
      </w:r>
      <w:r w:rsidRPr="00224900">
        <w:rPr>
          <w:rFonts w:asciiTheme="minorHAnsi" w:hAnsiTheme="minorHAnsi" w:cstheme="minorHAnsi"/>
          <w:szCs w:val="18"/>
        </w:rPr>
        <w:t xml:space="preserve">Canberra: Australian </w:t>
      </w:r>
      <w:r>
        <w:rPr>
          <w:rFonts w:asciiTheme="minorHAnsi" w:hAnsiTheme="minorHAnsi" w:cstheme="minorHAnsi"/>
          <w:szCs w:val="18"/>
        </w:rPr>
        <w:t>Institute of Health and Welfare</w:t>
      </w:r>
      <w:r w:rsidRPr="00224900">
        <w:rPr>
          <w:rFonts w:asciiTheme="minorHAnsi" w:hAnsiTheme="minorHAnsi" w:cstheme="minorHAnsi"/>
          <w:szCs w:val="18"/>
        </w:rPr>
        <w:t xml:space="preserve">; 2019 [cited 2020 May]; Available from: </w:t>
      </w:r>
      <w:hyperlink r:id="rId3" w:history="1">
        <w:r w:rsidRPr="00224900">
          <w:rPr>
            <w:rFonts w:asciiTheme="minorHAnsi" w:hAnsiTheme="minorHAnsi" w:cstheme="minorHAnsi"/>
            <w:szCs w:val="18"/>
          </w:rPr>
          <w:t>https://www.aihw.gov.au/reports/cancer/cancer-data-in-australia/contents/summary</w:t>
        </w:r>
      </w:hyperlink>
      <w:r w:rsidRPr="00224900">
        <w:rPr>
          <w:rFonts w:asciiTheme="minorHAnsi" w:hAnsiTheme="minorHAnsi" w:cstheme="minorHAnsi"/>
          <w:szCs w:val="18"/>
        </w:rPr>
        <w:t>.</w:t>
      </w:r>
    </w:p>
  </w:footnote>
  <w:footnote w:id="8">
    <w:p w:rsidR="00395CAA" w:rsidRPr="003213AE" w:rsidRDefault="00395CAA" w:rsidP="00BA00F8">
      <w:pPr>
        <w:pStyle w:val="FootnoteText"/>
        <w:rPr>
          <w:lang w:val="en-US"/>
        </w:rPr>
      </w:pPr>
      <w:r>
        <w:rPr>
          <w:rStyle w:val="FootnoteReference"/>
        </w:rPr>
        <w:footnoteRef/>
      </w:r>
      <w:r>
        <w:t xml:space="preserve"> </w:t>
      </w:r>
      <w:r w:rsidRPr="003213AE">
        <w:t>DUSC review of TKI utilisation (Feb 2017)</w:t>
      </w:r>
      <w:r>
        <w:t xml:space="preserve">, </w:t>
      </w:r>
      <w:r w:rsidRPr="00025FD4">
        <w:t>Stone E, Allen HA, Saghaie T, Abbott A, Daniel R, Mead RS, et al. High proportion of rare and compound epidermal growth factor receptor mutations in an Australian population of non-squamous non-small-cell lung cancer. Intern Med J. 2014 Dec;44(12a):1188-92</w:t>
      </w:r>
      <w:r>
        <w:t xml:space="preserve"> and IPSOS Market Research data (‘</w:t>
      </w:r>
      <w:r w:rsidRPr="00780683">
        <w:t>180618 AZ NSCLC Report 2018 Q1 Final.pptx</w:t>
      </w:r>
      <w:r>
        <w:t>’) presented in Attachment 7 of the resubmission.</w:t>
      </w:r>
    </w:p>
  </w:footnote>
  <w:footnote w:id="9">
    <w:p w:rsidR="00395CAA" w:rsidRPr="00FA4395" w:rsidRDefault="00395CAA">
      <w:pPr>
        <w:pStyle w:val="FootnoteText"/>
        <w:rPr>
          <w:rFonts w:asciiTheme="minorHAnsi" w:hAnsiTheme="minorHAnsi" w:cstheme="minorHAnsi"/>
        </w:rPr>
      </w:pPr>
      <w:r w:rsidRPr="00FA4395">
        <w:rPr>
          <w:rStyle w:val="FootnoteReference"/>
          <w:rFonts w:asciiTheme="minorHAnsi" w:hAnsiTheme="minorHAnsi" w:cstheme="minorHAnsi"/>
        </w:rPr>
        <w:footnoteRef/>
      </w:r>
      <w:r w:rsidRPr="00FA4395">
        <w:rPr>
          <w:rFonts w:asciiTheme="minorHAnsi" w:hAnsiTheme="minorHAnsi" w:cstheme="minorHAnsi"/>
        </w:rPr>
        <w:t xml:space="preserve"> </w:t>
      </w:r>
      <w:hyperlink r:id="rId4" w:history="1">
        <w:r w:rsidRPr="00FA4395">
          <w:rPr>
            <w:rStyle w:val="Hyperlink"/>
            <w:rFonts w:asciiTheme="minorHAnsi" w:hAnsiTheme="minorHAnsi" w:cstheme="minorHAnsi"/>
          </w:rPr>
          <w:t>https://www.aihw.gov.au/reports/cancer/cancer-data-in-australia/contents/summary</w:t>
        </w:r>
      </w:hyperlink>
    </w:p>
  </w:footnote>
  <w:footnote w:id="10">
    <w:p w:rsidR="00395CAA" w:rsidRPr="00853CD8" w:rsidRDefault="00395CAA" w:rsidP="00A46C89">
      <w:pPr>
        <w:pStyle w:val="CommentText"/>
        <w:rPr>
          <w:rFonts w:ascii="Calibri" w:hAnsi="Calibri" w:cs="Arial"/>
          <w:szCs w:val="20"/>
          <w:lang w:val="en-US"/>
        </w:rPr>
      </w:pPr>
      <w:r w:rsidRPr="00FA4395">
        <w:rPr>
          <w:rStyle w:val="FootnoteReference"/>
          <w:rFonts w:asciiTheme="minorHAnsi" w:hAnsiTheme="minorHAnsi" w:cstheme="minorHAnsi"/>
        </w:rPr>
        <w:footnoteRef/>
      </w:r>
      <w:r w:rsidRPr="00FA4395">
        <w:rPr>
          <w:rFonts w:asciiTheme="minorHAnsi" w:hAnsiTheme="minorHAnsi" w:cstheme="minorHAnsi"/>
        </w:rPr>
        <w:t xml:space="preserve"> </w:t>
      </w:r>
      <w:r w:rsidR="00B27C72">
        <w:rPr>
          <w:rFonts w:asciiTheme="minorHAnsi" w:hAnsiTheme="minorHAnsi" w:cstheme="minorHAnsi"/>
          <w:noProof/>
          <w:color w:val="000000"/>
          <w:szCs w:val="20"/>
          <w:highlight w:val="black"/>
          <w:lang w:val="en-US"/>
        </w:rPr>
        <w:t>''''''</w:t>
      </w:r>
      <w:r w:rsidRPr="00FA4395">
        <w:rPr>
          <w:rFonts w:asciiTheme="minorHAnsi" w:hAnsiTheme="minorHAnsi" w:cstheme="minorHAnsi"/>
          <w:szCs w:val="20"/>
          <w:lang w:val="en-US"/>
        </w:rPr>
        <w:t xml:space="preserve"> packs is calculated based on </w:t>
      </w:r>
      <w:r w:rsidR="00B27C72">
        <w:rPr>
          <w:rFonts w:asciiTheme="minorHAnsi" w:hAnsiTheme="minorHAnsi" w:cstheme="minorHAnsi"/>
          <w:noProof/>
          <w:color w:val="000000"/>
          <w:szCs w:val="20"/>
          <w:highlight w:val="black"/>
          <w:lang w:val="en-US"/>
        </w:rPr>
        <w:t>'''''''''</w:t>
      </w:r>
      <w:r w:rsidRPr="00FA4395">
        <w:rPr>
          <w:rFonts w:asciiTheme="minorHAnsi" w:hAnsiTheme="minorHAnsi" w:cstheme="minorHAnsi"/>
          <w:szCs w:val="20"/>
          <w:lang w:val="en-US"/>
        </w:rPr>
        <w:t xml:space="preserve"> months = (</w:t>
      </w:r>
      <w:r w:rsidR="00B27C72">
        <w:rPr>
          <w:rFonts w:asciiTheme="minorHAnsi" w:hAnsiTheme="minorHAnsi" w:cstheme="minorHAnsi"/>
          <w:noProof/>
          <w:color w:val="000000"/>
          <w:szCs w:val="20"/>
          <w:highlight w:val="black"/>
          <w:lang w:val="en-US"/>
        </w:rPr>
        <w:t xml:space="preserve">''''''''' </w:t>
      </w:r>
      <w:r w:rsidRPr="00FA4395">
        <w:rPr>
          <w:rFonts w:asciiTheme="minorHAnsi" w:hAnsiTheme="minorHAnsi" w:cstheme="minorHAnsi"/>
          <w:szCs w:val="20"/>
          <w:lang w:val="en-US"/>
        </w:rPr>
        <w:t>/ 12) x (365.25 /30)</w:t>
      </w:r>
      <w:r w:rsidRPr="00853CD8">
        <w:rPr>
          <w:rFonts w:ascii="Calibri" w:hAnsi="Calibri" w:cs="Arial"/>
          <w:szCs w:val="20"/>
          <w:lang w:val="en-US"/>
        </w:rPr>
        <w:t xml:space="preserve"> </w:t>
      </w:r>
    </w:p>
  </w:footnote>
  <w:footnote w:id="11">
    <w:p w:rsidR="00395CAA" w:rsidRPr="005F7550" w:rsidRDefault="00395CAA" w:rsidP="00BA00F8">
      <w:pPr>
        <w:pStyle w:val="FootnoteText"/>
        <w:rPr>
          <w:lang w:val="en-US"/>
        </w:rPr>
      </w:pPr>
      <w:r>
        <w:rPr>
          <w:rStyle w:val="FootnoteReference"/>
        </w:rPr>
        <w:footnoteRef/>
      </w:r>
      <w:r>
        <w:t xml:space="preserve"> </w:t>
      </w:r>
      <w:r w:rsidRPr="00AE2593">
        <w:rPr>
          <w:lang w:val="en-US"/>
        </w:rPr>
        <w:t>While the total number of afatinib scripts per patient was correct, the number of scripts in the first year of treatment should have been 13.05, with 2.63 in the second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72" w:rsidRDefault="00B27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AA" w:rsidRPr="00056684" w:rsidRDefault="00395CAA" w:rsidP="00E77FC1">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2020</w:t>
    </w:r>
    <w:r w:rsidRPr="00056684">
      <w:rPr>
        <w:rFonts w:asciiTheme="minorHAnsi" w:hAnsiTheme="minorHAnsi"/>
        <w:i/>
        <w:color w:val="808080"/>
      </w:rPr>
      <w:t xml:space="preserve"> PBAC Meeting</w:t>
    </w:r>
  </w:p>
  <w:p w:rsidR="00395CAA" w:rsidRPr="008C7ECB" w:rsidRDefault="00395CAA" w:rsidP="00534745">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72" w:rsidRDefault="00B27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BE8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00BE0"/>
    <w:multiLevelType w:val="hybridMultilevel"/>
    <w:tmpl w:val="7AF0DED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31DC6"/>
    <w:multiLevelType w:val="hybridMultilevel"/>
    <w:tmpl w:val="0E9A662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67255A"/>
    <w:multiLevelType w:val="hybridMultilevel"/>
    <w:tmpl w:val="37CCFCB2"/>
    <w:lvl w:ilvl="0" w:tplc="0C090001">
      <w:start w:val="1"/>
      <w:numFmt w:val="bullet"/>
      <w:lvlText w:val=""/>
      <w:lvlJc w:val="left"/>
      <w:pPr>
        <w:ind w:left="994" w:hanging="360"/>
      </w:pPr>
      <w:rPr>
        <w:rFonts w:ascii="Symbol" w:hAnsi="Symbol" w:hint="default"/>
      </w:rPr>
    </w:lvl>
    <w:lvl w:ilvl="1" w:tplc="0C090003" w:tentative="1">
      <w:start w:val="1"/>
      <w:numFmt w:val="bullet"/>
      <w:lvlText w:val="o"/>
      <w:lvlJc w:val="left"/>
      <w:pPr>
        <w:ind w:left="1714" w:hanging="360"/>
      </w:pPr>
      <w:rPr>
        <w:rFonts w:ascii="Courier New" w:hAnsi="Courier New" w:cs="Courier New" w:hint="default"/>
      </w:rPr>
    </w:lvl>
    <w:lvl w:ilvl="2" w:tplc="0C090005" w:tentative="1">
      <w:start w:val="1"/>
      <w:numFmt w:val="bullet"/>
      <w:lvlText w:val=""/>
      <w:lvlJc w:val="left"/>
      <w:pPr>
        <w:ind w:left="2434" w:hanging="360"/>
      </w:pPr>
      <w:rPr>
        <w:rFonts w:ascii="Wingdings" w:hAnsi="Wingdings" w:hint="default"/>
      </w:rPr>
    </w:lvl>
    <w:lvl w:ilvl="3" w:tplc="0C090001" w:tentative="1">
      <w:start w:val="1"/>
      <w:numFmt w:val="bullet"/>
      <w:lvlText w:val=""/>
      <w:lvlJc w:val="left"/>
      <w:pPr>
        <w:ind w:left="3154" w:hanging="360"/>
      </w:pPr>
      <w:rPr>
        <w:rFonts w:ascii="Symbol" w:hAnsi="Symbol" w:hint="default"/>
      </w:rPr>
    </w:lvl>
    <w:lvl w:ilvl="4" w:tplc="0C090003" w:tentative="1">
      <w:start w:val="1"/>
      <w:numFmt w:val="bullet"/>
      <w:lvlText w:val="o"/>
      <w:lvlJc w:val="left"/>
      <w:pPr>
        <w:ind w:left="3874" w:hanging="360"/>
      </w:pPr>
      <w:rPr>
        <w:rFonts w:ascii="Courier New" w:hAnsi="Courier New" w:cs="Courier New" w:hint="default"/>
      </w:rPr>
    </w:lvl>
    <w:lvl w:ilvl="5" w:tplc="0C090005" w:tentative="1">
      <w:start w:val="1"/>
      <w:numFmt w:val="bullet"/>
      <w:lvlText w:val=""/>
      <w:lvlJc w:val="left"/>
      <w:pPr>
        <w:ind w:left="4594" w:hanging="360"/>
      </w:pPr>
      <w:rPr>
        <w:rFonts w:ascii="Wingdings" w:hAnsi="Wingdings" w:hint="default"/>
      </w:rPr>
    </w:lvl>
    <w:lvl w:ilvl="6" w:tplc="0C090001" w:tentative="1">
      <w:start w:val="1"/>
      <w:numFmt w:val="bullet"/>
      <w:lvlText w:val=""/>
      <w:lvlJc w:val="left"/>
      <w:pPr>
        <w:ind w:left="5314" w:hanging="360"/>
      </w:pPr>
      <w:rPr>
        <w:rFonts w:ascii="Symbol" w:hAnsi="Symbol" w:hint="default"/>
      </w:rPr>
    </w:lvl>
    <w:lvl w:ilvl="7" w:tplc="0C090003" w:tentative="1">
      <w:start w:val="1"/>
      <w:numFmt w:val="bullet"/>
      <w:lvlText w:val="o"/>
      <w:lvlJc w:val="left"/>
      <w:pPr>
        <w:ind w:left="6034" w:hanging="360"/>
      </w:pPr>
      <w:rPr>
        <w:rFonts w:ascii="Courier New" w:hAnsi="Courier New" w:cs="Courier New" w:hint="default"/>
      </w:rPr>
    </w:lvl>
    <w:lvl w:ilvl="8" w:tplc="0C090005" w:tentative="1">
      <w:start w:val="1"/>
      <w:numFmt w:val="bullet"/>
      <w:lvlText w:val=""/>
      <w:lvlJc w:val="left"/>
      <w:pPr>
        <w:ind w:left="6754"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8862A142"/>
    <w:lvl w:ilvl="0" w:tplc="04090001">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2F4442"/>
    <w:multiLevelType w:val="hybridMultilevel"/>
    <w:tmpl w:val="1632F29A"/>
    <w:lvl w:ilvl="0" w:tplc="B8CAD558">
      <w:start w:val="9835"/>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5"/>
  </w:num>
  <w:num w:numId="4">
    <w:abstractNumId w:val="0"/>
  </w:num>
  <w:num w:numId="5">
    <w:abstractNumId w:val="3"/>
  </w:num>
  <w:num w:numId="6">
    <w:abstractNumId w:val="2"/>
  </w:num>
  <w:num w:numId="7">
    <w:abstractNumId w:val="1"/>
  </w:num>
  <w:num w:numId="8">
    <w:abstractNumId w:val="6"/>
  </w:num>
  <w:num w:numId="9">
    <w:abstractNumId w:val="7"/>
  </w:num>
  <w:num w:numId="10">
    <w:abstractNumId w:val="8"/>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5t229pa9p00ceav2oxsxxzaxr2dr9fsf2w&quot;&gt;EndNote Library Osimertinib submission_March 2020&lt;record-ids&gt;&lt;item&gt;8&lt;/item&gt;&lt;item&gt;9&lt;/item&gt;&lt;item&gt;16&lt;/item&gt;&lt;item&gt;18&lt;/item&gt;&lt;item&gt;26&lt;/item&gt;&lt;item&gt;29&lt;/item&gt;&lt;item&gt;30&lt;/item&gt;&lt;item&gt;31&lt;/item&gt;&lt;item&gt;32&lt;/item&gt;&lt;item&gt;33&lt;/item&gt;&lt;item&gt;34&lt;/item&gt;&lt;item&gt;36&lt;/item&gt;&lt;item&gt;37&lt;/item&gt;&lt;item&gt;38&lt;/item&gt;&lt;item&gt;39&lt;/item&gt;&lt;item&gt;59&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item&gt;78&lt;/item&gt;&lt;item&gt;79&lt;/item&gt;&lt;/record-ids&gt;&lt;/item&gt;&lt;/Libraries&gt;"/>
  </w:docVars>
  <w:rsids>
    <w:rsidRoot w:val="00E65E79"/>
    <w:rsid w:val="00000790"/>
    <w:rsid w:val="0000110B"/>
    <w:rsid w:val="000025CB"/>
    <w:rsid w:val="00002A22"/>
    <w:rsid w:val="00003499"/>
    <w:rsid w:val="00003592"/>
    <w:rsid w:val="000039B7"/>
    <w:rsid w:val="00005182"/>
    <w:rsid w:val="00005A80"/>
    <w:rsid w:val="00005B3C"/>
    <w:rsid w:val="00006387"/>
    <w:rsid w:val="0000639A"/>
    <w:rsid w:val="00006554"/>
    <w:rsid w:val="000070C0"/>
    <w:rsid w:val="00010E07"/>
    <w:rsid w:val="00012C1E"/>
    <w:rsid w:val="00013247"/>
    <w:rsid w:val="00014AE5"/>
    <w:rsid w:val="0001572F"/>
    <w:rsid w:val="00015886"/>
    <w:rsid w:val="00015AF2"/>
    <w:rsid w:val="000162EF"/>
    <w:rsid w:val="00016EA2"/>
    <w:rsid w:val="000178BB"/>
    <w:rsid w:val="000207C9"/>
    <w:rsid w:val="00020A25"/>
    <w:rsid w:val="00021766"/>
    <w:rsid w:val="00021D67"/>
    <w:rsid w:val="0002225F"/>
    <w:rsid w:val="00022890"/>
    <w:rsid w:val="00023752"/>
    <w:rsid w:val="00023763"/>
    <w:rsid w:val="00023777"/>
    <w:rsid w:val="00023997"/>
    <w:rsid w:val="0002406A"/>
    <w:rsid w:val="0002426C"/>
    <w:rsid w:val="0002517B"/>
    <w:rsid w:val="000266BF"/>
    <w:rsid w:val="00026774"/>
    <w:rsid w:val="000274B8"/>
    <w:rsid w:val="0003081C"/>
    <w:rsid w:val="00031670"/>
    <w:rsid w:val="00032D8F"/>
    <w:rsid w:val="0003380A"/>
    <w:rsid w:val="00033863"/>
    <w:rsid w:val="00033A66"/>
    <w:rsid w:val="00033D05"/>
    <w:rsid w:val="00033DBB"/>
    <w:rsid w:val="00034A3A"/>
    <w:rsid w:val="00035478"/>
    <w:rsid w:val="00035DC0"/>
    <w:rsid w:val="0003645B"/>
    <w:rsid w:val="00036829"/>
    <w:rsid w:val="00036D96"/>
    <w:rsid w:val="00040841"/>
    <w:rsid w:val="00040895"/>
    <w:rsid w:val="00041305"/>
    <w:rsid w:val="00041615"/>
    <w:rsid w:val="000435EE"/>
    <w:rsid w:val="000439A1"/>
    <w:rsid w:val="00043C37"/>
    <w:rsid w:val="00043E7D"/>
    <w:rsid w:val="00044501"/>
    <w:rsid w:val="00044BBC"/>
    <w:rsid w:val="00044FEB"/>
    <w:rsid w:val="00045017"/>
    <w:rsid w:val="00045A2B"/>
    <w:rsid w:val="00045BE9"/>
    <w:rsid w:val="00045FE5"/>
    <w:rsid w:val="00046221"/>
    <w:rsid w:val="0004640E"/>
    <w:rsid w:val="0004643F"/>
    <w:rsid w:val="0004698F"/>
    <w:rsid w:val="00047D25"/>
    <w:rsid w:val="00051E5A"/>
    <w:rsid w:val="00053725"/>
    <w:rsid w:val="000539D0"/>
    <w:rsid w:val="00053E1C"/>
    <w:rsid w:val="00054621"/>
    <w:rsid w:val="000546D7"/>
    <w:rsid w:val="00055E19"/>
    <w:rsid w:val="0005611F"/>
    <w:rsid w:val="000563C0"/>
    <w:rsid w:val="000564A4"/>
    <w:rsid w:val="00056ECF"/>
    <w:rsid w:val="00057819"/>
    <w:rsid w:val="00057A48"/>
    <w:rsid w:val="00057AA0"/>
    <w:rsid w:val="000604DF"/>
    <w:rsid w:val="00060732"/>
    <w:rsid w:val="00060D00"/>
    <w:rsid w:val="0006132D"/>
    <w:rsid w:val="00062E86"/>
    <w:rsid w:val="0006439F"/>
    <w:rsid w:val="00064FF4"/>
    <w:rsid w:val="000653B5"/>
    <w:rsid w:val="00066360"/>
    <w:rsid w:val="0006696F"/>
    <w:rsid w:val="00066AF8"/>
    <w:rsid w:val="00071248"/>
    <w:rsid w:val="000720B9"/>
    <w:rsid w:val="000721B6"/>
    <w:rsid w:val="00072503"/>
    <w:rsid w:val="000737F7"/>
    <w:rsid w:val="00075061"/>
    <w:rsid w:val="0007672F"/>
    <w:rsid w:val="0007673F"/>
    <w:rsid w:val="00076B54"/>
    <w:rsid w:val="000774F0"/>
    <w:rsid w:val="00080038"/>
    <w:rsid w:val="00080909"/>
    <w:rsid w:val="000812CA"/>
    <w:rsid w:val="00081E63"/>
    <w:rsid w:val="0008258D"/>
    <w:rsid w:val="00083140"/>
    <w:rsid w:val="0008346B"/>
    <w:rsid w:val="00083E99"/>
    <w:rsid w:val="000840ED"/>
    <w:rsid w:val="0008436B"/>
    <w:rsid w:val="00084FA8"/>
    <w:rsid w:val="000856C5"/>
    <w:rsid w:val="00085B9B"/>
    <w:rsid w:val="00085C31"/>
    <w:rsid w:val="00086102"/>
    <w:rsid w:val="00086FB1"/>
    <w:rsid w:val="000871DA"/>
    <w:rsid w:val="00090200"/>
    <w:rsid w:val="000902D9"/>
    <w:rsid w:val="00090C7E"/>
    <w:rsid w:val="0009120F"/>
    <w:rsid w:val="00092600"/>
    <w:rsid w:val="0009262B"/>
    <w:rsid w:val="00093310"/>
    <w:rsid w:val="000937CC"/>
    <w:rsid w:val="0009445C"/>
    <w:rsid w:val="0009495E"/>
    <w:rsid w:val="00095113"/>
    <w:rsid w:val="00095200"/>
    <w:rsid w:val="00095FE5"/>
    <w:rsid w:val="00096209"/>
    <w:rsid w:val="00096284"/>
    <w:rsid w:val="000A17C1"/>
    <w:rsid w:val="000A1BC0"/>
    <w:rsid w:val="000A2BBA"/>
    <w:rsid w:val="000A3F8C"/>
    <w:rsid w:val="000A3FD3"/>
    <w:rsid w:val="000A4182"/>
    <w:rsid w:val="000A5778"/>
    <w:rsid w:val="000A5CDE"/>
    <w:rsid w:val="000A6039"/>
    <w:rsid w:val="000A64EC"/>
    <w:rsid w:val="000A6F30"/>
    <w:rsid w:val="000A7453"/>
    <w:rsid w:val="000A7A4E"/>
    <w:rsid w:val="000A7D08"/>
    <w:rsid w:val="000B0121"/>
    <w:rsid w:val="000B0670"/>
    <w:rsid w:val="000B0E75"/>
    <w:rsid w:val="000B1399"/>
    <w:rsid w:val="000B2DCB"/>
    <w:rsid w:val="000B3280"/>
    <w:rsid w:val="000B404E"/>
    <w:rsid w:val="000B478B"/>
    <w:rsid w:val="000B5CE0"/>
    <w:rsid w:val="000B5CFB"/>
    <w:rsid w:val="000B6C20"/>
    <w:rsid w:val="000B6CAC"/>
    <w:rsid w:val="000B7612"/>
    <w:rsid w:val="000B771A"/>
    <w:rsid w:val="000B78AE"/>
    <w:rsid w:val="000C2940"/>
    <w:rsid w:val="000C3DF9"/>
    <w:rsid w:val="000C4F2D"/>
    <w:rsid w:val="000C5D5B"/>
    <w:rsid w:val="000C6713"/>
    <w:rsid w:val="000C6EEC"/>
    <w:rsid w:val="000D105D"/>
    <w:rsid w:val="000D13C0"/>
    <w:rsid w:val="000D1BFC"/>
    <w:rsid w:val="000D1CFE"/>
    <w:rsid w:val="000D1D5D"/>
    <w:rsid w:val="000D281A"/>
    <w:rsid w:val="000D2848"/>
    <w:rsid w:val="000D2CFF"/>
    <w:rsid w:val="000D326A"/>
    <w:rsid w:val="000D3283"/>
    <w:rsid w:val="000D3CA6"/>
    <w:rsid w:val="000D51FB"/>
    <w:rsid w:val="000D520A"/>
    <w:rsid w:val="000D59A0"/>
    <w:rsid w:val="000D5AC6"/>
    <w:rsid w:val="000D7581"/>
    <w:rsid w:val="000E0640"/>
    <w:rsid w:val="000E135D"/>
    <w:rsid w:val="000E2C15"/>
    <w:rsid w:val="000E31FA"/>
    <w:rsid w:val="000E3296"/>
    <w:rsid w:val="000E3B59"/>
    <w:rsid w:val="000E6427"/>
    <w:rsid w:val="000F00BA"/>
    <w:rsid w:val="000F038D"/>
    <w:rsid w:val="000F091F"/>
    <w:rsid w:val="000F316A"/>
    <w:rsid w:val="000F3C74"/>
    <w:rsid w:val="000F3E07"/>
    <w:rsid w:val="000F4BB8"/>
    <w:rsid w:val="000F4FA9"/>
    <w:rsid w:val="000F533E"/>
    <w:rsid w:val="000F53FB"/>
    <w:rsid w:val="000F548F"/>
    <w:rsid w:val="000F7127"/>
    <w:rsid w:val="000F7549"/>
    <w:rsid w:val="000F7B54"/>
    <w:rsid w:val="001001B2"/>
    <w:rsid w:val="0010041A"/>
    <w:rsid w:val="00100F8A"/>
    <w:rsid w:val="00101A84"/>
    <w:rsid w:val="001034A6"/>
    <w:rsid w:val="001039A4"/>
    <w:rsid w:val="00103AF6"/>
    <w:rsid w:val="0010452E"/>
    <w:rsid w:val="00105AE2"/>
    <w:rsid w:val="001060C6"/>
    <w:rsid w:val="00106B80"/>
    <w:rsid w:val="0010718E"/>
    <w:rsid w:val="00107B85"/>
    <w:rsid w:val="0011032E"/>
    <w:rsid w:val="0011150B"/>
    <w:rsid w:val="0011198C"/>
    <w:rsid w:val="001119B5"/>
    <w:rsid w:val="00111C3B"/>
    <w:rsid w:val="0011348B"/>
    <w:rsid w:val="0011356E"/>
    <w:rsid w:val="001135E1"/>
    <w:rsid w:val="00114C1B"/>
    <w:rsid w:val="001154BE"/>
    <w:rsid w:val="00115982"/>
    <w:rsid w:val="001163BF"/>
    <w:rsid w:val="001167FE"/>
    <w:rsid w:val="00116C53"/>
    <w:rsid w:val="00116CF2"/>
    <w:rsid w:val="0011764F"/>
    <w:rsid w:val="00117C05"/>
    <w:rsid w:val="00117E2B"/>
    <w:rsid w:val="00120283"/>
    <w:rsid w:val="001214E2"/>
    <w:rsid w:val="00121799"/>
    <w:rsid w:val="001222FC"/>
    <w:rsid w:val="001225D8"/>
    <w:rsid w:val="00122B51"/>
    <w:rsid w:val="00122D48"/>
    <w:rsid w:val="00123149"/>
    <w:rsid w:val="00123902"/>
    <w:rsid w:val="00123DF7"/>
    <w:rsid w:val="00123F48"/>
    <w:rsid w:val="00124353"/>
    <w:rsid w:val="0012479C"/>
    <w:rsid w:val="00124A51"/>
    <w:rsid w:val="00125D3F"/>
    <w:rsid w:val="001260D6"/>
    <w:rsid w:val="00126621"/>
    <w:rsid w:val="00126B1D"/>
    <w:rsid w:val="001301E9"/>
    <w:rsid w:val="0013151F"/>
    <w:rsid w:val="00131B71"/>
    <w:rsid w:val="00131D82"/>
    <w:rsid w:val="001324B4"/>
    <w:rsid w:val="00132B22"/>
    <w:rsid w:val="00132CD7"/>
    <w:rsid w:val="00132CE7"/>
    <w:rsid w:val="00133D36"/>
    <w:rsid w:val="00133FA6"/>
    <w:rsid w:val="0013464E"/>
    <w:rsid w:val="00134B04"/>
    <w:rsid w:val="00136233"/>
    <w:rsid w:val="00137645"/>
    <w:rsid w:val="0014015A"/>
    <w:rsid w:val="00140E99"/>
    <w:rsid w:val="00141B14"/>
    <w:rsid w:val="00141B80"/>
    <w:rsid w:val="00141E18"/>
    <w:rsid w:val="00142037"/>
    <w:rsid w:val="00142A34"/>
    <w:rsid w:val="00143F67"/>
    <w:rsid w:val="00145540"/>
    <w:rsid w:val="001456B0"/>
    <w:rsid w:val="00146467"/>
    <w:rsid w:val="00146ADC"/>
    <w:rsid w:val="00146E74"/>
    <w:rsid w:val="001510AE"/>
    <w:rsid w:val="00151115"/>
    <w:rsid w:val="0015176B"/>
    <w:rsid w:val="00151C8A"/>
    <w:rsid w:val="0015308B"/>
    <w:rsid w:val="00153934"/>
    <w:rsid w:val="00154B1A"/>
    <w:rsid w:val="001566C2"/>
    <w:rsid w:val="00156BE6"/>
    <w:rsid w:val="00156E12"/>
    <w:rsid w:val="00156F8F"/>
    <w:rsid w:val="00157130"/>
    <w:rsid w:val="00157635"/>
    <w:rsid w:val="001576B1"/>
    <w:rsid w:val="001578D5"/>
    <w:rsid w:val="0016047B"/>
    <w:rsid w:val="00160A4C"/>
    <w:rsid w:val="0016155B"/>
    <w:rsid w:val="00162221"/>
    <w:rsid w:val="00162400"/>
    <w:rsid w:val="00162913"/>
    <w:rsid w:val="00162B3D"/>
    <w:rsid w:val="00163EFF"/>
    <w:rsid w:val="00163F66"/>
    <w:rsid w:val="00164880"/>
    <w:rsid w:val="00165268"/>
    <w:rsid w:val="001661FB"/>
    <w:rsid w:val="00166A9E"/>
    <w:rsid w:val="001671A0"/>
    <w:rsid w:val="0016767F"/>
    <w:rsid w:val="00171542"/>
    <w:rsid w:val="00172270"/>
    <w:rsid w:val="0017290F"/>
    <w:rsid w:val="00172C52"/>
    <w:rsid w:val="00172F72"/>
    <w:rsid w:val="00173565"/>
    <w:rsid w:val="00173B07"/>
    <w:rsid w:val="00174952"/>
    <w:rsid w:val="0017512E"/>
    <w:rsid w:val="001751FA"/>
    <w:rsid w:val="00175DDE"/>
    <w:rsid w:val="00177682"/>
    <w:rsid w:val="00177C41"/>
    <w:rsid w:val="00180444"/>
    <w:rsid w:val="001809CB"/>
    <w:rsid w:val="00181D62"/>
    <w:rsid w:val="00181D9C"/>
    <w:rsid w:val="00182A3C"/>
    <w:rsid w:val="00182C76"/>
    <w:rsid w:val="001837BC"/>
    <w:rsid w:val="00183D6C"/>
    <w:rsid w:val="001844D6"/>
    <w:rsid w:val="00184B0E"/>
    <w:rsid w:val="001853FE"/>
    <w:rsid w:val="0018752F"/>
    <w:rsid w:val="0019258D"/>
    <w:rsid w:val="001930AE"/>
    <w:rsid w:val="0019363A"/>
    <w:rsid w:val="00193838"/>
    <w:rsid w:val="00194874"/>
    <w:rsid w:val="00194AD8"/>
    <w:rsid w:val="00195222"/>
    <w:rsid w:val="00195278"/>
    <w:rsid w:val="00195AF2"/>
    <w:rsid w:val="001975D8"/>
    <w:rsid w:val="001A037E"/>
    <w:rsid w:val="001A10C0"/>
    <w:rsid w:val="001A178E"/>
    <w:rsid w:val="001A1BA6"/>
    <w:rsid w:val="001A1E9B"/>
    <w:rsid w:val="001A3750"/>
    <w:rsid w:val="001A43FA"/>
    <w:rsid w:val="001A47C5"/>
    <w:rsid w:val="001A4FFA"/>
    <w:rsid w:val="001A59FB"/>
    <w:rsid w:val="001A5E9E"/>
    <w:rsid w:val="001A5FAB"/>
    <w:rsid w:val="001A6354"/>
    <w:rsid w:val="001A6366"/>
    <w:rsid w:val="001A75AE"/>
    <w:rsid w:val="001A7AE8"/>
    <w:rsid w:val="001B12C5"/>
    <w:rsid w:val="001B12EB"/>
    <w:rsid w:val="001B1994"/>
    <w:rsid w:val="001B1D58"/>
    <w:rsid w:val="001B204E"/>
    <w:rsid w:val="001B2226"/>
    <w:rsid w:val="001B2372"/>
    <w:rsid w:val="001B3443"/>
    <w:rsid w:val="001B3539"/>
    <w:rsid w:val="001B3616"/>
    <w:rsid w:val="001B4D20"/>
    <w:rsid w:val="001B55A6"/>
    <w:rsid w:val="001B61DC"/>
    <w:rsid w:val="001B6610"/>
    <w:rsid w:val="001B6D74"/>
    <w:rsid w:val="001B7676"/>
    <w:rsid w:val="001B7D9E"/>
    <w:rsid w:val="001C0754"/>
    <w:rsid w:val="001C0B4C"/>
    <w:rsid w:val="001C2A9B"/>
    <w:rsid w:val="001C2E6A"/>
    <w:rsid w:val="001C4299"/>
    <w:rsid w:val="001C4334"/>
    <w:rsid w:val="001C46A1"/>
    <w:rsid w:val="001C4874"/>
    <w:rsid w:val="001C5662"/>
    <w:rsid w:val="001C591F"/>
    <w:rsid w:val="001C5F94"/>
    <w:rsid w:val="001C611B"/>
    <w:rsid w:val="001C6E66"/>
    <w:rsid w:val="001D049C"/>
    <w:rsid w:val="001D1100"/>
    <w:rsid w:val="001D1391"/>
    <w:rsid w:val="001D2257"/>
    <w:rsid w:val="001D25D7"/>
    <w:rsid w:val="001D318A"/>
    <w:rsid w:val="001D50B2"/>
    <w:rsid w:val="001D5A8D"/>
    <w:rsid w:val="001D6133"/>
    <w:rsid w:val="001D663D"/>
    <w:rsid w:val="001D6A3B"/>
    <w:rsid w:val="001D7645"/>
    <w:rsid w:val="001D7BF6"/>
    <w:rsid w:val="001E1E86"/>
    <w:rsid w:val="001E238E"/>
    <w:rsid w:val="001E2483"/>
    <w:rsid w:val="001E2B1E"/>
    <w:rsid w:val="001E2CFF"/>
    <w:rsid w:val="001E2F24"/>
    <w:rsid w:val="001E300C"/>
    <w:rsid w:val="001E30D4"/>
    <w:rsid w:val="001E3136"/>
    <w:rsid w:val="001E34DF"/>
    <w:rsid w:val="001E36C3"/>
    <w:rsid w:val="001E4A78"/>
    <w:rsid w:val="001E4CC9"/>
    <w:rsid w:val="001E519C"/>
    <w:rsid w:val="001E52EB"/>
    <w:rsid w:val="001E552A"/>
    <w:rsid w:val="001E581D"/>
    <w:rsid w:val="001E61D2"/>
    <w:rsid w:val="001E662D"/>
    <w:rsid w:val="001E68B4"/>
    <w:rsid w:val="001E69AB"/>
    <w:rsid w:val="001E6FF7"/>
    <w:rsid w:val="001E740C"/>
    <w:rsid w:val="001F006D"/>
    <w:rsid w:val="001F1235"/>
    <w:rsid w:val="001F1CB3"/>
    <w:rsid w:val="001F208F"/>
    <w:rsid w:val="001F2A9D"/>
    <w:rsid w:val="001F30EE"/>
    <w:rsid w:val="001F32F1"/>
    <w:rsid w:val="001F38B5"/>
    <w:rsid w:val="001F4081"/>
    <w:rsid w:val="001F4939"/>
    <w:rsid w:val="001F5C30"/>
    <w:rsid w:val="001F60C4"/>
    <w:rsid w:val="001F70A2"/>
    <w:rsid w:val="001F7361"/>
    <w:rsid w:val="0020076F"/>
    <w:rsid w:val="00200804"/>
    <w:rsid w:val="002011B0"/>
    <w:rsid w:val="0020120C"/>
    <w:rsid w:val="00201667"/>
    <w:rsid w:val="0020202B"/>
    <w:rsid w:val="002022B3"/>
    <w:rsid w:val="00203181"/>
    <w:rsid w:val="00203783"/>
    <w:rsid w:val="0020385F"/>
    <w:rsid w:val="00204785"/>
    <w:rsid w:val="00204A25"/>
    <w:rsid w:val="00206529"/>
    <w:rsid w:val="00206871"/>
    <w:rsid w:val="002068A0"/>
    <w:rsid w:val="00207021"/>
    <w:rsid w:val="0020732F"/>
    <w:rsid w:val="00207799"/>
    <w:rsid w:val="00207D00"/>
    <w:rsid w:val="002105C1"/>
    <w:rsid w:val="00210DB3"/>
    <w:rsid w:val="00211F39"/>
    <w:rsid w:val="00212BD6"/>
    <w:rsid w:val="00213919"/>
    <w:rsid w:val="00213EC9"/>
    <w:rsid w:val="00213EF5"/>
    <w:rsid w:val="00214325"/>
    <w:rsid w:val="00215980"/>
    <w:rsid w:val="00216BF5"/>
    <w:rsid w:val="00217A31"/>
    <w:rsid w:val="00217D31"/>
    <w:rsid w:val="00220047"/>
    <w:rsid w:val="0022018E"/>
    <w:rsid w:val="002204DE"/>
    <w:rsid w:val="0022205F"/>
    <w:rsid w:val="002224DE"/>
    <w:rsid w:val="00223B49"/>
    <w:rsid w:val="00223D5A"/>
    <w:rsid w:val="00224DD4"/>
    <w:rsid w:val="002253C8"/>
    <w:rsid w:val="002257D4"/>
    <w:rsid w:val="00226A4A"/>
    <w:rsid w:val="0022738E"/>
    <w:rsid w:val="002277A5"/>
    <w:rsid w:val="002278A0"/>
    <w:rsid w:val="0023069C"/>
    <w:rsid w:val="002309CC"/>
    <w:rsid w:val="00230D44"/>
    <w:rsid w:val="0023209F"/>
    <w:rsid w:val="002329F9"/>
    <w:rsid w:val="002335C1"/>
    <w:rsid w:val="00233C01"/>
    <w:rsid w:val="00233E6B"/>
    <w:rsid w:val="00233F8C"/>
    <w:rsid w:val="0023413C"/>
    <w:rsid w:val="002345B6"/>
    <w:rsid w:val="002346F0"/>
    <w:rsid w:val="0023629D"/>
    <w:rsid w:val="00237255"/>
    <w:rsid w:val="00237ACE"/>
    <w:rsid w:val="00237F82"/>
    <w:rsid w:val="002424AF"/>
    <w:rsid w:val="002439DC"/>
    <w:rsid w:val="00243B7D"/>
    <w:rsid w:val="002441D2"/>
    <w:rsid w:val="00244DC8"/>
    <w:rsid w:val="00244EAB"/>
    <w:rsid w:val="002458BA"/>
    <w:rsid w:val="00245CE9"/>
    <w:rsid w:val="00245D29"/>
    <w:rsid w:val="0024636C"/>
    <w:rsid w:val="00247311"/>
    <w:rsid w:val="00247925"/>
    <w:rsid w:val="00247BEA"/>
    <w:rsid w:val="00247F51"/>
    <w:rsid w:val="00247FD6"/>
    <w:rsid w:val="00250405"/>
    <w:rsid w:val="00251006"/>
    <w:rsid w:val="002510BE"/>
    <w:rsid w:val="00251B9F"/>
    <w:rsid w:val="002524D5"/>
    <w:rsid w:val="00253854"/>
    <w:rsid w:val="00253B1D"/>
    <w:rsid w:val="00254645"/>
    <w:rsid w:val="00254DCF"/>
    <w:rsid w:val="00254FFA"/>
    <w:rsid w:val="0025534B"/>
    <w:rsid w:val="002556EB"/>
    <w:rsid w:val="00255AA0"/>
    <w:rsid w:val="00255BB7"/>
    <w:rsid w:val="00257541"/>
    <w:rsid w:val="00257845"/>
    <w:rsid w:val="00257A39"/>
    <w:rsid w:val="00257AC4"/>
    <w:rsid w:val="002609D2"/>
    <w:rsid w:val="00261EEF"/>
    <w:rsid w:val="0026202D"/>
    <w:rsid w:val="00262930"/>
    <w:rsid w:val="00262A1A"/>
    <w:rsid w:val="00262A87"/>
    <w:rsid w:val="00263702"/>
    <w:rsid w:val="00263870"/>
    <w:rsid w:val="00263B31"/>
    <w:rsid w:val="00264D26"/>
    <w:rsid w:val="00265B22"/>
    <w:rsid w:val="00266DCF"/>
    <w:rsid w:val="00267642"/>
    <w:rsid w:val="00267AEA"/>
    <w:rsid w:val="002700E6"/>
    <w:rsid w:val="002702FD"/>
    <w:rsid w:val="00271741"/>
    <w:rsid w:val="0027294B"/>
    <w:rsid w:val="00273DB2"/>
    <w:rsid w:val="00273DB8"/>
    <w:rsid w:val="00273EB4"/>
    <w:rsid w:val="00274682"/>
    <w:rsid w:val="00275C5A"/>
    <w:rsid w:val="0027612B"/>
    <w:rsid w:val="00276265"/>
    <w:rsid w:val="002767D6"/>
    <w:rsid w:val="002778A7"/>
    <w:rsid w:val="00280F67"/>
    <w:rsid w:val="00281009"/>
    <w:rsid w:val="00281014"/>
    <w:rsid w:val="002817F5"/>
    <w:rsid w:val="00281878"/>
    <w:rsid w:val="002824A6"/>
    <w:rsid w:val="00282B35"/>
    <w:rsid w:val="00282DBA"/>
    <w:rsid w:val="00282E71"/>
    <w:rsid w:val="00283FE5"/>
    <w:rsid w:val="0028665D"/>
    <w:rsid w:val="002870DA"/>
    <w:rsid w:val="00290330"/>
    <w:rsid w:val="002913DF"/>
    <w:rsid w:val="0029329C"/>
    <w:rsid w:val="002946D1"/>
    <w:rsid w:val="0029621C"/>
    <w:rsid w:val="002964A0"/>
    <w:rsid w:val="0029654A"/>
    <w:rsid w:val="00296EA3"/>
    <w:rsid w:val="002A0A9B"/>
    <w:rsid w:val="002A14AB"/>
    <w:rsid w:val="002A2688"/>
    <w:rsid w:val="002A2ADE"/>
    <w:rsid w:val="002A2F50"/>
    <w:rsid w:val="002A33C7"/>
    <w:rsid w:val="002A34FE"/>
    <w:rsid w:val="002A3CD3"/>
    <w:rsid w:val="002A4537"/>
    <w:rsid w:val="002A6C3E"/>
    <w:rsid w:val="002A7357"/>
    <w:rsid w:val="002A7C3B"/>
    <w:rsid w:val="002B0142"/>
    <w:rsid w:val="002B042C"/>
    <w:rsid w:val="002B05A1"/>
    <w:rsid w:val="002B09A4"/>
    <w:rsid w:val="002B1272"/>
    <w:rsid w:val="002B1C1F"/>
    <w:rsid w:val="002B2412"/>
    <w:rsid w:val="002B28F7"/>
    <w:rsid w:val="002B29EE"/>
    <w:rsid w:val="002B3FEF"/>
    <w:rsid w:val="002B4311"/>
    <w:rsid w:val="002B432F"/>
    <w:rsid w:val="002B57CD"/>
    <w:rsid w:val="002B5DB7"/>
    <w:rsid w:val="002B62B3"/>
    <w:rsid w:val="002B6754"/>
    <w:rsid w:val="002B67A2"/>
    <w:rsid w:val="002B6CCE"/>
    <w:rsid w:val="002B7B11"/>
    <w:rsid w:val="002C03A5"/>
    <w:rsid w:val="002C0482"/>
    <w:rsid w:val="002C0579"/>
    <w:rsid w:val="002C0C78"/>
    <w:rsid w:val="002C12B0"/>
    <w:rsid w:val="002C2510"/>
    <w:rsid w:val="002C26AB"/>
    <w:rsid w:val="002C2775"/>
    <w:rsid w:val="002C27C1"/>
    <w:rsid w:val="002C30D4"/>
    <w:rsid w:val="002C4736"/>
    <w:rsid w:val="002C4B56"/>
    <w:rsid w:val="002C4E4F"/>
    <w:rsid w:val="002C5099"/>
    <w:rsid w:val="002C5130"/>
    <w:rsid w:val="002C5889"/>
    <w:rsid w:val="002C6368"/>
    <w:rsid w:val="002C6E83"/>
    <w:rsid w:val="002C71CE"/>
    <w:rsid w:val="002C72F6"/>
    <w:rsid w:val="002D00D8"/>
    <w:rsid w:val="002D08F8"/>
    <w:rsid w:val="002D323A"/>
    <w:rsid w:val="002D3A53"/>
    <w:rsid w:val="002D4845"/>
    <w:rsid w:val="002D4ED3"/>
    <w:rsid w:val="002D577C"/>
    <w:rsid w:val="002D5873"/>
    <w:rsid w:val="002D785A"/>
    <w:rsid w:val="002E0C10"/>
    <w:rsid w:val="002E0C87"/>
    <w:rsid w:val="002E1071"/>
    <w:rsid w:val="002E15B9"/>
    <w:rsid w:val="002E2158"/>
    <w:rsid w:val="002E30F6"/>
    <w:rsid w:val="002E4A39"/>
    <w:rsid w:val="002E4D1E"/>
    <w:rsid w:val="002E4F02"/>
    <w:rsid w:val="002E5DE6"/>
    <w:rsid w:val="002E6168"/>
    <w:rsid w:val="002E61B6"/>
    <w:rsid w:val="002E64A1"/>
    <w:rsid w:val="002E7722"/>
    <w:rsid w:val="002E7D58"/>
    <w:rsid w:val="002F07BA"/>
    <w:rsid w:val="002F07CB"/>
    <w:rsid w:val="002F080B"/>
    <w:rsid w:val="002F0DA9"/>
    <w:rsid w:val="002F1014"/>
    <w:rsid w:val="002F1D9E"/>
    <w:rsid w:val="002F2A6D"/>
    <w:rsid w:val="002F406E"/>
    <w:rsid w:val="002F5018"/>
    <w:rsid w:val="002F5FCA"/>
    <w:rsid w:val="002F643C"/>
    <w:rsid w:val="002F691A"/>
    <w:rsid w:val="002F704E"/>
    <w:rsid w:val="002F71C0"/>
    <w:rsid w:val="002F73FB"/>
    <w:rsid w:val="002F74F1"/>
    <w:rsid w:val="002F79E8"/>
    <w:rsid w:val="00301017"/>
    <w:rsid w:val="0030155F"/>
    <w:rsid w:val="003022DF"/>
    <w:rsid w:val="0030382E"/>
    <w:rsid w:val="003044E1"/>
    <w:rsid w:val="00304920"/>
    <w:rsid w:val="0030587B"/>
    <w:rsid w:val="00306086"/>
    <w:rsid w:val="00306D98"/>
    <w:rsid w:val="0030786C"/>
    <w:rsid w:val="0031031A"/>
    <w:rsid w:val="00310805"/>
    <w:rsid w:val="00310981"/>
    <w:rsid w:val="003118F7"/>
    <w:rsid w:val="00311C13"/>
    <w:rsid w:val="003124D9"/>
    <w:rsid w:val="00312594"/>
    <w:rsid w:val="00312AD6"/>
    <w:rsid w:val="00313DEE"/>
    <w:rsid w:val="00315498"/>
    <w:rsid w:val="00315CF0"/>
    <w:rsid w:val="00316474"/>
    <w:rsid w:val="003164D4"/>
    <w:rsid w:val="00316681"/>
    <w:rsid w:val="0031777F"/>
    <w:rsid w:val="00317F09"/>
    <w:rsid w:val="00320986"/>
    <w:rsid w:val="00322107"/>
    <w:rsid w:val="00322355"/>
    <w:rsid w:val="00322715"/>
    <w:rsid w:val="00322846"/>
    <w:rsid w:val="003245A0"/>
    <w:rsid w:val="003264F3"/>
    <w:rsid w:val="00326DA7"/>
    <w:rsid w:val="003270E4"/>
    <w:rsid w:val="003274C2"/>
    <w:rsid w:val="00330CDE"/>
    <w:rsid w:val="00330DAA"/>
    <w:rsid w:val="00330F5C"/>
    <w:rsid w:val="00331BA4"/>
    <w:rsid w:val="00332D05"/>
    <w:rsid w:val="003336A5"/>
    <w:rsid w:val="00333A90"/>
    <w:rsid w:val="00333DCA"/>
    <w:rsid w:val="00336034"/>
    <w:rsid w:val="003366C9"/>
    <w:rsid w:val="00336BA9"/>
    <w:rsid w:val="003371B0"/>
    <w:rsid w:val="003376BC"/>
    <w:rsid w:val="00337C01"/>
    <w:rsid w:val="003400B1"/>
    <w:rsid w:val="00340DF1"/>
    <w:rsid w:val="003414FB"/>
    <w:rsid w:val="00341EEF"/>
    <w:rsid w:val="00342F16"/>
    <w:rsid w:val="0034373E"/>
    <w:rsid w:val="003439C7"/>
    <w:rsid w:val="003440CD"/>
    <w:rsid w:val="003442FD"/>
    <w:rsid w:val="00344AD9"/>
    <w:rsid w:val="00346B6C"/>
    <w:rsid w:val="00346C4F"/>
    <w:rsid w:val="00346F92"/>
    <w:rsid w:val="003515BA"/>
    <w:rsid w:val="003517F9"/>
    <w:rsid w:val="00351B43"/>
    <w:rsid w:val="00351BA9"/>
    <w:rsid w:val="00353564"/>
    <w:rsid w:val="003538D4"/>
    <w:rsid w:val="00354CB6"/>
    <w:rsid w:val="00354F64"/>
    <w:rsid w:val="003555C8"/>
    <w:rsid w:val="0035620E"/>
    <w:rsid w:val="003578A0"/>
    <w:rsid w:val="00360345"/>
    <w:rsid w:val="003614D0"/>
    <w:rsid w:val="00361A05"/>
    <w:rsid w:val="003624C4"/>
    <w:rsid w:val="0036355E"/>
    <w:rsid w:val="00363B00"/>
    <w:rsid w:val="00363F15"/>
    <w:rsid w:val="003651F1"/>
    <w:rsid w:val="003654AC"/>
    <w:rsid w:val="00365E7C"/>
    <w:rsid w:val="003710CF"/>
    <w:rsid w:val="00372C33"/>
    <w:rsid w:val="0037358A"/>
    <w:rsid w:val="00373E3B"/>
    <w:rsid w:val="003743D1"/>
    <w:rsid w:val="003750F6"/>
    <w:rsid w:val="00375174"/>
    <w:rsid w:val="00375FD0"/>
    <w:rsid w:val="003760FC"/>
    <w:rsid w:val="0037679F"/>
    <w:rsid w:val="00376DDD"/>
    <w:rsid w:val="00377189"/>
    <w:rsid w:val="00380FF5"/>
    <w:rsid w:val="003832FD"/>
    <w:rsid w:val="0038365C"/>
    <w:rsid w:val="0038369B"/>
    <w:rsid w:val="00383B78"/>
    <w:rsid w:val="00384EC8"/>
    <w:rsid w:val="00385288"/>
    <w:rsid w:val="00385A9D"/>
    <w:rsid w:val="003901A6"/>
    <w:rsid w:val="003902B1"/>
    <w:rsid w:val="003906AB"/>
    <w:rsid w:val="003912B9"/>
    <w:rsid w:val="0039179C"/>
    <w:rsid w:val="003923A9"/>
    <w:rsid w:val="00393E95"/>
    <w:rsid w:val="0039446F"/>
    <w:rsid w:val="003946C0"/>
    <w:rsid w:val="00394AC3"/>
    <w:rsid w:val="00395CAA"/>
    <w:rsid w:val="00396896"/>
    <w:rsid w:val="00396FD0"/>
    <w:rsid w:val="003A0248"/>
    <w:rsid w:val="003A130C"/>
    <w:rsid w:val="003A1A7A"/>
    <w:rsid w:val="003A1BE9"/>
    <w:rsid w:val="003A2392"/>
    <w:rsid w:val="003A2831"/>
    <w:rsid w:val="003A3073"/>
    <w:rsid w:val="003A333F"/>
    <w:rsid w:val="003A335C"/>
    <w:rsid w:val="003A3C78"/>
    <w:rsid w:val="003A3CB6"/>
    <w:rsid w:val="003A3ED1"/>
    <w:rsid w:val="003A44DB"/>
    <w:rsid w:val="003A4D50"/>
    <w:rsid w:val="003A54D6"/>
    <w:rsid w:val="003B0501"/>
    <w:rsid w:val="003B0EF0"/>
    <w:rsid w:val="003B1BA4"/>
    <w:rsid w:val="003B1CB8"/>
    <w:rsid w:val="003B2A29"/>
    <w:rsid w:val="003B3853"/>
    <w:rsid w:val="003B3971"/>
    <w:rsid w:val="003B3FDD"/>
    <w:rsid w:val="003B4200"/>
    <w:rsid w:val="003B55D1"/>
    <w:rsid w:val="003B5B61"/>
    <w:rsid w:val="003B5E04"/>
    <w:rsid w:val="003B6026"/>
    <w:rsid w:val="003C0631"/>
    <w:rsid w:val="003C0804"/>
    <w:rsid w:val="003C1654"/>
    <w:rsid w:val="003C1732"/>
    <w:rsid w:val="003C184C"/>
    <w:rsid w:val="003C2195"/>
    <w:rsid w:val="003C2B8B"/>
    <w:rsid w:val="003C42B3"/>
    <w:rsid w:val="003C4E64"/>
    <w:rsid w:val="003C5542"/>
    <w:rsid w:val="003C58CA"/>
    <w:rsid w:val="003C5AD1"/>
    <w:rsid w:val="003C5DC4"/>
    <w:rsid w:val="003C6C86"/>
    <w:rsid w:val="003C7351"/>
    <w:rsid w:val="003C7B44"/>
    <w:rsid w:val="003C7D19"/>
    <w:rsid w:val="003C7D2F"/>
    <w:rsid w:val="003D1828"/>
    <w:rsid w:val="003D1935"/>
    <w:rsid w:val="003D1DE4"/>
    <w:rsid w:val="003D1E9A"/>
    <w:rsid w:val="003D1FDD"/>
    <w:rsid w:val="003D2422"/>
    <w:rsid w:val="003D27A3"/>
    <w:rsid w:val="003D2904"/>
    <w:rsid w:val="003D2988"/>
    <w:rsid w:val="003D2FE9"/>
    <w:rsid w:val="003D39A1"/>
    <w:rsid w:val="003D3FBF"/>
    <w:rsid w:val="003D4A30"/>
    <w:rsid w:val="003D5755"/>
    <w:rsid w:val="003D7452"/>
    <w:rsid w:val="003D79BB"/>
    <w:rsid w:val="003D7C98"/>
    <w:rsid w:val="003D7D9D"/>
    <w:rsid w:val="003E0543"/>
    <w:rsid w:val="003E0565"/>
    <w:rsid w:val="003E0C76"/>
    <w:rsid w:val="003E1421"/>
    <w:rsid w:val="003E1525"/>
    <w:rsid w:val="003E3DAA"/>
    <w:rsid w:val="003E4110"/>
    <w:rsid w:val="003E4436"/>
    <w:rsid w:val="003E472B"/>
    <w:rsid w:val="003E582B"/>
    <w:rsid w:val="003E6D9D"/>
    <w:rsid w:val="003E7274"/>
    <w:rsid w:val="003E749E"/>
    <w:rsid w:val="003F003D"/>
    <w:rsid w:val="003F1A70"/>
    <w:rsid w:val="003F1B62"/>
    <w:rsid w:val="003F20E8"/>
    <w:rsid w:val="003F23FD"/>
    <w:rsid w:val="003F26DC"/>
    <w:rsid w:val="003F3A79"/>
    <w:rsid w:val="003F4156"/>
    <w:rsid w:val="003F447F"/>
    <w:rsid w:val="003F469F"/>
    <w:rsid w:val="003F5ADF"/>
    <w:rsid w:val="003F5CCF"/>
    <w:rsid w:val="003F64C2"/>
    <w:rsid w:val="003F723D"/>
    <w:rsid w:val="003F790C"/>
    <w:rsid w:val="004004D0"/>
    <w:rsid w:val="00400B29"/>
    <w:rsid w:val="004018E8"/>
    <w:rsid w:val="00401EF9"/>
    <w:rsid w:val="00402B62"/>
    <w:rsid w:val="00402F7B"/>
    <w:rsid w:val="00403424"/>
    <w:rsid w:val="0040504B"/>
    <w:rsid w:val="0040531F"/>
    <w:rsid w:val="004059F4"/>
    <w:rsid w:val="00405F5A"/>
    <w:rsid w:val="0040713C"/>
    <w:rsid w:val="004071C0"/>
    <w:rsid w:val="0040735B"/>
    <w:rsid w:val="00407FE5"/>
    <w:rsid w:val="004100E4"/>
    <w:rsid w:val="004101B0"/>
    <w:rsid w:val="00410326"/>
    <w:rsid w:val="004105B2"/>
    <w:rsid w:val="00410708"/>
    <w:rsid w:val="00410EC7"/>
    <w:rsid w:val="0041185C"/>
    <w:rsid w:val="004119C6"/>
    <w:rsid w:val="00411B39"/>
    <w:rsid w:val="00411E73"/>
    <w:rsid w:val="004127A7"/>
    <w:rsid w:val="00413A1E"/>
    <w:rsid w:val="00414476"/>
    <w:rsid w:val="00414C2E"/>
    <w:rsid w:val="004151CF"/>
    <w:rsid w:val="00416364"/>
    <w:rsid w:val="00416B6D"/>
    <w:rsid w:val="00416DA2"/>
    <w:rsid w:val="004171B6"/>
    <w:rsid w:val="0042047F"/>
    <w:rsid w:val="00420AA6"/>
    <w:rsid w:val="00420B9F"/>
    <w:rsid w:val="004213F1"/>
    <w:rsid w:val="004217E1"/>
    <w:rsid w:val="0042192C"/>
    <w:rsid w:val="00422260"/>
    <w:rsid w:val="00422A4D"/>
    <w:rsid w:val="00423967"/>
    <w:rsid w:val="0042413F"/>
    <w:rsid w:val="0042467B"/>
    <w:rsid w:val="0042683F"/>
    <w:rsid w:val="004277AF"/>
    <w:rsid w:val="00427B86"/>
    <w:rsid w:val="00427F78"/>
    <w:rsid w:val="00430409"/>
    <w:rsid w:val="00430522"/>
    <w:rsid w:val="004319F8"/>
    <w:rsid w:val="00431BB7"/>
    <w:rsid w:val="00431E55"/>
    <w:rsid w:val="00432103"/>
    <w:rsid w:val="004321F6"/>
    <w:rsid w:val="00433044"/>
    <w:rsid w:val="0043380B"/>
    <w:rsid w:val="00434088"/>
    <w:rsid w:val="00435301"/>
    <w:rsid w:val="00435D79"/>
    <w:rsid w:val="004360DE"/>
    <w:rsid w:val="0043696D"/>
    <w:rsid w:val="00437426"/>
    <w:rsid w:val="004375B9"/>
    <w:rsid w:val="00437FFB"/>
    <w:rsid w:val="0044020F"/>
    <w:rsid w:val="00440EE0"/>
    <w:rsid w:val="004428D0"/>
    <w:rsid w:val="00442D12"/>
    <w:rsid w:val="004433F7"/>
    <w:rsid w:val="00444185"/>
    <w:rsid w:val="004443A7"/>
    <w:rsid w:val="0044442C"/>
    <w:rsid w:val="00444E9E"/>
    <w:rsid w:val="00445806"/>
    <w:rsid w:val="00445941"/>
    <w:rsid w:val="004464EB"/>
    <w:rsid w:val="00447C51"/>
    <w:rsid w:val="00447D26"/>
    <w:rsid w:val="00447DFC"/>
    <w:rsid w:val="004502A6"/>
    <w:rsid w:val="0045042E"/>
    <w:rsid w:val="00450A3D"/>
    <w:rsid w:val="00450BDB"/>
    <w:rsid w:val="00451619"/>
    <w:rsid w:val="00452A49"/>
    <w:rsid w:val="004540E9"/>
    <w:rsid w:val="00455D45"/>
    <w:rsid w:val="00456036"/>
    <w:rsid w:val="0045707C"/>
    <w:rsid w:val="004608BA"/>
    <w:rsid w:val="0046250B"/>
    <w:rsid w:val="00462871"/>
    <w:rsid w:val="0046335C"/>
    <w:rsid w:val="00463EE8"/>
    <w:rsid w:val="004640E2"/>
    <w:rsid w:val="00464595"/>
    <w:rsid w:val="004658B5"/>
    <w:rsid w:val="00467373"/>
    <w:rsid w:val="00471EA5"/>
    <w:rsid w:val="00471EE8"/>
    <w:rsid w:val="0047243C"/>
    <w:rsid w:val="0047269F"/>
    <w:rsid w:val="00472A79"/>
    <w:rsid w:val="00472BD3"/>
    <w:rsid w:val="0047324F"/>
    <w:rsid w:val="00473F19"/>
    <w:rsid w:val="00475690"/>
    <w:rsid w:val="00475E22"/>
    <w:rsid w:val="00476E1E"/>
    <w:rsid w:val="00476F57"/>
    <w:rsid w:val="0048013F"/>
    <w:rsid w:val="0048088E"/>
    <w:rsid w:val="00480F2B"/>
    <w:rsid w:val="004816E3"/>
    <w:rsid w:val="00482720"/>
    <w:rsid w:val="0048307D"/>
    <w:rsid w:val="004835E7"/>
    <w:rsid w:val="00483A08"/>
    <w:rsid w:val="00485CDD"/>
    <w:rsid w:val="004867B7"/>
    <w:rsid w:val="004867E2"/>
    <w:rsid w:val="00487DFD"/>
    <w:rsid w:val="00490B17"/>
    <w:rsid w:val="00491B3A"/>
    <w:rsid w:val="004922F9"/>
    <w:rsid w:val="00492953"/>
    <w:rsid w:val="00492CFD"/>
    <w:rsid w:val="00494207"/>
    <w:rsid w:val="00494C32"/>
    <w:rsid w:val="00494DD5"/>
    <w:rsid w:val="004962D2"/>
    <w:rsid w:val="00496E52"/>
    <w:rsid w:val="004A034B"/>
    <w:rsid w:val="004A097F"/>
    <w:rsid w:val="004A0B30"/>
    <w:rsid w:val="004A0DA1"/>
    <w:rsid w:val="004A13D6"/>
    <w:rsid w:val="004A14EA"/>
    <w:rsid w:val="004A1507"/>
    <w:rsid w:val="004A2129"/>
    <w:rsid w:val="004A24A3"/>
    <w:rsid w:val="004A2981"/>
    <w:rsid w:val="004A4C82"/>
    <w:rsid w:val="004A52E9"/>
    <w:rsid w:val="004A539F"/>
    <w:rsid w:val="004A53E1"/>
    <w:rsid w:val="004A6040"/>
    <w:rsid w:val="004A6597"/>
    <w:rsid w:val="004A6ACA"/>
    <w:rsid w:val="004A72AD"/>
    <w:rsid w:val="004A7306"/>
    <w:rsid w:val="004A73F5"/>
    <w:rsid w:val="004A7848"/>
    <w:rsid w:val="004B144A"/>
    <w:rsid w:val="004B1660"/>
    <w:rsid w:val="004B1CB4"/>
    <w:rsid w:val="004B217D"/>
    <w:rsid w:val="004B2469"/>
    <w:rsid w:val="004B2F18"/>
    <w:rsid w:val="004B3DDB"/>
    <w:rsid w:val="004B44FD"/>
    <w:rsid w:val="004B4A6F"/>
    <w:rsid w:val="004B5363"/>
    <w:rsid w:val="004B5CFC"/>
    <w:rsid w:val="004B6F79"/>
    <w:rsid w:val="004B774D"/>
    <w:rsid w:val="004C0130"/>
    <w:rsid w:val="004C09B2"/>
    <w:rsid w:val="004C0A1D"/>
    <w:rsid w:val="004C2872"/>
    <w:rsid w:val="004C3ACE"/>
    <w:rsid w:val="004C4AED"/>
    <w:rsid w:val="004C5A35"/>
    <w:rsid w:val="004C6E30"/>
    <w:rsid w:val="004C7AC3"/>
    <w:rsid w:val="004D0309"/>
    <w:rsid w:val="004D152E"/>
    <w:rsid w:val="004D1A34"/>
    <w:rsid w:val="004D224C"/>
    <w:rsid w:val="004D23DC"/>
    <w:rsid w:val="004D2C2D"/>
    <w:rsid w:val="004D4AD5"/>
    <w:rsid w:val="004D6301"/>
    <w:rsid w:val="004D69B5"/>
    <w:rsid w:val="004D69E8"/>
    <w:rsid w:val="004D6A8C"/>
    <w:rsid w:val="004D6D7F"/>
    <w:rsid w:val="004D70E6"/>
    <w:rsid w:val="004D7200"/>
    <w:rsid w:val="004D7227"/>
    <w:rsid w:val="004D76BE"/>
    <w:rsid w:val="004D783F"/>
    <w:rsid w:val="004E0E7F"/>
    <w:rsid w:val="004E0EB8"/>
    <w:rsid w:val="004E14B1"/>
    <w:rsid w:val="004E18E9"/>
    <w:rsid w:val="004E2ADC"/>
    <w:rsid w:val="004E39DE"/>
    <w:rsid w:val="004E42C7"/>
    <w:rsid w:val="004E43B2"/>
    <w:rsid w:val="004E604E"/>
    <w:rsid w:val="004E7094"/>
    <w:rsid w:val="004E778E"/>
    <w:rsid w:val="004E7A27"/>
    <w:rsid w:val="004E7A5C"/>
    <w:rsid w:val="004F048D"/>
    <w:rsid w:val="004F0632"/>
    <w:rsid w:val="004F065E"/>
    <w:rsid w:val="004F1D02"/>
    <w:rsid w:val="004F2679"/>
    <w:rsid w:val="004F2F21"/>
    <w:rsid w:val="004F3DE5"/>
    <w:rsid w:val="004F4D09"/>
    <w:rsid w:val="004F6913"/>
    <w:rsid w:val="004F6DE9"/>
    <w:rsid w:val="004F7495"/>
    <w:rsid w:val="004F7530"/>
    <w:rsid w:val="004F7865"/>
    <w:rsid w:val="00500CE8"/>
    <w:rsid w:val="00500CF0"/>
    <w:rsid w:val="0050174E"/>
    <w:rsid w:val="00501854"/>
    <w:rsid w:val="0050219B"/>
    <w:rsid w:val="00503B53"/>
    <w:rsid w:val="00503F17"/>
    <w:rsid w:val="005047AF"/>
    <w:rsid w:val="0050493D"/>
    <w:rsid w:val="00504EF6"/>
    <w:rsid w:val="005057B5"/>
    <w:rsid w:val="005059B6"/>
    <w:rsid w:val="00505E10"/>
    <w:rsid w:val="00506928"/>
    <w:rsid w:val="005077EF"/>
    <w:rsid w:val="00510707"/>
    <w:rsid w:val="00511AD5"/>
    <w:rsid w:val="00511DC7"/>
    <w:rsid w:val="005136F0"/>
    <w:rsid w:val="005142C5"/>
    <w:rsid w:val="0051501B"/>
    <w:rsid w:val="005152B5"/>
    <w:rsid w:val="00516144"/>
    <w:rsid w:val="00517227"/>
    <w:rsid w:val="00517693"/>
    <w:rsid w:val="00517B27"/>
    <w:rsid w:val="00517BEC"/>
    <w:rsid w:val="00520641"/>
    <w:rsid w:val="0052123C"/>
    <w:rsid w:val="00521319"/>
    <w:rsid w:val="005222EA"/>
    <w:rsid w:val="00522BC8"/>
    <w:rsid w:val="00522F59"/>
    <w:rsid w:val="00523C28"/>
    <w:rsid w:val="00523F76"/>
    <w:rsid w:val="00524143"/>
    <w:rsid w:val="00527597"/>
    <w:rsid w:val="00527641"/>
    <w:rsid w:val="00530ED1"/>
    <w:rsid w:val="0053176B"/>
    <w:rsid w:val="0053198B"/>
    <w:rsid w:val="00531BF9"/>
    <w:rsid w:val="00531C22"/>
    <w:rsid w:val="00531E8B"/>
    <w:rsid w:val="00534745"/>
    <w:rsid w:val="00534D6D"/>
    <w:rsid w:val="00536F42"/>
    <w:rsid w:val="00537182"/>
    <w:rsid w:val="00541EDD"/>
    <w:rsid w:val="00542743"/>
    <w:rsid w:val="00542C2D"/>
    <w:rsid w:val="005433DA"/>
    <w:rsid w:val="00543C44"/>
    <w:rsid w:val="00543FDE"/>
    <w:rsid w:val="005478BD"/>
    <w:rsid w:val="005479C9"/>
    <w:rsid w:val="005479E3"/>
    <w:rsid w:val="005479E6"/>
    <w:rsid w:val="0055025A"/>
    <w:rsid w:val="00550E92"/>
    <w:rsid w:val="00551985"/>
    <w:rsid w:val="00552BD3"/>
    <w:rsid w:val="005532A0"/>
    <w:rsid w:val="0055394A"/>
    <w:rsid w:val="00555109"/>
    <w:rsid w:val="005553EA"/>
    <w:rsid w:val="005559A9"/>
    <w:rsid w:val="005559B3"/>
    <w:rsid w:val="00555E19"/>
    <w:rsid w:val="00556B35"/>
    <w:rsid w:val="0055741A"/>
    <w:rsid w:val="00560523"/>
    <w:rsid w:val="005611B7"/>
    <w:rsid w:val="005618D4"/>
    <w:rsid w:val="005624A7"/>
    <w:rsid w:val="00562955"/>
    <w:rsid w:val="00562DA9"/>
    <w:rsid w:val="00562FA3"/>
    <w:rsid w:val="00565DF0"/>
    <w:rsid w:val="00566800"/>
    <w:rsid w:val="0056696F"/>
    <w:rsid w:val="00571257"/>
    <w:rsid w:val="00571479"/>
    <w:rsid w:val="00572269"/>
    <w:rsid w:val="0057244A"/>
    <w:rsid w:val="00572F26"/>
    <w:rsid w:val="005741E1"/>
    <w:rsid w:val="00574361"/>
    <w:rsid w:val="00574CBE"/>
    <w:rsid w:val="005750C5"/>
    <w:rsid w:val="005752DE"/>
    <w:rsid w:val="00575D8D"/>
    <w:rsid w:val="005767BB"/>
    <w:rsid w:val="00576972"/>
    <w:rsid w:val="00576B52"/>
    <w:rsid w:val="00577CAC"/>
    <w:rsid w:val="005805D0"/>
    <w:rsid w:val="00581609"/>
    <w:rsid w:val="0058198A"/>
    <w:rsid w:val="00583699"/>
    <w:rsid w:val="00583724"/>
    <w:rsid w:val="00583AFE"/>
    <w:rsid w:val="00583B79"/>
    <w:rsid w:val="00584365"/>
    <w:rsid w:val="005851C8"/>
    <w:rsid w:val="005855BD"/>
    <w:rsid w:val="00585781"/>
    <w:rsid w:val="00585CDD"/>
    <w:rsid w:val="0058612F"/>
    <w:rsid w:val="005867F8"/>
    <w:rsid w:val="00587058"/>
    <w:rsid w:val="0059063D"/>
    <w:rsid w:val="00590FF2"/>
    <w:rsid w:val="00591878"/>
    <w:rsid w:val="00591957"/>
    <w:rsid w:val="00592D05"/>
    <w:rsid w:val="005930A0"/>
    <w:rsid w:val="00594C6E"/>
    <w:rsid w:val="00597BF9"/>
    <w:rsid w:val="005A0A28"/>
    <w:rsid w:val="005A0D9F"/>
    <w:rsid w:val="005A309A"/>
    <w:rsid w:val="005A373D"/>
    <w:rsid w:val="005A3BF8"/>
    <w:rsid w:val="005A3C63"/>
    <w:rsid w:val="005A403A"/>
    <w:rsid w:val="005A570E"/>
    <w:rsid w:val="005A59A2"/>
    <w:rsid w:val="005A59F0"/>
    <w:rsid w:val="005A61C6"/>
    <w:rsid w:val="005A7448"/>
    <w:rsid w:val="005B0B58"/>
    <w:rsid w:val="005B1AE3"/>
    <w:rsid w:val="005B1BC0"/>
    <w:rsid w:val="005B2808"/>
    <w:rsid w:val="005B2B5E"/>
    <w:rsid w:val="005B30A4"/>
    <w:rsid w:val="005B38C8"/>
    <w:rsid w:val="005B4E53"/>
    <w:rsid w:val="005B5857"/>
    <w:rsid w:val="005B6B6C"/>
    <w:rsid w:val="005C021F"/>
    <w:rsid w:val="005C0891"/>
    <w:rsid w:val="005C166A"/>
    <w:rsid w:val="005C191C"/>
    <w:rsid w:val="005C1B83"/>
    <w:rsid w:val="005C25FF"/>
    <w:rsid w:val="005C2D0E"/>
    <w:rsid w:val="005C2D55"/>
    <w:rsid w:val="005C2ECA"/>
    <w:rsid w:val="005C346B"/>
    <w:rsid w:val="005C38BC"/>
    <w:rsid w:val="005C41BC"/>
    <w:rsid w:val="005C4802"/>
    <w:rsid w:val="005C53C3"/>
    <w:rsid w:val="005C626E"/>
    <w:rsid w:val="005C6A69"/>
    <w:rsid w:val="005C6D79"/>
    <w:rsid w:val="005C7024"/>
    <w:rsid w:val="005C7807"/>
    <w:rsid w:val="005D044D"/>
    <w:rsid w:val="005D0A01"/>
    <w:rsid w:val="005D0ABD"/>
    <w:rsid w:val="005D18AD"/>
    <w:rsid w:val="005D18F4"/>
    <w:rsid w:val="005D1AB0"/>
    <w:rsid w:val="005D24BA"/>
    <w:rsid w:val="005D26B4"/>
    <w:rsid w:val="005D2D8A"/>
    <w:rsid w:val="005D2FDD"/>
    <w:rsid w:val="005D348A"/>
    <w:rsid w:val="005D5DC3"/>
    <w:rsid w:val="005D6FF4"/>
    <w:rsid w:val="005D72DE"/>
    <w:rsid w:val="005D72F0"/>
    <w:rsid w:val="005E1287"/>
    <w:rsid w:val="005E17DA"/>
    <w:rsid w:val="005E1AE8"/>
    <w:rsid w:val="005E2DE7"/>
    <w:rsid w:val="005E3200"/>
    <w:rsid w:val="005E34C3"/>
    <w:rsid w:val="005E37AF"/>
    <w:rsid w:val="005E498F"/>
    <w:rsid w:val="005E5419"/>
    <w:rsid w:val="005E693A"/>
    <w:rsid w:val="005E6A4B"/>
    <w:rsid w:val="005E6CBC"/>
    <w:rsid w:val="005E7222"/>
    <w:rsid w:val="005E72FF"/>
    <w:rsid w:val="005E73C0"/>
    <w:rsid w:val="005E7749"/>
    <w:rsid w:val="005E7ACB"/>
    <w:rsid w:val="005E7FF2"/>
    <w:rsid w:val="005F02D7"/>
    <w:rsid w:val="005F0607"/>
    <w:rsid w:val="005F1C0D"/>
    <w:rsid w:val="005F2706"/>
    <w:rsid w:val="005F2802"/>
    <w:rsid w:val="005F360B"/>
    <w:rsid w:val="005F39B3"/>
    <w:rsid w:val="005F4D67"/>
    <w:rsid w:val="005F56D8"/>
    <w:rsid w:val="005F5C04"/>
    <w:rsid w:val="005F67DC"/>
    <w:rsid w:val="005F6A8F"/>
    <w:rsid w:val="005F6BB7"/>
    <w:rsid w:val="005F6F98"/>
    <w:rsid w:val="005F7588"/>
    <w:rsid w:val="00601D4B"/>
    <w:rsid w:val="00602536"/>
    <w:rsid w:val="00603DB9"/>
    <w:rsid w:val="006043E8"/>
    <w:rsid w:val="00604C99"/>
    <w:rsid w:val="00605E39"/>
    <w:rsid w:val="00606CAA"/>
    <w:rsid w:val="00606ED1"/>
    <w:rsid w:val="00606FBA"/>
    <w:rsid w:val="00607669"/>
    <w:rsid w:val="006076F4"/>
    <w:rsid w:val="00607AFD"/>
    <w:rsid w:val="00610279"/>
    <w:rsid w:val="00611A52"/>
    <w:rsid w:val="00611B1F"/>
    <w:rsid w:val="00612731"/>
    <w:rsid w:val="00612F97"/>
    <w:rsid w:val="0061345D"/>
    <w:rsid w:val="00613C5C"/>
    <w:rsid w:val="00614500"/>
    <w:rsid w:val="006149ED"/>
    <w:rsid w:val="00614D6C"/>
    <w:rsid w:val="0061549B"/>
    <w:rsid w:val="0061561E"/>
    <w:rsid w:val="00616802"/>
    <w:rsid w:val="00616A3E"/>
    <w:rsid w:val="0061748C"/>
    <w:rsid w:val="00617E12"/>
    <w:rsid w:val="006209FF"/>
    <w:rsid w:val="00620C25"/>
    <w:rsid w:val="0062110A"/>
    <w:rsid w:val="00621477"/>
    <w:rsid w:val="00621ADA"/>
    <w:rsid w:val="0062259E"/>
    <w:rsid w:val="00623821"/>
    <w:rsid w:val="00623F7B"/>
    <w:rsid w:val="0062451B"/>
    <w:rsid w:val="00624731"/>
    <w:rsid w:val="0062596F"/>
    <w:rsid w:val="00626BE7"/>
    <w:rsid w:val="0063158F"/>
    <w:rsid w:val="00631D6B"/>
    <w:rsid w:val="00632183"/>
    <w:rsid w:val="00632778"/>
    <w:rsid w:val="006328CA"/>
    <w:rsid w:val="006330A1"/>
    <w:rsid w:val="00633B6F"/>
    <w:rsid w:val="0063479F"/>
    <w:rsid w:val="006353F0"/>
    <w:rsid w:val="006356FE"/>
    <w:rsid w:val="006357B5"/>
    <w:rsid w:val="00635BED"/>
    <w:rsid w:val="006364A1"/>
    <w:rsid w:val="0063678E"/>
    <w:rsid w:val="00637471"/>
    <w:rsid w:val="00637BFD"/>
    <w:rsid w:val="00637E99"/>
    <w:rsid w:val="00640AD7"/>
    <w:rsid w:val="00640D6A"/>
    <w:rsid w:val="00641AEB"/>
    <w:rsid w:val="00641C4E"/>
    <w:rsid w:val="00641EAB"/>
    <w:rsid w:val="00641FB3"/>
    <w:rsid w:val="00643171"/>
    <w:rsid w:val="006437D1"/>
    <w:rsid w:val="00644234"/>
    <w:rsid w:val="0064434C"/>
    <w:rsid w:val="00645827"/>
    <w:rsid w:val="00646896"/>
    <w:rsid w:val="00646F36"/>
    <w:rsid w:val="006471CC"/>
    <w:rsid w:val="00647A29"/>
    <w:rsid w:val="0065079F"/>
    <w:rsid w:val="00652A28"/>
    <w:rsid w:val="0065379F"/>
    <w:rsid w:val="0065417F"/>
    <w:rsid w:val="00654443"/>
    <w:rsid w:val="00655D6A"/>
    <w:rsid w:val="0065614C"/>
    <w:rsid w:val="00656188"/>
    <w:rsid w:val="0065715A"/>
    <w:rsid w:val="006610F1"/>
    <w:rsid w:val="00661C6B"/>
    <w:rsid w:val="0066240F"/>
    <w:rsid w:val="00663A1F"/>
    <w:rsid w:val="00670C57"/>
    <w:rsid w:val="00671004"/>
    <w:rsid w:val="00672646"/>
    <w:rsid w:val="00673000"/>
    <w:rsid w:val="00673187"/>
    <w:rsid w:val="00673919"/>
    <w:rsid w:val="00674E42"/>
    <w:rsid w:val="006759F0"/>
    <w:rsid w:val="0067601B"/>
    <w:rsid w:val="006803DB"/>
    <w:rsid w:val="006813F8"/>
    <w:rsid w:val="00682112"/>
    <w:rsid w:val="00682446"/>
    <w:rsid w:val="00682766"/>
    <w:rsid w:val="00682BA6"/>
    <w:rsid w:val="006843D7"/>
    <w:rsid w:val="0068455C"/>
    <w:rsid w:val="00684F67"/>
    <w:rsid w:val="006859F0"/>
    <w:rsid w:val="0068689E"/>
    <w:rsid w:val="00686957"/>
    <w:rsid w:val="00686980"/>
    <w:rsid w:val="00687044"/>
    <w:rsid w:val="00687195"/>
    <w:rsid w:val="006872BA"/>
    <w:rsid w:val="0068740B"/>
    <w:rsid w:val="00687638"/>
    <w:rsid w:val="006906C1"/>
    <w:rsid w:val="00690795"/>
    <w:rsid w:val="00690D4E"/>
    <w:rsid w:val="00691648"/>
    <w:rsid w:val="006917D7"/>
    <w:rsid w:val="006919DA"/>
    <w:rsid w:val="00691DF5"/>
    <w:rsid w:val="006927C6"/>
    <w:rsid w:val="00693678"/>
    <w:rsid w:val="0069434C"/>
    <w:rsid w:val="00694F44"/>
    <w:rsid w:val="00695042"/>
    <w:rsid w:val="0069577B"/>
    <w:rsid w:val="00696D20"/>
    <w:rsid w:val="00696F51"/>
    <w:rsid w:val="006979A5"/>
    <w:rsid w:val="00697F19"/>
    <w:rsid w:val="006A0A58"/>
    <w:rsid w:val="006A11B5"/>
    <w:rsid w:val="006A1DE3"/>
    <w:rsid w:val="006A20C7"/>
    <w:rsid w:val="006A263C"/>
    <w:rsid w:val="006A2F89"/>
    <w:rsid w:val="006A3389"/>
    <w:rsid w:val="006A4C89"/>
    <w:rsid w:val="006A4F3C"/>
    <w:rsid w:val="006A5FD3"/>
    <w:rsid w:val="006A676B"/>
    <w:rsid w:val="006A6B99"/>
    <w:rsid w:val="006A7E5F"/>
    <w:rsid w:val="006B0ED0"/>
    <w:rsid w:val="006B1C71"/>
    <w:rsid w:val="006B25E9"/>
    <w:rsid w:val="006B261B"/>
    <w:rsid w:val="006B2AF1"/>
    <w:rsid w:val="006B2C90"/>
    <w:rsid w:val="006B2ED0"/>
    <w:rsid w:val="006B35E6"/>
    <w:rsid w:val="006B41C1"/>
    <w:rsid w:val="006B465A"/>
    <w:rsid w:val="006B5A1F"/>
    <w:rsid w:val="006B61B9"/>
    <w:rsid w:val="006B6630"/>
    <w:rsid w:val="006B6D1E"/>
    <w:rsid w:val="006B6DD0"/>
    <w:rsid w:val="006B7073"/>
    <w:rsid w:val="006B77F8"/>
    <w:rsid w:val="006C0058"/>
    <w:rsid w:val="006C0399"/>
    <w:rsid w:val="006C2A8E"/>
    <w:rsid w:val="006C3234"/>
    <w:rsid w:val="006C3255"/>
    <w:rsid w:val="006C3819"/>
    <w:rsid w:val="006C3F26"/>
    <w:rsid w:val="006C48ED"/>
    <w:rsid w:val="006C4B5E"/>
    <w:rsid w:val="006C7D71"/>
    <w:rsid w:val="006D043B"/>
    <w:rsid w:val="006D0D17"/>
    <w:rsid w:val="006D1FC6"/>
    <w:rsid w:val="006D2378"/>
    <w:rsid w:val="006D2860"/>
    <w:rsid w:val="006D38F9"/>
    <w:rsid w:val="006D3C7D"/>
    <w:rsid w:val="006D4659"/>
    <w:rsid w:val="006D5842"/>
    <w:rsid w:val="006D5D5F"/>
    <w:rsid w:val="006D6230"/>
    <w:rsid w:val="006D68FB"/>
    <w:rsid w:val="006D6F5C"/>
    <w:rsid w:val="006E0625"/>
    <w:rsid w:val="006E1BE6"/>
    <w:rsid w:val="006E2437"/>
    <w:rsid w:val="006E2739"/>
    <w:rsid w:val="006E2868"/>
    <w:rsid w:val="006E5086"/>
    <w:rsid w:val="006E66C4"/>
    <w:rsid w:val="006E6713"/>
    <w:rsid w:val="006E67C5"/>
    <w:rsid w:val="006E7301"/>
    <w:rsid w:val="006E7A01"/>
    <w:rsid w:val="006F05F1"/>
    <w:rsid w:val="006F1CF3"/>
    <w:rsid w:val="006F2A14"/>
    <w:rsid w:val="006F306C"/>
    <w:rsid w:val="006F4985"/>
    <w:rsid w:val="006F62B6"/>
    <w:rsid w:val="006F63A5"/>
    <w:rsid w:val="006F6BBA"/>
    <w:rsid w:val="006F6BEC"/>
    <w:rsid w:val="006F73B2"/>
    <w:rsid w:val="006F7E10"/>
    <w:rsid w:val="006F7F25"/>
    <w:rsid w:val="0070142B"/>
    <w:rsid w:val="007014BB"/>
    <w:rsid w:val="0070276E"/>
    <w:rsid w:val="007028D9"/>
    <w:rsid w:val="00702E24"/>
    <w:rsid w:val="00702F8F"/>
    <w:rsid w:val="0070323B"/>
    <w:rsid w:val="00703878"/>
    <w:rsid w:val="00703BC2"/>
    <w:rsid w:val="007059E4"/>
    <w:rsid w:val="00706C3F"/>
    <w:rsid w:val="00707102"/>
    <w:rsid w:val="007079FC"/>
    <w:rsid w:val="00707B9E"/>
    <w:rsid w:val="00710CC5"/>
    <w:rsid w:val="00711A36"/>
    <w:rsid w:val="00713610"/>
    <w:rsid w:val="00713D06"/>
    <w:rsid w:val="00713DFD"/>
    <w:rsid w:val="007143D4"/>
    <w:rsid w:val="00714C26"/>
    <w:rsid w:val="0071529C"/>
    <w:rsid w:val="007152E8"/>
    <w:rsid w:val="007155FB"/>
    <w:rsid w:val="0071574C"/>
    <w:rsid w:val="007170DA"/>
    <w:rsid w:val="007172AD"/>
    <w:rsid w:val="00720801"/>
    <w:rsid w:val="00721DAD"/>
    <w:rsid w:val="00722B1B"/>
    <w:rsid w:val="00722BB3"/>
    <w:rsid w:val="0072316C"/>
    <w:rsid w:val="00723795"/>
    <w:rsid w:val="007240F2"/>
    <w:rsid w:val="0072416F"/>
    <w:rsid w:val="00724625"/>
    <w:rsid w:val="0072591F"/>
    <w:rsid w:val="00725C1F"/>
    <w:rsid w:val="00725D92"/>
    <w:rsid w:val="0072611B"/>
    <w:rsid w:val="00727C94"/>
    <w:rsid w:val="00730D24"/>
    <w:rsid w:val="00731B0A"/>
    <w:rsid w:val="00731EAE"/>
    <w:rsid w:val="00731F5B"/>
    <w:rsid w:val="007324AA"/>
    <w:rsid w:val="00733073"/>
    <w:rsid w:val="00733E41"/>
    <w:rsid w:val="00734F6C"/>
    <w:rsid w:val="00735033"/>
    <w:rsid w:val="00735328"/>
    <w:rsid w:val="00735D8A"/>
    <w:rsid w:val="00736505"/>
    <w:rsid w:val="0073669A"/>
    <w:rsid w:val="0073685B"/>
    <w:rsid w:val="007368C9"/>
    <w:rsid w:val="00736C45"/>
    <w:rsid w:val="0073742D"/>
    <w:rsid w:val="007377EC"/>
    <w:rsid w:val="007400AA"/>
    <w:rsid w:val="00740BC9"/>
    <w:rsid w:val="00740BF6"/>
    <w:rsid w:val="00740DF7"/>
    <w:rsid w:val="00740E72"/>
    <w:rsid w:val="007425E6"/>
    <w:rsid w:val="00742AE6"/>
    <w:rsid w:val="00742C7B"/>
    <w:rsid w:val="007430EB"/>
    <w:rsid w:val="007449BF"/>
    <w:rsid w:val="007456C6"/>
    <w:rsid w:val="0074666D"/>
    <w:rsid w:val="00746BBB"/>
    <w:rsid w:val="00746BC0"/>
    <w:rsid w:val="00747B00"/>
    <w:rsid w:val="007510B4"/>
    <w:rsid w:val="00752142"/>
    <w:rsid w:val="007523F9"/>
    <w:rsid w:val="0075357E"/>
    <w:rsid w:val="00753DC7"/>
    <w:rsid w:val="00754D36"/>
    <w:rsid w:val="007564FE"/>
    <w:rsid w:val="0075678D"/>
    <w:rsid w:val="0075699F"/>
    <w:rsid w:val="00756E6A"/>
    <w:rsid w:val="007572C0"/>
    <w:rsid w:val="007573E8"/>
    <w:rsid w:val="0076036F"/>
    <w:rsid w:val="00760C4E"/>
    <w:rsid w:val="00760F9E"/>
    <w:rsid w:val="007615FD"/>
    <w:rsid w:val="007624F9"/>
    <w:rsid w:val="0076265A"/>
    <w:rsid w:val="007627BE"/>
    <w:rsid w:val="00764466"/>
    <w:rsid w:val="00764A05"/>
    <w:rsid w:val="00764F03"/>
    <w:rsid w:val="00765283"/>
    <w:rsid w:val="00765B1A"/>
    <w:rsid w:val="00765D81"/>
    <w:rsid w:val="00766164"/>
    <w:rsid w:val="00766205"/>
    <w:rsid w:val="0076641A"/>
    <w:rsid w:val="00766E9A"/>
    <w:rsid w:val="0076794E"/>
    <w:rsid w:val="00767BE1"/>
    <w:rsid w:val="007703CA"/>
    <w:rsid w:val="0077042C"/>
    <w:rsid w:val="00773749"/>
    <w:rsid w:val="0077565F"/>
    <w:rsid w:val="00775839"/>
    <w:rsid w:val="00775974"/>
    <w:rsid w:val="0077604E"/>
    <w:rsid w:val="007766FC"/>
    <w:rsid w:val="00776CF6"/>
    <w:rsid w:val="00777335"/>
    <w:rsid w:val="007776E7"/>
    <w:rsid w:val="00777B25"/>
    <w:rsid w:val="0078138E"/>
    <w:rsid w:val="007837CA"/>
    <w:rsid w:val="0078389F"/>
    <w:rsid w:val="00783E43"/>
    <w:rsid w:val="007843F2"/>
    <w:rsid w:val="00785354"/>
    <w:rsid w:val="00785A9F"/>
    <w:rsid w:val="00786A10"/>
    <w:rsid w:val="00786BDC"/>
    <w:rsid w:val="00790940"/>
    <w:rsid w:val="00791B33"/>
    <w:rsid w:val="007922F0"/>
    <w:rsid w:val="007925DF"/>
    <w:rsid w:val="00792B0D"/>
    <w:rsid w:val="00792EB6"/>
    <w:rsid w:val="00792ECA"/>
    <w:rsid w:val="0079343C"/>
    <w:rsid w:val="00793DA7"/>
    <w:rsid w:val="00793FC3"/>
    <w:rsid w:val="00795013"/>
    <w:rsid w:val="00795329"/>
    <w:rsid w:val="0079691F"/>
    <w:rsid w:val="007A02F8"/>
    <w:rsid w:val="007A08AA"/>
    <w:rsid w:val="007A099C"/>
    <w:rsid w:val="007A0A12"/>
    <w:rsid w:val="007A132D"/>
    <w:rsid w:val="007A1345"/>
    <w:rsid w:val="007A24D3"/>
    <w:rsid w:val="007A2DDB"/>
    <w:rsid w:val="007A3E9D"/>
    <w:rsid w:val="007A4BDC"/>
    <w:rsid w:val="007A582A"/>
    <w:rsid w:val="007A6D7B"/>
    <w:rsid w:val="007A6D97"/>
    <w:rsid w:val="007A70BA"/>
    <w:rsid w:val="007A7DCC"/>
    <w:rsid w:val="007B0D68"/>
    <w:rsid w:val="007B251D"/>
    <w:rsid w:val="007B2F4C"/>
    <w:rsid w:val="007B4F58"/>
    <w:rsid w:val="007B528D"/>
    <w:rsid w:val="007B576A"/>
    <w:rsid w:val="007B63CA"/>
    <w:rsid w:val="007B73DD"/>
    <w:rsid w:val="007B7744"/>
    <w:rsid w:val="007B77D1"/>
    <w:rsid w:val="007C07C7"/>
    <w:rsid w:val="007C1CD9"/>
    <w:rsid w:val="007C1D57"/>
    <w:rsid w:val="007C3100"/>
    <w:rsid w:val="007C3191"/>
    <w:rsid w:val="007C32EF"/>
    <w:rsid w:val="007C361D"/>
    <w:rsid w:val="007C472B"/>
    <w:rsid w:val="007C4836"/>
    <w:rsid w:val="007C4B84"/>
    <w:rsid w:val="007C573A"/>
    <w:rsid w:val="007C70FF"/>
    <w:rsid w:val="007C7B02"/>
    <w:rsid w:val="007C7C25"/>
    <w:rsid w:val="007C7EBA"/>
    <w:rsid w:val="007D004F"/>
    <w:rsid w:val="007D0056"/>
    <w:rsid w:val="007D0B38"/>
    <w:rsid w:val="007D21C8"/>
    <w:rsid w:val="007D3751"/>
    <w:rsid w:val="007D3BA4"/>
    <w:rsid w:val="007D4309"/>
    <w:rsid w:val="007D5440"/>
    <w:rsid w:val="007D6400"/>
    <w:rsid w:val="007D6795"/>
    <w:rsid w:val="007D69EB"/>
    <w:rsid w:val="007D7E6E"/>
    <w:rsid w:val="007E128F"/>
    <w:rsid w:val="007E141B"/>
    <w:rsid w:val="007E1969"/>
    <w:rsid w:val="007E2689"/>
    <w:rsid w:val="007E2A39"/>
    <w:rsid w:val="007E3339"/>
    <w:rsid w:val="007E5360"/>
    <w:rsid w:val="007E543B"/>
    <w:rsid w:val="007E60DD"/>
    <w:rsid w:val="007E7982"/>
    <w:rsid w:val="007F1017"/>
    <w:rsid w:val="007F19DD"/>
    <w:rsid w:val="007F1B00"/>
    <w:rsid w:val="007F423A"/>
    <w:rsid w:val="007F4835"/>
    <w:rsid w:val="007F4A3F"/>
    <w:rsid w:val="007F4A61"/>
    <w:rsid w:val="007F5255"/>
    <w:rsid w:val="007F54E8"/>
    <w:rsid w:val="007F56CC"/>
    <w:rsid w:val="007F61C2"/>
    <w:rsid w:val="007F6631"/>
    <w:rsid w:val="007F671A"/>
    <w:rsid w:val="007F6D27"/>
    <w:rsid w:val="008011C4"/>
    <w:rsid w:val="00802333"/>
    <w:rsid w:val="00802455"/>
    <w:rsid w:val="00802F00"/>
    <w:rsid w:val="00804E43"/>
    <w:rsid w:val="00805142"/>
    <w:rsid w:val="00805994"/>
    <w:rsid w:val="00805FCE"/>
    <w:rsid w:val="0080639A"/>
    <w:rsid w:val="00806735"/>
    <w:rsid w:val="0080683D"/>
    <w:rsid w:val="00806843"/>
    <w:rsid w:val="008068FF"/>
    <w:rsid w:val="00806D6D"/>
    <w:rsid w:val="008072B6"/>
    <w:rsid w:val="00807937"/>
    <w:rsid w:val="00807A8B"/>
    <w:rsid w:val="008105B9"/>
    <w:rsid w:val="0081114F"/>
    <w:rsid w:val="008112F5"/>
    <w:rsid w:val="00811383"/>
    <w:rsid w:val="008113AC"/>
    <w:rsid w:val="0081198C"/>
    <w:rsid w:val="008120B0"/>
    <w:rsid w:val="00812149"/>
    <w:rsid w:val="00812945"/>
    <w:rsid w:val="00812B5D"/>
    <w:rsid w:val="00812CAC"/>
    <w:rsid w:val="008144B6"/>
    <w:rsid w:val="008156F0"/>
    <w:rsid w:val="00815FB1"/>
    <w:rsid w:val="00816361"/>
    <w:rsid w:val="008166EF"/>
    <w:rsid w:val="00816FEF"/>
    <w:rsid w:val="00817252"/>
    <w:rsid w:val="00820324"/>
    <w:rsid w:val="00820A8C"/>
    <w:rsid w:val="00820AF4"/>
    <w:rsid w:val="00820D0B"/>
    <w:rsid w:val="008215FB"/>
    <w:rsid w:val="008217C8"/>
    <w:rsid w:val="00821ACA"/>
    <w:rsid w:val="00823174"/>
    <w:rsid w:val="008238D5"/>
    <w:rsid w:val="008242D8"/>
    <w:rsid w:val="00824622"/>
    <w:rsid w:val="00825751"/>
    <w:rsid w:val="00825B5F"/>
    <w:rsid w:val="008264B3"/>
    <w:rsid w:val="008264EB"/>
    <w:rsid w:val="008274EE"/>
    <w:rsid w:val="00827CD8"/>
    <w:rsid w:val="00827D60"/>
    <w:rsid w:val="008320F3"/>
    <w:rsid w:val="00832605"/>
    <w:rsid w:val="008326DF"/>
    <w:rsid w:val="008334E0"/>
    <w:rsid w:val="00833B05"/>
    <w:rsid w:val="00834078"/>
    <w:rsid w:val="00834C0D"/>
    <w:rsid w:val="00834F8F"/>
    <w:rsid w:val="008351AB"/>
    <w:rsid w:val="008362B4"/>
    <w:rsid w:val="008369BA"/>
    <w:rsid w:val="00836F05"/>
    <w:rsid w:val="0084011F"/>
    <w:rsid w:val="008408FF"/>
    <w:rsid w:val="00840CA2"/>
    <w:rsid w:val="00841D69"/>
    <w:rsid w:val="0084243A"/>
    <w:rsid w:val="0084374F"/>
    <w:rsid w:val="00844A22"/>
    <w:rsid w:val="00844A26"/>
    <w:rsid w:val="00844B14"/>
    <w:rsid w:val="008474EC"/>
    <w:rsid w:val="00847703"/>
    <w:rsid w:val="00847DF5"/>
    <w:rsid w:val="0085248A"/>
    <w:rsid w:val="00852B9A"/>
    <w:rsid w:val="00852C5D"/>
    <w:rsid w:val="0085309D"/>
    <w:rsid w:val="00853A73"/>
    <w:rsid w:val="00853CD8"/>
    <w:rsid w:val="00855352"/>
    <w:rsid w:val="0085562A"/>
    <w:rsid w:val="008565FA"/>
    <w:rsid w:val="00856897"/>
    <w:rsid w:val="00856E9A"/>
    <w:rsid w:val="0086075D"/>
    <w:rsid w:val="00860C6A"/>
    <w:rsid w:val="00861DBB"/>
    <w:rsid w:val="00862502"/>
    <w:rsid w:val="00862CC1"/>
    <w:rsid w:val="0086378B"/>
    <w:rsid w:val="008637F3"/>
    <w:rsid w:val="0086394E"/>
    <w:rsid w:val="00863CD3"/>
    <w:rsid w:val="008654D7"/>
    <w:rsid w:val="008658C0"/>
    <w:rsid w:val="0086593E"/>
    <w:rsid w:val="008660D4"/>
    <w:rsid w:val="00870E41"/>
    <w:rsid w:val="00871D70"/>
    <w:rsid w:val="00871FA9"/>
    <w:rsid w:val="008728E9"/>
    <w:rsid w:val="008730B7"/>
    <w:rsid w:val="0087312D"/>
    <w:rsid w:val="00874DA1"/>
    <w:rsid w:val="008751F6"/>
    <w:rsid w:val="00876680"/>
    <w:rsid w:val="0088055D"/>
    <w:rsid w:val="0088059D"/>
    <w:rsid w:val="00881B3D"/>
    <w:rsid w:val="00881F38"/>
    <w:rsid w:val="00882874"/>
    <w:rsid w:val="00882E3C"/>
    <w:rsid w:val="00883787"/>
    <w:rsid w:val="008847CD"/>
    <w:rsid w:val="008855E4"/>
    <w:rsid w:val="008860DF"/>
    <w:rsid w:val="00886275"/>
    <w:rsid w:val="00886BA3"/>
    <w:rsid w:val="00886CD2"/>
    <w:rsid w:val="008870AA"/>
    <w:rsid w:val="00887948"/>
    <w:rsid w:val="00887DF2"/>
    <w:rsid w:val="0089171F"/>
    <w:rsid w:val="00891E6F"/>
    <w:rsid w:val="0089275D"/>
    <w:rsid w:val="008928A1"/>
    <w:rsid w:val="0089298D"/>
    <w:rsid w:val="00892A36"/>
    <w:rsid w:val="00893239"/>
    <w:rsid w:val="00894489"/>
    <w:rsid w:val="00894DF1"/>
    <w:rsid w:val="00895100"/>
    <w:rsid w:val="00895994"/>
    <w:rsid w:val="008960C0"/>
    <w:rsid w:val="008963A5"/>
    <w:rsid w:val="008965A8"/>
    <w:rsid w:val="00896D5D"/>
    <w:rsid w:val="00896D7D"/>
    <w:rsid w:val="008976A5"/>
    <w:rsid w:val="00897EF0"/>
    <w:rsid w:val="008A1B9D"/>
    <w:rsid w:val="008A2149"/>
    <w:rsid w:val="008A233C"/>
    <w:rsid w:val="008A3363"/>
    <w:rsid w:val="008A3371"/>
    <w:rsid w:val="008A35D3"/>
    <w:rsid w:val="008A3C3E"/>
    <w:rsid w:val="008A7253"/>
    <w:rsid w:val="008A79DE"/>
    <w:rsid w:val="008B078C"/>
    <w:rsid w:val="008B1757"/>
    <w:rsid w:val="008B17B5"/>
    <w:rsid w:val="008B2412"/>
    <w:rsid w:val="008B48A3"/>
    <w:rsid w:val="008B6558"/>
    <w:rsid w:val="008B7175"/>
    <w:rsid w:val="008B7933"/>
    <w:rsid w:val="008B7992"/>
    <w:rsid w:val="008B7A71"/>
    <w:rsid w:val="008B7D7E"/>
    <w:rsid w:val="008C10D4"/>
    <w:rsid w:val="008C20EA"/>
    <w:rsid w:val="008C222A"/>
    <w:rsid w:val="008C3105"/>
    <w:rsid w:val="008C3F6D"/>
    <w:rsid w:val="008C4290"/>
    <w:rsid w:val="008C5610"/>
    <w:rsid w:val="008C5739"/>
    <w:rsid w:val="008C774E"/>
    <w:rsid w:val="008C7A9B"/>
    <w:rsid w:val="008C7ECB"/>
    <w:rsid w:val="008D022A"/>
    <w:rsid w:val="008D2A53"/>
    <w:rsid w:val="008D2AD0"/>
    <w:rsid w:val="008D3B86"/>
    <w:rsid w:val="008D3BE3"/>
    <w:rsid w:val="008D4345"/>
    <w:rsid w:val="008D4755"/>
    <w:rsid w:val="008D4AB1"/>
    <w:rsid w:val="008D4C3D"/>
    <w:rsid w:val="008D537C"/>
    <w:rsid w:val="008D724A"/>
    <w:rsid w:val="008D743C"/>
    <w:rsid w:val="008D7ADD"/>
    <w:rsid w:val="008E07DA"/>
    <w:rsid w:val="008E0D3C"/>
    <w:rsid w:val="008E1B41"/>
    <w:rsid w:val="008E1B9E"/>
    <w:rsid w:val="008E23EA"/>
    <w:rsid w:val="008E373D"/>
    <w:rsid w:val="008E55AB"/>
    <w:rsid w:val="008E57AE"/>
    <w:rsid w:val="008F01C5"/>
    <w:rsid w:val="008F0546"/>
    <w:rsid w:val="008F120A"/>
    <w:rsid w:val="008F191B"/>
    <w:rsid w:val="008F1970"/>
    <w:rsid w:val="008F27E0"/>
    <w:rsid w:val="008F2CA6"/>
    <w:rsid w:val="008F3B2C"/>
    <w:rsid w:val="008F48EB"/>
    <w:rsid w:val="008F4DCE"/>
    <w:rsid w:val="008F4E62"/>
    <w:rsid w:val="008F4F0B"/>
    <w:rsid w:val="008F63EE"/>
    <w:rsid w:val="008F6AAF"/>
    <w:rsid w:val="008F6EB7"/>
    <w:rsid w:val="0090175D"/>
    <w:rsid w:val="0090287F"/>
    <w:rsid w:val="0090308C"/>
    <w:rsid w:val="00903E05"/>
    <w:rsid w:val="00903E30"/>
    <w:rsid w:val="009046C4"/>
    <w:rsid w:val="009062A5"/>
    <w:rsid w:val="0090760D"/>
    <w:rsid w:val="00907972"/>
    <w:rsid w:val="009101A0"/>
    <w:rsid w:val="00910FA7"/>
    <w:rsid w:val="00911272"/>
    <w:rsid w:val="009127CE"/>
    <w:rsid w:val="009135D6"/>
    <w:rsid w:val="0091432E"/>
    <w:rsid w:val="00914C77"/>
    <w:rsid w:val="009159AF"/>
    <w:rsid w:val="00916362"/>
    <w:rsid w:val="0091640B"/>
    <w:rsid w:val="00917B57"/>
    <w:rsid w:val="00920682"/>
    <w:rsid w:val="009216F1"/>
    <w:rsid w:val="00921ACB"/>
    <w:rsid w:val="00922325"/>
    <w:rsid w:val="0092255E"/>
    <w:rsid w:val="0092369B"/>
    <w:rsid w:val="0092495C"/>
    <w:rsid w:val="00926247"/>
    <w:rsid w:val="00927691"/>
    <w:rsid w:val="0093109B"/>
    <w:rsid w:val="00934988"/>
    <w:rsid w:val="0093503B"/>
    <w:rsid w:val="00935856"/>
    <w:rsid w:val="00937089"/>
    <w:rsid w:val="00937C9A"/>
    <w:rsid w:val="00940DDD"/>
    <w:rsid w:val="009412DF"/>
    <w:rsid w:val="00944F8A"/>
    <w:rsid w:val="00945BA2"/>
    <w:rsid w:val="00946409"/>
    <w:rsid w:val="009468A8"/>
    <w:rsid w:val="00950496"/>
    <w:rsid w:val="009510A2"/>
    <w:rsid w:val="00951955"/>
    <w:rsid w:val="00952151"/>
    <w:rsid w:val="0095237F"/>
    <w:rsid w:val="00952A23"/>
    <w:rsid w:val="00952B2E"/>
    <w:rsid w:val="00952DEA"/>
    <w:rsid w:val="00953257"/>
    <w:rsid w:val="0095474C"/>
    <w:rsid w:val="00955570"/>
    <w:rsid w:val="0095724D"/>
    <w:rsid w:val="009572E2"/>
    <w:rsid w:val="00957CDF"/>
    <w:rsid w:val="00957F07"/>
    <w:rsid w:val="00960995"/>
    <w:rsid w:val="009610FD"/>
    <w:rsid w:val="0096141E"/>
    <w:rsid w:val="00961726"/>
    <w:rsid w:val="0096222B"/>
    <w:rsid w:val="00962CB9"/>
    <w:rsid w:val="0096383A"/>
    <w:rsid w:val="00963FC3"/>
    <w:rsid w:val="0096423D"/>
    <w:rsid w:val="00964312"/>
    <w:rsid w:val="00965079"/>
    <w:rsid w:val="00965B8A"/>
    <w:rsid w:val="00965BE5"/>
    <w:rsid w:val="00965D63"/>
    <w:rsid w:val="009674EA"/>
    <w:rsid w:val="0097071F"/>
    <w:rsid w:val="00971629"/>
    <w:rsid w:val="0097162B"/>
    <w:rsid w:val="009717AC"/>
    <w:rsid w:val="00971FCD"/>
    <w:rsid w:val="00973322"/>
    <w:rsid w:val="00974B6D"/>
    <w:rsid w:val="00974C64"/>
    <w:rsid w:val="009751C1"/>
    <w:rsid w:val="00975C46"/>
    <w:rsid w:val="009811F1"/>
    <w:rsid w:val="00981726"/>
    <w:rsid w:val="00982119"/>
    <w:rsid w:val="00982622"/>
    <w:rsid w:val="0098313A"/>
    <w:rsid w:val="00983E57"/>
    <w:rsid w:val="00984315"/>
    <w:rsid w:val="009843AA"/>
    <w:rsid w:val="009845FF"/>
    <w:rsid w:val="009853B4"/>
    <w:rsid w:val="00985436"/>
    <w:rsid w:val="00985DE2"/>
    <w:rsid w:val="00986263"/>
    <w:rsid w:val="0098675D"/>
    <w:rsid w:val="00987FEA"/>
    <w:rsid w:val="00990129"/>
    <w:rsid w:val="009909FC"/>
    <w:rsid w:val="009926E0"/>
    <w:rsid w:val="0099350C"/>
    <w:rsid w:val="0099451E"/>
    <w:rsid w:val="009949AF"/>
    <w:rsid w:val="00995341"/>
    <w:rsid w:val="00996B1A"/>
    <w:rsid w:val="00997050"/>
    <w:rsid w:val="00997D37"/>
    <w:rsid w:val="009A1A48"/>
    <w:rsid w:val="009A1CE8"/>
    <w:rsid w:val="009A260C"/>
    <w:rsid w:val="009A297F"/>
    <w:rsid w:val="009A2DCC"/>
    <w:rsid w:val="009A2FEC"/>
    <w:rsid w:val="009A4546"/>
    <w:rsid w:val="009A49FB"/>
    <w:rsid w:val="009A5491"/>
    <w:rsid w:val="009A55E6"/>
    <w:rsid w:val="009A57B8"/>
    <w:rsid w:val="009A597D"/>
    <w:rsid w:val="009A5ABC"/>
    <w:rsid w:val="009A6193"/>
    <w:rsid w:val="009A666F"/>
    <w:rsid w:val="009A72C4"/>
    <w:rsid w:val="009A74E5"/>
    <w:rsid w:val="009A7D36"/>
    <w:rsid w:val="009A7E9B"/>
    <w:rsid w:val="009A7F10"/>
    <w:rsid w:val="009B00D3"/>
    <w:rsid w:val="009B2089"/>
    <w:rsid w:val="009B2724"/>
    <w:rsid w:val="009B3772"/>
    <w:rsid w:val="009B3E26"/>
    <w:rsid w:val="009B5502"/>
    <w:rsid w:val="009B57D3"/>
    <w:rsid w:val="009B584C"/>
    <w:rsid w:val="009B58F7"/>
    <w:rsid w:val="009B59AF"/>
    <w:rsid w:val="009B7C0E"/>
    <w:rsid w:val="009C146A"/>
    <w:rsid w:val="009C3706"/>
    <w:rsid w:val="009C3A3A"/>
    <w:rsid w:val="009C43F3"/>
    <w:rsid w:val="009C623C"/>
    <w:rsid w:val="009C6CEA"/>
    <w:rsid w:val="009C7B85"/>
    <w:rsid w:val="009D0254"/>
    <w:rsid w:val="009D1A64"/>
    <w:rsid w:val="009D1D34"/>
    <w:rsid w:val="009D3238"/>
    <w:rsid w:val="009D33D5"/>
    <w:rsid w:val="009D3DF2"/>
    <w:rsid w:val="009D4F36"/>
    <w:rsid w:val="009D5B91"/>
    <w:rsid w:val="009D638B"/>
    <w:rsid w:val="009D750F"/>
    <w:rsid w:val="009D7823"/>
    <w:rsid w:val="009D792E"/>
    <w:rsid w:val="009E0DFE"/>
    <w:rsid w:val="009E2141"/>
    <w:rsid w:val="009E2753"/>
    <w:rsid w:val="009E2EA9"/>
    <w:rsid w:val="009E31F6"/>
    <w:rsid w:val="009E4C07"/>
    <w:rsid w:val="009E5181"/>
    <w:rsid w:val="009E51F2"/>
    <w:rsid w:val="009E6C5B"/>
    <w:rsid w:val="009F0CC0"/>
    <w:rsid w:val="009F1224"/>
    <w:rsid w:val="009F26AB"/>
    <w:rsid w:val="009F3C2B"/>
    <w:rsid w:val="009F4F10"/>
    <w:rsid w:val="009F5C60"/>
    <w:rsid w:val="009F7690"/>
    <w:rsid w:val="00A01184"/>
    <w:rsid w:val="00A014E5"/>
    <w:rsid w:val="00A01B2B"/>
    <w:rsid w:val="00A022FE"/>
    <w:rsid w:val="00A02852"/>
    <w:rsid w:val="00A03244"/>
    <w:rsid w:val="00A037C2"/>
    <w:rsid w:val="00A03D43"/>
    <w:rsid w:val="00A04380"/>
    <w:rsid w:val="00A04584"/>
    <w:rsid w:val="00A04AC6"/>
    <w:rsid w:val="00A04BCC"/>
    <w:rsid w:val="00A05472"/>
    <w:rsid w:val="00A054A5"/>
    <w:rsid w:val="00A05C32"/>
    <w:rsid w:val="00A0653F"/>
    <w:rsid w:val="00A06999"/>
    <w:rsid w:val="00A069E3"/>
    <w:rsid w:val="00A1006A"/>
    <w:rsid w:val="00A10940"/>
    <w:rsid w:val="00A11CD0"/>
    <w:rsid w:val="00A134C7"/>
    <w:rsid w:val="00A13948"/>
    <w:rsid w:val="00A1555B"/>
    <w:rsid w:val="00A155C5"/>
    <w:rsid w:val="00A15737"/>
    <w:rsid w:val="00A15F78"/>
    <w:rsid w:val="00A1638C"/>
    <w:rsid w:val="00A163BB"/>
    <w:rsid w:val="00A16AD8"/>
    <w:rsid w:val="00A1745E"/>
    <w:rsid w:val="00A17496"/>
    <w:rsid w:val="00A207D2"/>
    <w:rsid w:val="00A216D7"/>
    <w:rsid w:val="00A21C95"/>
    <w:rsid w:val="00A21CF3"/>
    <w:rsid w:val="00A21FF4"/>
    <w:rsid w:val="00A23059"/>
    <w:rsid w:val="00A24813"/>
    <w:rsid w:val="00A27AEC"/>
    <w:rsid w:val="00A314D5"/>
    <w:rsid w:val="00A319E7"/>
    <w:rsid w:val="00A31C85"/>
    <w:rsid w:val="00A31CEF"/>
    <w:rsid w:val="00A320DB"/>
    <w:rsid w:val="00A3298B"/>
    <w:rsid w:val="00A32BEC"/>
    <w:rsid w:val="00A32BF3"/>
    <w:rsid w:val="00A35D16"/>
    <w:rsid w:val="00A37BB3"/>
    <w:rsid w:val="00A37BCD"/>
    <w:rsid w:val="00A37E4B"/>
    <w:rsid w:val="00A400C5"/>
    <w:rsid w:val="00A40367"/>
    <w:rsid w:val="00A406BA"/>
    <w:rsid w:val="00A40C8A"/>
    <w:rsid w:val="00A41689"/>
    <w:rsid w:val="00A42592"/>
    <w:rsid w:val="00A425DB"/>
    <w:rsid w:val="00A43142"/>
    <w:rsid w:val="00A435AC"/>
    <w:rsid w:val="00A438E8"/>
    <w:rsid w:val="00A43C59"/>
    <w:rsid w:val="00A45E1A"/>
    <w:rsid w:val="00A4687C"/>
    <w:rsid w:val="00A46C89"/>
    <w:rsid w:val="00A46DFC"/>
    <w:rsid w:val="00A47A30"/>
    <w:rsid w:val="00A50ECD"/>
    <w:rsid w:val="00A513DF"/>
    <w:rsid w:val="00A518F3"/>
    <w:rsid w:val="00A52261"/>
    <w:rsid w:val="00A52729"/>
    <w:rsid w:val="00A52832"/>
    <w:rsid w:val="00A52B6B"/>
    <w:rsid w:val="00A52D38"/>
    <w:rsid w:val="00A531D7"/>
    <w:rsid w:val="00A53675"/>
    <w:rsid w:val="00A53BF9"/>
    <w:rsid w:val="00A553E1"/>
    <w:rsid w:val="00A55829"/>
    <w:rsid w:val="00A56006"/>
    <w:rsid w:val="00A564D7"/>
    <w:rsid w:val="00A56B6A"/>
    <w:rsid w:val="00A578DC"/>
    <w:rsid w:val="00A60008"/>
    <w:rsid w:val="00A6008F"/>
    <w:rsid w:val="00A60497"/>
    <w:rsid w:val="00A604B0"/>
    <w:rsid w:val="00A60DF7"/>
    <w:rsid w:val="00A60F1E"/>
    <w:rsid w:val="00A61DA0"/>
    <w:rsid w:val="00A633E5"/>
    <w:rsid w:val="00A63791"/>
    <w:rsid w:val="00A63CA8"/>
    <w:rsid w:val="00A640E2"/>
    <w:rsid w:val="00A64D65"/>
    <w:rsid w:val="00A65370"/>
    <w:rsid w:val="00A66F5B"/>
    <w:rsid w:val="00A67089"/>
    <w:rsid w:val="00A6725B"/>
    <w:rsid w:val="00A6734D"/>
    <w:rsid w:val="00A704B3"/>
    <w:rsid w:val="00A70605"/>
    <w:rsid w:val="00A707A0"/>
    <w:rsid w:val="00A71532"/>
    <w:rsid w:val="00A7248B"/>
    <w:rsid w:val="00A73134"/>
    <w:rsid w:val="00A73534"/>
    <w:rsid w:val="00A73C3F"/>
    <w:rsid w:val="00A75699"/>
    <w:rsid w:val="00A75F68"/>
    <w:rsid w:val="00A76001"/>
    <w:rsid w:val="00A777B2"/>
    <w:rsid w:val="00A77A5E"/>
    <w:rsid w:val="00A80684"/>
    <w:rsid w:val="00A81A03"/>
    <w:rsid w:val="00A81EFA"/>
    <w:rsid w:val="00A820F0"/>
    <w:rsid w:val="00A82480"/>
    <w:rsid w:val="00A825D4"/>
    <w:rsid w:val="00A828F6"/>
    <w:rsid w:val="00A82B73"/>
    <w:rsid w:val="00A8498D"/>
    <w:rsid w:val="00A84DBC"/>
    <w:rsid w:val="00A84E04"/>
    <w:rsid w:val="00A861C5"/>
    <w:rsid w:val="00A86E8B"/>
    <w:rsid w:val="00A87164"/>
    <w:rsid w:val="00A90810"/>
    <w:rsid w:val="00A91FF6"/>
    <w:rsid w:val="00A93072"/>
    <w:rsid w:val="00A938BD"/>
    <w:rsid w:val="00A93953"/>
    <w:rsid w:val="00A93F9F"/>
    <w:rsid w:val="00A945BF"/>
    <w:rsid w:val="00A94B2D"/>
    <w:rsid w:val="00A95436"/>
    <w:rsid w:val="00A959B3"/>
    <w:rsid w:val="00A959D8"/>
    <w:rsid w:val="00A97E7B"/>
    <w:rsid w:val="00AA0347"/>
    <w:rsid w:val="00AA0B16"/>
    <w:rsid w:val="00AA0D7B"/>
    <w:rsid w:val="00AA0FCF"/>
    <w:rsid w:val="00AA113D"/>
    <w:rsid w:val="00AA1B1D"/>
    <w:rsid w:val="00AA2573"/>
    <w:rsid w:val="00AA2633"/>
    <w:rsid w:val="00AA3276"/>
    <w:rsid w:val="00AA39AD"/>
    <w:rsid w:val="00AA45CE"/>
    <w:rsid w:val="00AA64FD"/>
    <w:rsid w:val="00AA6BD5"/>
    <w:rsid w:val="00AA6BD8"/>
    <w:rsid w:val="00AA6C7D"/>
    <w:rsid w:val="00AA748E"/>
    <w:rsid w:val="00AA7FD6"/>
    <w:rsid w:val="00AB042A"/>
    <w:rsid w:val="00AB0462"/>
    <w:rsid w:val="00AB050F"/>
    <w:rsid w:val="00AB1182"/>
    <w:rsid w:val="00AB1553"/>
    <w:rsid w:val="00AB19EF"/>
    <w:rsid w:val="00AB22C4"/>
    <w:rsid w:val="00AB2727"/>
    <w:rsid w:val="00AB2BC7"/>
    <w:rsid w:val="00AB2D34"/>
    <w:rsid w:val="00AB3430"/>
    <w:rsid w:val="00AB353C"/>
    <w:rsid w:val="00AB3724"/>
    <w:rsid w:val="00AB37B9"/>
    <w:rsid w:val="00AB4AD1"/>
    <w:rsid w:val="00AB56DD"/>
    <w:rsid w:val="00AB59E2"/>
    <w:rsid w:val="00AB5B20"/>
    <w:rsid w:val="00AB5E07"/>
    <w:rsid w:val="00AB62CF"/>
    <w:rsid w:val="00AB7CFA"/>
    <w:rsid w:val="00AC1CDE"/>
    <w:rsid w:val="00AC5B48"/>
    <w:rsid w:val="00AC5E34"/>
    <w:rsid w:val="00AC69F8"/>
    <w:rsid w:val="00AC777A"/>
    <w:rsid w:val="00AD04B9"/>
    <w:rsid w:val="00AD0B7B"/>
    <w:rsid w:val="00AD1450"/>
    <w:rsid w:val="00AD1FB2"/>
    <w:rsid w:val="00AD2AB4"/>
    <w:rsid w:val="00AD358F"/>
    <w:rsid w:val="00AD4ACA"/>
    <w:rsid w:val="00AD528D"/>
    <w:rsid w:val="00AD5340"/>
    <w:rsid w:val="00AD6502"/>
    <w:rsid w:val="00AD7C5F"/>
    <w:rsid w:val="00AE0124"/>
    <w:rsid w:val="00AE0128"/>
    <w:rsid w:val="00AE02D6"/>
    <w:rsid w:val="00AE0695"/>
    <w:rsid w:val="00AE1DC9"/>
    <w:rsid w:val="00AE2593"/>
    <w:rsid w:val="00AE2C37"/>
    <w:rsid w:val="00AE2D24"/>
    <w:rsid w:val="00AE3E7E"/>
    <w:rsid w:val="00AE400E"/>
    <w:rsid w:val="00AE4221"/>
    <w:rsid w:val="00AE4C5D"/>
    <w:rsid w:val="00AE5990"/>
    <w:rsid w:val="00AE6A30"/>
    <w:rsid w:val="00AE74E2"/>
    <w:rsid w:val="00AF017D"/>
    <w:rsid w:val="00AF0CDD"/>
    <w:rsid w:val="00AF1315"/>
    <w:rsid w:val="00AF19BF"/>
    <w:rsid w:val="00AF2848"/>
    <w:rsid w:val="00AF2DC3"/>
    <w:rsid w:val="00AF30E8"/>
    <w:rsid w:val="00AF48FF"/>
    <w:rsid w:val="00AF4F7D"/>
    <w:rsid w:val="00AF56BC"/>
    <w:rsid w:val="00AF5921"/>
    <w:rsid w:val="00AF6535"/>
    <w:rsid w:val="00AF6627"/>
    <w:rsid w:val="00AF6ABC"/>
    <w:rsid w:val="00AF6EF8"/>
    <w:rsid w:val="00AF7092"/>
    <w:rsid w:val="00AF72A6"/>
    <w:rsid w:val="00AF777A"/>
    <w:rsid w:val="00AF7D14"/>
    <w:rsid w:val="00B01C18"/>
    <w:rsid w:val="00B020DE"/>
    <w:rsid w:val="00B02E02"/>
    <w:rsid w:val="00B033E5"/>
    <w:rsid w:val="00B03A63"/>
    <w:rsid w:val="00B0528C"/>
    <w:rsid w:val="00B052EC"/>
    <w:rsid w:val="00B05987"/>
    <w:rsid w:val="00B0653D"/>
    <w:rsid w:val="00B073C8"/>
    <w:rsid w:val="00B10D0F"/>
    <w:rsid w:val="00B1134B"/>
    <w:rsid w:val="00B117A4"/>
    <w:rsid w:val="00B12D9C"/>
    <w:rsid w:val="00B13B4A"/>
    <w:rsid w:val="00B14A5C"/>
    <w:rsid w:val="00B14C71"/>
    <w:rsid w:val="00B16197"/>
    <w:rsid w:val="00B1677E"/>
    <w:rsid w:val="00B17219"/>
    <w:rsid w:val="00B201A4"/>
    <w:rsid w:val="00B201D1"/>
    <w:rsid w:val="00B213A6"/>
    <w:rsid w:val="00B21734"/>
    <w:rsid w:val="00B21B16"/>
    <w:rsid w:val="00B22F0B"/>
    <w:rsid w:val="00B22F3C"/>
    <w:rsid w:val="00B23267"/>
    <w:rsid w:val="00B235B0"/>
    <w:rsid w:val="00B2402C"/>
    <w:rsid w:val="00B24331"/>
    <w:rsid w:val="00B24DF6"/>
    <w:rsid w:val="00B27C72"/>
    <w:rsid w:val="00B302CC"/>
    <w:rsid w:val="00B305E4"/>
    <w:rsid w:val="00B31332"/>
    <w:rsid w:val="00B314E7"/>
    <w:rsid w:val="00B316A5"/>
    <w:rsid w:val="00B31DD6"/>
    <w:rsid w:val="00B336EA"/>
    <w:rsid w:val="00B34C2F"/>
    <w:rsid w:val="00B34E8F"/>
    <w:rsid w:val="00B34FE2"/>
    <w:rsid w:val="00B35166"/>
    <w:rsid w:val="00B35210"/>
    <w:rsid w:val="00B357D8"/>
    <w:rsid w:val="00B360F4"/>
    <w:rsid w:val="00B36155"/>
    <w:rsid w:val="00B36A00"/>
    <w:rsid w:val="00B37521"/>
    <w:rsid w:val="00B37BFC"/>
    <w:rsid w:val="00B40190"/>
    <w:rsid w:val="00B40358"/>
    <w:rsid w:val="00B41614"/>
    <w:rsid w:val="00B41A38"/>
    <w:rsid w:val="00B421D4"/>
    <w:rsid w:val="00B42851"/>
    <w:rsid w:val="00B42F80"/>
    <w:rsid w:val="00B431C6"/>
    <w:rsid w:val="00B435CB"/>
    <w:rsid w:val="00B43BE5"/>
    <w:rsid w:val="00B4733C"/>
    <w:rsid w:val="00B47435"/>
    <w:rsid w:val="00B505C8"/>
    <w:rsid w:val="00B50DB8"/>
    <w:rsid w:val="00B51D4F"/>
    <w:rsid w:val="00B53654"/>
    <w:rsid w:val="00B53895"/>
    <w:rsid w:val="00B53905"/>
    <w:rsid w:val="00B544BC"/>
    <w:rsid w:val="00B54B5B"/>
    <w:rsid w:val="00B5562E"/>
    <w:rsid w:val="00B55863"/>
    <w:rsid w:val="00B55A93"/>
    <w:rsid w:val="00B55D65"/>
    <w:rsid w:val="00B562F6"/>
    <w:rsid w:val="00B57000"/>
    <w:rsid w:val="00B571FE"/>
    <w:rsid w:val="00B57263"/>
    <w:rsid w:val="00B600C3"/>
    <w:rsid w:val="00B60939"/>
    <w:rsid w:val="00B60AFD"/>
    <w:rsid w:val="00B6191D"/>
    <w:rsid w:val="00B62715"/>
    <w:rsid w:val="00B633BF"/>
    <w:rsid w:val="00B6369E"/>
    <w:rsid w:val="00B63866"/>
    <w:rsid w:val="00B64B1F"/>
    <w:rsid w:val="00B64B6A"/>
    <w:rsid w:val="00B65611"/>
    <w:rsid w:val="00B65E78"/>
    <w:rsid w:val="00B66337"/>
    <w:rsid w:val="00B70E8E"/>
    <w:rsid w:val="00B712EF"/>
    <w:rsid w:val="00B721D0"/>
    <w:rsid w:val="00B73243"/>
    <w:rsid w:val="00B73670"/>
    <w:rsid w:val="00B73A10"/>
    <w:rsid w:val="00B73F45"/>
    <w:rsid w:val="00B7432A"/>
    <w:rsid w:val="00B7460F"/>
    <w:rsid w:val="00B74B69"/>
    <w:rsid w:val="00B75A14"/>
    <w:rsid w:val="00B76B0D"/>
    <w:rsid w:val="00B76C92"/>
    <w:rsid w:val="00B77AD2"/>
    <w:rsid w:val="00B805BD"/>
    <w:rsid w:val="00B818A4"/>
    <w:rsid w:val="00B84117"/>
    <w:rsid w:val="00B8499B"/>
    <w:rsid w:val="00B8518C"/>
    <w:rsid w:val="00B85453"/>
    <w:rsid w:val="00B858F0"/>
    <w:rsid w:val="00B85AA2"/>
    <w:rsid w:val="00B8649C"/>
    <w:rsid w:val="00B8695D"/>
    <w:rsid w:val="00B8759A"/>
    <w:rsid w:val="00B87F0A"/>
    <w:rsid w:val="00B90446"/>
    <w:rsid w:val="00B907DF"/>
    <w:rsid w:val="00B909A5"/>
    <w:rsid w:val="00B917D9"/>
    <w:rsid w:val="00B91852"/>
    <w:rsid w:val="00B92D0B"/>
    <w:rsid w:val="00B93AEB"/>
    <w:rsid w:val="00B94193"/>
    <w:rsid w:val="00B94945"/>
    <w:rsid w:val="00B94DD6"/>
    <w:rsid w:val="00B95202"/>
    <w:rsid w:val="00B957F3"/>
    <w:rsid w:val="00B974C4"/>
    <w:rsid w:val="00B979D5"/>
    <w:rsid w:val="00B97BD7"/>
    <w:rsid w:val="00B97DB5"/>
    <w:rsid w:val="00BA00F8"/>
    <w:rsid w:val="00BA07B2"/>
    <w:rsid w:val="00BA0A9B"/>
    <w:rsid w:val="00BA195E"/>
    <w:rsid w:val="00BA1EAF"/>
    <w:rsid w:val="00BA322D"/>
    <w:rsid w:val="00BA3304"/>
    <w:rsid w:val="00BA5DC6"/>
    <w:rsid w:val="00BA63FA"/>
    <w:rsid w:val="00BA68A8"/>
    <w:rsid w:val="00BB00B3"/>
    <w:rsid w:val="00BB0997"/>
    <w:rsid w:val="00BB0A4F"/>
    <w:rsid w:val="00BB0BDD"/>
    <w:rsid w:val="00BB0DD0"/>
    <w:rsid w:val="00BB176C"/>
    <w:rsid w:val="00BB1811"/>
    <w:rsid w:val="00BB202A"/>
    <w:rsid w:val="00BB20F9"/>
    <w:rsid w:val="00BB2343"/>
    <w:rsid w:val="00BB2584"/>
    <w:rsid w:val="00BB2A73"/>
    <w:rsid w:val="00BB388B"/>
    <w:rsid w:val="00BB3A45"/>
    <w:rsid w:val="00BB3BA1"/>
    <w:rsid w:val="00BB3F03"/>
    <w:rsid w:val="00BB4ACC"/>
    <w:rsid w:val="00BB4FF2"/>
    <w:rsid w:val="00BB703E"/>
    <w:rsid w:val="00BB732D"/>
    <w:rsid w:val="00BB7405"/>
    <w:rsid w:val="00BB7E96"/>
    <w:rsid w:val="00BC041B"/>
    <w:rsid w:val="00BC0BD7"/>
    <w:rsid w:val="00BC0C63"/>
    <w:rsid w:val="00BC11CD"/>
    <w:rsid w:val="00BC3631"/>
    <w:rsid w:val="00BC41AA"/>
    <w:rsid w:val="00BC45C8"/>
    <w:rsid w:val="00BC4B79"/>
    <w:rsid w:val="00BC4C09"/>
    <w:rsid w:val="00BC4E31"/>
    <w:rsid w:val="00BC510D"/>
    <w:rsid w:val="00BC591F"/>
    <w:rsid w:val="00BC63EA"/>
    <w:rsid w:val="00BC6C90"/>
    <w:rsid w:val="00BC794A"/>
    <w:rsid w:val="00BC7C50"/>
    <w:rsid w:val="00BC7D6D"/>
    <w:rsid w:val="00BD0003"/>
    <w:rsid w:val="00BD1FFA"/>
    <w:rsid w:val="00BD2108"/>
    <w:rsid w:val="00BD368F"/>
    <w:rsid w:val="00BD4937"/>
    <w:rsid w:val="00BD5411"/>
    <w:rsid w:val="00BD68A3"/>
    <w:rsid w:val="00BD6938"/>
    <w:rsid w:val="00BD6CF3"/>
    <w:rsid w:val="00BD6D58"/>
    <w:rsid w:val="00BE0ECA"/>
    <w:rsid w:val="00BE2180"/>
    <w:rsid w:val="00BE21F2"/>
    <w:rsid w:val="00BE2308"/>
    <w:rsid w:val="00BE29CD"/>
    <w:rsid w:val="00BE4275"/>
    <w:rsid w:val="00BE4750"/>
    <w:rsid w:val="00BE507B"/>
    <w:rsid w:val="00BE563A"/>
    <w:rsid w:val="00BE6688"/>
    <w:rsid w:val="00BE7528"/>
    <w:rsid w:val="00BF06AE"/>
    <w:rsid w:val="00BF0DB7"/>
    <w:rsid w:val="00BF0F95"/>
    <w:rsid w:val="00BF19F6"/>
    <w:rsid w:val="00BF1F1E"/>
    <w:rsid w:val="00BF2433"/>
    <w:rsid w:val="00BF31A8"/>
    <w:rsid w:val="00BF31CA"/>
    <w:rsid w:val="00BF3FE5"/>
    <w:rsid w:val="00BF4042"/>
    <w:rsid w:val="00BF4348"/>
    <w:rsid w:val="00BF545F"/>
    <w:rsid w:val="00BF5C6B"/>
    <w:rsid w:val="00BF6149"/>
    <w:rsid w:val="00BF61C9"/>
    <w:rsid w:val="00BF64BB"/>
    <w:rsid w:val="00BF692B"/>
    <w:rsid w:val="00BF6C94"/>
    <w:rsid w:val="00BF72E6"/>
    <w:rsid w:val="00BF78DC"/>
    <w:rsid w:val="00BF7CC3"/>
    <w:rsid w:val="00C00424"/>
    <w:rsid w:val="00C00873"/>
    <w:rsid w:val="00C024F7"/>
    <w:rsid w:val="00C02772"/>
    <w:rsid w:val="00C04121"/>
    <w:rsid w:val="00C0495F"/>
    <w:rsid w:val="00C109FD"/>
    <w:rsid w:val="00C11145"/>
    <w:rsid w:val="00C1179F"/>
    <w:rsid w:val="00C12426"/>
    <w:rsid w:val="00C12C14"/>
    <w:rsid w:val="00C1339D"/>
    <w:rsid w:val="00C13B19"/>
    <w:rsid w:val="00C1417F"/>
    <w:rsid w:val="00C14FBD"/>
    <w:rsid w:val="00C158A5"/>
    <w:rsid w:val="00C15F04"/>
    <w:rsid w:val="00C16410"/>
    <w:rsid w:val="00C1660B"/>
    <w:rsid w:val="00C179B3"/>
    <w:rsid w:val="00C17BD3"/>
    <w:rsid w:val="00C17E3F"/>
    <w:rsid w:val="00C200AA"/>
    <w:rsid w:val="00C202D6"/>
    <w:rsid w:val="00C21EDB"/>
    <w:rsid w:val="00C22AB9"/>
    <w:rsid w:val="00C237ED"/>
    <w:rsid w:val="00C24003"/>
    <w:rsid w:val="00C24632"/>
    <w:rsid w:val="00C24A7F"/>
    <w:rsid w:val="00C25019"/>
    <w:rsid w:val="00C25418"/>
    <w:rsid w:val="00C25D9C"/>
    <w:rsid w:val="00C2778B"/>
    <w:rsid w:val="00C3110B"/>
    <w:rsid w:val="00C31510"/>
    <w:rsid w:val="00C31649"/>
    <w:rsid w:val="00C322F8"/>
    <w:rsid w:val="00C32A29"/>
    <w:rsid w:val="00C3402A"/>
    <w:rsid w:val="00C3434C"/>
    <w:rsid w:val="00C34929"/>
    <w:rsid w:val="00C35B2B"/>
    <w:rsid w:val="00C363F7"/>
    <w:rsid w:val="00C3776A"/>
    <w:rsid w:val="00C4021D"/>
    <w:rsid w:val="00C402E2"/>
    <w:rsid w:val="00C40385"/>
    <w:rsid w:val="00C411C8"/>
    <w:rsid w:val="00C41768"/>
    <w:rsid w:val="00C4198C"/>
    <w:rsid w:val="00C437D1"/>
    <w:rsid w:val="00C4429B"/>
    <w:rsid w:val="00C44BDC"/>
    <w:rsid w:val="00C45AA7"/>
    <w:rsid w:val="00C47089"/>
    <w:rsid w:val="00C475AA"/>
    <w:rsid w:val="00C4795A"/>
    <w:rsid w:val="00C50091"/>
    <w:rsid w:val="00C50127"/>
    <w:rsid w:val="00C51401"/>
    <w:rsid w:val="00C527C4"/>
    <w:rsid w:val="00C52853"/>
    <w:rsid w:val="00C52FDD"/>
    <w:rsid w:val="00C53C98"/>
    <w:rsid w:val="00C53EE0"/>
    <w:rsid w:val="00C53F67"/>
    <w:rsid w:val="00C5430D"/>
    <w:rsid w:val="00C54DEB"/>
    <w:rsid w:val="00C56A93"/>
    <w:rsid w:val="00C56B79"/>
    <w:rsid w:val="00C56FCF"/>
    <w:rsid w:val="00C572FD"/>
    <w:rsid w:val="00C5733E"/>
    <w:rsid w:val="00C57997"/>
    <w:rsid w:val="00C57B6C"/>
    <w:rsid w:val="00C57F44"/>
    <w:rsid w:val="00C609B2"/>
    <w:rsid w:val="00C6114B"/>
    <w:rsid w:val="00C628A6"/>
    <w:rsid w:val="00C64344"/>
    <w:rsid w:val="00C64578"/>
    <w:rsid w:val="00C64597"/>
    <w:rsid w:val="00C64B9B"/>
    <w:rsid w:val="00C64E59"/>
    <w:rsid w:val="00C6504F"/>
    <w:rsid w:val="00C65108"/>
    <w:rsid w:val="00C65576"/>
    <w:rsid w:val="00C65CE2"/>
    <w:rsid w:val="00C65D4F"/>
    <w:rsid w:val="00C66165"/>
    <w:rsid w:val="00C66C86"/>
    <w:rsid w:val="00C67B8C"/>
    <w:rsid w:val="00C70110"/>
    <w:rsid w:val="00C70541"/>
    <w:rsid w:val="00C7060A"/>
    <w:rsid w:val="00C70F31"/>
    <w:rsid w:val="00C70FF8"/>
    <w:rsid w:val="00C7151A"/>
    <w:rsid w:val="00C717E3"/>
    <w:rsid w:val="00C71F60"/>
    <w:rsid w:val="00C72241"/>
    <w:rsid w:val="00C7453A"/>
    <w:rsid w:val="00C750C8"/>
    <w:rsid w:val="00C7560F"/>
    <w:rsid w:val="00C7762E"/>
    <w:rsid w:val="00C80A0E"/>
    <w:rsid w:val="00C81C72"/>
    <w:rsid w:val="00C8213F"/>
    <w:rsid w:val="00C843C9"/>
    <w:rsid w:val="00C8450F"/>
    <w:rsid w:val="00C85154"/>
    <w:rsid w:val="00C851B7"/>
    <w:rsid w:val="00C85488"/>
    <w:rsid w:val="00C856F8"/>
    <w:rsid w:val="00C8797A"/>
    <w:rsid w:val="00C87A57"/>
    <w:rsid w:val="00C900B8"/>
    <w:rsid w:val="00C90C71"/>
    <w:rsid w:val="00C91AB3"/>
    <w:rsid w:val="00C91C77"/>
    <w:rsid w:val="00C91F89"/>
    <w:rsid w:val="00C91FD1"/>
    <w:rsid w:val="00C93039"/>
    <w:rsid w:val="00C931CF"/>
    <w:rsid w:val="00C93348"/>
    <w:rsid w:val="00C93532"/>
    <w:rsid w:val="00C938CF"/>
    <w:rsid w:val="00C94053"/>
    <w:rsid w:val="00C954FF"/>
    <w:rsid w:val="00C955F2"/>
    <w:rsid w:val="00C95819"/>
    <w:rsid w:val="00C9624D"/>
    <w:rsid w:val="00C969DA"/>
    <w:rsid w:val="00C9714D"/>
    <w:rsid w:val="00CA154E"/>
    <w:rsid w:val="00CA1F75"/>
    <w:rsid w:val="00CA2115"/>
    <w:rsid w:val="00CA2936"/>
    <w:rsid w:val="00CA2C77"/>
    <w:rsid w:val="00CA444F"/>
    <w:rsid w:val="00CA5245"/>
    <w:rsid w:val="00CA5C02"/>
    <w:rsid w:val="00CA676F"/>
    <w:rsid w:val="00CA71F4"/>
    <w:rsid w:val="00CA7660"/>
    <w:rsid w:val="00CA76A3"/>
    <w:rsid w:val="00CA7703"/>
    <w:rsid w:val="00CA7B09"/>
    <w:rsid w:val="00CB0DE7"/>
    <w:rsid w:val="00CB12A5"/>
    <w:rsid w:val="00CB15B4"/>
    <w:rsid w:val="00CB1CAC"/>
    <w:rsid w:val="00CB1F63"/>
    <w:rsid w:val="00CB2657"/>
    <w:rsid w:val="00CB2958"/>
    <w:rsid w:val="00CB2B0E"/>
    <w:rsid w:val="00CB2F2A"/>
    <w:rsid w:val="00CB37C5"/>
    <w:rsid w:val="00CB47D7"/>
    <w:rsid w:val="00CB4EF1"/>
    <w:rsid w:val="00CB5211"/>
    <w:rsid w:val="00CB5952"/>
    <w:rsid w:val="00CB5B1A"/>
    <w:rsid w:val="00CB5F85"/>
    <w:rsid w:val="00CB635F"/>
    <w:rsid w:val="00CB6B22"/>
    <w:rsid w:val="00CB719A"/>
    <w:rsid w:val="00CB7F5F"/>
    <w:rsid w:val="00CC1B39"/>
    <w:rsid w:val="00CC2C14"/>
    <w:rsid w:val="00CC35EA"/>
    <w:rsid w:val="00CC3848"/>
    <w:rsid w:val="00CC4472"/>
    <w:rsid w:val="00CC4E69"/>
    <w:rsid w:val="00CC57B9"/>
    <w:rsid w:val="00CC5CC7"/>
    <w:rsid w:val="00CC78A6"/>
    <w:rsid w:val="00CD03FD"/>
    <w:rsid w:val="00CD0879"/>
    <w:rsid w:val="00CD1B19"/>
    <w:rsid w:val="00CD230C"/>
    <w:rsid w:val="00CD356E"/>
    <w:rsid w:val="00CD3E81"/>
    <w:rsid w:val="00CD3F77"/>
    <w:rsid w:val="00CD4770"/>
    <w:rsid w:val="00CD52F3"/>
    <w:rsid w:val="00CD5B88"/>
    <w:rsid w:val="00CD6ADC"/>
    <w:rsid w:val="00CD7193"/>
    <w:rsid w:val="00CD7248"/>
    <w:rsid w:val="00CD7691"/>
    <w:rsid w:val="00CE05CF"/>
    <w:rsid w:val="00CE0CB1"/>
    <w:rsid w:val="00CE0F27"/>
    <w:rsid w:val="00CE24D1"/>
    <w:rsid w:val="00CE2692"/>
    <w:rsid w:val="00CE3070"/>
    <w:rsid w:val="00CE38C8"/>
    <w:rsid w:val="00CE6274"/>
    <w:rsid w:val="00CE6E01"/>
    <w:rsid w:val="00CE77B6"/>
    <w:rsid w:val="00CF0441"/>
    <w:rsid w:val="00CF192D"/>
    <w:rsid w:val="00CF192F"/>
    <w:rsid w:val="00CF2B8D"/>
    <w:rsid w:val="00CF347C"/>
    <w:rsid w:val="00CF36DD"/>
    <w:rsid w:val="00CF456B"/>
    <w:rsid w:val="00CF4AEA"/>
    <w:rsid w:val="00CF51DD"/>
    <w:rsid w:val="00CF5A22"/>
    <w:rsid w:val="00CF5AD6"/>
    <w:rsid w:val="00CF7AD2"/>
    <w:rsid w:val="00D00965"/>
    <w:rsid w:val="00D01172"/>
    <w:rsid w:val="00D025B2"/>
    <w:rsid w:val="00D0262E"/>
    <w:rsid w:val="00D02745"/>
    <w:rsid w:val="00D02959"/>
    <w:rsid w:val="00D033C2"/>
    <w:rsid w:val="00D05860"/>
    <w:rsid w:val="00D05C45"/>
    <w:rsid w:val="00D05E3D"/>
    <w:rsid w:val="00D06139"/>
    <w:rsid w:val="00D07B2E"/>
    <w:rsid w:val="00D110BD"/>
    <w:rsid w:val="00D11DA9"/>
    <w:rsid w:val="00D1332F"/>
    <w:rsid w:val="00D13675"/>
    <w:rsid w:val="00D141E1"/>
    <w:rsid w:val="00D15314"/>
    <w:rsid w:val="00D1740E"/>
    <w:rsid w:val="00D17D6C"/>
    <w:rsid w:val="00D2155B"/>
    <w:rsid w:val="00D21C55"/>
    <w:rsid w:val="00D23D11"/>
    <w:rsid w:val="00D244B6"/>
    <w:rsid w:val="00D244D5"/>
    <w:rsid w:val="00D24C60"/>
    <w:rsid w:val="00D254FE"/>
    <w:rsid w:val="00D27199"/>
    <w:rsid w:val="00D271E1"/>
    <w:rsid w:val="00D272C7"/>
    <w:rsid w:val="00D27518"/>
    <w:rsid w:val="00D2754D"/>
    <w:rsid w:val="00D27B27"/>
    <w:rsid w:val="00D27B91"/>
    <w:rsid w:val="00D302FB"/>
    <w:rsid w:val="00D303F8"/>
    <w:rsid w:val="00D309A3"/>
    <w:rsid w:val="00D30A95"/>
    <w:rsid w:val="00D31B67"/>
    <w:rsid w:val="00D33BE9"/>
    <w:rsid w:val="00D33F93"/>
    <w:rsid w:val="00D33FBD"/>
    <w:rsid w:val="00D346BF"/>
    <w:rsid w:val="00D34C50"/>
    <w:rsid w:val="00D35208"/>
    <w:rsid w:val="00D357FF"/>
    <w:rsid w:val="00D37553"/>
    <w:rsid w:val="00D4070F"/>
    <w:rsid w:val="00D414F7"/>
    <w:rsid w:val="00D424C7"/>
    <w:rsid w:val="00D43B2A"/>
    <w:rsid w:val="00D43D83"/>
    <w:rsid w:val="00D46351"/>
    <w:rsid w:val="00D46B00"/>
    <w:rsid w:val="00D47575"/>
    <w:rsid w:val="00D51495"/>
    <w:rsid w:val="00D51871"/>
    <w:rsid w:val="00D51DBA"/>
    <w:rsid w:val="00D5243B"/>
    <w:rsid w:val="00D533EC"/>
    <w:rsid w:val="00D544BD"/>
    <w:rsid w:val="00D54634"/>
    <w:rsid w:val="00D569FC"/>
    <w:rsid w:val="00D56A95"/>
    <w:rsid w:val="00D572D8"/>
    <w:rsid w:val="00D620EC"/>
    <w:rsid w:val="00D62906"/>
    <w:rsid w:val="00D64521"/>
    <w:rsid w:val="00D64F87"/>
    <w:rsid w:val="00D656CA"/>
    <w:rsid w:val="00D6796A"/>
    <w:rsid w:val="00D70F16"/>
    <w:rsid w:val="00D712B1"/>
    <w:rsid w:val="00D72D9F"/>
    <w:rsid w:val="00D72F57"/>
    <w:rsid w:val="00D7371E"/>
    <w:rsid w:val="00D73CAE"/>
    <w:rsid w:val="00D74A22"/>
    <w:rsid w:val="00D757D2"/>
    <w:rsid w:val="00D76A44"/>
    <w:rsid w:val="00D771B3"/>
    <w:rsid w:val="00D77E40"/>
    <w:rsid w:val="00D80B3E"/>
    <w:rsid w:val="00D815EF"/>
    <w:rsid w:val="00D81781"/>
    <w:rsid w:val="00D81F26"/>
    <w:rsid w:val="00D821DF"/>
    <w:rsid w:val="00D82FBF"/>
    <w:rsid w:val="00D8483E"/>
    <w:rsid w:val="00D84CAF"/>
    <w:rsid w:val="00D84FE3"/>
    <w:rsid w:val="00D85916"/>
    <w:rsid w:val="00D86231"/>
    <w:rsid w:val="00D8654D"/>
    <w:rsid w:val="00D86D7C"/>
    <w:rsid w:val="00D90034"/>
    <w:rsid w:val="00D900CE"/>
    <w:rsid w:val="00D90AED"/>
    <w:rsid w:val="00D911BF"/>
    <w:rsid w:val="00D91923"/>
    <w:rsid w:val="00D91D70"/>
    <w:rsid w:val="00D93753"/>
    <w:rsid w:val="00D94674"/>
    <w:rsid w:val="00D94EF1"/>
    <w:rsid w:val="00D97A31"/>
    <w:rsid w:val="00DA02DD"/>
    <w:rsid w:val="00DA0B23"/>
    <w:rsid w:val="00DA1CE9"/>
    <w:rsid w:val="00DA277D"/>
    <w:rsid w:val="00DA2C22"/>
    <w:rsid w:val="00DA3113"/>
    <w:rsid w:val="00DA3167"/>
    <w:rsid w:val="00DA3D9A"/>
    <w:rsid w:val="00DA410F"/>
    <w:rsid w:val="00DA437A"/>
    <w:rsid w:val="00DA4DC3"/>
    <w:rsid w:val="00DA6765"/>
    <w:rsid w:val="00DA7658"/>
    <w:rsid w:val="00DA77A5"/>
    <w:rsid w:val="00DA7800"/>
    <w:rsid w:val="00DA7DBB"/>
    <w:rsid w:val="00DB006D"/>
    <w:rsid w:val="00DB063A"/>
    <w:rsid w:val="00DB09E0"/>
    <w:rsid w:val="00DB3DBF"/>
    <w:rsid w:val="00DB484F"/>
    <w:rsid w:val="00DB633B"/>
    <w:rsid w:val="00DB69B6"/>
    <w:rsid w:val="00DB6B6C"/>
    <w:rsid w:val="00DB70E5"/>
    <w:rsid w:val="00DB73AC"/>
    <w:rsid w:val="00DC04F6"/>
    <w:rsid w:val="00DC0690"/>
    <w:rsid w:val="00DC0C41"/>
    <w:rsid w:val="00DC0CB0"/>
    <w:rsid w:val="00DC143C"/>
    <w:rsid w:val="00DC184B"/>
    <w:rsid w:val="00DC18CE"/>
    <w:rsid w:val="00DC1D65"/>
    <w:rsid w:val="00DC1DDB"/>
    <w:rsid w:val="00DC21C6"/>
    <w:rsid w:val="00DC3C57"/>
    <w:rsid w:val="00DC3D6E"/>
    <w:rsid w:val="00DC4D38"/>
    <w:rsid w:val="00DC5501"/>
    <w:rsid w:val="00DC57E0"/>
    <w:rsid w:val="00DC68E5"/>
    <w:rsid w:val="00DC6DF5"/>
    <w:rsid w:val="00DC7154"/>
    <w:rsid w:val="00DC7DFB"/>
    <w:rsid w:val="00DC7E8A"/>
    <w:rsid w:val="00DD0F78"/>
    <w:rsid w:val="00DD1295"/>
    <w:rsid w:val="00DD13DA"/>
    <w:rsid w:val="00DD14C3"/>
    <w:rsid w:val="00DD16B8"/>
    <w:rsid w:val="00DD273C"/>
    <w:rsid w:val="00DD2849"/>
    <w:rsid w:val="00DD3F28"/>
    <w:rsid w:val="00DD4292"/>
    <w:rsid w:val="00DD4537"/>
    <w:rsid w:val="00DD4E15"/>
    <w:rsid w:val="00DD4FC8"/>
    <w:rsid w:val="00DD5BFD"/>
    <w:rsid w:val="00DD5E84"/>
    <w:rsid w:val="00DD6CC4"/>
    <w:rsid w:val="00DD7738"/>
    <w:rsid w:val="00DD7C4B"/>
    <w:rsid w:val="00DE21D8"/>
    <w:rsid w:val="00DE2304"/>
    <w:rsid w:val="00DE232C"/>
    <w:rsid w:val="00DE2427"/>
    <w:rsid w:val="00DE2FF8"/>
    <w:rsid w:val="00DE3138"/>
    <w:rsid w:val="00DE37F8"/>
    <w:rsid w:val="00DE4DF0"/>
    <w:rsid w:val="00DE4FCB"/>
    <w:rsid w:val="00DE5247"/>
    <w:rsid w:val="00DE5D07"/>
    <w:rsid w:val="00DE673E"/>
    <w:rsid w:val="00DE72A7"/>
    <w:rsid w:val="00DE7832"/>
    <w:rsid w:val="00DF0164"/>
    <w:rsid w:val="00DF18FC"/>
    <w:rsid w:val="00DF4548"/>
    <w:rsid w:val="00DF552A"/>
    <w:rsid w:val="00DF5D2B"/>
    <w:rsid w:val="00DF698D"/>
    <w:rsid w:val="00E009B4"/>
    <w:rsid w:val="00E00E8E"/>
    <w:rsid w:val="00E025E9"/>
    <w:rsid w:val="00E034B6"/>
    <w:rsid w:val="00E05101"/>
    <w:rsid w:val="00E0537D"/>
    <w:rsid w:val="00E0537F"/>
    <w:rsid w:val="00E05630"/>
    <w:rsid w:val="00E05A8E"/>
    <w:rsid w:val="00E0641C"/>
    <w:rsid w:val="00E06DBB"/>
    <w:rsid w:val="00E07FF1"/>
    <w:rsid w:val="00E10149"/>
    <w:rsid w:val="00E10258"/>
    <w:rsid w:val="00E10C5D"/>
    <w:rsid w:val="00E11340"/>
    <w:rsid w:val="00E122A1"/>
    <w:rsid w:val="00E12333"/>
    <w:rsid w:val="00E125C7"/>
    <w:rsid w:val="00E1349B"/>
    <w:rsid w:val="00E13532"/>
    <w:rsid w:val="00E136EB"/>
    <w:rsid w:val="00E13934"/>
    <w:rsid w:val="00E13BE1"/>
    <w:rsid w:val="00E15A1B"/>
    <w:rsid w:val="00E15AB3"/>
    <w:rsid w:val="00E15E6D"/>
    <w:rsid w:val="00E16372"/>
    <w:rsid w:val="00E1659A"/>
    <w:rsid w:val="00E16869"/>
    <w:rsid w:val="00E17F10"/>
    <w:rsid w:val="00E206FB"/>
    <w:rsid w:val="00E20E4D"/>
    <w:rsid w:val="00E20ED6"/>
    <w:rsid w:val="00E21358"/>
    <w:rsid w:val="00E2249B"/>
    <w:rsid w:val="00E225B8"/>
    <w:rsid w:val="00E226D2"/>
    <w:rsid w:val="00E22A0D"/>
    <w:rsid w:val="00E24057"/>
    <w:rsid w:val="00E244F6"/>
    <w:rsid w:val="00E253E3"/>
    <w:rsid w:val="00E26146"/>
    <w:rsid w:val="00E2771E"/>
    <w:rsid w:val="00E311EF"/>
    <w:rsid w:val="00E32180"/>
    <w:rsid w:val="00E33D64"/>
    <w:rsid w:val="00E34948"/>
    <w:rsid w:val="00E34C44"/>
    <w:rsid w:val="00E36F81"/>
    <w:rsid w:val="00E37569"/>
    <w:rsid w:val="00E401B2"/>
    <w:rsid w:val="00E40802"/>
    <w:rsid w:val="00E40FD0"/>
    <w:rsid w:val="00E41E30"/>
    <w:rsid w:val="00E42F73"/>
    <w:rsid w:val="00E43D70"/>
    <w:rsid w:val="00E44709"/>
    <w:rsid w:val="00E466F3"/>
    <w:rsid w:val="00E47ABE"/>
    <w:rsid w:val="00E47B2C"/>
    <w:rsid w:val="00E51560"/>
    <w:rsid w:val="00E51B9A"/>
    <w:rsid w:val="00E51F9A"/>
    <w:rsid w:val="00E53C05"/>
    <w:rsid w:val="00E53FC8"/>
    <w:rsid w:val="00E54347"/>
    <w:rsid w:val="00E55424"/>
    <w:rsid w:val="00E55711"/>
    <w:rsid w:val="00E55915"/>
    <w:rsid w:val="00E55963"/>
    <w:rsid w:val="00E55BB5"/>
    <w:rsid w:val="00E57305"/>
    <w:rsid w:val="00E57383"/>
    <w:rsid w:val="00E60D3A"/>
    <w:rsid w:val="00E61471"/>
    <w:rsid w:val="00E6362C"/>
    <w:rsid w:val="00E63CFF"/>
    <w:rsid w:val="00E63F77"/>
    <w:rsid w:val="00E63FC8"/>
    <w:rsid w:val="00E64FEC"/>
    <w:rsid w:val="00E65E79"/>
    <w:rsid w:val="00E666F1"/>
    <w:rsid w:val="00E668ED"/>
    <w:rsid w:val="00E66B8F"/>
    <w:rsid w:val="00E66BA2"/>
    <w:rsid w:val="00E66F11"/>
    <w:rsid w:val="00E672A0"/>
    <w:rsid w:val="00E67416"/>
    <w:rsid w:val="00E67C9F"/>
    <w:rsid w:val="00E70540"/>
    <w:rsid w:val="00E718B6"/>
    <w:rsid w:val="00E71B74"/>
    <w:rsid w:val="00E723BA"/>
    <w:rsid w:val="00E72440"/>
    <w:rsid w:val="00E73581"/>
    <w:rsid w:val="00E743B3"/>
    <w:rsid w:val="00E74E19"/>
    <w:rsid w:val="00E75321"/>
    <w:rsid w:val="00E754F2"/>
    <w:rsid w:val="00E75A52"/>
    <w:rsid w:val="00E76AF1"/>
    <w:rsid w:val="00E771B3"/>
    <w:rsid w:val="00E7762E"/>
    <w:rsid w:val="00E77D1D"/>
    <w:rsid w:val="00E77FC1"/>
    <w:rsid w:val="00E80712"/>
    <w:rsid w:val="00E80740"/>
    <w:rsid w:val="00E80D66"/>
    <w:rsid w:val="00E82C36"/>
    <w:rsid w:val="00E833F7"/>
    <w:rsid w:val="00E83BDF"/>
    <w:rsid w:val="00E83EAE"/>
    <w:rsid w:val="00E84252"/>
    <w:rsid w:val="00E85B22"/>
    <w:rsid w:val="00E87A1D"/>
    <w:rsid w:val="00E902FB"/>
    <w:rsid w:val="00E9094A"/>
    <w:rsid w:val="00E91D35"/>
    <w:rsid w:val="00E92148"/>
    <w:rsid w:val="00E926A5"/>
    <w:rsid w:val="00E92B0F"/>
    <w:rsid w:val="00E950E8"/>
    <w:rsid w:val="00E95334"/>
    <w:rsid w:val="00E962F6"/>
    <w:rsid w:val="00EA1519"/>
    <w:rsid w:val="00EA17C3"/>
    <w:rsid w:val="00EA1B28"/>
    <w:rsid w:val="00EA2404"/>
    <w:rsid w:val="00EA2CAA"/>
    <w:rsid w:val="00EA2F9B"/>
    <w:rsid w:val="00EA34CB"/>
    <w:rsid w:val="00EA3864"/>
    <w:rsid w:val="00EA4E42"/>
    <w:rsid w:val="00EA5284"/>
    <w:rsid w:val="00EA5A1F"/>
    <w:rsid w:val="00EA7F1C"/>
    <w:rsid w:val="00EB08A1"/>
    <w:rsid w:val="00EB0FD1"/>
    <w:rsid w:val="00EB15B6"/>
    <w:rsid w:val="00EB3D06"/>
    <w:rsid w:val="00EB3D7E"/>
    <w:rsid w:val="00EB4050"/>
    <w:rsid w:val="00EB4306"/>
    <w:rsid w:val="00EB45D1"/>
    <w:rsid w:val="00EB4916"/>
    <w:rsid w:val="00EB518D"/>
    <w:rsid w:val="00EB5A34"/>
    <w:rsid w:val="00EB5FE4"/>
    <w:rsid w:val="00EB73DA"/>
    <w:rsid w:val="00EC00C9"/>
    <w:rsid w:val="00EC0807"/>
    <w:rsid w:val="00EC0B92"/>
    <w:rsid w:val="00EC0DD9"/>
    <w:rsid w:val="00EC25D5"/>
    <w:rsid w:val="00EC2649"/>
    <w:rsid w:val="00EC31ED"/>
    <w:rsid w:val="00EC4048"/>
    <w:rsid w:val="00EC54CD"/>
    <w:rsid w:val="00EC5836"/>
    <w:rsid w:val="00EC619B"/>
    <w:rsid w:val="00EC64DC"/>
    <w:rsid w:val="00EC688C"/>
    <w:rsid w:val="00EC6F5F"/>
    <w:rsid w:val="00EC7772"/>
    <w:rsid w:val="00EC7D39"/>
    <w:rsid w:val="00ED0DA9"/>
    <w:rsid w:val="00ED14C6"/>
    <w:rsid w:val="00ED1770"/>
    <w:rsid w:val="00ED1EF8"/>
    <w:rsid w:val="00ED20FB"/>
    <w:rsid w:val="00ED234A"/>
    <w:rsid w:val="00ED3BBF"/>
    <w:rsid w:val="00ED47A2"/>
    <w:rsid w:val="00ED536E"/>
    <w:rsid w:val="00ED57EA"/>
    <w:rsid w:val="00ED5BD4"/>
    <w:rsid w:val="00ED5D70"/>
    <w:rsid w:val="00ED6DE2"/>
    <w:rsid w:val="00ED759D"/>
    <w:rsid w:val="00EE07D3"/>
    <w:rsid w:val="00EE1515"/>
    <w:rsid w:val="00EE1996"/>
    <w:rsid w:val="00EE1C01"/>
    <w:rsid w:val="00EE22AF"/>
    <w:rsid w:val="00EE26B3"/>
    <w:rsid w:val="00EE43B1"/>
    <w:rsid w:val="00EE43C5"/>
    <w:rsid w:val="00EF0171"/>
    <w:rsid w:val="00EF1B25"/>
    <w:rsid w:val="00EF1DA0"/>
    <w:rsid w:val="00EF2691"/>
    <w:rsid w:val="00EF30E0"/>
    <w:rsid w:val="00EF3120"/>
    <w:rsid w:val="00EF3831"/>
    <w:rsid w:val="00EF39A2"/>
    <w:rsid w:val="00EF3C2A"/>
    <w:rsid w:val="00EF44B3"/>
    <w:rsid w:val="00EF4747"/>
    <w:rsid w:val="00EF4BF8"/>
    <w:rsid w:val="00EF4FF1"/>
    <w:rsid w:val="00EF6BCA"/>
    <w:rsid w:val="00F015EB"/>
    <w:rsid w:val="00F02253"/>
    <w:rsid w:val="00F02265"/>
    <w:rsid w:val="00F02487"/>
    <w:rsid w:val="00F02541"/>
    <w:rsid w:val="00F02D93"/>
    <w:rsid w:val="00F03C2E"/>
    <w:rsid w:val="00F04529"/>
    <w:rsid w:val="00F04A66"/>
    <w:rsid w:val="00F04B4B"/>
    <w:rsid w:val="00F0516C"/>
    <w:rsid w:val="00F05CD4"/>
    <w:rsid w:val="00F067A2"/>
    <w:rsid w:val="00F07B9E"/>
    <w:rsid w:val="00F109EE"/>
    <w:rsid w:val="00F1116F"/>
    <w:rsid w:val="00F1263A"/>
    <w:rsid w:val="00F14DEB"/>
    <w:rsid w:val="00F15B77"/>
    <w:rsid w:val="00F15CDC"/>
    <w:rsid w:val="00F168D1"/>
    <w:rsid w:val="00F16A01"/>
    <w:rsid w:val="00F16BE6"/>
    <w:rsid w:val="00F16E58"/>
    <w:rsid w:val="00F171A6"/>
    <w:rsid w:val="00F20573"/>
    <w:rsid w:val="00F231A7"/>
    <w:rsid w:val="00F2375C"/>
    <w:rsid w:val="00F242CE"/>
    <w:rsid w:val="00F24837"/>
    <w:rsid w:val="00F2486D"/>
    <w:rsid w:val="00F25002"/>
    <w:rsid w:val="00F251A1"/>
    <w:rsid w:val="00F2575F"/>
    <w:rsid w:val="00F27565"/>
    <w:rsid w:val="00F310BD"/>
    <w:rsid w:val="00F310D4"/>
    <w:rsid w:val="00F31D5A"/>
    <w:rsid w:val="00F32A96"/>
    <w:rsid w:val="00F33975"/>
    <w:rsid w:val="00F33B2A"/>
    <w:rsid w:val="00F33DE9"/>
    <w:rsid w:val="00F35A91"/>
    <w:rsid w:val="00F35E6D"/>
    <w:rsid w:val="00F360D4"/>
    <w:rsid w:val="00F3619A"/>
    <w:rsid w:val="00F40481"/>
    <w:rsid w:val="00F40AAA"/>
    <w:rsid w:val="00F40BA7"/>
    <w:rsid w:val="00F40F9D"/>
    <w:rsid w:val="00F41070"/>
    <w:rsid w:val="00F41ACD"/>
    <w:rsid w:val="00F42A58"/>
    <w:rsid w:val="00F42F7D"/>
    <w:rsid w:val="00F43E51"/>
    <w:rsid w:val="00F46432"/>
    <w:rsid w:val="00F465E2"/>
    <w:rsid w:val="00F46CB6"/>
    <w:rsid w:val="00F4756D"/>
    <w:rsid w:val="00F47DE8"/>
    <w:rsid w:val="00F513B2"/>
    <w:rsid w:val="00F5143F"/>
    <w:rsid w:val="00F52608"/>
    <w:rsid w:val="00F542C1"/>
    <w:rsid w:val="00F55378"/>
    <w:rsid w:val="00F55E73"/>
    <w:rsid w:val="00F55EDA"/>
    <w:rsid w:val="00F56B39"/>
    <w:rsid w:val="00F56C80"/>
    <w:rsid w:val="00F60092"/>
    <w:rsid w:val="00F61C18"/>
    <w:rsid w:val="00F62A56"/>
    <w:rsid w:val="00F62A66"/>
    <w:rsid w:val="00F63298"/>
    <w:rsid w:val="00F65D99"/>
    <w:rsid w:val="00F65F4B"/>
    <w:rsid w:val="00F6650C"/>
    <w:rsid w:val="00F670D5"/>
    <w:rsid w:val="00F676BB"/>
    <w:rsid w:val="00F67A69"/>
    <w:rsid w:val="00F70BFF"/>
    <w:rsid w:val="00F70C9D"/>
    <w:rsid w:val="00F7105E"/>
    <w:rsid w:val="00F72E4A"/>
    <w:rsid w:val="00F72F52"/>
    <w:rsid w:val="00F72F78"/>
    <w:rsid w:val="00F73C45"/>
    <w:rsid w:val="00F743BA"/>
    <w:rsid w:val="00F7475C"/>
    <w:rsid w:val="00F74CD9"/>
    <w:rsid w:val="00F74D8D"/>
    <w:rsid w:val="00F74E9D"/>
    <w:rsid w:val="00F76A08"/>
    <w:rsid w:val="00F76C7F"/>
    <w:rsid w:val="00F77596"/>
    <w:rsid w:val="00F77CCB"/>
    <w:rsid w:val="00F803B1"/>
    <w:rsid w:val="00F804EB"/>
    <w:rsid w:val="00F80A7B"/>
    <w:rsid w:val="00F80E5D"/>
    <w:rsid w:val="00F81AA2"/>
    <w:rsid w:val="00F81E78"/>
    <w:rsid w:val="00F825BF"/>
    <w:rsid w:val="00F82F1B"/>
    <w:rsid w:val="00F82FD6"/>
    <w:rsid w:val="00F83A3B"/>
    <w:rsid w:val="00F84CF0"/>
    <w:rsid w:val="00F851CE"/>
    <w:rsid w:val="00F85425"/>
    <w:rsid w:val="00F85921"/>
    <w:rsid w:val="00F85F3C"/>
    <w:rsid w:val="00F86EEB"/>
    <w:rsid w:val="00F872CE"/>
    <w:rsid w:val="00F873CA"/>
    <w:rsid w:val="00F91219"/>
    <w:rsid w:val="00F92444"/>
    <w:rsid w:val="00F934F2"/>
    <w:rsid w:val="00F9393E"/>
    <w:rsid w:val="00F93970"/>
    <w:rsid w:val="00F94964"/>
    <w:rsid w:val="00F956C3"/>
    <w:rsid w:val="00F95E79"/>
    <w:rsid w:val="00F96696"/>
    <w:rsid w:val="00F9681B"/>
    <w:rsid w:val="00F96FD0"/>
    <w:rsid w:val="00F97082"/>
    <w:rsid w:val="00F97A78"/>
    <w:rsid w:val="00FA06DC"/>
    <w:rsid w:val="00FA0B20"/>
    <w:rsid w:val="00FA0B46"/>
    <w:rsid w:val="00FA0F8F"/>
    <w:rsid w:val="00FA24E7"/>
    <w:rsid w:val="00FA272F"/>
    <w:rsid w:val="00FA3596"/>
    <w:rsid w:val="00FA4395"/>
    <w:rsid w:val="00FA45F3"/>
    <w:rsid w:val="00FA5EE6"/>
    <w:rsid w:val="00FA6A5E"/>
    <w:rsid w:val="00FA6A9C"/>
    <w:rsid w:val="00FA732F"/>
    <w:rsid w:val="00FA7956"/>
    <w:rsid w:val="00FB1506"/>
    <w:rsid w:val="00FB1F17"/>
    <w:rsid w:val="00FB2FCB"/>
    <w:rsid w:val="00FB43AC"/>
    <w:rsid w:val="00FB48F2"/>
    <w:rsid w:val="00FB7C55"/>
    <w:rsid w:val="00FC0C56"/>
    <w:rsid w:val="00FC1074"/>
    <w:rsid w:val="00FC1884"/>
    <w:rsid w:val="00FC1BD6"/>
    <w:rsid w:val="00FC2728"/>
    <w:rsid w:val="00FC371D"/>
    <w:rsid w:val="00FC5F0B"/>
    <w:rsid w:val="00FC68FC"/>
    <w:rsid w:val="00FC7249"/>
    <w:rsid w:val="00FD0237"/>
    <w:rsid w:val="00FD0E2B"/>
    <w:rsid w:val="00FD12F1"/>
    <w:rsid w:val="00FD2100"/>
    <w:rsid w:val="00FD3376"/>
    <w:rsid w:val="00FD436C"/>
    <w:rsid w:val="00FD446D"/>
    <w:rsid w:val="00FD478B"/>
    <w:rsid w:val="00FD4F2C"/>
    <w:rsid w:val="00FD6394"/>
    <w:rsid w:val="00FD7D55"/>
    <w:rsid w:val="00FE01F7"/>
    <w:rsid w:val="00FE0E30"/>
    <w:rsid w:val="00FE0E6C"/>
    <w:rsid w:val="00FE18BD"/>
    <w:rsid w:val="00FE1CDC"/>
    <w:rsid w:val="00FE2631"/>
    <w:rsid w:val="00FE2FE9"/>
    <w:rsid w:val="00FE3E06"/>
    <w:rsid w:val="00FE70C3"/>
    <w:rsid w:val="00FF0DD7"/>
    <w:rsid w:val="00FF1D86"/>
    <w:rsid w:val="00FF2AD9"/>
    <w:rsid w:val="00FF359F"/>
    <w:rsid w:val="00FF3DCF"/>
    <w:rsid w:val="00FF48CE"/>
    <w:rsid w:val="00FF492C"/>
    <w:rsid w:val="00FF4A21"/>
    <w:rsid w:val="00FF5813"/>
    <w:rsid w:val="00FF5AA3"/>
    <w:rsid w:val="00FF5AD8"/>
    <w:rsid w:val="00FF5D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3" w:uiPriority="9"/>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FD0"/>
    <w:pPr>
      <w:jc w:val="both"/>
    </w:pPr>
    <w:rPr>
      <w:rFonts w:ascii="Calibri" w:hAnsi="Calibri" w:cs="Arial"/>
      <w:sz w:val="24"/>
      <w:szCs w:val="24"/>
    </w:rPr>
  </w:style>
  <w:style w:type="paragraph" w:styleId="Heading1">
    <w:name w:val="heading 1"/>
    <w:basedOn w:val="Normal"/>
    <w:next w:val="Normal"/>
    <w:uiPriority w:val="9"/>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uiPriority w:val="9"/>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2"/>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Summary Bullets,Bullet list,PBAC normal points,Bullet List,Figure_name"/>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heading0">
    <w:name w:val="Table heading"/>
    <w:basedOn w:val="Normal"/>
    <w:link w:val="TableheadingChar"/>
    <w:rsid w:val="00351B43"/>
    <w:pPr>
      <w:keepNext/>
      <w:widowControl w:val="0"/>
    </w:pPr>
    <w:rPr>
      <w:rFonts w:ascii="Arial Narrow" w:hAnsi="Arial Narrow"/>
      <w:b/>
      <w:snapToGrid w:val="0"/>
      <w:sz w:val="20"/>
      <w:szCs w:val="22"/>
      <w:lang w:eastAsia="en-US"/>
    </w:rPr>
  </w:style>
  <w:style w:type="character" w:customStyle="1" w:styleId="TableheadingChar">
    <w:name w:val="Table heading Char"/>
    <w:basedOn w:val="DefaultParagraphFont"/>
    <w:link w:val="Tableheading0"/>
    <w:rsid w:val="00351B43"/>
    <w:rPr>
      <w:rFonts w:ascii="Arial Narrow" w:hAnsi="Arial Narrow" w:cs="Arial"/>
      <w:b/>
      <w:snapToGrid w:val="0"/>
      <w:szCs w:val="22"/>
      <w:lang w:eastAsia="en-US"/>
    </w:rPr>
  </w:style>
  <w:style w:type="character" w:styleId="PlaceholderText">
    <w:name w:val="Placeholder Text"/>
    <w:basedOn w:val="DefaultParagraphFont"/>
    <w:uiPriority w:val="99"/>
    <w:semiHidden/>
    <w:rsid w:val="00162B3D"/>
    <w:rPr>
      <w:color w:val="808080"/>
    </w:rPr>
  </w:style>
  <w:style w:type="table" w:customStyle="1" w:styleId="TableGrid2">
    <w:name w:val="Table Grid2"/>
    <w:basedOn w:val="TableNormal"/>
    <w:next w:val="TableGrid"/>
    <w:rsid w:val="003D2FE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Footnote Text Char Char1"/>
    <w:basedOn w:val="Normal"/>
    <w:link w:val="FootnoteTextChar"/>
    <w:uiPriority w:val="99"/>
    <w:unhideWhenUsed/>
    <w:rsid w:val="00005182"/>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sid w:val="00005182"/>
    <w:rPr>
      <w:rFonts w:ascii="Calibri" w:hAnsi="Calibri" w:cs="Arial"/>
    </w:rPr>
  </w:style>
  <w:style w:type="character" w:styleId="FootnoteReference">
    <w:name w:val="footnote reference"/>
    <w:basedOn w:val="DefaultParagraphFont"/>
    <w:uiPriority w:val="99"/>
    <w:unhideWhenUsed/>
    <w:rsid w:val="00005182"/>
    <w:rPr>
      <w:vertAlign w:val="superscript"/>
    </w:rPr>
  </w:style>
  <w:style w:type="table" w:customStyle="1" w:styleId="AZTable">
    <w:name w:val="AZ Table"/>
    <w:basedOn w:val="TableNormal"/>
    <w:uiPriority w:val="99"/>
    <w:rsid w:val="000025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ndNoteBibliographyTitle">
    <w:name w:val="EndNote Bibliography Title"/>
    <w:basedOn w:val="Normal"/>
    <w:link w:val="EndNoteBibliographyTitleChar"/>
    <w:rsid w:val="006328CA"/>
    <w:pPr>
      <w:jc w:val="center"/>
    </w:pPr>
    <w:rPr>
      <w:rFonts w:cs="Calibri"/>
      <w:noProof/>
      <w:sz w:val="20"/>
    </w:rPr>
  </w:style>
  <w:style w:type="character" w:customStyle="1" w:styleId="EndNoteBibliographyTitleChar">
    <w:name w:val="EndNote Bibliography Title Char"/>
    <w:basedOn w:val="3-BodyTextChar"/>
    <w:link w:val="EndNoteBibliographyTitle"/>
    <w:rsid w:val="006328CA"/>
    <w:rPr>
      <w:rFonts w:ascii="Calibri" w:hAnsi="Calibri" w:cs="Calibri"/>
      <w:noProof/>
      <w:snapToGrid/>
      <w:sz w:val="24"/>
      <w:szCs w:val="24"/>
    </w:rPr>
  </w:style>
  <w:style w:type="paragraph" w:customStyle="1" w:styleId="EndNoteBibliography">
    <w:name w:val="EndNote Bibliography"/>
    <w:basedOn w:val="Normal"/>
    <w:link w:val="EndNoteBibliographyChar"/>
    <w:rsid w:val="006328CA"/>
    <w:rPr>
      <w:rFonts w:cs="Calibri"/>
      <w:noProof/>
      <w:sz w:val="20"/>
    </w:rPr>
  </w:style>
  <w:style w:type="character" w:customStyle="1" w:styleId="EndNoteBibliographyChar">
    <w:name w:val="EndNote Bibliography Char"/>
    <w:basedOn w:val="3-BodyTextChar"/>
    <w:link w:val="EndNoteBibliography"/>
    <w:rsid w:val="006328CA"/>
    <w:rPr>
      <w:rFonts w:ascii="Calibri" w:hAnsi="Calibri" w:cs="Calibri"/>
      <w:noProof/>
      <w:snapToGrid/>
      <w:sz w:val="24"/>
      <w:szCs w:val="24"/>
    </w:rPr>
  </w:style>
  <w:style w:type="paragraph" w:styleId="EndnoteText">
    <w:name w:val="endnote text"/>
    <w:basedOn w:val="Normal"/>
    <w:link w:val="EndnoteTextChar"/>
    <w:semiHidden/>
    <w:unhideWhenUsed/>
    <w:rsid w:val="006328CA"/>
    <w:rPr>
      <w:sz w:val="20"/>
      <w:szCs w:val="20"/>
    </w:rPr>
  </w:style>
  <w:style w:type="character" w:customStyle="1" w:styleId="EndnoteTextChar">
    <w:name w:val="Endnote Text Char"/>
    <w:basedOn w:val="DefaultParagraphFont"/>
    <w:link w:val="EndnoteText"/>
    <w:semiHidden/>
    <w:rsid w:val="006328CA"/>
    <w:rPr>
      <w:rFonts w:ascii="Calibri" w:hAnsi="Calibri" w:cs="Arial"/>
    </w:rPr>
  </w:style>
  <w:style w:type="character" w:styleId="EndnoteReference">
    <w:name w:val="endnote reference"/>
    <w:basedOn w:val="DefaultParagraphFont"/>
    <w:semiHidden/>
    <w:unhideWhenUsed/>
    <w:rsid w:val="006328CA"/>
    <w:rPr>
      <w:vertAlign w:val="superscript"/>
    </w:rPr>
  </w:style>
  <w:style w:type="paragraph" w:customStyle="1" w:styleId="1MainTitle">
    <w:name w:val="1. Main Title"/>
    <w:basedOn w:val="Title"/>
    <w:link w:val="1MainTitleChar"/>
    <w:rsid w:val="006328CA"/>
    <w:pPr>
      <w:spacing w:before="120" w:after="160"/>
      <w:ind w:left="720" w:hanging="720"/>
      <w:contextualSpacing/>
      <w:jc w:val="left"/>
    </w:pPr>
    <w:rPr>
      <w:rFonts w:asciiTheme="majorHAnsi" w:eastAsiaTheme="majorEastAsia" w:hAnsiTheme="majorHAnsi" w:cstheme="majorBidi"/>
      <w:bCs w:val="0"/>
      <w:spacing w:val="5"/>
      <w:sz w:val="36"/>
      <w:szCs w:val="36"/>
      <w:lang w:eastAsia="en-US"/>
    </w:rPr>
  </w:style>
  <w:style w:type="character" w:customStyle="1" w:styleId="1MainTitleChar">
    <w:name w:val="1. Main Title Char"/>
    <w:basedOn w:val="TitleChar"/>
    <w:link w:val="1MainTitle"/>
    <w:rsid w:val="006328CA"/>
    <w:rPr>
      <w:rFonts w:asciiTheme="majorHAnsi" w:eastAsiaTheme="majorEastAsia" w:hAnsiTheme="majorHAnsi" w:cstheme="majorBidi"/>
      <w:b/>
      <w:bCs w:val="0"/>
      <w:snapToGrid/>
      <w:spacing w:val="5"/>
      <w:kern w:val="28"/>
      <w:sz w:val="36"/>
      <w:szCs w:val="36"/>
      <w:lang w:eastAsia="en-US"/>
    </w:rPr>
  </w:style>
  <w:style w:type="paragraph" w:customStyle="1" w:styleId="PBACESHeading1">
    <w:name w:val="PBAC ES Heading 1"/>
    <w:basedOn w:val="Heading1"/>
    <w:next w:val="ListParagraph"/>
    <w:uiPriority w:val="1"/>
    <w:rsid w:val="006328CA"/>
    <w:pPr>
      <w:keepNext/>
      <w:keepLines/>
      <w:tabs>
        <w:tab w:val="left" w:pos="1077"/>
      </w:tabs>
      <w:spacing w:before="240" w:after="120"/>
    </w:pPr>
    <w:rPr>
      <w:caps w:val="0"/>
      <w:snapToGrid w:val="0"/>
      <w:szCs w:val="32"/>
      <w:lang w:eastAsia="en-US"/>
    </w:rPr>
  </w:style>
  <w:style w:type="paragraph" w:customStyle="1" w:styleId="PBACESHeading2">
    <w:name w:val="PBAC ES Heading 2"/>
    <w:basedOn w:val="Heading2"/>
    <w:link w:val="PBACESHeading2Char"/>
    <w:uiPriority w:val="1"/>
    <w:rsid w:val="006328CA"/>
    <w:pPr>
      <w:keepNext/>
      <w:keepLines/>
      <w:spacing w:before="360" w:after="120"/>
      <w:ind w:left="720" w:hanging="720"/>
    </w:pPr>
    <w:rPr>
      <w:rFonts w:asciiTheme="majorHAnsi" w:eastAsiaTheme="majorEastAsia" w:hAnsiTheme="majorHAnsi" w:cstheme="majorBidi"/>
      <w:snapToGrid w:val="0"/>
      <w:szCs w:val="28"/>
      <w:lang w:eastAsia="en-US"/>
    </w:rPr>
  </w:style>
  <w:style w:type="character" w:customStyle="1" w:styleId="PBACESHeading2Char">
    <w:name w:val="PBAC ES Heading 2 Char"/>
    <w:basedOn w:val="Heading2Char"/>
    <w:link w:val="PBACESHeading2"/>
    <w:uiPriority w:val="1"/>
    <w:rsid w:val="006328CA"/>
    <w:rPr>
      <w:rFonts w:asciiTheme="majorHAnsi" w:eastAsiaTheme="majorEastAsia" w:hAnsiTheme="majorHAnsi" w:cstheme="majorBidi"/>
      <w:b/>
      <w:i/>
      <w:snapToGrid w:val="0"/>
      <w:sz w:val="28"/>
      <w:szCs w:val="28"/>
      <w:lang w:eastAsia="en-US"/>
    </w:rPr>
  </w:style>
  <w:style w:type="paragraph" w:customStyle="1" w:styleId="PBACESHeadingCAPS">
    <w:name w:val="PBAC ES Heading CAPS"/>
    <w:basedOn w:val="PBACESHeading2"/>
    <w:uiPriority w:val="1"/>
    <w:rsid w:val="006328CA"/>
    <w:pPr>
      <w:ind w:left="1440" w:hanging="360"/>
    </w:pPr>
    <w:rPr>
      <w:i w:val="0"/>
      <w:smallCaps/>
      <w:sz w:val="32"/>
    </w:rPr>
  </w:style>
  <w:style w:type="paragraph" w:customStyle="1" w:styleId="PBACESHeading3">
    <w:name w:val="PBAC ES Heading 3"/>
    <w:basedOn w:val="PBACESHeading2"/>
    <w:uiPriority w:val="1"/>
    <w:rsid w:val="006328CA"/>
    <w:pPr>
      <w:ind w:left="2880" w:hanging="360"/>
    </w:pPr>
    <w:rPr>
      <w:i w:val="0"/>
      <w:sz w:val="24"/>
    </w:rPr>
  </w:style>
  <w:style w:type="paragraph" w:customStyle="1" w:styleId="MSACHeading1">
    <w:name w:val="MSAC Heading 1"/>
    <w:basedOn w:val="Heading1"/>
    <w:next w:val="Normal"/>
    <w:uiPriority w:val="1"/>
    <w:rsid w:val="006328CA"/>
    <w:pPr>
      <w:keepNext/>
      <w:keepLines/>
      <w:spacing w:before="160" w:after="240" w:line="259" w:lineRule="auto"/>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rsid w:val="006328CA"/>
    <w:pPr>
      <w:keepNext/>
      <w:keepLines/>
      <w:spacing w:before="360" w:after="120"/>
      <w:ind w:left="720" w:hanging="720"/>
    </w:pPr>
    <w:rPr>
      <w:rFonts w:ascii="Cambria" w:eastAsiaTheme="majorEastAsia" w:hAnsi="Cambria" w:cstheme="majorBidi"/>
      <w:i w:val="0"/>
      <w:snapToGrid w:val="0"/>
      <w:sz w:val="24"/>
      <w:szCs w:val="28"/>
      <w:lang w:eastAsia="en-US"/>
    </w:rPr>
  </w:style>
  <w:style w:type="paragraph" w:customStyle="1" w:styleId="TableFootnoteInfo">
    <w:name w:val="Table Footnote Info"/>
    <w:basedOn w:val="Normal"/>
    <w:uiPriority w:val="14"/>
    <w:rsid w:val="006328CA"/>
    <w:pPr>
      <w:keepLines/>
      <w:spacing w:before="40" w:after="40" w:line="276" w:lineRule="auto"/>
    </w:pPr>
    <w:rPr>
      <w:rFonts w:ascii="Times New Roman" w:hAnsi="Times New Roman" w:cs="Times New Roman"/>
      <w:sz w:val="20"/>
      <w:szCs w:val="48"/>
      <w:lang w:val="en-GB" w:eastAsia="en-US"/>
    </w:rPr>
  </w:style>
  <w:style w:type="paragraph" w:customStyle="1" w:styleId="Heading5Alt">
    <w:name w:val="Heading 5 Alt"/>
    <w:basedOn w:val="Normal"/>
    <w:autoRedefine/>
    <w:rsid w:val="006328CA"/>
    <w:pPr>
      <w:keepNext/>
      <w:spacing w:after="120" w:line="360" w:lineRule="auto"/>
      <w:outlineLvl w:val="5"/>
    </w:pPr>
    <w:rPr>
      <w:rFonts w:ascii="Arial" w:eastAsiaTheme="minorHAnsi" w:hAnsi="Arial" w:cstheme="minorBidi"/>
      <w:b/>
      <w:sz w:val="22"/>
      <w:szCs w:val="22"/>
      <w:lang w:eastAsia="en-US"/>
    </w:rPr>
  </w:style>
  <w:style w:type="table" w:customStyle="1" w:styleId="Summarybox1">
    <w:name w:val="Summary box1"/>
    <w:basedOn w:val="TableNormal"/>
    <w:next w:val="TableGrid"/>
    <w:uiPriority w:val="59"/>
    <w:rsid w:val="00D35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D3520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qFormat/>
    <w:rsid w:val="005F56D8"/>
    <w:pPr>
      <w:numPr>
        <w:numId w:val="0"/>
      </w:numPr>
      <w:ind w:left="720" w:hanging="720"/>
      <w:jc w:val="left"/>
    </w:pPr>
    <w:rPr>
      <w:rFonts w:eastAsiaTheme="minorHAnsi" w:cstheme="minorBidi"/>
      <w:snapToGrid/>
      <w:szCs w:val="22"/>
    </w:rPr>
  </w:style>
  <w:style w:type="paragraph" w:customStyle="1" w:styleId="ExecSumBodyText">
    <w:name w:val="Exec Sum Body Text"/>
    <w:basedOn w:val="Normal"/>
    <w:link w:val="ExecSumBodyTextChar"/>
    <w:qFormat/>
    <w:rsid w:val="009572E2"/>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9572E2"/>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0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435521">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0243103">
      <w:bodyDiv w:val="1"/>
      <w:marLeft w:val="0"/>
      <w:marRight w:val="0"/>
      <w:marTop w:val="0"/>
      <w:marBottom w:val="0"/>
      <w:divBdr>
        <w:top w:val="none" w:sz="0" w:space="0" w:color="auto"/>
        <w:left w:val="none" w:sz="0" w:space="0" w:color="auto"/>
        <w:bottom w:val="none" w:sz="0" w:space="0" w:color="auto"/>
        <w:right w:val="none" w:sz="0" w:space="0" w:color="auto"/>
      </w:divBdr>
    </w:div>
    <w:div w:id="194198312">
      <w:bodyDiv w:val="1"/>
      <w:marLeft w:val="0"/>
      <w:marRight w:val="0"/>
      <w:marTop w:val="0"/>
      <w:marBottom w:val="0"/>
      <w:divBdr>
        <w:top w:val="none" w:sz="0" w:space="0" w:color="auto"/>
        <w:left w:val="none" w:sz="0" w:space="0" w:color="auto"/>
        <w:bottom w:val="none" w:sz="0" w:space="0" w:color="auto"/>
        <w:right w:val="none" w:sz="0" w:space="0" w:color="auto"/>
      </w:divBdr>
    </w:div>
    <w:div w:id="242297928">
      <w:bodyDiv w:val="1"/>
      <w:marLeft w:val="0"/>
      <w:marRight w:val="0"/>
      <w:marTop w:val="0"/>
      <w:marBottom w:val="0"/>
      <w:divBdr>
        <w:top w:val="none" w:sz="0" w:space="0" w:color="auto"/>
        <w:left w:val="none" w:sz="0" w:space="0" w:color="auto"/>
        <w:bottom w:val="none" w:sz="0" w:space="0" w:color="auto"/>
        <w:right w:val="none" w:sz="0" w:space="0" w:color="auto"/>
      </w:divBdr>
    </w:div>
    <w:div w:id="3012361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4594942">
      <w:bodyDiv w:val="1"/>
      <w:marLeft w:val="0"/>
      <w:marRight w:val="0"/>
      <w:marTop w:val="0"/>
      <w:marBottom w:val="0"/>
      <w:divBdr>
        <w:top w:val="none" w:sz="0" w:space="0" w:color="auto"/>
        <w:left w:val="none" w:sz="0" w:space="0" w:color="auto"/>
        <w:bottom w:val="none" w:sz="0" w:space="0" w:color="auto"/>
        <w:right w:val="none" w:sz="0" w:space="0" w:color="auto"/>
      </w:divBdr>
    </w:div>
    <w:div w:id="500702032">
      <w:bodyDiv w:val="1"/>
      <w:marLeft w:val="0"/>
      <w:marRight w:val="0"/>
      <w:marTop w:val="0"/>
      <w:marBottom w:val="0"/>
      <w:divBdr>
        <w:top w:val="none" w:sz="0" w:space="0" w:color="auto"/>
        <w:left w:val="none" w:sz="0" w:space="0" w:color="auto"/>
        <w:bottom w:val="none" w:sz="0" w:space="0" w:color="auto"/>
        <w:right w:val="none" w:sz="0" w:space="0" w:color="auto"/>
      </w:divBdr>
    </w:div>
    <w:div w:id="510141596">
      <w:bodyDiv w:val="1"/>
      <w:marLeft w:val="0"/>
      <w:marRight w:val="0"/>
      <w:marTop w:val="0"/>
      <w:marBottom w:val="0"/>
      <w:divBdr>
        <w:top w:val="none" w:sz="0" w:space="0" w:color="auto"/>
        <w:left w:val="none" w:sz="0" w:space="0" w:color="auto"/>
        <w:bottom w:val="none" w:sz="0" w:space="0" w:color="auto"/>
        <w:right w:val="none" w:sz="0" w:space="0" w:color="auto"/>
      </w:divBdr>
    </w:div>
    <w:div w:id="596601084">
      <w:bodyDiv w:val="1"/>
      <w:marLeft w:val="0"/>
      <w:marRight w:val="0"/>
      <w:marTop w:val="0"/>
      <w:marBottom w:val="0"/>
      <w:divBdr>
        <w:top w:val="none" w:sz="0" w:space="0" w:color="auto"/>
        <w:left w:val="none" w:sz="0" w:space="0" w:color="auto"/>
        <w:bottom w:val="none" w:sz="0" w:space="0" w:color="auto"/>
        <w:right w:val="none" w:sz="0" w:space="0" w:color="auto"/>
      </w:divBdr>
    </w:div>
    <w:div w:id="612204455">
      <w:bodyDiv w:val="1"/>
      <w:marLeft w:val="0"/>
      <w:marRight w:val="0"/>
      <w:marTop w:val="0"/>
      <w:marBottom w:val="0"/>
      <w:divBdr>
        <w:top w:val="none" w:sz="0" w:space="0" w:color="auto"/>
        <w:left w:val="none" w:sz="0" w:space="0" w:color="auto"/>
        <w:bottom w:val="none" w:sz="0" w:space="0" w:color="auto"/>
        <w:right w:val="none" w:sz="0" w:space="0" w:color="auto"/>
      </w:divBdr>
    </w:div>
    <w:div w:id="821778362">
      <w:bodyDiv w:val="1"/>
      <w:marLeft w:val="0"/>
      <w:marRight w:val="0"/>
      <w:marTop w:val="0"/>
      <w:marBottom w:val="0"/>
      <w:divBdr>
        <w:top w:val="none" w:sz="0" w:space="0" w:color="auto"/>
        <w:left w:val="none" w:sz="0" w:space="0" w:color="auto"/>
        <w:bottom w:val="none" w:sz="0" w:space="0" w:color="auto"/>
        <w:right w:val="none" w:sz="0" w:space="0" w:color="auto"/>
      </w:divBdr>
    </w:div>
    <w:div w:id="95914648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6520">
      <w:bodyDiv w:val="1"/>
      <w:marLeft w:val="0"/>
      <w:marRight w:val="0"/>
      <w:marTop w:val="0"/>
      <w:marBottom w:val="0"/>
      <w:divBdr>
        <w:top w:val="none" w:sz="0" w:space="0" w:color="auto"/>
        <w:left w:val="none" w:sz="0" w:space="0" w:color="auto"/>
        <w:bottom w:val="none" w:sz="0" w:space="0" w:color="auto"/>
        <w:right w:val="none" w:sz="0" w:space="0" w:color="auto"/>
      </w:divBdr>
    </w:div>
    <w:div w:id="1274510342">
      <w:bodyDiv w:val="1"/>
      <w:marLeft w:val="0"/>
      <w:marRight w:val="0"/>
      <w:marTop w:val="0"/>
      <w:marBottom w:val="0"/>
      <w:divBdr>
        <w:top w:val="none" w:sz="0" w:space="0" w:color="auto"/>
        <w:left w:val="none" w:sz="0" w:space="0" w:color="auto"/>
        <w:bottom w:val="none" w:sz="0" w:space="0" w:color="auto"/>
        <w:right w:val="none" w:sz="0" w:space="0" w:color="auto"/>
      </w:divBdr>
    </w:div>
    <w:div w:id="1326856158">
      <w:bodyDiv w:val="1"/>
      <w:marLeft w:val="0"/>
      <w:marRight w:val="0"/>
      <w:marTop w:val="0"/>
      <w:marBottom w:val="0"/>
      <w:divBdr>
        <w:top w:val="none" w:sz="0" w:space="0" w:color="auto"/>
        <w:left w:val="none" w:sz="0" w:space="0" w:color="auto"/>
        <w:bottom w:val="none" w:sz="0" w:space="0" w:color="auto"/>
        <w:right w:val="none" w:sz="0" w:space="0" w:color="auto"/>
      </w:divBdr>
    </w:div>
    <w:div w:id="1363675168">
      <w:bodyDiv w:val="1"/>
      <w:marLeft w:val="0"/>
      <w:marRight w:val="0"/>
      <w:marTop w:val="0"/>
      <w:marBottom w:val="0"/>
      <w:divBdr>
        <w:top w:val="none" w:sz="0" w:space="0" w:color="auto"/>
        <w:left w:val="none" w:sz="0" w:space="0" w:color="auto"/>
        <w:bottom w:val="none" w:sz="0" w:space="0" w:color="auto"/>
        <w:right w:val="none" w:sz="0" w:space="0" w:color="auto"/>
      </w:divBdr>
    </w:div>
    <w:div w:id="1385712759">
      <w:bodyDiv w:val="1"/>
      <w:marLeft w:val="0"/>
      <w:marRight w:val="0"/>
      <w:marTop w:val="0"/>
      <w:marBottom w:val="0"/>
      <w:divBdr>
        <w:top w:val="none" w:sz="0" w:space="0" w:color="auto"/>
        <w:left w:val="none" w:sz="0" w:space="0" w:color="auto"/>
        <w:bottom w:val="none" w:sz="0" w:space="0" w:color="auto"/>
        <w:right w:val="none" w:sz="0" w:space="0" w:color="auto"/>
      </w:divBdr>
    </w:div>
    <w:div w:id="1498111308">
      <w:bodyDiv w:val="1"/>
      <w:marLeft w:val="0"/>
      <w:marRight w:val="0"/>
      <w:marTop w:val="0"/>
      <w:marBottom w:val="0"/>
      <w:divBdr>
        <w:top w:val="none" w:sz="0" w:space="0" w:color="auto"/>
        <w:left w:val="none" w:sz="0" w:space="0" w:color="auto"/>
        <w:bottom w:val="none" w:sz="0" w:space="0" w:color="auto"/>
        <w:right w:val="none" w:sz="0" w:space="0" w:color="auto"/>
      </w:divBdr>
    </w:div>
    <w:div w:id="1577670338">
      <w:bodyDiv w:val="1"/>
      <w:marLeft w:val="0"/>
      <w:marRight w:val="0"/>
      <w:marTop w:val="0"/>
      <w:marBottom w:val="0"/>
      <w:divBdr>
        <w:top w:val="none" w:sz="0" w:space="0" w:color="auto"/>
        <w:left w:val="none" w:sz="0" w:space="0" w:color="auto"/>
        <w:bottom w:val="none" w:sz="0" w:space="0" w:color="auto"/>
        <w:right w:val="none" w:sz="0" w:space="0" w:color="auto"/>
      </w:divBdr>
    </w:div>
    <w:div w:id="1602447349">
      <w:bodyDiv w:val="1"/>
      <w:marLeft w:val="0"/>
      <w:marRight w:val="0"/>
      <w:marTop w:val="0"/>
      <w:marBottom w:val="0"/>
      <w:divBdr>
        <w:top w:val="none" w:sz="0" w:space="0" w:color="auto"/>
        <w:left w:val="none" w:sz="0" w:space="0" w:color="auto"/>
        <w:bottom w:val="none" w:sz="0" w:space="0" w:color="auto"/>
        <w:right w:val="none" w:sz="0" w:space="0" w:color="auto"/>
      </w:divBdr>
    </w:div>
    <w:div w:id="1678340800">
      <w:bodyDiv w:val="1"/>
      <w:marLeft w:val="0"/>
      <w:marRight w:val="0"/>
      <w:marTop w:val="0"/>
      <w:marBottom w:val="0"/>
      <w:divBdr>
        <w:top w:val="none" w:sz="0" w:space="0" w:color="auto"/>
        <w:left w:val="none" w:sz="0" w:space="0" w:color="auto"/>
        <w:bottom w:val="none" w:sz="0" w:space="0" w:color="auto"/>
        <w:right w:val="none" w:sz="0" w:space="0" w:color="auto"/>
      </w:divBdr>
    </w:div>
    <w:div w:id="1751001269">
      <w:bodyDiv w:val="1"/>
      <w:marLeft w:val="0"/>
      <w:marRight w:val="0"/>
      <w:marTop w:val="0"/>
      <w:marBottom w:val="0"/>
      <w:divBdr>
        <w:top w:val="none" w:sz="0" w:space="0" w:color="auto"/>
        <w:left w:val="none" w:sz="0" w:space="0" w:color="auto"/>
        <w:bottom w:val="none" w:sz="0" w:space="0" w:color="auto"/>
        <w:right w:val="none" w:sz="0" w:space="0" w:color="auto"/>
      </w:divBdr>
    </w:div>
    <w:div w:id="1764837465">
      <w:bodyDiv w:val="1"/>
      <w:marLeft w:val="0"/>
      <w:marRight w:val="0"/>
      <w:marTop w:val="0"/>
      <w:marBottom w:val="0"/>
      <w:divBdr>
        <w:top w:val="none" w:sz="0" w:space="0" w:color="auto"/>
        <w:left w:val="none" w:sz="0" w:space="0" w:color="auto"/>
        <w:bottom w:val="none" w:sz="0" w:space="0" w:color="auto"/>
        <w:right w:val="none" w:sz="0" w:space="0" w:color="auto"/>
      </w:divBdr>
    </w:div>
    <w:div w:id="1771704247">
      <w:bodyDiv w:val="1"/>
      <w:marLeft w:val="0"/>
      <w:marRight w:val="0"/>
      <w:marTop w:val="0"/>
      <w:marBottom w:val="0"/>
      <w:divBdr>
        <w:top w:val="none" w:sz="0" w:space="0" w:color="auto"/>
        <w:left w:val="none" w:sz="0" w:space="0" w:color="auto"/>
        <w:bottom w:val="none" w:sz="0" w:space="0" w:color="auto"/>
        <w:right w:val="none" w:sz="0" w:space="0" w:color="auto"/>
      </w:divBdr>
    </w:div>
    <w:div w:id="1775325370">
      <w:bodyDiv w:val="1"/>
      <w:marLeft w:val="0"/>
      <w:marRight w:val="0"/>
      <w:marTop w:val="0"/>
      <w:marBottom w:val="0"/>
      <w:divBdr>
        <w:top w:val="none" w:sz="0" w:space="0" w:color="auto"/>
        <w:left w:val="none" w:sz="0" w:space="0" w:color="auto"/>
        <w:bottom w:val="none" w:sz="0" w:space="0" w:color="auto"/>
        <w:right w:val="none" w:sz="0" w:space="0" w:color="auto"/>
      </w:divBdr>
    </w:div>
    <w:div w:id="191288791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91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cancer/cancer-data-in-australia/contents/summary" TargetMode="External"/><Relationship Id="rId2" Type="http://schemas.openxmlformats.org/officeDocument/2006/relationships/hyperlink" Target="https://www.aihw.gov.au/reports/cancer/lung-cancer-in-australia-overview/contents/table-of-contents" TargetMode="External"/><Relationship Id="rId1" Type="http://schemas.openxmlformats.org/officeDocument/2006/relationships/hyperlink" Target="https://www.aihw.gov.au/reports/cancer/cancer-incidence-projections-australia-2011-to-20/contents/table-of-contents" TargetMode="External"/><Relationship Id="rId4" Type="http://schemas.openxmlformats.org/officeDocument/2006/relationships/hyperlink" Target="https://www.aihw.gov.au/reports/cancer/cancer-data-in-australia/content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FAE0-7FD7-411C-B72C-E95FECB5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14297</Words>
  <Characters>84339</Characters>
  <Application>Microsoft Office Word</Application>
  <DocSecurity>0</DocSecurity>
  <Lines>702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2020-10-29T09:35:00Z</dcterms:created>
  <dcterms:modified xsi:type="dcterms:W3CDTF">2020-10-29T09:37:00Z</dcterms:modified>
</cp:coreProperties>
</file>