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3A6" w:rsidRPr="00C41F2B" w:rsidRDefault="006E77B6" w:rsidP="0019527A">
      <w:pPr>
        <w:pStyle w:val="1MainTitle"/>
        <w:spacing w:after="120"/>
        <w:rPr>
          <w:rFonts w:cs="Calibri"/>
          <w:b w:val="0"/>
        </w:rPr>
      </w:pPr>
      <w:bookmarkStart w:id="0" w:name="_Toc18489946"/>
      <w:bookmarkStart w:id="1" w:name="_Toc22897637"/>
      <w:r w:rsidRPr="00C41F2B">
        <w:rPr>
          <w:rFonts w:asciiTheme="minorHAnsi" w:hAnsiTheme="minorHAnsi"/>
          <w:lang w:eastAsia="en-AU"/>
        </w:rPr>
        <w:t>7.05</w:t>
      </w:r>
      <w:r w:rsidR="00E94A2D" w:rsidRPr="00C41F2B">
        <w:rPr>
          <w:rFonts w:asciiTheme="minorHAnsi" w:hAnsiTheme="minorHAnsi"/>
          <w:lang w:eastAsia="en-AU"/>
        </w:rPr>
        <w:t xml:space="preserve"> OLAPARIB</w:t>
      </w:r>
      <w:proofErr w:type="gramStart"/>
      <w:r w:rsidR="00E94A2D" w:rsidRPr="00C41F2B">
        <w:rPr>
          <w:rFonts w:asciiTheme="minorHAnsi" w:hAnsiTheme="minorHAnsi"/>
          <w:lang w:eastAsia="en-AU"/>
        </w:rPr>
        <w:t>,</w:t>
      </w:r>
      <w:proofErr w:type="gramEnd"/>
      <w:r w:rsidR="0019527A">
        <w:rPr>
          <w:rFonts w:asciiTheme="minorHAnsi" w:hAnsiTheme="minorHAnsi"/>
          <w:lang w:eastAsia="en-AU"/>
        </w:rPr>
        <w:br/>
      </w:r>
      <w:r w:rsidR="00E94A2D" w:rsidRPr="0019527A">
        <w:rPr>
          <w:rFonts w:asciiTheme="minorHAnsi" w:hAnsiTheme="minorHAnsi"/>
          <w:lang w:eastAsia="en-AU"/>
        </w:rPr>
        <w:t xml:space="preserve">Tablet 150 mg, Tablet 100 mg, </w:t>
      </w:r>
      <w:r w:rsidR="0019527A" w:rsidRPr="0019527A">
        <w:rPr>
          <w:rFonts w:asciiTheme="minorHAnsi" w:hAnsiTheme="minorHAnsi"/>
          <w:lang w:eastAsia="en-AU"/>
        </w:rPr>
        <w:br/>
      </w:r>
      <w:proofErr w:type="spellStart"/>
      <w:r w:rsidR="00E94A2D" w:rsidRPr="0019527A">
        <w:rPr>
          <w:rFonts w:asciiTheme="minorHAnsi" w:hAnsiTheme="minorHAnsi"/>
          <w:lang w:eastAsia="en-AU"/>
        </w:rPr>
        <w:t>Lynparza</w:t>
      </w:r>
      <w:proofErr w:type="spellEnd"/>
      <w:r w:rsidR="00E94A2D" w:rsidRPr="0019527A">
        <w:rPr>
          <w:rFonts w:asciiTheme="minorHAnsi" w:hAnsiTheme="minorHAnsi"/>
          <w:lang w:eastAsia="en-AU"/>
        </w:rPr>
        <w:t>®,</w:t>
      </w:r>
      <w:r w:rsidR="0019527A" w:rsidRPr="0019527A">
        <w:rPr>
          <w:rFonts w:asciiTheme="minorHAnsi" w:hAnsiTheme="minorHAnsi"/>
          <w:lang w:eastAsia="en-AU"/>
        </w:rPr>
        <w:br/>
      </w:r>
      <w:r w:rsidR="00E94A2D" w:rsidRPr="0019527A">
        <w:rPr>
          <w:rFonts w:asciiTheme="minorHAnsi" w:hAnsiTheme="minorHAnsi"/>
          <w:lang w:eastAsia="en-AU"/>
        </w:rPr>
        <w:t>AstraZeneca Pty Ltd.</w:t>
      </w:r>
      <w:bookmarkEnd w:id="0"/>
    </w:p>
    <w:p w:rsidR="006F2182" w:rsidRPr="00C41F2B" w:rsidRDefault="006F2182" w:rsidP="006F2182">
      <w:pPr>
        <w:pStyle w:val="2-SectionHeading"/>
      </w:pPr>
      <w:bookmarkStart w:id="2" w:name="_Toc38262909"/>
      <w:bookmarkStart w:id="3" w:name="_Toc38305862"/>
      <w:bookmarkEnd w:id="1"/>
      <w:r w:rsidRPr="00C41F2B">
        <w:t>Purpose of submission</w:t>
      </w:r>
      <w:bookmarkEnd w:id="2"/>
      <w:bookmarkEnd w:id="3"/>
    </w:p>
    <w:p w:rsidR="006F2182" w:rsidRPr="00C41F2B" w:rsidRDefault="006F2182" w:rsidP="006F2182">
      <w:pPr>
        <w:pStyle w:val="3-BodyText"/>
      </w:pPr>
      <w:r w:rsidRPr="00C41F2B">
        <w:t xml:space="preserve">The resubmission requested a Section 85, Authority Required listing of olaparib for the treatment of patients with newly diagnosed advanced (FIGO stage III-IV) high grade epithelial ovarian, fallopian tube and primary peritoneal cancer, with evidence of a BRCA1 or BRCA2 gene mutation (BRCAm), and who are in partial or complete response to platinum-based chemotherapy. The first co-dependent submission was considered in November 2019 by the PBAC and MSAC, and the MSAC has since recommended the </w:t>
      </w:r>
      <w:r w:rsidR="00552720" w:rsidRPr="00C41F2B">
        <w:t>Medicare Benefits Schedule (MBS)</w:t>
      </w:r>
      <w:r w:rsidRPr="00C41F2B">
        <w:t xml:space="preserve"> listing for tumour testing</w:t>
      </w:r>
      <w:r w:rsidR="008F6746" w:rsidRPr="00C41F2B">
        <w:t xml:space="preserve"> in patients treated with olaparib in the </w:t>
      </w:r>
      <w:r w:rsidR="004F687F" w:rsidRPr="00C41F2B">
        <w:t>second-line (2L)</w:t>
      </w:r>
      <w:r w:rsidR="008F6746" w:rsidRPr="00C41F2B">
        <w:t xml:space="preserve"> setting. Following the PBAC’s decision not to recommend PBS listing of olaparib for first</w:t>
      </w:r>
      <w:r w:rsidR="004F687F" w:rsidRPr="00C41F2B">
        <w:t>-</w:t>
      </w:r>
      <w:r w:rsidR="008F6746" w:rsidRPr="00C41F2B">
        <w:t>line</w:t>
      </w:r>
      <w:r w:rsidR="004F687F" w:rsidRPr="00C41F2B">
        <w:t xml:space="preserve"> (1L)</w:t>
      </w:r>
      <w:r w:rsidR="008F6746" w:rsidRPr="00C41F2B">
        <w:t xml:space="preserve"> maintenance of ovarian cancer in November </w:t>
      </w:r>
      <w:r w:rsidR="00DF3DFE" w:rsidRPr="00C41F2B">
        <w:t>2019</w:t>
      </w:r>
      <w:r w:rsidR="008F6746" w:rsidRPr="00C41F2B">
        <w:t>, MSAC did not provide advice on BRCA testing for this population</w:t>
      </w:r>
      <w:r w:rsidRPr="00C41F2B">
        <w:t>.</w:t>
      </w:r>
      <w:r w:rsidR="00C04B86" w:rsidRPr="00C41F2B">
        <w:t xml:space="preserve"> However</w:t>
      </w:r>
      <w:r w:rsidR="000A78DD" w:rsidRPr="00C41F2B">
        <w:t>,</w:t>
      </w:r>
      <w:r w:rsidR="00C04B86" w:rsidRPr="00C41F2B">
        <w:t xml:space="preserve"> the proposed MBS item descriptors for germline and tumour testing d</w:t>
      </w:r>
      <w:r w:rsidR="005E468B" w:rsidRPr="00C41F2B">
        <w:t>o</w:t>
      </w:r>
      <w:r w:rsidR="00C04B86" w:rsidRPr="00C41F2B">
        <w:t xml:space="preserve"> not specify the line of olaparib therapy.</w:t>
      </w:r>
    </w:p>
    <w:p w:rsidR="006F2182" w:rsidRPr="00C41F2B" w:rsidRDefault="006F2182" w:rsidP="006F2182">
      <w:pPr>
        <w:pStyle w:val="3-BodyText"/>
      </w:pPr>
      <w:r w:rsidRPr="00C41F2B">
        <w:t>Listing was requested on the basis of a cost-effectiveness analysis of olaparib and tumour tissue testing for BRCAm compared with current practice. The key components of the clinical issues addressed by the resubmission are summarised below.</w:t>
      </w:r>
    </w:p>
    <w:p w:rsidR="006F2182" w:rsidRPr="00C41F2B" w:rsidRDefault="006F2182" w:rsidP="006F2182">
      <w:pPr>
        <w:pStyle w:val="TableFigureHeading"/>
      </w:pPr>
      <w:bookmarkStart w:id="4" w:name="_Ref40182316"/>
      <w:r w:rsidRPr="00C41F2B">
        <w:t xml:space="preserve">Table </w:t>
      </w:r>
      <w:r w:rsidR="00A0380C">
        <w:rPr>
          <w:noProof/>
        </w:rPr>
        <w:t>1</w:t>
      </w:r>
      <w:bookmarkEnd w:id="4"/>
      <w:r w:rsidRPr="00C41F2B">
        <w:t>: Key components of the clinical issue addressed by the resubmission (as stated in the resubmission)</w:t>
      </w:r>
    </w:p>
    <w:tbl>
      <w:tblPr>
        <w:tblW w:w="5106" w:type="pct"/>
        <w:tblLook w:val="04A0" w:firstRow="1" w:lastRow="0" w:firstColumn="1" w:lastColumn="0" w:noHBand="0" w:noVBand="1"/>
        <w:tblCaption w:val="Table 1"/>
        <w:tblDescription w:val="Key components of the clinical issue addressed by the submission "/>
      </w:tblPr>
      <w:tblGrid>
        <w:gridCol w:w="1414"/>
        <w:gridCol w:w="7794"/>
      </w:tblGrid>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lang w:val="en-AU"/>
              </w:rPr>
            </w:pPr>
            <w:r w:rsidRPr="00C41F2B">
              <w:rPr>
                <w:lang w:val="en-AU"/>
              </w:rPr>
              <w:t>Component</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lang w:val="en-AU"/>
              </w:rPr>
            </w:pPr>
            <w:r w:rsidRPr="00C41F2B">
              <w:rPr>
                <w:lang w:val="en-AU"/>
              </w:rPr>
              <w:t>Description</w:t>
            </w:r>
          </w:p>
        </w:tc>
      </w:tr>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Test Population</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Patients with newly diagnosed, advanced (FIGO stage III-IV) high grade epithelial ovarian cancer (including fallopian tube and primary peritoneal cancer)</w:t>
            </w:r>
          </w:p>
        </w:tc>
      </w:tr>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Treatment Population</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Patients with newly diagnosed, advanced (FIGO stage III-IV) high grade epithelial ovarian cancer (including fallopian tube and primary peritoneal cancer) whose tumour tissue tests positive for a class 4 or 5 BRCA1/2 mutation and who are in response (complete or partial) to platinum-based chemotherapy</w:t>
            </w:r>
          </w:p>
        </w:tc>
      </w:tr>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Intervention</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Test of tumour tissue to determine BRCA1/2 mutation status</w:t>
            </w:r>
          </w:p>
          <w:p w:rsidR="006F2182" w:rsidRPr="00C41F2B" w:rsidRDefault="006F2182" w:rsidP="00E66BA3">
            <w:pPr>
              <w:pStyle w:val="In-tableHeading"/>
              <w:rPr>
                <w:b w:val="0"/>
                <w:lang w:val="en-AU"/>
              </w:rPr>
            </w:pPr>
            <w:r w:rsidRPr="00C41F2B">
              <w:rPr>
                <w:b w:val="0"/>
                <w:lang w:val="en-AU"/>
              </w:rPr>
              <w:t xml:space="preserve">If BRCA mutation positive, receive olaparib </w:t>
            </w:r>
          </w:p>
          <w:p w:rsidR="006F2182" w:rsidRPr="00C41F2B" w:rsidRDefault="006F2182" w:rsidP="00E66BA3">
            <w:pPr>
              <w:pStyle w:val="In-tableHeading"/>
              <w:rPr>
                <w:b w:val="0"/>
                <w:lang w:val="en-AU"/>
              </w:rPr>
            </w:pPr>
            <w:r w:rsidRPr="00C41F2B">
              <w:rPr>
                <w:b w:val="0"/>
                <w:lang w:val="en-AU"/>
              </w:rPr>
              <w:t>If BRCA mutation negative or unknown, watch and wait (i.e. placebo)</w:t>
            </w:r>
          </w:p>
        </w:tc>
      </w:tr>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Comparator</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 xml:space="preserve">Watch and wait following platinum-based chemotherapy </w:t>
            </w:r>
          </w:p>
        </w:tc>
      </w:tr>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Outcomes</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 xml:space="preserve">PFS, PFS2, OS </w:t>
            </w:r>
            <w:proofErr w:type="spellStart"/>
            <w:r w:rsidRPr="00C41F2B">
              <w:rPr>
                <w:b w:val="0"/>
                <w:lang w:val="en-AU"/>
              </w:rPr>
              <w:t>TTST</w:t>
            </w:r>
            <w:r w:rsidRPr="00C41F2B">
              <w:rPr>
                <w:b w:val="0"/>
                <w:vertAlign w:val="superscript"/>
                <w:lang w:val="en-AU"/>
              </w:rPr>
              <w:t>a</w:t>
            </w:r>
            <w:proofErr w:type="spellEnd"/>
            <w:r w:rsidRPr="00C41F2B">
              <w:rPr>
                <w:b w:val="0"/>
                <w:lang w:val="en-AU"/>
              </w:rPr>
              <w:t xml:space="preserve">, quality of life, safety and tolerability for olaparib vs standard of care (placebo) </w:t>
            </w:r>
          </w:p>
        </w:tc>
      </w:tr>
      <w:tr w:rsidR="006F2182" w:rsidRPr="00C41F2B" w:rsidTr="00A03E9C">
        <w:trPr>
          <w:cantSplit/>
          <w:tblHeader/>
        </w:trPr>
        <w:tc>
          <w:tcPr>
            <w:tcW w:w="768"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Clinical claim</w:t>
            </w:r>
          </w:p>
        </w:tc>
        <w:tc>
          <w:tcPr>
            <w:tcW w:w="4232" w:type="pct"/>
            <w:tcBorders>
              <w:top w:val="single" w:sz="4" w:space="0" w:color="auto"/>
              <w:left w:val="single" w:sz="4" w:space="0" w:color="auto"/>
              <w:bottom w:val="single" w:sz="4" w:space="0" w:color="auto"/>
              <w:right w:val="single" w:sz="4" w:space="0" w:color="auto"/>
            </w:tcBorders>
            <w:shd w:val="clear" w:color="auto" w:fill="auto"/>
          </w:tcPr>
          <w:p w:rsidR="006F2182" w:rsidRPr="00C41F2B" w:rsidRDefault="006F2182" w:rsidP="00E66BA3">
            <w:pPr>
              <w:pStyle w:val="In-tableHeading"/>
              <w:rPr>
                <w:b w:val="0"/>
                <w:lang w:val="en-AU"/>
              </w:rPr>
            </w:pPr>
            <w:r w:rsidRPr="00C41F2B">
              <w:rPr>
                <w:b w:val="0"/>
                <w:lang w:val="en-AU"/>
              </w:rPr>
              <w:t>In patients with newly diagnosed, advanced (FIGO stage III-IV) high grade epithelial ovarian cancer (including fallopian tube and primary peritoneal cancer) who test positive for a class 4 or class 5 BRCA1/2 mutation and are in complete or partial response to platinum-based chemotherapy, olaparib is superior to placebo (watch and wait) in terms of efficacy and non-inferior in terms of safety and quality of life.</w:t>
            </w:r>
          </w:p>
        </w:tc>
      </w:tr>
    </w:tbl>
    <w:p w:rsidR="006F2182" w:rsidRPr="00C41F2B" w:rsidRDefault="006F2182" w:rsidP="006F2182">
      <w:pPr>
        <w:pStyle w:val="TableFigureFooter"/>
      </w:pPr>
      <w:r w:rsidRPr="00C41F2B">
        <w:t>Source: Table 3, p43 of the resubmission.</w:t>
      </w:r>
    </w:p>
    <w:p w:rsidR="007B6621" w:rsidRDefault="006F2182" w:rsidP="00AC625E">
      <w:pPr>
        <w:pStyle w:val="TableFigureFooter"/>
        <w:jc w:val="left"/>
        <w:rPr>
          <w:szCs w:val="18"/>
        </w:rPr>
      </w:pPr>
      <w:r w:rsidRPr="00C41F2B">
        <w:rPr>
          <w:i/>
          <w:szCs w:val="18"/>
        </w:rPr>
        <w:t>BRCA</w:t>
      </w:r>
      <w:r w:rsidRPr="00C41F2B">
        <w:rPr>
          <w:szCs w:val="18"/>
        </w:rPr>
        <w:t>m = breast cancer gene 1 and 2 pathological or likely pathological variant; FIGO = Federation of Gynaecology and Obstetrics; PFS = progression free survival; PFS2 = second progression-fee survival (time from randomisation to second progression); OS = overall survival; TTST = time to subsequent therapy.</w:t>
      </w:r>
    </w:p>
    <w:p w:rsidR="006F2182" w:rsidRPr="00C41F2B" w:rsidRDefault="006F2182" w:rsidP="00AC625E">
      <w:pPr>
        <w:pStyle w:val="TableFigureFooter"/>
        <w:jc w:val="left"/>
      </w:pPr>
      <w:proofErr w:type="spellStart"/>
      <w:proofErr w:type="gramStart"/>
      <w:r w:rsidRPr="00C41F2B">
        <w:rPr>
          <w:vertAlign w:val="superscript"/>
        </w:rPr>
        <w:t>a</w:t>
      </w:r>
      <w:proofErr w:type="spellEnd"/>
      <w:proofErr w:type="gramEnd"/>
      <w:r w:rsidRPr="00C41F2B">
        <w:t xml:space="preserve"> The resubmission included the abbreviation ‘TTST’, however did not define it, nor discuss it further. This is likely an error in the resubmission, which may have intended to use ‘TSST’ or ‘TFST’, however it is unclear what was meant.</w:t>
      </w:r>
    </w:p>
    <w:p w:rsidR="006F2182" w:rsidRPr="00C41F2B" w:rsidRDefault="006F2182" w:rsidP="006F2182">
      <w:pPr>
        <w:pStyle w:val="2-SectionHeading"/>
      </w:pPr>
      <w:bookmarkStart w:id="5" w:name="_Toc38262910"/>
      <w:bookmarkStart w:id="6" w:name="_Toc38305863"/>
      <w:r w:rsidRPr="00C41F2B">
        <w:lastRenderedPageBreak/>
        <w:t>Background</w:t>
      </w:r>
      <w:bookmarkEnd w:id="5"/>
      <w:bookmarkEnd w:id="6"/>
    </w:p>
    <w:p w:rsidR="006F2182" w:rsidRPr="00C41F2B" w:rsidRDefault="006F2182" w:rsidP="006F2182">
      <w:pPr>
        <w:pStyle w:val="4-SubsectionHeading"/>
      </w:pPr>
      <w:bookmarkStart w:id="7" w:name="_Toc22897638"/>
      <w:bookmarkStart w:id="8" w:name="_Toc38262911"/>
      <w:bookmarkStart w:id="9" w:name="_Toc38305864"/>
      <w:r w:rsidRPr="00C41F2B">
        <w:t>Registration status</w:t>
      </w:r>
      <w:bookmarkEnd w:id="7"/>
      <w:bookmarkEnd w:id="8"/>
      <w:bookmarkEnd w:id="9"/>
    </w:p>
    <w:p w:rsidR="006F2182" w:rsidRPr="00C41F2B" w:rsidRDefault="006F2182" w:rsidP="006F2182">
      <w:pPr>
        <w:pStyle w:val="3-BodyText"/>
      </w:pPr>
      <w:r w:rsidRPr="00C41F2B">
        <w:t xml:space="preserve">Olaparib was TGA registered on 21 June 2019 as monotherapy for the maintenance treatment of adult patients with newly diagnosed advanced BRCA-mutated high-grade epithelial ovarian, fallopian tube or primary peritoneal cancer who are in response (complete response or partial response) to </w:t>
      </w:r>
      <w:r w:rsidR="004F687F" w:rsidRPr="00C41F2B">
        <w:t>1L</w:t>
      </w:r>
      <w:r w:rsidRPr="00C41F2B">
        <w:t xml:space="preserve"> platinum-based chemotherapy.</w:t>
      </w:r>
      <w:r w:rsidR="00D737CC" w:rsidRPr="00C41F2B">
        <w:t xml:space="preserve"> Other regulatory agencies (e.g., FDA, EMA, </w:t>
      </w:r>
      <w:proofErr w:type="gramStart"/>
      <w:r w:rsidR="00D737CC" w:rsidRPr="00C41F2B">
        <w:t>PMDA</w:t>
      </w:r>
      <w:proofErr w:type="gramEnd"/>
      <w:r w:rsidR="00D737CC" w:rsidRPr="00C41F2B">
        <w:t>) have also approved this indication.</w:t>
      </w:r>
    </w:p>
    <w:p w:rsidR="00D737CC" w:rsidRPr="00C41F2B" w:rsidRDefault="00D737CC" w:rsidP="00D737CC">
      <w:pPr>
        <w:pStyle w:val="3-BodyText"/>
      </w:pPr>
      <w:r w:rsidRPr="00C41F2B">
        <w:t xml:space="preserve">In May 2020, the FDA expanded the indication of olaparib to include its combination with bevacizumab for </w:t>
      </w:r>
      <w:r w:rsidR="004F687F" w:rsidRPr="00C41F2B">
        <w:t>1L</w:t>
      </w:r>
      <w:r w:rsidRPr="00C41F2B">
        <w:t xml:space="preserve"> maintenance treatment of adult patients with advanced epithelial ovarian, fallopian tube, or primary peritoneal cancer who are in complete or partial response to </w:t>
      </w:r>
      <w:r w:rsidR="004F687F" w:rsidRPr="00C41F2B">
        <w:t>1L</w:t>
      </w:r>
      <w:r w:rsidRPr="00C41F2B">
        <w:t xml:space="preserve"> platinum-based chemotherapy and whose cancer is associated with homologous recombination deficiency (HRD)-positive status, defined by either a deleterious or suspected deleterious </w:t>
      </w:r>
      <w:r w:rsidRPr="00C41F2B">
        <w:rPr>
          <w:rStyle w:val="Emphasis"/>
        </w:rPr>
        <w:t>BRCA</w:t>
      </w:r>
      <w:r w:rsidRPr="00C41F2B">
        <w:t> mutation and/or genomic instability. This was based on the PAOLA-1 trial.</w:t>
      </w:r>
    </w:p>
    <w:p w:rsidR="006F2182" w:rsidRPr="00C41F2B" w:rsidRDefault="006F2182" w:rsidP="006F2182">
      <w:pPr>
        <w:pStyle w:val="4-SubsectionHeading"/>
      </w:pPr>
      <w:bookmarkStart w:id="10" w:name="_Toc22897639"/>
      <w:bookmarkStart w:id="11" w:name="_Toc38262912"/>
      <w:bookmarkStart w:id="12" w:name="_Toc38305865"/>
      <w:r w:rsidRPr="00C41F2B">
        <w:t>Previous PBAC consideration</w:t>
      </w:r>
      <w:bookmarkEnd w:id="10"/>
      <w:bookmarkEnd w:id="11"/>
      <w:bookmarkEnd w:id="12"/>
    </w:p>
    <w:p w:rsidR="006F2182" w:rsidRPr="00C41F2B" w:rsidRDefault="00F73B4E" w:rsidP="006F2182">
      <w:pPr>
        <w:pStyle w:val="3-BodyText"/>
      </w:pPr>
      <w:r w:rsidRPr="00C41F2B">
        <w:t>The</w:t>
      </w:r>
      <w:r w:rsidR="006F2182" w:rsidRPr="00C41F2B">
        <w:t xml:space="preserve"> previous submission was considered by the PBAC in November 2019, in which evidence of BRCAm was either derived from germline testing (Scenario 1) or tumour testing (Scenario 2). The PBAC previously noted concerns </w:t>
      </w:r>
      <w:r w:rsidR="0071779E" w:rsidRPr="00C41F2B">
        <w:t>regarding</w:t>
      </w:r>
      <w:r w:rsidR="006F2182" w:rsidRPr="00C41F2B">
        <w:t xml:space="preserve"> the immature </w:t>
      </w:r>
      <w:r w:rsidR="006A46F4" w:rsidRPr="00C41F2B">
        <w:t>overall survival (</w:t>
      </w:r>
      <w:r w:rsidR="006F2182" w:rsidRPr="00C41F2B">
        <w:t>OS</w:t>
      </w:r>
      <w:r w:rsidR="006A46F4" w:rsidRPr="00C41F2B">
        <w:t>)</w:t>
      </w:r>
      <w:r w:rsidR="006F2182" w:rsidRPr="00C41F2B">
        <w:t xml:space="preserve"> data in the key trial SOLO1, </w:t>
      </w:r>
      <w:r w:rsidR="00A4689A" w:rsidRPr="00C41F2B">
        <w:t xml:space="preserve">however, </w:t>
      </w:r>
      <w:r w:rsidR="006F2182" w:rsidRPr="00C41F2B">
        <w:t>no updated OS data were presented in the resubmission. The resubmission presented updated economic modelling and financial analysis.</w:t>
      </w:r>
    </w:p>
    <w:p w:rsidR="006F2182" w:rsidRPr="00C41F2B" w:rsidRDefault="006F2182" w:rsidP="006F2182">
      <w:pPr>
        <w:pStyle w:val="3-BodyText"/>
      </w:pPr>
      <w:r w:rsidRPr="00C41F2B">
        <w:t>The key matters from the previous PBAC considerations and how the resubmission addressed these concerns are summarised below.</w:t>
      </w:r>
    </w:p>
    <w:p w:rsidR="00BF2F47" w:rsidRPr="00C41F2B" w:rsidRDefault="00BF2F47" w:rsidP="006C4B81">
      <w:pPr>
        <w:pStyle w:val="TableFigureHeading"/>
      </w:pPr>
      <w:r w:rsidRPr="00C41F2B">
        <w:t xml:space="preserve">Table </w:t>
      </w:r>
      <w:r w:rsidR="00A0380C">
        <w:rPr>
          <w:noProof/>
        </w:rPr>
        <w:t>2</w:t>
      </w:r>
      <w:r w:rsidRPr="00C41F2B">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01"/>
        <w:gridCol w:w="3636"/>
      </w:tblGrid>
      <w:tr w:rsidR="005C25FF" w:rsidRPr="00C41F2B" w:rsidTr="00BD64C1">
        <w:trPr>
          <w:cantSplit/>
          <w:tblHeader/>
        </w:trPr>
        <w:tc>
          <w:tcPr>
            <w:tcW w:w="1098" w:type="pct"/>
            <w:vAlign w:val="center"/>
          </w:tcPr>
          <w:p w:rsidR="005C25FF" w:rsidRPr="00C41F2B" w:rsidRDefault="005C25FF" w:rsidP="00BF2F47">
            <w:pPr>
              <w:pStyle w:val="In-tableHeading"/>
              <w:keepNext w:val="0"/>
              <w:widowControl w:val="0"/>
              <w:rPr>
                <w:lang w:val="en-AU"/>
              </w:rPr>
            </w:pPr>
            <w:r w:rsidRPr="00C41F2B">
              <w:rPr>
                <w:lang w:val="en-AU"/>
              </w:rPr>
              <w:t>Component</w:t>
            </w:r>
          </w:p>
        </w:tc>
        <w:tc>
          <w:tcPr>
            <w:tcW w:w="1886" w:type="pct"/>
            <w:vAlign w:val="center"/>
          </w:tcPr>
          <w:p w:rsidR="005C25FF" w:rsidRPr="00C41F2B" w:rsidRDefault="005C25FF" w:rsidP="00BF2F47">
            <w:pPr>
              <w:pStyle w:val="In-tableHeading"/>
              <w:keepNext w:val="0"/>
              <w:widowControl w:val="0"/>
              <w:rPr>
                <w:lang w:val="en-AU"/>
              </w:rPr>
            </w:pPr>
            <w:r w:rsidRPr="00C41F2B">
              <w:rPr>
                <w:lang w:val="en-AU"/>
              </w:rPr>
              <w:t>Matter of concern</w:t>
            </w:r>
          </w:p>
        </w:tc>
        <w:tc>
          <w:tcPr>
            <w:tcW w:w="2016" w:type="pct"/>
            <w:vAlign w:val="center"/>
          </w:tcPr>
          <w:p w:rsidR="005C25FF" w:rsidRPr="00C41F2B" w:rsidRDefault="005C25FF" w:rsidP="00BF2F47">
            <w:pPr>
              <w:pStyle w:val="In-tableHeading"/>
              <w:keepNext w:val="0"/>
              <w:widowControl w:val="0"/>
              <w:rPr>
                <w:lang w:val="en-AU"/>
              </w:rPr>
            </w:pPr>
            <w:r w:rsidRPr="00C41F2B">
              <w:rPr>
                <w:lang w:val="en-AU"/>
              </w:rPr>
              <w:t>How the resubmission addresses it</w:t>
            </w:r>
          </w:p>
        </w:tc>
      </w:tr>
      <w:tr w:rsidR="00E66BA3" w:rsidRPr="00C41F2B" w:rsidTr="002C1CB6">
        <w:trPr>
          <w:cantSplit/>
        </w:trPr>
        <w:tc>
          <w:tcPr>
            <w:tcW w:w="1098" w:type="pct"/>
          </w:tcPr>
          <w:p w:rsidR="00E66BA3" w:rsidRPr="00C41F2B" w:rsidRDefault="00E66BA3" w:rsidP="00E66BA3">
            <w:pPr>
              <w:pStyle w:val="TableText0"/>
              <w:keepNext w:val="0"/>
              <w:widowControl w:val="0"/>
              <w:rPr>
                <w:szCs w:val="20"/>
              </w:rPr>
            </w:pPr>
            <w:r w:rsidRPr="00C41F2B">
              <w:rPr>
                <w:szCs w:val="20"/>
              </w:rPr>
              <w:t>Duration of treatment</w:t>
            </w:r>
          </w:p>
        </w:tc>
        <w:tc>
          <w:tcPr>
            <w:tcW w:w="1886" w:type="pct"/>
          </w:tcPr>
          <w:p w:rsidR="00E66BA3" w:rsidRPr="00C41F2B" w:rsidRDefault="00E66BA3" w:rsidP="00E66BA3">
            <w:pPr>
              <w:pStyle w:val="TableText0"/>
              <w:keepNext w:val="0"/>
              <w:widowControl w:val="0"/>
              <w:rPr>
                <w:szCs w:val="20"/>
              </w:rPr>
            </w:pPr>
            <w:r w:rsidRPr="00C41F2B">
              <w:rPr>
                <w:rFonts w:eastAsia="Times New Roman" w:cs="Arial"/>
                <w:bCs w:val="0"/>
                <w:snapToGrid w:val="0"/>
                <w:szCs w:val="20"/>
              </w:rPr>
              <w:t>Paragraph 2.3 advised for a patient to be able to receive a maximum of 24 months of treatment (1 initial and 4 continuing scripts)</w:t>
            </w:r>
          </w:p>
        </w:tc>
        <w:tc>
          <w:tcPr>
            <w:tcW w:w="2016" w:type="pct"/>
          </w:tcPr>
          <w:p w:rsidR="00E66BA3" w:rsidRPr="00C41F2B" w:rsidRDefault="00E66BA3" w:rsidP="002C1CB6">
            <w:pPr>
              <w:pStyle w:val="TableText0"/>
              <w:keepNext w:val="0"/>
              <w:widowControl w:val="0"/>
              <w:rPr>
                <w:szCs w:val="20"/>
              </w:rPr>
            </w:pPr>
            <w:r w:rsidRPr="00C41F2B">
              <w:rPr>
                <w:szCs w:val="20"/>
              </w:rPr>
              <w:t>Addressed.</w:t>
            </w:r>
          </w:p>
          <w:p w:rsidR="00E66BA3" w:rsidRPr="00C41F2B" w:rsidRDefault="00E66BA3" w:rsidP="002C1CB6">
            <w:pPr>
              <w:pStyle w:val="TableText0"/>
              <w:keepNext w:val="0"/>
              <w:widowControl w:val="0"/>
              <w:rPr>
                <w:szCs w:val="20"/>
              </w:rPr>
            </w:pPr>
            <w:r w:rsidRPr="00C41F2B">
              <w:rPr>
                <w:szCs w:val="20"/>
              </w:rPr>
              <w:t>Proposed PBS listing updated accordingly.</w:t>
            </w:r>
          </w:p>
        </w:tc>
      </w:tr>
      <w:tr w:rsidR="00E66BA3" w:rsidRPr="00C41F2B" w:rsidTr="00BD64C1">
        <w:trPr>
          <w:cantSplit/>
        </w:trPr>
        <w:tc>
          <w:tcPr>
            <w:tcW w:w="1098" w:type="pct"/>
          </w:tcPr>
          <w:p w:rsidR="00E66BA3" w:rsidRPr="00C41F2B" w:rsidRDefault="00E66BA3" w:rsidP="00E66BA3">
            <w:pPr>
              <w:pStyle w:val="TableText0"/>
              <w:keepNext w:val="0"/>
              <w:widowControl w:val="0"/>
              <w:rPr>
                <w:szCs w:val="20"/>
              </w:rPr>
            </w:pPr>
            <w:r w:rsidRPr="00C41F2B">
              <w:rPr>
                <w:szCs w:val="20"/>
              </w:rPr>
              <w:t>Quality of life</w:t>
            </w:r>
          </w:p>
        </w:tc>
        <w:tc>
          <w:tcPr>
            <w:tcW w:w="1886" w:type="pct"/>
          </w:tcPr>
          <w:p w:rsidR="00E66BA3" w:rsidRPr="00C41F2B" w:rsidRDefault="00E66BA3" w:rsidP="00E66BA3">
            <w:pPr>
              <w:pStyle w:val="TableText0"/>
              <w:keepNext w:val="0"/>
              <w:widowControl w:val="0"/>
              <w:rPr>
                <w:rFonts w:eastAsia="Times New Roman" w:cs="Arial"/>
                <w:bCs w:val="0"/>
                <w:snapToGrid w:val="0"/>
                <w:szCs w:val="20"/>
              </w:rPr>
            </w:pPr>
            <w:r w:rsidRPr="00C41F2B">
              <w:rPr>
                <w:rFonts w:eastAsia="Times New Roman" w:cs="Arial"/>
                <w:bCs w:val="0"/>
                <w:snapToGrid w:val="0"/>
                <w:szCs w:val="20"/>
              </w:rPr>
              <w:t>Paragraph 6.21, the PBAC noted no responder analysis was performed on the Functional Assessment of Cancer Therapy – Ovarian (FACT-O) questionnaire. Reasons for non-response were not provided.</w:t>
            </w:r>
          </w:p>
          <w:p w:rsidR="00E66BA3" w:rsidRPr="00C41F2B" w:rsidRDefault="00E66BA3" w:rsidP="00E66BA3">
            <w:pPr>
              <w:pStyle w:val="TableText0"/>
              <w:keepNext w:val="0"/>
              <w:widowControl w:val="0"/>
              <w:rPr>
                <w:rFonts w:eastAsia="Times New Roman" w:cs="Arial"/>
                <w:bCs w:val="0"/>
                <w:snapToGrid w:val="0"/>
                <w:szCs w:val="20"/>
              </w:rPr>
            </w:pPr>
            <w:r w:rsidRPr="00C41F2B">
              <w:rPr>
                <w:rFonts w:eastAsia="Times New Roman" w:cs="Arial"/>
                <w:bCs w:val="0"/>
                <w:snapToGrid w:val="0"/>
                <w:szCs w:val="20"/>
              </w:rPr>
              <w:t>Paragraph 6.36, the PBAC noted quality adjusted PFS data, but it was unevaluated at this time.</w:t>
            </w:r>
          </w:p>
        </w:tc>
        <w:tc>
          <w:tcPr>
            <w:tcW w:w="2016" w:type="pct"/>
            <w:vAlign w:val="center"/>
          </w:tcPr>
          <w:p w:rsidR="00E66BA3" w:rsidRPr="00C41F2B" w:rsidRDefault="00E66BA3" w:rsidP="0071779E">
            <w:pPr>
              <w:pStyle w:val="TableText0"/>
              <w:keepNext w:val="0"/>
              <w:widowControl w:val="0"/>
              <w:rPr>
                <w:szCs w:val="20"/>
              </w:rPr>
            </w:pPr>
            <w:r w:rsidRPr="00C41F2B">
              <w:rPr>
                <w:szCs w:val="20"/>
              </w:rPr>
              <w:t xml:space="preserve">Not adequately addressed; the resubmission claimed that the quality of life of patients in the olaparib arm was non-inferior to that of patients in the placebo arm of SOLO1, based on Quality Adjusted PFS, and time without symptoms of disease progression or toxicity, and time until subsequent therapy data. These data </w:t>
            </w:r>
            <w:r w:rsidR="0071779E" w:rsidRPr="00C41F2B">
              <w:rPr>
                <w:szCs w:val="20"/>
              </w:rPr>
              <w:t>did not support</w:t>
            </w:r>
            <w:r w:rsidRPr="00C41F2B">
              <w:rPr>
                <w:szCs w:val="20"/>
              </w:rPr>
              <w:t xml:space="preserve"> the conclusion drawn by the resubmission. </w:t>
            </w:r>
          </w:p>
        </w:tc>
      </w:tr>
      <w:tr w:rsidR="00E66BA3" w:rsidRPr="00C41F2B" w:rsidTr="002C1CB6">
        <w:trPr>
          <w:cantSplit/>
        </w:trPr>
        <w:tc>
          <w:tcPr>
            <w:tcW w:w="1098" w:type="pct"/>
          </w:tcPr>
          <w:p w:rsidR="00E66BA3" w:rsidRPr="00C41F2B" w:rsidRDefault="00E66BA3" w:rsidP="00E66BA3">
            <w:pPr>
              <w:pStyle w:val="TableText0"/>
              <w:keepNext w:val="0"/>
              <w:widowControl w:val="0"/>
              <w:rPr>
                <w:szCs w:val="20"/>
              </w:rPr>
            </w:pPr>
            <w:r w:rsidRPr="00C41F2B">
              <w:rPr>
                <w:szCs w:val="20"/>
              </w:rPr>
              <w:t>Selection of comparator</w:t>
            </w:r>
          </w:p>
        </w:tc>
        <w:tc>
          <w:tcPr>
            <w:tcW w:w="1886" w:type="pct"/>
          </w:tcPr>
          <w:p w:rsidR="00E66BA3" w:rsidRPr="00C41F2B" w:rsidRDefault="00E66BA3" w:rsidP="00E66BA3">
            <w:pPr>
              <w:pStyle w:val="TableText0"/>
              <w:keepNext w:val="0"/>
              <w:widowControl w:val="0"/>
              <w:rPr>
                <w:rFonts w:eastAsia="Times New Roman" w:cs="Arial"/>
                <w:bCs w:val="0"/>
                <w:snapToGrid w:val="0"/>
                <w:szCs w:val="20"/>
              </w:rPr>
            </w:pPr>
            <w:r w:rsidRPr="00C41F2B">
              <w:rPr>
                <w:rFonts w:eastAsia="Times New Roman" w:cs="Arial"/>
                <w:bCs w:val="0"/>
                <w:snapToGrid w:val="0"/>
                <w:szCs w:val="20"/>
              </w:rPr>
              <w:t>Paragraph 5.5</w:t>
            </w:r>
          </w:p>
          <w:p w:rsidR="00E66BA3" w:rsidRDefault="00E66BA3" w:rsidP="00E66BA3">
            <w:pPr>
              <w:pStyle w:val="TableText0"/>
              <w:keepNext w:val="0"/>
              <w:widowControl w:val="0"/>
              <w:rPr>
                <w:rFonts w:eastAsia="Times New Roman" w:cs="Arial"/>
                <w:bCs w:val="0"/>
                <w:snapToGrid w:val="0"/>
                <w:szCs w:val="20"/>
              </w:rPr>
            </w:pPr>
            <w:r w:rsidRPr="00C41F2B">
              <w:rPr>
                <w:rFonts w:eastAsia="Times New Roman" w:cs="Arial"/>
                <w:bCs w:val="0"/>
                <w:snapToGrid w:val="0"/>
                <w:szCs w:val="20"/>
              </w:rPr>
              <w:t xml:space="preserve">The PBAC considered bevacizumab to be an appropriate comparator in the subgroup of patients with sub-optimally </w:t>
            </w:r>
            <w:proofErr w:type="spellStart"/>
            <w:r w:rsidRPr="00C41F2B">
              <w:rPr>
                <w:rFonts w:eastAsia="Times New Roman" w:cs="Arial"/>
                <w:bCs w:val="0"/>
                <w:snapToGrid w:val="0"/>
                <w:szCs w:val="20"/>
              </w:rPr>
              <w:t>debulked</w:t>
            </w:r>
            <w:proofErr w:type="spellEnd"/>
            <w:r w:rsidRPr="00C41F2B">
              <w:rPr>
                <w:rFonts w:eastAsia="Times New Roman" w:cs="Arial"/>
                <w:bCs w:val="0"/>
                <w:snapToGrid w:val="0"/>
                <w:szCs w:val="20"/>
              </w:rPr>
              <w:t xml:space="preserve"> stage 3 cancer.</w:t>
            </w:r>
          </w:p>
          <w:p w:rsidR="00453C72" w:rsidRDefault="00453C72" w:rsidP="00E66BA3">
            <w:pPr>
              <w:pStyle w:val="TableText0"/>
              <w:keepNext w:val="0"/>
              <w:widowControl w:val="0"/>
              <w:rPr>
                <w:rFonts w:eastAsia="Times New Roman" w:cs="Arial"/>
                <w:bCs w:val="0"/>
                <w:snapToGrid w:val="0"/>
                <w:szCs w:val="20"/>
              </w:rPr>
            </w:pPr>
          </w:p>
          <w:p w:rsidR="00453C72" w:rsidRPr="00C41F2B" w:rsidRDefault="00453C72" w:rsidP="00E66BA3">
            <w:pPr>
              <w:pStyle w:val="TableText0"/>
              <w:keepNext w:val="0"/>
              <w:widowControl w:val="0"/>
              <w:rPr>
                <w:rFonts w:eastAsia="Times New Roman" w:cs="Arial"/>
                <w:bCs w:val="0"/>
                <w:snapToGrid w:val="0"/>
                <w:szCs w:val="20"/>
              </w:rPr>
            </w:pPr>
          </w:p>
        </w:tc>
        <w:tc>
          <w:tcPr>
            <w:tcW w:w="2016" w:type="pct"/>
          </w:tcPr>
          <w:p w:rsidR="00E66BA3" w:rsidRPr="00C41F2B" w:rsidRDefault="00E66BA3" w:rsidP="002C1CB6">
            <w:pPr>
              <w:pStyle w:val="TableText0"/>
              <w:keepNext w:val="0"/>
              <w:widowControl w:val="0"/>
              <w:rPr>
                <w:szCs w:val="20"/>
              </w:rPr>
            </w:pPr>
            <w:r w:rsidRPr="00C41F2B">
              <w:rPr>
                <w:szCs w:val="20"/>
              </w:rPr>
              <w:t>Partially addressed</w:t>
            </w:r>
          </w:p>
          <w:p w:rsidR="00E66BA3" w:rsidRPr="00C41F2B" w:rsidRDefault="00E66BA3" w:rsidP="002C1CB6">
            <w:pPr>
              <w:pStyle w:val="TableText0"/>
              <w:keepNext w:val="0"/>
              <w:widowControl w:val="0"/>
              <w:rPr>
                <w:szCs w:val="20"/>
              </w:rPr>
            </w:pPr>
            <w:r w:rsidRPr="00C41F2B">
              <w:rPr>
                <w:szCs w:val="20"/>
              </w:rPr>
              <w:t>A qualitative analysis was provided using data from trials comparing efficacy of bevacizumab to results of SOLO1.</w:t>
            </w:r>
          </w:p>
        </w:tc>
      </w:tr>
      <w:tr w:rsidR="005C25FF" w:rsidRPr="00C41F2B" w:rsidTr="003A44DB">
        <w:trPr>
          <w:cantSplit/>
        </w:trPr>
        <w:tc>
          <w:tcPr>
            <w:tcW w:w="5000" w:type="pct"/>
            <w:gridSpan w:val="3"/>
            <w:vAlign w:val="center"/>
          </w:tcPr>
          <w:p w:rsidR="005C25FF" w:rsidRPr="00C41F2B" w:rsidRDefault="001D2610" w:rsidP="00BF2F47">
            <w:pPr>
              <w:pStyle w:val="TableText0"/>
              <w:keepNext w:val="0"/>
              <w:widowControl w:val="0"/>
              <w:rPr>
                <w:b/>
                <w:bCs w:val="0"/>
                <w:szCs w:val="20"/>
              </w:rPr>
            </w:pPr>
            <w:r w:rsidRPr="00C41F2B">
              <w:rPr>
                <w:b/>
                <w:bCs w:val="0"/>
                <w:szCs w:val="20"/>
              </w:rPr>
              <w:lastRenderedPageBreak/>
              <w:t>Economics</w:t>
            </w:r>
            <w:r w:rsidR="005C25FF" w:rsidRPr="00C41F2B">
              <w:rPr>
                <w:b/>
                <w:bCs w:val="0"/>
                <w:szCs w:val="20"/>
              </w:rPr>
              <w:t xml:space="preserve"> </w:t>
            </w:r>
          </w:p>
        </w:tc>
      </w:tr>
      <w:tr w:rsidR="005C25FF" w:rsidRPr="00C41F2B" w:rsidTr="00BD64C1">
        <w:trPr>
          <w:cantSplit/>
        </w:trPr>
        <w:tc>
          <w:tcPr>
            <w:tcW w:w="1098" w:type="pct"/>
            <w:vAlign w:val="center"/>
          </w:tcPr>
          <w:p w:rsidR="005C25FF" w:rsidRPr="00C41F2B" w:rsidRDefault="00B73642" w:rsidP="00BF2F47">
            <w:pPr>
              <w:pStyle w:val="TableText0"/>
              <w:keepNext w:val="0"/>
              <w:widowControl w:val="0"/>
              <w:rPr>
                <w:szCs w:val="20"/>
              </w:rPr>
            </w:pPr>
            <w:r w:rsidRPr="00C41F2B">
              <w:rPr>
                <w:szCs w:val="20"/>
              </w:rPr>
              <w:t>Model structur</w:t>
            </w:r>
            <w:r w:rsidR="0036118E" w:rsidRPr="00C41F2B">
              <w:rPr>
                <w:szCs w:val="20"/>
              </w:rPr>
              <w:t>e and surrogacy of PFS for OS</w:t>
            </w:r>
          </w:p>
        </w:tc>
        <w:tc>
          <w:tcPr>
            <w:tcW w:w="1886" w:type="pct"/>
          </w:tcPr>
          <w:p w:rsidR="005C25FF" w:rsidRPr="00C41F2B" w:rsidRDefault="00B73642" w:rsidP="00BF2F47">
            <w:pPr>
              <w:pStyle w:val="TableText0"/>
              <w:keepNext w:val="0"/>
              <w:widowControl w:val="0"/>
              <w:rPr>
                <w:szCs w:val="20"/>
              </w:rPr>
            </w:pPr>
            <w:r w:rsidRPr="00C41F2B">
              <w:rPr>
                <w:szCs w:val="20"/>
              </w:rPr>
              <w:t>Paragraph 7.16</w:t>
            </w:r>
            <w:r w:rsidR="0036118E" w:rsidRPr="00C41F2B">
              <w:rPr>
                <w:szCs w:val="20"/>
              </w:rPr>
              <w:t>, 7.17</w:t>
            </w:r>
            <w:r w:rsidR="00D4749B" w:rsidRPr="00C41F2B">
              <w:rPr>
                <w:szCs w:val="20"/>
              </w:rPr>
              <w:t xml:space="preserve"> and 7.25</w:t>
            </w:r>
          </w:p>
          <w:p w:rsidR="00B73642" w:rsidRPr="00C41F2B" w:rsidRDefault="00B73642" w:rsidP="00BF2F47">
            <w:pPr>
              <w:pStyle w:val="TableText0"/>
              <w:keepNext w:val="0"/>
              <w:widowControl w:val="0"/>
              <w:rPr>
                <w:szCs w:val="20"/>
              </w:rPr>
            </w:pPr>
            <w:r w:rsidRPr="00C41F2B">
              <w:rPr>
                <w:szCs w:val="20"/>
              </w:rPr>
              <w:t xml:space="preserve">The PBAC agreed with the Commentary that the model structure appeared to be unnecessarily complex, which contributed to uncertainty in the modelled outcomes; a more usual approach, such as a partitioned survival analysis may be been more appropriate. </w:t>
            </w:r>
          </w:p>
          <w:p w:rsidR="0036118E" w:rsidRPr="00C41F2B" w:rsidRDefault="0036118E" w:rsidP="00BF2F47">
            <w:pPr>
              <w:pStyle w:val="TableText0"/>
              <w:keepNext w:val="0"/>
              <w:widowControl w:val="0"/>
              <w:rPr>
                <w:szCs w:val="20"/>
              </w:rPr>
            </w:pPr>
            <w:r w:rsidRPr="00C41F2B">
              <w:rPr>
                <w:rFonts w:eastAsia="Times New Roman" w:cs="Arial"/>
                <w:bCs w:val="0"/>
                <w:snapToGrid w:val="0"/>
                <w:color w:val="000000" w:themeColor="text1"/>
                <w:szCs w:val="20"/>
              </w:rPr>
              <w:t>The PBAC noted that an OS benefit modelled was not supported by the clinical data currently available. The PBAC agreed with ESC that it was inappropriate to use PFS2 as a surrogate for OS, as no clinical evidence was presented to support the translation of second progression to OS, and the approach was highly favourable to olaparib.</w:t>
            </w:r>
          </w:p>
        </w:tc>
        <w:tc>
          <w:tcPr>
            <w:tcW w:w="2016" w:type="pct"/>
          </w:tcPr>
          <w:p w:rsidR="008234C6" w:rsidRPr="00C41F2B" w:rsidRDefault="008234C6"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Not adequately addressed. </w:t>
            </w:r>
          </w:p>
          <w:p w:rsidR="008234C6" w:rsidRPr="00C41F2B" w:rsidRDefault="008234C6" w:rsidP="00BF2F47">
            <w:pPr>
              <w:pStyle w:val="TableText0"/>
              <w:keepNext w:val="0"/>
              <w:widowControl w:val="0"/>
              <w:rPr>
                <w:rFonts w:eastAsia="Times New Roman" w:cs="Arial"/>
                <w:bCs w:val="0"/>
                <w:iCs/>
                <w:snapToGrid w:val="0"/>
                <w:color w:val="000000" w:themeColor="text1"/>
                <w:szCs w:val="20"/>
              </w:rPr>
            </w:pPr>
          </w:p>
          <w:p w:rsidR="005C25FF" w:rsidRPr="00C41F2B" w:rsidRDefault="008234C6"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The model structure remained </w:t>
            </w:r>
            <w:r w:rsidR="0036118E" w:rsidRPr="00C41F2B">
              <w:rPr>
                <w:rFonts w:eastAsia="Times New Roman" w:cs="Arial"/>
                <w:bCs w:val="0"/>
                <w:iCs/>
                <w:snapToGrid w:val="0"/>
                <w:color w:val="000000" w:themeColor="text1"/>
                <w:szCs w:val="20"/>
              </w:rPr>
              <w:t xml:space="preserve">largely </w:t>
            </w:r>
            <w:r w:rsidRPr="00C41F2B">
              <w:rPr>
                <w:rFonts w:eastAsia="Times New Roman" w:cs="Arial"/>
                <w:bCs w:val="0"/>
                <w:iCs/>
                <w:snapToGrid w:val="0"/>
                <w:color w:val="000000" w:themeColor="text1"/>
                <w:szCs w:val="20"/>
              </w:rPr>
              <w:t xml:space="preserve">unchanged from the previous submission. The resubmission stated that this structure was required given the </w:t>
            </w:r>
            <w:r w:rsidR="00406BDB" w:rsidRPr="00C41F2B">
              <w:rPr>
                <w:rFonts w:eastAsia="Times New Roman" w:cs="Arial"/>
                <w:bCs w:val="0"/>
                <w:iCs/>
                <w:snapToGrid w:val="0"/>
                <w:color w:val="000000" w:themeColor="text1"/>
                <w:szCs w:val="20"/>
              </w:rPr>
              <w:t xml:space="preserve">immaturity of the OS data from SOLO1. </w:t>
            </w:r>
            <w:r w:rsidR="00E51CC3" w:rsidRPr="00C41F2B">
              <w:rPr>
                <w:rFonts w:eastAsia="Times New Roman" w:cs="Arial"/>
                <w:bCs w:val="0"/>
                <w:iCs/>
                <w:snapToGrid w:val="0"/>
                <w:color w:val="000000" w:themeColor="text1"/>
                <w:szCs w:val="20"/>
              </w:rPr>
              <w:t>M</w:t>
            </w:r>
            <w:r w:rsidR="00A42703" w:rsidRPr="00C41F2B">
              <w:rPr>
                <w:rFonts w:eastAsia="Times New Roman" w:cs="Arial"/>
                <w:bCs w:val="0"/>
                <w:iCs/>
                <w:snapToGrid w:val="0"/>
                <w:color w:val="000000" w:themeColor="text1"/>
                <w:szCs w:val="20"/>
              </w:rPr>
              <w:t xml:space="preserve">ultiple data sources </w:t>
            </w:r>
            <w:r w:rsidR="00E51CC3" w:rsidRPr="00C41F2B">
              <w:rPr>
                <w:rFonts w:eastAsia="Times New Roman" w:cs="Arial"/>
                <w:bCs w:val="0"/>
                <w:iCs/>
                <w:snapToGrid w:val="0"/>
                <w:color w:val="000000" w:themeColor="text1"/>
                <w:szCs w:val="20"/>
              </w:rPr>
              <w:t xml:space="preserve">were used </w:t>
            </w:r>
            <w:r w:rsidR="00A42703" w:rsidRPr="00C41F2B">
              <w:rPr>
                <w:rFonts w:eastAsia="Times New Roman" w:cs="Arial"/>
                <w:bCs w:val="0"/>
                <w:iCs/>
                <w:snapToGrid w:val="0"/>
                <w:color w:val="000000" w:themeColor="text1"/>
                <w:szCs w:val="20"/>
              </w:rPr>
              <w:t>to estimate PFS2 and OS from PFS1</w:t>
            </w:r>
            <w:r w:rsidR="00C41F2B">
              <w:rPr>
                <w:rFonts w:eastAsia="Times New Roman" w:cs="Arial"/>
                <w:bCs w:val="0"/>
                <w:iCs/>
                <w:snapToGrid w:val="0"/>
                <w:color w:val="000000" w:themeColor="text1"/>
                <w:szCs w:val="20"/>
              </w:rPr>
              <w:t xml:space="preserve">. </w:t>
            </w:r>
          </w:p>
          <w:p w:rsidR="0036118E" w:rsidRPr="00C41F2B" w:rsidRDefault="0036118E" w:rsidP="00BF2F47">
            <w:pPr>
              <w:pStyle w:val="TableText0"/>
              <w:keepNext w:val="0"/>
              <w:widowControl w:val="0"/>
              <w:rPr>
                <w:rFonts w:eastAsia="Times New Roman" w:cs="Arial"/>
                <w:bCs w:val="0"/>
                <w:iCs/>
                <w:snapToGrid w:val="0"/>
                <w:color w:val="000000" w:themeColor="text1"/>
                <w:szCs w:val="20"/>
              </w:rPr>
            </w:pPr>
          </w:p>
          <w:p w:rsidR="0036118E" w:rsidRPr="00C41F2B" w:rsidRDefault="0036118E" w:rsidP="0071779E">
            <w:pPr>
              <w:widowControl w:val="0"/>
              <w:rPr>
                <w:rFonts w:ascii="Arial Narrow" w:hAnsi="Arial Narrow"/>
                <w:iCs/>
                <w:snapToGrid w:val="0"/>
                <w:color w:val="000000" w:themeColor="text1"/>
                <w:sz w:val="20"/>
                <w:szCs w:val="20"/>
              </w:rPr>
            </w:pPr>
            <w:r w:rsidRPr="00C41F2B">
              <w:rPr>
                <w:rFonts w:ascii="Arial Narrow" w:hAnsi="Arial Narrow"/>
                <w:iCs/>
                <w:snapToGrid w:val="0"/>
                <w:color w:val="000000" w:themeColor="text1"/>
                <w:sz w:val="20"/>
                <w:szCs w:val="20"/>
              </w:rPr>
              <w:t xml:space="preserve">The resubmission </w:t>
            </w:r>
            <w:r w:rsidR="0071779E" w:rsidRPr="00C41F2B">
              <w:rPr>
                <w:rFonts w:ascii="Arial Narrow" w:hAnsi="Arial Narrow"/>
                <w:iCs/>
                <w:snapToGrid w:val="0"/>
                <w:color w:val="000000" w:themeColor="text1"/>
                <w:sz w:val="20"/>
                <w:szCs w:val="20"/>
              </w:rPr>
              <w:t>did not</w:t>
            </w:r>
            <w:r w:rsidRPr="00C41F2B">
              <w:rPr>
                <w:rFonts w:ascii="Arial Narrow" w:hAnsi="Arial Narrow"/>
                <w:iCs/>
                <w:snapToGrid w:val="0"/>
                <w:color w:val="000000" w:themeColor="text1"/>
                <w:sz w:val="20"/>
                <w:szCs w:val="20"/>
              </w:rPr>
              <w:t xml:space="preserve"> provide a translation study </w:t>
            </w:r>
            <w:r w:rsidR="0071779E" w:rsidRPr="00C41F2B">
              <w:rPr>
                <w:rFonts w:ascii="Arial Narrow" w:hAnsi="Arial Narrow"/>
                <w:iCs/>
                <w:snapToGrid w:val="0"/>
                <w:color w:val="000000" w:themeColor="text1"/>
                <w:sz w:val="20"/>
                <w:szCs w:val="20"/>
              </w:rPr>
              <w:t>using the</w:t>
            </w:r>
            <w:r w:rsidRPr="00C41F2B">
              <w:rPr>
                <w:rFonts w:ascii="Arial Narrow" w:hAnsi="Arial Narrow"/>
                <w:iCs/>
                <w:snapToGrid w:val="0"/>
                <w:color w:val="000000" w:themeColor="text1"/>
                <w:sz w:val="20"/>
                <w:szCs w:val="20"/>
              </w:rPr>
              <w:t xml:space="preserve"> framework in Appendix 5 of the PBAC guidelines, for assessing a proposed surrogate measure if the transformation of a change in a proposed surrogate measure (PFS) predicts a change in a target clinical outcome (OS). </w:t>
            </w:r>
          </w:p>
        </w:tc>
      </w:tr>
      <w:tr w:rsidR="003A5C3D" w:rsidRPr="00C41F2B" w:rsidTr="00BD64C1">
        <w:trPr>
          <w:cantSplit/>
          <w:trHeight w:val="83"/>
        </w:trPr>
        <w:tc>
          <w:tcPr>
            <w:tcW w:w="1098" w:type="pct"/>
            <w:vAlign w:val="center"/>
          </w:tcPr>
          <w:p w:rsidR="003A5C3D" w:rsidRPr="00C41F2B" w:rsidRDefault="003A5C3D" w:rsidP="00BF2F47">
            <w:pPr>
              <w:pStyle w:val="TableText0"/>
              <w:keepNext w:val="0"/>
              <w:widowControl w:val="0"/>
              <w:rPr>
                <w:color w:val="000000" w:themeColor="text1"/>
                <w:szCs w:val="20"/>
              </w:rPr>
            </w:pPr>
            <w:r w:rsidRPr="00C41F2B">
              <w:rPr>
                <w:color w:val="000000" w:themeColor="text1"/>
                <w:szCs w:val="20"/>
              </w:rPr>
              <w:t>Extent of OS benefit</w:t>
            </w:r>
          </w:p>
        </w:tc>
        <w:tc>
          <w:tcPr>
            <w:tcW w:w="1886" w:type="pct"/>
          </w:tcPr>
          <w:p w:rsidR="003A5C3D" w:rsidRPr="00C41F2B" w:rsidRDefault="003A5C3D" w:rsidP="00BF2F47">
            <w:pPr>
              <w:pStyle w:val="TableText0"/>
              <w:keepNext w:val="0"/>
              <w:widowControl w:val="0"/>
              <w:rPr>
                <w:rFonts w:eastAsia="Times New Roman" w:cs="Arial"/>
                <w:bCs w:val="0"/>
                <w:snapToGrid w:val="0"/>
                <w:color w:val="000000" w:themeColor="text1"/>
                <w:szCs w:val="20"/>
              </w:rPr>
            </w:pPr>
            <w:r w:rsidRPr="00C41F2B">
              <w:rPr>
                <w:rFonts w:eastAsia="Times New Roman" w:cs="Arial"/>
                <w:bCs w:val="0"/>
                <w:snapToGrid w:val="0"/>
                <w:color w:val="000000" w:themeColor="text1"/>
                <w:szCs w:val="20"/>
              </w:rPr>
              <w:t>Paragraph 7.19</w:t>
            </w:r>
            <w:r w:rsidR="007E4185" w:rsidRPr="00C41F2B">
              <w:rPr>
                <w:rFonts w:eastAsia="Times New Roman" w:cs="Arial"/>
                <w:bCs w:val="0"/>
                <w:snapToGrid w:val="0"/>
                <w:color w:val="000000" w:themeColor="text1"/>
                <w:szCs w:val="20"/>
              </w:rPr>
              <w:t xml:space="preserve"> and 7.25</w:t>
            </w:r>
          </w:p>
          <w:p w:rsidR="003A5C3D" w:rsidRPr="00C41F2B" w:rsidRDefault="003A5C3D" w:rsidP="00BF2F47">
            <w:pPr>
              <w:pStyle w:val="TableText0"/>
              <w:keepNext w:val="0"/>
              <w:widowControl w:val="0"/>
              <w:rPr>
                <w:rFonts w:eastAsia="Times New Roman" w:cs="Arial"/>
                <w:bCs w:val="0"/>
                <w:snapToGrid w:val="0"/>
                <w:color w:val="000000" w:themeColor="text1"/>
                <w:szCs w:val="20"/>
              </w:rPr>
            </w:pPr>
            <w:r w:rsidRPr="00C41F2B">
              <w:rPr>
                <w:rFonts w:eastAsia="Times New Roman" w:cs="Arial"/>
                <w:bCs w:val="0"/>
                <w:snapToGrid w:val="0"/>
                <w:color w:val="000000" w:themeColor="text1"/>
                <w:szCs w:val="20"/>
              </w:rPr>
              <w:t xml:space="preserve">The PBAC considered it would be reasonable for the model to include an OS benefit, consistent with Study 19, for the proportion of patients for whom it is reasonable to accept that olaparib would not have been given in the </w:t>
            </w:r>
            <w:r w:rsidR="004F687F" w:rsidRPr="00C41F2B">
              <w:rPr>
                <w:rFonts w:eastAsia="Times New Roman" w:cs="Arial"/>
                <w:bCs w:val="0"/>
                <w:snapToGrid w:val="0"/>
                <w:color w:val="000000" w:themeColor="text1"/>
                <w:szCs w:val="20"/>
              </w:rPr>
              <w:t>2L</w:t>
            </w:r>
            <w:r w:rsidRPr="00C41F2B">
              <w:rPr>
                <w:rFonts w:eastAsia="Times New Roman" w:cs="Arial"/>
                <w:bCs w:val="0"/>
                <w:snapToGrid w:val="0"/>
                <w:color w:val="000000" w:themeColor="text1"/>
                <w:szCs w:val="20"/>
              </w:rPr>
              <w:t xml:space="preserve"> setting.</w:t>
            </w:r>
            <w:r w:rsidR="007E4185" w:rsidRPr="00C41F2B">
              <w:rPr>
                <w:rFonts w:eastAsia="Times New Roman" w:cs="Arial"/>
                <w:bCs w:val="0"/>
                <w:snapToGrid w:val="0"/>
                <w:color w:val="000000" w:themeColor="text1"/>
                <w:szCs w:val="20"/>
              </w:rPr>
              <w:t xml:space="preserve"> Alternatively, OS could be extrapolated from more mature </w:t>
            </w:r>
            <w:r w:rsidR="0036118E" w:rsidRPr="00C41F2B">
              <w:rPr>
                <w:rFonts w:eastAsia="Times New Roman" w:cs="Arial"/>
                <w:bCs w:val="0"/>
                <w:snapToGrid w:val="0"/>
                <w:color w:val="000000" w:themeColor="text1"/>
                <w:szCs w:val="20"/>
              </w:rPr>
              <w:t>survival</w:t>
            </w:r>
            <w:r w:rsidR="007E4185" w:rsidRPr="00C41F2B">
              <w:rPr>
                <w:rFonts w:eastAsia="Times New Roman" w:cs="Arial"/>
                <w:bCs w:val="0"/>
                <w:snapToGrid w:val="0"/>
                <w:color w:val="000000" w:themeColor="text1"/>
                <w:szCs w:val="20"/>
              </w:rPr>
              <w:t xml:space="preserve"> data for </w:t>
            </w:r>
            <w:r w:rsidR="004F687F" w:rsidRPr="00C41F2B">
              <w:rPr>
                <w:rFonts w:eastAsia="Times New Roman" w:cs="Arial"/>
                <w:bCs w:val="0"/>
                <w:snapToGrid w:val="0"/>
                <w:color w:val="000000" w:themeColor="text1"/>
                <w:szCs w:val="20"/>
              </w:rPr>
              <w:t>1L</w:t>
            </w:r>
            <w:r w:rsidR="007E4185" w:rsidRPr="00C41F2B">
              <w:rPr>
                <w:rFonts w:eastAsia="Times New Roman" w:cs="Arial"/>
                <w:bCs w:val="0"/>
                <w:snapToGrid w:val="0"/>
                <w:color w:val="000000" w:themeColor="text1"/>
                <w:szCs w:val="20"/>
              </w:rPr>
              <w:t xml:space="preserve"> olaparib. </w:t>
            </w:r>
          </w:p>
        </w:tc>
        <w:tc>
          <w:tcPr>
            <w:tcW w:w="2016" w:type="pct"/>
          </w:tcPr>
          <w:p w:rsidR="003A5C3D" w:rsidRPr="00C41F2B" w:rsidRDefault="0036118E"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Not adequately addressed. </w:t>
            </w:r>
          </w:p>
          <w:p w:rsidR="0036118E" w:rsidRPr="00C41F2B" w:rsidRDefault="0036118E" w:rsidP="00BF2F47">
            <w:pPr>
              <w:pStyle w:val="TableText0"/>
              <w:keepNext w:val="0"/>
              <w:widowControl w:val="0"/>
              <w:rPr>
                <w:rFonts w:eastAsia="Times New Roman" w:cs="Arial"/>
                <w:bCs w:val="0"/>
                <w:iCs/>
                <w:snapToGrid w:val="0"/>
                <w:color w:val="000000" w:themeColor="text1"/>
                <w:szCs w:val="20"/>
              </w:rPr>
            </w:pPr>
          </w:p>
          <w:p w:rsidR="0036118E" w:rsidRPr="00C41F2B" w:rsidRDefault="0036118E" w:rsidP="002C1CB6">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Although the resubmission changed the source of transition probabilities </w:t>
            </w:r>
            <w:r w:rsidR="002C1CB6" w:rsidRPr="00C41F2B">
              <w:rPr>
                <w:rFonts w:eastAsia="Times New Roman" w:cs="Arial"/>
                <w:bCs w:val="0"/>
                <w:iCs/>
                <w:snapToGrid w:val="0"/>
                <w:color w:val="000000" w:themeColor="text1"/>
                <w:szCs w:val="20"/>
              </w:rPr>
              <w:t>for</w:t>
            </w:r>
            <w:r w:rsidRPr="00C41F2B">
              <w:rPr>
                <w:rFonts w:eastAsia="Times New Roman" w:cs="Arial"/>
                <w:bCs w:val="0"/>
                <w:iCs/>
                <w:snapToGrid w:val="0"/>
                <w:color w:val="000000" w:themeColor="text1"/>
                <w:szCs w:val="20"/>
              </w:rPr>
              <w:t xml:space="preserve"> PFS2 to Death to Study 19, the structure of the economic model and assumed surrogacy of PFS for OS resulted in a large modelled OS gain that was not supported by the clinical evidence from SOLO1. </w:t>
            </w:r>
          </w:p>
        </w:tc>
      </w:tr>
      <w:tr w:rsidR="003A5C3D" w:rsidRPr="00C41F2B" w:rsidTr="00BD64C1">
        <w:trPr>
          <w:cantSplit/>
          <w:trHeight w:val="83"/>
        </w:trPr>
        <w:tc>
          <w:tcPr>
            <w:tcW w:w="1098" w:type="pct"/>
            <w:vAlign w:val="center"/>
          </w:tcPr>
          <w:p w:rsidR="003A5C3D" w:rsidRPr="00C41F2B" w:rsidRDefault="00A9018B" w:rsidP="00BF2F47">
            <w:pPr>
              <w:pStyle w:val="TableText0"/>
              <w:keepNext w:val="0"/>
              <w:widowControl w:val="0"/>
              <w:rPr>
                <w:color w:val="000000" w:themeColor="text1"/>
                <w:szCs w:val="20"/>
              </w:rPr>
            </w:pPr>
            <w:r w:rsidRPr="00C41F2B">
              <w:rPr>
                <w:color w:val="000000" w:themeColor="text1"/>
                <w:szCs w:val="20"/>
              </w:rPr>
              <w:t xml:space="preserve">Cure in </w:t>
            </w:r>
            <w:r w:rsidR="004F687F" w:rsidRPr="00C41F2B">
              <w:rPr>
                <w:color w:val="000000" w:themeColor="text1"/>
                <w:szCs w:val="20"/>
              </w:rPr>
              <w:t>1L</w:t>
            </w:r>
            <w:r w:rsidRPr="00C41F2B">
              <w:rPr>
                <w:color w:val="000000" w:themeColor="text1"/>
                <w:szCs w:val="20"/>
              </w:rPr>
              <w:t xml:space="preserve"> placebo group</w:t>
            </w:r>
          </w:p>
        </w:tc>
        <w:tc>
          <w:tcPr>
            <w:tcW w:w="1886" w:type="pct"/>
          </w:tcPr>
          <w:p w:rsidR="003A5C3D" w:rsidRPr="00C41F2B" w:rsidRDefault="00A9018B" w:rsidP="00BF2F47">
            <w:pPr>
              <w:pStyle w:val="TableText0"/>
              <w:keepNext w:val="0"/>
              <w:widowControl w:val="0"/>
              <w:rPr>
                <w:color w:val="000000" w:themeColor="text1"/>
                <w:szCs w:val="20"/>
              </w:rPr>
            </w:pPr>
            <w:r w:rsidRPr="00C41F2B">
              <w:rPr>
                <w:color w:val="000000" w:themeColor="text1"/>
                <w:szCs w:val="20"/>
              </w:rPr>
              <w:t>Paragraph 7.20</w:t>
            </w:r>
          </w:p>
          <w:p w:rsidR="00A9018B" w:rsidRPr="00C41F2B" w:rsidRDefault="00A9018B" w:rsidP="00BF2F47">
            <w:pPr>
              <w:pStyle w:val="TableText0"/>
              <w:keepNext w:val="0"/>
              <w:widowControl w:val="0"/>
              <w:rPr>
                <w:color w:val="000000" w:themeColor="text1"/>
                <w:szCs w:val="20"/>
              </w:rPr>
            </w:pPr>
            <w:r w:rsidRPr="00C41F2B">
              <w:rPr>
                <w:color w:val="000000" w:themeColor="text1"/>
                <w:szCs w:val="20"/>
              </w:rPr>
              <w:t xml:space="preserve">The PBAC considered that the model should incorporate a proportion of patients cured in the </w:t>
            </w:r>
            <w:r w:rsidR="004F687F" w:rsidRPr="00C41F2B">
              <w:rPr>
                <w:color w:val="000000" w:themeColor="text1"/>
                <w:szCs w:val="20"/>
              </w:rPr>
              <w:t>1L</w:t>
            </w:r>
            <w:r w:rsidRPr="00C41F2B">
              <w:rPr>
                <w:color w:val="000000" w:themeColor="text1"/>
                <w:szCs w:val="20"/>
              </w:rPr>
              <w:t xml:space="preserve"> placebo group. </w:t>
            </w:r>
          </w:p>
        </w:tc>
        <w:tc>
          <w:tcPr>
            <w:tcW w:w="2016" w:type="pct"/>
          </w:tcPr>
          <w:p w:rsidR="003A5C3D" w:rsidRPr="00C41F2B" w:rsidRDefault="0036118E"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Addressed</w:t>
            </w:r>
          </w:p>
          <w:p w:rsidR="0036118E" w:rsidRPr="00C41F2B" w:rsidRDefault="0036118E" w:rsidP="00BF2F47">
            <w:pPr>
              <w:pStyle w:val="TableText0"/>
              <w:keepNext w:val="0"/>
              <w:widowControl w:val="0"/>
              <w:rPr>
                <w:rFonts w:eastAsia="Times New Roman" w:cs="Arial"/>
                <w:bCs w:val="0"/>
                <w:snapToGrid w:val="0"/>
                <w:color w:val="000000" w:themeColor="text1"/>
                <w:szCs w:val="20"/>
              </w:rPr>
            </w:pPr>
          </w:p>
          <w:p w:rsidR="0036118E" w:rsidRPr="00C41F2B" w:rsidRDefault="0036118E" w:rsidP="00BF2F47">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 xml:space="preserve">The resubmission </w:t>
            </w:r>
            <w:r w:rsidR="00970F0E" w:rsidRPr="00C41F2B">
              <w:rPr>
                <w:rFonts w:eastAsia="Times New Roman" w:cs="Arial"/>
                <w:bCs w:val="0"/>
                <w:iCs/>
                <w:snapToGrid w:val="0"/>
                <w:color w:val="000000" w:themeColor="text1"/>
                <w:szCs w:val="20"/>
              </w:rPr>
              <w:t>include</w:t>
            </w:r>
            <w:r w:rsidR="00A4689A" w:rsidRPr="00C41F2B">
              <w:rPr>
                <w:rFonts w:eastAsia="Times New Roman" w:cs="Arial"/>
                <w:bCs w:val="0"/>
                <w:iCs/>
                <w:snapToGrid w:val="0"/>
                <w:color w:val="000000" w:themeColor="text1"/>
                <w:szCs w:val="20"/>
              </w:rPr>
              <w:t>d</w:t>
            </w:r>
            <w:r w:rsidR="00970F0E" w:rsidRPr="00C41F2B">
              <w:rPr>
                <w:rFonts w:eastAsia="Times New Roman" w:cs="Arial"/>
                <w:bCs w:val="0"/>
                <w:iCs/>
                <w:snapToGrid w:val="0"/>
                <w:color w:val="000000" w:themeColor="text1"/>
                <w:szCs w:val="20"/>
              </w:rPr>
              <w:t xml:space="preserve"> a mixed cure model for estimating the PFS1 survival curves, and an additional ‘</w:t>
            </w:r>
            <w:proofErr w:type="spellStart"/>
            <w:r w:rsidR="00970F0E" w:rsidRPr="00C41F2B">
              <w:rPr>
                <w:rFonts w:eastAsia="Times New Roman" w:cs="Arial"/>
                <w:bCs w:val="0"/>
                <w:iCs/>
                <w:snapToGrid w:val="0"/>
                <w:color w:val="000000" w:themeColor="text1"/>
                <w:szCs w:val="20"/>
              </w:rPr>
              <w:t>cured’</w:t>
            </w:r>
            <w:r w:rsidR="001B01D0" w:rsidRPr="00C41F2B">
              <w:rPr>
                <w:rFonts w:eastAsia="Times New Roman" w:cs="Arial"/>
                <w:bCs w:val="0"/>
                <w:iCs/>
                <w:snapToGrid w:val="0"/>
                <w:color w:val="000000" w:themeColor="text1"/>
                <w:szCs w:val="20"/>
                <w:vertAlign w:val="superscript"/>
              </w:rPr>
              <w:t>a</w:t>
            </w:r>
            <w:proofErr w:type="spellEnd"/>
            <w:r w:rsidR="00970F0E" w:rsidRPr="00C41F2B">
              <w:rPr>
                <w:rFonts w:eastAsia="Times New Roman" w:cs="Arial"/>
                <w:bCs w:val="0"/>
                <w:iCs/>
                <w:snapToGrid w:val="0"/>
                <w:color w:val="000000" w:themeColor="text1"/>
                <w:szCs w:val="20"/>
              </w:rPr>
              <w:t xml:space="preserve"> health state. The resulting PFS1 survival curve in the </w:t>
            </w:r>
            <w:r w:rsidR="004F687F" w:rsidRPr="00C41F2B">
              <w:rPr>
                <w:rFonts w:eastAsia="Times New Roman" w:cs="Arial"/>
                <w:bCs w:val="0"/>
                <w:iCs/>
                <w:snapToGrid w:val="0"/>
                <w:color w:val="000000" w:themeColor="text1"/>
                <w:szCs w:val="20"/>
              </w:rPr>
              <w:t>1L</w:t>
            </w:r>
            <w:r w:rsidR="00970F0E" w:rsidRPr="00C41F2B">
              <w:rPr>
                <w:rFonts w:eastAsia="Times New Roman" w:cs="Arial"/>
                <w:bCs w:val="0"/>
                <w:iCs/>
                <w:snapToGrid w:val="0"/>
                <w:color w:val="000000" w:themeColor="text1"/>
                <w:szCs w:val="20"/>
              </w:rPr>
              <w:t xml:space="preserve"> placebo group include</w:t>
            </w:r>
            <w:r w:rsidR="00A4689A" w:rsidRPr="00C41F2B">
              <w:rPr>
                <w:rFonts w:eastAsia="Times New Roman" w:cs="Arial"/>
                <w:bCs w:val="0"/>
                <w:iCs/>
                <w:snapToGrid w:val="0"/>
                <w:color w:val="000000" w:themeColor="text1"/>
                <w:szCs w:val="20"/>
              </w:rPr>
              <w:t>s</w:t>
            </w:r>
            <w:r w:rsidR="00970F0E" w:rsidRPr="00C41F2B">
              <w:rPr>
                <w:rFonts w:eastAsia="Times New Roman" w:cs="Arial"/>
                <w:bCs w:val="0"/>
                <w:iCs/>
                <w:snapToGrid w:val="0"/>
                <w:color w:val="000000" w:themeColor="text1"/>
                <w:szCs w:val="20"/>
              </w:rPr>
              <w:t xml:space="preserve"> a proportion of patients that are cured. </w:t>
            </w:r>
          </w:p>
        </w:tc>
      </w:tr>
      <w:tr w:rsidR="003A5C3D" w:rsidRPr="00C41F2B" w:rsidTr="00BD64C1">
        <w:trPr>
          <w:cantSplit/>
          <w:trHeight w:val="83"/>
        </w:trPr>
        <w:tc>
          <w:tcPr>
            <w:tcW w:w="1098" w:type="pct"/>
            <w:vAlign w:val="center"/>
          </w:tcPr>
          <w:p w:rsidR="003A5C3D" w:rsidRPr="00C41F2B" w:rsidRDefault="00A9018B" w:rsidP="00BF2F47">
            <w:pPr>
              <w:pStyle w:val="TableText0"/>
              <w:keepNext w:val="0"/>
              <w:widowControl w:val="0"/>
              <w:rPr>
                <w:color w:val="000000" w:themeColor="text1"/>
                <w:szCs w:val="20"/>
              </w:rPr>
            </w:pPr>
            <w:r w:rsidRPr="00C41F2B">
              <w:rPr>
                <w:color w:val="000000" w:themeColor="text1"/>
                <w:szCs w:val="20"/>
              </w:rPr>
              <w:t xml:space="preserve">Prevalence of </w:t>
            </w:r>
            <w:proofErr w:type="spellStart"/>
            <w:r w:rsidRPr="00C41F2B">
              <w:rPr>
                <w:color w:val="000000" w:themeColor="text1"/>
                <w:szCs w:val="20"/>
              </w:rPr>
              <w:t>g</w:t>
            </w:r>
            <w:r w:rsidRPr="00C41F2B">
              <w:rPr>
                <w:i/>
                <w:iCs/>
                <w:color w:val="000000" w:themeColor="text1"/>
                <w:szCs w:val="20"/>
              </w:rPr>
              <w:t>BRCA</w:t>
            </w:r>
            <w:r w:rsidRPr="00C41F2B">
              <w:rPr>
                <w:color w:val="000000" w:themeColor="text1"/>
                <w:szCs w:val="20"/>
              </w:rPr>
              <w:t>m</w:t>
            </w:r>
            <w:proofErr w:type="spellEnd"/>
            <w:r w:rsidRPr="00C41F2B">
              <w:rPr>
                <w:color w:val="000000" w:themeColor="text1"/>
                <w:szCs w:val="20"/>
              </w:rPr>
              <w:t xml:space="preserve"> </w:t>
            </w:r>
          </w:p>
        </w:tc>
        <w:tc>
          <w:tcPr>
            <w:tcW w:w="1886" w:type="pct"/>
          </w:tcPr>
          <w:p w:rsidR="00A9018B" w:rsidRPr="00C41F2B" w:rsidRDefault="00A9018B" w:rsidP="00BF2F47">
            <w:pPr>
              <w:pStyle w:val="TableText0"/>
              <w:keepNext w:val="0"/>
              <w:widowControl w:val="0"/>
              <w:rPr>
                <w:color w:val="000000" w:themeColor="text1"/>
                <w:szCs w:val="20"/>
              </w:rPr>
            </w:pPr>
            <w:r w:rsidRPr="00C41F2B">
              <w:rPr>
                <w:color w:val="000000" w:themeColor="text1"/>
                <w:szCs w:val="20"/>
              </w:rPr>
              <w:t>Paragraph 7.21</w:t>
            </w:r>
          </w:p>
          <w:p w:rsidR="003A5C3D" w:rsidRPr="00C41F2B" w:rsidRDefault="00A9018B" w:rsidP="00BF2F47">
            <w:pPr>
              <w:pStyle w:val="TableText0"/>
              <w:keepNext w:val="0"/>
              <w:widowControl w:val="0"/>
              <w:rPr>
                <w:color w:val="000000" w:themeColor="text1"/>
                <w:szCs w:val="20"/>
              </w:rPr>
            </w:pPr>
            <w:r w:rsidRPr="00C41F2B">
              <w:rPr>
                <w:color w:val="000000" w:themeColor="text1"/>
                <w:szCs w:val="20"/>
              </w:rPr>
              <w:t xml:space="preserve">PBAC considered that using a prevalence for </w:t>
            </w:r>
            <w:proofErr w:type="spellStart"/>
            <w:r w:rsidRPr="00C41F2B">
              <w:rPr>
                <w:color w:val="000000" w:themeColor="text1"/>
                <w:szCs w:val="20"/>
              </w:rPr>
              <w:t>g</w:t>
            </w:r>
            <w:r w:rsidRPr="00C41F2B">
              <w:rPr>
                <w:i/>
                <w:iCs/>
                <w:color w:val="000000" w:themeColor="text1"/>
                <w:szCs w:val="20"/>
              </w:rPr>
              <w:t>BRCA</w:t>
            </w:r>
            <w:r w:rsidRPr="00C41F2B">
              <w:rPr>
                <w:color w:val="000000" w:themeColor="text1"/>
                <w:szCs w:val="20"/>
              </w:rPr>
              <w:t>m</w:t>
            </w:r>
            <w:proofErr w:type="spellEnd"/>
            <w:r w:rsidRPr="00C41F2B">
              <w:rPr>
                <w:color w:val="000000" w:themeColor="text1"/>
                <w:szCs w:val="20"/>
              </w:rPr>
              <w:t xml:space="preserve"> of 20.3% was reasonable. </w:t>
            </w:r>
          </w:p>
        </w:tc>
        <w:tc>
          <w:tcPr>
            <w:tcW w:w="2016" w:type="pct"/>
          </w:tcPr>
          <w:p w:rsidR="003A5C3D" w:rsidRPr="00C41F2B" w:rsidRDefault="00970F0E" w:rsidP="00BF2F47">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Addressed</w:t>
            </w:r>
          </w:p>
        </w:tc>
      </w:tr>
      <w:tr w:rsidR="003A5C3D" w:rsidRPr="00C41F2B" w:rsidTr="00BD64C1">
        <w:trPr>
          <w:cantSplit/>
          <w:trHeight w:val="83"/>
        </w:trPr>
        <w:tc>
          <w:tcPr>
            <w:tcW w:w="1098" w:type="pct"/>
            <w:vAlign w:val="center"/>
          </w:tcPr>
          <w:p w:rsidR="003A5C3D" w:rsidRPr="00C41F2B" w:rsidRDefault="00D4749B" w:rsidP="00BF2F47">
            <w:pPr>
              <w:pStyle w:val="TableText0"/>
              <w:keepNext w:val="0"/>
              <w:widowControl w:val="0"/>
              <w:rPr>
                <w:color w:val="000000" w:themeColor="text1"/>
                <w:szCs w:val="20"/>
              </w:rPr>
            </w:pPr>
            <w:r w:rsidRPr="00C41F2B">
              <w:rPr>
                <w:color w:val="000000" w:themeColor="text1"/>
                <w:szCs w:val="20"/>
              </w:rPr>
              <w:t>Utilities</w:t>
            </w:r>
          </w:p>
        </w:tc>
        <w:tc>
          <w:tcPr>
            <w:tcW w:w="1886" w:type="pct"/>
          </w:tcPr>
          <w:p w:rsidR="003A5C3D" w:rsidRPr="00C41F2B" w:rsidRDefault="00D4749B" w:rsidP="00BF2F47">
            <w:pPr>
              <w:pStyle w:val="TableText0"/>
              <w:keepNext w:val="0"/>
              <w:widowControl w:val="0"/>
              <w:rPr>
                <w:szCs w:val="20"/>
              </w:rPr>
            </w:pPr>
            <w:r w:rsidRPr="00C41F2B">
              <w:rPr>
                <w:szCs w:val="20"/>
              </w:rPr>
              <w:t>Paragraph</w:t>
            </w:r>
            <w:r w:rsidR="007029F8" w:rsidRPr="00C41F2B">
              <w:rPr>
                <w:szCs w:val="20"/>
              </w:rPr>
              <w:t>s</w:t>
            </w:r>
            <w:r w:rsidRPr="00C41F2B">
              <w:rPr>
                <w:szCs w:val="20"/>
              </w:rPr>
              <w:t xml:space="preserve"> 7.21 and 7.25</w:t>
            </w:r>
          </w:p>
          <w:p w:rsidR="00D4749B" w:rsidRPr="00C41F2B" w:rsidRDefault="00D4749B" w:rsidP="00BF2F47">
            <w:pPr>
              <w:pStyle w:val="TableText0"/>
              <w:keepNext w:val="0"/>
              <w:widowControl w:val="0"/>
              <w:rPr>
                <w:color w:val="000000" w:themeColor="text1"/>
                <w:szCs w:val="20"/>
              </w:rPr>
            </w:pPr>
            <w:r w:rsidRPr="00C41F2B">
              <w:rPr>
                <w:color w:val="000000" w:themeColor="text1"/>
                <w:szCs w:val="20"/>
              </w:rPr>
              <w:t xml:space="preserve">The PBAC noted that future submissions should use the utility values for PFS2 and PD as reported in Study 19. </w:t>
            </w:r>
          </w:p>
        </w:tc>
        <w:tc>
          <w:tcPr>
            <w:tcW w:w="2016" w:type="pct"/>
          </w:tcPr>
          <w:p w:rsidR="003A5C3D" w:rsidRPr="00C41F2B" w:rsidRDefault="00970F0E"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Not adequately addressed. </w:t>
            </w:r>
          </w:p>
          <w:p w:rsidR="00970F0E" w:rsidRPr="00C41F2B" w:rsidRDefault="00970F0E" w:rsidP="00BF2F47">
            <w:pPr>
              <w:pStyle w:val="TableText0"/>
              <w:keepNext w:val="0"/>
              <w:widowControl w:val="0"/>
              <w:rPr>
                <w:rFonts w:eastAsia="Times New Roman" w:cs="Arial"/>
                <w:bCs w:val="0"/>
                <w:iCs/>
                <w:snapToGrid w:val="0"/>
                <w:color w:val="000000" w:themeColor="text1"/>
                <w:szCs w:val="20"/>
              </w:rPr>
            </w:pPr>
          </w:p>
          <w:p w:rsidR="00970F0E" w:rsidRPr="00C41F2B" w:rsidRDefault="00970F0E" w:rsidP="00B77ABF">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 xml:space="preserve">The resubmission used a weighted utility value. </w:t>
            </w:r>
            <w:r w:rsidR="00893E9D" w:rsidRPr="00C41F2B">
              <w:rPr>
                <w:rFonts w:eastAsia="Times New Roman" w:cs="Arial"/>
                <w:bCs w:val="0"/>
                <w:iCs/>
                <w:snapToGrid w:val="0"/>
                <w:color w:val="000000" w:themeColor="text1"/>
                <w:szCs w:val="20"/>
              </w:rPr>
              <w:t xml:space="preserve">The resubmission assumed that 51% of relapsed patients are healthy enough to receive 2L olaparib and thus have underlying characteristics similar to those enrolled in Study 19. The remaining 49% are considered ‘unfit’ and are assigned utilities from </w:t>
            </w:r>
            <w:proofErr w:type="spellStart"/>
            <w:r w:rsidR="00893E9D" w:rsidRPr="00C41F2B">
              <w:rPr>
                <w:rFonts w:eastAsia="Times New Roman" w:cs="Arial"/>
                <w:bCs w:val="0"/>
                <w:iCs/>
                <w:snapToGrid w:val="0"/>
                <w:color w:val="000000" w:themeColor="text1"/>
                <w:szCs w:val="20"/>
              </w:rPr>
              <w:t>Havrilesky</w:t>
            </w:r>
            <w:proofErr w:type="spellEnd"/>
            <w:r w:rsidR="00893E9D" w:rsidRPr="00C41F2B">
              <w:rPr>
                <w:rFonts w:eastAsia="Times New Roman" w:cs="Arial"/>
                <w:bCs w:val="0"/>
                <w:iCs/>
                <w:snapToGrid w:val="0"/>
                <w:color w:val="000000" w:themeColor="text1"/>
                <w:szCs w:val="20"/>
              </w:rPr>
              <w:t xml:space="preserve"> 2009. </w:t>
            </w:r>
          </w:p>
        </w:tc>
      </w:tr>
      <w:tr w:rsidR="003A5C3D" w:rsidRPr="00C41F2B" w:rsidTr="00BD64C1">
        <w:trPr>
          <w:cantSplit/>
          <w:trHeight w:val="83"/>
        </w:trPr>
        <w:tc>
          <w:tcPr>
            <w:tcW w:w="1098" w:type="pct"/>
            <w:vAlign w:val="center"/>
          </w:tcPr>
          <w:p w:rsidR="003A5C3D" w:rsidRPr="00C41F2B" w:rsidRDefault="00D4749B" w:rsidP="00BF2F47">
            <w:pPr>
              <w:pStyle w:val="TableText0"/>
              <w:keepNext w:val="0"/>
              <w:widowControl w:val="0"/>
              <w:rPr>
                <w:color w:val="000000" w:themeColor="text1"/>
                <w:szCs w:val="20"/>
              </w:rPr>
            </w:pPr>
            <w:r w:rsidRPr="00C41F2B">
              <w:rPr>
                <w:color w:val="000000" w:themeColor="text1"/>
                <w:szCs w:val="20"/>
              </w:rPr>
              <w:lastRenderedPageBreak/>
              <w:t>Costs of olaparib</w:t>
            </w:r>
          </w:p>
        </w:tc>
        <w:tc>
          <w:tcPr>
            <w:tcW w:w="1886" w:type="pct"/>
          </w:tcPr>
          <w:p w:rsidR="007029F8" w:rsidRPr="00C41F2B" w:rsidRDefault="007029F8" w:rsidP="00BF2F47">
            <w:pPr>
              <w:pStyle w:val="TableText0"/>
              <w:keepNext w:val="0"/>
              <w:widowControl w:val="0"/>
              <w:rPr>
                <w:szCs w:val="20"/>
              </w:rPr>
            </w:pPr>
            <w:r w:rsidRPr="00C41F2B">
              <w:rPr>
                <w:szCs w:val="20"/>
              </w:rPr>
              <w:t>Paragraphs 6.61, 7. 21, and 7.25</w:t>
            </w:r>
          </w:p>
          <w:p w:rsidR="003A5C3D" w:rsidRPr="00C41F2B" w:rsidRDefault="007029F8" w:rsidP="00BF2F47">
            <w:pPr>
              <w:pStyle w:val="TableText0"/>
              <w:keepNext w:val="0"/>
              <w:widowControl w:val="0"/>
              <w:rPr>
                <w:color w:val="000000" w:themeColor="text1"/>
                <w:szCs w:val="20"/>
              </w:rPr>
            </w:pPr>
            <w:r w:rsidRPr="00C41F2B">
              <w:rPr>
                <w:color w:val="000000" w:themeColor="text1"/>
                <w:szCs w:val="20"/>
              </w:rPr>
              <w:t xml:space="preserve">The submission underestimated the cost per course of olaparib in the </w:t>
            </w:r>
            <w:r w:rsidR="004F687F" w:rsidRPr="00C41F2B">
              <w:rPr>
                <w:color w:val="000000" w:themeColor="text1"/>
                <w:szCs w:val="20"/>
              </w:rPr>
              <w:t>1L</w:t>
            </w:r>
            <w:r w:rsidRPr="00C41F2B">
              <w:rPr>
                <w:color w:val="000000" w:themeColor="text1"/>
                <w:szCs w:val="20"/>
              </w:rPr>
              <w:t xml:space="preserve"> arm by applying the mean daily dose to calculate the monthly drug costs</w:t>
            </w:r>
            <w:r w:rsidR="00A4689A" w:rsidRPr="00C41F2B">
              <w:rPr>
                <w:color w:val="000000" w:themeColor="text1"/>
                <w:szCs w:val="20"/>
              </w:rPr>
              <w:t>.</w:t>
            </w:r>
          </w:p>
        </w:tc>
        <w:tc>
          <w:tcPr>
            <w:tcW w:w="2016" w:type="pct"/>
          </w:tcPr>
          <w:p w:rsidR="003A5C3D" w:rsidRPr="00C41F2B" w:rsidRDefault="00893E9D"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Not adequately addressed</w:t>
            </w:r>
          </w:p>
          <w:p w:rsidR="00893E9D" w:rsidRPr="00C41F2B" w:rsidRDefault="00893E9D" w:rsidP="00BF2F47">
            <w:pPr>
              <w:pStyle w:val="TableText0"/>
              <w:keepNext w:val="0"/>
              <w:widowControl w:val="0"/>
              <w:rPr>
                <w:rFonts w:eastAsia="Times New Roman" w:cs="Arial"/>
                <w:bCs w:val="0"/>
                <w:iCs/>
                <w:snapToGrid w:val="0"/>
                <w:color w:val="000000" w:themeColor="text1"/>
                <w:szCs w:val="20"/>
              </w:rPr>
            </w:pPr>
          </w:p>
          <w:p w:rsidR="00893E9D" w:rsidRPr="00C41F2B" w:rsidRDefault="00893E9D" w:rsidP="00BF2F47">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 xml:space="preserve">The resubmission used the average daily dose in SOLO1 and SOLO2 to estimate number of tablets required per cycle. This was inappropriate as there is a flat pricing structure for the two tablet strengths of olaparib. </w:t>
            </w:r>
          </w:p>
        </w:tc>
      </w:tr>
      <w:tr w:rsidR="003A5C3D" w:rsidRPr="00C41F2B" w:rsidTr="00BD64C1">
        <w:trPr>
          <w:cantSplit/>
          <w:trHeight w:val="83"/>
        </w:trPr>
        <w:tc>
          <w:tcPr>
            <w:tcW w:w="1098" w:type="pct"/>
            <w:vAlign w:val="center"/>
          </w:tcPr>
          <w:p w:rsidR="003A5C3D" w:rsidRPr="00C41F2B" w:rsidRDefault="007029F8" w:rsidP="00BF2F47">
            <w:pPr>
              <w:pStyle w:val="TableText0"/>
              <w:keepNext w:val="0"/>
              <w:widowControl w:val="0"/>
              <w:rPr>
                <w:color w:val="000000" w:themeColor="text1"/>
                <w:szCs w:val="20"/>
              </w:rPr>
            </w:pPr>
            <w:r w:rsidRPr="00C41F2B">
              <w:rPr>
                <w:color w:val="000000" w:themeColor="text1"/>
                <w:szCs w:val="20"/>
              </w:rPr>
              <w:t>Inclusion of downstream testing costs</w:t>
            </w:r>
          </w:p>
        </w:tc>
        <w:tc>
          <w:tcPr>
            <w:tcW w:w="1886" w:type="pct"/>
          </w:tcPr>
          <w:p w:rsidR="003A5C3D" w:rsidRPr="00C41F2B" w:rsidRDefault="007029F8" w:rsidP="00BF2F47">
            <w:pPr>
              <w:pStyle w:val="TableText0"/>
              <w:keepNext w:val="0"/>
              <w:widowControl w:val="0"/>
              <w:rPr>
                <w:color w:val="000000" w:themeColor="text1"/>
                <w:szCs w:val="20"/>
              </w:rPr>
            </w:pPr>
            <w:r w:rsidRPr="00C41F2B">
              <w:rPr>
                <w:color w:val="000000" w:themeColor="text1"/>
                <w:szCs w:val="20"/>
              </w:rPr>
              <w:t>Paragraph</w:t>
            </w:r>
            <w:r w:rsidR="007E4185" w:rsidRPr="00C41F2B">
              <w:rPr>
                <w:color w:val="000000" w:themeColor="text1"/>
                <w:szCs w:val="20"/>
              </w:rPr>
              <w:t xml:space="preserve"> 7.18,</w:t>
            </w:r>
            <w:r w:rsidRPr="00C41F2B">
              <w:rPr>
                <w:color w:val="000000" w:themeColor="text1"/>
                <w:szCs w:val="20"/>
              </w:rPr>
              <w:t xml:space="preserve"> 7.21, </w:t>
            </w:r>
            <w:r w:rsidR="007E4185" w:rsidRPr="00C41F2B">
              <w:rPr>
                <w:color w:val="000000" w:themeColor="text1"/>
                <w:szCs w:val="20"/>
              </w:rPr>
              <w:t xml:space="preserve">and </w:t>
            </w:r>
            <w:r w:rsidRPr="00C41F2B">
              <w:rPr>
                <w:color w:val="000000" w:themeColor="text1"/>
                <w:szCs w:val="20"/>
              </w:rPr>
              <w:t>7.25</w:t>
            </w:r>
          </w:p>
          <w:p w:rsidR="007E4185" w:rsidRPr="00C41F2B" w:rsidRDefault="007E4185" w:rsidP="00BF2F47">
            <w:pPr>
              <w:pStyle w:val="TableText0"/>
              <w:keepNext w:val="0"/>
              <w:widowControl w:val="0"/>
              <w:rPr>
                <w:color w:val="000000" w:themeColor="text1"/>
                <w:szCs w:val="20"/>
              </w:rPr>
            </w:pPr>
            <w:r w:rsidRPr="00C41F2B">
              <w:rPr>
                <w:color w:val="000000" w:themeColor="text1"/>
                <w:szCs w:val="20"/>
              </w:rPr>
              <w:t xml:space="preserve">The PBAC considered that future resubmission should include downstream germline testing costs in tumour positive patients and private/hospital funded test costs. </w:t>
            </w:r>
          </w:p>
        </w:tc>
        <w:tc>
          <w:tcPr>
            <w:tcW w:w="2016" w:type="pct"/>
          </w:tcPr>
          <w:p w:rsidR="003A5C3D" w:rsidRPr="00C41F2B" w:rsidRDefault="00893E9D"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Addressed. </w:t>
            </w:r>
          </w:p>
          <w:p w:rsidR="00893E9D" w:rsidRPr="00C41F2B" w:rsidRDefault="00893E9D" w:rsidP="00BF2F47">
            <w:pPr>
              <w:pStyle w:val="TableText0"/>
              <w:keepNext w:val="0"/>
              <w:widowControl w:val="0"/>
              <w:rPr>
                <w:rFonts w:eastAsia="Times New Roman" w:cs="Arial"/>
                <w:bCs w:val="0"/>
                <w:iCs/>
                <w:snapToGrid w:val="0"/>
                <w:color w:val="000000" w:themeColor="text1"/>
                <w:szCs w:val="20"/>
              </w:rPr>
            </w:pPr>
          </w:p>
          <w:p w:rsidR="00893E9D" w:rsidRPr="00C41F2B" w:rsidRDefault="00893E9D" w:rsidP="00BF2F47">
            <w:pPr>
              <w:pStyle w:val="TableText0"/>
              <w:keepNext w:val="0"/>
              <w:widowControl w:val="0"/>
              <w:rPr>
                <w:rFonts w:eastAsia="Times New Roman" w:cs="Arial"/>
                <w:bCs w:val="0"/>
                <w:snapToGrid w:val="0"/>
                <w:color w:val="0066FF"/>
                <w:szCs w:val="20"/>
              </w:rPr>
            </w:pPr>
            <w:r w:rsidRPr="00C41F2B">
              <w:rPr>
                <w:rFonts w:eastAsia="Times New Roman" w:cs="Arial"/>
                <w:bCs w:val="0"/>
                <w:iCs/>
                <w:snapToGrid w:val="0"/>
                <w:color w:val="000000" w:themeColor="text1"/>
                <w:szCs w:val="20"/>
              </w:rPr>
              <w:t>The resubmission included downstream germline testing costs in tumour positive patients.</w:t>
            </w:r>
            <w:r w:rsidRPr="00C41F2B">
              <w:rPr>
                <w:rFonts w:eastAsia="Times New Roman" w:cs="Arial"/>
                <w:bCs w:val="0"/>
                <w:snapToGrid w:val="0"/>
                <w:color w:val="000000" w:themeColor="text1"/>
                <w:szCs w:val="20"/>
              </w:rPr>
              <w:t xml:space="preserve"> </w:t>
            </w:r>
          </w:p>
        </w:tc>
      </w:tr>
      <w:tr w:rsidR="003A5C3D" w:rsidRPr="00C41F2B" w:rsidTr="00BD64C1">
        <w:trPr>
          <w:cantSplit/>
          <w:trHeight w:val="83"/>
        </w:trPr>
        <w:tc>
          <w:tcPr>
            <w:tcW w:w="1098" w:type="pct"/>
            <w:vAlign w:val="center"/>
          </w:tcPr>
          <w:p w:rsidR="003A5C3D" w:rsidRPr="00C41F2B" w:rsidRDefault="007029F8" w:rsidP="00BF2F47">
            <w:pPr>
              <w:pStyle w:val="TableText0"/>
              <w:keepNext w:val="0"/>
              <w:widowControl w:val="0"/>
              <w:rPr>
                <w:color w:val="000000" w:themeColor="text1"/>
                <w:szCs w:val="20"/>
              </w:rPr>
            </w:pPr>
            <w:r w:rsidRPr="00C41F2B">
              <w:rPr>
                <w:color w:val="000000" w:themeColor="text1"/>
                <w:szCs w:val="20"/>
              </w:rPr>
              <w:t>Time horizon</w:t>
            </w:r>
          </w:p>
        </w:tc>
        <w:tc>
          <w:tcPr>
            <w:tcW w:w="1886" w:type="pct"/>
          </w:tcPr>
          <w:p w:rsidR="00B332A3" w:rsidRPr="00C41F2B" w:rsidRDefault="00B332A3" w:rsidP="00BF2F47">
            <w:pPr>
              <w:pStyle w:val="TableText0"/>
              <w:keepNext w:val="0"/>
              <w:widowControl w:val="0"/>
              <w:rPr>
                <w:color w:val="000000" w:themeColor="text1"/>
                <w:szCs w:val="20"/>
              </w:rPr>
            </w:pPr>
            <w:r w:rsidRPr="00C41F2B">
              <w:rPr>
                <w:color w:val="000000" w:themeColor="text1"/>
                <w:szCs w:val="20"/>
              </w:rPr>
              <w:t>Paragraph 7.22</w:t>
            </w:r>
          </w:p>
          <w:p w:rsidR="003A5C3D" w:rsidRPr="00C41F2B" w:rsidRDefault="007E4185" w:rsidP="00BF2F47">
            <w:pPr>
              <w:pStyle w:val="TableText0"/>
              <w:keepNext w:val="0"/>
              <w:widowControl w:val="0"/>
              <w:rPr>
                <w:color w:val="000000" w:themeColor="text1"/>
                <w:szCs w:val="20"/>
              </w:rPr>
            </w:pPr>
            <w:r w:rsidRPr="00C41F2B">
              <w:rPr>
                <w:color w:val="000000" w:themeColor="text1"/>
                <w:szCs w:val="20"/>
              </w:rPr>
              <w:t xml:space="preserve">The PBAC considered that a time horizon of up to 15 years would be appropriate. </w:t>
            </w:r>
          </w:p>
        </w:tc>
        <w:tc>
          <w:tcPr>
            <w:tcW w:w="2016" w:type="pct"/>
          </w:tcPr>
          <w:p w:rsidR="003A5C3D" w:rsidRPr="00C41F2B" w:rsidRDefault="00893E9D"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Not adequately addressed</w:t>
            </w:r>
            <w:r w:rsidR="00390E76" w:rsidRPr="00C41F2B">
              <w:rPr>
                <w:rFonts w:eastAsia="Times New Roman" w:cs="Arial"/>
                <w:bCs w:val="0"/>
                <w:iCs/>
                <w:snapToGrid w:val="0"/>
                <w:color w:val="000000" w:themeColor="text1"/>
                <w:szCs w:val="20"/>
              </w:rPr>
              <w:t>.</w:t>
            </w:r>
          </w:p>
          <w:p w:rsidR="00893E9D" w:rsidRPr="00C41F2B" w:rsidRDefault="00893E9D" w:rsidP="00BF2F47">
            <w:pPr>
              <w:pStyle w:val="TableText0"/>
              <w:keepNext w:val="0"/>
              <w:widowControl w:val="0"/>
              <w:rPr>
                <w:rFonts w:eastAsia="Times New Roman" w:cs="Arial"/>
                <w:bCs w:val="0"/>
                <w:iCs/>
                <w:snapToGrid w:val="0"/>
                <w:color w:val="000000" w:themeColor="text1"/>
                <w:szCs w:val="20"/>
              </w:rPr>
            </w:pPr>
          </w:p>
          <w:p w:rsidR="00893E9D" w:rsidRPr="00C41F2B" w:rsidRDefault="00893E9D" w:rsidP="00B77ABF">
            <w:pPr>
              <w:pStyle w:val="TableText0"/>
              <w:keepNext w:val="0"/>
              <w:widowControl w:val="0"/>
              <w:rPr>
                <w:rFonts w:eastAsia="Times New Roman" w:cs="Arial"/>
                <w:bCs w:val="0"/>
                <w:snapToGrid w:val="0"/>
                <w:color w:val="0066FF"/>
                <w:szCs w:val="20"/>
              </w:rPr>
            </w:pPr>
            <w:r w:rsidRPr="00C41F2B">
              <w:rPr>
                <w:rFonts w:eastAsia="Times New Roman" w:cs="Arial"/>
                <w:bCs w:val="0"/>
                <w:iCs/>
                <w:snapToGrid w:val="0"/>
                <w:color w:val="000000" w:themeColor="text1"/>
                <w:szCs w:val="20"/>
              </w:rPr>
              <w:t xml:space="preserve">The resubmission revised the time horizon from 25 years to 20 years. </w:t>
            </w:r>
          </w:p>
        </w:tc>
      </w:tr>
      <w:tr w:rsidR="003A5C3D" w:rsidRPr="00C41F2B" w:rsidTr="00BD64C1">
        <w:trPr>
          <w:cantSplit/>
          <w:trHeight w:val="83"/>
        </w:trPr>
        <w:tc>
          <w:tcPr>
            <w:tcW w:w="1098" w:type="pct"/>
            <w:vAlign w:val="center"/>
          </w:tcPr>
          <w:p w:rsidR="003A5C3D" w:rsidRPr="00C41F2B" w:rsidRDefault="007E4185" w:rsidP="00BF2F47">
            <w:pPr>
              <w:pStyle w:val="TableText0"/>
              <w:keepNext w:val="0"/>
              <w:widowControl w:val="0"/>
              <w:rPr>
                <w:color w:val="000000" w:themeColor="text1"/>
                <w:szCs w:val="20"/>
              </w:rPr>
            </w:pPr>
            <w:r w:rsidRPr="00C41F2B">
              <w:rPr>
                <w:color w:val="000000" w:themeColor="text1"/>
                <w:szCs w:val="20"/>
              </w:rPr>
              <w:t xml:space="preserve">Proportion of patients who receive </w:t>
            </w:r>
            <w:r w:rsidR="004F687F" w:rsidRPr="00C41F2B">
              <w:rPr>
                <w:color w:val="000000" w:themeColor="text1"/>
                <w:szCs w:val="20"/>
              </w:rPr>
              <w:t>2L</w:t>
            </w:r>
            <w:r w:rsidRPr="00C41F2B">
              <w:rPr>
                <w:color w:val="000000" w:themeColor="text1"/>
                <w:szCs w:val="20"/>
              </w:rPr>
              <w:t xml:space="preserve"> olaparib. </w:t>
            </w:r>
          </w:p>
        </w:tc>
        <w:tc>
          <w:tcPr>
            <w:tcW w:w="1886" w:type="pct"/>
          </w:tcPr>
          <w:p w:rsidR="003A5C3D" w:rsidRPr="00C41F2B" w:rsidRDefault="007E4185" w:rsidP="00BF2F47">
            <w:pPr>
              <w:pStyle w:val="TableText0"/>
              <w:keepNext w:val="0"/>
              <w:widowControl w:val="0"/>
              <w:rPr>
                <w:color w:val="000000" w:themeColor="text1"/>
                <w:szCs w:val="20"/>
              </w:rPr>
            </w:pPr>
            <w:r w:rsidRPr="00C41F2B">
              <w:rPr>
                <w:color w:val="000000" w:themeColor="text1"/>
                <w:szCs w:val="20"/>
              </w:rPr>
              <w:t>Paragraph 7.23</w:t>
            </w:r>
          </w:p>
          <w:p w:rsidR="007E4185" w:rsidRPr="00C41F2B" w:rsidRDefault="007E4185" w:rsidP="00BF2F47">
            <w:pPr>
              <w:pStyle w:val="TableText0"/>
              <w:keepNext w:val="0"/>
              <w:widowControl w:val="0"/>
              <w:rPr>
                <w:color w:val="000000" w:themeColor="text1"/>
                <w:szCs w:val="20"/>
              </w:rPr>
            </w:pPr>
            <w:r w:rsidRPr="00C41F2B">
              <w:rPr>
                <w:szCs w:val="20"/>
              </w:rPr>
              <w:t xml:space="preserve">The PBAC considered that the proportion of patients who receive </w:t>
            </w:r>
            <w:r w:rsidR="004F687F" w:rsidRPr="00C41F2B">
              <w:rPr>
                <w:szCs w:val="20"/>
              </w:rPr>
              <w:t>2L</w:t>
            </w:r>
            <w:r w:rsidRPr="00C41F2B">
              <w:rPr>
                <w:szCs w:val="20"/>
              </w:rPr>
              <w:t xml:space="preserve"> olaparib in clinical practice may be higher than in the SOLO1 trial, in which cross-over was not allowed but patients could receive PARP inhibitors outside the trial, and therefore cost-offsets and benefits from </w:t>
            </w:r>
            <w:r w:rsidR="004F687F" w:rsidRPr="00C41F2B">
              <w:rPr>
                <w:szCs w:val="20"/>
              </w:rPr>
              <w:t>2L</w:t>
            </w:r>
            <w:r w:rsidRPr="00C41F2B">
              <w:rPr>
                <w:szCs w:val="20"/>
              </w:rPr>
              <w:t xml:space="preserve"> olaparib may be underestimated. </w:t>
            </w:r>
          </w:p>
        </w:tc>
        <w:tc>
          <w:tcPr>
            <w:tcW w:w="2016" w:type="pct"/>
          </w:tcPr>
          <w:p w:rsidR="003A5C3D" w:rsidRPr="00C41F2B" w:rsidRDefault="00614782"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Not adequately addressed. </w:t>
            </w:r>
          </w:p>
          <w:p w:rsidR="00614782" w:rsidRPr="00C41F2B" w:rsidRDefault="00614782" w:rsidP="00BF2F47">
            <w:pPr>
              <w:pStyle w:val="TableText0"/>
              <w:keepNext w:val="0"/>
              <w:widowControl w:val="0"/>
              <w:rPr>
                <w:rFonts w:eastAsia="Times New Roman" w:cs="Arial"/>
                <w:bCs w:val="0"/>
                <w:iCs/>
                <w:snapToGrid w:val="0"/>
                <w:color w:val="000000" w:themeColor="text1"/>
                <w:szCs w:val="20"/>
              </w:rPr>
            </w:pPr>
          </w:p>
          <w:p w:rsidR="00614782" w:rsidRPr="00C41F2B" w:rsidRDefault="00614782" w:rsidP="0071779E">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However, the model structure and surrogacy of PFS2 for OS made the impact of sensitivity analyses relating to this variable uncertain.</w:t>
            </w:r>
          </w:p>
        </w:tc>
      </w:tr>
      <w:tr w:rsidR="007E4185" w:rsidRPr="00C41F2B" w:rsidTr="00BD64C1">
        <w:trPr>
          <w:cantSplit/>
          <w:trHeight w:val="83"/>
        </w:trPr>
        <w:tc>
          <w:tcPr>
            <w:tcW w:w="1098" w:type="pct"/>
            <w:vAlign w:val="center"/>
          </w:tcPr>
          <w:p w:rsidR="007E4185" w:rsidRPr="00C41F2B" w:rsidRDefault="007E4185" w:rsidP="00BF2F47">
            <w:pPr>
              <w:pStyle w:val="TableText0"/>
              <w:keepNext w:val="0"/>
              <w:widowControl w:val="0"/>
              <w:rPr>
                <w:color w:val="000000" w:themeColor="text1"/>
                <w:szCs w:val="20"/>
              </w:rPr>
            </w:pPr>
            <w:r w:rsidRPr="00C41F2B">
              <w:rPr>
                <w:color w:val="000000" w:themeColor="text1"/>
                <w:szCs w:val="20"/>
              </w:rPr>
              <w:t xml:space="preserve">Impact of bevacizumab for those with sub optimally </w:t>
            </w:r>
            <w:proofErr w:type="spellStart"/>
            <w:r w:rsidRPr="00C41F2B">
              <w:rPr>
                <w:color w:val="000000" w:themeColor="text1"/>
                <w:szCs w:val="20"/>
              </w:rPr>
              <w:t>debulked</w:t>
            </w:r>
            <w:proofErr w:type="spellEnd"/>
            <w:r w:rsidRPr="00C41F2B">
              <w:rPr>
                <w:color w:val="000000" w:themeColor="text1"/>
                <w:szCs w:val="20"/>
              </w:rPr>
              <w:t xml:space="preserve"> Stage IIIB/C and all Stage IV patients and are also BRCAm positive. </w:t>
            </w:r>
          </w:p>
        </w:tc>
        <w:tc>
          <w:tcPr>
            <w:tcW w:w="1886" w:type="pct"/>
          </w:tcPr>
          <w:p w:rsidR="007E4185" w:rsidRPr="00C41F2B" w:rsidRDefault="007E4185" w:rsidP="00BF2F47">
            <w:pPr>
              <w:pStyle w:val="TableText0"/>
              <w:keepNext w:val="0"/>
              <w:widowControl w:val="0"/>
              <w:rPr>
                <w:color w:val="000000" w:themeColor="text1"/>
                <w:szCs w:val="20"/>
              </w:rPr>
            </w:pPr>
            <w:r w:rsidRPr="00C41F2B">
              <w:rPr>
                <w:color w:val="000000" w:themeColor="text1"/>
                <w:szCs w:val="20"/>
              </w:rPr>
              <w:t>Paragraph 7.23</w:t>
            </w:r>
            <w:r w:rsidR="001A49EE" w:rsidRPr="00C41F2B">
              <w:rPr>
                <w:color w:val="000000" w:themeColor="text1"/>
                <w:szCs w:val="20"/>
              </w:rPr>
              <w:t xml:space="preserve"> and 7.25</w:t>
            </w:r>
          </w:p>
          <w:p w:rsidR="007E4185" w:rsidRPr="00C41F2B" w:rsidRDefault="007E4185" w:rsidP="00BF2F47">
            <w:pPr>
              <w:pStyle w:val="TableText0"/>
              <w:keepNext w:val="0"/>
              <w:widowControl w:val="0"/>
              <w:rPr>
                <w:color w:val="000000" w:themeColor="text1"/>
                <w:szCs w:val="20"/>
              </w:rPr>
            </w:pPr>
            <w:r w:rsidRPr="00C41F2B">
              <w:rPr>
                <w:szCs w:val="20"/>
              </w:rPr>
              <w:t>T</w:t>
            </w:r>
            <w:r w:rsidRPr="00C41F2B">
              <w:rPr>
                <w:snapToGrid w:val="0"/>
                <w:szCs w:val="20"/>
              </w:rPr>
              <w:t xml:space="preserve">he PBAC also noted that bevacizumab was not considered as a comparator, and considered that it may be appropriate to include the impact of bevacizumab in the model for the patient population with </w:t>
            </w:r>
            <w:r w:rsidRPr="00C41F2B">
              <w:rPr>
                <w:szCs w:val="20"/>
              </w:rPr>
              <w:t>sub</w:t>
            </w:r>
            <w:r w:rsidR="00C17AC7" w:rsidRPr="00C41F2B">
              <w:rPr>
                <w:szCs w:val="20"/>
              </w:rPr>
              <w:t>-</w:t>
            </w:r>
            <w:r w:rsidRPr="00C41F2B">
              <w:rPr>
                <w:szCs w:val="20"/>
              </w:rPr>
              <w:t xml:space="preserve">optimally </w:t>
            </w:r>
            <w:proofErr w:type="spellStart"/>
            <w:r w:rsidRPr="00C41F2B">
              <w:rPr>
                <w:szCs w:val="20"/>
              </w:rPr>
              <w:t>debulked</w:t>
            </w:r>
            <w:proofErr w:type="spellEnd"/>
            <w:r w:rsidRPr="00C41F2B">
              <w:rPr>
                <w:szCs w:val="20"/>
              </w:rPr>
              <w:t xml:space="preserve"> Stage IIIB/C and all Stage IV patients</w:t>
            </w:r>
            <w:r w:rsidRPr="00C41F2B">
              <w:rPr>
                <w:snapToGrid w:val="0"/>
                <w:szCs w:val="20"/>
              </w:rPr>
              <w:t xml:space="preserve"> who are also </w:t>
            </w:r>
            <w:r w:rsidRPr="00C41F2B">
              <w:rPr>
                <w:i/>
                <w:snapToGrid w:val="0"/>
                <w:szCs w:val="20"/>
              </w:rPr>
              <w:t>BRCA</w:t>
            </w:r>
            <w:r w:rsidRPr="00C41F2B">
              <w:rPr>
                <w:snapToGrid w:val="0"/>
                <w:szCs w:val="20"/>
              </w:rPr>
              <w:t xml:space="preserve">m positive, and would be treated with </w:t>
            </w:r>
            <w:r w:rsidR="004F687F" w:rsidRPr="00C41F2B">
              <w:rPr>
                <w:snapToGrid w:val="0"/>
                <w:szCs w:val="20"/>
              </w:rPr>
              <w:t>1L</w:t>
            </w:r>
            <w:r w:rsidRPr="00C41F2B">
              <w:rPr>
                <w:snapToGrid w:val="0"/>
                <w:szCs w:val="20"/>
              </w:rPr>
              <w:t xml:space="preserve"> olaparib maintenance instead of bevacizumab.</w:t>
            </w:r>
          </w:p>
        </w:tc>
        <w:tc>
          <w:tcPr>
            <w:tcW w:w="2016" w:type="pct"/>
          </w:tcPr>
          <w:p w:rsidR="007E4185" w:rsidRPr="00C41F2B" w:rsidRDefault="00614782"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Not adequately addressed.</w:t>
            </w:r>
          </w:p>
          <w:p w:rsidR="00614782" w:rsidRPr="00C41F2B" w:rsidRDefault="00614782" w:rsidP="00BF2F47">
            <w:pPr>
              <w:pStyle w:val="TableText0"/>
              <w:keepNext w:val="0"/>
              <w:widowControl w:val="0"/>
              <w:rPr>
                <w:rFonts w:eastAsia="Times New Roman" w:cs="Arial"/>
                <w:bCs w:val="0"/>
                <w:snapToGrid w:val="0"/>
                <w:color w:val="000000" w:themeColor="text1"/>
                <w:szCs w:val="20"/>
              </w:rPr>
            </w:pPr>
          </w:p>
          <w:p w:rsidR="00614782" w:rsidRPr="00C41F2B" w:rsidRDefault="00614782" w:rsidP="002E321A">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This was not include</w:t>
            </w:r>
            <w:r w:rsidR="0042239D" w:rsidRPr="00C41F2B">
              <w:rPr>
                <w:rFonts w:eastAsia="Times New Roman" w:cs="Arial"/>
                <w:bCs w:val="0"/>
                <w:iCs/>
                <w:snapToGrid w:val="0"/>
                <w:color w:val="000000" w:themeColor="text1"/>
                <w:szCs w:val="20"/>
              </w:rPr>
              <w:t>d</w:t>
            </w:r>
            <w:r w:rsidRPr="00C41F2B">
              <w:rPr>
                <w:rFonts w:eastAsia="Times New Roman" w:cs="Arial"/>
                <w:bCs w:val="0"/>
                <w:iCs/>
                <w:snapToGrid w:val="0"/>
                <w:color w:val="000000" w:themeColor="text1"/>
                <w:szCs w:val="20"/>
              </w:rPr>
              <w:t xml:space="preserve"> in the resubmission base case, but as a sensitivity analysis. The</w:t>
            </w:r>
            <w:r w:rsidR="0042239D" w:rsidRPr="00C41F2B">
              <w:rPr>
                <w:rFonts w:eastAsia="Times New Roman" w:cs="Arial"/>
                <w:bCs w:val="0"/>
                <w:iCs/>
                <w:snapToGrid w:val="0"/>
                <w:color w:val="000000" w:themeColor="text1"/>
                <w:szCs w:val="20"/>
              </w:rPr>
              <w:t xml:space="preserve"> sensitivity analysis only impacted the QALYs accrued in the PFS1 health state and did not have any impact on PFS2 or Death.</w:t>
            </w:r>
          </w:p>
        </w:tc>
      </w:tr>
      <w:tr w:rsidR="007E4185" w:rsidRPr="00C41F2B" w:rsidTr="00BD64C1">
        <w:trPr>
          <w:cantSplit/>
          <w:trHeight w:val="83"/>
        </w:trPr>
        <w:tc>
          <w:tcPr>
            <w:tcW w:w="1098" w:type="pct"/>
            <w:vAlign w:val="center"/>
          </w:tcPr>
          <w:p w:rsidR="007E4185" w:rsidRPr="00C41F2B" w:rsidRDefault="00E43DFA" w:rsidP="00DD595E">
            <w:pPr>
              <w:pStyle w:val="TableText0"/>
              <w:keepNext w:val="0"/>
              <w:widowControl w:val="0"/>
              <w:rPr>
                <w:color w:val="000000" w:themeColor="text1"/>
                <w:szCs w:val="20"/>
              </w:rPr>
            </w:pPr>
            <w:r w:rsidRPr="00C41F2B">
              <w:rPr>
                <w:color w:val="000000" w:themeColor="text1"/>
                <w:szCs w:val="20"/>
              </w:rPr>
              <w:t>I</w:t>
            </w:r>
            <w:r w:rsidR="00DD595E" w:rsidRPr="00C41F2B">
              <w:t xml:space="preserve">ncremental cost effectiveness ratio (ICER) </w:t>
            </w:r>
            <w:r w:rsidRPr="00C41F2B">
              <w:rPr>
                <w:color w:val="000000" w:themeColor="text1"/>
                <w:szCs w:val="20"/>
              </w:rPr>
              <w:t>should be consistent with that accepted for 2L olaparib</w:t>
            </w:r>
          </w:p>
        </w:tc>
        <w:tc>
          <w:tcPr>
            <w:tcW w:w="1886" w:type="pct"/>
          </w:tcPr>
          <w:p w:rsidR="00E43DFA" w:rsidRPr="00C41F2B" w:rsidRDefault="001A49EE" w:rsidP="00BF2F47">
            <w:pPr>
              <w:pStyle w:val="TableText0"/>
              <w:keepNext w:val="0"/>
              <w:widowControl w:val="0"/>
              <w:rPr>
                <w:color w:val="000000" w:themeColor="text1"/>
                <w:szCs w:val="20"/>
              </w:rPr>
            </w:pPr>
            <w:r w:rsidRPr="00C41F2B">
              <w:rPr>
                <w:color w:val="000000" w:themeColor="text1"/>
                <w:szCs w:val="20"/>
              </w:rPr>
              <w:t>Paragraph 7.25</w:t>
            </w:r>
            <w:r w:rsidR="00E43DFA" w:rsidRPr="00C41F2B">
              <w:rPr>
                <w:color w:val="000000" w:themeColor="text1"/>
                <w:szCs w:val="20"/>
              </w:rPr>
              <w:t xml:space="preserve"> </w:t>
            </w:r>
          </w:p>
          <w:p w:rsidR="00453C72" w:rsidRPr="00C41F2B" w:rsidRDefault="00E43DFA" w:rsidP="00DA7BFE">
            <w:pPr>
              <w:pStyle w:val="TableText0"/>
              <w:keepNext w:val="0"/>
              <w:widowControl w:val="0"/>
              <w:rPr>
                <w:color w:val="000000" w:themeColor="text1"/>
                <w:szCs w:val="20"/>
              </w:rPr>
            </w:pPr>
            <w:r w:rsidRPr="00C41F2B">
              <w:rPr>
                <w:color w:val="000000" w:themeColor="text1"/>
                <w:szCs w:val="20"/>
              </w:rPr>
              <w:t xml:space="preserve">A reduced price resulting in an ICER consistent with that accepted for olaparib in the </w:t>
            </w:r>
            <w:r w:rsidR="004F687F" w:rsidRPr="00C41F2B">
              <w:rPr>
                <w:color w:val="000000" w:themeColor="text1"/>
                <w:szCs w:val="20"/>
              </w:rPr>
              <w:t>2L</w:t>
            </w:r>
            <w:r w:rsidRPr="00C41F2B">
              <w:rPr>
                <w:color w:val="000000" w:themeColor="text1"/>
                <w:szCs w:val="20"/>
              </w:rPr>
              <w:t xml:space="preserve"> setting (</w:t>
            </w:r>
            <w:r w:rsidR="00A3094E" w:rsidRPr="00A3094E">
              <w:rPr>
                <w:rFonts w:eastAsia="Times New Roman" w:cs="Arial"/>
                <w:bCs w:val="0"/>
                <w:iCs/>
                <w:snapToGrid w:val="0"/>
                <w:color w:val="000000" w:themeColor="text1"/>
                <w:szCs w:val="20"/>
              </w:rPr>
              <w:t>$55,000 to &lt; $75,000</w:t>
            </w:r>
            <w:r w:rsidRPr="00C41F2B">
              <w:rPr>
                <w:color w:val="000000" w:themeColor="text1"/>
                <w:szCs w:val="20"/>
              </w:rPr>
              <w:t xml:space="preserve">/QALY, Paragraph 7.25, 6.05 olaparib </w:t>
            </w:r>
            <w:r w:rsidR="00DA7BFE">
              <w:rPr>
                <w:color w:val="000000" w:themeColor="text1"/>
                <w:szCs w:val="20"/>
              </w:rPr>
              <w:t>PSD</w:t>
            </w:r>
            <w:r w:rsidRPr="00C41F2B">
              <w:rPr>
                <w:color w:val="000000" w:themeColor="text1"/>
                <w:szCs w:val="20"/>
              </w:rPr>
              <w:t xml:space="preserve">, November 2019 PBAC meeting). </w:t>
            </w:r>
          </w:p>
        </w:tc>
        <w:tc>
          <w:tcPr>
            <w:tcW w:w="2016" w:type="pct"/>
          </w:tcPr>
          <w:p w:rsidR="007E4185" w:rsidRPr="00C41F2B" w:rsidRDefault="0042239D" w:rsidP="00DA7BFE">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 xml:space="preserve">The ICER provided in the resubmission was below the </w:t>
            </w:r>
            <w:r w:rsidR="00A3094E" w:rsidRPr="00A3094E">
              <w:rPr>
                <w:rFonts w:eastAsia="Times New Roman" w:cs="Arial"/>
                <w:bCs w:val="0"/>
                <w:iCs/>
                <w:snapToGrid w:val="0"/>
                <w:color w:val="000000" w:themeColor="text1"/>
                <w:szCs w:val="20"/>
              </w:rPr>
              <w:t>$55,000 to &lt; $75,000</w:t>
            </w:r>
            <w:r w:rsidRPr="00C41F2B">
              <w:rPr>
                <w:rFonts w:eastAsia="Times New Roman" w:cs="Arial"/>
                <w:bCs w:val="0"/>
                <w:iCs/>
                <w:snapToGrid w:val="0"/>
                <w:color w:val="000000" w:themeColor="text1"/>
                <w:szCs w:val="20"/>
              </w:rPr>
              <w:t>/QALY</w:t>
            </w:r>
            <w:r w:rsidR="00493AE4" w:rsidRPr="00C41F2B">
              <w:rPr>
                <w:rFonts w:eastAsia="Times New Roman" w:cs="Arial"/>
                <w:bCs w:val="0"/>
                <w:iCs/>
                <w:snapToGrid w:val="0"/>
                <w:color w:val="000000" w:themeColor="text1"/>
                <w:szCs w:val="20"/>
              </w:rPr>
              <w:t xml:space="preserve"> as per the 2L olaparib PBAC</w:t>
            </w:r>
            <w:r w:rsidR="003F64FD" w:rsidRPr="00C41F2B">
              <w:rPr>
                <w:rFonts w:eastAsia="Times New Roman" w:cs="Arial"/>
                <w:bCs w:val="0"/>
                <w:iCs/>
                <w:snapToGrid w:val="0"/>
                <w:color w:val="000000" w:themeColor="text1"/>
                <w:szCs w:val="20"/>
              </w:rPr>
              <w:t xml:space="preserve"> </w:t>
            </w:r>
            <w:r w:rsidR="00DA7BFE">
              <w:rPr>
                <w:rFonts w:eastAsia="Times New Roman" w:cs="Arial"/>
                <w:bCs w:val="0"/>
                <w:iCs/>
                <w:snapToGrid w:val="0"/>
                <w:color w:val="000000" w:themeColor="text1"/>
                <w:szCs w:val="20"/>
              </w:rPr>
              <w:t>PSD</w:t>
            </w:r>
            <w:r w:rsidR="003F64FD" w:rsidRPr="00C41F2B">
              <w:rPr>
                <w:rFonts w:eastAsia="Times New Roman" w:cs="Arial"/>
                <w:bCs w:val="0"/>
                <w:iCs/>
                <w:snapToGrid w:val="0"/>
                <w:color w:val="000000" w:themeColor="text1"/>
                <w:szCs w:val="20"/>
              </w:rPr>
              <w:t>. However</w:t>
            </w:r>
            <w:r w:rsidR="001430F0" w:rsidRPr="00C41F2B">
              <w:rPr>
                <w:rFonts w:eastAsia="Times New Roman" w:cs="Arial"/>
                <w:bCs w:val="0"/>
                <w:iCs/>
                <w:snapToGrid w:val="0"/>
                <w:color w:val="000000" w:themeColor="text1"/>
                <w:szCs w:val="20"/>
              </w:rPr>
              <w:t xml:space="preserve">, the ESC considered this </w:t>
            </w:r>
            <w:r w:rsidR="0091383A">
              <w:rPr>
                <w:rFonts w:eastAsia="Times New Roman" w:cs="Arial"/>
                <w:bCs w:val="0"/>
                <w:iCs/>
                <w:snapToGrid w:val="0"/>
                <w:color w:val="000000" w:themeColor="text1"/>
                <w:szCs w:val="20"/>
              </w:rPr>
              <w:t>did</w:t>
            </w:r>
            <w:r w:rsidR="0091383A" w:rsidRPr="00C41F2B">
              <w:rPr>
                <w:rFonts w:eastAsia="Times New Roman" w:cs="Arial"/>
                <w:bCs w:val="0"/>
                <w:iCs/>
                <w:snapToGrid w:val="0"/>
                <w:color w:val="000000" w:themeColor="text1"/>
                <w:szCs w:val="20"/>
              </w:rPr>
              <w:t xml:space="preserve"> </w:t>
            </w:r>
            <w:r w:rsidR="001430F0" w:rsidRPr="00C41F2B">
              <w:rPr>
                <w:rFonts w:eastAsia="Times New Roman" w:cs="Arial"/>
                <w:bCs w:val="0"/>
                <w:iCs/>
                <w:snapToGrid w:val="0"/>
                <w:color w:val="000000" w:themeColor="text1"/>
                <w:szCs w:val="20"/>
              </w:rPr>
              <w:t>not represent an appropriate base case.</w:t>
            </w:r>
            <w:r w:rsidR="003F64FD" w:rsidRPr="00C41F2B">
              <w:rPr>
                <w:rFonts w:eastAsia="Times New Roman" w:cs="Arial"/>
                <w:bCs w:val="0"/>
                <w:iCs/>
                <w:snapToGrid w:val="0"/>
                <w:color w:val="000000" w:themeColor="text1"/>
                <w:szCs w:val="20"/>
              </w:rPr>
              <w:t xml:space="preserve"> </w:t>
            </w:r>
          </w:p>
        </w:tc>
      </w:tr>
      <w:tr w:rsidR="00E43DFA" w:rsidRPr="00C41F2B" w:rsidTr="00E43DFA">
        <w:trPr>
          <w:cantSplit/>
          <w:trHeight w:val="83"/>
        </w:trPr>
        <w:tc>
          <w:tcPr>
            <w:tcW w:w="5000" w:type="pct"/>
            <w:gridSpan w:val="3"/>
            <w:vAlign w:val="center"/>
          </w:tcPr>
          <w:p w:rsidR="00E43DFA" w:rsidRPr="00C41F2B" w:rsidRDefault="00E43DFA" w:rsidP="00BF2F47">
            <w:pPr>
              <w:pStyle w:val="TableText0"/>
              <w:keepNext w:val="0"/>
              <w:widowControl w:val="0"/>
              <w:rPr>
                <w:rFonts w:eastAsia="Times New Roman" w:cs="Arial"/>
                <w:b/>
                <w:bCs w:val="0"/>
                <w:snapToGrid w:val="0"/>
                <w:color w:val="0066FF"/>
                <w:szCs w:val="20"/>
              </w:rPr>
            </w:pPr>
            <w:r w:rsidRPr="00C41F2B">
              <w:rPr>
                <w:b/>
                <w:bCs w:val="0"/>
                <w:color w:val="000000" w:themeColor="text1"/>
                <w:szCs w:val="20"/>
              </w:rPr>
              <w:t>Financial Estimates</w:t>
            </w:r>
          </w:p>
        </w:tc>
      </w:tr>
      <w:tr w:rsidR="00E43DFA" w:rsidRPr="00C41F2B" w:rsidTr="00BD64C1">
        <w:trPr>
          <w:cantSplit/>
          <w:trHeight w:val="83"/>
        </w:trPr>
        <w:tc>
          <w:tcPr>
            <w:tcW w:w="1098" w:type="pct"/>
            <w:vAlign w:val="center"/>
          </w:tcPr>
          <w:p w:rsidR="00E43DFA" w:rsidRPr="00C41F2B" w:rsidRDefault="00E43DFA" w:rsidP="00BF2F47">
            <w:pPr>
              <w:pStyle w:val="TableText0"/>
              <w:keepNext w:val="0"/>
              <w:widowControl w:val="0"/>
              <w:rPr>
                <w:color w:val="000000" w:themeColor="text1"/>
                <w:szCs w:val="20"/>
              </w:rPr>
            </w:pPr>
            <w:r w:rsidRPr="00C41F2B">
              <w:rPr>
                <w:color w:val="000000" w:themeColor="text1"/>
                <w:szCs w:val="20"/>
              </w:rPr>
              <w:t xml:space="preserve">Prevalence of </w:t>
            </w:r>
            <w:proofErr w:type="spellStart"/>
            <w:r w:rsidRPr="00C41F2B">
              <w:rPr>
                <w:color w:val="000000" w:themeColor="text1"/>
                <w:szCs w:val="20"/>
              </w:rPr>
              <w:t>gBRCAm</w:t>
            </w:r>
            <w:proofErr w:type="spellEnd"/>
          </w:p>
        </w:tc>
        <w:tc>
          <w:tcPr>
            <w:tcW w:w="1886" w:type="pct"/>
          </w:tcPr>
          <w:p w:rsidR="00E43DFA" w:rsidRPr="00C41F2B" w:rsidRDefault="00E43DFA" w:rsidP="00BF2F47">
            <w:pPr>
              <w:pStyle w:val="TableText0"/>
              <w:keepNext w:val="0"/>
              <w:widowControl w:val="0"/>
              <w:rPr>
                <w:rFonts w:eastAsia="Times New Roman" w:cs="Arial"/>
                <w:bCs w:val="0"/>
                <w:snapToGrid w:val="0"/>
                <w:color w:val="000000" w:themeColor="text1"/>
                <w:szCs w:val="20"/>
              </w:rPr>
            </w:pPr>
            <w:r w:rsidRPr="00C41F2B">
              <w:rPr>
                <w:rFonts w:eastAsia="Times New Roman" w:cs="Arial"/>
                <w:bCs w:val="0"/>
                <w:snapToGrid w:val="0"/>
                <w:color w:val="000000" w:themeColor="text1"/>
                <w:szCs w:val="20"/>
              </w:rPr>
              <w:t>Paragraph 7.21</w:t>
            </w:r>
          </w:p>
          <w:p w:rsidR="00E43DFA" w:rsidRPr="00C41F2B" w:rsidRDefault="00A4689A" w:rsidP="00BF2F47">
            <w:pPr>
              <w:pStyle w:val="TableText0"/>
              <w:keepNext w:val="0"/>
              <w:widowControl w:val="0"/>
              <w:rPr>
                <w:rFonts w:eastAsia="Times New Roman" w:cs="Arial"/>
                <w:bCs w:val="0"/>
                <w:i/>
                <w:iCs/>
                <w:snapToGrid w:val="0"/>
                <w:color w:val="000000" w:themeColor="text1"/>
                <w:szCs w:val="20"/>
              </w:rPr>
            </w:pPr>
            <w:r w:rsidRPr="00C41F2B">
              <w:rPr>
                <w:rFonts w:eastAsia="Times New Roman" w:cs="Arial"/>
                <w:bCs w:val="0"/>
                <w:snapToGrid w:val="0"/>
                <w:color w:val="000000" w:themeColor="text1"/>
                <w:szCs w:val="20"/>
              </w:rPr>
              <w:t xml:space="preserve">The </w:t>
            </w:r>
            <w:r w:rsidR="00E43DFA" w:rsidRPr="00C41F2B">
              <w:rPr>
                <w:rFonts w:eastAsia="Times New Roman" w:cs="Arial"/>
                <w:bCs w:val="0"/>
                <w:snapToGrid w:val="0"/>
                <w:color w:val="000000" w:themeColor="text1"/>
                <w:szCs w:val="20"/>
              </w:rPr>
              <w:t xml:space="preserve">PBAC considered that using a prevalence for </w:t>
            </w:r>
            <w:proofErr w:type="spellStart"/>
            <w:r w:rsidR="00E43DFA" w:rsidRPr="00C41F2B">
              <w:rPr>
                <w:rFonts w:eastAsia="Times New Roman" w:cs="Arial"/>
                <w:bCs w:val="0"/>
                <w:snapToGrid w:val="0"/>
                <w:color w:val="000000" w:themeColor="text1"/>
                <w:szCs w:val="20"/>
              </w:rPr>
              <w:t>gBRCAm</w:t>
            </w:r>
            <w:proofErr w:type="spellEnd"/>
            <w:r w:rsidR="00E43DFA" w:rsidRPr="00C41F2B">
              <w:rPr>
                <w:rFonts w:eastAsia="Times New Roman" w:cs="Arial"/>
                <w:bCs w:val="0"/>
                <w:snapToGrid w:val="0"/>
                <w:color w:val="000000" w:themeColor="text1"/>
                <w:szCs w:val="20"/>
              </w:rPr>
              <w:t xml:space="preserve"> of 20.3% was reasonable.</w:t>
            </w:r>
            <w:r w:rsidR="00E43DFA" w:rsidRPr="00C41F2B">
              <w:rPr>
                <w:rFonts w:eastAsia="Times New Roman" w:cs="Arial"/>
                <w:bCs w:val="0"/>
                <w:i/>
                <w:iCs/>
                <w:snapToGrid w:val="0"/>
                <w:color w:val="000000" w:themeColor="text1"/>
                <w:szCs w:val="20"/>
              </w:rPr>
              <w:t xml:space="preserve"> </w:t>
            </w:r>
          </w:p>
        </w:tc>
        <w:tc>
          <w:tcPr>
            <w:tcW w:w="2016" w:type="pct"/>
          </w:tcPr>
          <w:p w:rsidR="00E43DFA" w:rsidRPr="00C41F2B" w:rsidRDefault="0096770F" w:rsidP="00BF2F47">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The resubmission adjusted the proportion of patients with </w:t>
            </w:r>
            <w:proofErr w:type="spellStart"/>
            <w:r w:rsidRPr="00C41F2B">
              <w:rPr>
                <w:rFonts w:eastAsia="Times New Roman" w:cs="Arial"/>
                <w:bCs w:val="0"/>
                <w:iCs/>
                <w:snapToGrid w:val="0"/>
                <w:color w:val="000000" w:themeColor="text1"/>
                <w:szCs w:val="20"/>
              </w:rPr>
              <w:t>gBRCAm</w:t>
            </w:r>
            <w:proofErr w:type="spellEnd"/>
            <w:r w:rsidRPr="00C41F2B">
              <w:rPr>
                <w:rFonts w:eastAsia="Times New Roman" w:cs="Arial"/>
                <w:bCs w:val="0"/>
                <w:iCs/>
                <w:snapToGrid w:val="0"/>
                <w:color w:val="000000" w:themeColor="text1"/>
                <w:szCs w:val="20"/>
              </w:rPr>
              <w:t xml:space="preserve"> to 20.3%. </w:t>
            </w:r>
          </w:p>
        </w:tc>
      </w:tr>
      <w:tr w:rsidR="000E77C3" w:rsidRPr="00C41F2B" w:rsidTr="00BD64C1">
        <w:trPr>
          <w:cantSplit/>
          <w:trHeight w:val="83"/>
        </w:trPr>
        <w:tc>
          <w:tcPr>
            <w:tcW w:w="1098" w:type="pct"/>
            <w:vAlign w:val="center"/>
          </w:tcPr>
          <w:p w:rsidR="000E77C3" w:rsidRPr="00C41F2B" w:rsidRDefault="000E77C3" w:rsidP="000E77C3">
            <w:pPr>
              <w:pStyle w:val="TableText0"/>
              <w:keepNext w:val="0"/>
              <w:widowControl w:val="0"/>
              <w:rPr>
                <w:color w:val="000000" w:themeColor="text1"/>
                <w:szCs w:val="20"/>
              </w:rPr>
            </w:pPr>
            <w:r w:rsidRPr="00C41F2B">
              <w:rPr>
                <w:color w:val="000000" w:themeColor="text1"/>
                <w:szCs w:val="20"/>
              </w:rPr>
              <w:lastRenderedPageBreak/>
              <w:t>Proportion of patients who receive subsequent therapies</w:t>
            </w:r>
          </w:p>
        </w:tc>
        <w:tc>
          <w:tcPr>
            <w:tcW w:w="1886" w:type="pct"/>
          </w:tcPr>
          <w:p w:rsidR="000E77C3" w:rsidRPr="00C41F2B" w:rsidRDefault="000E77C3" w:rsidP="000E77C3">
            <w:pPr>
              <w:pStyle w:val="TableText0"/>
              <w:keepNext w:val="0"/>
              <w:widowControl w:val="0"/>
              <w:rPr>
                <w:color w:val="000000" w:themeColor="text1"/>
                <w:szCs w:val="20"/>
              </w:rPr>
            </w:pPr>
            <w:r w:rsidRPr="00C41F2B">
              <w:rPr>
                <w:color w:val="000000" w:themeColor="text1"/>
                <w:szCs w:val="20"/>
              </w:rPr>
              <w:t>Paragraph 7.23</w:t>
            </w:r>
          </w:p>
          <w:p w:rsidR="000E77C3" w:rsidRPr="00C41F2B" w:rsidRDefault="000E77C3" w:rsidP="000E77C3">
            <w:pPr>
              <w:pStyle w:val="TableText0"/>
              <w:keepNext w:val="0"/>
              <w:widowControl w:val="0"/>
              <w:rPr>
                <w:color w:val="000000" w:themeColor="text1"/>
                <w:szCs w:val="20"/>
              </w:rPr>
            </w:pPr>
            <w:r w:rsidRPr="00C41F2B">
              <w:rPr>
                <w:szCs w:val="20"/>
              </w:rPr>
              <w:t xml:space="preserve">The PBAC considered that the proportion of patients who receive </w:t>
            </w:r>
            <w:r w:rsidR="004F687F" w:rsidRPr="00C41F2B">
              <w:rPr>
                <w:szCs w:val="20"/>
              </w:rPr>
              <w:t>2L</w:t>
            </w:r>
            <w:r w:rsidRPr="00C41F2B">
              <w:rPr>
                <w:szCs w:val="20"/>
              </w:rPr>
              <w:t xml:space="preserve"> olaparib in clinical practice may be higher than in the SOLO1 trial, in which cross-over was not allowed but patients could receive PARP inhibitors outside the trial, and therefore cost-offsets and benefits from </w:t>
            </w:r>
            <w:r w:rsidR="004F687F" w:rsidRPr="00C41F2B">
              <w:rPr>
                <w:szCs w:val="20"/>
              </w:rPr>
              <w:t>2L</w:t>
            </w:r>
            <w:r w:rsidRPr="00C41F2B">
              <w:rPr>
                <w:szCs w:val="20"/>
              </w:rPr>
              <w:t xml:space="preserve"> olaparib may be underestimated. </w:t>
            </w:r>
          </w:p>
        </w:tc>
        <w:tc>
          <w:tcPr>
            <w:tcW w:w="2016" w:type="pct"/>
          </w:tcPr>
          <w:p w:rsidR="000E77C3" w:rsidRPr="00C41F2B" w:rsidRDefault="000E77C3" w:rsidP="000E77C3">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Not adequately addressed. </w:t>
            </w:r>
          </w:p>
          <w:p w:rsidR="000E77C3" w:rsidRPr="00C41F2B" w:rsidRDefault="000E77C3" w:rsidP="000E77C3">
            <w:pPr>
              <w:pStyle w:val="TableText0"/>
              <w:keepNext w:val="0"/>
              <w:widowControl w:val="0"/>
              <w:rPr>
                <w:rFonts w:eastAsia="Times New Roman" w:cs="Arial"/>
                <w:bCs w:val="0"/>
                <w:iCs/>
                <w:snapToGrid w:val="0"/>
                <w:color w:val="000000" w:themeColor="text1"/>
                <w:szCs w:val="20"/>
              </w:rPr>
            </w:pPr>
          </w:p>
          <w:p w:rsidR="001430F0" w:rsidRPr="00C41F2B" w:rsidRDefault="001430F0" w:rsidP="000E77C3">
            <w:pPr>
              <w:pStyle w:val="TableText0"/>
              <w:keepNext w:val="0"/>
              <w:widowControl w:val="0"/>
              <w:rPr>
                <w:rFonts w:eastAsia="Times New Roman" w:cs="Arial"/>
                <w:bCs w:val="0"/>
                <w:iCs/>
                <w:snapToGrid w:val="0"/>
                <w:color w:val="000000" w:themeColor="text1"/>
                <w:szCs w:val="20"/>
              </w:rPr>
            </w:pPr>
            <w:r w:rsidRPr="00C41F2B">
              <w:rPr>
                <w:rFonts w:eastAsia="Times New Roman" w:cs="Arial"/>
                <w:bCs w:val="0"/>
                <w:iCs/>
                <w:snapToGrid w:val="0"/>
                <w:color w:val="000000" w:themeColor="text1"/>
                <w:szCs w:val="20"/>
              </w:rPr>
              <w:t xml:space="preserve">The use of subsequent therapies was based on </w:t>
            </w:r>
            <w:r w:rsidR="002E321A" w:rsidRPr="00C41F2B">
              <w:rPr>
                <w:rFonts w:eastAsia="Times New Roman" w:cs="Arial"/>
                <w:bCs w:val="0"/>
                <w:iCs/>
                <w:snapToGrid w:val="0"/>
                <w:color w:val="000000" w:themeColor="text1"/>
                <w:szCs w:val="20"/>
              </w:rPr>
              <w:t>that in SOLO1</w:t>
            </w:r>
            <w:r w:rsidR="00ED2586" w:rsidRPr="00C41F2B">
              <w:rPr>
                <w:rFonts w:eastAsia="Times New Roman" w:cs="Arial"/>
                <w:bCs w:val="0"/>
                <w:iCs/>
                <w:snapToGrid w:val="0"/>
                <w:color w:val="000000" w:themeColor="text1"/>
                <w:szCs w:val="20"/>
              </w:rPr>
              <w:t>.</w:t>
            </w:r>
          </w:p>
          <w:p w:rsidR="000E77C3" w:rsidRPr="00C41F2B" w:rsidRDefault="00ED2586" w:rsidP="001430F0">
            <w:pPr>
              <w:pStyle w:val="TableText0"/>
              <w:keepNext w:val="0"/>
              <w:widowControl w:val="0"/>
              <w:rPr>
                <w:rFonts w:eastAsia="Times New Roman" w:cs="Arial"/>
                <w:iCs/>
                <w:snapToGrid w:val="0"/>
                <w:color w:val="0066FF"/>
                <w:szCs w:val="20"/>
              </w:rPr>
            </w:pPr>
            <w:r w:rsidRPr="00C41F2B">
              <w:rPr>
                <w:rFonts w:eastAsia="Times New Roman" w:cs="Arial"/>
                <w:bCs w:val="0"/>
                <w:iCs/>
                <w:snapToGrid w:val="0"/>
                <w:color w:val="000000" w:themeColor="text1"/>
                <w:szCs w:val="20"/>
              </w:rPr>
              <w:t>S</w:t>
            </w:r>
            <w:r w:rsidR="000E77C3" w:rsidRPr="00C41F2B">
              <w:rPr>
                <w:rFonts w:eastAsia="Times New Roman" w:cs="Arial"/>
                <w:bCs w:val="0"/>
                <w:iCs/>
                <w:snapToGrid w:val="0"/>
                <w:color w:val="000000" w:themeColor="text1"/>
                <w:szCs w:val="20"/>
              </w:rPr>
              <w:t xml:space="preserve">ensitivity analyses relating to this variable </w:t>
            </w:r>
            <w:r w:rsidR="001430F0" w:rsidRPr="00C41F2B">
              <w:rPr>
                <w:rFonts w:eastAsia="Times New Roman" w:cs="Arial"/>
                <w:bCs w:val="0"/>
                <w:iCs/>
                <w:snapToGrid w:val="0"/>
                <w:color w:val="000000" w:themeColor="text1"/>
                <w:szCs w:val="20"/>
              </w:rPr>
              <w:t xml:space="preserve">were considered </w:t>
            </w:r>
            <w:r w:rsidR="000E77C3" w:rsidRPr="00C41F2B">
              <w:rPr>
                <w:rFonts w:eastAsia="Times New Roman" w:cs="Arial"/>
                <w:bCs w:val="0"/>
                <w:iCs/>
                <w:snapToGrid w:val="0"/>
                <w:color w:val="000000" w:themeColor="text1"/>
                <w:szCs w:val="20"/>
              </w:rPr>
              <w:t>uncertain.</w:t>
            </w:r>
          </w:p>
        </w:tc>
      </w:tr>
      <w:tr w:rsidR="00E43DFA" w:rsidRPr="00C41F2B" w:rsidTr="00BD64C1">
        <w:trPr>
          <w:cantSplit/>
          <w:trHeight w:val="83"/>
        </w:trPr>
        <w:tc>
          <w:tcPr>
            <w:tcW w:w="1098" w:type="pct"/>
            <w:vAlign w:val="center"/>
          </w:tcPr>
          <w:p w:rsidR="00E43DFA" w:rsidRPr="00C41F2B" w:rsidRDefault="00E43DFA" w:rsidP="00BF2F47">
            <w:pPr>
              <w:pStyle w:val="TableText0"/>
              <w:keepNext w:val="0"/>
              <w:widowControl w:val="0"/>
              <w:rPr>
                <w:color w:val="000000" w:themeColor="text1"/>
                <w:szCs w:val="20"/>
              </w:rPr>
            </w:pPr>
            <w:r w:rsidRPr="00C41F2B">
              <w:rPr>
                <w:color w:val="000000" w:themeColor="text1"/>
                <w:szCs w:val="20"/>
              </w:rPr>
              <w:t xml:space="preserve">Impact of bevacizumab for those with sub optimally </w:t>
            </w:r>
            <w:proofErr w:type="spellStart"/>
            <w:r w:rsidRPr="00C41F2B">
              <w:rPr>
                <w:color w:val="000000" w:themeColor="text1"/>
                <w:szCs w:val="20"/>
              </w:rPr>
              <w:t>debulked</w:t>
            </w:r>
            <w:proofErr w:type="spellEnd"/>
            <w:r w:rsidRPr="00C41F2B">
              <w:rPr>
                <w:color w:val="000000" w:themeColor="text1"/>
                <w:szCs w:val="20"/>
              </w:rPr>
              <w:t xml:space="preserve"> Stage IIIB/C and all Stage IV patients and are also BRCAm positive. </w:t>
            </w:r>
          </w:p>
        </w:tc>
        <w:tc>
          <w:tcPr>
            <w:tcW w:w="1886" w:type="pct"/>
          </w:tcPr>
          <w:p w:rsidR="00E43DFA" w:rsidRPr="00C41F2B" w:rsidRDefault="00E43DFA" w:rsidP="00BF2F47">
            <w:pPr>
              <w:pStyle w:val="TableText0"/>
              <w:keepNext w:val="0"/>
              <w:widowControl w:val="0"/>
              <w:rPr>
                <w:color w:val="000000" w:themeColor="text1"/>
                <w:szCs w:val="20"/>
              </w:rPr>
            </w:pPr>
            <w:r w:rsidRPr="00C41F2B">
              <w:rPr>
                <w:color w:val="000000" w:themeColor="text1"/>
                <w:szCs w:val="20"/>
              </w:rPr>
              <w:t>Paragraph 7.23 and 7.25</w:t>
            </w:r>
          </w:p>
          <w:p w:rsidR="00E43DFA" w:rsidRPr="00C41F2B" w:rsidRDefault="00E43DFA" w:rsidP="00BF2F47">
            <w:pPr>
              <w:pStyle w:val="TableText0"/>
              <w:keepNext w:val="0"/>
              <w:widowControl w:val="0"/>
              <w:rPr>
                <w:color w:val="000000" w:themeColor="text1"/>
                <w:szCs w:val="20"/>
              </w:rPr>
            </w:pPr>
            <w:r w:rsidRPr="00C41F2B">
              <w:rPr>
                <w:szCs w:val="20"/>
              </w:rPr>
              <w:t>T</w:t>
            </w:r>
            <w:r w:rsidRPr="00C41F2B">
              <w:rPr>
                <w:snapToGrid w:val="0"/>
                <w:szCs w:val="20"/>
              </w:rPr>
              <w:t xml:space="preserve">he PBAC also noted that bevacizumab was not considered as a comparator, and considered that it may be appropriate to include the impact of bevacizumab in the model for the patient population with </w:t>
            </w:r>
            <w:r w:rsidRPr="00C41F2B">
              <w:rPr>
                <w:szCs w:val="20"/>
              </w:rPr>
              <w:t>sub</w:t>
            </w:r>
            <w:r w:rsidR="00FD64FB">
              <w:rPr>
                <w:szCs w:val="20"/>
              </w:rPr>
              <w:t>-</w:t>
            </w:r>
            <w:r w:rsidRPr="00C41F2B">
              <w:rPr>
                <w:szCs w:val="20"/>
              </w:rPr>
              <w:t xml:space="preserve">optimally </w:t>
            </w:r>
            <w:proofErr w:type="spellStart"/>
            <w:r w:rsidRPr="00C41F2B">
              <w:rPr>
                <w:szCs w:val="20"/>
              </w:rPr>
              <w:t>debulked</w:t>
            </w:r>
            <w:proofErr w:type="spellEnd"/>
            <w:r w:rsidRPr="00C41F2B">
              <w:rPr>
                <w:szCs w:val="20"/>
              </w:rPr>
              <w:t xml:space="preserve"> Stage IIIB/C and all Stage IV patients</w:t>
            </w:r>
            <w:r w:rsidRPr="00C41F2B">
              <w:rPr>
                <w:snapToGrid w:val="0"/>
                <w:szCs w:val="20"/>
              </w:rPr>
              <w:t xml:space="preserve"> who are also </w:t>
            </w:r>
            <w:r w:rsidRPr="00C41F2B">
              <w:rPr>
                <w:i/>
                <w:snapToGrid w:val="0"/>
                <w:szCs w:val="20"/>
              </w:rPr>
              <w:t>BRCA</w:t>
            </w:r>
            <w:r w:rsidRPr="00C41F2B">
              <w:rPr>
                <w:snapToGrid w:val="0"/>
                <w:szCs w:val="20"/>
              </w:rPr>
              <w:t xml:space="preserve">m positive, and would be treated with </w:t>
            </w:r>
            <w:r w:rsidR="004F687F" w:rsidRPr="00C41F2B">
              <w:rPr>
                <w:snapToGrid w:val="0"/>
                <w:szCs w:val="20"/>
              </w:rPr>
              <w:t>1L</w:t>
            </w:r>
            <w:r w:rsidRPr="00C41F2B">
              <w:rPr>
                <w:snapToGrid w:val="0"/>
                <w:szCs w:val="20"/>
              </w:rPr>
              <w:t xml:space="preserve"> olaparib maintenance instead of bevacizumab.</w:t>
            </w:r>
          </w:p>
        </w:tc>
        <w:tc>
          <w:tcPr>
            <w:tcW w:w="2016" w:type="pct"/>
          </w:tcPr>
          <w:p w:rsidR="00E43DFA" w:rsidRPr="00C41F2B" w:rsidRDefault="000E77C3" w:rsidP="00BF2F47">
            <w:pPr>
              <w:pStyle w:val="TableText0"/>
              <w:keepNext w:val="0"/>
              <w:widowControl w:val="0"/>
              <w:rPr>
                <w:rFonts w:eastAsia="Times New Roman" w:cs="Arial"/>
                <w:bCs w:val="0"/>
                <w:snapToGrid w:val="0"/>
                <w:color w:val="000000" w:themeColor="text1"/>
                <w:szCs w:val="20"/>
              </w:rPr>
            </w:pPr>
            <w:r w:rsidRPr="00C41F2B">
              <w:rPr>
                <w:rFonts w:eastAsia="Times New Roman" w:cs="Arial"/>
                <w:bCs w:val="0"/>
                <w:snapToGrid w:val="0"/>
                <w:color w:val="000000" w:themeColor="text1"/>
                <w:szCs w:val="20"/>
              </w:rPr>
              <w:t xml:space="preserve">This was included as a sensitivity analysis. </w:t>
            </w:r>
          </w:p>
          <w:p w:rsidR="000E77C3" w:rsidRPr="00C41F2B" w:rsidRDefault="000E77C3" w:rsidP="00BF2F47">
            <w:pPr>
              <w:pStyle w:val="TableText0"/>
              <w:keepNext w:val="0"/>
              <w:widowControl w:val="0"/>
              <w:rPr>
                <w:rFonts w:eastAsia="Times New Roman" w:cs="Arial"/>
                <w:bCs w:val="0"/>
                <w:snapToGrid w:val="0"/>
                <w:color w:val="000000" w:themeColor="text1"/>
                <w:szCs w:val="20"/>
              </w:rPr>
            </w:pPr>
          </w:p>
          <w:p w:rsidR="000E77C3" w:rsidRPr="00C41F2B" w:rsidRDefault="000E77C3" w:rsidP="00BF2F47">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 xml:space="preserve">Although, this only impacted the estimated cost-offset, and did not impact down-stream costs relating to subsequent therapies. </w:t>
            </w:r>
          </w:p>
        </w:tc>
      </w:tr>
      <w:tr w:rsidR="004751CB" w:rsidRPr="00C41F2B" w:rsidTr="00B77ABF">
        <w:trPr>
          <w:cantSplit/>
          <w:trHeight w:val="83"/>
        </w:trPr>
        <w:tc>
          <w:tcPr>
            <w:tcW w:w="5000" w:type="pct"/>
            <w:gridSpan w:val="3"/>
            <w:tcBorders>
              <w:bottom w:val="single" w:sz="4" w:space="0" w:color="auto"/>
            </w:tcBorders>
            <w:vAlign w:val="center"/>
          </w:tcPr>
          <w:p w:rsidR="004751CB" w:rsidRPr="00C41F2B" w:rsidRDefault="004751CB" w:rsidP="00BF2F47">
            <w:pPr>
              <w:pStyle w:val="TableText0"/>
              <w:keepNext w:val="0"/>
              <w:widowControl w:val="0"/>
              <w:rPr>
                <w:rFonts w:eastAsia="Times New Roman" w:cs="Arial"/>
                <w:bCs w:val="0"/>
                <w:snapToGrid w:val="0"/>
                <w:color w:val="0066FF"/>
                <w:szCs w:val="20"/>
              </w:rPr>
            </w:pPr>
            <w:r w:rsidRPr="00C41F2B">
              <w:rPr>
                <w:b/>
                <w:bCs w:val="0"/>
                <w:color w:val="000000" w:themeColor="text1"/>
                <w:szCs w:val="20"/>
              </w:rPr>
              <w:t>Other</w:t>
            </w:r>
          </w:p>
        </w:tc>
      </w:tr>
      <w:tr w:rsidR="00E43DFA" w:rsidRPr="00C41F2B" w:rsidTr="00B77ABF">
        <w:trPr>
          <w:cantSplit/>
          <w:trHeight w:val="83"/>
        </w:trPr>
        <w:tc>
          <w:tcPr>
            <w:tcW w:w="1098" w:type="pct"/>
            <w:tcBorders>
              <w:bottom w:val="single" w:sz="4" w:space="0" w:color="auto"/>
            </w:tcBorders>
            <w:vAlign w:val="center"/>
          </w:tcPr>
          <w:p w:rsidR="00E43DFA" w:rsidRPr="00C41F2B" w:rsidRDefault="000E5442" w:rsidP="00BF2F47">
            <w:pPr>
              <w:pStyle w:val="TableText0"/>
              <w:keepNext w:val="0"/>
              <w:widowControl w:val="0"/>
              <w:rPr>
                <w:color w:val="000000" w:themeColor="text1"/>
                <w:szCs w:val="20"/>
              </w:rPr>
            </w:pPr>
            <w:r w:rsidRPr="00C41F2B">
              <w:rPr>
                <w:color w:val="000000" w:themeColor="text1"/>
                <w:szCs w:val="20"/>
              </w:rPr>
              <w:t>Risk-share arrangements</w:t>
            </w:r>
          </w:p>
        </w:tc>
        <w:tc>
          <w:tcPr>
            <w:tcW w:w="1886" w:type="pct"/>
            <w:tcBorders>
              <w:bottom w:val="single" w:sz="4" w:space="0" w:color="auto"/>
            </w:tcBorders>
          </w:tcPr>
          <w:p w:rsidR="00E43DFA" w:rsidRPr="00C41F2B" w:rsidRDefault="000E5442" w:rsidP="00BF2F47">
            <w:pPr>
              <w:pStyle w:val="TableText0"/>
              <w:keepNext w:val="0"/>
              <w:widowControl w:val="0"/>
              <w:rPr>
                <w:color w:val="000000" w:themeColor="text1"/>
                <w:szCs w:val="20"/>
              </w:rPr>
            </w:pPr>
            <w:r w:rsidRPr="00C41F2B">
              <w:rPr>
                <w:color w:val="000000" w:themeColor="text1"/>
                <w:szCs w:val="20"/>
              </w:rPr>
              <w:t>Paragraph 7.25</w:t>
            </w:r>
          </w:p>
          <w:p w:rsidR="000E5442" w:rsidRPr="00C41F2B" w:rsidRDefault="000E5442" w:rsidP="00BF2F47">
            <w:pPr>
              <w:pStyle w:val="TableText0"/>
              <w:keepNext w:val="0"/>
              <w:widowControl w:val="0"/>
              <w:rPr>
                <w:color w:val="000000" w:themeColor="text1"/>
                <w:szCs w:val="20"/>
              </w:rPr>
            </w:pPr>
            <w:r w:rsidRPr="00C41F2B">
              <w:rPr>
                <w:color w:val="000000" w:themeColor="text1"/>
                <w:szCs w:val="20"/>
              </w:rPr>
              <w:t xml:space="preserve">The PBAC considered that any future submissions for </w:t>
            </w:r>
            <w:r w:rsidR="004F687F" w:rsidRPr="00C41F2B">
              <w:rPr>
                <w:color w:val="000000" w:themeColor="text1"/>
                <w:szCs w:val="20"/>
              </w:rPr>
              <w:t>1L</w:t>
            </w:r>
            <w:r w:rsidRPr="00C41F2B">
              <w:rPr>
                <w:color w:val="000000" w:themeColor="text1"/>
                <w:szCs w:val="20"/>
              </w:rPr>
              <w:t xml:space="preserve"> olaparib should include additional details regarding any proposed RSA and estimates of the extent of adjustment to the expenditure caps that would be required.</w:t>
            </w:r>
          </w:p>
        </w:tc>
        <w:tc>
          <w:tcPr>
            <w:tcW w:w="2016" w:type="pct"/>
            <w:tcBorders>
              <w:bottom w:val="single" w:sz="4" w:space="0" w:color="auto"/>
            </w:tcBorders>
          </w:tcPr>
          <w:p w:rsidR="00E43DFA" w:rsidRPr="00C41F2B" w:rsidRDefault="000E77C3" w:rsidP="008E1277">
            <w:pPr>
              <w:pStyle w:val="TableText0"/>
              <w:keepNext w:val="0"/>
              <w:widowControl w:val="0"/>
              <w:rPr>
                <w:rFonts w:eastAsia="Times New Roman" w:cs="Arial"/>
                <w:bCs w:val="0"/>
                <w:iCs/>
                <w:snapToGrid w:val="0"/>
                <w:color w:val="0066FF"/>
                <w:szCs w:val="20"/>
              </w:rPr>
            </w:pPr>
            <w:r w:rsidRPr="00C41F2B">
              <w:rPr>
                <w:rFonts w:eastAsia="Times New Roman" w:cs="Arial"/>
                <w:bCs w:val="0"/>
                <w:iCs/>
                <w:snapToGrid w:val="0"/>
                <w:color w:val="000000" w:themeColor="text1"/>
                <w:szCs w:val="20"/>
              </w:rPr>
              <w:t>The submission provided additional details reg</w:t>
            </w:r>
            <w:r w:rsidR="003553B5" w:rsidRPr="00C41F2B">
              <w:rPr>
                <w:rFonts w:eastAsia="Times New Roman" w:cs="Arial"/>
                <w:bCs w:val="0"/>
                <w:iCs/>
                <w:snapToGrid w:val="0"/>
                <w:color w:val="000000" w:themeColor="text1"/>
                <w:szCs w:val="20"/>
              </w:rPr>
              <w:t>ar</w:t>
            </w:r>
            <w:r w:rsidRPr="00C41F2B">
              <w:rPr>
                <w:rFonts w:eastAsia="Times New Roman" w:cs="Arial"/>
                <w:bCs w:val="0"/>
                <w:iCs/>
                <w:snapToGrid w:val="0"/>
                <w:color w:val="000000" w:themeColor="text1"/>
                <w:szCs w:val="20"/>
              </w:rPr>
              <w:t xml:space="preserve">ding an increase in the subsidisation caps for olaparib, under an RSA. </w:t>
            </w:r>
          </w:p>
        </w:tc>
      </w:tr>
    </w:tbl>
    <w:p w:rsidR="005C25FF" w:rsidRPr="00C41F2B" w:rsidRDefault="005C25FF" w:rsidP="004E18E9">
      <w:pPr>
        <w:pStyle w:val="TableFigureFooter"/>
      </w:pPr>
      <w:r w:rsidRPr="00C41F2B">
        <w:t xml:space="preserve">Source: </w:t>
      </w:r>
      <w:r w:rsidR="000E77C3" w:rsidRPr="00C41F2B">
        <w:t>Complied during the evaluation</w:t>
      </w:r>
    </w:p>
    <w:p w:rsidR="00BD64C1" w:rsidRPr="00C41F2B" w:rsidRDefault="00DC5468" w:rsidP="004E18E9">
      <w:pPr>
        <w:pStyle w:val="TableFigureFooter"/>
      </w:pPr>
      <w:r w:rsidRPr="00C41F2B">
        <w:t xml:space="preserve">AOCS = The Australian Ovarian Cancer Study; </w:t>
      </w:r>
      <w:r w:rsidR="00BD64C1" w:rsidRPr="00C41F2B">
        <w:t xml:space="preserve">OS = overall survival; PFS2 = progression-free survival after </w:t>
      </w:r>
      <w:r w:rsidR="004F687F" w:rsidRPr="00C41F2B">
        <w:t>2L</w:t>
      </w:r>
      <w:r w:rsidR="00BD64C1" w:rsidRPr="00C41F2B">
        <w:t xml:space="preserve"> therapy; </w:t>
      </w:r>
    </w:p>
    <w:p w:rsidR="005C25FF" w:rsidRPr="00C41F2B" w:rsidRDefault="001B01D0" w:rsidP="000108E5">
      <w:pPr>
        <w:pStyle w:val="TableFigureFooter"/>
      </w:pPr>
      <w:proofErr w:type="spellStart"/>
      <w:proofErr w:type="gramStart"/>
      <w:r w:rsidRPr="00C41F2B">
        <w:rPr>
          <w:rFonts w:cs="Arial"/>
          <w:bCs/>
          <w:iCs/>
          <w:color w:val="000000" w:themeColor="text1"/>
          <w:szCs w:val="20"/>
          <w:vertAlign w:val="superscript"/>
        </w:rPr>
        <w:t>a</w:t>
      </w:r>
      <w:proofErr w:type="spellEnd"/>
      <w:proofErr w:type="gramEnd"/>
      <w:r w:rsidRPr="00C41F2B">
        <w:t xml:space="preserve"> The resubmission assumed that patients with a statistical “cure” will never experience progression (e.g. they have zero risk of progression) but remain at risk of death due to other causes.</w:t>
      </w:r>
    </w:p>
    <w:p w:rsidR="000108E5" w:rsidRPr="00C41F2B" w:rsidRDefault="000108E5" w:rsidP="000108E5">
      <w:pPr>
        <w:pStyle w:val="3-BodyText"/>
        <w:numPr>
          <w:ilvl w:val="0"/>
          <w:numId w:val="0"/>
        </w:numPr>
        <w:ind w:left="720" w:hanging="720"/>
        <w:rPr>
          <w:i/>
        </w:rPr>
      </w:pPr>
      <w:r w:rsidRPr="00C41F2B">
        <w:rPr>
          <w:i/>
        </w:rPr>
        <w:t>For more detail on PBAC’s view, see section 7 PBAC outcome.</w:t>
      </w:r>
    </w:p>
    <w:p w:rsidR="0099796D" w:rsidRPr="00C41F2B" w:rsidRDefault="0099796D" w:rsidP="0099796D">
      <w:pPr>
        <w:pStyle w:val="2-SectionHeading"/>
      </w:pPr>
      <w:bookmarkStart w:id="13" w:name="_Toc38305866"/>
      <w:r w:rsidRPr="00C41F2B">
        <w:t>Requested listing</w:t>
      </w:r>
      <w:bookmarkEnd w:id="13"/>
    </w:p>
    <w:p w:rsidR="004D3A04" w:rsidRPr="00C41F2B" w:rsidRDefault="004D3A04" w:rsidP="004D3A04">
      <w:pPr>
        <w:pStyle w:val="3-BodyText"/>
      </w:pPr>
      <w:r w:rsidRPr="00C41F2B">
        <w:t xml:space="preserve">The </w:t>
      </w:r>
      <w:r w:rsidR="00F93BC0" w:rsidRPr="00C41F2B">
        <w:t xml:space="preserve">listing </w:t>
      </w:r>
      <w:r w:rsidRPr="00C41F2B">
        <w:t>suggested by the Secretariat is provided below.</w:t>
      </w:r>
    </w:p>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Pr>
      <w:tblGrid>
        <w:gridCol w:w="2695"/>
        <w:gridCol w:w="992"/>
        <w:gridCol w:w="850"/>
        <w:gridCol w:w="851"/>
        <w:gridCol w:w="1843"/>
        <w:gridCol w:w="1796"/>
      </w:tblGrid>
      <w:tr w:rsidR="0099796D" w:rsidRPr="00C41F2B" w:rsidTr="007C3C9D">
        <w:trPr>
          <w:tblHeader/>
        </w:trPr>
        <w:tc>
          <w:tcPr>
            <w:tcW w:w="2694" w:type="dxa"/>
          </w:tcPr>
          <w:p w:rsidR="0099796D" w:rsidRPr="00C41F2B" w:rsidRDefault="0099796D" w:rsidP="007C3C9D">
            <w:pPr>
              <w:keepLines/>
              <w:spacing w:before="40" w:after="40" w:line="256" w:lineRule="auto"/>
              <w:rPr>
                <w:rFonts w:ascii="Arial Narrow" w:hAnsi="Arial Narrow"/>
                <w:b/>
                <w:sz w:val="20"/>
              </w:rPr>
            </w:pPr>
            <w:r w:rsidRPr="00C41F2B">
              <w:rPr>
                <w:rFonts w:ascii="Arial Narrow" w:hAnsi="Arial Narrow"/>
                <w:b/>
                <w:sz w:val="20"/>
              </w:rPr>
              <w:t>Name, restriction, manner of administration, form</w:t>
            </w:r>
          </w:p>
        </w:tc>
        <w:tc>
          <w:tcPr>
            <w:tcW w:w="992" w:type="dxa"/>
          </w:tcPr>
          <w:p w:rsidR="0099796D" w:rsidRPr="00C41F2B" w:rsidRDefault="0099796D" w:rsidP="007C3C9D">
            <w:pPr>
              <w:keepLines/>
              <w:spacing w:before="40" w:after="40" w:line="256" w:lineRule="auto"/>
              <w:rPr>
                <w:rFonts w:ascii="Arial Narrow" w:hAnsi="Arial Narrow"/>
                <w:b/>
                <w:sz w:val="20"/>
              </w:rPr>
            </w:pPr>
            <w:r w:rsidRPr="00C41F2B">
              <w:rPr>
                <w:rFonts w:ascii="Arial Narrow" w:hAnsi="Arial Narrow"/>
                <w:b/>
                <w:sz w:val="20"/>
              </w:rPr>
              <w:t xml:space="preserve">Max </w:t>
            </w:r>
            <w:proofErr w:type="spellStart"/>
            <w:r w:rsidRPr="00C41F2B">
              <w:rPr>
                <w:rFonts w:ascii="Arial Narrow" w:hAnsi="Arial Narrow"/>
                <w:b/>
                <w:sz w:val="20"/>
              </w:rPr>
              <w:t>qty</w:t>
            </w:r>
            <w:proofErr w:type="spellEnd"/>
            <w:r w:rsidRPr="00C41F2B">
              <w:rPr>
                <w:rFonts w:ascii="Arial Narrow" w:hAnsi="Arial Narrow"/>
                <w:b/>
                <w:sz w:val="20"/>
              </w:rPr>
              <w:t xml:space="preserve"> packs</w:t>
            </w:r>
          </w:p>
        </w:tc>
        <w:tc>
          <w:tcPr>
            <w:tcW w:w="850" w:type="dxa"/>
          </w:tcPr>
          <w:p w:rsidR="0099796D" w:rsidRPr="00C41F2B" w:rsidRDefault="0099796D" w:rsidP="007C3C9D">
            <w:pPr>
              <w:keepLines/>
              <w:spacing w:before="40" w:after="40" w:line="256" w:lineRule="auto"/>
              <w:rPr>
                <w:rFonts w:ascii="Arial Narrow" w:hAnsi="Arial Narrow"/>
                <w:b/>
                <w:sz w:val="20"/>
              </w:rPr>
            </w:pPr>
            <w:r w:rsidRPr="00C41F2B">
              <w:rPr>
                <w:rFonts w:ascii="Arial Narrow" w:hAnsi="Arial Narrow"/>
                <w:b/>
                <w:sz w:val="20"/>
              </w:rPr>
              <w:t xml:space="preserve">Max </w:t>
            </w:r>
            <w:proofErr w:type="spellStart"/>
            <w:r w:rsidRPr="00C41F2B">
              <w:rPr>
                <w:rFonts w:ascii="Arial Narrow" w:hAnsi="Arial Narrow"/>
                <w:b/>
                <w:sz w:val="20"/>
              </w:rPr>
              <w:t>qty</w:t>
            </w:r>
            <w:proofErr w:type="spellEnd"/>
            <w:r w:rsidRPr="00C41F2B">
              <w:rPr>
                <w:rFonts w:ascii="Arial Narrow" w:hAnsi="Arial Narrow"/>
                <w:b/>
                <w:sz w:val="20"/>
              </w:rPr>
              <w:t xml:space="preserve"> (units)</w:t>
            </w:r>
          </w:p>
        </w:tc>
        <w:tc>
          <w:tcPr>
            <w:tcW w:w="851" w:type="dxa"/>
          </w:tcPr>
          <w:p w:rsidR="0099796D" w:rsidRPr="00C41F2B" w:rsidRDefault="0099796D" w:rsidP="007C3C9D">
            <w:pPr>
              <w:keepLines/>
              <w:spacing w:before="40" w:after="40" w:line="256" w:lineRule="auto"/>
              <w:rPr>
                <w:rFonts w:ascii="Arial Narrow" w:hAnsi="Arial Narrow"/>
                <w:b/>
                <w:sz w:val="20"/>
              </w:rPr>
            </w:pPr>
            <w:r w:rsidRPr="00C41F2B">
              <w:rPr>
                <w:rFonts w:ascii="Arial Narrow" w:hAnsi="Arial Narrow"/>
                <w:b/>
                <w:sz w:val="20"/>
              </w:rPr>
              <w:t>No. of repeats</w:t>
            </w:r>
          </w:p>
        </w:tc>
        <w:tc>
          <w:tcPr>
            <w:tcW w:w="1843" w:type="dxa"/>
          </w:tcPr>
          <w:p w:rsidR="0099796D" w:rsidRPr="00C41F2B" w:rsidRDefault="0099796D" w:rsidP="007C3C9D">
            <w:pPr>
              <w:keepLines/>
              <w:spacing w:before="40" w:after="40" w:line="256" w:lineRule="auto"/>
              <w:rPr>
                <w:rFonts w:ascii="Arial Narrow" w:hAnsi="Arial Narrow"/>
                <w:b/>
                <w:sz w:val="20"/>
              </w:rPr>
            </w:pPr>
            <w:r w:rsidRPr="00C41F2B">
              <w:rPr>
                <w:rFonts w:ascii="Arial Narrow" w:hAnsi="Arial Narrow"/>
                <w:b/>
                <w:sz w:val="20"/>
              </w:rPr>
              <w:t xml:space="preserve">Dispensed price for maximum quantity </w:t>
            </w:r>
          </w:p>
        </w:tc>
        <w:tc>
          <w:tcPr>
            <w:tcW w:w="1796" w:type="dxa"/>
          </w:tcPr>
          <w:p w:rsidR="0099796D" w:rsidRPr="00C41F2B" w:rsidRDefault="0099796D" w:rsidP="007C3C9D">
            <w:pPr>
              <w:keepLines/>
              <w:spacing w:before="40" w:after="40" w:line="256" w:lineRule="auto"/>
              <w:rPr>
                <w:rFonts w:ascii="Arial Narrow" w:hAnsi="Arial Narrow"/>
                <w:b/>
                <w:sz w:val="20"/>
              </w:rPr>
            </w:pPr>
            <w:r w:rsidRPr="00C41F2B">
              <w:rPr>
                <w:rFonts w:ascii="Arial Narrow" w:hAnsi="Arial Narrow"/>
                <w:b/>
                <w:sz w:val="20"/>
              </w:rPr>
              <w:t>Proprietary name and manufacturer</w:t>
            </w:r>
          </w:p>
        </w:tc>
      </w:tr>
      <w:tr w:rsidR="0099796D" w:rsidRPr="00C41F2B" w:rsidTr="007C3C9D">
        <w:tc>
          <w:tcPr>
            <w:tcW w:w="2694"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Olaparib, tablet, 150mg, 100mg</w:t>
            </w:r>
          </w:p>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INITIAL TREATMENT</w:t>
            </w:r>
          </w:p>
        </w:tc>
        <w:tc>
          <w:tcPr>
            <w:tcW w:w="992"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2</w:t>
            </w:r>
          </w:p>
        </w:tc>
        <w:tc>
          <w:tcPr>
            <w:tcW w:w="850"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112</w:t>
            </w:r>
          </w:p>
        </w:tc>
        <w:tc>
          <w:tcPr>
            <w:tcW w:w="851"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2</w:t>
            </w:r>
          </w:p>
        </w:tc>
        <w:tc>
          <w:tcPr>
            <w:tcW w:w="1843" w:type="dxa"/>
          </w:tcPr>
          <w:p w:rsidR="0099796D" w:rsidRPr="00C41F2B" w:rsidRDefault="0099796D" w:rsidP="00A15D85">
            <w:pPr>
              <w:keepLines/>
              <w:spacing w:before="40" w:after="40" w:line="256" w:lineRule="auto"/>
              <w:rPr>
                <w:rFonts w:ascii="Arial Narrow" w:hAnsi="Arial Narrow"/>
                <w:sz w:val="20"/>
              </w:rPr>
            </w:pPr>
            <w:r w:rsidRPr="00C41F2B">
              <w:rPr>
                <w:rFonts w:ascii="Arial Narrow" w:hAnsi="Arial Narrow"/>
                <w:sz w:val="20"/>
              </w:rPr>
              <w:t>$6962.13 (published)</w:t>
            </w:r>
            <w:r w:rsidRPr="00C41F2B">
              <w:rPr>
                <w:rFonts w:ascii="Arial Narrow" w:hAnsi="Arial Narrow"/>
                <w:sz w:val="20"/>
              </w:rPr>
              <w:br/>
            </w:r>
            <w:r w:rsidRPr="00C41F2B">
              <w:rPr>
                <w:rFonts w:ascii="Arial Narrow" w:hAnsi="Arial Narrow"/>
                <w:iCs/>
                <w:sz w:val="20"/>
              </w:rPr>
              <w:t>$</w:t>
            </w:r>
            <w:r w:rsidR="00E9713A">
              <w:rPr>
                <w:rFonts w:ascii="Arial Narrow" w:hAnsi="Arial Narrow"/>
                <w:iCs/>
                <w:noProof/>
                <w:color w:val="000000"/>
                <w:sz w:val="20"/>
                <w:highlight w:val="black"/>
              </w:rPr>
              <w:t>''''''''''''''''''</w:t>
            </w:r>
            <w:r w:rsidRPr="00C41F2B">
              <w:rPr>
                <w:rFonts w:ascii="Arial Narrow" w:hAnsi="Arial Narrow"/>
                <w:iCs/>
                <w:sz w:val="20"/>
              </w:rPr>
              <w:t xml:space="preserve"> (effective)</w:t>
            </w:r>
          </w:p>
        </w:tc>
        <w:tc>
          <w:tcPr>
            <w:tcW w:w="1796"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LYNPARZA®</w:t>
            </w:r>
            <w:r w:rsidRPr="00C41F2B">
              <w:rPr>
                <w:rFonts w:ascii="Arial Narrow" w:hAnsi="Arial Narrow"/>
                <w:sz w:val="20"/>
              </w:rPr>
              <w:br/>
              <w:t>AstraZeneca Pty Ltd</w:t>
            </w:r>
          </w:p>
        </w:tc>
      </w:tr>
      <w:tr w:rsidR="0099796D" w:rsidRPr="00C41F2B" w:rsidTr="007C3C9D">
        <w:tc>
          <w:tcPr>
            <w:tcW w:w="2694"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Olaparib, tablet, 150mg, 100mg</w:t>
            </w:r>
          </w:p>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CONTINUING TREATMENT</w:t>
            </w:r>
          </w:p>
        </w:tc>
        <w:tc>
          <w:tcPr>
            <w:tcW w:w="992"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2</w:t>
            </w:r>
          </w:p>
        </w:tc>
        <w:tc>
          <w:tcPr>
            <w:tcW w:w="850"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112</w:t>
            </w:r>
          </w:p>
        </w:tc>
        <w:tc>
          <w:tcPr>
            <w:tcW w:w="851"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5</w:t>
            </w:r>
          </w:p>
        </w:tc>
        <w:tc>
          <w:tcPr>
            <w:tcW w:w="1843" w:type="dxa"/>
          </w:tcPr>
          <w:p w:rsidR="0099796D" w:rsidRPr="00C41F2B" w:rsidRDefault="0099796D" w:rsidP="00A15D85">
            <w:pPr>
              <w:keepLines/>
              <w:spacing w:before="40" w:after="40" w:line="256" w:lineRule="auto"/>
              <w:rPr>
                <w:rFonts w:ascii="Arial Narrow" w:hAnsi="Arial Narrow"/>
                <w:sz w:val="20"/>
              </w:rPr>
            </w:pPr>
            <w:r w:rsidRPr="00C41F2B">
              <w:rPr>
                <w:rFonts w:ascii="Arial Narrow" w:hAnsi="Arial Narrow"/>
                <w:sz w:val="20"/>
              </w:rPr>
              <w:t>$6962.13 (published)</w:t>
            </w:r>
            <w:r w:rsidRPr="00C41F2B">
              <w:rPr>
                <w:rFonts w:ascii="Arial Narrow" w:hAnsi="Arial Narrow"/>
                <w:sz w:val="20"/>
              </w:rPr>
              <w:br/>
            </w:r>
            <w:r w:rsidRPr="00C41F2B">
              <w:rPr>
                <w:rFonts w:ascii="Arial Narrow" w:hAnsi="Arial Narrow"/>
                <w:iCs/>
                <w:sz w:val="20"/>
              </w:rPr>
              <w:t>$</w:t>
            </w:r>
            <w:r w:rsidR="00E9713A">
              <w:rPr>
                <w:rFonts w:ascii="Arial Narrow" w:hAnsi="Arial Narrow"/>
                <w:iCs/>
                <w:noProof/>
                <w:color w:val="000000"/>
                <w:sz w:val="20"/>
                <w:highlight w:val="black"/>
              </w:rPr>
              <w:t>'''''''''''''''''''</w:t>
            </w:r>
            <w:r w:rsidRPr="00C41F2B">
              <w:rPr>
                <w:rFonts w:ascii="Arial Narrow" w:hAnsi="Arial Narrow"/>
                <w:iCs/>
                <w:sz w:val="20"/>
              </w:rPr>
              <w:t xml:space="preserve"> (effective)</w:t>
            </w:r>
          </w:p>
        </w:tc>
        <w:tc>
          <w:tcPr>
            <w:tcW w:w="1796" w:type="dxa"/>
          </w:tcPr>
          <w:p w:rsidR="0099796D" w:rsidRPr="00C41F2B" w:rsidRDefault="0099796D" w:rsidP="007C3C9D">
            <w:pPr>
              <w:keepLines/>
              <w:spacing w:before="40" w:after="40" w:line="256" w:lineRule="auto"/>
              <w:rPr>
                <w:rFonts w:ascii="Arial Narrow" w:hAnsi="Arial Narrow"/>
                <w:sz w:val="20"/>
              </w:rPr>
            </w:pPr>
            <w:r w:rsidRPr="00C41F2B">
              <w:rPr>
                <w:rFonts w:ascii="Arial Narrow" w:hAnsi="Arial Narrow"/>
                <w:sz w:val="20"/>
              </w:rPr>
              <w:t>LYNPARZA®</w:t>
            </w:r>
            <w:r w:rsidRPr="00C41F2B">
              <w:rPr>
                <w:rFonts w:ascii="Arial Narrow" w:hAnsi="Arial Narrow"/>
                <w:sz w:val="20"/>
              </w:rPr>
              <w:br/>
              <w:t>AstraZeneca Pty Ltd</w:t>
            </w:r>
          </w:p>
        </w:tc>
      </w:tr>
    </w:tbl>
    <w:tbl>
      <w:tblPr>
        <w:tblStyle w:val="TableGrid"/>
        <w:tblW w:w="5000" w:type="pct"/>
        <w:tblInd w:w="-5" w:type="dxa"/>
        <w:tblLook w:val="04A0" w:firstRow="1" w:lastRow="0" w:firstColumn="1" w:lastColumn="0" w:noHBand="0" w:noVBand="1"/>
      </w:tblPr>
      <w:tblGrid>
        <w:gridCol w:w="9017"/>
      </w:tblGrid>
      <w:tr w:rsidR="00D609B1" w:rsidRPr="00C41F2B" w:rsidTr="00D609B1">
        <w:tc>
          <w:tcPr>
            <w:tcW w:w="5000" w:type="pct"/>
            <w:tcBorders>
              <w:top w:val="single" w:sz="4" w:space="0" w:color="auto"/>
              <w:left w:val="single" w:sz="4" w:space="0" w:color="auto"/>
              <w:bottom w:val="single" w:sz="4" w:space="0" w:color="auto"/>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Category / Program</w:t>
            </w:r>
            <w:r w:rsidR="00D041FB" w:rsidRPr="00C41F2B">
              <w:rPr>
                <w:rFonts w:ascii="Arial Narrow" w:hAnsi="Arial Narrow"/>
                <w:b/>
                <w:sz w:val="20"/>
                <w:szCs w:val="20"/>
                <w:lang w:eastAsia="en-AU" w:bidi="en-US"/>
              </w:rPr>
              <w:t>:</w:t>
            </w:r>
            <w:r w:rsidRPr="00C41F2B">
              <w:rPr>
                <w:rFonts w:ascii="Arial Narrow" w:hAnsi="Arial Narrow"/>
                <w:sz w:val="20"/>
                <w:szCs w:val="20"/>
                <w:lang w:eastAsia="en-AU" w:bidi="en-US"/>
              </w:rPr>
              <w:t xml:space="preserve"> Section 85 – General Schedule</w:t>
            </w:r>
          </w:p>
        </w:tc>
      </w:tr>
      <w:tr w:rsidR="00D609B1" w:rsidRPr="00C41F2B" w:rsidTr="00D609B1">
        <w:tc>
          <w:tcPr>
            <w:tcW w:w="5000" w:type="pct"/>
            <w:tcBorders>
              <w:top w:val="single" w:sz="4" w:space="0" w:color="auto"/>
              <w:left w:val="single" w:sz="4" w:space="0" w:color="auto"/>
              <w:bottom w:val="single" w:sz="4" w:space="0" w:color="auto"/>
              <w:right w:val="single" w:sz="4" w:space="0" w:color="auto"/>
            </w:tcBorders>
            <w:hideMark/>
          </w:tcPr>
          <w:p w:rsidR="00D609B1" w:rsidRPr="00C41F2B" w:rsidRDefault="00D609B1"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Prescriber type</w:t>
            </w:r>
            <w:r w:rsidR="00D041FB" w:rsidRPr="00C41F2B">
              <w:rPr>
                <w:rFonts w:ascii="Arial Narrow" w:hAnsi="Arial Narrow"/>
                <w:b/>
                <w:sz w:val="20"/>
                <w:szCs w:val="20"/>
                <w:lang w:eastAsia="en-AU" w:bidi="en-US"/>
              </w:rPr>
              <w:t>:</w:t>
            </w:r>
            <w:r w:rsidRPr="00C41F2B">
              <w:rPr>
                <w:rFonts w:ascii="Arial Narrow" w:hAnsi="Arial Narrow"/>
                <w:sz w:val="20"/>
                <w:szCs w:val="20"/>
                <w:lang w:eastAsia="en-AU" w:bidi="en-US"/>
              </w:rPr>
              <w:t xml:space="preserve"> </w:t>
            </w:r>
            <w:r w:rsidRPr="00C41F2B">
              <w:rPr>
                <w:rFonts w:ascii="Arial Narrow" w:hAnsi="Arial Narrow"/>
                <w:sz w:val="20"/>
                <w:szCs w:val="20"/>
                <w:lang w:eastAsia="en-AU" w:bidi="en-US"/>
              </w:rPr>
              <w:fldChar w:fldCharType="begin">
                <w:ffData>
                  <w:name w:val="Check1"/>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Medical Practitioners </w:t>
            </w:r>
          </w:p>
        </w:tc>
      </w:tr>
      <w:tr w:rsidR="00D609B1" w:rsidRPr="00C41F2B" w:rsidTr="00D609B1">
        <w:tc>
          <w:tcPr>
            <w:tcW w:w="5000" w:type="pct"/>
            <w:tcBorders>
              <w:top w:val="single" w:sz="4" w:space="0" w:color="auto"/>
              <w:left w:val="single" w:sz="4" w:space="0" w:color="auto"/>
              <w:bottom w:val="single" w:sz="4" w:space="0" w:color="auto"/>
              <w:right w:val="single" w:sz="4" w:space="0" w:color="auto"/>
            </w:tcBorders>
            <w:hideMark/>
          </w:tcPr>
          <w:p w:rsidR="00D609B1" w:rsidRPr="00C41F2B" w:rsidRDefault="00D609B1">
            <w:pPr>
              <w:rPr>
                <w:rFonts w:ascii="Arial Narrow" w:hAnsi="Arial Narrow" w:cs="Arial"/>
                <w:b/>
                <w:sz w:val="20"/>
                <w:szCs w:val="20"/>
                <w:lang w:eastAsia="en-AU"/>
              </w:rPr>
            </w:pPr>
            <w:r w:rsidRPr="00C41F2B">
              <w:rPr>
                <w:rFonts w:ascii="Arial Narrow" w:hAnsi="Arial Narrow" w:cs="Arial"/>
                <w:b/>
                <w:sz w:val="20"/>
                <w:szCs w:val="20"/>
                <w:lang w:eastAsia="en-AU"/>
              </w:rPr>
              <w:t>Restriction Level / Method:</w:t>
            </w:r>
          </w:p>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fldChar w:fldCharType="begin">
                <w:ffData>
                  <w:name w:val="Check1"/>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Authority Required – Telephone/Electronic</w:t>
            </w:r>
          </w:p>
        </w:tc>
      </w:tr>
      <w:tr w:rsidR="00D609B1" w:rsidRPr="00C41F2B" w:rsidTr="00D609B1">
        <w:tc>
          <w:tcPr>
            <w:tcW w:w="5000" w:type="pct"/>
            <w:tcBorders>
              <w:top w:val="single" w:sz="4" w:space="0" w:color="auto"/>
              <w:left w:val="single" w:sz="4" w:space="0" w:color="auto"/>
              <w:bottom w:val="single" w:sz="4" w:space="0" w:color="auto"/>
              <w:right w:val="single" w:sz="4" w:space="0" w:color="auto"/>
            </w:tcBorders>
            <w:hideMark/>
          </w:tcPr>
          <w:p w:rsidR="00D609B1" w:rsidRPr="00C41F2B" w:rsidRDefault="00D609B1"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Condition:</w:t>
            </w:r>
            <w:r w:rsidRPr="00C41F2B">
              <w:rPr>
                <w:rFonts w:ascii="Arial Narrow" w:hAnsi="Arial Narrow"/>
                <w:sz w:val="20"/>
                <w:szCs w:val="20"/>
                <w:lang w:eastAsia="en-AU" w:bidi="en-US"/>
              </w:rPr>
              <w:t xml:space="preserve"> High grade epithelial ovarian, fallopian tube or primary peritoneal cancer</w:t>
            </w:r>
          </w:p>
        </w:tc>
      </w:tr>
      <w:tr w:rsidR="00D609B1" w:rsidRPr="00C41F2B" w:rsidTr="00D609B1">
        <w:tc>
          <w:tcPr>
            <w:tcW w:w="5000" w:type="pct"/>
            <w:tcBorders>
              <w:top w:val="single" w:sz="4" w:space="0" w:color="auto"/>
              <w:left w:val="single" w:sz="4" w:space="0" w:color="auto"/>
              <w:bottom w:val="single" w:sz="4" w:space="0" w:color="auto"/>
              <w:right w:val="single" w:sz="4" w:space="0" w:color="auto"/>
            </w:tcBorders>
            <w:hideMark/>
          </w:tcPr>
          <w:p w:rsidR="00D609B1" w:rsidRPr="00C41F2B" w:rsidRDefault="00D609B1"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PBS Indication:</w:t>
            </w:r>
            <w:r w:rsidRPr="00C41F2B">
              <w:rPr>
                <w:rFonts w:ascii="Arial Narrow" w:hAnsi="Arial Narrow"/>
                <w:sz w:val="20"/>
                <w:szCs w:val="20"/>
                <w:lang w:eastAsia="en-AU" w:bidi="en-US"/>
              </w:rPr>
              <w:t xml:space="preserve"> High grade epithelial ovarian, fallopian tube or primary peritoneal cancer</w:t>
            </w:r>
          </w:p>
        </w:tc>
      </w:tr>
      <w:tr w:rsidR="00D609B1" w:rsidRPr="00C41F2B" w:rsidTr="00D041FB">
        <w:tc>
          <w:tcPr>
            <w:tcW w:w="5000" w:type="pct"/>
            <w:tcBorders>
              <w:top w:val="single" w:sz="4" w:space="0" w:color="auto"/>
              <w:left w:val="single" w:sz="4" w:space="0" w:color="auto"/>
              <w:bottom w:val="single" w:sz="4" w:space="0" w:color="auto"/>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lastRenderedPageBreak/>
              <w:t>Treatment phase</w:t>
            </w:r>
            <w:r w:rsidRPr="00C41F2B">
              <w:rPr>
                <w:rFonts w:ascii="Arial Narrow" w:hAnsi="Arial Narrow"/>
                <w:sz w:val="20"/>
                <w:szCs w:val="20"/>
                <w:lang w:eastAsia="en-AU" w:bidi="en-US"/>
              </w:rPr>
              <w:t>: Initial treatment</w:t>
            </w:r>
          </w:p>
        </w:tc>
      </w:tr>
      <w:tr w:rsidR="00D609B1" w:rsidRPr="00C41F2B" w:rsidTr="00D041FB">
        <w:tc>
          <w:tcPr>
            <w:tcW w:w="5000" w:type="pct"/>
            <w:tcBorders>
              <w:top w:val="single" w:sz="4" w:space="0" w:color="auto"/>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Clinical criteria:</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rsidP="00F93BC0">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condition must be a class 4 or 5 BRCA1 or BRCA2 gene mutation</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condition must be platinum sensitive</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be in partial or complete response to the immediately preceding platinum-based chemotherapy regimen</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the sole PBS-subsidised therapy for this condition</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maintenance therapy</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609B1" w:rsidRPr="00C41F2B" w:rsidTr="00D041FB">
        <w:tc>
          <w:tcPr>
            <w:tcW w:w="5000" w:type="pct"/>
            <w:tcBorders>
              <w:top w:val="nil"/>
              <w:left w:val="single" w:sz="4" w:space="0" w:color="auto"/>
              <w:bottom w:val="single" w:sz="4" w:space="0" w:color="auto"/>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not have previously received PBS-subsidised treatment with this drug for this condition</w:t>
            </w:r>
          </w:p>
        </w:tc>
      </w:tr>
      <w:tr w:rsidR="00D609B1" w:rsidRPr="00C41F2B" w:rsidTr="00D041FB">
        <w:tc>
          <w:tcPr>
            <w:tcW w:w="5000" w:type="pct"/>
            <w:tcBorders>
              <w:top w:val="single" w:sz="4" w:space="0" w:color="auto"/>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 xml:space="preserve">Prescriber Instructions: </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Platinum sensitivity is defined as disease progression greater than 6 months after completion of the penultimate platinum regimen</w:t>
            </w:r>
          </w:p>
        </w:tc>
      </w:tr>
      <w:tr w:rsidR="00D609B1" w:rsidRPr="00C41F2B" w:rsidTr="00D041FB">
        <w:tc>
          <w:tcPr>
            <w:tcW w:w="5000" w:type="pct"/>
            <w:tcBorders>
              <w:top w:val="nil"/>
              <w:left w:val="single" w:sz="4" w:space="0" w:color="auto"/>
              <w:bottom w:val="nil"/>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 xml:space="preserve">A response (complete or partial) to the platinum-based chemotherapy regimen is to be assessed using either Gynaecologic Cancer </w:t>
            </w:r>
            <w:proofErr w:type="spellStart"/>
            <w:r w:rsidRPr="00C41F2B">
              <w:rPr>
                <w:rFonts w:ascii="Arial Narrow" w:hAnsi="Arial Narrow"/>
                <w:sz w:val="20"/>
                <w:szCs w:val="20"/>
                <w:lang w:eastAsia="en-AU" w:bidi="en-US"/>
              </w:rPr>
              <w:t>InterGroup</w:t>
            </w:r>
            <w:proofErr w:type="spellEnd"/>
            <w:r w:rsidRPr="00C41F2B">
              <w:rPr>
                <w:rFonts w:ascii="Arial Narrow" w:hAnsi="Arial Narrow"/>
                <w:sz w:val="20"/>
                <w:szCs w:val="20"/>
                <w:lang w:eastAsia="en-AU" w:bidi="en-US"/>
              </w:rPr>
              <w:t xml:space="preserve"> (GCIC) or Response Evaluation in Solid Tumours (RECIST) guidelines</w:t>
            </w:r>
          </w:p>
        </w:tc>
      </w:tr>
      <w:tr w:rsidR="00D609B1" w:rsidRPr="00C41F2B" w:rsidTr="00D041FB">
        <w:tc>
          <w:tcPr>
            <w:tcW w:w="5000" w:type="pct"/>
            <w:tcBorders>
              <w:top w:val="nil"/>
              <w:left w:val="single" w:sz="4" w:space="0" w:color="auto"/>
              <w:bottom w:val="single" w:sz="4" w:space="0" w:color="auto"/>
              <w:right w:val="single" w:sz="4" w:space="0" w:color="auto"/>
            </w:tcBorders>
            <w:hideMark/>
          </w:tcPr>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Evidence of a BRCA1 or BRCA2 gene mutation must be derived through germline or somatic testing of a BRCA1 or BRCA2 gene mutation.</w:t>
            </w:r>
          </w:p>
        </w:tc>
      </w:tr>
      <w:tr w:rsidR="00D609B1" w:rsidRPr="00C41F2B" w:rsidTr="00D609B1">
        <w:tc>
          <w:tcPr>
            <w:tcW w:w="5000" w:type="pct"/>
            <w:tcBorders>
              <w:top w:val="single" w:sz="4" w:space="0" w:color="auto"/>
              <w:left w:val="single" w:sz="4" w:space="0" w:color="auto"/>
              <w:bottom w:val="single" w:sz="4" w:space="0" w:color="auto"/>
              <w:right w:val="single" w:sz="4" w:space="0" w:color="auto"/>
            </w:tcBorders>
          </w:tcPr>
          <w:p w:rsidR="00D609B1" w:rsidRPr="00C41F2B" w:rsidRDefault="00D609B1">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 xml:space="preserve">Administrative Advice: </w:t>
            </w:r>
          </w:p>
          <w:p w:rsidR="00D609B1" w:rsidRPr="00C41F2B" w:rsidRDefault="00D609B1">
            <w:pPr>
              <w:spacing w:before="20" w:after="20"/>
              <w:jc w:val="left"/>
              <w:rPr>
                <w:rFonts w:ascii="Arial Narrow" w:hAnsi="Arial Narrow"/>
                <w:sz w:val="20"/>
                <w:szCs w:val="20"/>
                <w:lang w:eastAsia="en-AU" w:bidi="en-US"/>
              </w:rPr>
            </w:pPr>
            <w:r w:rsidRPr="00C41F2B">
              <w:rPr>
                <w:rFonts w:ascii="Arial Narrow" w:hAnsi="Arial Narrow"/>
                <w:i/>
                <w:sz w:val="20"/>
                <w:szCs w:val="20"/>
                <w:lang w:eastAsia="en-AU" w:bidi="en-US"/>
              </w:rPr>
              <w:t>Applications for authorisation under this restriction may be made in real time using the Online PBS Authorities system (see www.servicesaustralia.gov.au/HPOS) or by telephone by contacting Services Australia on 1800 888 333.</w:t>
            </w:r>
          </w:p>
          <w:p w:rsidR="00D609B1" w:rsidRPr="00C41F2B" w:rsidRDefault="00D609B1">
            <w:pPr>
              <w:spacing w:before="20" w:after="20"/>
              <w:jc w:val="left"/>
              <w:rPr>
                <w:rFonts w:ascii="Arial Narrow" w:hAnsi="Arial Narrow"/>
                <w:i/>
                <w:sz w:val="20"/>
                <w:szCs w:val="20"/>
                <w:lang w:eastAsia="en-AU" w:bidi="en-US"/>
              </w:rPr>
            </w:pPr>
            <w:r w:rsidRPr="00C41F2B">
              <w:rPr>
                <w:rFonts w:ascii="Arial Narrow" w:hAnsi="Arial Narrow"/>
                <w:sz w:val="20"/>
                <w:szCs w:val="20"/>
                <w:lang w:eastAsia="en-AU" w:bidi="en-US"/>
              </w:rPr>
              <w:t>Special Pricing Arrangements apply</w:t>
            </w:r>
          </w:p>
        </w:tc>
      </w:tr>
    </w:tbl>
    <w:p w:rsidR="0099796D" w:rsidRPr="00C41F2B" w:rsidRDefault="0099796D" w:rsidP="0099796D"/>
    <w:tbl>
      <w:tblPr>
        <w:tblStyle w:val="TableGrid"/>
        <w:tblW w:w="5000" w:type="pct"/>
        <w:tblLook w:val="04A0" w:firstRow="1" w:lastRow="0" w:firstColumn="1" w:lastColumn="0" w:noHBand="0" w:noVBand="1"/>
      </w:tblPr>
      <w:tblGrid>
        <w:gridCol w:w="9017"/>
      </w:tblGrid>
      <w:tr w:rsidR="00D041FB" w:rsidRPr="00C41F2B" w:rsidTr="00D041FB">
        <w:tc>
          <w:tcPr>
            <w:tcW w:w="5000" w:type="pct"/>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Category / Program:</w:t>
            </w:r>
            <w:r w:rsidRPr="00C41F2B">
              <w:rPr>
                <w:rFonts w:ascii="Arial Narrow" w:hAnsi="Arial Narrow"/>
                <w:sz w:val="20"/>
                <w:szCs w:val="20"/>
                <w:lang w:eastAsia="en-AU" w:bidi="en-US"/>
              </w:rPr>
              <w:t xml:space="preserve"> Section 85 – General Schedule</w:t>
            </w:r>
          </w:p>
        </w:tc>
      </w:tr>
      <w:tr w:rsidR="00D041FB" w:rsidRPr="00C41F2B" w:rsidTr="00D041FB">
        <w:tc>
          <w:tcPr>
            <w:tcW w:w="5000" w:type="pct"/>
            <w:hideMark/>
          </w:tcPr>
          <w:p w:rsidR="00D041FB" w:rsidRPr="00C41F2B" w:rsidRDefault="00D041FB"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Prescriber type:</w:t>
            </w:r>
            <w:r w:rsidRPr="00C41F2B">
              <w:rPr>
                <w:rFonts w:ascii="Arial Narrow" w:hAnsi="Arial Narrow"/>
                <w:sz w:val="20"/>
                <w:szCs w:val="20"/>
                <w:lang w:eastAsia="en-AU" w:bidi="en-US"/>
              </w:rPr>
              <w:t xml:space="preserve"> </w:t>
            </w:r>
            <w:r w:rsidRPr="00C41F2B">
              <w:rPr>
                <w:rFonts w:ascii="Arial Narrow" w:hAnsi="Arial Narrow"/>
                <w:sz w:val="20"/>
                <w:szCs w:val="20"/>
                <w:lang w:eastAsia="en-AU" w:bidi="en-US"/>
              </w:rPr>
              <w:fldChar w:fldCharType="begin">
                <w:ffData>
                  <w:name w:val="Check1"/>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Medical Practitioners </w:t>
            </w:r>
          </w:p>
        </w:tc>
      </w:tr>
      <w:tr w:rsidR="00D041FB" w:rsidRPr="00C41F2B" w:rsidTr="00D041FB">
        <w:tc>
          <w:tcPr>
            <w:tcW w:w="5000" w:type="pct"/>
            <w:hideMark/>
          </w:tcPr>
          <w:p w:rsidR="00D041FB" w:rsidRPr="00C41F2B" w:rsidRDefault="00D041FB" w:rsidP="00F93BC0">
            <w:pPr>
              <w:rPr>
                <w:rFonts w:ascii="Arial Narrow" w:hAnsi="Arial Narrow"/>
                <w:sz w:val="20"/>
                <w:szCs w:val="20"/>
                <w:lang w:eastAsia="en-AU" w:bidi="en-US"/>
              </w:rPr>
            </w:pPr>
            <w:r w:rsidRPr="00C41F2B">
              <w:rPr>
                <w:rFonts w:ascii="Arial Narrow" w:hAnsi="Arial Narrow" w:cs="Arial"/>
                <w:b/>
                <w:sz w:val="20"/>
                <w:szCs w:val="20"/>
                <w:lang w:eastAsia="en-AU"/>
              </w:rPr>
              <w:t>Restriction Level / Method:</w:t>
            </w:r>
            <w:r w:rsidR="00F93BC0" w:rsidRPr="00C41F2B">
              <w:rPr>
                <w:rFonts w:ascii="Arial Narrow" w:hAnsi="Arial Narrow" w:cs="Arial"/>
                <w:b/>
                <w:sz w:val="20"/>
                <w:szCs w:val="20"/>
                <w:lang w:eastAsia="en-AU"/>
              </w:rPr>
              <w:t xml:space="preserve"> </w:t>
            </w:r>
            <w:r w:rsidRPr="00C41F2B">
              <w:rPr>
                <w:rFonts w:ascii="Arial Narrow" w:hAnsi="Arial Narrow"/>
                <w:sz w:val="20"/>
                <w:szCs w:val="20"/>
                <w:lang w:eastAsia="en-AU" w:bidi="en-US"/>
              </w:rPr>
              <w:fldChar w:fldCharType="begin">
                <w:ffData>
                  <w:name w:val=""/>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Streamlined</w:t>
            </w:r>
          </w:p>
        </w:tc>
      </w:tr>
      <w:tr w:rsidR="00D041FB" w:rsidRPr="00C41F2B" w:rsidTr="00D041FB">
        <w:tc>
          <w:tcPr>
            <w:tcW w:w="5000" w:type="pct"/>
            <w:hideMark/>
          </w:tcPr>
          <w:p w:rsidR="00D041FB" w:rsidRPr="00C41F2B" w:rsidRDefault="00D041FB"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Condition</w:t>
            </w:r>
            <w:r w:rsidRPr="00C41F2B">
              <w:rPr>
                <w:rFonts w:ascii="Arial Narrow" w:hAnsi="Arial Narrow"/>
                <w:sz w:val="20"/>
                <w:szCs w:val="20"/>
                <w:lang w:eastAsia="en-AU" w:bidi="en-US"/>
              </w:rPr>
              <w:t>: High grade epithelial ovarian, fallopian tube or primary peritoneal cancer</w:t>
            </w:r>
          </w:p>
        </w:tc>
      </w:tr>
      <w:tr w:rsidR="00D041FB" w:rsidRPr="00C41F2B" w:rsidTr="00D041FB">
        <w:tc>
          <w:tcPr>
            <w:tcW w:w="5000" w:type="pct"/>
            <w:hideMark/>
          </w:tcPr>
          <w:p w:rsidR="00D041FB" w:rsidRPr="00C41F2B" w:rsidRDefault="00D041FB"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PBS Indication:</w:t>
            </w:r>
            <w:r w:rsidRPr="00C41F2B">
              <w:rPr>
                <w:rFonts w:ascii="Arial Narrow" w:hAnsi="Arial Narrow"/>
                <w:sz w:val="20"/>
                <w:szCs w:val="20"/>
                <w:lang w:eastAsia="en-AU" w:bidi="en-US"/>
              </w:rPr>
              <w:t xml:space="preserve"> High grade epithelial ovarian, fallopian tube or primary peritoneal cancer</w:t>
            </w:r>
          </w:p>
        </w:tc>
      </w:tr>
      <w:tr w:rsidR="00D041FB" w:rsidRPr="00C41F2B" w:rsidTr="00F93BC0">
        <w:tc>
          <w:tcPr>
            <w:tcW w:w="5000" w:type="pct"/>
            <w:tcBorders>
              <w:bottom w:val="single" w:sz="4" w:space="0" w:color="auto"/>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Treatment phase:</w:t>
            </w:r>
            <w:r w:rsidRPr="00C41F2B">
              <w:rPr>
                <w:rFonts w:ascii="Arial Narrow" w:hAnsi="Arial Narrow"/>
                <w:sz w:val="20"/>
                <w:szCs w:val="20"/>
                <w:lang w:eastAsia="en-AU" w:bidi="en-US"/>
              </w:rPr>
              <w:t xml:space="preserve"> Continuing treatment</w:t>
            </w:r>
          </w:p>
        </w:tc>
      </w:tr>
      <w:tr w:rsidR="00D041FB" w:rsidRPr="00C41F2B" w:rsidTr="00F93BC0">
        <w:tc>
          <w:tcPr>
            <w:tcW w:w="5000" w:type="pct"/>
            <w:tcBorders>
              <w:bottom w:val="nil"/>
            </w:tcBorders>
            <w:hideMark/>
          </w:tcPr>
          <w:p w:rsidR="00D041FB" w:rsidRPr="00C41F2B" w:rsidRDefault="00D041FB">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Clinical criteria:</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have received previous PBS-subsidised treatment with this drug for this condition</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the sole PBS-subsidised therapy for this condition</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maintenance therapy</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not have developed disease progression while receiving treatment with this drug for this condition</w:t>
            </w:r>
          </w:p>
        </w:tc>
      </w:tr>
      <w:tr w:rsidR="00D041FB" w:rsidRPr="00C41F2B" w:rsidTr="00F93BC0">
        <w:tc>
          <w:tcPr>
            <w:tcW w:w="5000" w:type="pct"/>
            <w:tcBorders>
              <w:top w:val="nil"/>
              <w:bottom w:val="nil"/>
            </w:tcBorders>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D041FB" w:rsidRPr="00C41F2B" w:rsidTr="00F93BC0">
        <w:tc>
          <w:tcPr>
            <w:tcW w:w="5000" w:type="pct"/>
            <w:tcBorders>
              <w:top w:val="nil"/>
            </w:tcBorders>
            <w:hideMark/>
          </w:tcPr>
          <w:p w:rsidR="00D041FB" w:rsidRPr="00C41F2B" w:rsidRDefault="00D041FB" w:rsidP="00F93BC0">
            <w:pPr>
              <w:spacing w:before="20" w:after="20"/>
              <w:jc w:val="left"/>
              <w:rPr>
                <w:rFonts w:ascii="Arial Narrow" w:hAnsi="Arial Narrow"/>
                <w:strike/>
                <w:sz w:val="20"/>
                <w:szCs w:val="20"/>
                <w:lang w:eastAsia="en-AU" w:bidi="en-US"/>
              </w:rPr>
            </w:pPr>
            <w:r w:rsidRPr="00C41F2B">
              <w:rPr>
                <w:rFonts w:ascii="Arial Narrow" w:hAnsi="Arial Narrow"/>
                <w:sz w:val="20"/>
                <w:szCs w:val="20"/>
                <w:lang w:eastAsia="en-AU"/>
              </w:rPr>
              <w:t xml:space="preserve">Treatment must not exceed at a total of 24 months for patients in complete response </w:t>
            </w:r>
          </w:p>
        </w:tc>
      </w:tr>
      <w:tr w:rsidR="00D041FB" w:rsidRPr="00C41F2B" w:rsidTr="00D041FB">
        <w:tc>
          <w:tcPr>
            <w:tcW w:w="5000" w:type="pct"/>
            <w:hideMark/>
          </w:tcPr>
          <w:p w:rsidR="00D041FB" w:rsidRPr="00C41F2B" w:rsidRDefault="00D041FB" w:rsidP="00F93BC0">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Prescriber Instructions</w:t>
            </w:r>
            <w:r w:rsidRPr="00C41F2B">
              <w:rPr>
                <w:rFonts w:ascii="Arial Narrow" w:hAnsi="Arial Narrow"/>
                <w:sz w:val="20"/>
                <w:szCs w:val="20"/>
                <w:lang w:eastAsia="en-AU" w:bidi="en-US"/>
              </w:rPr>
              <w:t xml:space="preserve">: A response (complete or partial) to the platinum-based chemotherapy regimen is to be assessed using either Gynaecologic Cancer </w:t>
            </w:r>
            <w:proofErr w:type="spellStart"/>
            <w:r w:rsidRPr="00C41F2B">
              <w:rPr>
                <w:rFonts w:ascii="Arial Narrow" w:hAnsi="Arial Narrow"/>
                <w:sz w:val="20"/>
                <w:szCs w:val="20"/>
                <w:lang w:eastAsia="en-AU" w:bidi="en-US"/>
              </w:rPr>
              <w:t>InterGroup</w:t>
            </w:r>
            <w:proofErr w:type="spellEnd"/>
            <w:r w:rsidRPr="00C41F2B">
              <w:rPr>
                <w:rFonts w:ascii="Arial Narrow" w:hAnsi="Arial Narrow"/>
                <w:sz w:val="20"/>
                <w:szCs w:val="20"/>
                <w:lang w:eastAsia="en-AU" w:bidi="en-US"/>
              </w:rPr>
              <w:t xml:space="preserve"> (GCIC) or Response Evaluation in Solid Tumours (RECIST) guidelines.</w:t>
            </w:r>
          </w:p>
        </w:tc>
      </w:tr>
      <w:tr w:rsidR="00D041FB" w:rsidRPr="00C41F2B" w:rsidTr="00D041FB">
        <w:tc>
          <w:tcPr>
            <w:tcW w:w="5000" w:type="pct"/>
            <w:hideMark/>
          </w:tcPr>
          <w:p w:rsidR="00D041FB" w:rsidRPr="00C41F2B" w:rsidRDefault="00D041F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Administrative Advice:</w:t>
            </w:r>
            <w:r w:rsidRPr="00C41F2B">
              <w:rPr>
                <w:rFonts w:ascii="Arial Narrow" w:hAnsi="Arial Narrow"/>
                <w:sz w:val="20"/>
                <w:szCs w:val="20"/>
                <w:lang w:eastAsia="en-AU" w:bidi="en-US"/>
              </w:rPr>
              <w:t xml:space="preserve"> Special Pricing Arrangements apply</w:t>
            </w:r>
          </w:p>
        </w:tc>
      </w:tr>
    </w:tbl>
    <w:p w:rsidR="0099796D" w:rsidRPr="00C41F2B" w:rsidRDefault="0099796D" w:rsidP="0099796D"/>
    <w:p w:rsidR="0099796D" w:rsidRPr="00C41F2B" w:rsidRDefault="00A4689A" w:rsidP="0099796D">
      <w:pPr>
        <w:pStyle w:val="3-BodyText"/>
      </w:pPr>
      <w:r w:rsidRPr="00C41F2B">
        <w:lastRenderedPageBreak/>
        <w:t>As in</w:t>
      </w:r>
      <w:r w:rsidR="0099796D" w:rsidRPr="00C41F2B">
        <w:t xml:space="preserve"> the previous submission, the resubmission propose</w:t>
      </w:r>
      <w:r w:rsidR="00535860">
        <w:t>d a special pricing arrangement</w:t>
      </w:r>
      <w:r w:rsidR="0099796D" w:rsidRPr="00C41F2B">
        <w:t xml:space="preserve">. The requested effective price was the same as the current effective price in the </w:t>
      </w:r>
      <w:r w:rsidR="004F687F" w:rsidRPr="00C41F2B">
        <w:t>2L</w:t>
      </w:r>
      <w:r w:rsidR="0099796D" w:rsidRPr="00C41F2B">
        <w:t xml:space="preserve"> setting</w:t>
      </w:r>
      <w:r w:rsidR="00A3495B" w:rsidRPr="00C41F2B">
        <w:t xml:space="preserve"> and the ex-manufacturer price was unchanged from the previous submission</w:t>
      </w:r>
      <w:r w:rsidR="0099796D" w:rsidRPr="00C41F2B">
        <w:t xml:space="preserve">. </w:t>
      </w:r>
    </w:p>
    <w:p w:rsidR="00D041FB" w:rsidRPr="00C41F2B" w:rsidRDefault="00D041FB" w:rsidP="00D041FB">
      <w:pPr>
        <w:pStyle w:val="3-BodyText"/>
      </w:pPr>
      <w:r w:rsidRPr="00C41F2B">
        <w:t xml:space="preserve">The </w:t>
      </w:r>
      <w:r w:rsidR="00111041" w:rsidRPr="00C41F2B">
        <w:t xml:space="preserve">PBAC noted the </w:t>
      </w:r>
      <w:r w:rsidRPr="00C41F2B">
        <w:t>Secretariat</w:t>
      </w:r>
      <w:r w:rsidR="00111041" w:rsidRPr="00C41F2B">
        <w:t>’s comment</w:t>
      </w:r>
      <w:r w:rsidRPr="00C41F2B">
        <w:t xml:space="preserve"> </w:t>
      </w:r>
      <w:r w:rsidR="00111041" w:rsidRPr="00C41F2B">
        <w:t>that a</w:t>
      </w:r>
      <w:r w:rsidRPr="00C41F2B">
        <w:t xml:space="preserve"> line-agnostic listing </w:t>
      </w:r>
      <w:r w:rsidR="00111041" w:rsidRPr="00C41F2B">
        <w:t>may</w:t>
      </w:r>
      <w:r w:rsidR="00D93C5B" w:rsidRPr="00C41F2B">
        <w:t xml:space="preserve"> be appropriate</w:t>
      </w:r>
      <w:r w:rsidRPr="00C41F2B">
        <w:t xml:space="preserve"> for olaparib </w:t>
      </w:r>
      <w:r w:rsidR="00D93C5B" w:rsidRPr="00C41F2B">
        <w:t>for</w:t>
      </w:r>
      <w:r w:rsidRPr="00C41F2B">
        <w:t xml:space="preserve"> ovarian cancer. </w:t>
      </w:r>
      <w:r w:rsidR="00111041" w:rsidRPr="00C41F2B">
        <w:t xml:space="preserve">The PBAC noted the different </w:t>
      </w:r>
      <w:r w:rsidR="005D7C7F" w:rsidRPr="00C41F2B">
        <w:t xml:space="preserve">treatment durations </w:t>
      </w:r>
      <w:r w:rsidR="00111041" w:rsidRPr="00C41F2B">
        <w:t>for olaparib in the 1L and 2L settings would result in a complex combined listing and recommend</w:t>
      </w:r>
      <w:r w:rsidR="005D7C7F" w:rsidRPr="00C41F2B">
        <w:t>ed</w:t>
      </w:r>
      <w:r w:rsidR="00111041" w:rsidRPr="00C41F2B">
        <w:t xml:space="preserve"> separate listings. As a result there would be </w:t>
      </w:r>
      <w:r w:rsidRPr="00C41F2B">
        <w:t>flow-on changes</w:t>
      </w:r>
      <w:r w:rsidR="00D93C5B" w:rsidRPr="00C41F2B">
        <w:t xml:space="preserve"> </w:t>
      </w:r>
      <w:r w:rsidRPr="00C41F2B">
        <w:t xml:space="preserve">for the </w:t>
      </w:r>
      <w:r w:rsidR="00D93C5B" w:rsidRPr="00C41F2B">
        <w:t>2L</w:t>
      </w:r>
      <w:r w:rsidRPr="00C41F2B">
        <w:t xml:space="preserve"> listings to ensure that patients are not re-treated with olaparib where they have recurrence.</w:t>
      </w:r>
    </w:p>
    <w:p w:rsidR="00D609B1" w:rsidRPr="00C41F2B" w:rsidRDefault="00B275EB" w:rsidP="0099796D">
      <w:pPr>
        <w:pStyle w:val="3-BodyText"/>
      </w:pPr>
      <w:r w:rsidRPr="00C41F2B">
        <w:rPr>
          <w:color w:val="000000"/>
        </w:rPr>
        <w:t>The resubmission proposed the PBS indication “High grade or high grade epithelial ovarian, fallopian tube or primary peritoneal cancer”</w:t>
      </w:r>
      <w:r w:rsidR="00C41F2B">
        <w:rPr>
          <w:color w:val="000000"/>
        </w:rPr>
        <w:t xml:space="preserve">. </w:t>
      </w:r>
      <w:r w:rsidRPr="00C41F2B">
        <w:rPr>
          <w:color w:val="000000"/>
        </w:rPr>
        <w:t xml:space="preserve">The existing </w:t>
      </w:r>
      <w:r w:rsidR="002315AF" w:rsidRPr="00C41F2B">
        <w:rPr>
          <w:color w:val="000000"/>
        </w:rPr>
        <w:t>2L</w:t>
      </w:r>
      <w:r w:rsidRPr="00C41F2B">
        <w:rPr>
          <w:color w:val="000000"/>
        </w:rPr>
        <w:t xml:space="preserve"> listing is split into indications: “High grade serous ovarian cancer”, “High grade serous fallopian tube cancer” and “High grade serous primary peritoneal cancer”.</w:t>
      </w:r>
      <w:r w:rsidR="00111041" w:rsidRPr="00C41F2B">
        <w:rPr>
          <w:color w:val="000000"/>
        </w:rPr>
        <w:t xml:space="preserve"> The PBAC considered the combined indication appropriate and noted that the 2L listings could be similarly </w:t>
      </w:r>
      <w:r w:rsidR="00E3215C" w:rsidRPr="00C41F2B">
        <w:rPr>
          <w:color w:val="000000"/>
        </w:rPr>
        <w:t>revised</w:t>
      </w:r>
      <w:r w:rsidR="00111041" w:rsidRPr="00C41F2B">
        <w:rPr>
          <w:color w:val="000000"/>
        </w:rPr>
        <w:t>.</w:t>
      </w:r>
    </w:p>
    <w:p w:rsidR="0099796D" w:rsidRPr="00C41F2B" w:rsidRDefault="0099796D" w:rsidP="0099796D">
      <w:pPr>
        <w:pStyle w:val="3-BodyText"/>
      </w:pPr>
      <w:r w:rsidRPr="00C41F2B">
        <w:t xml:space="preserve">No separate grandfather restriction was proposed in the resubmission as these patients would be </w:t>
      </w:r>
      <w:r w:rsidRPr="00C41F2B">
        <w:rPr>
          <w:iCs/>
        </w:rPr>
        <w:t>eligible for treatment under the proposed initial treatment listing.</w:t>
      </w:r>
    </w:p>
    <w:p w:rsidR="0051777C" w:rsidRPr="00C41F2B" w:rsidRDefault="0051777C" w:rsidP="00A75EAB">
      <w:pPr>
        <w:pStyle w:val="3-BodyText"/>
        <w:numPr>
          <w:ilvl w:val="0"/>
          <w:numId w:val="0"/>
        </w:numPr>
        <w:ind w:left="720"/>
        <w:rPr>
          <w:i/>
        </w:rPr>
      </w:pPr>
      <w:r w:rsidRPr="00C41F2B">
        <w:rPr>
          <w:i/>
        </w:rPr>
        <w:t>For more detail on PBAC’s view, see section 7 PBAC outcome.</w:t>
      </w:r>
    </w:p>
    <w:p w:rsidR="0099796D" w:rsidRPr="00C41F2B" w:rsidRDefault="0099796D" w:rsidP="0099796D">
      <w:pPr>
        <w:pStyle w:val="2-SectionHeading"/>
      </w:pPr>
      <w:bookmarkStart w:id="14" w:name="_Toc38305867"/>
      <w:r w:rsidRPr="00C41F2B">
        <w:t>Population and disease</w:t>
      </w:r>
      <w:bookmarkEnd w:id="14"/>
    </w:p>
    <w:p w:rsidR="0099796D" w:rsidRPr="00C41F2B" w:rsidRDefault="0099796D" w:rsidP="0099796D">
      <w:pPr>
        <w:pStyle w:val="3-BodyText"/>
      </w:pPr>
      <w:r w:rsidRPr="00C41F2B">
        <w:t>In Australia, ovarian cancer (including fallopian tube and primary peritoneal) is the sixth most common cause of death from cancer in women.</w:t>
      </w:r>
      <w:r w:rsidRPr="00C41F2B">
        <w:rPr>
          <w:rFonts w:eastAsiaTheme="minorHAnsi" w:cstheme="minorBidi"/>
          <w:snapToGrid/>
          <w:szCs w:val="22"/>
          <w:lang w:eastAsia="en-US"/>
        </w:rPr>
        <w:t xml:space="preserve"> </w:t>
      </w:r>
      <w:r w:rsidRPr="00C41F2B">
        <w:t xml:space="preserve">Most patients (70%) are diagnosed at an advanced stage. Despite high rates of response to </w:t>
      </w:r>
      <w:r w:rsidR="004F687F" w:rsidRPr="00C41F2B">
        <w:t>1L</w:t>
      </w:r>
      <w:r w:rsidRPr="00C41F2B">
        <w:t xml:space="preserve"> platinum-based chemotherapy, the majority of patients with advanced ovarian cancer will relapse or progress within 3 years. Recurrent ovarian cancer is estimated to have a 5 year survival rate of less than 30%.</w:t>
      </w:r>
    </w:p>
    <w:p w:rsidR="00B602A2" w:rsidRPr="00C41F2B" w:rsidRDefault="0099796D" w:rsidP="00B602A2">
      <w:pPr>
        <w:pStyle w:val="3-BodyText"/>
      </w:pPr>
      <w:r w:rsidRPr="00C41F2B">
        <w:t xml:space="preserve">Unchanged from the previous submission, olaparib was proposed as maintenance therapy following response to a </w:t>
      </w:r>
      <w:r w:rsidR="004F687F" w:rsidRPr="00C41F2B">
        <w:t>1L</w:t>
      </w:r>
      <w:r w:rsidRPr="00C41F2B">
        <w:t xml:space="preserve"> platinum-based chemotherapy regimen for patients with </w:t>
      </w:r>
      <w:r w:rsidR="00992270" w:rsidRPr="00C41F2B">
        <w:t>a germline or somatic class 4 or 5 BRCA1 or BRCA2 gene mutation</w:t>
      </w:r>
      <w:r w:rsidRPr="00C41F2B">
        <w:t>. To inform the use of olaparib for this indication, a tumour</w:t>
      </w:r>
      <w:r w:rsidRPr="00C41F2B">
        <w:rPr>
          <w:i/>
        </w:rPr>
        <w:t xml:space="preserve"> BRCA</w:t>
      </w:r>
      <w:r w:rsidRPr="00C41F2B">
        <w:t>m test was proposed to occur at diagnosis.</w:t>
      </w:r>
    </w:p>
    <w:p w:rsidR="00B602A2" w:rsidRPr="00C41F2B" w:rsidRDefault="00B602A2" w:rsidP="00B602A2">
      <w:pPr>
        <w:pStyle w:val="3-BodyText"/>
      </w:pPr>
      <w:r w:rsidRPr="00C41F2B">
        <w:t>The resubmission considered 3 distinct HGEOC BRCAm patient groups, as follow:</w:t>
      </w:r>
    </w:p>
    <w:p w:rsidR="00B602A2" w:rsidRPr="00C41F2B" w:rsidRDefault="00B602A2" w:rsidP="00717606">
      <w:pPr>
        <w:pStyle w:val="ListParagraph"/>
        <w:numPr>
          <w:ilvl w:val="0"/>
          <w:numId w:val="12"/>
        </w:numPr>
        <w:ind w:left="1134"/>
        <w:contextualSpacing/>
      </w:pPr>
      <w:r w:rsidRPr="00C41F2B">
        <w:rPr>
          <w:b/>
        </w:rPr>
        <w:t>Subgroup 1</w:t>
      </w:r>
      <w:r w:rsidRPr="00C41F2B">
        <w:t xml:space="preserve">: </w:t>
      </w:r>
      <w:r w:rsidRPr="00C41F2B">
        <w:rPr>
          <w:b/>
        </w:rPr>
        <w:t xml:space="preserve">Patients cured with initial platinum-based chemotherapy. </w:t>
      </w:r>
      <w:r w:rsidRPr="00C41F2B">
        <w:t>It is assumed that more patients will be cured if olaparib maintenance follows initial chemotherapy treatment. The resubmission did not supply any evidence to support this assumption.</w:t>
      </w:r>
    </w:p>
    <w:p w:rsidR="00B602A2" w:rsidRPr="00C41F2B" w:rsidRDefault="00B602A2" w:rsidP="00717606">
      <w:pPr>
        <w:pStyle w:val="ListParagraph"/>
        <w:numPr>
          <w:ilvl w:val="0"/>
          <w:numId w:val="12"/>
        </w:numPr>
        <w:ind w:left="1134"/>
        <w:contextualSpacing/>
        <w:rPr>
          <w:b/>
        </w:rPr>
      </w:pPr>
      <w:r w:rsidRPr="00C41F2B">
        <w:rPr>
          <w:b/>
        </w:rPr>
        <w:t xml:space="preserve">Subgroup 2: Patients who subsequently progress following initial platinum-based chemotherapy but are not eligible for </w:t>
      </w:r>
      <w:r w:rsidR="004F687F" w:rsidRPr="00C41F2B">
        <w:rPr>
          <w:b/>
        </w:rPr>
        <w:t>2L</w:t>
      </w:r>
      <w:r w:rsidRPr="00C41F2B">
        <w:rPr>
          <w:b/>
        </w:rPr>
        <w:t xml:space="preserve"> treatment with olaparib. </w:t>
      </w:r>
      <w:r w:rsidRPr="00C41F2B">
        <w:t xml:space="preserve">The resubmission stated this subgroup of patients have the highest unmet clinical </w:t>
      </w:r>
      <w:r w:rsidRPr="00C41F2B">
        <w:lastRenderedPageBreak/>
        <w:t xml:space="preserve">need and will derive a substantial clinical benefit from </w:t>
      </w:r>
      <w:r w:rsidR="004F687F" w:rsidRPr="00C41F2B">
        <w:t>1L</w:t>
      </w:r>
      <w:r w:rsidRPr="00C41F2B">
        <w:t xml:space="preserve"> maintenance treatment with olaparib. The PBAC considered that it may be reasonable to expect that an OS benefit would be achieved with olaparib as </w:t>
      </w:r>
      <w:r w:rsidR="004F687F" w:rsidRPr="00C41F2B">
        <w:t>1L</w:t>
      </w:r>
      <w:r w:rsidRPr="00C41F2B">
        <w:t xml:space="preserve"> main</w:t>
      </w:r>
      <w:r w:rsidR="00DA7BFE">
        <w:t>tenance compared with no olapar</w:t>
      </w:r>
      <w:r w:rsidRPr="00C41F2B">
        <w:t xml:space="preserve">ib at any stage, given the OS benefit for </w:t>
      </w:r>
      <w:r w:rsidR="004F687F" w:rsidRPr="00C41F2B">
        <w:t>2L</w:t>
      </w:r>
      <w:r w:rsidRPr="00C41F2B">
        <w:t xml:space="preserve"> maintenance (as demonstrated in Study 19)</w:t>
      </w:r>
      <w:r w:rsidR="00A95CE4" w:rsidRPr="00C41F2B">
        <w:t xml:space="preserve"> </w:t>
      </w:r>
      <w:r w:rsidRPr="00C41F2B">
        <w:t xml:space="preserve">(para 6.51, olaparib </w:t>
      </w:r>
      <w:r w:rsidR="00AB6791" w:rsidRPr="00C41F2B">
        <w:t>Public Summary Document (</w:t>
      </w:r>
      <w:r w:rsidRPr="00C41F2B">
        <w:t>PSD</w:t>
      </w:r>
      <w:r w:rsidR="00AB6791" w:rsidRPr="00C41F2B">
        <w:t>)</w:t>
      </w:r>
      <w:r w:rsidRPr="00C41F2B">
        <w:t>, November 2019 PBAC meeting).</w:t>
      </w:r>
    </w:p>
    <w:p w:rsidR="00B602A2" w:rsidRPr="00C41F2B" w:rsidRDefault="00B602A2" w:rsidP="00717606">
      <w:pPr>
        <w:pStyle w:val="ListParagraph"/>
        <w:numPr>
          <w:ilvl w:val="0"/>
          <w:numId w:val="12"/>
        </w:numPr>
        <w:ind w:left="1134"/>
        <w:contextualSpacing/>
      </w:pPr>
      <w:r w:rsidRPr="00C41F2B">
        <w:rPr>
          <w:b/>
        </w:rPr>
        <w:t xml:space="preserve">Subgroup 3: Patients who subsequently progress following initial platinum-based chemotherapy and are treated with olaparib maintenance as part of their </w:t>
      </w:r>
      <w:r w:rsidR="004F687F" w:rsidRPr="00C41F2B">
        <w:rPr>
          <w:b/>
        </w:rPr>
        <w:t>2L</w:t>
      </w:r>
      <w:r w:rsidRPr="00C41F2B">
        <w:rPr>
          <w:b/>
        </w:rPr>
        <w:t xml:space="preserve"> treatment.</w:t>
      </w:r>
      <w:r w:rsidRPr="00C41F2B">
        <w:t xml:space="preserve"> The resubmission stated that even in this patient group, maintenance treatment with olaparib following an initial course of chemotherapy, rather than waiting until after relapse, will result in better clinical outcomes. The PBAC previously considered the SOLO1 trial did not support a greater improvement in </w:t>
      </w:r>
      <w:r w:rsidR="002315AF" w:rsidRPr="00C41F2B">
        <w:t xml:space="preserve">overall </w:t>
      </w:r>
      <w:r w:rsidRPr="00C41F2B">
        <w:t xml:space="preserve">survival for </w:t>
      </w:r>
      <w:r w:rsidR="004F687F" w:rsidRPr="00C41F2B">
        <w:t>1L</w:t>
      </w:r>
      <w:r w:rsidRPr="00C41F2B">
        <w:t xml:space="preserve"> olaparib maintenance versus </w:t>
      </w:r>
      <w:r w:rsidR="004F687F" w:rsidRPr="00C41F2B">
        <w:t>2L</w:t>
      </w:r>
      <w:r w:rsidRPr="00C41F2B">
        <w:t xml:space="preserve"> olaparib maintenance (para 6.51, olaparib PSD, November 2019 PBAC meeting). </w:t>
      </w:r>
    </w:p>
    <w:p w:rsidR="0051777C" w:rsidRPr="00C41F2B" w:rsidRDefault="00B602A2" w:rsidP="000108E5">
      <w:pPr>
        <w:pStyle w:val="3-BodyText"/>
      </w:pPr>
      <w:r w:rsidRPr="00C41F2B">
        <w:t>The resubmission did not provide economic modelling specific to these subgroups</w:t>
      </w:r>
      <w:r w:rsidR="00434F2C" w:rsidRPr="00C41F2B">
        <w:t>, instead modelling them as a single cohort</w:t>
      </w:r>
      <w:r w:rsidRPr="00C41F2B">
        <w:t>.</w:t>
      </w:r>
    </w:p>
    <w:p w:rsidR="0051777C" w:rsidRPr="00C41F2B" w:rsidRDefault="0051777C" w:rsidP="0051777C">
      <w:pPr>
        <w:pStyle w:val="3-BodyText"/>
        <w:numPr>
          <w:ilvl w:val="0"/>
          <w:numId w:val="0"/>
        </w:numPr>
        <w:ind w:left="720"/>
        <w:rPr>
          <w:i/>
        </w:rPr>
      </w:pPr>
      <w:r w:rsidRPr="00C41F2B">
        <w:rPr>
          <w:i/>
        </w:rPr>
        <w:t>For more detail on PBAC’s view, see section 7 PBAC outcome.</w:t>
      </w:r>
    </w:p>
    <w:p w:rsidR="00E66BA3" w:rsidRPr="00C41F2B" w:rsidRDefault="00E66BA3" w:rsidP="00E66BA3">
      <w:pPr>
        <w:pStyle w:val="2-SectionHeading"/>
      </w:pPr>
      <w:bookmarkStart w:id="15" w:name="_Toc38262915"/>
      <w:bookmarkStart w:id="16" w:name="_Toc38305868"/>
      <w:r w:rsidRPr="00C41F2B">
        <w:t>Comparator</w:t>
      </w:r>
      <w:bookmarkEnd w:id="15"/>
      <w:bookmarkEnd w:id="16"/>
    </w:p>
    <w:p w:rsidR="00E66BA3" w:rsidRPr="00C41F2B" w:rsidRDefault="00E66BA3" w:rsidP="00E66BA3">
      <w:pPr>
        <w:pStyle w:val="3-BodyText"/>
        <w:rPr>
          <w:snapToGrid/>
        </w:rPr>
      </w:pPr>
      <w:r w:rsidRPr="00C41F2B">
        <w:rPr>
          <w:snapToGrid/>
        </w:rPr>
        <w:t xml:space="preserve">The resubmission nominated watch and wait as the main comparator. The PBAC previously specified watch and wait, followed by </w:t>
      </w:r>
      <w:r w:rsidR="004F687F" w:rsidRPr="00C41F2B">
        <w:rPr>
          <w:snapToGrid/>
        </w:rPr>
        <w:t>2L</w:t>
      </w:r>
      <w:r w:rsidRPr="00C41F2B">
        <w:rPr>
          <w:snapToGrid/>
        </w:rPr>
        <w:t xml:space="preserve"> platinum-based chemotherapy with olaparib maintenance in patients with </w:t>
      </w:r>
      <w:proofErr w:type="spellStart"/>
      <w:r w:rsidRPr="00C41F2B">
        <w:rPr>
          <w:snapToGrid/>
        </w:rPr>
        <w:t>g</w:t>
      </w:r>
      <w:r w:rsidRPr="00C41F2B">
        <w:rPr>
          <w:i/>
          <w:snapToGrid/>
        </w:rPr>
        <w:t>BRCA</w:t>
      </w:r>
      <w:r w:rsidRPr="00C41F2B">
        <w:rPr>
          <w:snapToGrid/>
        </w:rPr>
        <w:t>m</w:t>
      </w:r>
      <w:proofErr w:type="spellEnd"/>
      <w:r w:rsidRPr="00C41F2B">
        <w:rPr>
          <w:snapToGrid/>
        </w:rPr>
        <w:t xml:space="preserve"> (para 5.4, olaparib PSD, November 2019 PBAC meeting). This population was extended to also include patients with </w:t>
      </w:r>
      <w:proofErr w:type="spellStart"/>
      <w:r w:rsidRPr="00C41F2B">
        <w:rPr>
          <w:i/>
          <w:snapToGrid/>
        </w:rPr>
        <w:t>sBRCAm</w:t>
      </w:r>
      <w:proofErr w:type="spellEnd"/>
      <w:r w:rsidRPr="00C41F2B">
        <w:rPr>
          <w:snapToGrid/>
        </w:rPr>
        <w:t xml:space="preserve"> (para 7.1, olaparib PSD, March 2020 PBAC meeting).</w:t>
      </w:r>
    </w:p>
    <w:p w:rsidR="00E66BA3" w:rsidRPr="00C41F2B" w:rsidRDefault="00E66BA3" w:rsidP="00E66BA3">
      <w:pPr>
        <w:pStyle w:val="3-BodyText"/>
        <w:rPr>
          <w:snapToGrid/>
        </w:rPr>
      </w:pPr>
      <w:r w:rsidRPr="00C41F2B">
        <w:rPr>
          <w:snapToGrid/>
        </w:rPr>
        <w:t xml:space="preserve">Given that the PBAC previously considered bevacizumab an appropriate comparator for the subgroup of patients with sub-optimally </w:t>
      </w:r>
      <w:proofErr w:type="spellStart"/>
      <w:r w:rsidRPr="00C41F2B">
        <w:rPr>
          <w:snapToGrid/>
        </w:rPr>
        <w:t>debulked</w:t>
      </w:r>
      <w:proofErr w:type="spellEnd"/>
      <w:r w:rsidRPr="00C41F2B">
        <w:rPr>
          <w:snapToGrid/>
        </w:rPr>
        <w:t xml:space="preserve"> Stage III ovarian cancer</w:t>
      </w:r>
      <w:r w:rsidR="00A3495B" w:rsidRPr="00C41F2B">
        <w:rPr>
          <w:snapToGrid/>
        </w:rPr>
        <w:t xml:space="preserve"> </w:t>
      </w:r>
      <w:r w:rsidRPr="00C41F2B">
        <w:rPr>
          <w:snapToGrid/>
        </w:rPr>
        <w:t xml:space="preserve">(para 5.5, olaparib PSD, November 2019 PBAC meeting), the resubmission presented a qualitative clinical comparison between olaparib and bevacizumab. Two trials, GOG0218 and ICON7, compared the efficacy of bevacizumab to chemotherapy, and found a statistically significant progression-free survival (PFS) benefit, but no statistically significant OS benefit. The ‘high risk’ subgroup of ICON7 demonstrated a significant OS benefit, as did the ‘Stage IV’ subgroup of GOG0218. The heterogeneity of the study designs and populations </w:t>
      </w:r>
      <w:r w:rsidR="002315AF" w:rsidRPr="00C41F2B">
        <w:rPr>
          <w:snapToGrid/>
        </w:rPr>
        <w:t xml:space="preserve">prevented </w:t>
      </w:r>
      <w:r w:rsidRPr="00C41F2B">
        <w:rPr>
          <w:snapToGrid/>
        </w:rPr>
        <w:t>quantitative comparisons with SOLO1.</w:t>
      </w:r>
    </w:p>
    <w:p w:rsidR="0051777C" w:rsidRPr="00C41F2B" w:rsidRDefault="0051777C" w:rsidP="0051777C">
      <w:pPr>
        <w:pStyle w:val="3-BodyText"/>
        <w:numPr>
          <w:ilvl w:val="0"/>
          <w:numId w:val="0"/>
        </w:numPr>
        <w:ind w:left="720"/>
        <w:rPr>
          <w:i/>
          <w:snapToGrid/>
        </w:rPr>
      </w:pPr>
      <w:r w:rsidRPr="00C41F2B">
        <w:rPr>
          <w:i/>
          <w:snapToGrid/>
        </w:rPr>
        <w:t>For more detail on PBAC’s view, see section 7 PBAC outcome.</w:t>
      </w:r>
    </w:p>
    <w:p w:rsidR="00E66BA3" w:rsidRPr="00C41F2B" w:rsidRDefault="00E66BA3" w:rsidP="00E66BA3">
      <w:pPr>
        <w:pStyle w:val="2-SectionHeading"/>
      </w:pPr>
      <w:bookmarkStart w:id="17" w:name="_Toc38262916"/>
      <w:bookmarkStart w:id="18" w:name="_Toc38305869"/>
      <w:bookmarkStart w:id="19" w:name="_Toc22897640"/>
      <w:r w:rsidRPr="00C41F2B">
        <w:t>Consideration of the evidence</w:t>
      </w:r>
      <w:bookmarkEnd w:id="17"/>
      <w:bookmarkEnd w:id="18"/>
    </w:p>
    <w:p w:rsidR="005D5F81" w:rsidRPr="00C41F2B" w:rsidRDefault="005D5F81" w:rsidP="00E66BA3">
      <w:pPr>
        <w:pStyle w:val="4-SubsectionHeading"/>
      </w:pPr>
      <w:bookmarkStart w:id="20" w:name="_Toc38262917"/>
      <w:bookmarkStart w:id="21" w:name="_Toc38305870"/>
      <w:r w:rsidRPr="00C41F2B">
        <w:t>Sponsor hearing</w:t>
      </w:r>
    </w:p>
    <w:p w:rsidR="005D5F81" w:rsidRPr="00C41F2B" w:rsidRDefault="00650CAD" w:rsidP="005D5F81">
      <w:pPr>
        <w:pStyle w:val="3-BodyText"/>
        <w:rPr>
          <w:lang w:eastAsia="en-GB"/>
        </w:rPr>
      </w:pPr>
      <w:r w:rsidRPr="00C41F2B">
        <w:rPr>
          <w:bCs/>
        </w:rPr>
        <w:t>The sponsor requested a hearing for</w:t>
      </w:r>
      <w:r w:rsidR="00EE3113" w:rsidRPr="00C41F2B">
        <w:rPr>
          <w:bCs/>
        </w:rPr>
        <w:t xml:space="preserve"> this item.</w:t>
      </w:r>
      <w:r w:rsidRPr="00C41F2B">
        <w:rPr>
          <w:bCs/>
        </w:rPr>
        <w:t xml:space="preserve"> The clinician presented </w:t>
      </w:r>
      <w:r w:rsidR="002315AF" w:rsidRPr="00C41F2B">
        <w:rPr>
          <w:bCs/>
        </w:rPr>
        <w:t>a</w:t>
      </w:r>
      <w:r w:rsidR="00EE5062" w:rsidRPr="00C41F2B">
        <w:rPr>
          <w:bCs/>
        </w:rPr>
        <w:t xml:space="preserve"> historical overview of the treatment for women with advanced ovarian cancer</w:t>
      </w:r>
      <w:r w:rsidR="00042206" w:rsidRPr="00C41F2B">
        <w:rPr>
          <w:bCs/>
        </w:rPr>
        <w:t xml:space="preserve"> and </w:t>
      </w:r>
      <w:r w:rsidR="004E34F8" w:rsidRPr="00C41F2B">
        <w:rPr>
          <w:bCs/>
        </w:rPr>
        <w:t xml:space="preserve">summarised the data </w:t>
      </w:r>
      <w:r w:rsidR="002315AF" w:rsidRPr="00C41F2B">
        <w:rPr>
          <w:bCs/>
        </w:rPr>
        <w:t>from</w:t>
      </w:r>
      <w:r w:rsidR="004E34F8" w:rsidRPr="00C41F2B">
        <w:rPr>
          <w:bCs/>
        </w:rPr>
        <w:t xml:space="preserve"> the SOLO1</w:t>
      </w:r>
      <w:r w:rsidR="00692174" w:rsidRPr="00C41F2B">
        <w:rPr>
          <w:bCs/>
        </w:rPr>
        <w:t xml:space="preserve"> (1L olaparib)</w:t>
      </w:r>
      <w:r w:rsidR="004E34F8" w:rsidRPr="00C41F2B">
        <w:rPr>
          <w:bCs/>
        </w:rPr>
        <w:t xml:space="preserve"> and SOLO2</w:t>
      </w:r>
      <w:r w:rsidR="00692174" w:rsidRPr="00C41F2B">
        <w:rPr>
          <w:bCs/>
        </w:rPr>
        <w:t xml:space="preserve"> (2L ol</w:t>
      </w:r>
      <w:r w:rsidR="00B4052C">
        <w:rPr>
          <w:bCs/>
        </w:rPr>
        <w:t>a</w:t>
      </w:r>
      <w:r w:rsidR="00692174" w:rsidRPr="00C41F2B">
        <w:rPr>
          <w:bCs/>
        </w:rPr>
        <w:t>parib)</w:t>
      </w:r>
      <w:r w:rsidR="004E34F8" w:rsidRPr="00C41F2B">
        <w:rPr>
          <w:bCs/>
        </w:rPr>
        <w:t xml:space="preserve"> trials. </w:t>
      </w:r>
      <w:r w:rsidR="00EE3113" w:rsidRPr="00C41F2B">
        <w:rPr>
          <w:bCs/>
        </w:rPr>
        <w:t xml:space="preserve">The PBAC </w:t>
      </w:r>
      <w:r w:rsidR="00EE3113" w:rsidRPr="00C41F2B">
        <w:rPr>
          <w:bCs/>
        </w:rPr>
        <w:lastRenderedPageBreak/>
        <w:t xml:space="preserve">considered the hearing provided a </w:t>
      </w:r>
      <w:r w:rsidR="002315AF" w:rsidRPr="00C41F2B">
        <w:rPr>
          <w:bCs/>
        </w:rPr>
        <w:t>valuable</w:t>
      </w:r>
      <w:r w:rsidR="00EE3113" w:rsidRPr="00C41F2B">
        <w:rPr>
          <w:bCs/>
        </w:rPr>
        <w:t xml:space="preserve"> overview </w:t>
      </w:r>
      <w:r w:rsidR="002315AF" w:rsidRPr="00C41F2B">
        <w:rPr>
          <w:bCs/>
        </w:rPr>
        <w:t xml:space="preserve">of the </w:t>
      </w:r>
      <w:r w:rsidR="00EE3113" w:rsidRPr="00C41F2B">
        <w:rPr>
          <w:bCs/>
        </w:rPr>
        <w:t>therap</w:t>
      </w:r>
      <w:r w:rsidR="002315AF" w:rsidRPr="00C41F2B">
        <w:rPr>
          <w:bCs/>
        </w:rPr>
        <w:t>ies</w:t>
      </w:r>
      <w:r w:rsidR="00EE3113" w:rsidRPr="00C41F2B">
        <w:rPr>
          <w:bCs/>
        </w:rPr>
        <w:t xml:space="preserve"> for ovarian cancer. </w:t>
      </w:r>
    </w:p>
    <w:p w:rsidR="005D5F81" w:rsidRPr="00C41F2B" w:rsidRDefault="005D5F81" w:rsidP="00E66BA3">
      <w:pPr>
        <w:pStyle w:val="4-SubsectionHeading"/>
      </w:pPr>
      <w:r w:rsidRPr="00C41F2B">
        <w:t>Consumer comments</w:t>
      </w:r>
    </w:p>
    <w:p w:rsidR="00996264" w:rsidRPr="00C41F2B" w:rsidRDefault="00996264" w:rsidP="00E315C3">
      <w:pPr>
        <w:pStyle w:val="3-BodyText"/>
        <w:rPr>
          <w:lang w:eastAsia="en-GB"/>
        </w:rPr>
      </w:pPr>
      <w:r w:rsidRPr="00C41F2B">
        <w:t xml:space="preserve">The PBAC noted and welcomed input from patient support organisations </w:t>
      </w:r>
      <w:r w:rsidR="005A7F1A" w:rsidRPr="00C41F2B">
        <w:t>(</w:t>
      </w:r>
      <w:r w:rsidRPr="00C41F2B">
        <w:t>Ovarian Cancer Australia and Rare Cancers Australia</w:t>
      </w:r>
      <w:r w:rsidR="005A7F1A" w:rsidRPr="00C41F2B">
        <w:t>)</w:t>
      </w:r>
      <w:r w:rsidRPr="00C41F2B">
        <w:t xml:space="preserve"> in support of the olaparib submission. The comments</w:t>
      </w:r>
      <w:r w:rsidR="00E34DDA" w:rsidRPr="00C41F2B">
        <w:t xml:space="preserve"> noted</w:t>
      </w:r>
      <w:r w:rsidRPr="00C41F2B">
        <w:t xml:space="preserve"> </w:t>
      </w:r>
      <w:r w:rsidR="00E34DDA" w:rsidRPr="00C41F2B">
        <w:t xml:space="preserve">that a number of patients were self-funding olaparib, with a high financial burden or were unable to access treatment due to the high cost. </w:t>
      </w:r>
      <w:r w:rsidRPr="00C41F2B">
        <w:t xml:space="preserve">The comments </w:t>
      </w:r>
      <w:r w:rsidR="00E34DDA" w:rsidRPr="00C41F2B">
        <w:t xml:space="preserve">also </w:t>
      </w:r>
      <w:r w:rsidRPr="00C41F2B">
        <w:t xml:space="preserve">noted that patients with ovarian cancer have a high risk of recurrence following standard treatment and many patients experience anxiety and depression or emotional strain related to the fear of recurrence. </w:t>
      </w:r>
    </w:p>
    <w:p w:rsidR="00996264" w:rsidRPr="00C41F2B" w:rsidRDefault="00996264" w:rsidP="00996264">
      <w:pPr>
        <w:pStyle w:val="3-BodyText"/>
      </w:pPr>
      <w:r w:rsidRPr="00C41F2B">
        <w:t xml:space="preserve">The PBAC noted and welcomed input from 69 consumers via the Consumer Comments facility on the PBS website. </w:t>
      </w:r>
      <w:r w:rsidR="00E34DDA" w:rsidRPr="00C41F2B">
        <w:t>Patients wishing to access olaparib noted that treatment in the first line setting may delay or prevent recurrence</w:t>
      </w:r>
      <w:r w:rsidR="005A7F1A" w:rsidRPr="00C41F2B">
        <w:t>,</w:t>
      </w:r>
      <w:r w:rsidR="00E34DDA" w:rsidRPr="00C41F2B">
        <w:t xml:space="preserve"> and </w:t>
      </w:r>
      <w:proofErr w:type="gramStart"/>
      <w:r w:rsidR="00E34DDA" w:rsidRPr="00C41F2B">
        <w:t>p</w:t>
      </w:r>
      <w:r w:rsidRPr="00C41F2B">
        <w:t>atients</w:t>
      </w:r>
      <w:proofErr w:type="gramEnd"/>
      <w:r w:rsidRPr="00C41F2B">
        <w:t xml:space="preserve"> </w:t>
      </w:r>
      <w:r w:rsidR="00E34DDA" w:rsidRPr="00C41F2B">
        <w:t xml:space="preserve">currently accessing olaparib </w:t>
      </w:r>
      <w:r w:rsidR="008859B4" w:rsidRPr="00C41F2B">
        <w:t>commented</w:t>
      </w:r>
      <w:r w:rsidRPr="00C41F2B">
        <w:t xml:space="preserve"> that </w:t>
      </w:r>
      <w:r w:rsidR="00667DA7" w:rsidRPr="00C41F2B">
        <w:t xml:space="preserve">it </w:t>
      </w:r>
      <w:r w:rsidRPr="00C41F2B">
        <w:t>had allowed them to live longer than expected</w:t>
      </w:r>
      <w:r w:rsidR="00E34DDA" w:rsidRPr="00C41F2B">
        <w:t xml:space="preserve">. Patients </w:t>
      </w:r>
      <w:r w:rsidR="008859B4" w:rsidRPr="00C41F2B">
        <w:t xml:space="preserve">also </w:t>
      </w:r>
      <w:r w:rsidR="00E34DDA" w:rsidRPr="00C41F2B">
        <w:t>noted the severe impact of chemotherapy on their quality of life</w:t>
      </w:r>
      <w:r w:rsidR="00667DA7" w:rsidRPr="00C41F2B">
        <w:t>, and access to 1L olaparib may delay the need for chemotherapy</w:t>
      </w:r>
      <w:r w:rsidR="00E34DDA" w:rsidRPr="00C41F2B">
        <w:t>.</w:t>
      </w:r>
      <w:r w:rsidR="008859B4" w:rsidRPr="00C41F2B">
        <w:t xml:space="preserve"> Many patients noted that the cost of self-funding olaparib was prohibitive.</w:t>
      </w:r>
    </w:p>
    <w:p w:rsidR="00DE5667" w:rsidRPr="00C41F2B" w:rsidRDefault="00DE5667" w:rsidP="00DE5667">
      <w:pPr>
        <w:pStyle w:val="3-BodyText"/>
        <w:rPr>
          <w:lang w:eastAsia="en-GB"/>
        </w:rPr>
      </w:pPr>
      <w:r w:rsidRPr="00C41F2B">
        <w:rPr>
          <w:lang w:eastAsia="en-GB"/>
        </w:rPr>
        <w:t xml:space="preserve">The Medical Oncology Group of Australia (MOGA) expressed its strong support for the </w:t>
      </w:r>
      <w:r w:rsidR="00E315C3" w:rsidRPr="00C41F2B">
        <w:rPr>
          <w:lang w:eastAsia="en-GB"/>
        </w:rPr>
        <w:t>olaparib</w:t>
      </w:r>
      <w:r w:rsidRPr="00C41F2B">
        <w:rPr>
          <w:lang w:eastAsia="en-GB"/>
        </w:rPr>
        <w:t xml:space="preserve"> submission, categorising it as one of the therapies of “highest priority for PBS listing” on the basis of the </w:t>
      </w:r>
      <w:r w:rsidR="0038586C" w:rsidRPr="00C41F2B">
        <w:rPr>
          <w:lang w:eastAsia="en-GB"/>
        </w:rPr>
        <w:t>SOLO1</w:t>
      </w:r>
      <w:r w:rsidRPr="00C41F2B">
        <w:rPr>
          <w:lang w:eastAsia="en-GB"/>
        </w:rPr>
        <w:t xml:space="preserve"> trial. The PBAC noted that the MOGA presented a European Society for Medical Oncology Magnitude of Clinical Benefit Scale (ESMO-MCBS) for</w:t>
      </w:r>
      <w:r w:rsidR="00996264" w:rsidRPr="00C41F2B">
        <w:rPr>
          <w:lang w:eastAsia="en-GB"/>
        </w:rPr>
        <w:t xml:space="preserve"> olaparib</w:t>
      </w:r>
      <w:r w:rsidR="0038586C" w:rsidRPr="00C41F2B">
        <w:rPr>
          <w:lang w:eastAsia="en-GB"/>
        </w:rPr>
        <w:t xml:space="preserve">, which was limited to </w:t>
      </w:r>
      <w:r w:rsidR="00996264" w:rsidRPr="00C41F2B">
        <w:rPr>
          <w:lang w:eastAsia="en-GB"/>
        </w:rPr>
        <w:t>4</w:t>
      </w:r>
      <w:r w:rsidRPr="00C41F2B">
        <w:rPr>
          <w:lang w:eastAsia="en-GB"/>
        </w:rPr>
        <w:t xml:space="preserve"> (out of a maximum of 5, where 5 and 4 represent the grades </w:t>
      </w:r>
      <w:r w:rsidR="00E561E8" w:rsidRPr="00C41F2B">
        <w:rPr>
          <w:lang w:eastAsia="en-GB"/>
        </w:rPr>
        <w:t>with substantial improvement)</w:t>
      </w:r>
      <w:r w:rsidR="00E561E8" w:rsidRPr="00C41F2B">
        <w:rPr>
          <w:rStyle w:val="FootnoteReference"/>
          <w:lang w:eastAsia="en-GB"/>
        </w:rPr>
        <w:footnoteReference w:id="1"/>
      </w:r>
      <w:r w:rsidRPr="00C41F2B">
        <w:rPr>
          <w:lang w:eastAsia="en-GB"/>
        </w:rPr>
        <w:t xml:space="preserve">, based on a comparison with </w:t>
      </w:r>
      <w:r w:rsidR="00996264" w:rsidRPr="00C41F2B">
        <w:rPr>
          <w:lang w:eastAsia="en-GB"/>
        </w:rPr>
        <w:t>placebo</w:t>
      </w:r>
      <w:r w:rsidR="008360F4" w:rsidRPr="00C41F2B">
        <w:rPr>
          <w:lang w:eastAsia="en-GB"/>
        </w:rPr>
        <w:t>.</w:t>
      </w:r>
      <w:r w:rsidR="00996264" w:rsidRPr="00C41F2B">
        <w:rPr>
          <w:lang w:eastAsia="en-GB"/>
        </w:rPr>
        <w:t xml:space="preserve"> The PBAC noted that MOGA upgraded the ESMO-MCBS score to 4 on the basis of a PFS difference &gt;10% at 2 years and a plateau of the PFS curve in the treatment arm</w:t>
      </w:r>
      <w:r w:rsidR="00C41F2B">
        <w:rPr>
          <w:lang w:eastAsia="en-GB"/>
        </w:rPr>
        <w:t xml:space="preserve">. </w:t>
      </w:r>
      <w:r w:rsidRPr="00C41F2B">
        <w:rPr>
          <w:highlight w:val="yellow"/>
          <w:lang w:eastAsia="en-GB"/>
        </w:rPr>
        <w:t xml:space="preserve"> </w:t>
      </w:r>
    </w:p>
    <w:p w:rsidR="00E66BA3" w:rsidRPr="00C41F2B" w:rsidRDefault="00E66BA3" w:rsidP="00E66BA3">
      <w:pPr>
        <w:pStyle w:val="4-SubsectionHeading"/>
      </w:pPr>
      <w:r w:rsidRPr="00C41F2B">
        <w:t>Clinical trial</w:t>
      </w:r>
      <w:bookmarkEnd w:id="19"/>
      <w:bookmarkEnd w:id="20"/>
      <w:bookmarkEnd w:id="21"/>
    </w:p>
    <w:p w:rsidR="00E66BA3" w:rsidRPr="00C41F2B" w:rsidRDefault="00E66BA3" w:rsidP="00E227A1">
      <w:pPr>
        <w:pStyle w:val="3-BodyText"/>
        <w:rPr>
          <w:color w:val="0066FF"/>
        </w:rPr>
      </w:pPr>
      <w:r w:rsidRPr="00C41F2B">
        <w:rPr>
          <w:snapToGrid/>
        </w:rPr>
        <w:t xml:space="preserve">The resubmission was based on one head-to-head trial (SOLO1) comparing olaparib to placebo (n=391). </w:t>
      </w:r>
      <w:r w:rsidR="00790FD8" w:rsidRPr="00C41F2B">
        <w:rPr>
          <w:snapToGrid/>
        </w:rPr>
        <w:t xml:space="preserve">The </w:t>
      </w:r>
      <w:r w:rsidR="0038586C" w:rsidRPr="00C41F2B">
        <w:rPr>
          <w:snapToGrid/>
        </w:rPr>
        <w:t xml:space="preserve">PBAC </w:t>
      </w:r>
      <w:r w:rsidR="00790FD8" w:rsidRPr="00C41F2B">
        <w:rPr>
          <w:snapToGrid/>
        </w:rPr>
        <w:t>noted that</w:t>
      </w:r>
      <w:r w:rsidR="00454D2E" w:rsidRPr="00C41F2B">
        <w:rPr>
          <w:snapToGrid/>
        </w:rPr>
        <w:t>, with the exception of the updated PFS data</w:t>
      </w:r>
      <w:r w:rsidR="00790FD8" w:rsidRPr="00C41F2B">
        <w:rPr>
          <w:snapToGrid/>
        </w:rPr>
        <w:t xml:space="preserve"> </w:t>
      </w:r>
      <w:r w:rsidR="00454D2E" w:rsidRPr="00C41F2B">
        <w:rPr>
          <w:snapToGrid/>
        </w:rPr>
        <w:t>provided in the pre</w:t>
      </w:r>
      <w:r w:rsidR="00F93BC0" w:rsidRPr="00C41F2B">
        <w:rPr>
          <w:snapToGrid/>
        </w:rPr>
        <w:t>-</w:t>
      </w:r>
      <w:r w:rsidR="00454D2E" w:rsidRPr="00C41F2B">
        <w:rPr>
          <w:snapToGrid/>
        </w:rPr>
        <w:t xml:space="preserve">PBAC response, </w:t>
      </w:r>
      <w:r w:rsidR="00790FD8" w:rsidRPr="00C41F2B">
        <w:rPr>
          <w:snapToGrid/>
        </w:rPr>
        <w:t>t</w:t>
      </w:r>
      <w:r w:rsidRPr="00C41F2B">
        <w:rPr>
          <w:snapToGrid/>
        </w:rPr>
        <w:t>he evidence base remained the same as in the previous submission</w:t>
      </w:r>
      <w:r w:rsidR="007C64B8" w:rsidRPr="00C41F2B">
        <w:rPr>
          <w:snapToGrid/>
        </w:rPr>
        <w:t>.</w:t>
      </w:r>
    </w:p>
    <w:p w:rsidR="00E66BA3" w:rsidRPr="00C41F2B" w:rsidRDefault="00E66BA3" w:rsidP="00E66BA3">
      <w:pPr>
        <w:pStyle w:val="3-BodyText"/>
      </w:pPr>
      <w:r w:rsidRPr="00C41F2B">
        <w:rPr>
          <w:snapToGrid/>
        </w:rPr>
        <w:t xml:space="preserve">Details of the trial presented in the resubmission are provided in the table below. </w:t>
      </w:r>
    </w:p>
    <w:p w:rsidR="00E66BA3" w:rsidRPr="00C41F2B" w:rsidRDefault="00E66BA3" w:rsidP="00E66BA3">
      <w:pPr>
        <w:pStyle w:val="TableFigureHeading"/>
      </w:pPr>
      <w:r w:rsidRPr="00C41F2B">
        <w:lastRenderedPageBreak/>
        <w:t xml:space="preserve">Table </w:t>
      </w:r>
      <w:r w:rsidR="00A0380C">
        <w:rPr>
          <w:noProof/>
        </w:rPr>
        <w:t>3</w:t>
      </w:r>
      <w:r w:rsidRPr="00C41F2B">
        <w:t>: Trials and associated reports presented in the resubmission</w:t>
      </w:r>
    </w:p>
    <w:tbl>
      <w:tblPr>
        <w:tblStyle w:val="PBACTableStyle"/>
        <w:tblW w:w="5000" w:type="pct"/>
        <w:tblLook w:val="01E0" w:firstRow="1" w:lastRow="1" w:firstColumn="1" w:lastColumn="1" w:noHBand="0" w:noVBand="0"/>
        <w:tblCaption w:val="Table 4: Trials and associated reports presented in the submission"/>
      </w:tblPr>
      <w:tblGrid>
        <w:gridCol w:w="1712"/>
        <w:gridCol w:w="4914"/>
        <w:gridCol w:w="2391"/>
      </w:tblGrid>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hideMark/>
          </w:tcPr>
          <w:p w:rsidR="00E66BA3" w:rsidRPr="00C41F2B" w:rsidRDefault="00E66BA3" w:rsidP="00E66BA3">
            <w:pPr>
              <w:spacing w:before="40" w:after="40" w:line="256" w:lineRule="auto"/>
              <w:jc w:val="left"/>
              <w:rPr>
                <w:rFonts w:ascii="Arial Narrow" w:hAnsi="Arial Narrow"/>
                <w:sz w:val="20"/>
                <w:szCs w:val="20"/>
                <w:lang w:eastAsia="en-AU"/>
              </w:rPr>
            </w:pPr>
            <w:r w:rsidRPr="00C41F2B">
              <w:rPr>
                <w:rFonts w:ascii="Arial Narrow" w:hAnsi="Arial Narrow"/>
                <w:sz w:val="20"/>
                <w:szCs w:val="20"/>
                <w:lang w:eastAsia="en-AU"/>
              </w:rPr>
              <w:t>Trial ID/First Author</w:t>
            </w:r>
          </w:p>
        </w:tc>
        <w:tc>
          <w:tcPr>
            <w:tcW w:w="2725" w:type="pct"/>
            <w:tcBorders>
              <w:top w:val="single" w:sz="4" w:space="0" w:color="auto"/>
              <w:left w:val="single" w:sz="4" w:space="0" w:color="auto"/>
              <w:bottom w:val="single" w:sz="4" w:space="0" w:color="auto"/>
              <w:right w:val="single" w:sz="4" w:space="0" w:color="auto"/>
            </w:tcBorders>
            <w:hideMark/>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eastAsia="en-AU"/>
              </w:rPr>
            </w:pPr>
            <w:r w:rsidRPr="00C41F2B">
              <w:rPr>
                <w:rFonts w:ascii="Arial Narrow" w:hAnsi="Arial Narrow"/>
                <w:sz w:val="20"/>
                <w:szCs w:val="20"/>
                <w:lang w:eastAsia="en-AU"/>
              </w:rPr>
              <w:t>Protocol title/ Publication title</w:t>
            </w:r>
          </w:p>
        </w:tc>
        <w:tc>
          <w:tcPr>
            <w:cnfStyle w:val="000100000000" w:firstRow="0" w:lastRow="0" w:firstColumn="0" w:lastColumn="1" w:oddVBand="0" w:evenVBand="0" w:oddHBand="0" w:evenHBand="0" w:firstRowFirstColumn="0" w:firstRowLastColumn="0" w:lastRowFirstColumn="0" w:lastRowLastColumn="0"/>
            <w:tcW w:w="1326" w:type="pct"/>
            <w:hideMark/>
          </w:tcPr>
          <w:p w:rsidR="00E66BA3" w:rsidRPr="00C41F2B" w:rsidRDefault="00E66BA3" w:rsidP="00E66BA3">
            <w:pPr>
              <w:spacing w:before="40" w:after="40" w:line="256" w:lineRule="auto"/>
              <w:jc w:val="left"/>
              <w:rPr>
                <w:rFonts w:ascii="Arial Narrow" w:hAnsi="Arial Narrow"/>
                <w:i w:val="0"/>
                <w:sz w:val="20"/>
                <w:szCs w:val="20"/>
                <w:lang w:eastAsia="en-AU"/>
              </w:rPr>
            </w:pPr>
            <w:r w:rsidRPr="00C41F2B">
              <w:rPr>
                <w:rFonts w:ascii="Arial Narrow" w:hAnsi="Arial Narrow"/>
                <w:i w:val="0"/>
                <w:sz w:val="20"/>
                <w:szCs w:val="20"/>
                <w:lang w:eastAsia="en-AU"/>
              </w:rPr>
              <w:t>Publication citation</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tcBorders>
            <w:hideMark/>
          </w:tcPr>
          <w:p w:rsidR="00E66BA3" w:rsidRPr="00C41F2B" w:rsidRDefault="00E66BA3" w:rsidP="00E66BA3">
            <w:pPr>
              <w:spacing w:before="40" w:after="40" w:line="256" w:lineRule="auto"/>
              <w:jc w:val="left"/>
              <w:rPr>
                <w:rFonts w:ascii="Arial Narrow" w:hAnsi="Arial Narrow"/>
                <w:b w:val="0"/>
                <w:bCs/>
                <w:sz w:val="20"/>
                <w:szCs w:val="20"/>
                <w:lang w:eastAsia="en-AU"/>
              </w:rPr>
            </w:pPr>
            <w:r w:rsidRPr="00C41F2B">
              <w:rPr>
                <w:rFonts w:ascii="Arial Narrow" w:hAnsi="Arial Narrow"/>
                <w:b w:val="0"/>
                <w:bCs/>
                <w:sz w:val="20"/>
                <w:szCs w:val="20"/>
                <w:lang w:eastAsia="en-AU"/>
              </w:rPr>
              <w:t>Direct randomised trial of olaparib vs placebo</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hideMark/>
          </w:tcPr>
          <w:p w:rsidR="00E66BA3" w:rsidRPr="00C41F2B" w:rsidRDefault="00E66BA3" w:rsidP="00E66BA3">
            <w:pPr>
              <w:spacing w:before="40" w:after="40" w:line="256" w:lineRule="auto"/>
              <w:rPr>
                <w:rFonts w:ascii="Arial Narrow" w:hAnsi="Arial Narrow"/>
                <w:b w:val="0"/>
                <w:bCs/>
                <w:sz w:val="20"/>
                <w:szCs w:val="20"/>
                <w:lang w:eastAsia="en-AU"/>
              </w:rPr>
            </w:pPr>
            <w:r w:rsidRPr="00C41F2B">
              <w:rPr>
                <w:rFonts w:ascii="Arial Narrow" w:hAnsi="Arial Narrow"/>
                <w:b w:val="0"/>
                <w:bCs/>
                <w:sz w:val="20"/>
                <w:szCs w:val="20"/>
                <w:lang w:eastAsia="en-AU"/>
              </w:rPr>
              <w:t>SOLO1</w:t>
            </w:r>
          </w:p>
          <w:p w:rsidR="00E66BA3" w:rsidRPr="00C41F2B" w:rsidRDefault="00E66BA3" w:rsidP="00E66BA3">
            <w:pPr>
              <w:spacing w:before="40" w:after="40" w:line="256" w:lineRule="auto"/>
              <w:rPr>
                <w:rFonts w:ascii="Arial Narrow" w:hAnsi="Arial Narrow"/>
                <w:b w:val="0"/>
                <w:b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hideMark/>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sz w:val="20"/>
                <w:szCs w:val="20"/>
                <w:lang w:eastAsia="en-AU"/>
              </w:rPr>
            </w:pPr>
            <w:r w:rsidRPr="00C41F2B">
              <w:rPr>
                <w:rFonts w:ascii="Arial Narrow" w:hAnsi="Arial Narrow"/>
                <w:b w:val="0"/>
                <w:bCs/>
                <w:sz w:val="20"/>
                <w:szCs w:val="20"/>
                <w:lang w:eastAsia="en-AU"/>
              </w:rPr>
              <w:t xml:space="preserve">A Phase III, Randomised, Double Blind, Placebo Controlled, Multicentre Study of Olaparib Maintenance Monotherapy in Patients with </w:t>
            </w:r>
            <w:r w:rsidRPr="00C41F2B">
              <w:rPr>
                <w:rFonts w:ascii="Arial Narrow" w:hAnsi="Arial Narrow"/>
                <w:b w:val="0"/>
                <w:bCs/>
                <w:iCs/>
                <w:sz w:val="20"/>
                <w:szCs w:val="20"/>
                <w:lang w:eastAsia="en-AU"/>
              </w:rPr>
              <w:t>BRCA</w:t>
            </w:r>
            <w:r w:rsidRPr="00C41F2B">
              <w:rPr>
                <w:rFonts w:ascii="Arial Narrow" w:hAnsi="Arial Narrow"/>
                <w:b w:val="0"/>
                <w:bCs/>
                <w:sz w:val="20"/>
                <w:szCs w:val="20"/>
                <w:lang w:eastAsia="en-AU"/>
              </w:rPr>
              <w:t xml:space="preserve"> Mutated Advanced (FIGO Stage III-IV) Ovarian Cancer following </w:t>
            </w:r>
            <w:r w:rsidR="004F687F" w:rsidRPr="00C41F2B">
              <w:rPr>
                <w:rFonts w:ascii="Arial Narrow" w:hAnsi="Arial Narrow"/>
                <w:b w:val="0"/>
                <w:bCs/>
                <w:sz w:val="20"/>
                <w:szCs w:val="20"/>
                <w:lang w:eastAsia="en-AU"/>
              </w:rPr>
              <w:t>1L</w:t>
            </w:r>
            <w:r w:rsidRPr="00C41F2B">
              <w:rPr>
                <w:rFonts w:ascii="Arial Narrow" w:hAnsi="Arial Narrow"/>
                <w:b w:val="0"/>
                <w:bCs/>
                <w:sz w:val="20"/>
                <w:szCs w:val="20"/>
                <w:lang w:eastAsia="en-AU"/>
              </w:rPr>
              <w:t xml:space="preserve"> Platinum Based Chemotherapy. </w:t>
            </w:r>
          </w:p>
        </w:tc>
        <w:tc>
          <w:tcPr>
            <w:cnfStyle w:val="000100000000" w:firstRow="0" w:lastRow="0" w:firstColumn="0" w:lastColumn="1" w:oddVBand="0" w:evenVBand="0" w:oddHBand="0" w:evenHBand="0" w:firstRowFirstColumn="0" w:firstRowLastColumn="0" w:lastRowFirstColumn="0" w:lastRowLastColumn="0"/>
            <w:tcW w:w="1326" w:type="pct"/>
            <w:hideMark/>
          </w:tcPr>
          <w:p w:rsidR="00E66BA3" w:rsidRPr="00C41F2B" w:rsidRDefault="00E66BA3" w:rsidP="008752F3">
            <w:pPr>
              <w:spacing w:before="40" w:after="40" w:line="256" w:lineRule="auto"/>
              <w:jc w:val="left"/>
              <w:rPr>
                <w:rFonts w:ascii="Arial Narrow" w:hAnsi="Arial Narrow"/>
                <w:b w:val="0"/>
                <w:bCs/>
                <w:i w:val="0"/>
                <w:sz w:val="20"/>
                <w:szCs w:val="20"/>
                <w:lang w:eastAsia="en-AU"/>
              </w:rPr>
            </w:pPr>
            <w:r w:rsidRPr="00C41F2B">
              <w:rPr>
                <w:rFonts w:ascii="Arial Narrow" w:hAnsi="Arial Narrow"/>
                <w:b w:val="0"/>
                <w:bCs/>
                <w:i w:val="0"/>
                <w:sz w:val="20"/>
                <w:szCs w:val="20"/>
                <w:lang w:eastAsia="en-AU"/>
              </w:rPr>
              <w:t>23 August 2018</w:t>
            </w:r>
            <w:r w:rsidR="008752F3" w:rsidRPr="00C41F2B">
              <w:rPr>
                <w:rFonts w:ascii="Arial Narrow" w:hAnsi="Arial Narrow"/>
                <w:b w:val="0"/>
                <w:bCs/>
                <w:i w:val="0"/>
                <w:sz w:val="20"/>
                <w:szCs w:val="20"/>
                <w:lang w:eastAsia="en-AU"/>
              </w:rPr>
              <w:t>; ClinicalTrials.gov Identifier: NCT01844986</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lang w:eastAsia="en-AU"/>
              </w:rPr>
            </w:pPr>
            <w:r w:rsidRPr="00C41F2B">
              <w:rPr>
                <w:rFonts w:ascii="Arial Narrow" w:hAnsi="Arial Narrow"/>
                <w:b w:val="0"/>
                <w:bCs/>
                <w:iCs/>
                <w:sz w:val="20"/>
                <w:szCs w:val="20"/>
              </w:rPr>
              <w:t>Gong H. Front-line maintenance therapy for platinum-sensitive ovarian cancer: What</w:t>
            </w:r>
            <w:r w:rsidR="00A55F99" w:rsidRPr="00C41F2B">
              <w:rPr>
                <w:rFonts w:ascii="Arial Narrow" w:hAnsi="Arial Narrow"/>
                <w:b w:val="0"/>
                <w:bCs/>
                <w:iCs/>
                <w:sz w:val="20"/>
                <w:szCs w:val="20"/>
              </w:rPr>
              <w:t>’</w:t>
            </w:r>
            <w:r w:rsidRPr="00C41F2B">
              <w:rPr>
                <w:rFonts w:ascii="Arial Narrow" w:hAnsi="Arial Narrow"/>
                <w:b w:val="0"/>
                <w:bCs/>
                <w:iCs/>
                <w:sz w:val="20"/>
                <w:szCs w:val="20"/>
              </w:rPr>
              <w:t>s next PARP inhibitors?</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E66BA3" w:rsidP="00E66BA3">
            <w:pPr>
              <w:spacing w:before="40" w:after="40" w:line="256" w:lineRule="auto"/>
              <w:jc w:val="left"/>
              <w:rPr>
                <w:rFonts w:ascii="Arial Narrow" w:hAnsi="Arial Narrow"/>
                <w:b w:val="0"/>
                <w:bCs/>
                <w:i w:val="0"/>
                <w:sz w:val="20"/>
                <w:szCs w:val="20"/>
                <w:lang w:eastAsia="en-AU"/>
              </w:rPr>
            </w:pPr>
            <w:r w:rsidRPr="00C41F2B">
              <w:rPr>
                <w:rFonts w:ascii="Arial Narrow" w:hAnsi="Arial Narrow"/>
                <w:b w:val="0"/>
                <w:bCs/>
                <w:i w:val="0"/>
                <w:sz w:val="20"/>
                <w:szCs w:val="20"/>
              </w:rPr>
              <w:t>Annals of Oncology 2019</w:t>
            </w:r>
            <w:proofErr w:type="gramStart"/>
            <w:r w:rsidRPr="00C41F2B">
              <w:rPr>
                <w:rFonts w:ascii="Arial Narrow" w:hAnsi="Arial Narrow"/>
                <w:b w:val="0"/>
                <w:bCs/>
                <w:i w:val="0"/>
                <w:sz w:val="20"/>
                <w:szCs w:val="20"/>
              </w:rPr>
              <w:t>;30</w:t>
            </w:r>
            <w:proofErr w:type="gramEnd"/>
            <w:r w:rsidRPr="00C41F2B">
              <w:rPr>
                <w:rFonts w:ascii="Arial Narrow" w:hAnsi="Arial Narrow"/>
                <w:b w:val="0"/>
                <w:bCs/>
                <w:i w:val="0"/>
                <w:sz w:val="20"/>
                <w:szCs w:val="20"/>
              </w:rPr>
              <w:t>(9):ix81. Abstract 236P</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lang w:eastAsia="en-AU"/>
              </w:rPr>
            </w:pPr>
            <w:r w:rsidRPr="00C41F2B">
              <w:rPr>
                <w:rFonts w:ascii="Arial Narrow" w:hAnsi="Arial Narrow"/>
                <w:b w:val="0"/>
                <w:bCs/>
                <w:iCs/>
                <w:sz w:val="20"/>
                <w:szCs w:val="20"/>
              </w:rPr>
              <w:t xml:space="preserve">Moore KN, Colombo N, </w:t>
            </w:r>
            <w:proofErr w:type="spellStart"/>
            <w:r w:rsidRPr="00C41F2B">
              <w:rPr>
                <w:rFonts w:ascii="Arial Narrow" w:hAnsi="Arial Narrow"/>
                <w:b w:val="0"/>
                <w:bCs/>
                <w:iCs/>
                <w:sz w:val="20"/>
                <w:szCs w:val="20"/>
              </w:rPr>
              <w:t>Scambia</w:t>
            </w:r>
            <w:proofErr w:type="spellEnd"/>
            <w:r w:rsidRPr="00C41F2B">
              <w:rPr>
                <w:rFonts w:ascii="Arial Narrow" w:hAnsi="Arial Narrow"/>
                <w:b w:val="0"/>
                <w:bCs/>
                <w:iCs/>
                <w:sz w:val="20"/>
                <w:szCs w:val="20"/>
              </w:rPr>
              <w:t xml:space="preserve"> G, Kim BG, </w:t>
            </w:r>
            <w:proofErr w:type="spellStart"/>
            <w:r w:rsidRPr="00C41F2B">
              <w:rPr>
                <w:rFonts w:ascii="Arial Narrow" w:hAnsi="Arial Narrow"/>
                <w:b w:val="0"/>
                <w:bCs/>
                <w:iCs/>
                <w:sz w:val="20"/>
                <w:szCs w:val="20"/>
              </w:rPr>
              <w:t>Oaknin</w:t>
            </w:r>
            <w:proofErr w:type="spellEnd"/>
            <w:r w:rsidRPr="00C41F2B">
              <w:rPr>
                <w:rFonts w:ascii="Arial Narrow" w:hAnsi="Arial Narrow"/>
                <w:b w:val="0"/>
                <w:bCs/>
                <w:iCs/>
                <w:sz w:val="20"/>
                <w:szCs w:val="20"/>
              </w:rPr>
              <w:t xml:space="preserve"> A, Friedlander M, et al. Maintenance olaparib following platinum-based chemotherapy in newly diagnosed patients (pts) with advanced ovarian cancer (OC) and a BRCA1/2 mutation (BRCAm): phase III SOLO1 trial.</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E66BA3" w:rsidP="00E66BA3">
            <w:pPr>
              <w:spacing w:before="40" w:after="40" w:line="256" w:lineRule="auto"/>
              <w:jc w:val="left"/>
              <w:rPr>
                <w:rFonts w:ascii="Arial Narrow" w:hAnsi="Arial Narrow"/>
                <w:b w:val="0"/>
                <w:bCs/>
                <w:i w:val="0"/>
                <w:sz w:val="20"/>
                <w:szCs w:val="20"/>
                <w:lang w:eastAsia="en-AU"/>
              </w:rPr>
            </w:pPr>
            <w:r w:rsidRPr="00C41F2B">
              <w:rPr>
                <w:rFonts w:ascii="Arial Narrow" w:hAnsi="Arial Narrow"/>
                <w:b w:val="0"/>
                <w:bCs/>
                <w:i w:val="0"/>
                <w:sz w:val="20"/>
                <w:szCs w:val="20"/>
              </w:rPr>
              <w:t>Annals of Oncology 2018</w:t>
            </w:r>
            <w:r w:rsidR="00247418" w:rsidRPr="00C41F2B">
              <w:rPr>
                <w:rFonts w:ascii="Arial Narrow" w:hAnsi="Arial Narrow"/>
                <w:b w:val="0"/>
                <w:bCs/>
                <w:i w:val="0"/>
                <w:sz w:val="20"/>
                <w:szCs w:val="20"/>
              </w:rPr>
              <w:t>; 29 (9):ix174-ix175.</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lang w:eastAsia="en-AU"/>
              </w:rPr>
            </w:pPr>
            <w:proofErr w:type="spellStart"/>
            <w:r w:rsidRPr="00C41F2B">
              <w:rPr>
                <w:rFonts w:ascii="Arial Narrow" w:hAnsi="Arial Narrow"/>
                <w:b w:val="0"/>
                <w:bCs/>
                <w:iCs/>
                <w:sz w:val="20"/>
                <w:szCs w:val="20"/>
              </w:rPr>
              <w:t>Poveda</w:t>
            </w:r>
            <w:proofErr w:type="spellEnd"/>
            <w:r w:rsidRPr="00C41F2B">
              <w:rPr>
                <w:rFonts w:ascii="Arial Narrow" w:hAnsi="Arial Narrow"/>
                <w:b w:val="0"/>
                <w:bCs/>
                <w:iCs/>
                <w:sz w:val="20"/>
                <w:szCs w:val="20"/>
              </w:rPr>
              <w:t xml:space="preserve"> A, </w:t>
            </w:r>
            <w:proofErr w:type="spellStart"/>
            <w:r w:rsidRPr="00C41F2B">
              <w:rPr>
                <w:rFonts w:ascii="Arial Narrow" w:hAnsi="Arial Narrow"/>
                <w:b w:val="0"/>
                <w:bCs/>
                <w:iCs/>
                <w:sz w:val="20"/>
                <w:szCs w:val="20"/>
              </w:rPr>
              <w:t>Sackeyfio</w:t>
            </w:r>
            <w:proofErr w:type="spellEnd"/>
            <w:r w:rsidRPr="00C41F2B">
              <w:rPr>
                <w:rFonts w:ascii="Arial Narrow" w:hAnsi="Arial Narrow"/>
                <w:b w:val="0"/>
                <w:bCs/>
                <w:iCs/>
                <w:sz w:val="20"/>
                <w:szCs w:val="20"/>
              </w:rPr>
              <w:t xml:space="preserve"> A, Friedlander M. Maintenance olaparib for BRCA-mutated ovarian cancer (OC) patients in 1</w:t>
            </w:r>
            <w:r w:rsidRPr="00C41F2B">
              <w:rPr>
                <w:rFonts w:ascii="Arial Narrow" w:hAnsi="Arial Narrow"/>
                <w:b w:val="0"/>
                <w:bCs/>
                <w:iCs/>
                <w:sz w:val="20"/>
                <w:szCs w:val="20"/>
                <w:vertAlign w:val="superscript"/>
              </w:rPr>
              <w:t>st</w:t>
            </w:r>
            <w:r w:rsidRPr="00C41F2B">
              <w:rPr>
                <w:rFonts w:ascii="Arial Narrow" w:hAnsi="Arial Narrow"/>
                <w:b w:val="0"/>
                <w:bCs/>
                <w:iCs/>
                <w:sz w:val="20"/>
                <w:szCs w:val="20"/>
              </w:rPr>
              <w:t xml:space="preserve"> line and platinum-sensitive relapsed (PSR) settings: maximizing treatment opportunities.</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247418" w:rsidP="00E66BA3">
            <w:pPr>
              <w:spacing w:before="40" w:after="40" w:line="256" w:lineRule="auto"/>
              <w:jc w:val="left"/>
              <w:rPr>
                <w:rFonts w:ascii="Arial Narrow" w:hAnsi="Arial Narrow"/>
                <w:b w:val="0"/>
                <w:bCs/>
                <w:i w:val="0"/>
                <w:sz w:val="20"/>
                <w:szCs w:val="20"/>
                <w:lang w:eastAsia="en-AU"/>
              </w:rPr>
            </w:pPr>
            <w:r w:rsidRPr="00C41F2B">
              <w:rPr>
                <w:rFonts w:ascii="Arial Narrow" w:hAnsi="Arial Narrow"/>
                <w:b w:val="0"/>
                <w:bCs/>
                <w:i w:val="0"/>
                <w:sz w:val="20"/>
                <w:szCs w:val="20"/>
              </w:rPr>
              <w:t xml:space="preserve">International Journal of </w:t>
            </w:r>
            <w:proofErr w:type="spellStart"/>
            <w:r w:rsidRPr="00C41F2B">
              <w:rPr>
                <w:rFonts w:ascii="Arial Narrow" w:hAnsi="Arial Narrow"/>
                <w:b w:val="0"/>
                <w:bCs/>
                <w:i w:val="0"/>
                <w:sz w:val="20"/>
                <w:szCs w:val="20"/>
              </w:rPr>
              <w:t>Gynecologic</w:t>
            </w:r>
            <w:proofErr w:type="spellEnd"/>
            <w:r w:rsidRPr="00C41F2B">
              <w:rPr>
                <w:rFonts w:ascii="Arial Narrow" w:hAnsi="Arial Narrow"/>
                <w:b w:val="0"/>
                <w:bCs/>
                <w:i w:val="0"/>
                <w:sz w:val="20"/>
                <w:szCs w:val="20"/>
              </w:rPr>
              <w:t xml:space="preserve"> Cancer 2019</w:t>
            </w:r>
            <w:proofErr w:type="gramStart"/>
            <w:r w:rsidRPr="00C41F2B">
              <w:rPr>
                <w:rFonts w:ascii="Arial Narrow" w:hAnsi="Arial Narrow"/>
                <w:b w:val="0"/>
                <w:bCs/>
                <w:i w:val="0"/>
                <w:sz w:val="20"/>
                <w:szCs w:val="20"/>
              </w:rPr>
              <w:t>;29:A133</w:t>
            </w:r>
            <w:proofErr w:type="gramEnd"/>
            <w:r w:rsidRPr="00C41F2B">
              <w:rPr>
                <w:rFonts w:ascii="Arial Narrow" w:hAnsi="Arial Narrow"/>
                <w:b w:val="0"/>
                <w:bCs/>
                <w:i w:val="0"/>
                <w:sz w:val="20"/>
                <w:szCs w:val="20"/>
              </w:rPr>
              <w:t>.</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lang w:eastAsia="en-AU"/>
              </w:rPr>
            </w:pPr>
            <w:r w:rsidRPr="00C41F2B">
              <w:rPr>
                <w:rFonts w:ascii="Arial Narrow" w:hAnsi="Arial Narrow"/>
                <w:b w:val="0"/>
                <w:bCs/>
                <w:iCs/>
                <w:sz w:val="20"/>
                <w:szCs w:val="20"/>
              </w:rPr>
              <w:t>Wu L, Zhu J, Yin R, Wu X, Lou G, Wang J, et al. Olaparib maintenance therapy in patients (pts) with a BRCA1 and/or BRCA2 mutation (BRCAm) and newly diagnosed advanced ovarian cancer (OC): SOLO1 China cohort.</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247418" w:rsidP="00E66BA3">
            <w:pPr>
              <w:spacing w:before="40" w:after="40" w:line="256" w:lineRule="auto"/>
              <w:jc w:val="left"/>
              <w:rPr>
                <w:rFonts w:ascii="Arial Narrow" w:hAnsi="Arial Narrow"/>
                <w:b w:val="0"/>
                <w:bCs/>
                <w:i w:val="0"/>
                <w:sz w:val="20"/>
                <w:szCs w:val="20"/>
                <w:lang w:eastAsia="en-AU"/>
              </w:rPr>
            </w:pPr>
            <w:r w:rsidRPr="00C41F2B">
              <w:rPr>
                <w:rFonts w:ascii="Arial Narrow" w:hAnsi="Arial Narrow"/>
                <w:b w:val="0"/>
                <w:bCs/>
                <w:i w:val="0"/>
                <w:sz w:val="20"/>
                <w:szCs w:val="20"/>
              </w:rPr>
              <w:t>Journal of Clinical Oncology 2019 37:15_suppl, 5554-5554</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lang w:eastAsia="en-AU"/>
              </w:rPr>
            </w:pPr>
            <w:r w:rsidRPr="00C41F2B">
              <w:rPr>
                <w:rFonts w:ascii="Arial Narrow" w:hAnsi="Arial Narrow"/>
                <w:b w:val="0"/>
                <w:bCs/>
                <w:iCs/>
                <w:sz w:val="20"/>
                <w:szCs w:val="20"/>
              </w:rPr>
              <w:t xml:space="preserve">Mathews CA, Moore KN, Colombo N, </w:t>
            </w:r>
            <w:proofErr w:type="spellStart"/>
            <w:r w:rsidRPr="00C41F2B">
              <w:rPr>
                <w:rFonts w:ascii="Arial Narrow" w:hAnsi="Arial Narrow"/>
                <w:b w:val="0"/>
                <w:bCs/>
                <w:iCs/>
                <w:sz w:val="20"/>
                <w:szCs w:val="20"/>
              </w:rPr>
              <w:t>Scambia</w:t>
            </w:r>
            <w:proofErr w:type="spellEnd"/>
            <w:r w:rsidRPr="00C41F2B">
              <w:rPr>
                <w:rFonts w:ascii="Arial Narrow" w:hAnsi="Arial Narrow"/>
                <w:b w:val="0"/>
                <w:bCs/>
                <w:iCs/>
                <w:sz w:val="20"/>
                <w:szCs w:val="20"/>
              </w:rPr>
              <w:t xml:space="preserve"> G, Kim BG, </w:t>
            </w:r>
            <w:proofErr w:type="spellStart"/>
            <w:r w:rsidRPr="00C41F2B">
              <w:rPr>
                <w:rFonts w:ascii="Arial Narrow" w:hAnsi="Arial Narrow"/>
                <w:b w:val="0"/>
                <w:bCs/>
                <w:iCs/>
                <w:sz w:val="20"/>
                <w:szCs w:val="20"/>
              </w:rPr>
              <w:t>Oaknin</w:t>
            </w:r>
            <w:proofErr w:type="spellEnd"/>
            <w:r w:rsidRPr="00C41F2B">
              <w:rPr>
                <w:rFonts w:ascii="Arial Narrow" w:hAnsi="Arial Narrow"/>
                <w:b w:val="0"/>
                <w:bCs/>
                <w:iCs/>
                <w:sz w:val="20"/>
                <w:szCs w:val="20"/>
              </w:rPr>
              <w:t xml:space="preserve"> A, et al. Maintenance olaparib after platinum-based chemotherapy in patients (pts) with newly diagnosed advanced ovarian cancer (OC) and a BRCA mutation (BRCAm): efficacy by surgical and </w:t>
            </w:r>
            <w:proofErr w:type="spellStart"/>
            <w:r w:rsidRPr="00C41F2B">
              <w:rPr>
                <w:rFonts w:ascii="Arial Narrow" w:hAnsi="Arial Narrow"/>
                <w:b w:val="0"/>
                <w:bCs/>
                <w:iCs/>
                <w:sz w:val="20"/>
                <w:szCs w:val="20"/>
              </w:rPr>
              <w:t>tumor</w:t>
            </w:r>
            <w:proofErr w:type="spellEnd"/>
            <w:r w:rsidRPr="00C41F2B">
              <w:rPr>
                <w:rFonts w:ascii="Arial Narrow" w:hAnsi="Arial Narrow"/>
                <w:b w:val="0"/>
                <w:bCs/>
                <w:iCs/>
                <w:sz w:val="20"/>
                <w:szCs w:val="20"/>
              </w:rPr>
              <w:t xml:space="preserve"> status in the Phase III SOLO1 trial</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247418" w:rsidP="00E66BA3">
            <w:pPr>
              <w:spacing w:before="40" w:after="40" w:line="256" w:lineRule="auto"/>
              <w:jc w:val="left"/>
              <w:rPr>
                <w:rFonts w:ascii="Arial Narrow" w:hAnsi="Arial Narrow"/>
                <w:b w:val="0"/>
                <w:bCs/>
                <w:i w:val="0"/>
                <w:sz w:val="20"/>
                <w:szCs w:val="20"/>
                <w:lang w:eastAsia="en-AU"/>
              </w:rPr>
            </w:pPr>
            <w:r w:rsidRPr="00C41F2B">
              <w:rPr>
                <w:rFonts w:ascii="Arial Narrow" w:hAnsi="Arial Narrow"/>
                <w:b w:val="0"/>
                <w:bCs/>
                <w:i w:val="0"/>
                <w:sz w:val="20"/>
                <w:szCs w:val="20"/>
                <w:lang w:eastAsia="en-AU"/>
              </w:rPr>
              <w:t>Journal of Clinical Oncology 2019 37:15_suppl, 5541-5541</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rPr>
            </w:pPr>
            <w:r w:rsidRPr="00C41F2B">
              <w:rPr>
                <w:rFonts w:ascii="Arial Narrow" w:hAnsi="Arial Narrow"/>
                <w:b w:val="0"/>
                <w:bCs/>
                <w:iCs/>
                <w:sz w:val="20"/>
                <w:szCs w:val="20"/>
              </w:rPr>
              <w:t xml:space="preserve">Friedlander M, Moore KN, Colombo N, </w:t>
            </w:r>
            <w:proofErr w:type="spellStart"/>
            <w:r w:rsidRPr="00C41F2B">
              <w:rPr>
                <w:rFonts w:ascii="Arial Narrow" w:hAnsi="Arial Narrow"/>
                <w:b w:val="0"/>
                <w:bCs/>
                <w:iCs/>
                <w:sz w:val="20"/>
                <w:szCs w:val="20"/>
              </w:rPr>
              <w:t>Scambia</w:t>
            </w:r>
            <w:proofErr w:type="spellEnd"/>
            <w:r w:rsidRPr="00C41F2B">
              <w:rPr>
                <w:rFonts w:ascii="Arial Narrow" w:hAnsi="Arial Narrow"/>
                <w:b w:val="0"/>
                <w:bCs/>
                <w:iCs/>
                <w:sz w:val="20"/>
                <w:szCs w:val="20"/>
              </w:rPr>
              <w:t xml:space="preserve"> G, Kim BG, </w:t>
            </w:r>
            <w:proofErr w:type="spellStart"/>
            <w:r w:rsidRPr="00C41F2B">
              <w:rPr>
                <w:rFonts w:ascii="Arial Narrow" w:hAnsi="Arial Narrow"/>
                <w:b w:val="0"/>
                <w:bCs/>
                <w:iCs/>
                <w:sz w:val="20"/>
                <w:szCs w:val="20"/>
              </w:rPr>
              <w:t>Oaknin</w:t>
            </w:r>
            <w:proofErr w:type="spellEnd"/>
            <w:r w:rsidRPr="00C41F2B">
              <w:rPr>
                <w:rFonts w:ascii="Arial Narrow" w:hAnsi="Arial Narrow"/>
                <w:b w:val="0"/>
                <w:bCs/>
                <w:iCs/>
                <w:sz w:val="20"/>
                <w:szCs w:val="20"/>
              </w:rPr>
              <w:t xml:space="preserve"> A, et al. Efficacy of maintenance olaparib for newly diagnosed, advanced ovarian cancer patients (pts) by BRCA1 or BRCA2 mutation in the phase III SOLO1 trial.</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247418" w:rsidP="00E66BA3">
            <w:pPr>
              <w:spacing w:before="40" w:after="40" w:line="256" w:lineRule="auto"/>
              <w:jc w:val="left"/>
              <w:rPr>
                <w:rFonts w:ascii="Arial Narrow" w:hAnsi="Arial Narrow"/>
                <w:b w:val="0"/>
                <w:bCs/>
                <w:i w:val="0"/>
                <w:iCs w:val="0"/>
                <w:sz w:val="20"/>
                <w:szCs w:val="20"/>
                <w:lang w:eastAsia="en-AU"/>
              </w:rPr>
            </w:pPr>
            <w:r w:rsidRPr="00C41F2B">
              <w:rPr>
                <w:rFonts w:ascii="Arial Narrow" w:hAnsi="Arial Narrow"/>
                <w:b w:val="0"/>
                <w:bCs/>
                <w:i w:val="0"/>
                <w:iCs w:val="0"/>
                <w:sz w:val="20"/>
                <w:szCs w:val="20"/>
              </w:rPr>
              <w:t>Journal of Clinical Oncology 2019 37:15_suppl, 5551-5551</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rPr>
            </w:pPr>
            <w:r w:rsidRPr="00C41F2B">
              <w:rPr>
                <w:rFonts w:ascii="Arial Narrow" w:hAnsi="Arial Narrow"/>
                <w:b w:val="0"/>
                <w:bCs/>
                <w:iCs/>
                <w:sz w:val="20"/>
                <w:szCs w:val="20"/>
              </w:rPr>
              <w:t xml:space="preserve">Colombo N, Moore KN, </w:t>
            </w:r>
            <w:proofErr w:type="spellStart"/>
            <w:r w:rsidRPr="00C41F2B">
              <w:rPr>
                <w:rFonts w:ascii="Arial Narrow" w:hAnsi="Arial Narrow"/>
                <w:b w:val="0"/>
                <w:bCs/>
                <w:iCs/>
                <w:sz w:val="20"/>
                <w:szCs w:val="20"/>
              </w:rPr>
              <w:t>Scambia</w:t>
            </w:r>
            <w:proofErr w:type="spellEnd"/>
            <w:r w:rsidRPr="00C41F2B">
              <w:rPr>
                <w:rFonts w:ascii="Arial Narrow" w:hAnsi="Arial Narrow"/>
                <w:b w:val="0"/>
                <w:bCs/>
                <w:iCs/>
                <w:sz w:val="20"/>
                <w:szCs w:val="20"/>
              </w:rPr>
              <w:t xml:space="preserve"> G, </w:t>
            </w:r>
            <w:proofErr w:type="spellStart"/>
            <w:r w:rsidRPr="00C41F2B">
              <w:rPr>
                <w:rFonts w:ascii="Arial Narrow" w:hAnsi="Arial Narrow"/>
                <w:b w:val="0"/>
                <w:bCs/>
                <w:iCs/>
                <w:sz w:val="20"/>
                <w:szCs w:val="20"/>
              </w:rPr>
              <w:t>Oaknin</w:t>
            </w:r>
            <w:proofErr w:type="spellEnd"/>
            <w:r w:rsidRPr="00C41F2B">
              <w:rPr>
                <w:rFonts w:ascii="Arial Narrow" w:hAnsi="Arial Narrow"/>
                <w:b w:val="0"/>
                <w:bCs/>
                <w:iCs/>
                <w:sz w:val="20"/>
                <w:szCs w:val="20"/>
              </w:rPr>
              <w:t xml:space="preserve"> A, Friedlander M, </w:t>
            </w:r>
            <w:proofErr w:type="spellStart"/>
            <w:r w:rsidRPr="00C41F2B">
              <w:rPr>
                <w:rFonts w:ascii="Arial Narrow" w:hAnsi="Arial Narrow"/>
                <w:b w:val="0"/>
                <w:bCs/>
                <w:iCs/>
                <w:sz w:val="20"/>
                <w:szCs w:val="20"/>
              </w:rPr>
              <w:t>Lisyanskaya</w:t>
            </w:r>
            <w:proofErr w:type="spellEnd"/>
            <w:r w:rsidRPr="00C41F2B">
              <w:rPr>
                <w:rFonts w:ascii="Arial Narrow" w:hAnsi="Arial Narrow"/>
                <w:b w:val="0"/>
                <w:bCs/>
                <w:iCs/>
                <w:sz w:val="20"/>
                <w:szCs w:val="20"/>
              </w:rPr>
              <w:t xml:space="preserve"> AS, et al. Adverse events (</w:t>
            </w:r>
            <w:proofErr w:type="spellStart"/>
            <w:r w:rsidRPr="00C41F2B">
              <w:rPr>
                <w:rFonts w:ascii="Arial Narrow" w:hAnsi="Arial Narrow"/>
                <w:b w:val="0"/>
                <w:bCs/>
                <w:iCs/>
                <w:sz w:val="20"/>
                <w:szCs w:val="20"/>
              </w:rPr>
              <w:t>A</w:t>
            </w:r>
            <w:r w:rsidR="00A55F99" w:rsidRPr="00C41F2B">
              <w:rPr>
                <w:rFonts w:ascii="Arial Narrow" w:hAnsi="Arial Narrow"/>
                <w:b w:val="0"/>
                <w:bCs/>
                <w:iCs/>
                <w:sz w:val="20"/>
                <w:szCs w:val="20"/>
              </w:rPr>
              <w:t>e</w:t>
            </w:r>
            <w:r w:rsidRPr="00C41F2B">
              <w:rPr>
                <w:rFonts w:ascii="Arial Narrow" w:hAnsi="Arial Narrow"/>
                <w:b w:val="0"/>
                <w:bCs/>
                <w:iCs/>
                <w:sz w:val="20"/>
                <w:szCs w:val="20"/>
              </w:rPr>
              <w:t>s</w:t>
            </w:r>
            <w:proofErr w:type="spellEnd"/>
            <w:r w:rsidRPr="00C41F2B">
              <w:rPr>
                <w:rFonts w:ascii="Arial Narrow" w:hAnsi="Arial Narrow"/>
                <w:b w:val="0"/>
                <w:bCs/>
                <w:iCs/>
                <w:sz w:val="20"/>
                <w:szCs w:val="20"/>
              </w:rPr>
              <w:t>) with maintenance olaparib in newly diagnosed patients (pts) with advanced ovarian cancer (OC) and a BRCA mutation (BRCAm): phase III SOLO1 trial.</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722EFD" w:rsidP="00E66BA3">
            <w:pPr>
              <w:spacing w:before="40" w:after="40" w:line="256" w:lineRule="auto"/>
              <w:jc w:val="left"/>
              <w:rPr>
                <w:rFonts w:ascii="Arial Narrow" w:hAnsi="Arial Narrow"/>
                <w:b w:val="0"/>
                <w:bCs/>
                <w:i w:val="0"/>
                <w:sz w:val="20"/>
                <w:szCs w:val="20"/>
              </w:rPr>
            </w:pPr>
            <w:r w:rsidRPr="00C41F2B">
              <w:rPr>
                <w:rFonts w:ascii="Arial Narrow" w:hAnsi="Arial Narrow"/>
                <w:b w:val="0"/>
                <w:bCs/>
                <w:i w:val="0"/>
                <w:sz w:val="20"/>
                <w:szCs w:val="20"/>
              </w:rPr>
              <w:t>Journal of Clinical Oncology 2019 37(15_suppl):5539-5539</w:t>
            </w:r>
          </w:p>
        </w:tc>
      </w:tr>
      <w:tr w:rsidR="00E66BA3" w:rsidRPr="00C41F2B" w:rsidTr="00E66B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rsidR="00E66BA3" w:rsidRPr="00C41F2B" w:rsidRDefault="00E66BA3" w:rsidP="00E66BA3">
            <w:pPr>
              <w:spacing w:before="40" w:after="40" w:line="256" w:lineRule="auto"/>
              <w:rPr>
                <w:rFonts w:ascii="Arial Narrow" w:hAnsi="Arial Narrow"/>
                <w:b w:val="0"/>
                <w:bCs/>
                <w:iCs/>
                <w:sz w:val="20"/>
                <w:szCs w:val="20"/>
                <w:lang w:eastAsia="en-AU"/>
              </w:rPr>
            </w:pPr>
          </w:p>
        </w:tc>
        <w:tc>
          <w:tcPr>
            <w:tcW w:w="2725"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spacing w:before="40" w:after="40" w:line="25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b w:val="0"/>
                <w:bCs/>
                <w:iCs/>
                <w:sz w:val="20"/>
                <w:szCs w:val="20"/>
              </w:rPr>
            </w:pPr>
            <w:r w:rsidRPr="00C41F2B">
              <w:rPr>
                <w:rFonts w:ascii="Arial Narrow" w:hAnsi="Arial Narrow"/>
                <w:b w:val="0"/>
                <w:bCs/>
                <w:iCs/>
                <w:sz w:val="20"/>
                <w:szCs w:val="20"/>
              </w:rPr>
              <w:t>Friedlander et al. Patient-centred outcomes with maintenance olaparib in newly diagnosed patients with advanced ovarian cancer and a BRCA mutation in the phase III SOLO1 trial to support the clinical benefit of prolongation of progression-free survival.</w:t>
            </w:r>
          </w:p>
        </w:tc>
        <w:tc>
          <w:tcPr>
            <w:cnfStyle w:val="000100000000" w:firstRow="0" w:lastRow="0" w:firstColumn="0" w:lastColumn="1" w:oddVBand="0" w:evenVBand="0" w:oddHBand="0" w:evenHBand="0" w:firstRowFirstColumn="0" w:firstRowLastColumn="0" w:lastRowFirstColumn="0" w:lastRowLastColumn="0"/>
            <w:tcW w:w="1326" w:type="pct"/>
          </w:tcPr>
          <w:p w:rsidR="00E66BA3" w:rsidRPr="00C41F2B" w:rsidRDefault="00E66BA3" w:rsidP="00E66BA3">
            <w:pPr>
              <w:spacing w:before="40" w:after="40" w:line="256" w:lineRule="auto"/>
              <w:jc w:val="left"/>
              <w:rPr>
                <w:rFonts w:ascii="Arial Narrow" w:hAnsi="Arial Narrow"/>
                <w:b w:val="0"/>
                <w:bCs/>
                <w:i w:val="0"/>
                <w:sz w:val="20"/>
                <w:szCs w:val="20"/>
              </w:rPr>
            </w:pPr>
            <w:r w:rsidRPr="00C41F2B">
              <w:rPr>
                <w:rFonts w:ascii="Arial Narrow" w:hAnsi="Arial Narrow"/>
                <w:b w:val="0"/>
                <w:bCs/>
                <w:i w:val="0"/>
                <w:sz w:val="20"/>
                <w:szCs w:val="20"/>
              </w:rPr>
              <w:t xml:space="preserve">POSTER no. 996PD Presented at ESMO Annual Meeting, 27-1 October 2019, Barcelona, </w:t>
            </w:r>
            <w:bookmarkStart w:id="22" w:name="_GoBack"/>
            <w:r w:rsidRPr="00C41F2B">
              <w:rPr>
                <w:rFonts w:ascii="Arial Narrow" w:hAnsi="Arial Narrow"/>
                <w:b w:val="0"/>
                <w:bCs/>
                <w:i w:val="0"/>
                <w:sz w:val="20"/>
                <w:szCs w:val="20"/>
              </w:rPr>
              <w:t>Spa</w:t>
            </w:r>
            <w:bookmarkEnd w:id="22"/>
            <w:r w:rsidRPr="00C41F2B">
              <w:rPr>
                <w:rFonts w:ascii="Arial Narrow" w:hAnsi="Arial Narrow"/>
                <w:b w:val="0"/>
                <w:bCs/>
                <w:i w:val="0"/>
                <w:sz w:val="20"/>
                <w:szCs w:val="20"/>
              </w:rPr>
              <w:t>in.</w:t>
            </w:r>
          </w:p>
        </w:tc>
      </w:tr>
    </w:tbl>
    <w:p w:rsidR="00E66BA3" w:rsidRPr="00C41F2B" w:rsidRDefault="00E66BA3" w:rsidP="00E66BA3">
      <w:pPr>
        <w:pStyle w:val="TableFigureFooter"/>
        <w:rPr>
          <w:sz w:val="20"/>
        </w:rPr>
      </w:pPr>
      <w:r w:rsidRPr="00C41F2B">
        <w:t>Source: Table 14, p 65 of the resubmission.</w:t>
      </w:r>
    </w:p>
    <w:p w:rsidR="00E66BA3" w:rsidRPr="00C41F2B" w:rsidRDefault="00E66BA3" w:rsidP="00E66BA3">
      <w:pPr>
        <w:pStyle w:val="3-BodyText"/>
        <w:rPr>
          <w:color w:val="0066FF"/>
        </w:rPr>
      </w:pPr>
      <w:r w:rsidRPr="00C41F2B">
        <w:t xml:space="preserve">The key features of the direct randomised trial are unchanged from the previous submission and are summarised in the table below. </w:t>
      </w:r>
    </w:p>
    <w:p w:rsidR="00E66BA3" w:rsidRPr="00C41F2B" w:rsidRDefault="00E66BA3" w:rsidP="00E66BA3">
      <w:pPr>
        <w:pStyle w:val="TableFigureHeading"/>
      </w:pPr>
      <w:r w:rsidRPr="00C41F2B">
        <w:lastRenderedPageBreak/>
        <w:t xml:space="preserve">Table </w:t>
      </w:r>
      <w:r w:rsidR="00A0380C">
        <w:rPr>
          <w:noProof/>
        </w:rPr>
        <w:t>4</w:t>
      </w:r>
      <w:r w:rsidRPr="00C41F2B">
        <w:t xml:space="preserve">: 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638"/>
        <w:gridCol w:w="1232"/>
        <w:gridCol w:w="1329"/>
        <w:gridCol w:w="1329"/>
        <w:gridCol w:w="1450"/>
        <w:gridCol w:w="2013"/>
      </w:tblGrid>
      <w:tr w:rsidR="00E66BA3" w:rsidRPr="00C41F2B" w:rsidTr="00E66BA3">
        <w:tc>
          <w:tcPr>
            <w:tcW w:w="569" w:type="pct"/>
            <w:tcBorders>
              <w:top w:val="single" w:sz="4" w:space="0" w:color="auto"/>
              <w:left w:val="single" w:sz="4" w:space="0" w:color="auto"/>
              <w:bottom w:val="single" w:sz="4" w:space="0" w:color="auto"/>
              <w:right w:val="single" w:sz="4" w:space="0" w:color="auto"/>
            </w:tcBorders>
            <w:vAlign w:val="bottom"/>
            <w:hideMark/>
          </w:tcPr>
          <w:p w:rsidR="00E66BA3" w:rsidRPr="00C41F2B" w:rsidRDefault="00E66BA3" w:rsidP="00E66BA3">
            <w:pPr>
              <w:pStyle w:val="TableText0"/>
              <w:keepLines/>
              <w:rPr>
                <w:b/>
              </w:rPr>
            </w:pPr>
            <w:r w:rsidRPr="00C41F2B">
              <w:rPr>
                <w:b/>
              </w:rPr>
              <w:t>Trial</w:t>
            </w:r>
          </w:p>
        </w:tc>
        <w:tc>
          <w:tcPr>
            <w:tcW w:w="354" w:type="pct"/>
            <w:tcBorders>
              <w:top w:val="single" w:sz="4" w:space="0" w:color="auto"/>
              <w:left w:val="single" w:sz="4" w:space="0" w:color="auto"/>
              <w:bottom w:val="single" w:sz="4" w:space="0" w:color="auto"/>
              <w:right w:val="single" w:sz="4" w:space="0" w:color="auto"/>
            </w:tcBorders>
            <w:vAlign w:val="bottom"/>
            <w:hideMark/>
          </w:tcPr>
          <w:p w:rsidR="00E66BA3" w:rsidRPr="00C41F2B" w:rsidRDefault="00E66BA3" w:rsidP="00E66BA3">
            <w:pPr>
              <w:pStyle w:val="TableText0"/>
              <w:keepLines/>
              <w:rPr>
                <w:b/>
              </w:rPr>
            </w:pPr>
            <w:r w:rsidRPr="00C41F2B">
              <w:rPr>
                <w:b/>
              </w:rPr>
              <w:t>N</w:t>
            </w:r>
          </w:p>
        </w:tc>
        <w:tc>
          <w:tcPr>
            <w:tcW w:w="683" w:type="pct"/>
            <w:tcBorders>
              <w:top w:val="single" w:sz="4" w:space="0" w:color="auto"/>
              <w:left w:val="single" w:sz="4" w:space="0" w:color="auto"/>
              <w:bottom w:val="single" w:sz="4" w:space="0" w:color="auto"/>
              <w:right w:val="single" w:sz="4" w:space="0" w:color="auto"/>
            </w:tcBorders>
            <w:vAlign w:val="bottom"/>
            <w:hideMark/>
          </w:tcPr>
          <w:p w:rsidR="00E66BA3" w:rsidRPr="00C41F2B" w:rsidRDefault="00E66BA3" w:rsidP="00E66BA3">
            <w:pPr>
              <w:pStyle w:val="TableText0"/>
              <w:keepLines/>
              <w:rPr>
                <w:b/>
              </w:rPr>
            </w:pPr>
            <w:r w:rsidRPr="00C41F2B">
              <w:rPr>
                <w:b/>
              </w:rPr>
              <w:t>Design/ duration</w:t>
            </w:r>
          </w:p>
        </w:tc>
        <w:tc>
          <w:tcPr>
            <w:tcW w:w="737" w:type="pct"/>
            <w:tcBorders>
              <w:top w:val="single" w:sz="4" w:space="0" w:color="auto"/>
              <w:left w:val="single" w:sz="4" w:space="0" w:color="auto"/>
              <w:bottom w:val="single" w:sz="4" w:space="0" w:color="auto"/>
              <w:right w:val="single" w:sz="4" w:space="0" w:color="auto"/>
            </w:tcBorders>
          </w:tcPr>
          <w:p w:rsidR="00E66BA3" w:rsidRPr="00C41F2B" w:rsidRDefault="00E66BA3" w:rsidP="00E66BA3">
            <w:pPr>
              <w:pStyle w:val="TableText0"/>
              <w:keepLines/>
              <w:rPr>
                <w:b/>
              </w:rPr>
            </w:pPr>
            <w:r w:rsidRPr="00C41F2B">
              <w:rPr>
                <w:b/>
              </w:rPr>
              <w:t>Risk of bias</w:t>
            </w:r>
          </w:p>
        </w:tc>
        <w:tc>
          <w:tcPr>
            <w:tcW w:w="737" w:type="pct"/>
            <w:tcBorders>
              <w:top w:val="single" w:sz="4" w:space="0" w:color="auto"/>
              <w:left w:val="single" w:sz="4" w:space="0" w:color="auto"/>
              <w:bottom w:val="single" w:sz="4" w:space="0" w:color="auto"/>
              <w:right w:val="single" w:sz="4" w:space="0" w:color="auto"/>
            </w:tcBorders>
            <w:vAlign w:val="bottom"/>
            <w:hideMark/>
          </w:tcPr>
          <w:p w:rsidR="00E66BA3" w:rsidRPr="00C41F2B" w:rsidRDefault="00E66BA3" w:rsidP="00E66BA3">
            <w:pPr>
              <w:pStyle w:val="TableText0"/>
              <w:keepLines/>
              <w:rPr>
                <w:b/>
              </w:rPr>
            </w:pPr>
            <w:r w:rsidRPr="00C41F2B">
              <w:rPr>
                <w:b/>
              </w:rPr>
              <w:t>Patient population</w:t>
            </w:r>
          </w:p>
        </w:tc>
        <w:tc>
          <w:tcPr>
            <w:tcW w:w="804" w:type="pct"/>
            <w:tcBorders>
              <w:top w:val="single" w:sz="4" w:space="0" w:color="auto"/>
              <w:left w:val="single" w:sz="4" w:space="0" w:color="auto"/>
              <w:bottom w:val="single" w:sz="4" w:space="0" w:color="auto"/>
              <w:right w:val="single" w:sz="4" w:space="0" w:color="auto"/>
            </w:tcBorders>
            <w:vAlign w:val="bottom"/>
            <w:hideMark/>
          </w:tcPr>
          <w:p w:rsidR="00E66BA3" w:rsidRPr="00C41F2B" w:rsidRDefault="00E66BA3" w:rsidP="00E66BA3">
            <w:pPr>
              <w:pStyle w:val="TableText0"/>
              <w:keepLines/>
              <w:rPr>
                <w:b/>
              </w:rPr>
            </w:pPr>
            <w:r w:rsidRPr="00C41F2B">
              <w:rPr>
                <w:b/>
              </w:rPr>
              <w:t>Outcomes</w:t>
            </w:r>
          </w:p>
        </w:tc>
        <w:tc>
          <w:tcPr>
            <w:tcW w:w="1116" w:type="pct"/>
            <w:tcBorders>
              <w:top w:val="single" w:sz="4" w:space="0" w:color="auto"/>
              <w:left w:val="single" w:sz="4" w:space="0" w:color="auto"/>
              <w:bottom w:val="single" w:sz="4" w:space="0" w:color="auto"/>
              <w:right w:val="single" w:sz="4" w:space="0" w:color="auto"/>
            </w:tcBorders>
            <w:vAlign w:val="bottom"/>
            <w:hideMark/>
          </w:tcPr>
          <w:p w:rsidR="00E66BA3" w:rsidRPr="00C41F2B" w:rsidRDefault="00E66BA3" w:rsidP="00E66BA3">
            <w:pPr>
              <w:pStyle w:val="TableText0"/>
              <w:keepLines/>
              <w:rPr>
                <w:b/>
              </w:rPr>
            </w:pPr>
            <w:r w:rsidRPr="00C41F2B">
              <w:rPr>
                <w:b/>
              </w:rPr>
              <w:t>Use in modelled evaluation</w:t>
            </w:r>
          </w:p>
        </w:tc>
      </w:tr>
      <w:tr w:rsidR="00E66BA3" w:rsidRPr="00C41F2B" w:rsidTr="00E66BA3">
        <w:tc>
          <w:tcPr>
            <w:tcW w:w="569" w:type="pct"/>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pPr>
            <w:r w:rsidRPr="00C41F2B">
              <w:t>SOLO1</w:t>
            </w:r>
          </w:p>
        </w:tc>
        <w:tc>
          <w:tcPr>
            <w:tcW w:w="354" w:type="pct"/>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pPr>
            <w:r w:rsidRPr="00C41F2B">
              <w:t>391</w:t>
            </w:r>
          </w:p>
        </w:tc>
        <w:tc>
          <w:tcPr>
            <w:tcW w:w="683" w:type="pct"/>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pPr>
            <w:r w:rsidRPr="00C41F2B">
              <w:t>R, DB, MC</w:t>
            </w:r>
          </w:p>
          <w:p w:rsidR="00E66BA3" w:rsidRPr="00C41F2B" w:rsidRDefault="00E66BA3" w:rsidP="00E66BA3">
            <w:pPr>
              <w:pStyle w:val="TableText0"/>
              <w:keepLines/>
            </w:pPr>
            <w:r w:rsidRPr="00C41F2B">
              <w:t>Median 41 months follow up (DCO=17 May 2018)</w:t>
            </w:r>
          </w:p>
        </w:tc>
        <w:tc>
          <w:tcPr>
            <w:tcW w:w="737" w:type="pct"/>
            <w:tcBorders>
              <w:top w:val="single" w:sz="4" w:space="0" w:color="auto"/>
              <w:left w:val="single" w:sz="4" w:space="0" w:color="auto"/>
              <w:bottom w:val="single" w:sz="4" w:space="0" w:color="auto"/>
              <w:right w:val="single" w:sz="4" w:space="0" w:color="auto"/>
            </w:tcBorders>
            <w:vAlign w:val="center"/>
          </w:tcPr>
          <w:p w:rsidR="00E66BA3" w:rsidRPr="00C41F2B" w:rsidRDefault="00E66BA3" w:rsidP="00E66BA3">
            <w:pPr>
              <w:pStyle w:val="TableText0"/>
              <w:keepLines/>
            </w:pPr>
            <w:r w:rsidRPr="00C41F2B">
              <w:t>Low</w:t>
            </w:r>
          </w:p>
        </w:tc>
        <w:tc>
          <w:tcPr>
            <w:tcW w:w="737" w:type="pct"/>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pPr>
            <w:r w:rsidRPr="00C41F2B">
              <w:t xml:space="preserve">HGEOC, </w:t>
            </w:r>
            <w:proofErr w:type="spellStart"/>
            <w:r w:rsidRPr="00C41F2B">
              <w:t>g</w:t>
            </w:r>
            <w:r w:rsidRPr="00C41F2B">
              <w:rPr>
                <w:i/>
              </w:rPr>
              <w:t>BRCA</w:t>
            </w:r>
            <w:r w:rsidRPr="00C41F2B">
              <w:t>m</w:t>
            </w:r>
            <w:proofErr w:type="spellEnd"/>
            <w:r w:rsidRPr="00C41F2B">
              <w:t xml:space="preserve">-positive, responders to </w:t>
            </w:r>
            <w:r w:rsidR="004F687F" w:rsidRPr="00C41F2B">
              <w:t>1L</w:t>
            </w:r>
            <w:r w:rsidRPr="00C41F2B">
              <w:t xml:space="preserve"> platinum-based chemotherapy.</w:t>
            </w:r>
          </w:p>
        </w:tc>
        <w:tc>
          <w:tcPr>
            <w:tcW w:w="804" w:type="pct"/>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pPr>
            <w:r w:rsidRPr="00C41F2B">
              <w:t xml:space="preserve">PFS, PFS2, OS, TFST, TSST, TDT, </w:t>
            </w:r>
            <w:proofErr w:type="spellStart"/>
            <w:r w:rsidRPr="00C41F2B">
              <w:t>BoR</w:t>
            </w:r>
            <w:proofErr w:type="spellEnd"/>
            <w:r w:rsidRPr="00C41F2B">
              <w:t xml:space="preserve">, </w:t>
            </w:r>
            <w:proofErr w:type="spellStart"/>
            <w:r w:rsidRPr="00C41F2B">
              <w:t>HRQoL</w:t>
            </w:r>
            <w:proofErr w:type="spellEnd"/>
            <w:r w:rsidRPr="00C41F2B">
              <w:t>, Safety</w:t>
            </w:r>
          </w:p>
        </w:tc>
        <w:tc>
          <w:tcPr>
            <w:tcW w:w="1116" w:type="pct"/>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pPr>
            <w:r w:rsidRPr="00C41F2B">
              <w:t>PFS (modelled and extrapolated), Time from 1</w:t>
            </w:r>
            <w:r w:rsidRPr="00C41F2B">
              <w:rPr>
                <w:vertAlign w:val="superscript"/>
              </w:rPr>
              <w:t>st</w:t>
            </w:r>
            <w:r w:rsidRPr="00C41F2B">
              <w:t xml:space="preserve"> progression to PFS2 (modelled and extrapolated), OS (within trial only), TDT, </w:t>
            </w:r>
            <w:proofErr w:type="spellStart"/>
            <w:r w:rsidRPr="00C41F2B">
              <w:t>QoL</w:t>
            </w:r>
            <w:proofErr w:type="spellEnd"/>
            <w:r w:rsidRPr="00C41F2B">
              <w:t xml:space="preserve"> while on treatment, subsequent therapies</w:t>
            </w:r>
          </w:p>
        </w:tc>
      </w:tr>
    </w:tbl>
    <w:p w:rsidR="00E66BA3" w:rsidRPr="00C41F2B" w:rsidRDefault="00E66BA3" w:rsidP="00E66BA3">
      <w:pPr>
        <w:pStyle w:val="TableFigureFooter"/>
        <w:rPr>
          <w:i/>
        </w:rPr>
      </w:pPr>
      <w:proofErr w:type="spellStart"/>
      <w:r w:rsidRPr="00C41F2B">
        <w:t>BoR</w:t>
      </w:r>
      <w:proofErr w:type="spellEnd"/>
      <w:r w:rsidRPr="00C41F2B">
        <w:t xml:space="preserve">=best overall response; DB=double blind; DCO=data cut-off; </w:t>
      </w:r>
      <w:proofErr w:type="spellStart"/>
      <w:r w:rsidRPr="00C41F2B">
        <w:t>HRQoL</w:t>
      </w:r>
      <w:proofErr w:type="spellEnd"/>
      <w:r w:rsidRPr="00C41F2B">
        <w:t>=health-related quality of life (on treatment); MC=multi-centre; OS=overall survival; PFS=progression-free survival; PFS2=second progression-free survival; R=randomised; TDT=time to treatment discontinuation; TFST=time to first subsequent therapy (or death); TSST=time to second subsequent therapy (or death).</w:t>
      </w:r>
      <w:r w:rsidRPr="00C41F2B">
        <w:rPr>
          <w:i/>
        </w:rPr>
        <w:t xml:space="preserve"> </w:t>
      </w:r>
    </w:p>
    <w:p w:rsidR="00E66BA3" w:rsidRPr="00C41F2B" w:rsidRDefault="00E66BA3" w:rsidP="00E66BA3">
      <w:pPr>
        <w:pStyle w:val="TableFigureFooter"/>
      </w:pPr>
      <w:r w:rsidRPr="00C41F2B">
        <w:t>Source: Table 2-12, pp98, of the previous submission</w:t>
      </w:r>
    </w:p>
    <w:p w:rsidR="00E66BA3" w:rsidRPr="00C41F2B" w:rsidRDefault="00E66BA3" w:rsidP="00E66BA3">
      <w:pPr>
        <w:pStyle w:val="4-SubsectionHeading"/>
      </w:pPr>
      <w:bookmarkStart w:id="23" w:name="_Toc22897641"/>
      <w:bookmarkStart w:id="24" w:name="_Toc38262918"/>
      <w:bookmarkStart w:id="25" w:name="_Toc38305871"/>
      <w:r w:rsidRPr="00C41F2B">
        <w:t>Comparative effectiveness</w:t>
      </w:r>
      <w:bookmarkEnd w:id="23"/>
      <w:bookmarkEnd w:id="24"/>
      <w:bookmarkEnd w:id="25"/>
    </w:p>
    <w:p w:rsidR="004C39D3" w:rsidRPr="00C41F2B" w:rsidRDefault="00E66BA3" w:rsidP="00BC48E0">
      <w:pPr>
        <w:pStyle w:val="3-BodyText"/>
        <w:rPr>
          <w:color w:val="0066FF"/>
        </w:rPr>
      </w:pPr>
      <w:r w:rsidRPr="00C41F2B">
        <w:t>The results for OS and PFS are summarised below.</w:t>
      </w:r>
      <w:r w:rsidR="004C39D3" w:rsidRPr="00C41F2B">
        <w:t xml:space="preserve"> Updated 5-year PFS data </w:t>
      </w:r>
      <w:r w:rsidR="0033083D" w:rsidRPr="00C41F2B">
        <w:t>from SOLO1 was provided in the pre-PBAC response</w:t>
      </w:r>
      <w:r w:rsidR="004C39D3" w:rsidRPr="00C41F2B">
        <w:t>. Final OS analyses are event driven and are planned to be conducted at 60% maturity, which is estimated to occur in late 2023 at the earliest</w:t>
      </w:r>
      <w:r w:rsidR="002E321A" w:rsidRPr="00C41F2B">
        <w:t xml:space="preserve"> and possibly not until 2027</w:t>
      </w:r>
      <w:r w:rsidR="004C39D3" w:rsidRPr="00C41F2B">
        <w:t>.</w:t>
      </w:r>
      <w:r w:rsidR="004C39D3" w:rsidRPr="00C41F2B">
        <w:rPr>
          <w:i/>
          <w:snapToGrid/>
        </w:rPr>
        <w:t xml:space="preserve"> </w:t>
      </w:r>
    </w:p>
    <w:p w:rsidR="00E66BA3" w:rsidRPr="00C41F2B" w:rsidRDefault="00E66BA3" w:rsidP="00E66BA3">
      <w:pPr>
        <w:pStyle w:val="TableFigureHeading"/>
      </w:pPr>
      <w:r w:rsidRPr="00C41F2B">
        <w:t xml:space="preserve">Table </w:t>
      </w:r>
      <w:r w:rsidR="00A0380C">
        <w:rPr>
          <w:noProof/>
        </w:rPr>
        <w:t>5</w:t>
      </w:r>
      <w:r w:rsidRPr="00C41F2B">
        <w:t xml:space="preserve">: SOLO1: PFS, PFS2 and OS results for </w:t>
      </w:r>
      <w:proofErr w:type="spellStart"/>
      <w:r w:rsidRPr="00C41F2B">
        <w:t>g</w:t>
      </w:r>
      <w:r w:rsidRPr="00C41F2B">
        <w:rPr>
          <w:i/>
        </w:rPr>
        <w:t>BRCA</w:t>
      </w:r>
      <w:r w:rsidRPr="00C41F2B">
        <w:t>m</w:t>
      </w:r>
      <w:r w:rsidRPr="00C41F2B">
        <w:rPr>
          <w:vertAlign w:val="superscript"/>
        </w:rPr>
        <w:t>f</w:t>
      </w:r>
      <w:proofErr w:type="spellEnd"/>
      <w:r w:rsidRPr="00C41F2B">
        <w:t xml:space="preserve"> positive patients (ITT) treated with either olaparib or placebo (DCO 17 May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724"/>
        <w:gridCol w:w="2103"/>
        <w:gridCol w:w="1508"/>
      </w:tblGrid>
      <w:tr w:rsidR="00E66BA3" w:rsidRPr="00C41F2B" w:rsidTr="00E66BA3">
        <w:tc>
          <w:tcPr>
            <w:tcW w:w="3682" w:type="dxa"/>
            <w:tcBorders>
              <w:top w:val="single" w:sz="4" w:space="0" w:color="auto"/>
              <w:left w:val="single" w:sz="4" w:space="0" w:color="auto"/>
              <w:bottom w:val="single" w:sz="4" w:space="0" w:color="auto"/>
              <w:right w:val="single" w:sz="4" w:space="0" w:color="auto"/>
            </w:tcBorders>
            <w:vAlign w:val="center"/>
          </w:tcPr>
          <w:p w:rsidR="00E66BA3" w:rsidRPr="00C41F2B" w:rsidRDefault="00E66BA3" w:rsidP="00E66BA3">
            <w:pPr>
              <w:pStyle w:val="TableText0"/>
              <w:keepLines/>
              <w:spacing w:line="257" w:lineRule="auto"/>
              <w:rPr>
                <w:b/>
              </w:rPr>
            </w:pPr>
            <w:r w:rsidRPr="00C41F2B">
              <w:rPr>
                <w:b/>
              </w:rPr>
              <w:t>Endpoint</w:t>
            </w:r>
          </w:p>
        </w:tc>
        <w:tc>
          <w:tcPr>
            <w:tcW w:w="1724" w:type="dxa"/>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spacing w:line="257" w:lineRule="auto"/>
              <w:jc w:val="center"/>
              <w:rPr>
                <w:b/>
              </w:rPr>
            </w:pPr>
            <w:r w:rsidRPr="00C41F2B">
              <w:rPr>
                <w:b/>
              </w:rPr>
              <w:t>Olaparib</w:t>
            </w:r>
          </w:p>
        </w:tc>
        <w:tc>
          <w:tcPr>
            <w:tcW w:w="2103" w:type="dxa"/>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spacing w:line="257" w:lineRule="auto"/>
              <w:jc w:val="center"/>
              <w:rPr>
                <w:b/>
              </w:rPr>
            </w:pPr>
            <w:r w:rsidRPr="00C41F2B">
              <w:rPr>
                <w:b/>
              </w:rPr>
              <w:t>Placebo</w:t>
            </w:r>
          </w:p>
        </w:tc>
        <w:tc>
          <w:tcPr>
            <w:tcW w:w="1508" w:type="dxa"/>
            <w:tcBorders>
              <w:top w:val="single" w:sz="4" w:space="0" w:color="auto"/>
              <w:left w:val="single" w:sz="4" w:space="0" w:color="auto"/>
              <w:bottom w:val="single" w:sz="4" w:space="0" w:color="auto"/>
              <w:right w:val="single" w:sz="4" w:space="0" w:color="auto"/>
            </w:tcBorders>
            <w:vAlign w:val="center"/>
            <w:hideMark/>
          </w:tcPr>
          <w:p w:rsidR="00E66BA3" w:rsidRPr="00C41F2B" w:rsidRDefault="00E66BA3" w:rsidP="00E66BA3">
            <w:pPr>
              <w:pStyle w:val="TableText0"/>
              <w:keepLines/>
              <w:spacing w:line="257" w:lineRule="auto"/>
              <w:jc w:val="center"/>
              <w:rPr>
                <w:b/>
              </w:rPr>
            </w:pPr>
            <w:r w:rsidRPr="00C41F2B">
              <w:rPr>
                <w:b/>
              </w:rPr>
              <w:t>HR (95% CI)</w:t>
            </w:r>
            <w:r w:rsidRPr="00C41F2B">
              <w:rPr>
                <w:b/>
                <w:vertAlign w:val="superscript"/>
              </w:rPr>
              <w:t>a</w:t>
            </w:r>
          </w:p>
        </w:tc>
      </w:tr>
      <w:tr w:rsidR="00E66BA3" w:rsidRPr="00C41F2B" w:rsidTr="00E66BA3">
        <w:tc>
          <w:tcPr>
            <w:tcW w:w="3682" w:type="dxa"/>
            <w:tcBorders>
              <w:top w:val="single" w:sz="4" w:space="0" w:color="auto"/>
              <w:left w:val="single" w:sz="4" w:space="0" w:color="auto"/>
              <w:bottom w:val="nil"/>
              <w:right w:val="single" w:sz="4" w:space="0" w:color="auto"/>
            </w:tcBorders>
            <w:vAlign w:val="center"/>
          </w:tcPr>
          <w:p w:rsidR="00E66BA3" w:rsidRPr="00C41F2B" w:rsidRDefault="00E66BA3" w:rsidP="00E66BA3">
            <w:pPr>
              <w:pStyle w:val="TableText0"/>
              <w:keepLines/>
              <w:spacing w:line="257" w:lineRule="auto"/>
              <w:rPr>
                <w:b/>
                <w:bCs w:val="0"/>
              </w:rPr>
            </w:pPr>
            <w:r w:rsidRPr="00C41F2B">
              <w:rPr>
                <w:b/>
              </w:rPr>
              <w:t>PFS</w:t>
            </w:r>
          </w:p>
        </w:tc>
        <w:tc>
          <w:tcPr>
            <w:tcW w:w="1724" w:type="dxa"/>
            <w:tcBorders>
              <w:top w:val="single" w:sz="4" w:space="0" w:color="auto"/>
              <w:left w:val="single" w:sz="4" w:space="0" w:color="auto"/>
              <w:bottom w:val="nil"/>
              <w:right w:val="single" w:sz="4" w:space="0" w:color="auto"/>
            </w:tcBorders>
            <w:vAlign w:val="center"/>
            <w:hideMark/>
          </w:tcPr>
          <w:p w:rsidR="00E66BA3" w:rsidRPr="00C41F2B" w:rsidRDefault="00E66BA3" w:rsidP="00E66BA3">
            <w:pPr>
              <w:pStyle w:val="TableText0"/>
              <w:keepLines/>
              <w:spacing w:line="257" w:lineRule="auto"/>
              <w:jc w:val="center"/>
            </w:pPr>
          </w:p>
        </w:tc>
        <w:tc>
          <w:tcPr>
            <w:tcW w:w="2103" w:type="dxa"/>
            <w:tcBorders>
              <w:top w:val="single" w:sz="4" w:space="0" w:color="auto"/>
              <w:left w:val="single" w:sz="4" w:space="0" w:color="auto"/>
              <w:bottom w:val="nil"/>
              <w:right w:val="single" w:sz="4" w:space="0" w:color="auto"/>
            </w:tcBorders>
            <w:vAlign w:val="center"/>
            <w:hideMark/>
          </w:tcPr>
          <w:p w:rsidR="00E66BA3" w:rsidRPr="00C41F2B" w:rsidRDefault="00E66BA3" w:rsidP="00E66BA3">
            <w:pPr>
              <w:pStyle w:val="TableText0"/>
              <w:keepLines/>
              <w:spacing w:line="257" w:lineRule="auto"/>
              <w:jc w:val="center"/>
            </w:pPr>
          </w:p>
        </w:tc>
        <w:tc>
          <w:tcPr>
            <w:tcW w:w="1508" w:type="dxa"/>
            <w:tcBorders>
              <w:top w:val="single" w:sz="4" w:space="0" w:color="auto"/>
              <w:left w:val="single" w:sz="4" w:space="0" w:color="auto"/>
              <w:bottom w:val="nil"/>
              <w:right w:val="single" w:sz="4" w:space="0" w:color="auto"/>
            </w:tcBorders>
            <w:vAlign w:val="center"/>
            <w:hideMark/>
          </w:tcPr>
          <w:p w:rsidR="00E66BA3" w:rsidRPr="00C41F2B" w:rsidRDefault="00E66BA3" w:rsidP="00E66BA3">
            <w:pPr>
              <w:pStyle w:val="TableText0"/>
              <w:keepLines/>
              <w:spacing w:line="257" w:lineRule="auto"/>
              <w:jc w:val="center"/>
            </w:pP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Events (progression or death) / N (%)</w:t>
            </w:r>
          </w:p>
        </w:tc>
        <w:tc>
          <w:tcPr>
            <w:tcW w:w="1724"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r w:rsidRPr="00C41F2B">
              <w:t>102/260 (39.2%)</w:t>
            </w:r>
          </w:p>
        </w:tc>
        <w:tc>
          <w:tcPr>
            <w:tcW w:w="2103"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r w:rsidRPr="00C41F2B">
              <w:t>96/131 (73.3%)</w:t>
            </w:r>
          </w:p>
        </w:tc>
        <w:tc>
          <w:tcPr>
            <w:tcW w:w="1508" w:type="dxa"/>
            <w:vMerge w:val="restart"/>
            <w:tcBorders>
              <w:top w:val="nil"/>
              <w:left w:val="single" w:sz="4" w:space="0" w:color="auto"/>
              <w:right w:val="single" w:sz="4" w:space="0" w:color="auto"/>
            </w:tcBorders>
            <w:shd w:val="clear" w:color="auto" w:fill="auto"/>
            <w:vAlign w:val="center"/>
            <w:hideMark/>
          </w:tcPr>
          <w:p w:rsidR="00E66BA3" w:rsidRPr="00C41F2B" w:rsidRDefault="00E66BA3" w:rsidP="00E66BA3">
            <w:pPr>
              <w:pStyle w:val="TableText0"/>
              <w:keepLines/>
              <w:jc w:val="center"/>
            </w:pPr>
            <w:r w:rsidRPr="00C41F2B">
              <w:t>0.30 (0.23, 0.41)</w:t>
            </w: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 xml:space="preserve">Median (95% CI), </w:t>
            </w:r>
            <w:proofErr w:type="spellStart"/>
            <w:r w:rsidRPr="00C41F2B">
              <w:t>months</w:t>
            </w:r>
            <w:r w:rsidRPr="00C41F2B">
              <w:rPr>
                <w:vertAlign w:val="superscript"/>
              </w:rPr>
              <w:t>b</w:t>
            </w:r>
            <w:proofErr w:type="spellEnd"/>
          </w:p>
        </w:tc>
        <w:tc>
          <w:tcPr>
            <w:tcW w:w="1724"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r w:rsidRPr="00C41F2B">
              <w:t>NR (-</w:t>
            </w:r>
            <w:r w:rsidRPr="00C41F2B">
              <w:rPr>
                <w:vertAlign w:val="superscript"/>
              </w:rPr>
              <w:t>d</w:t>
            </w:r>
            <w:r w:rsidRPr="00C41F2B">
              <w:t>, NR)</w:t>
            </w:r>
          </w:p>
        </w:tc>
        <w:tc>
          <w:tcPr>
            <w:tcW w:w="2103"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r w:rsidRPr="00C41F2B">
              <w:t>13.8 (11.1, 18.2)</w:t>
            </w:r>
          </w:p>
        </w:tc>
        <w:tc>
          <w:tcPr>
            <w:tcW w:w="1508" w:type="dxa"/>
            <w:vMerge/>
            <w:tcBorders>
              <w:top w:val="single" w:sz="4" w:space="0" w:color="auto"/>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 of patients event free by time point (95% CI)</w:t>
            </w:r>
            <w:r w:rsidRPr="00C41F2B">
              <w:rPr>
                <w:vertAlign w:val="superscript"/>
              </w:rPr>
              <w:t>b</w:t>
            </w:r>
          </w:p>
        </w:tc>
        <w:tc>
          <w:tcPr>
            <w:tcW w:w="1724"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c>
          <w:tcPr>
            <w:tcW w:w="2103"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c>
          <w:tcPr>
            <w:tcW w:w="1508"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r w:rsidRPr="00C41F2B">
              <w:t>p&lt;0.0001</w:t>
            </w:r>
            <w:r w:rsidRPr="00C41F2B">
              <w:rPr>
                <w:vertAlign w:val="superscript"/>
              </w:rPr>
              <w:t>e</w:t>
            </w:r>
          </w:p>
        </w:tc>
      </w:tr>
      <w:tr w:rsidR="00E66BA3" w:rsidRPr="00C41F2B" w:rsidTr="00E66BA3">
        <w:tc>
          <w:tcPr>
            <w:tcW w:w="3682"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pPr>
            <w:r w:rsidRPr="00C41F2B">
              <w:tab/>
              <w:t>12 months</w:t>
            </w:r>
          </w:p>
        </w:tc>
        <w:tc>
          <w:tcPr>
            <w:tcW w:w="1724"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87.7 (82.9, 91.3)</w:t>
            </w:r>
          </w:p>
        </w:tc>
        <w:tc>
          <w:tcPr>
            <w:tcW w:w="2103"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51.4 (42.4, 59.7)</w:t>
            </w:r>
          </w:p>
        </w:tc>
        <w:tc>
          <w:tcPr>
            <w:tcW w:w="1508"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pPr>
            <w:r w:rsidRPr="00C41F2B">
              <w:tab/>
              <w:t>24 months</w:t>
            </w:r>
          </w:p>
        </w:tc>
        <w:tc>
          <w:tcPr>
            <w:tcW w:w="1724"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jc w:val="center"/>
            </w:pPr>
            <w:r w:rsidRPr="00C41F2B">
              <w:t>73.6 (67.5, 78.7)</w:t>
            </w:r>
          </w:p>
        </w:tc>
        <w:tc>
          <w:tcPr>
            <w:tcW w:w="2103"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jc w:val="center"/>
            </w:pPr>
            <w:r w:rsidRPr="00C41F2B">
              <w:t>34.6 (46.4, 42.9)</w:t>
            </w:r>
          </w:p>
        </w:tc>
        <w:tc>
          <w:tcPr>
            <w:tcW w:w="1508"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jc w:val="center"/>
            </w:pPr>
          </w:p>
        </w:tc>
      </w:tr>
      <w:tr w:rsidR="00E66BA3" w:rsidRPr="00C41F2B" w:rsidTr="00E66BA3">
        <w:tc>
          <w:tcPr>
            <w:tcW w:w="3682" w:type="dxa"/>
            <w:tcBorders>
              <w:top w:val="single" w:sz="4" w:space="0" w:color="auto"/>
              <w:left w:val="single" w:sz="4" w:space="0" w:color="auto"/>
              <w:bottom w:val="nil"/>
              <w:right w:val="single" w:sz="4" w:space="0" w:color="auto"/>
            </w:tcBorders>
            <w:vAlign w:val="center"/>
          </w:tcPr>
          <w:p w:rsidR="00E66BA3" w:rsidRPr="00C41F2B" w:rsidRDefault="00E66BA3" w:rsidP="00E66BA3">
            <w:pPr>
              <w:pStyle w:val="TableText0"/>
              <w:keepLines/>
              <w:rPr>
                <w:b/>
                <w:bCs w:val="0"/>
              </w:rPr>
            </w:pPr>
            <w:r w:rsidRPr="00C41F2B">
              <w:rPr>
                <w:b/>
              </w:rPr>
              <w:t>PFS2</w:t>
            </w:r>
            <w:r w:rsidRPr="00C41F2B">
              <w:rPr>
                <w:b/>
                <w:vertAlign w:val="superscript"/>
              </w:rPr>
              <w:t>c</w:t>
            </w:r>
          </w:p>
        </w:tc>
        <w:tc>
          <w:tcPr>
            <w:tcW w:w="1724" w:type="dxa"/>
            <w:tcBorders>
              <w:top w:val="single" w:sz="4" w:space="0" w:color="auto"/>
              <w:left w:val="single" w:sz="4" w:space="0" w:color="auto"/>
              <w:bottom w:val="nil"/>
              <w:right w:val="single" w:sz="4" w:space="0" w:color="auto"/>
            </w:tcBorders>
            <w:vAlign w:val="center"/>
          </w:tcPr>
          <w:p w:rsidR="00E66BA3" w:rsidRPr="00C41F2B" w:rsidRDefault="00E66BA3" w:rsidP="00E66BA3">
            <w:pPr>
              <w:pStyle w:val="TableText0"/>
              <w:keepLines/>
              <w:jc w:val="center"/>
            </w:pPr>
          </w:p>
        </w:tc>
        <w:tc>
          <w:tcPr>
            <w:tcW w:w="2103" w:type="dxa"/>
            <w:tcBorders>
              <w:top w:val="single" w:sz="4" w:space="0" w:color="auto"/>
              <w:left w:val="single" w:sz="4" w:space="0" w:color="auto"/>
              <w:bottom w:val="nil"/>
              <w:right w:val="single" w:sz="4" w:space="0" w:color="auto"/>
            </w:tcBorders>
            <w:vAlign w:val="center"/>
          </w:tcPr>
          <w:p w:rsidR="00E66BA3" w:rsidRPr="00C41F2B" w:rsidRDefault="00E66BA3" w:rsidP="00E66BA3">
            <w:pPr>
              <w:pStyle w:val="TableText0"/>
              <w:keepLines/>
              <w:jc w:val="center"/>
            </w:pPr>
          </w:p>
        </w:tc>
        <w:tc>
          <w:tcPr>
            <w:tcW w:w="1508" w:type="dxa"/>
            <w:tcBorders>
              <w:top w:val="single" w:sz="4" w:space="0" w:color="auto"/>
              <w:left w:val="single" w:sz="4" w:space="0" w:color="auto"/>
              <w:bottom w:val="nil"/>
              <w:right w:val="single" w:sz="4" w:space="0" w:color="auto"/>
            </w:tcBorders>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rPr>
                <w:b/>
                <w:bCs w:val="0"/>
              </w:rPr>
            </w:pPr>
            <w:r w:rsidRPr="00C41F2B">
              <w:t>Events (progression or death) / N (%)</w:t>
            </w:r>
          </w:p>
        </w:tc>
        <w:tc>
          <w:tcPr>
            <w:tcW w:w="1724"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69/260 (26.5%)</w:t>
            </w:r>
          </w:p>
        </w:tc>
        <w:tc>
          <w:tcPr>
            <w:tcW w:w="2103"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52/131 (39.7%)</w:t>
            </w:r>
          </w:p>
        </w:tc>
        <w:tc>
          <w:tcPr>
            <w:tcW w:w="1508" w:type="dxa"/>
            <w:vMerge w:val="restart"/>
            <w:tcBorders>
              <w:top w:val="nil"/>
              <w:left w:val="single" w:sz="4" w:space="0" w:color="auto"/>
              <w:right w:val="single" w:sz="4" w:space="0" w:color="auto"/>
            </w:tcBorders>
            <w:vAlign w:val="center"/>
          </w:tcPr>
          <w:p w:rsidR="00E66BA3" w:rsidRPr="00C41F2B" w:rsidRDefault="00E66BA3" w:rsidP="00E66BA3">
            <w:pPr>
              <w:pStyle w:val="TableText0"/>
              <w:keepLines/>
              <w:jc w:val="center"/>
            </w:pPr>
            <w:r w:rsidRPr="00C41F2B">
              <w:t>0.50 (0.35, 0.72)</w:t>
            </w:r>
          </w:p>
        </w:tc>
      </w:tr>
      <w:tr w:rsidR="00E66BA3" w:rsidRPr="00C41F2B" w:rsidTr="00E66BA3">
        <w:tc>
          <w:tcPr>
            <w:tcW w:w="3682"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rPr>
                <w:b/>
                <w:bCs w:val="0"/>
              </w:rPr>
            </w:pPr>
            <w:r w:rsidRPr="00C41F2B">
              <w:t xml:space="preserve">Median (95% CI), </w:t>
            </w:r>
            <w:proofErr w:type="spellStart"/>
            <w:r w:rsidRPr="00C41F2B">
              <w:t>months</w:t>
            </w:r>
            <w:r w:rsidRPr="00C41F2B">
              <w:rPr>
                <w:vertAlign w:val="superscript"/>
              </w:rPr>
              <w:t>b</w:t>
            </w:r>
            <w:proofErr w:type="spellEnd"/>
          </w:p>
        </w:tc>
        <w:tc>
          <w:tcPr>
            <w:tcW w:w="1724"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NR (NR, NR)</w:t>
            </w:r>
          </w:p>
        </w:tc>
        <w:tc>
          <w:tcPr>
            <w:tcW w:w="2103"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41.9 (36.5, 47.9)</w:t>
            </w:r>
          </w:p>
        </w:tc>
        <w:tc>
          <w:tcPr>
            <w:tcW w:w="1508" w:type="dxa"/>
            <w:vMerge/>
            <w:tcBorders>
              <w:left w:val="single" w:sz="4" w:space="0" w:color="auto"/>
              <w:bottom w:val="nil"/>
              <w:right w:val="single" w:sz="4" w:space="0" w:color="auto"/>
            </w:tcBorders>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rPr>
                <w:b/>
                <w:bCs w:val="0"/>
              </w:rPr>
            </w:pPr>
            <w:r w:rsidRPr="00C41F2B">
              <w:t>% of patients event free by time point (95% CI)</w:t>
            </w:r>
            <w:r w:rsidRPr="00C41F2B">
              <w:rPr>
                <w:vertAlign w:val="superscript"/>
              </w:rPr>
              <w:t>b</w:t>
            </w:r>
          </w:p>
        </w:tc>
        <w:tc>
          <w:tcPr>
            <w:tcW w:w="1724"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p>
        </w:tc>
        <w:tc>
          <w:tcPr>
            <w:tcW w:w="2103"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p>
        </w:tc>
        <w:tc>
          <w:tcPr>
            <w:tcW w:w="1508"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p=0.0002</w:t>
            </w:r>
            <w:r w:rsidRPr="00C41F2B">
              <w:rPr>
                <w:vertAlign w:val="superscript"/>
              </w:rPr>
              <w:t>e</w:t>
            </w:r>
          </w:p>
        </w:tc>
      </w:tr>
      <w:tr w:rsidR="00E66BA3" w:rsidRPr="00C41F2B" w:rsidTr="00E66BA3">
        <w:tc>
          <w:tcPr>
            <w:tcW w:w="3682"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rPr>
                <w:b/>
                <w:bCs w:val="0"/>
              </w:rPr>
            </w:pPr>
            <w:r w:rsidRPr="00C41F2B">
              <w:tab/>
              <w:t>24 months</w:t>
            </w:r>
          </w:p>
        </w:tc>
        <w:tc>
          <w:tcPr>
            <w:tcW w:w="1724"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86.0 (80.8, 89.8)</w:t>
            </w:r>
          </w:p>
        </w:tc>
        <w:tc>
          <w:tcPr>
            <w:tcW w:w="2103"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r w:rsidRPr="00C41F2B">
              <w:t>77.3 (68.2, 84.1)</w:t>
            </w:r>
          </w:p>
        </w:tc>
        <w:tc>
          <w:tcPr>
            <w:tcW w:w="1508" w:type="dxa"/>
            <w:tcBorders>
              <w:top w:val="nil"/>
              <w:left w:val="single" w:sz="4" w:space="0" w:color="auto"/>
              <w:bottom w:val="nil"/>
              <w:right w:val="single" w:sz="4" w:space="0" w:color="auto"/>
            </w:tcBorders>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rPr>
                <w:b/>
                <w:bCs w:val="0"/>
              </w:rPr>
            </w:pPr>
            <w:r w:rsidRPr="00C41F2B">
              <w:tab/>
              <w:t>36 months</w:t>
            </w:r>
          </w:p>
        </w:tc>
        <w:tc>
          <w:tcPr>
            <w:tcW w:w="1724"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jc w:val="center"/>
            </w:pPr>
            <w:r w:rsidRPr="00C41F2B">
              <w:t>75.1 (68.9, 80.3)</w:t>
            </w:r>
          </w:p>
        </w:tc>
        <w:tc>
          <w:tcPr>
            <w:tcW w:w="2103"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jc w:val="center"/>
            </w:pPr>
            <w:r w:rsidRPr="00C41F2B">
              <w:t>60.2 (50.1, 68.9)</w:t>
            </w:r>
          </w:p>
        </w:tc>
        <w:tc>
          <w:tcPr>
            <w:tcW w:w="1508" w:type="dxa"/>
            <w:tcBorders>
              <w:top w:val="nil"/>
              <w:left w:val="single" w:sz="4" w:space="0" w:color="auto"/>
              <w:bottom w:val="single" w:sz="4" w:space="0" w:color="auto"/>
              <w:right w:val="single" w:sz="4" w:space="0" w:color="auto"/>
            </w:tcBorders>
            <w:vAlign w:val="center"/>
          </w:tcPr>
          <w:p w:rsidR="00E66BA3" w:rsidRPr="00C41F2B" w:rsidRDefault="00E66BA3" w:rsidP="00E66BA3">
            <w:pPr>
              <w:pStyle w:val="TableText0"/>
              <w:keepLines/>
              <w:jc w:val="center"/>
            </w:pPr>
          </w:p>
        </w:tc>
      </w:tr>
      <w:tr w:rsidR="00E66BA3" w:rsidRPr="00C41F2B" w:rsidTr="00E66BA3">
        <w:tc>
          <w:tcPr>
            <w:tcW w:w="3682" w:type="dxa"/>
            <w:tcBorders>
              <w:top w:val="single" w:sz="4" w:space="0" w:color="auto"/>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rPr>
                <w:b/>
                <w:bCs w:val="0"/>
              </w:rPr>
            </w:pPr>
            <w:r w:rsidRPr="00C41F2B">
              <w:rPr>
                <w:b/>
              </w:rPr>
              <w:t>OS</w:t>
            </w:r>
          </w:p>
        </w:tc>
        <w:tc>
          <w:tcPr>
            <w:tcW w:w="1724" w:type="dxa"/>
            <w:tcBorders>
              <w:top w:val="single" w:sz="4" w:space="0" w:color="auto"/>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c>
          <w:tcPr>
            <w:tcW w:w="2103" w:type="dxa"/>
            <w:tcBorders>
              <w:top w:val="single" w:sz="4" w:space="0" w:color="auto"/>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c>
          <w:tcPr>
            <w:tcW w:w="1508" w:type="dxa"/>
            <w:tcBorders>
              <w:top w:val="single" w:sz="4" w:space="0" w:color="auto"/>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Events (death) / N (%)</w:t>
            </w:r>
          </w:p>
        </w:tc>
        <w:tc>
          <w:tcPr>
            <w:tcW w:w="1724"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55/260 (21.2%)</w:t>
            </w:r>
          </w:p>
        </w:tc>
        <w:tc>
          <w:tcPr>
            <w:tcW w:w="2103"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27/131 (20.6%)</w:t>
            </w:r>
          </w:p>
        </w:tc>
        <w:tc>
          <w:tcPr>
            <w:tcW w:w="1508" w:type="dxa"/>
            <w:vMerge w:val="restart"/>
            <w:tcBorders>
              <w:top w:val="nil"/>
              <w:left w:val="single" w:sz="4" w:space="0" w:color="auto"/>
              <w:right w:val="single" w:sz="4" w:space="0" w:color="auto"/>
            </w:tcBorders>
            <w:shd w:val="clear" w:color="auto" w:fill="auto"/>
            <w:vAlign w:val="center"/>
          </w:tcPr>
          <w:p w:rsidR="00E66BA3" w:rsidRPr="00C41F2B" w:rsidRDefault="00E66BA3" w:rsidP="00E66BA3">
            <w:pPr>
              <w:pStyle w:val="TableText0"/>
              <w:keepLines/>
              <w:jc w:val="center"/>
            </w:pPr>
            <w:r w:rsidRPr="00C41F2B">
              <w:t>0.95 (0.60, 1.53)</w:t>
            </w: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 xml:space="preserve">Median (95% CI), </w:t>
            </w:r>
            <w:proofErr w:type="spellStart"/>
            <w:r w:rsidRPr="00C41F2B">
              <w:t>months</w:t>
            </w:r>
            <w:r w:rsidRPr="00C41F2B">
              <w:rPr>
                <w:vertAlign w:val="superscript"/>
              </w:rPr>
              <w:t>b</w:t>
            </w:r>
            <w:proofErr w:type="spellEnd"/>
          </w:p>
        </w:tc>
        <w:tc>
          <w:tcPr>
            <w:tcW w:w="1724"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NR (NR, NR)</w:t>
            </w:r>
          </w:p>
        </w:tc>
        <w:tc>
          <w:tcPr>
            <w:tcW w:w="2103"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NR (NR, NR)</w:t>
            </w:r>
          </w:p>
        </w:tc>
        <w:tc>
          <w:tcPr>
            <w:tcW w:w="1508" w:type="dxa"/>
            <w:vMerge/>
            <w:tcBorders>
              <w:top w:val="single" w:sz="4" w:space="0" w:color="auto"/>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 of patients event free by time point (95% CI)</w:t>
            </w:r>
            <w:r w:rsidRPr="00C41F2B">
              <w:rPr>
                <w:vertAlign w:val="superscript"/>
              </w:rPr>
              <w:t>b</w:t>
            </w:r>
          </w:p>
        </w:tc>
        <w:tc>
          <w:tcPr>
            <w:tcW w:w="1724"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p>
        </w:tc>
        <w:tc>
          <w:tcPr>
            <w:tcW w:w="2103"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p>
        </w:tc>
        <w:tc>
          <w:tcPr>
            <w:tcW w:w="1508"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keepLines/>
              <w:jc w:val="center"/>
            </w:pPr>
            <w:r w:rsidRPr="00C41F2B">
              <w:t>p=0.8903</w:t>
            </w:r>
            <w:r w:rsidRPr="00C41F2B">
              <w:rPr>
                <w:vertAlign w:val="superscript"/>
              </w:rPr>
              <w:t>e</w:t>
            </w:r>
          </w:p>
        </w:tc>
      </w:tr>
      <w:tr w:rsidR="00E66BA3" w:rsidRPr="00C41F2B" w:rsidTr="00E66BA3">
        <w:tc>
          <w:tcPr>
            <w:tcW w:w="3682"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pPr>
            <w:r w:rsidRPr="00C41F2B">
              <w:tab/>
              <w:t>24 months</w:t>
            </w:r>
          </w:p>
        </w:tc>
        <w:tc>
          <w:tcPr>
            <w:tcW w:w="1724"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91.5 (87.3, 94.4)</w:t>
            </w:r>
          </w:p>
        </w:tc>
        <w:tc>
          <w:tcPr>
            <w:tcW w:w="2103" w:type="dxa"/>
            <w:tcBorders>
              <w:top w:val="nil"/>
              <w:left w:val="single" w:sz="4" w:space="0" w:color="auto"/>
              <w:bottom w:val="nil"/>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87.9 (80.8, 92.5)</w:t>
            </w:r>
          </w:p>
        </w:tc>
        <w:tc>
          <w:tcPr>
            <w:tcW w:w="1508" w:type="dxa"/>
            <w:tcBorders>
              <w:top w:val="nil"/>
              <w:left w:val="single" w:sz="4" w:space="0" w:color="auto"/>
              <w:bottom w:val="nil"/>
              <w:right w:val="single" w:sz="4" w:space="0" w:color="auto"/>
            </w:tcBorders>
            <w:shd w:val="clear" w:color="auto" w:fill="auto"/>
            <w:vAlign w:val="center"/>
          </w:tcPr>
          <w:p w:rsidR="00E66BA3" w:rsidRPr="00C41F2B" w:rsidRDefault="00E66BA3" w:rsidP="00E66BA3">
            <w:pPr>
              <w:pStyle w:val="TableText0"/>
              <w:keepLines/>
              <w:jc w:val="center"/>
            </w:pPr>
          </w:p>
        </w:tc>
      </w:tr>
      <w:tr w:rsidR="00E66BA3" w:rsidRPr="00C41F2B" w:rsidTr="00E66BA3">
        <w:tc>
          <w:tcPr>
            <w:tcW w:w="3682" w:type="dxa"/>
            <w:tcBorders>
              <w:top w:val="nil"/>
              <w:left w:val="single" w:sz="4" w:space="0" w:color="auto"/>
              <w:bottom w:val="single" w:sz="4" w:space="0" w:color="auto"/>
              <w:right w:val="single" w:sz="4" w:space="0" w:color="auto"/>
            </w:tcBorders>
            <w:shd w:val="clear" w:color="auto" w:fill="auto"/>
            <w:vAlign w:val="center"/>
          </w:tcPr>
          <w:p w:rsidR="00E66BA3" w:rsidRPr="00C41F2B" w:rsidRDefault="00E66BA3" w:rsidP="00E66BA3">
            <w:pPr>
              <w:pStyle w:val="TableText0"/>
              <w:keepLines/>
            </w:pPr>
            <w:r w:rsidRPr="00C41F2B">
              <w:tab/>
              <w:t>36 months</w:t>
            </w:r>
          </w:p>
        </w:tc>
        <w:tc>
          <w:tcPr>
            <w:tcW w:w="1724" w:type="dxa"/>
            <w:tcBorders>
              <w:top w:val="nil"/>
              <w:left w:val="single" w:sz="4" w:space="0" w:color="auto"/>
              <w:bottom w:val="single" w:sz="4" w:space="0" w:color="auto"/>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84.0 (78.8, 88.1)</w:t>
            </w:r>
          </w:p>
        </w:tc>
        <w:tc>
          <w:tcPr>
            <w:tcW w:w="2103" w:type="dxa"/>
            <w:tcBorders>
              <w:top w:val="nil"/>
              <w:left w:val="single" w:sz="4" w:space="0" w:color="auto"/>
              <w:bottom w:val="single" w:sz="4" w:space="0" w:color="auto"/>
              <w:right w:val="single" w:sz="4" w:space="0" w:color="auto"/>
            </w:tcBorders>
            <w:shd w:val="clear" w:color="auto" w:fill="auto"/>
            <w:vAlign w:val="center"/>
            <w:hideMark/>
          </w:tcPr>
          <w:p w:rsidR="00E66BA3" w:rsidRPr="00C41F2B" w:rsidRDefault="00E66BA3" w:rsidP="00E66BA3">
            <w:pPr>
              <w:pStyle w:val="TableText0"/>
              <w:jc w:val="center"/>
              <w:rPr>
                <w:rFonts w:ascii="Times" w:eastAsia="Times New Roman" w:hAnsi="Times" w:cs="Times New Roman"/>
              </w:rPr>
            </w:pPr>
            <w:r w:rsidRPr="00C41F2B">
              <w:t>80.5 (72.3, 86.5)</w:t>
            </w:r>
          </w:p>
        </w:tc>
        <w:tc>
          <w:tcPr>
            <w:tcW w:w="1508" w:type="dxa"/>
            <w:tcBorders>
              <w:top w:val="nil"/>
              <w:left w:val="single" w:sz="4" w:space="0" w:color="auto"/>
              <w:bottom w:val="single" w:sz="4" w:space="0" w:color="auto"/>
              <w:right w:val="single" w:sz="4" w:space="0" w:color="auto"/>
            </w:tcBorders>
            <w:shd w:val="clear" w:color="auto" w:fill="auto"/>
            <w:vAlign w:val="center"/>
          </w:tcPr>
          <w:p w:rsidR="00E66BA3" w:rsidRPr="00C41F2B" w:rsidRDefault="00E66BA3" w:rsidP="00E66BA3">
            <w:pPr>
              <w:pStyle w:val="TableText0"/>
              <w:keepLines/>
              <w:jc w:val="center"/>
            </w:pPr>
          </w:p>
        </w:tc>
      </w:tr>
    </w:tbl>
    <w:p w:rsidR="00E66BA3" w:rsidRPr="00C41F2B" w:rsidRDefault="00E66BA3" w:rsidP="00E66BA3">
      <w:pPr>
        <w:pStyle w:val="TableFigureFooter"/>
      </w:pPr>
      <w:r w:rsidRPr="00C41F2B">
        <w:t>Source: Table 11.2.1.2, Table 11.2.2.2, Table 11.2.3.2 of the SOLO1 CSR</w:t>
      </w:r>
    </w:p>
    <w:p w:rsidR="00E66BA3" w:rsidRPr="00C41F2B" w:rsidRDefault="00E66BA3" w:rsidP="00E66BA3">
      <w:pPr>
        <w:pStyle w:val="TableFigureFooter"/>
      </w:pPr>
      <w:r w:rsidRPr="00C41F2B">
        <w:t xml:space="preserve">CI=confidence interval: N=total participants in group; NR=not reached; OS=overall survival; PFS=progression-free survival; PFS2=second progression-free survival. </w:t>
      </w:r>
    </w:p>
    <w:p w:rsidR="00E66BA3" w:rsidRPr="00C41F2B" w:rsidRDefault="00E66BA3" w:rsidP="00E66BA3">
      <w:pPr>
        <w:pStyle w:val="TableFigureFooter"/>
      </w:pPr>
      <w:proofErr w:type="spellStart"/>
      <w:proofErr w:type="gramStart"/>
      <w:r w:rsidRPr="00C41F2B">
        <w:rPr>
          <w:vertAlign w:val="superscript"/>
        </w:rPr>
        <w:t>a</w:t>
      </w:r>
      <w:r w:rsidRPr="00C41F2B">
        <w:t>Estimated</w:t>
      </w:r>
      <w:proofErr w:type="spellEnd"/>
      <w:proofErr w:type="gramEnd"/>
      <w:r w:rsidRPr="00C41F2B">
        <w:t xml:space="preserve"> from a Cox proportional hazards model including best response to prior chemotherapy (stratification factor) as a covariate</w:t>
      </w:r>
    </w:p>
    <w:p w:rsidR="00E66BA3" w:rsidRPr="00C41F2B" w:rsidRDefault="00E66BA3" w:rsidP="00E66BA3">
      <w:pPr>
        <w:pStyle w:val="TableFigureFooter"/>
      </w:pPr>
      <w:proofErr w:type="spellStart"/>
      <w:proofErr w:type="gramStart"/>
      <w:r w:rsidRPr="00C41F2B">
        <w:rPr>
          <w:vertAlign w:val="superscript"/>
        </w:rPr>
        <w:t>b</w:t>
      </w:r>
      <w:r w:rsidRPr="00C41F2B">
        <w:t>Calculated</w:t>
      </w:r>
      <w:proofErr w:type="spellEnd"/>
      <w:proofErr w:type="gramEnd"/>
      <w:r w:rsidRPr="00C41F2B">
        <w:t xml:space="preserve"> using Kaplan-Meier techniques</w:t>
      </w:r>
    </w:p>
    <w:p w:rsidR="00E66BA3" w:rsidRPr="00C41F2B" w:rsidRDefault="00E66BA3" w:rsidP="00E66BA3">
      <w:pPr>
        <w:pStyle w:val="TableFigureFooter"/>
      </w:pPr>
      <w:proofErr w:type="spellStart"/>
      <w:proofErr w:type="gramStart"/>
      <w:r w:rsidRPr="00C41F2B">
        <w:rPr>
          <w:vertAlign w:val="superscript"/>
        </w:rPr>
        <w:t>c</w:t>
      </w:r>
      <w:r w:rsidRPr="00C41F2B">
        <w:t>Second</w:t>
      </w:r>
      <w:proofErr w:type="spellEnd"/>
      <w:proofErr w:type="gramEnd"/>
      <w:r w:rsidRPr="00C41F2B">
        <w:t xml:space="preserve"> progression-free survival is defined as time from randomisation until second progression</w:t>
      </w:r>
    </w:p>
    <w:p w:rsidR="00E66BA3" w:rsidRPr="00C41F2B" w:rsidRDefault="00E66BA3" w:rsidP="00E66BA3">
      <w:pPr>
        <w:pStyle w:val="TableFigureFooter"/>
      </w:pPr>
      <w:proofErr w:type="spellStart"/>
      <w:proofErr w:type="gramStart"/>
      <w:r w:rsidRPr="00C41F2B">
        <w:rPr>
          <w:vertAlign w:val="superscript"/>
        </w:rPr>
        <w:t>d</w:t>
      </w:r>
      <w:r w:rsidRPr="00C41F2B">
        <w:t>The</w:t>
      </w:r>
      <w:proofErr w:type="spellEnd"/>
      <w:proofErr w:type="gramEnd"/>
      <w:r w:rsidRPr="00C41F2B">
        <w:t xml:space="preserve"> SOLO1 CSR does not report the lower 95% CI for progression-free survival in the olaparib arm, however it is implausible that it has not been reached given that the 95% CI for the landmark analysis of PFS at 42 months is 46.5% - 60.8%.</w:t>
      </w:r>
    </w:p>
    <w:p w:rsidR="00E66BA3" w:rsidRPr="00C41F2B" w:rsidRDefault="00E66BA3" w:rsidP="00E66BA3">
      <w:pPr>
        <w:pStyle w:val="TableFigureFooter"/>
      </w:pPr>
      <w:proofErr w:type="spellStart"/>
      <w:proofErr w:type="gramStart"/>
      <w:r w:rsidRPr="00C41F2B">
        <w:rPr>
          <w:vertAlign w:val="superscript"/>
        </w:rPr>
        <w:t>e</w:t>
      </w:r>
      <w:r w:rsidRPr="00C41F2B">
        <w:t>Determined</w:t>
      </w:r>
      <w:proofErr w:type="spellEnd"/>
      <w:proofErr w:type="gramEnd"/>
      <w:r w:rsidRPr="00C41F2B">
        <w:t xml:space="preserve"> using log-rank test (stratified by response to platinum based chemotherapy)</w:t>
      </w:r>
    </w:p>
    <w:p w:rsidR="00E66BA3" w:rsidRPr="00C41F2B" w:rsidRDefault="00E66BA3" w:rsidP="00E66BA3">
      <w:pPr>
        <w:pStyle w:val="TableFigureFooter"/>
      </w:pPr>
      <w:proofErr w:type="gramStart"/>
      <w:r w:rsidRPr="00C41F2B">
        <w:rPr>
          <w:vertAlign w:val="superscript"/>
        </w:rPr>
        <w:t>f</w:t>
      </w:r>
      <w:r w:rsidRPr="00C41F2B">
        <w:t>SOLO1</w:t>
      </w:r>
      <w:proofErr w:type="gramEnd"/>
      <w:r w:rsidRPr="00C41F2B">
        <w:t xml:space="preserve"> contained two patients with somatic BRCA mutations</w:t>
      </w:r>
    </w:p>
    <w:p w:rsidR="00E66BA3" w:rsidRPr="00C41F2B" w:rsidRDefault="00F63E0F" w:rsidP="00E66BA3">
      <w:pPr>
        <w:pStyle w:val="3-BodyText"/>
      </w:pPr>
      <w:r w:rsidRPr="00C41F2B">
        <w:lastRenderedPageBreak/>
        <w:t xml:space="preserve">The </w:t>
      </w:r>
      <w:r w:rsidR="00E66BA3" w:rsidRPr="00C41F2B">
        <w:t xml:space="preserve">SOLO1 trial demonstrated a PFS benefit for maintenance with olaparib compared with placebo with a hazard ratio of 0.30 (95% CI: 0.23, 0.41; p&lt;0.0001). The PBAC </w:t>
      </w:r>
      <w:r w:rsidR="000564E2" w:rsidRPr="00C41F2B">
        <w:t xml:space="preserve">previously </w:t>
      </w:r>
      <w:r w:rsidR="00E66BA3" w:rsidRPr="00C41F2B">
        <w:t>considered that the gain in PFS is likely to be clinically relevant to patients, based on other supporting measures such as PFS2 and time to subsequent therapy</w:t>
      </w:r>
      <w:r w:rsidR="00454D2E" w:rsidRPr="00C41F2B">
        <w:t>,</w:t>
      </w:r>
      <w:r w:rsidR="00E66BA3" w:rsidRPr="00C41F2B">
        <w:t xml:space="preserve"> </w:t>
      </w:r>
      <w:r w:rsidR="00454D2E" w:rsidRPr="00C41F2B">
        <w:t>h</w:t>
      </w:r>
      <w:r w:rsidR="00E66BA3" w:rsidRPr="00C41F2B">
        <w:t>owever, the extent of the clinically relevant benefit may be less than the difference in radiological PFS (</w:t>
      </w:r>
      <w:r w:rsidR="00E26DCA" w:rsidRPr="00C41F2B">
        <w:t>p</w:t>
      </w:r>
      <w:r w:rsidR="00E66BA3" w:rsidRPr="00C41F2B">
        <w:t xml:space="preserve">ara 7.13, </w:t>
      </w:r>
      <w:r w:rsidR="00E26DCA" w:rsidRPr="00C41F2B">
        <w:t>o</w:t>
      </w:r>
      <w:r w:rsidR="00E66BA3" w:rsidRPr="00C41F2B">
        <w:t>laparib PSD, November 2019 PBAC meeting).</w:t>
      </w:r>
    </w:p>
    <w:p w:rsidR="005D057F" w:rsidRPr="00C41F2B" w:rsidRDefault="005D057F" w:rsidP="005D057F">
      <w:pPr>
        <w:pStyle w:val="3-BodyText"/>
      </w:pPr>
      <w:r w:rsidRPr="00C41F2B">
        <w:t xml:space="preserve">The PBAC </w:t>
      </w:r>
      <w:r w:rsidR="00DC162E" w:rsidRPr="00C41F2B">
        <w:t xml:space="preserve">noted </w:t>
      </w:r>
      <w:r w:rsidR="0097331F" w:rsidRPr="00C41F2B">
        <w:t xml:space="preserve">the </w:t>
      </w:r>
      <w:r w:rsidR="0033083D" w:rsidRPr="00C41F2B">
        <w:t xml:space="preserve">updated 5-year PFS </w:t>
      </w:r>
      <w:r w:rsidR="0097331F" w:rsidRPr="00C41F2B">
        <w:t>results were consistent with those presented in the resubmission with a hazard ratio of 0.33 (95% CI: 0.25, 0.43; p&lt;0.0001)</w:t>
      </w:r>
      <w:r w:rsidR="0033083D" w:rsidRPr="00C41F2B">
        <w:t>, and a difference in</w:t>
      </w:r>
      <w:r w:rsidRPr="00C41F2B">
        <w:t xml:space="preserve"> </w:t>
      </w:r>
      <w:r w:rsidR="003B540F" w:rsidRPr="00C41F2B">
        <w:t xml:space="preserve">the </w:t>
      </w:r>
      <w:r w:rsidRPr="00C41F2B">
        <w:t xml:space="preserve">median PFS of </w:t>
      </w:r>
      <w:r w:rsidR="0097331F" w:rsidRPr="00C41F2B">
        <w:t>42 months (</w:t>
      </w:r>
      <w:r w:rsidRPr="00C41F2B">
        <w:t>56 months</w:t>
      </w:r>
      <w:r w:rsidR="0097331F" w:rsidRPr="00C41F2B">
        <w:t xml:space="preserve"> for olaparib</w:t>
      </w:r>
      <w:r w:rsidRPr="00C41F2B">
        <w:t xml:space="preserve"> vs 13.8 months </w:t>
      </w:r>
      <w:r w:rsidR="0097331F" w:rsidRPr="00C41F2B">
        <w:t xml:space="preserve">for </w:t>
      </w:r>
      <w:r w:rsidR="00DC162E" w:rsidRPr="00C41F2B">
        <w:t>placebo</w:t>
      </w:r>
      <w:r w:rsidR="0097331F" w:rsidRPr="00C41F2B">
        <w:t>)</w:t>
      </w:r>
      <w:r w:rsidR="0033083D" w:rsidRPr="00C41F2B">
        <w:t>.</w:t>
      </w:r>
    </w:p>
    <w:p w:rsidR="00E66BA3" w:rsidRPr="00C41F2B" w:rsidRDefault="00E66BA3" w:rsidP="00E66BA3">
      <w:pPr>
        <w:pStyle w:val="3-BodyText"/>
      </w:pPr>
      <w:r w:rsidRPr="00C41F2B">
        <w:t xml:space="preserve">There was no difference in </w:t>
      </w:r>
      <w:r w:rsidR="006A46F4" w:rsidRPr="00C41F2B">
        <w:t>OS</w:t>
      </w:r>
      <w:r w:rsidRPr="00C41F2B">
        <w:t xml:space="preserve"> at median follow-up of 41 months, with a hazard ratio of 0.95 (95% CI: 0.60, 1.53; p=0.89).</w:t>
      </w:r>
      <w:r w:rsidRPr="00C41F2B">
        <w:rPr>
          <w:rFonts w:eastAsiaTheme="minorHAnsi" w:cstheme="minorBidi"/>
          <w:szCs w:val="22"/>
          <w:lang w:eastAsia="en-US"/>
        </w:rPr>
        <w:t xml:space="preserve"> </w:t>
      </w:r>
      <w:r w:rsidRPr="00C41F2B">
        <w:t xml:space="preserve">The PBAC </w:t>
      </w:r>
      <w:r w:rsidR="00E95229" w:rsidRPr="00C41F2B">
        <w:t xml:space="preserve">previously </w:t>
      </w:r>
      <w:r w:rsidRPr="00C41F2B">
        <w:t xml:space="preserve">noted that the </w:t>
      </w:r>
      <w:r w:rsidR="006A46F4" w:rsidRPr="00C41F2B">
        <w:t>OS</w:t>
      </w:r>
      <w:r w:rsidRPr="00C41F2B">
        <w:t xml:space="preserve"> data observed in the SOLO1 trial may not reflect the expected </w:t>
      </w:r>
      <w:r w:rsidR="006A46F4" w:rsidRPr="00C41F2B">
        <w:t>OS</w:t>
      </w:r>
      <w:r w:rsidRPr="00C41F2B">
        <w:t xml:space="preserve"> in the Australian setting because:</w:t>
      </w:r>
    </w:p>
    <w:p w:rsidR="00E66BA3" w:rsidRPr="00C41F2B" w:rsidRDefault="00E66BA3" w:rsidP="00F641E4">
      <w:pPr>
        <w:pStyle w:val="ListParagraph"/>
        <w:numPr>
          <w:ilvl w:val="0"/>
          <w:numId w:val="8"/>
        </w:numPr>
        <w:ind w:left="1134" w:hanging="283"/>
      </w:pPr>
      <w:r w:rsidRPr="00C41F2B">
        <w:t>The extent and circumstances of use of PARP inhibitors following progression in the placebo arm may not reflect Australian clinical practice. Approximately 50% of patients who had progressed in the placebo arm received a PARP inhibitor following progression (37% of the ITT placebo population)</w:t>
      </w:r>
      <w:r w:rsidR="00BC343E" w:rsidRPr="00C41F2B">
        <w:t xml:space="preserve">. </w:t>
      </w:r>
      <w:r w:rsidR="00532DD6" w:rsidRPr="00C41F2B">
        <w:t xml:space="preserve">The </w:t>
      </w:r>
      <w:r w:rsidR="00DA7BFE">
        <w:t>Pre-Sub-Committee Response (</w:t>
      </w:r>
      <w:r w:rsidR="00532DD6" w:rsidRPr="00C41F2B">
        <w:t>PSCR</w:t>
      </w:r>
      <w:r w:rsidR="00DA7BFE">
        <w:t>)</w:t>
      </w:r>
      <w:r w:rsidR="00532DD6" w:rsidRPr="00C41F2B">
        <w:t xml:space="preserve"> indicated that </w:t>
      </w:r>
      <w:r w:rsidR="00E95229" w:rsidRPr="00C41F2B">
        <w:t xml:space="preserve">it was not possible to </w:t>
      </w:r>
      <w:r w:rsidR="00532DD6" w:rsidRPr="00C41F2B">
        <w:t>determin</w:t>
      </w:r>
      <w:r w:rsidR="00E95229" w:rsidRPr="00C41F2B">
        <w:t>e</w:t>
      </w:r>
      <w:r w:rsidR="000B430C" w:rsidRPr="00C41F2B">
        <w:t xml:space="preserve"> </w:t>
      </w:r>
      <w:r w:rsidR="00E95229" w:rsidRPr="00C41F2B">
        <w:t>from the SOLO1 data</w:t>
      </w:r>
      <w:r w:rsidR="00532DD6" w:rsidRPr="00C41F2B">
        <w:t xml:space="preserve"> whether </w:t>
      </w:r>
      <w:r w:rsidR="00E95229" w:rsidRPr="00C41F2B">
        <w:t xml:space="preserve">the </w:t>
      </w:r>
      <w:r w:rsidR="00532DD6" w:rsidRPr="00C41F2B">
        <w:t xml:space="preserve">2L olaparib use followed a response to 2L platinum, but expected that the majority was post 2L platinum, consistent with the marketing indication in most jurisdictions. </w:t>
      </w:r>
      <w:r w:rsidR="00BC343E" w:rsidRPr="00C41F2B">
        <w:rPr>
          <w:iCs/>
        </w:rPr>
        <w:t xml:space="preserve">The PBAC noted the design of SOLO1 did not allow for crossover, meaning only patients who had disengaged from the trial had access to a </w:t>
      </w:r>
      <w:proofErr w:type="spellStart"/>
      <w:r w:rsidR="00BC343E" w:rsidRPr="00C41F2B">
        <w:rPr>
          <w:iCs/>
        </w:rPr>
        <w:t>PARPi</w:t>
      </w:r>
      <w:proofErr w:type="spellEnd"/>
      <w:r w:rsidR="00BC343E" w:rsidRPr="00C41F2B">
        <w:rPr>
          <w:iCs/>
        </w:rPr>
        <w:t xml:space="preserve"> in the subsequent-line setting</w:t>
      </w:r>
      <w:r w:rsidR="00532DD6" w:rsidRPr="00C41F2B">
        <w:rPr>
          <w:iCs/>
        </w:rPr>
        <w:t>. The PBAC considered that a higher proportion of patients may access 2L olaparib in Australian clinical practice</w:t>
      </w:r>
      <w:r w:rsidR="006A46F4" w:rsidRPr="00C41F2B">
        <w:t>; and</w:t>
      </w:r>
      <w:r w:rsidRPr="00C41F2B">
        <w:t xml:space="preserve"> </w:t>
      </w:r>
    </w:p>
    <w:p w:rsidR="00FC1650" w:rsidRPr="00C41F2B" w:rsidRDefault="00E66BA3" w:rsidP="00FC1650">
      <w:pPr>
        <w:pStyle w:val="3-BodyText"/>
        <w:numPr>
          <w:ilvl w:val="0"/>
          <w:numId w:val="13"/>
        </w:numPr>
        <w:ind w:left="1134" w:hanging="283"/>
      </w:pPr>
      <w:r w:rsidRPr="00C41F2B">
        <w:t xml:space="preserve">PARP inhibitors were used in 20% of patients who had progressed in the olaparib arm. Sequential use of PARP inhibitors would not be subsidised according to the </w:t>
      </w:r>
      <w:r w:rsidR="00E95229" w:rsidRPr="00C41F2B">
        <w:t xml:space="preserve">proposed </w:t>
      </w:r>
      <w:r w:rsidRPr="00C41F2B">
        <w:t>PBS restriction</w:t>
      </w:r>
      <w:r w:rsidR="00E95229" w:rsidRPr="00C41F2B">
        <w:t>s</w:t>
      </w:r>
      <w:r w:rsidRPr="00C41F2B">
        <w:t xml:space="preserve">. Should sequential use of PARP inhibitors confer some benefit, </w:t>
      </w:r>
      <w:r w:rsidR="006A46F4" w:rsidRPr="00C41F2B">
        <w:t>OS</w:t>
      </w:r>
      <w:r w:rsidRPr="00C41F2B">
        <w:t xml:space="preserve"> in the olaparib arm may be higher in SOLO1 than in clinical practice</w:t>
      </w:r>
      <w:r w:rsidR="00FC1650" w:rsidRPr="00C41F2B">
        <w:t xml:space="preserve">. The commentary requested the sponsor provide PFS, PFS2 and OS data for the olaparib arm </w:t>
      </w:r>
      <w:r w:rsidR="00B96CF7" w:rsidRPr="00C41F2B">
        <w:t xml:space="preserve">with patients </w:t>
      </w:r>
      <w:r w:rsidR="00FC1650" w:rsidRPr="00C41F2B">
        <w:t xml:space="preserve">who received subsequent-line PARP inhibitors omitted/censored. The PSCR </w:t>
      </w:r>
      <w:r w:rsidR="009763CD" w:rsidRPr="00C41F2B">
        <w:t>stated that the subsequent PARP inhibitor use in 20% of progressed patients was equivalent to</w:t>
      </w:r>
      <w:r w:rsidR="00FC1650" w:rsidRPr="00C41F2B">
        <w:t xml:space="preserve"> only 8% of</w:t>
      </w:r>
      <w:r w:rsidR="009763CD" w:rsidRPr="00C41F2B">
        <w:t xml:space="preserve"> the overall</w:t>
      </w:r>
      <w:r w:rsidR="00FC1650" w:rsidRPr="00C41F2B">
        <w:t xml:space="preserve"> patients</w:t>
      </w:r>
      <w:r w:rsidR="00630C55" w:rsidRPr="00C41F2B">
        <w:t xml:space="preserve"> </w:t>
      </w:r>
      <w:r w:rsidR="00FC1650" w:rsidRPr="00C41F2B">
        <w:t>in the olaparib arm.</w:t>
      </w:r>
      <w:r w:rsidR="00DC162E" w:rsidRPr="00C41F2B">
        <w:t xml:space="preserve"> The PBAC noted that PFS, PFS2 and OS Kaplan-Meier curves excluding patients</w:t>
      </w:r>
      <w:r w:rsidR="00D0760F" w:rsidRPr="00C41F2B">
        <w:t xml:space="preserve"> who received a subsequent PARP</w:t>
      </w:r>
      <w:r w:rsidR="005F7403" w:rsidRPr="00C41F2B">
        <w:t xml:space="preserve"> in the olaparib arm</w:t>
      </w:r>
      <w:r w:rsidR="00DC162E" w:rsidRPr="00C41F2B">
        <w:t xml:space="preserve"> were provided in the pre-PBAC response</w:t>
      </w:r>
      <w:r w:rsidR="0085141C" w:rsidRPr="00C41F2B">
        <w:t xml:space="preserve">, and that based on the PFS2 results, </w:t>
      </w:r>
      <w:r w:rsidR="00E165E5" w:rsidRPr="00C41F2B">
        <w:t xml:space="preserve">subsequent PARP inhibitor use in the olaparib arm </w:t>
      </w:r>
      <w:r w:rsidR="00C234FD" w:rsidRPr="00C41F2B">
        <w:t xml:space="preserve">did not appear to </w:t>
      </w:r>
      <w:r w:rsidR="00E165E5" w:rsidRPr="00C41F2B">
        <w:t xml:space="preserve">substantially </w:t>
      </w:r>
      <w:r w:rsidR="00C234FD" w:rsidRPr="00C41F2B">
        <w:t>bias the result in favour of olaparib</w:t>
      </w:r>
      <w:r w:rsidR="00DC162E" w:rsidRPr="00C41F2B">
        <w:t>.</w:t>
      </w:r>
    </w:p>
    <w:p w:rsidR="005F7403" w:rsidRPr="00C41F2B" w:rsidRDefault="00E66BA3" w:rsidP="0079608C">
      <w:pPr>
        <w:pStyle w:val="3-BodyText"/>
        <w:rPr>
          <w:i/>
        </w:rPr>
      </w:pPr>
      <w:r w:rsidRPr="00C41F2B">
        <w:t xml:space="preserve">The </w:t>
      </w:r>
      <w:r w:rsidR="00F7136A" w:rsidRPr="00C41F2B">
        <w:t xml:space="preserve">Commentary </w:t>
      </w:r>
      <w:r w:rsidR="00630C55" w:rsidRPr="00C41F2B">
        <w:t xml:space="preserve">also </w:t>
      </w:r>
      <w:r w:rsidR="00F7136A" w:rsidRPr="00C41F2B">
        <w:t xml:space="preserve">requested PFS2 data for the patients in the placebo arm who received a subsequent PARP inhibitor (i.e. subgroup 3, as defined in paragraph 4.3 </w:t>
      </w:r>
      <w:r w:rsidR="00F7136A" w:rsidRPr="00C41F2B">
        <w:lastRenderedPageBreak/>
        <w:t xml:space="preserve">above). </w:t>
      </w:r>
      <w:r w:rsidR="00332BA0" w:rsidRPr="00C41F2B">
        <w:t xml:space="preserve">The PSCR </w:t>
      </w:r>
      <w:r w:rsidR="00F7136A" w:rsidRPr="00C41F2B">
        <w:t xml:space="preserve">argued that a formal comparative analysis of 1L olaparib with placebo </w:t>
      </w:r>
      <w:r w:rsidR="00332BA0" w:rsidRPr="00C41F2B">
        <w:t>patients who received 2L PARP would be</w:t>
      </w:r>
      <w:r w:rsidR="00F7136A" w:rsidRPr="00C41F2B">
        <w:t xml:space="preserve"> biased</w:t>
      </w:r>
      <w:r w:rsidR="00332BA0" w:rsidRPr="00C41F2B">
        <w:t xml:space="preserve"> and that it is not possible to identify the subset of patients in the 1L olaparib arm </w:t>
      </w:r>
      <w:r w:rsidR="00A9673D" w:rsidRPr="00C41F2B">
        <w:t xml:space="preserve">who </w:t>
      </w:r>
      <w:r w:rsidR="00332BA0" w:rsidRPr="00C41F2B">
        <w:t>would have been eligible to receive 2L olaparib if 1L olaparib had</w:t>
      </w:r>
      <w:r w:rsidR="009763CD" w:rsidRPr="00C41F2B">
        <w:t xml:space="preserve"> </w:t>
      </w:r>
      <w:r w:rsidR="00332BA0" w:rsidRPr="00C41F2B">
        <w:t>n</w:t>
      </w:r>
      <w:r w:rsidR="009763CD" w:rsidRPr="00C41F2B">
        <w:t>o</w:t>
      </w:r>
      <w:r w:rsidR="00332BA0" w:rsidRPr="00C41F2B">
        <w:t>t been given. Similarly, it is not possible to identify the subset of patients in the 1L olaparib arm that would</w:t>
      </w:r>
      <w:r w:rsidR="00CE6D2D" w:rsidRPr="00C41F2B">
        <w:t xml:space="preserve"> </w:t>
      </w:r>
      <w:r w:rsidR="00332BA0" w:rsidRPr="00C41F2B">
        <w:t>n</w:t>
      </w:r>
      <w:r w:rsidR="00CE6D2D" w:rsidRPr="00C41F2B">
        <w:t>o</w:t>
      </w:r>
      <w:r w:rsidR="00332BA0" w:rsidRPr="00C41F2B">
        <w:t>t have received 2L olaparib if 1L olaparib had</w:t>
      </w:r>
      <w:r w:rsidR="00CE6D2D" w:rsidRPr="00C41F2B">
        <w:t xml:space="preserve"> </w:t>
      </w:r>
      <w:r w:rsidR="00332BA0" w:rsidRPr="00C41F2B">
        <w:t>n</w:t>
      </w:r>
      <w:r w:rsidR="00CE6D2D" w:rsidRPr="00C41F2B">
        <w:t>o</w:t>
      </w:r>
      <w:r w:rsidR="00332BA0" w:rsidRPr="00C41F2B">
        <w:t>t been given.</w:t>
      </w:r>
      <w:r w:rsidR="00DC162E" w:rsidRPr="00C41F2B">
        <w:t xml:space="preserve"> The PBAC noted that the PFS2 Kaplan-Meier curve for patients in the placebo arm who received subsequent PARP inhibitors was provided in the pre-PBAC response</w:t>
      </w:r>
      <w:r w:rsidR="00C234FD" w:rsidRPr="00C41F2B">
        <w:t>, and that after the first year</w:t>
      </w:r>
      <w:r w:rsidR="0079608C" w:rsidRPr="00C41F2B">
        <w:t>,</w:t>
      </w:r>
      <w:r w:rsidR="00C234FD" w:rsidRPr="00C41F2B">
        <w:t xml:space="preserve"> PFS2 was similar </w:t>
      </w:r>
      <w:r w:rsidR="0079608C" w:rsidRPr="00C41F2B">
        <w:t>to that for the ITT</w:t>
      </w:r>
      <w:r w:rsidR="00C234FD" w:rsidRPr="00C41F2B">
        <w:t xml:space="preserve"> patients</w:t>
      </w:r>
      <w:r w:rsidR="00DC162E" w:rsidRPr="00C41F2B">
        <w:t>.</w:t>
      </w:r>
      <w:r w:rsidR="0079608C" w:rsidRPr="00C41F2B">
        <w:t xml:space="preserve"> Overall, it was claimed in the pre</w:t>
      </w:r>
      <w:r w:rsidR="00D42258" w:rsidRPr="00C41F2B">
        <w:t>-</w:t>
      </w:r>
      <w:r w:rsidR="0079608C" w:rsidRPr="00C41F2B">
        <w:t xml:space="preserve">PBAC </w:t>
      </w:r>
      <w:r w:rsidR="00D42258" w:rsidRPr="00C41F2B">
        <w:t xml:space="preserve">response </w:t>
      </w:r>
      <w:r w:rsidR="0079608C" w:rsidRPr="00C41F2B">
        <w:t>that use of the PFS2 data from the ITT population in the economic model did not substantially bias the results, and e</w:t>
      </w:r>
      <w:r w:rsidR="005F7403" w:rsidRPr="00C41F2B">
        <w:t>ven under the most conservative scenario in which the placebo cohort is restricted to those who received subsequent PARP, the divergence in PFS2 demonstrates that 2L PARP use does not nullify the PFS gains accrued by 1L olaparib.</w:t>
      </w:r>
    </w:p>
    <w:p w:rsidR="00E66BA3" w:rsidRPr="00C41F2B" w:rsidRDefault="00F7136A" w:rsidP="00E44B79">
      <w:pPr>
        <w:pStyle w:val="3-BodyText"/>
      </w:pPr>
      <w:r w:rsidRPr="00C41F2B">
        <w:t xml:space="preserve">The </w:t>
      </w:r>
      <w:r w:rsidR="00E66BA3" w:rsidRPr="00C41F2B">
        <w:t xml:space="preserve">resubmission argued that the improvements observed in PFS, disease-free survival (DFS), time-to-first-subsequent-treatment (TFST) and time-to-second-subsequent-treatment (TSST) together may represent an improved chance of long-term remission and cure. </w:t>
      </w:r>
      <w:r w:rsidR="00141241" w:rsidRPr="00C41F2B">
        <w:t>T</w:t>
      </w:r>
      <w:r w:rsidR="00E66BA3" w:rsidRPr="00C41F2B">
        <w:t>reatment with olaparib reduced the risk of first subsequent therapy or death versus placebo (HR 0.30; 95% CI 0.22, 0.40)</w:t>
      </w:r>
      <w:r w:rsidR="00141241" w:rsidRPr="00C41F2B">
        <w:t>, and</w:t>
      </w:r>
      <w:r w:rsidR="00E66BA3" w:rsidRPr="00C41F2B">
        <w:t xml:space="preserve"> a similar relationship was found for TSST (HR 0.45 95% CI 0.32, 0.63; P&lt;0.0001). This correlation between PFS1 and TFST, and PFS2 and TSST describes</w:t>
      </w:r>
      <w:r w:rsidR="00CE6D2D" w:rsidRPr="00C41F2B">
        <w:t xml:space="preserve"> the</w:t>
      </w:r>
      <w:r w:rsidR="00E66BA3" w:rsidRPr="00C41F2B">
        <w:t xml:space="preserve"> expected treatment decisions (commencing next therapy at time of progression).</w:t>
      </w:r>
      <w:r w:rsidR="003A4E2B" w:rsidRPr="00C41F2B">
        <w:t xml:space="preserve"> </w:t>
      </w:r>
      <w:r w:rsidR="00CE6D2D" w:rsidRPr="00C41F2B">
        <w:t>T</w:t>
      </w:r>
      <w:r w:rsidR="00E66BA3" w:rsidRPr="00C41F2B">
        <w:t>he TSST was measured from time of randomisation to commencement of second subsequent therapy, which included the TFST, and as such does not provide an accurate assessment of whether the olaparib arm had increased time between first- and second-subsequent treatments. Therefore, this claim cannot be substantiated by the provided data.</w:t>
      </w:r>
      <w:r w:rsidR="00B47623" w:rsidRPr="00C41F2B" w:rsidDel="00B47623">
        <w:t xml:space="preserve"> </w:t>
      </w:r>
      <w:r w:rsidR="00B47623" w:rsidRPr="00C41F2B">
        <w:t>The PSCR</w:t>
      </w:r>
      <w:r w:rsidR="003A4E2B" w:rsidRPr="00C41F2B">
        <w:t xml:space="preserve"> </w:t>
      </w:r>
      <w:r w:rsidR="000F132F" w:rsidRPr="00C41F2B">
        <w:t>stated</w:t>
      </w:r>
      <w:r w:rsidR="00B47623" w:rsidRPr="00C41F2B">
        <w:t xml:space="preserve"> that the benefits of olaparib treatment persisted beyond progression and significantly extended time free from chemotherapy treatment</w:t>
      </w:r>
      <w:r w:rsidR="000F132F" w:rsidRPr="00C41F2B">
        <w:t>. The PSCR argued that</w:t>
      </w:r>
      <w:r w:rsidR="00B47623" w:rsidRPr="00C41F2B">
        <w:t xml:space="preserve"> olaparib</w:t>
      </w:r>
      <w:r w:rsidR="000F132F" w:rsidRPr="00C41F2B">
        <w:t>, therefore,</w:t>
      </w:r>
      <w:r w:rsidR="00B47623" w:rsidRPr="00C41F2B">
        <w:t xml:space="preserve"> preserves a patient’s quality of life for a prolonged duration of time by avoiding multiple, increasing</w:t>
      </w:r>
      <w:r w:rsidR="000F132F" w:rsidRPr="00C41F2B">
        <w:t>ly</w:t>
      </w:r>
      <w:r w:rsidR="00B47623" w:rsidRPr="00C41F2B">
        <w:t xml:space="preserve"> frequent courses of chemotherapy and associated toxicities.</w:t>
      </w:r>
    </w:p>
    <w:p w:rsidR="00B47623" w:rsidRPr="00C41F2B" w:rsidRDefault="00E66BA3" w:rsidP="00FE1248">
      <w:pPr>
        <w:pStyle w:val="3-BodyText"/>
      </w:pPr>
      <w:r w:rsidRPr="00C41F2B">
        <w:t xml:space="preserve">The resubmission presented quality-adjusted PFS (QA-PFS) data, which adjusted the PFS results </w:t>
      </w:r>
      <w:r w:rsidR="00A9673D" w:rsidRPr="00C41F2B">
        <w:t xml:space="preserve">based on </w:t>
      </w:r>
      <w:r w:rsidRPr="00C41F2B">
        <w:t xml:space="preserve">the quality of life experienced by patients, and found a statistically significant improvement in QA-PFS with maintenance olaparib versus placebo (mean QA-PFS was 29.7 months vs 17.5 months respectively, p&lt;0.001). </w:t>
      </w:r>
      <w:r w:rsidR="00E165E5" w:rsidRPr="00C41F2B">
        <w:t>QA-PFS</w:t>
      </w:r>
      <w:r w:rsidRPr="00C41F2B">
        <w:t xml:space="preserve"> was the product of the </w:t>
      </w:r>
      <w:r w:rsidR="00E165E5" w:rsidRPr="00C41F2B">
        <w:t xml:space="preserve">mean utility score from </w:t>
      </w:r>
      <w:r w:rsidRPr="00C41F2B">
        <w:t xml:space="preserve">the 5-item </w:t>
      </w:r>
      <w:proofErr w:type="spellStart"/>
      <w:r w:rsidRPr="00C41F2B">
        <w:t>EuroQol</w:t>
      </w:r>
      <w:proofErr w:type="spellEnd"/>
      <w:r w:rsidRPr="00C41F2B">
        <w:t xml:space="preserve"> 5D-5L and the mean PFS. The </w:t>
      </w:r>
      <w:proofErr w:type="spellStart"/>
      <w:r w:rsidRPr="00C41F2B">
        <w:t>EuroQol</w:t>
      </w:r>
      <w:proofErr w:type="spellEnd"/>
      <w:r w:rsidRPr="00C41F2B">
        <w:t xml:space="preserve"> utility score is </w:t>
      </w:r>
      <w:r w:rsidR="00E165E5" w:rsidRPr="00C41F2B">
        <w:t>less</w:t>
      </w:r>
      <w:r w:rsidRPr="00C41F2B">
        <w:t xml:space="preserve"> sensitive to disease-specific </w:t>
      </w:r>
      <w:proofErr w:type="spellStart"/>
      <w:r w:rsidRPr="00C41F2B">
        <w:t>QoL</w:t>
      </w:r>
      <w:proofErr w:type="spellEnd"/>
      <w:r w:rsidRPr="00C41F2B">
        <w:t xml:space="preserve"> differences </w:t>
      </w:r>
      <w:r w:rsidR="00E165E5" w:rsidRPr="00C41F2B">
        <w:t xml:space="preserve">than </w:t>
      </w:r>
      <w:r w:rsidRPr="00C41F2B">
        <w:t xml:space="preserve">the </w:t>
      </w:r>
      <w:r w:rsidRPr="00C41F2B">
        <w:rPr>
          <w:bCs/>
        </w:rPr>
        <w:t xml:space="preserve">Functional Assessment of Cancer Therapy – Ovarian [FACT-O] questionnaire, which detected a statistically significant (but determined to be clinically irrelevant) difference in </w:t>
      </w:r>
      <w:proofErr w:type="spellStart"/>
      <w:r w:rsidRPr="00C41F2B">
        <w:rPr>
          <w:bCs/>
        </w:rPr>
        <w:t>QoL</w:t>
      </w:r>
      <w:proofErr w:type="spellEnd"/>
      <w:r w:rsidRPr="00C41F2B">
        <w:rPr>
          <w:bCs/>
        </w:rPr>
        <w:t xml:space="preserve"> which favoured the placebo arm. </w:t>
      </w:r>
      <w:r w:rsidR="005F7FD9" w:rsidRPr="00C41F2B">
        <w:rPr>
          <w:bCs/>
        </w:rPr>
        <w:t xml:space="preserve">The PSCR justified using the EQ-5D-5L </w:t>
      </w:r>
      <w:r w:rsidR="00E61E10" w:rsidRPr="00C41F2B">
        <w:rPr>
          <w:bCs/>
        </w:rPr>
        <w:t xml:space="preserve">as the purpose </w:t>
      </w:r>
      <w:r w:rsidR="005F7FD9" w:rsidRPr="00C41F2B">
        <w:rPr>
          <w:bCs/>
        </w:rPr>
        <w:t xml:space="preserve">was to document overall health status, rather than disease specific </w:t>
      </w:r>
      <w:proofErr w:type="spellStart"/>
      <w:r w:rsidR="005F7FD9" w:rsidRPr="00C41F2B">
        <w:rPr>
          <w:bCs/>
        </w:rPr>
        <w:t>Q</w:t>
      </w:r>
      <w:r w:rsidR="00623C47" w:rsidRPr="00C41F2B">
        <w:rPr>
          <w:bCs/>
        </w:rPr>
        <w:t>o</w:t>
      </w:r>
      <w:r w:rsidR="005F7FD9" w:rsidRPr="00C41F2B">
        <w:rPr>
          <w:bCs/>
        </w:rPr>
        <w:t>L</w:t>
      </w:r>
      <w:proofErr w:type="spellEnd"/>
      <w:r w:rsidR="005F7FD9" w:rsidRPr="00C41F2B">
        <w:rPr>
          <w:bCs/>
        </w:rPr>
        <w:t>.</w:t>
      </w:r>
      <w:r w:rsidR="002C74BA">
        <w:rPr>
          <w:bCs/>
        </w:rPr>
        <w:t xml:space="preserve"> </w:t>
      </w:r>
      <w:r w:rsidR="00623C47" w:rsidRPr="00C41F2B">
        <w:t>Another issue with the QA-PFS measure is that t</w:t>
      </w:r>
      <w:r w:rsidRPr="00C41F2B">
        <w:t xml:space="preserve">he substantial PFS difference between the two arms may have obscured differences in </w:t>
      </w:r>
      <w:proofErr w:type="spellStart"/>
      <w:r w:rsidRPr="00C41F2B">
        <w:t>QoL</w:t>
      </w:r>
      <w:proofErr w:type="spellEnd"/>
      <w:r w:rsidR="00623C47" w:rsidRPr="00C41F2B">
        <w:t>.</w:t>
      </w:r>
      <w:r w:rsidRPr="00C41F2B">
        <w:t xml:space="preserve"> </w:t>
      </w:r>
      <w:r w:rsidR="00623C47" w:rsidRPr="00C41F2B">
        <w:t>P</w:t>
      </w:r>
      <w:r w:rsidR="00992270" w:rsidRPr="00C41F2B">
        <w:t xml:space="preserve">atients in </w:t>
      </w:r>
      <w:r w:rsidR="00992270" w:rsidRPr="00C41F2B">
        <w:lastRenderedPageBreak/>
        <w:t xml:space="preserve">the placebo arm progressed significantly faster than patients </w:t>
      </w:r>
      <w:r w:rsidR="003B5EA9" w:rsidRPr="00C41F2B">
        <w:t>in the olaparib maintenance arm</w:t>
      </w:r>
      <w:r w:rsidR="00623C47" w:rsidRPr="00C41F2B">
        <w:t xml:space="preserve"> and hence</w:t>
      </w:r>
      <w:r w:rsidRPr="00C41F2B">
        <w:t xml:space="preserve"> there was</w:t>
      </w:r>
      <w:r w:rsidR="00992270" w:rsidRPr="00C41F2B">
        <w:t xml:space="preserve"> a substantial imbalance </w:t>
      </w:r>
      <w:r w:rsidR="00623C47" w:rsidRPr="00C41F2B">
        <w:t xml:space="preserve">across the arms </w:t>
      </w:r>
      <w:r w:rsidR="00992270" w:rsidRPr="00C41F2B">
        <w:t>in</w:t>
      </w:r>
      <w:r w:rsidR="003B5EA9" w:rsidRPr="00C41F2B">
        <w:t xml:space="preserve"> </w:t>
      </w:r>
      <w:r w:rsidR="00623C47" w:rsidRPr="00C41F2B">
        <w:t xml:space="preserve">the </w:t>
      </w:r>
      <w:r w:rsidR="003B5EA9" w:rsidRPr="00C41F2B">
        <w:t xml:space="preserve">duration of time </w:t>
      </w:r>
      <w:r w:rsidR="00623C47" w:rsidRPr="00C41F2B">
        <w:t xml:space="preserve">over which </w:t>
      </w:r>
      <w:r w:rsidR="00992270" w:rsidRPr="00C41F2B">
        <w:t xml:space="preserve">the </w:t>
      </w:r>
      <w:r w:rsidRPr="00C41F2B">
        <w:t xml:space="preserve">QA-PFS </w:t>
      </w:r>
      <w:r w:rsidR="00623C47" w:rsidRPr="00C41F2B">
        <w:t xml:space="preserve">was </w:t>
      </w:r>
      <w:r w:rsidRPr="00C41F2B">
        <w:t>measure</w:t>
      </w:r>
      <w:r w:rsidR="00623C47" w:rsidRPr="00C41F2B">
        <w:t>d</w:t>
      </w:r>
      <w:r w:rsidRPr="00C41F2B">
        <w:t>. This may underestimate the health-related quality of life experienced by patients in the placebo arm, as progression in this disease is usually asymptomatic</w:t>
      </w:r>
      <w:r w:rsidRPr="00C41F2B">
        <w:rPr>
          <w:vertAlign w:val="superscript"/>
        </w:rPr>
        <w:footnoteReference w:id="2"/>
      </w:r>
      <w:r w:rsidRPr="00C41F2B">
        <w:t>.</w:t>
      </w:r>
      <w:r w:rsidR="003E4591" w:rsidRPr="00C41F2B">
        <w:t xml:space="preserve"> </w:t>
      </w:r>
      <w:r w:rsidR="005F7FD9" w:rsidRPr="00C41F2B">
        <w:t xml:space="preserve">The PSCR asserted that most patients with progression in SOLO1 commenced chemotherapy within 5 weeks and that Colombo et al (2017) emphasised the psychological and physical impact of recurrence on patients. </w:t>
      </w:r>
    </w:p>
    <w:p w:rsidR="00E66BA3" w:rsidRPr="00C41F2B" w:rsidRDefault="002E443F" w:rsidP="00755256">
      <w:pPr>
        <w:pStyle w:val="3-BodyText"/>
      </w:pPr>
      <w:r w:rsidRPr="00C41F2B">
        <w:t>The ESC noted t</w:t>
      </w:r>
      <w:r w:rsidR="00E66BA3" w:rsidRPr="00C41F2B">
        <w:t>he resubmission also presented time without symptoms of disease progression or toxicity (</w:t>
      </w:r>
      <w:proofErr w:type="spellStart"/>
      <w:r w:rsidR="00E66BA3" w:rsidRPr="00C41F2B">
        <w:t>T</w:t>
      </w:r>
      <w:r w:rsidR="00A3064E" w:rsidRPr="00C41F2B">
        <w:t>W</w:t>
      </w:r>
      <w:r w:rsidR="00E66BA3" w:rsidRPr="00C41F2B">
        <w:t>iST</w:t>
      </w:r>
      <w:proofErr w:type="spellEnd"/>
      <w:r w:rsidR="00E66BA3" w:rsidRPr="00C41F2B">
        <w:t xml:space="preserve">) data, which found a significant improvement in the olaparib arm compared to placebo (mean </w:t>
      </w:r>
      <w:proofErr w:type="spellStart"/>
      <w:r w:rsidR="00E66BA3" w:rsidRPr="00C41F2B">
        <w:t>T</w:t>
      </w:r>
      <w:r w:rsidR="00A3064E" w:rsidRPr="00C41F2B">
        <w:t>W</w:t>
      </w:r>
      <w:r w:rsidR="00E66BA3" w:rsidRPr="00C41F2B">
        <w:t>iST</w:t>
      </w:r>
      <w:proofErr w:type="spellEnd"/>
      <w:r w:rsidR="00E66BA3" w:rsidRPr="00C41F2B">
        <w:t xml:space="preserve"> 33.1 months vs 20.2 months respectively, p &lt; 0.001). The </w:t>
      </w:r>
      <w:proofErr w:type="spellStart"/>
      <w:r w:rsidR="00E66BA3" w:rsidRPr="00C41F2B">
        <w:t>T</w:t>
      </w:r>
      <w:r w:rsidR="00A3064E" w:rsidRPr="00C41F2B">
        <w:t>W</w:t>
      </w:r>
      <w:r w:rsidR="00E66BA3" w:rsidRPr="00C41F2B">
        <w:t>iST</w:t>
      </w:r>
      <w:proofErr w:type="spellEnd"/>
      <w:r w:rsidR="00E66BA3" w:rsidRPr="00C41F2B">
        <w:t xml:space="preserve"> data were calculated based on the mean PFS and time without significant symptoms of toxicity, defined as grade ≥2 nausea, vomiting or fatigue. These three symptoms do not accurately represent the adverse event profile demonstrated in SOLO1, and two of them are overlapping symptoms (nausea and vomiting). The </w:t>
      </w:r>
      <w:proofErr w:type="spellStart"/>
      <w:r w:rsidR="00E66BA3" w:rsidRPr="00C41F2B">
        <w:t>TWiST</w:t>
      </w:r>
      <w:proofErr w:type="spellEnd"/>
      <w:r w:rsidR="00E66BA3" w:rsidRPr="00C41F2B">
        <w:t xml:space="preserve"> data failed to represent large parts of the adverse event profile described in the safety data of SOLO1, including adverse events by organ class, serious adverse events</w:t>
      </w:r>
      <w:r w:rsidR="003B5EA9" w:rsidRPr="00C41F2B">
        <w:t xml:space="preserve">, </w:t>
      </w:r>
      <w:r w:rsidR="00E66BA3" w:rsidRPr="00C41F2B">
        <w:t>hospitalisations</w:t>
      </w:r>
      <w:r w:rsidR="003B5EA9" w:rsidRPr="00C41F2B">
        <w:t xml:space="preserve"> and discontinuations due to adverse events; all of these </w:t>
      </w:r>
      <w:r w:rsidR="008E41DD" w:rsidRPr="00C41F2B">
        <w:t>measures</w:t>
      </w:r>
      <w:r w:rsidR="003B5EA9" w:rsidRPr="00C41F2B">
        <w:t xml:space="preserve"> favoured the placebo arm as being</w:t>
      </w:r>
      <w:r w:rsidR="008E41DD" w:rsidRPr="00C41F2B">
        <w:t xml:space="preserve"> substantially</w:t>
      </w:r>
      <w:r w:rsidR="003B5EA9" w:rsidRPr="00C41F2B">
        <w:t xml:space="preserve"> less toxic</w:t>
      </w:r>
      <w:r w:rsidR="00E66BA3" w:rsidRPr="00C41F2B">
        <w:t xml:space="preserve">. The resubmission was also unclear if the </w:t>
      </w:r>
      <w:proofErr w:type="spellStart"/>
      <w:r w:rsidR="00E66BA3" w:rsidRPr="00C41F2B">
        <w:t>T</w:t>
      </w:r>
      <w:r w:rsidR="006E5038" w:rsidRPr="00C41F2B">
        <w:t>W</w:t>
      </w:r>
      <w:r w:rsidR="00E66BA3" w:rsidRPr="00C41F2B">
        <w:t>iST</w:t>
      </w:r>
      <w:proofErr w:type="spellEnd"/>
      <w:r w:rsidR="00E66BA3" w:rsidRPr="00C41F2B">
        <w:t xml:space="preserve"> data were weighted to adjust for different severities (e.g. grade 2 vs grade 4).</w:t>
      </w:r>
      <w:r w:rsidR="00755256" w:rsidRPr="00C41F2B">
        <w:t xml:space="preserve"> </w:t>
      </w:r>
      <w:r w:rsidR="00B47623" w:rsidRPr="00C41F2B">
        <w:t>The PSCR</w:t>
      </w:r>
      <w:r w:rsidR="00A3064E" w:rsidRPr="00C41F2B">
        <w:t xml:space="preserve"> </w:t>
      </w:r>
      <w:r w:rsidR="00B47623" w:rsidRPr="00C41F2B">
        <w:t xml:space="preserve">acknowledged that symptoms included in the </w:t>
      </w:r>
      <w:proofErr w:type="spellStart"/>
      <w:r w:rsidR="00B47623" w:rsidRPr="00C41F2B">
        <w:t>TWiST</w:t>
      </w:r>
      <w:proofErr w:type="spellEnd"/>
      <w:r w:rsidR="00B47623" w:rsidRPr="00C41F2B">
        <w:t xml:space="preserve"> analysis do not constitute all possible adverse effects, but argued that they are by far the most common and potentially have the greatest impact on patients.</w:t>
      </w:r>
    </w:p>
    <w:p w:rsidR="00E66BA3" w:rsidRPr="00C41F2B" w:rsidRDefault="00E66BA3" w:rsidP="00E66BA3">
      <w:pPr>
        <w:pStyle w:val="4-SubsectionHeading"/>
      </w:pPr>
      <w:bookmarkStart w:id="26" w:name="_Toc22897642"/>
      <w:bookmarkStart w:id="27" w:name="_Toc38262919"/>
      <w:bookmarkStart w:id="28" w:name="_Toc38305872"/>
      <w:r w:rsidRPr="00C41F2B">
        <w:t>Comparative harms</w:t>
      </w:r>
      <w:bookmarkEnd w:id="26"/>
      <w:bookmarkEnd w:id="27"/>
      <w:bookmarkEnd w:id="28"/>
    </w:p>
    <w:p w:rsidR="00E66BA3" w:rsidRPr="00C41F2B" w:rsidRDefault="00E66BA3" w:rsidP="00E66BA3">
      <w:pPr>
        <w:pStyle w:val="3-BodyText"/>
        <w:rPr>
          <w:color w:val="0066FF"/>
        </w:rPr>
      </w:pPr>
      <w:r w:rsidRPr="00C41F2B">
        <w:t xml:space="preserve">No new safety data were presented in the resubmission. The PBAC previously noted that olaparib has an inferior safety profile compared with placebo, particularly clinically-relevant anaemia of grade 3 or greater severity, which occurred in 21.2% of patients receiving olaparib and 1.5% of patients in the placebo arm. The PBAC </w:t>
      </w:r>
      <w:r w:rsidR="00B47623" w:rsidRPr="00C41F2B">
        <w:t xml:space="preserve">previously </w:t>
      </w:r>
      <w:r w:rsidRPr="00C41F2B">
        <w:t xml:space="preserve">considered that the safety profile of olaparib appears manageable but includes clinically important </w:t>
      </w:r>
      <w:r w:rsidR="00453295" w:rsidRPr="00C41F2B">
        <w:t>adverse events</w:t>
      </w:r>
      <w:r w:rsidRPr="00C41F2B">
        <w:t xml:space="preserve">, particularly as it is used as maintenance treatment (para 7.15, </w:t>
      </w:r>
      <w:r w:rsidR="00E26DCA" w:rsidRPr="00C41F2B">
        <w:t>o</w:t>
      </w:r>
      <w:r w:rsidRPr="00C41F2B">
        <w:t>laparib PSD, November 2019 PBAC meeting).</w:t>
      </w:r>
    </w:p>
    <w:p w:rsidR="00C404FF" w:rsidRPr="00C41F2B" w:rsidRDefault="00C404FF" w:rsidP="00E66BA3">
      <w:pPr>
        <w:pStyle w:val="3-BodyText"/>
        <w:rPr>
          <w:color w:val="0066FF"/>
        </w:rPr>
      </w:pPr>
      <w:r w:rsidRPr="00C41F2B">
        <w:t xml:space="preserve">The PBAC noted that recently published data from SOLO2 indicated that 8% of patients </w:t>
      </w:r>
      <w:r w:rsidR="002A03C4" w:rsidRPr="00C41F2B">
        <w:t xml:space="preserve">treated with 2L olaparib </w:t>
      </w:r>
      <w:r w:rsidRPr="00C41F2B">
        <w:t xml:space="preserve">experienced </w:t>
      </w:r>
      <w:r w:rsidR="00853CA3" w:rsidRPr="00C41F2B">
        <w:t>myelodysplastic syndrome (</w:t>
      </w:r>
      <w:r w:rsidRPr="00C41F2B">
        <w:t>MDS</w:t>
      </w:r>
      <w:r w:rsidR="00853CA3" w:rsidRPr="00C41F2B">
        <w:t>)</w:t>
      </w:r>
      <w:r w:rsidR="00D42258" w:rsidRPr="00C41F2B">
        <w:rPr>
          <w:rStyle w:val="FootnoteReference"/>
        </w:rPr>
        <w:footnoteReference w:id="3"/>
      </w:r>
      <w:r w:rsidRPr="00C41F2B">
        <w:t>, compared with 1</w:t>
      </w:r>
      <w:r w:rsidR="00853CA3" w:rsidRPr="00C41F2B">
        <w:t>.2</w:t>
      </w:r>
      <w:r w:rsidRPr="00C41F2B">
        <w:t>%</w:t>
      </w:r>
      <w:r w:rsidR="002A03C4" w:rsidRPr="00C41F2B">
        <w:t xml:space="preserve"> treated with 1L olaparib</w:t>
      </w:r>
      <w:r w:rsidRPr="00C41F2B">
        <w:t xml:space="preserve"> in SOLO1. The PBAC considered that this suggests MDS may become more prevalent the longer patients </w:t>
      </w:r>
      <w:r w:rsidR="00623C47" w:rsidRPr="00C41F2B">
        <w:t>are treated with olaparib</w:t>
      </w:r>
      <w:r w:rsidRPr="00C41F2B">
        <w:t xml:space="preserve"> and </w:t>
      </w:r>
      <w:r w:rsidRPr="00C41F2B">
        <w:lastRenderedPageBreak/>
        <w:t xml:space="preserve">that ongoing monitoring of this potentially life-threatening adverse event is warranted. </w:t>
      </w:r>
    </w:p>
    <w:p w:rsidR="00E66BA3" w:rsidRPr="00C41F2B" w:rsidRDefault="00E66BA3" w:rsidP="00E66BA3">
      <w:pPr>
        <w:pStyle w:val="4-SubsectionHeading"/>
      </w:pPr>
      <w:bookmarkStart w:id="29" w:name="_Toc22897643"/>
      <w:bookmarkStart w:id="30" w:name="_Toc38262920"/>
      <w:bookmarkStart w:id="31" w:name="_Toc38305873"/>
      <w:r w:rsidRPr="00C41F2B">
        <w:t>Benefits/harms</w:t>
      </w:r>
      <w:bookmarkEnd w:id="29"/>
      <w:bookmarkEnd w:id="30"/>
      <w:bookmarkEnd w:id="31"/>
    </w:p>
    <w:p w:rsidR="00E66BA3" w:rsidRPr="00C41F2B" w:rsidRDefault="00E66BA3" w:rsidP="00E66BA3">
      <w:pPr>
        <w:pStyle w:val="3-BodyText"/>
      </w:pPr>
      <w:r w:rsidRPr="00C41F2B">
        <w:t xml:space="preserve">The </w:t>
      </w:r>
      <w:r w:rsidR="00021709" w:rsidRPr="00C41F2B">
        <w:t xml:space="preserve">comparison of </w:t>
      </w:r>
      <w:r w:rsidRPr="00C41F2B">
        <w:t>benefit</w:t>
      </w:r>
      <w:r w:rsidR="00021709" w:rsidRPr="00C41F2B">
        <w:t>s</w:t>
      </w:r>
      <w:r w:rsidRPr="00C41F2B">
        <w:t>/harm</w:t>
      </w:r>
      <w:r w:rsidR="00021709" w:rsidRPr="00C41F2B">
        <w:t>s</w:t>
      </w:r>
      <w:r w:rsidRPr="00C41F2B">
        <w:t xml:space="preserve"> of olaparib with placebo remained unchanged</w:t>
      </w:r>
      <w:r w:rsidR="002A03C4" w:rsidRPr="00C41F2B">
        <w:t xml:space="preserve"> from the previous submission</w:t>
      </w:r>
      <w:r w:rsidRPr="00C41F2B">
        <w:t>.</w:t>
      </w:r>
    </w:p>
    <w:p w:rsidR="00E66BA3" w:rsidRPr="00C41F2B" w:rsidRDefault="00E66BA3" w:rsidP="00E66BA3">
      <w:pPr>
        <w:pStyle w:val="TableFigureHeading"/>
      </w:pPr>
      <w:r w:rsidRPr="00C41F2B">
        <w:t xml:space="preserve">Table </w:t>
      </w:r>
      <w:r w:rsidR="00A0380C">
        <w:rPr>
          <w:noProof/>
        </w:rPr>
        <w:t>6</w:t>
      </w:r>
      <w:r w:rsidRPr="00C41F2B">
        <w:t>: Summary of comparative benefits and harms for olaparib and PBO</w:t>
      </w:r>
    </w:p>
    <w:tbl>
      <w:tblPr>
        <w:tblStyle w:val="TableGrid"/>
        <w:tblW w:w="5000" w:type="pct"/>
        <w:tblLayout w:type="fixed"/>
        <w:tblCellMar>
          <w:left w:w="28" w:type="dxa"/>
          <w:right w:w="28" w:type="dxa"/>
        </w:tblCellMar>
        <w:tblLook w:val="04A0" w:firstRow="1" w:lastRow="0" w:firstColumn="1" w:lastColumn="0" w:noHBand="0" w:noVBand="1"/>
        <w:tblCaption w:val="Table 8: Summary of comparative benefits and harms for olaparib and PBO"/>
      </w:tblPr>
      <w:tblGrid>
        <w:gridCol w:w="986"/>
        <w:gridCol w:w="1702"/>
        <w:gridCol w:w="992"/>
        <w:gridCol w:w="709"/>
        <w:gridCol w:w="417"/>
        <w:gridCol w:w="1001"/>
        <w:gridCol w:w="400"/>
        <w:gridCol w:w="1073"/>
        <w:gridCol w:w="330"/>
        <w:gridCol w:w="1407"/>
      </w:tblGrid>
      <w:tr w:rsidR="00E66BA3" w:rsidRPr="00C41F2B" w:rsidTr="00E66BA3">
        <w:trPr>
          <w:trHeight w:val="150"/>
          <w:tblHeader/>
        </w:trPr>
        <w:tc>
          <w:tcPr>
            <w:tcW w:w="5000" w:type="pct"/>
            <w:gridSpan w:val="10"/>
            <w:shd w:val="clear" w:color="auto" w:fill="auto"/>
            <w:vAlign w:val="center"/>
          </w:tcPr>
          <w:p w:rsidR="00E66BA3" w:rsidRPr="00C41F2B" w:rsidRDefault="00E66BA3" w:rsidP="00E66BA3">
            <w:pPr>
              <w:pStyle w:val="TableText0"/>
              <w:rPr>
                <w:b/>
              </w:rPr>
            </w:pPr>
            <w:r w:rsidRPr="00C41F2B">
              <w:rPr>
                <w:b/>
              </w:rPr>
              <w:t>Benefits</w:t>
            </w:r>
          </w:p>
        </w:tc>
      </w:tr>
      <w:tr w:rsidR="00E66BA3" w:rsidRPr="00C41F2B" w:rsidTr="00A75EAB">
        <w:trPr>
          <w:tblHeader/>
        </w:trPr>
        <w:tc>
          <w:tcPr>
            <w:tcW w:w="547" w:type="pct"/>
            <w:shd w:val="clear" w:color="auto" w:fill="auto"/>
            <w:vAlign w:val="center"/>
          </w:tcPr>
          <w:p w:rsidR="00E66BA3" w:rsidRPr="00C41F2B" w:rsidRDefault="00E66BA3" w:rsidP="00E66BA3">
            <w:pPr>
              <w:pStyle w:val="TableText0"/>
              <w:rPr>
                <w:b/>
              </w:rPr>
            </w:pPr>
            <w:r w:rsidRPr="00C41F2B">
              <w:rPr>
                <w:b/>
              </w:rPr>
              <w:t>Trial</w:t>
            </w:r>
          </w:p>
        </w:tc>
        <w:tc>
          <w:tcPr>
            <w:tcW w:w="944" w:type="pct"/>
            <w:shd w:val="clear" w:color="auto" w:fill="auto"/>
            <w:vAlign w:val="center"/>
          </w:tcPr>
          <w:p w:rsidR="00E66BA3" w:rsidRPr="00C41F2B" w:rsidRDefault="00E66BA3" w:rsidP="00E66BA3">
            <w:pPr>
              <w:pStyle w:val="TableText0"/>
              <w:jc w:val="center"/>
              <w:rPr>
                <w:b/>
              </w:rPr>
            </w:pPr>
            <w:r w:rsidRPr="00C41F2B">
              <w:rPr>
                <w:b/>
              </w:rPr>
              <w:t>Median duration of follow up</w:t>
            </w:r>
          </w:p>
        </w:tc>
        <w:tc>
          <w:tcPr>
            <w:tcW w:w="550" w:type="pct"/>
            <w:tcBorders>
              <w:bottom w:val="single" w:sz="4" w:space="0" w:color="auto"/>
            </w:tcBorders>
            <w:shd w:val="clear" w:color="auto" w:fill="auto"/>
            <w:vAlign w:val="center"/>
          </w:tcPr>
          <w:p w:rsidR="00E66BA3" w:rsidRPr="00C41F2B" w:rsidRDefault="00E66BA3" w:rsidP="00E66BA3">
            <w:pPr>
              <w:pStyle w:val="TableText0"/>
              <w:jc w:val="center"/>
              <w:rPr>
                <w:b/>
              </w:rPr>
            </w:pPr>
            <w:r w:rsidRPr="00C41F2B">
              <w:rPr>
                <w:b/>
              </w:rPr>
              <w:t>Event</w:t>
            </w:r>
          </w:p>
        </w:tc>
        <w:tc>
          <w:tcPr>
            <w:tcW w:w="624" w:type="pct"/>
            <w:gridSpan w:val="2"/>
            <w:tcBorders>
              <w:bottom w:val="single" w:sz="4" w:space="0" w:color="auto"/>
            </w:tcBorders>
            <w:shd w:val="clear" w:color="auto" w:fill="auto"/>
            <w:vAlign w:val="center"/>
          </w:tcPr>
          <w:p w:rsidR="00E66BA3" w:rsidRPr="00C41F2B" w:rsidRDefault="00E66BA3" w:rsidP="00E66BA3">
            <w:pPr>
              <w:pStyle w:val="TableText0"/>
              <w:jc w:val="center"/>
              <w:rPr>
                <w:b/>
              </w:rPr>
            </w:pPr>
            <w:r w:rsidRPr="00C41F2B">
              <w:rPr>
                <w:b/>
              </w:rPr>
              <w:t>Olaparib</w:t>
            </w:r>
          </w:p>
          <w:p w:rsidR="00E66BA3" w:rsidRPr="00C41F2B" w:rsidRDefault="00E66BA3" w:rsidP="00E66BA3">
            <w:pPr>
              <w:pStyle w:val="TableText0"/>
              <w:jc w:val="center"/>
              <w:rPr>
                <w:b/>
              </w:rPr>
            </w:pPr>
            <w:proofErr w:type="gramStart"/>
            <w:r w:rsidRPr="00C41F2B">
              <w:rPr>
                <w:b/>
              </w:rPr>
              <w:t>n/N</w:t>
            </w:r>
            <w:proofErr w:type="gramEnd"/>
            <w:r w:rsidRPr="00C41F2B">
              <w:rPr>
                <w:b/>
              </w:rPr>
              <w:t xml:space="preserve"> (%)</w:t>
            </w:r>
          </w:p>
        </w:tc>
        <w:tc>
          <w:tcPr>
            <w:tcW w:w="777" w:type="pct"/>
            <w:gridSpan w:val="2"/>
            <w:tcBorders>
              <w:bottom w:val="single" w:sz="4" w:space="0" w:color="auto"/>
            </w:tcBorders>
            <w:shd w:val="clear" w:color="auto" w:fill="auto"/>
            <w:vAlign w:val="center"/>
          </w:tcPr>
          <w:p w:rsidR="00E66BA3" w:rsidRPr="00C41F2B" w:rsidRDefault="00E66BA3" w:rsidP="00E66BA3">
            <w:pPr>
              <w:pStyle w:val="TableText0"/>
              <w:jc w:val="center"/>
              <w:rPr>
                <w:b/>
              </w:rPr>
            </w:pPr>
            <w:r w:rsidRPr="00C41F2B">
              <w:rPr>
                <w:b/>
              </w:rPr>
              <w:t>PBO</w:t>
            </w:r>
          </w:p>
          <w:p w:rsidR="00E66BA3" w:rsidRPr="00C41F2B" w:rsidRDefault="00E66BA3" w:rsidP="00E66BA3">
            <w:pPr>
              <w:pStyle w:val="TableText0"/>
              <w:jc w:val="center"/>
              <w:rPr>
                <w:b/>
              </w:rPr>
            </w:pPr>
            <w:proofErr w:type="gramStart"/>
            <w:r w:rsidRPr="00C41F2B">
              <w:rPr>
                <w:b/>
              </w:rPr>
              <w:t>n/N</w:t>
            </w:r>
            <w:proofErr w:type="gramEnd"/>
            <w:r w:rsidRPr="00C41F2B">
              <w:rPr>
                <w:b/>
              </w:rPr>
              <w:t xml:space="preserve"> (%)</w:t>
            </w:r>
          </w:p>
        </w:tc>
        <w:tc>
          <w:tcPr>
            <w:tcW w:w="778" w:type="pct"/>
            <w:gridSpan w:val="2"/>
            <w:tcBorders>
              <w:bottom w:val="single" w:sz="4" w:space="0" w:color="auto"/>
            </w:tcBorders>
            <w:shd w:val="clear" w:color="auto" w:fill="auto"/>
            <w:vAlign w:val="center"/>
          </w:tcPr>
          <w:p w:rsidR="00E66BA3" w:rsidRPr="00C41F2B" w:rsidRDefault="00E66BA3" w:rsidP="00E66BA3">
            <w:pPr>
              <w:pStyle w:val="TableText0"/>
              <w:jc w:val="center"/>
              <w:rPr>
                <w:rFonts w:asciiTheme="minorHAnsi" w:hAnsiTheme="minorHAnsi"/>
                <w:b/>
              </w:rPr>
            </w:pPr>
            <w:r w:rsidRPr="00C41F2B">
              <w:rPr>
                <w:b/>
              </w:rPr>
              <w:t>Absolute difference (%)</w:t>
            </w:r>
          </w:p>
        </w:tc>
        <w:tc>
          <w:tcPr>
            <w:tcW w:w="780" w:type="pct"/>
            <w:tcBorders>
              <w:bottom w:val="single" w:sz="4" w:space="0" w:color="auto"/>
            </w:tcBorders>
            <w:shd w:val="clear" w:color="auto" w:fill="auto"/>
            <w:vAlign w:val="center"/>
          </w:tcPr>
          <w:p w:rsidR="00E66BA3" w:rsidRPr="00C41F2B" w:rsidRDefault="00E66BA3" w:rsidP="00E66BA3">
            <w:pPr>
              <w:pStyle w:val="TableText0"/>
              <w:jc w:val="center"/>
              <w:rPr>
                <w:b/>
              </w:rPr>
            </w:pPr>
            <w:r w:rsidRPr="00C41F2B">
              <w:rPr>
                <w:b/>
              </w:rPr>
              <w:t>HR (95% CI)</w:t>
            </w:r>
          </w:p>
        </w:tc>
      </w:tr>
      <w:tr w:rsidR="00E66BA3" w:rsidRPr="00C41F2B" w:rsidTr="00A75EAB">
        <w:trPr>
          <w:tblHeader/>
        </w:trPr>
        <w:tc>
          <w:tcPr>
            <w:tcW w:w="547" w:type="pct"/>
            <w:vMerge w:val="restart"/>
            <w:shd w:val="clear" w:color="auto" w:fill="auto"/>
            <w:vAlign w:val="center"/>
          </w:tcPr>
          <w:p w:rsidR="00E66BA3" w:rsidRPr="00C41F2B" w:rsidRDefault="00E66BA3" w:rsidP="00E66BA3">
            <w:pPr>
              <w:pStyle w:val="TableText0"/>
              <w:rPr>
                <w:b/>
                <w:bCs w:val="0"/>
              </w:rPr>
            </w:pPr>
            <w:r w:rsidRPr="00C41F2B">
              <w:t>SOLO1</w:t>
            </w:r>
          </w:p>
          <w:p w:rsidR="00E66BA3" w:rsidRPr="00C41F2B" w:rsidRDefault="00E66BA3" w:rsidP="00E66BA3">
            <w:pPr>
              <w:pStyle w:val="TableText0"/>
              <w:rPr>
                <w:b/>
                <w:bCs w:val="0"/>
              </w:rPr>
            </w:pPr>
          </w:p>
        </w:tc>
        <w:tc>
          <w:tcPr>
            <w:tcW w:w="944" w:type="pct"/>
            <w:vMerge w:val="restart"/>
            <w:shd w:val="clear" w:color="auto" w:fill="auto"/>
            <w:vAlign w:val="center"/>
          </w:tcPr>
          <w:p w:rsidR="00E66BA3" w:rsidRPr="00C41F2B" w:rsidRDefault="00E66BA3" w:rsidP="00E66BA3">
            <w:pPr>
              <w:pStyle w:val="TableText0"/>
              <w:jc w:val="center"/>
              <w:rPr>
                <w:b/>
                <w:bCs w:val="0"/>
              </w:rPr>
            </w:pPr>
            <w:r w:rsidRPr="00C41F2B">
              <w:t>41 months</w:t>
            </w:r>
          </w:p>
        </w:tc>
        <w:tc>
          <w:tcPr>
            <w:tcW w:w="550" w:type="pct"/>
            <w:tcBorders>
              <w:bottom w:val="single" w:sz="4" w:space="0" w:color="auto"/>
            </w:tcBorders>
            <w:shd w:val="clear" w:color="auto" w:fill="auto"/>
            <w:vAlign w:val="center"/>
          </w:tcPr>
          <w:p w:rsidR="00E66BA3" w:rsidRPr="00C41F2B" w:rsidRDefault="00E66BA3" w:rsidP="00E66BA3">
            <w:pPr>
              <w:pStyle w:val="TableText0"/>
              <w:jc w:val="center"/>
              <w:rPr>
                <w:b/>
                <w:bCs w:val="0"/>
              </w:rPr>
            </w:pPr>
            <w:r w:rsidRPr="00C41F2B">
              <w:t>Progressed</w:t>
            </w:r>
          </w:p>
        </w:tc>
        <w:tc>
          <w:tcPr>
            <w:tcW w:w="624" w:type="pct"/>
            <w:gridSpan w:val="2"/>
            <w:tcBorders>
              <w:bottom w:val="single" w:sz="4" w:space="0" w:color="auto"/>
            </w:tcBorders>
            <w:shd w:val="clear" w:color="auto" w:fill="auto"/>
            <w:vAlign w:val="center"/>
          </w:tcPr>
          <w:p w:rsidR="00E66BA3" w:rsidRPr="00C41F2B" w:rsidRDefault="00E66BA3" w:rsidP="00E66BA3">
            <w:pPr>
              <w:pStyle w:val="TableText0"/>
              <w:jc w:val="center"/>
              <w:rPr>
                <w:b/>
                <w:bCs w:val="0"/>
              </w:rPr>
            </w:pPr>
            <w:r w:rsidRPr="00C41F2B">
              <w:t>102/260 (39.2)</w:t>
            </w:r>
          </w:p>
        </w:tc>
        <w:tc>
          <w:tcPr>
            <w:tcW w:w="777" w:type="pct"/>
            <w:gridSpan w:val="2"/>
            <w:tcBorders>
              <w:bottom w:val="single" w:sz="4" w:space="0" w:color="auto"/>
            </w:tcBorders>
            <w:shd w:val="clear" w:color="auto" w:fill="auto"/>
            <w:vAlign w:val="center"/>
          </w:tcPr>
          <w:p w:rsidR="00E66BA3" w:rsidRPr="00C41F2B" w:rsidRDefault="00E66BA3" w:rsidP="00E66BA3">
            <w:pPr>
              <w:pStyle w:val="TableText0"/>
              <w:jc w:val="center"/>
              <w:rPr>
                <w:b/>
                <w:bCs w:val="0"/>
              </w:rPr>
            </w:pPr>
            <w:r w:rsidRPr="00C41F2B">
              <w:t>96/131 (73.3)</w:t>
            </w:r>
          </w:p>
        </w:tc>
        <w:tc>
          <w:tcPr>
            <w:tcW w:w="778" w:type="pct"/>
            <w:gridSpan w:val="2"/>
            <w:tcBorders>
              <w:bottom w:val="single" w:sz="4" w:space="0" w:color="auto"/>
            </w:tcBorders>
            <w:shd w:val="clear" w:color="auto" w:fill="auto"/>
            <w:vAlign w:val="center"/>
          </w:tcPr>
          <w:p w:rsidR="00E66BA3" w:rsidRPr="00C41F2B" w:rsidRDefault="00E66BA3" w:rsidP="00E66BA3">
            <w:pPr>
              <w:pStyle w:val="TableText0"/>
              <w:jc w:val="center"/>
              <w:rPr>
                <w:b/>
                <w:bCs w:val="0"/>
              </w:rPr>
            </w:pPr>
            <w:r w:rsidRPr="00C41F2B">
              <w:t>24 months: 39</w:t>
            </w:r>
          </w:p>
        </w:tc>
        <w:tc>
          <w:tcPr>
            <w:tcW w:w="780" w:type="pct"/>
            <w:tcBorders>
              <w:bottom w:val="single" w:sz="4" w:space="0" w:color="auto"/>
            </w:tcBorders>
            <w:shd w:val="clear" w:color="auto" w:fill="auto"/>
            <w:vAlign w:val="center"/>
          </w:tcPr>
          <w:p w:rsidR="00E66BA3" w:rsidRPr="00C41F2B" w:rsidRDefault="00E66BA3" w:rsidP="00E66BA3">
            <w:pPr>
              <w:pStyle w:val="TableText0"/>
              <w:jc w:val="center"/>
              <w:rPr>
                <w:b/>
                <w:bCs w:val="0"/>
              </w:rPr>
            </w:pPr>
            <w:r w:rsidRPr="00C41F2B">
              <w:t>0.30 (0.23, 0.41)</w:t>
            </w:r>
          </w:p>
        </w:tc>
      </w:tr>
      <w:tr w:rsidR="00E66BA3" w:rsidRPr="00C41F2B" w:rsidTr="00E66BA3">
        <w:trPr>
          <w:tblHeader/>
        </w:trPr>
        <w:tc>
          <w:tcPr>
            <w:tcW w:w="547" w:type="pct"/>
            <w:vMerge/>
            <w:shd w:val="clear" w:color="auto" w:fill="auto"/>
            <w:vAlign w:val="center"/>
          </w:tcPr>
          <w:p w:rsidR="00E66BA3" w:rsidRPr="00C41F2B" w:rsidRDefault="00E66BA3" w:rsidP="00E66BA3">
            <w:pPr>
              <w:pStyle w:val="TableText0"/>
              <w:rPr>
                <w:b/>
                <w:bCs w:val="0"/>
              </w:rPr>
            </w:pPr>
          </w:p>
        </w:tc>
        <w:tc>
          <w:tcPr>
            <w:tcW w:w="944" w:type="pct"/>
            <w:vMerge/>
            <w:shd w:val="clear" w:color="auto" w:fill="auto"/>
            <w:vAlign w:val="center"/>
          </w:tcPr>
          <w:p w:rsidR="00E66BA3" w:rsidRPr="00C41F2B" w:rsidRDefault="00E66BA3" w:rsidP="00E66BA3">
            <w:pPr>
              <w:pStyle w:val="TableText0"/>
              <w:jc w:val="center"/>
              <w:rPr>
                <w:b/>
                <w:bCs w:val="0"/>
              </w:rPr>
            </w:pPr>
          </w:p>
        </w:tc>
        <w:tc>
          <w:tcPr>
            <w:tcW w:w="550" w:type="pct"/>
            <w:shd w:val="clear" w:color="auto" w:fill="auto"/>
            <w:vAlign w:val="center"/>
          </w:tcPr>
          <w:p w:rsidR="00E66BA3" w:rsidRPr="00C41F2B" w:rsidRDefault="00E66BA3" w:rsidP="00E66BA3">
            <w:pPr>
              <w:pStyle w:val="TableText0"/>
              <w:jc w:val="center"/>
              <w:rPr>
                <w:b/>
                <w:bCs w:val="0"/>
              </w:rPr>
            </w:pPr>
            <w:r w:rsidRPr="00C41F2B">
              <w:t>Dead</w:t>
            </w:r>
          </w:p>
        </w:tc>
        <w:tc>
          <w:tcPr>
            <w:tcW w:w="624" w:type="pct"/>
            <w:gridSpan w:val="2"/>
            <w:shd w:val="clear" w:color="auto" w:fill="auto"/>
            <w:vAlign w:val="center"/>
          </w:tcPr>
          <w:p w:rsidR="00E66BA3" w:rsidRPr="00C41F2B" w:rsidRDefault="00E66BA3" w:rsidP="00E66BA3">
            <w:pPr>
              <w:pStyle w:val="TableText0"/>
              <w:jc w:val="center"/>
              <w:rPr>
                <w:b/>
                <w:bCs w:val="0"/>
              </w:rPr>
            </w:pPr>
            <w:r w:rsidRPr="00C41F2B">
              <w:t>55/260 (21.2)</w:t>
            </w:r>
          </w:p>
        </w:tc>
        <w:tc>
          <w:tcPr>
            <w:tcW w:w="777" w:type="pct"/>
            <w:gridSpan w:val="2"/>
            <w:shd w:val="clear" w:color="auto" w:fill="auto"/>
            <w:vAlign w:val="center"/>
          </w:tcPr>
          <w:p w:rsidR="00E66BA3" w:rsidRPr="00C41F2B" w:rsidRDefault="00E66BA3" w:rsidP="00E66BA3">
            <w:pPr>
              <w:pStyle w:val="TableText0"/>
              <w:jc w:val="center"/>
              <w:rPr>
                <w:b/>
                <w:bCs w:val="0"/>
              </w:rPr>
            </w:pPr>
            <w:r w:rsidRPr="00C41F2B">
              <w:t>27/131 (20.6)</w:t>
            </w:r>
          </w:p>
        </w:tc>
        <w:tc>
          <w:tcPr>
            <w:tcW w:w="778" w:type="pct"/>
            <w:gridSpan w:val="2"/>
            <w:shd w:val="clear" w:color="auto" w:fill="auto"/>
            <w:vAlign w:val="center"/>
          </w:tcPr>
          <w:p w:rsidR="00E66BA3" w:rsidRPr="00C41F2B" w:rsidRDefault="00E66BA3" w:rsidP="00E66BA3">
            <w:pPr>
              <w:pStyle w:val="TableText0"/>
              <w:jc w:val="center"/>
              <w:rPr>
                <w:rFonts w:asciiTheme="minorHAnsi" w:hAnsiTheme="minorHAnsi"/>
                <w:b/>
                <w:bCs w:val="0"/>
              </w:rPr>
            </w:pPr>
            <w:r w:rsidRPr="00C41F2B">
              <w:t>-</w:t>
            </w:r>
          </w:p>
        </w:tc>
        <w:tc>
          <w:tcPr>
            <w:tcW w:w="780" w:type="pct"/>
            <w:shd w:val="clear" w:color="auto" w:fill="auto"/>
            <w:vAlign w:val="center"/>
          </w:tcPr>
          <w:p w:rsidR="00E66BA3" w:rsidRPr="00C41F2B" w:rsidRDefault="00E66BA3" w:rsidP="00E66BA3">
            <w:pPr>
              <w:pStyle w:val="TableText0"/>
              <w:jc w:val="center"/>
              <w:rPr>
                <w:b/>
                <w:bCs w:val="0"/>
              </w:rPr>
            </w:pPr>
            <w:r w:rsidRPr="00C41F2B">
              <w:t>0.95 (0.60, 1.53)</w:t>
            </w:r>
          </w:p>
        </w:tc>
      </w:tr>
      <w:tr w:rsidR="00E66BA3" w:rsidRPr="00C41F2B" w:rsidTr="00E66BA3">
        <w:trPr>
          <w:tblHeader/>
        </w:trPr>
        <w:tc>
          <w:tcPr>
            <w:tcW w:w="5000" w:type="pct"/>
            <w:gridSpan w:val="10"/>
            <w:tcBorders>
              <w:top w:val="double" w:sz="4" w:space="0" w:color="auto"/>
            </w:tcBorders>
            <w:shd w:val="clear" w:color="auto" w:fill="auto"/>
            <w:vAlign w:val="center"/>
          </w:tcPr>
          <w:p w:rsidR="00E66BA3" w:rsidRPr="00C41F2B" w:rsidRDefault="00E66BA3" w:rsidP="00E66BA3">
            <w:pPr>
              <w:pStyle w:val="TableText0"/>
              <w:rPr>
                <w:b/>
              </w:rPr>
            </w:pPr>
            <w:r w:rsidRPr="00C41F2B">
              <w:rPr>
                <w:b/>
              </w:rPr>
              <w:t>Harms</w:t>
            </w:r>
          </w:p>
        </w:tc>
      </w:tr>
      <w:tr w:rsidR="00E66BA3" w:rsidRPr="00C41F2B" w:rsidTr="00E66BA3">
        <w:trPr>
          <w:trHeight w:val="285"/>
          <w:tblHeader/>
        </w:trPr>
        <w:tc>
          <w:tcPr>
            <w:tcW w:w="547" w:type="pct"/>
            <w:vMerge w:val="restart"/>
            <w:shd w:val="clear" w:color="auto" w:fill="auto"/>
            <w:vAlign w:val="center"/>
          </w:tcPr>
          <w:p w:rsidR="00E66BA3" w:rsidRPr="00C41F2B" w:rsidRDefault="00E66BA3" w:rsidP="00E66BA3">
            <w:pPr>
              <w:pStyle w:val="TableText0"/>
              <w:rPr>
                <w:b/>
              </w:rPr>
            </w:pPr>
            <w:r w:rsidRPr="00C41F2B">
              <w:rPr>
                <w:b/>
              </w:rPr>
              <w:t>Trial</w:t>
            </w:r>
          </w:p>
        </w:tc>
        <w:tc>
          <w:tcPr>
            <w:tcW w:w="944" w:type="pct"/>
            <w:vMerge w:val="restart"/>
            <w:shd w:val="clear" w:color="auto" w:fill="auto"/>
            <w:vAlign w:val="center"/>
          </w:tcPr>
          <w:p w:rsidR="00E66BA3" w:rsidRPr="00C41F2B" w:rsidRDefault="00E66BA3" w:rsidP="00E66BA3">
            <w:pPr>
              <w:pStyle w:val="TableText0"/>
              <w:jc w:val="center"/>
              <w:rPr>
                <w:b/>
              </w:rPr>
            </w:pPr>
            <w:r w:rsidRPr="00C41F2B">
              <w:rPr>
                <w:b/>
              </w:rPr>
              <w:t xml:space="preserve">Average duration of </w:t>
            </w:r>
            <w:proofErr w:type="spellStart"/>
            <w:r w:rsidRPr="00C41F2B">
              <w:rPr>
                <w:b/>
              </w:rPr>
              <w:t>treatment</w:t>
            </w:r>
            <w:r w:rsidRPr="00C41F2B">
              <w:rPr>
                <w:b/>
                <w:vertAlign w:val="superscript"/>
              </w:rPr>
              <w:t>b</w:t>
            </w:r>
            <w:proofErr w:type="spellEnd"/>
          </w:p>
        </w:tc>
        <w:tc>
          <w:tcPr>
            <w:tcW w:w="943" w:type="pct"/>
            <w:gridSpan w:val="2"/>
            <w:vMerge w:val="restart"/>
            <w:shd w:val="clear" w:color="auto" w:fill="auto"/>
            <w:vAlign w:val="center"/>
          </w:tcPr>
          <w:p w:rsidR="00E66BA3" w:rsidRPr="00C41F2B" w:rsidRDefault="00E66BA3" w:rsidP="00E66BA3">
            <w:pPr>
              <w:pStyle w:val="TableText0"/>
              <w:jc w:val="center"/>
              <w:rPr>
                <w:b/>
              </w:rPr>
            </w:pPr>
            <w:r w:rsidRPr="00C41F2B">
              <w:rPr>
                <w:b/>
              </w:rPr>
              <w:t>Olaparib n/N (%)</w:t>
            </w:r>
          </w:p>
        </w:tc>
        <w:tc>
          <w:tcPr>
            <w:tcW w:w="786" w:type="pct"/>
            <w:gridSpan w:val="2"/>
            <w:vMerge w:val="restart"/>
            <w:shd w:val="clear" w:color="auto" w:fill="auto"/>
            <w:vAlign w:val="center"/>
          </w:tcPr>
          <w:p w:rsidR="00E66BA3" w:rsidRPr="00C41F2B" w:rsidRDefault="00E66BA3" w:rsidP="00E66BA3">
            <w:pPr>
              <w:pStyle w:val="TableText0"/>
              <w:jc w:val="center"/>
              <w:rPr>
                <w:b/>
              </w:rPr>
            </w:pPr>
            <w:r w:rsidRPr="00C41F2B">
              <w:rPr>
                <w:b/>
              </w:rPr>
              <w:t>PBO n/N (%)</w:t>
            </w:r>
          </w:p>
        </w:tc>
        <w:tc>
          <w:tcPr>
            <w:tcW w:w="817" w:type="pct"/>
            <w:gridSpan w:val="2"/>
            <w:vMerge w:val="restart"/>
            <w:shd w:val="clear" w:color="auto" w:fill="auto"/>
            <w:vAlign w:val="center"/>
          </w:tcPr>
          <w:p w:rsidR="00E66BA3" w:rsidRPr="00C41F2B" w:rsidRDefault="00E66BA3" w:rsidP="00E66BA3">
            <w:pPr>
              <w:pStyle w:val="TableText0"/>
              <w:jc w:val="center"/>
              <w:rPr>
                <w:b/>
              </w:rPr>
            </w:pPr>
            <w:proofErr w:type="spellStart"/>
            <w:r w:rsidRPr="00C41F2B">
              <w:rPr>
                <w:b/>
              </w:rPr>
              <w:t>RR</w:t>
            </w:r>
            <w:r w:rsidRPr="00C41F2B">
              <w:rPr>
                <w:b/>
                <w:vertAlign w:val="superscript"/>
              </w:rPr>
              <w:t>a</w:t>
            </w:r>
            <w:proofErr w:type="spellEnd"/>
            <w:r w:rsidRPr="00C41F2B">
              <w:rPr>
                <w:b/>
              </w:rPr>
              <w:t xml:space="preserve"> (95% CI)</w:t>
            </w:r>
          </w:p>
        </w:tc>
        <w:tc>
          <w:tcPr>
            <w:tcW w:w="963" w:type="pct"/>
            <w:gridSpan w:val="2"/>
            <w:vMerge w:val="restart"/>
            <w:shd w:val="clear" w:color="auto" w:fill="auto"/>
            <w:vAlign w:val="center"/>
          </w:tcPr>
          <w:p w:rsidR="00E66BA3" w:rsidRPr="00C41F2B" w:rsidRDefault="00E66BA3" w:rsidP="00E66BA3">
            <w:pPr>
              <w:pStyle w:val="TableText0"/>
              <w:jc w:val="center"/>
              <w:rPr>
                <w:b/>
              </w:rPr>
            </w:pPr>
            <w:proofErr w:type="spellStart"/>
            <w:r w:rsidRPr="00C41F2B">
              <w:rPr>
                <w:b/>
              </w:rPr>
              <w:t>RD</w:t>
            </w:r>
            <w:r w:rsidRPr="00C41F2B">
              <w:rPr>
                <w:b/>
                <w:vertAlign w:val="superscript"/>
              </w:rPr>
              <w:t>a</w:t>
            </w:r>
            <w:proofErr w:type="spellEnd"/>
            <w:r w:rsidRPr="00C41F2B">
              <w:rPr>
                <w:b/>
              </w:rPr>
              <w:t xml:space="preserve"> (95% CI)</w:t>
            </w:r>
          </w:p>
        </w:tc>
      </w:tr>
      <w:tr w:rsidR="00E66BA3" w:rsidRPr="00C41F2B" w:rsidTr="00E66BA3">
        <w:trPr>
          <w:trHeight w:val="390"/>
          <w:tblHeader/>
        </w:trPr>
        <w:tc>
          <w:tcPr>
            <w:tcW w:w="547" w:type="pct"/>
            <w:vMerge/>
            <w:shd w:val="clear" w:color="auto" w:fill="auto"/>
            <w:vAlign w:val="center"/>
          </w:tcPr>
          <w:p w:rsidR="00E66BA3" w:rsidRPr="00C41F2B" w:rsidRDefault="00E66BA3" w:rsidP="00E66BA3">
            <w:pPr>
              <w:pStyle w:val="TableText0"/>
            </w:pPr>
          </w:p>
        </w:tc>
        <w:tc>
          <w:tcPr>
            <w:tcW w:w="944" w:type="pct"/>
            <w:vMerge/>
            <w:shd w:val="clear" w:color="auto" w:fill="auto"/>
            <w:vAlign w:val="center"/>
          </w:tcPr>
          <w:p w:rsidR="00E66BA3" w:rsidRPr="00C41F2B" w:rsidRDefault="00E66BA3" w:rsidP="00E66BA3">
            <w:pPr>
              <w:pStyle w:val="TableText0"/>
            </w:pPr>
          </w:p>
        </w:tc>
        <w:tc>
          <w:tcPr>
            <w:tcW w:w="943" w:type="pct"/>
            <w:gridSpan w:val="2"/>
            <w:vMerge/>
            <w:shd w:val="clear" w:color="auto" w:fill="auto"/>
            <w:vAlign w:val="center"/>
          </w:tcPr>
          <w:p w:rsidR="00E66BA3" w:rsidRPr="00C41F2B" w:rsidRDefault="00E66BA3" w:rsidP="00E66BA3">
            <w:pPr>
              <w:pStyle w:val="TableText0"/>
            </w:pPr>
          </w:p>
        </w:tc>
        <w:tc>
          <w:tcPr>
            <w:tcW w:w="786" w:type="pct"/>
            <w:gridSpan w:val="2"/>
            <w:vMerge/>
            <w:shd w:val="clear" w:color="auto" w:fill="auto"/>
            <w:vAlign w:val="center"/>
          </w:tcPr>
          <w:p w:rsidR="00E66BA3" w:rsidRPr="00C41F2B" w:rsidRDefault="00E66BA3" w:rsidP="00E66BA3">
            <w:pPr>
              <w:pStyle w:val="TableText0"/>
            </w:pPr>
          </w:p>
        </w:tc>
        <w:tc>
          <w:tcPr>
            <w:tcW w:w="817" w:type="pct"/>
            <w:gridSpan w:val="2"/>
            <w:vMerge/>
            <w:shd w:val="clear" w:color="auto" w:fill="auto"/>
            <w:vAlign w:val="center"/>
          </w:tcPr>
          <w:p w:rsidR="00E66BA3" w:rsidRPr="00C41F2B" w:rsidRDefault="00E66BA3" w:rsidP="00E66BA3">
            <w:pPr>
              <w:pStyle w:val="TableText0"/>
            </w:pPr>
          </w:p>
        </w:tc>
        <w:tc>
          <w:tcPr>
            <w:tcW w:w="963" w:type="pct"/>
            <w:gridSpan w:val="2"/>
            <w:vMerge/>
            <w:shd w:val="clear" w:color="auto" w:fill="auto"/>
            <w:vAlign w:val="center"/>
          </w:tcPr>
          <w:p w:rsidR="00E66BA3" w:rsidRPr="00C41F2B" w:rsidRDefault="00E66BA3" w:rsidP="00E66BA3">
            <w:pPr>
              <w:pStyle w:val="TableText0"/>
            </w:pPr>
          </w:p>
        </w:tc>
      </w:tr>
      <w:tr w:rsidR="00E66BA3" w:rsidRPr="00C41F2B" w:rsidTr="00E66BA3">
        <w:trPr>
          <w:tblHeader/>
        </w:trPr>
        <w:tc>
          <w:tcPr>
            <w:tcW w:w="5000" w:type="pct"/>
            <w:gridSpan w:val="10"/>
            <w:shd w:val="clear" w:color="auto" w:fill="auto"/>
            <w:vAlign w:val="center"/>
          </w:tcPr>
          <w:p w:rsidR="00E66BA3" w:rsidRPr="00C41F2B" w:rsidRDefault="00E66BA3" w:rsidP="00E66BA3">
            <w:pPr>
              <w:pStyle w:val="TableText0"/>
            </w:pPr>
            <w:r w:rsidRPr="00C41F2B">
              <w:t>Anaemia: CTCAE Grade 3 or greater</w:t>
            </w:r>
          </w:p>
        </w:tc>
      </w:tr>
      <w:tr w:rsidR="00E66BA3" w:rsidRPr="00C41F2B" w:rsidTr="00E66BA3">
        <w:trPr>
          <w:tblHeader/>
        </w:trPr>
        <w:tc>
          <w:tcPr>
            <w:tcW w:w="547" w:type="pct"/>
            <w:shd w:val="clear" w:color="auto" w:fill="auto"/>
            <w:vAlign w:val="center"/>
          </w:tcPr>
          <w:p w:rsidR="00E66BA3" w:rsidRPr="00C41F2B" w:rsidRDefault="00E66BA3" w:rsidP="00E66BA3">
            <w:pPr>
              <w:pStyle w:val="TableText0"/>
              <w:rPr>
                <w:b/>
                <w:bCs w:val="0"/>
              </w:rPr>
            </w:pPr>
            <w:r w:rsidRPr="00C41F2B">
              <w:t>SOLO1</w:t>
            </w:r>
          </w:p>
          <w:p w:rsidR="00E66BA3" w:rsidRPr="00C41F2B" w:rsidRDefault="00E66BA3" w:rsidP="00E66BA3">
            <w:pPr>
              <w:pStyle w:val="TableText0"/>
              <w:rPr>
                <w:b/>
                <w:bCs w:val="0"/>
              </w:rPr>
            </w:pPr>
          </w:p>
        </w:tc>
        <w:tc>
          <w:tcPr>
            <w:tcW w:w="944" w:type="pct"/>
            <w:shd w:val="clear" w:color="auto" w:fill="auto"/>
            <w:vAlign w:val="center"/>
          </w:tcPr>
          <w:p w:rsidR="00E66BA3" w:rsidRPr="00C41F2B" w:rsidRDefault="00E66BA3" w:rsidP="00E66BA3">
            <w:pPr>
              <w:pStyle w:val="TableText0"/>
              <w:jc w:val="center"/>
              <w:rPr>
                <w:b/>
                <w:bCs w:val="0"/>
              </w:rPr>
            </w:pPr>
            <w:r w:rsidRPr="00C41F2B">
              <w:t>Olaparib: 87 weeks</w:t>
            </w:r>
          </w:p>
          <w:p w:rsidR="00E66BA3" w:rsidRPr="00C41F2B" w:rsidRDefault="00E66BA3" w:rsidP="00E66BA3">
            <w:pPr>
              <w:pStyle w:val="TableText0"/>
              <w:jc w:val="center"/>
              <w:rPr>
                <w:b/>
                <w:bCs w:val="0"/>
              </w:rPr>
            </w:pPr>
            <w:r w:rsidRPr="00C41F2B">
              <w:t>Placebo: 65.3 weeks</w:t>
            </w:r>
          </w:p>
        </w:tc>
        <w:tc>
          <w:tcPr>
            <w:tcW w:w="943" w:type="pct"/>
            <w:gridSpan w:val="2"/>
            <w:shd w:val="clear" w:color="auto" w:fill="auto"/>
            <w:vAlign w:val="center"/>
          </w:tcPr>
          <w:p w:rsidR="00E66BA3" w:rsidRPr="00C41F2B" w:rsidRDefault="00E66BA3" w:rsidP="00E66BA3">
            <w:pPr>
              <w:pStyle w:val="TableText0"/>
              <w:jc w:val="center"/>
              <w:rPr>
                <w:b/>
                <w:bCs w:val="0"/>
              </w:rPr>
            </w:pPr>
            <w:r w:rsidRPr="00C41F2B">
              <w:t>55/260 (21.2)</w:t>
            </w:r>
          </w:p>
        </w:tc>
        <w:tc>
          <w:tcPr>
            <w:tcW w:w="786" w:type="pct"/>
            <w:gridSpan w:val="2"/>
            <w:shd w:val="clear" w:color="auto" w:fill="auto"/>
            <w:vAlign w:val="center"/>
          </w:tcPr>
          <w:p w:rsidR="00E66BA3" w:rsidRPr="00C41F2B" w:rsidRDefault="00E66BA3" w:rsidP="00E66BA3">
            <w:pPr>
              <w:pStyle w:val="TableText0"/>
              <w:jc w:val="center"/>
              <w:rPr>
                <w:b/>
                <w:bCs w:val="0"/>
              </w:rPr>
            </w:pPr>
            <w:r w:rsidRPr="00C41F2B">
              <w:t>2/130 (1.5)</w:t>
            </w:r>
          </w:p>
        </w:tc>
        <w:tc>
          <w:tcPr>
            <w:tcW w:w="817" w:type="pct"/>
            <w:gridSpan w:val="2"/>
            <w:shd w:val="clear" w:color="auto" w:fill="auto"/>
            <w:vAlign w:val="center"/>
          </w:tcPr>
          <w:p w:rsidR="00E66BA3" w:rsidRPr="00C41F2B" w:rsidRDefault="00E66BA3" w:rsidP="00E66BA3">
            <w:pPr>
              <w:pStyle w:val="TableText0"/>
              <w:jc w:val="center"/>
              <w:rPr>
                <w:b/>
                <w:bCs w:val="0"/>
              </w:rPr>
            </w:pPr>
            <w:r w:rsidRPr="00C41F2B">
              <w:t>13.8 (3.4, 55.5)</w:t>
            </w:r>
          </w:p>
        </w:tc>
        <w:tc>
          <w:tcPr>
            <w:tcW w:w="963" w:type="pct"/>
            <w:gridSpan w:val="2"/>
            <w:shd w:val="clear" w:color="auto" w:fill="auto"/>
            <w:vAlign w:val="center"/>
          </w:tcPr>
          <w:p w:rsidR="00E66BA3" w:rsidRPr="00C41F2B" w:rsidRDefault="00E66BA3" w:rsidP="00E66BA3">
            <w:pPr>
              <w:pStyle w:val="TableText0"/>
              <w:jc w:val="center"/>
              <w:rPr>
                <w:b/>
                <w:bCs w:val="0"/>
              </w:rPr>
            </w:pPr>
            <w:r w:rsidRPr="00C41F2B">
              <w:t>19.6 (14.2, 25.0)</w:t>
            </w:r>
          </w:p>
        </w:tc>
      </w:tr>
      <w:tr w:rsidR="00E66BA3" w:rsidRPr="00C41F2B" w:rsidTr="00E66BA3">
        <w:trPr>
          <w:tblHeader/>
        </w:trPr>
        <w:tc>
          <w:tcPr>
            <w:tcW w:w="5000" w:type="pct"/>
            <w:gridSpan w:val="10"/>
            <w:shd w:val="clear" w:color="auto" w:fill="auto"/>
            <w:vAlign w:val="center"/>
          </w:tcPr>
          <w:p w:rsidR="00E66BA3" w:rsidRPr="00C41F2B" w:rsidRDefault="00E66BA3" w:rsidP="00E66BA3">
            <w:pPr>
              <w:pStyle w:val="TableText0"/>
            </w:pPr>
            <w:r w:rsidRPr="00C41F2B">
              <w:rPr>
                <w:color w:val="000000" w:themeColor="text1"/>
              </w:rPr>
              <w:t>Gastrointestinal disorders (SOC): CTCAE Grade 3 or greater</w:t>
            </w:r>
          </w:p>
        </w:tc>
      </w:tr>
      <w:tr w:rsidR="00E66BA3" w:rsidRPr="00C41F2B" w:rsidTr="00E66BA3">
        <w:trPr>
          <w:tblHeader/>
        </w:trPr>
        <w:tc>
          <w:tcPr>
            <w:tcW w:w="547" w:type="pct"/>
            <w:shd w:val="clear" w:color="auto" w:fill="auto"/>
            <w:vAlign w:val="center"/>
          </w:tcPr>
          <w:p w:rsidR="00E66BA3" w:rsidRPr="00C41F2B" w:rsidRDefault="00E66BA3" w:rsidP="00E66BA3">
            <w:pPr>
              <w:pStyle w:val="TableText0"/>
              <w:rPr>
                <w:b/>
                <w:bCs w:val="0"/>
              </w:rPr>
            </w:pPr>
            <w:r w:rsidRPr="00C41F2B">
              <w:t>SOLO1</w:t>
            </w:r>
          </w:p>
          <w:p w:rsidR="00E66BA3" w:rsidRPr="00C41F2B" w:rsidRDefault="00E66BA3" w:rsidP="00E66BA3">
            <w:pPr>
              <w:pStyle w:val="TableText0"/>
              <w:rPr>
                <w:b/>
                <w:bCs w:val="0"/>
              </w:rPr>
            </w:pPr>
          </w:p>
        </w:tc>
        <w:tc>
          <w:tcPr>
            <w:tcW w:w="944" w:type="pct"/>
            <w:shd w:val="clear" w:color="auto" w:fill="auto"/>
            <w:vAlign w:val="center"/>
          </w:tcPr>
          <w:p w:rsidR="00E66BA3" w:rsidRPr="00C41F2B" w:rsidRDefault="00E66BA3" w:rsidP="00E66BA3">
            <w:pPr>
              <w:pStyle w:val="TableText0"/>
              <w:jc w:val="center"/>
              <w:rPr>
                <w:b/>
                <w:bCs w:val="0"/>
              </w:rPr>
            </w:pPr>
            <w:r w:rsidRPr="00C41F2B">
              <w:t>Olaparib: 87 weeks</w:t>
            </w:r>
          </w:p>
          <w:p w:rsidR="00E66BA3" w:rsidRPr="00C41F2B" w:rsidRDefault="00E66BA3" w:rsidP="00E66BA3">
            <w:pPr>
              <w:pStyle w:val="TableText0"/>
              <w:jc w:val="center"/>
              <w:rPr>
                <w:b/>
                <w:bCs w:val="0"/>
              </w:rPr>
            </w:pPr>
            <w:r w:rsidRPr="00C41F2B">
              <w:t>Placebo: 65.3 weeks</w:t>
            </w:r>
          </w:p>
        </w:tc>
        <w:tc>
          <w:tcPr>
            <w:tcW w:w="943" w:type="pct"/>
            <w:gridSpan w:val="2"/>
            <w:shd w:val="clear" w:color="auto" w:fill="auto"/>
            <w:vAlign w:val="center"/>
          </w:tcPr>
          <w:p w:rsidR="00E66BA3" w:rsidRPr="00C41F2B" w:rsidRDefault="00E66BA3" w:rsidP="00E66BA3">
            <w:pPr>
              <w:pStyle w:val="TableText0"/>
              <w:jc w:val="center"/>
              <w:rPr>
                <w:b/>
                <w:bCs w:val="0"/>
              </w:rPr>
            </w:pPr>
            <w:r w:rsidRPr="00C41F2B">
              <w:t>17/260 (6.5)</w:t>
            </w:r>
          </w:p>
        </w:tc>
        <w:tc>
          <w:tcPr>
            <w:tcW w:w="786" w:type="pct"/>
            <w:gridSpan w:val="2"/>
            <w:shd w:val="clear" w:color="auto" w:fill="auto"/>
            <w:vAlign w:val="center"/>
          </w:tcPr>
          <w:p w:rsidR="00E66BA3" w:rsidRPr="00C41F2B" w:rsidRDefault="00E66BA3" w:rsidP="00E66BA3">
            <w:pPr>
              <w:pStyle w:val="TableText0"/>
              <w:jc w:val="center"/>
              <w:rPr>
                <w:b/>
                <w:bCs w:val="0"/>
              </w:rPr>
            </w:pPr>
            <w:r w:rsidRPr="00C41F2B">
              <w:t>3/130 (2.3)</w:t>
            </w:r>
          </w:p>
        </w:tc>
        <w:tc>
          <w:tcPr>
            <w:tcW w:w="817" w:type="pct"/>
            <w:gridSpan w:val="2"/>
            <w:shd w:val="clear" w:color="auto" w:fill="auto"/>
            <w:vAlign w:val="center"/>
          </w:tcPr>
          <w:p w:rsidR="00E66BA3" w:rsidRPr="00C41F2B" w:rsidRDefault="00E66BA3" w:rsidP="00E66BA3">
            <w:pPr>
              <w:pStyle w:val="TableText0"/>
              <w:jc w:val="center"/>
              <w:rPr>
                <w:b/>
                <w:bCs w:val="0"/>
              </w:rPr>
            </w:pPr>
            <w:r w:rsidRPr="00C41F2B">
              <w:t>2.8 (0.85, 9.49)</w:t>
            </w:r>
          </w:p>
        </w:tc>
        <w:tc>
          <w:tcPr>
            <w:tcW w:w="963" w:type="pct"/>
            <w:gridSpan w:val="2"/>
            <w:shd w:val="clear" w:color="auto" w:fill="auto"/>
            <w:vAlign w:val="center"/>
          </w:tcPr>
          <w:p w:rsidR="00E66BA3" w:rsidRPr="00C41F2B" w:rsidRDefault="00E66BA3" w:rsidP="00E66BA3">
            <w:pPr>
              <w:pStyle w:val="TableText0"/>
              <w:jc w:val="center"/>
              <w:rPr>
                <w:b/>
                <w:bCs w:val="0"/>
              </w:rPr>
            </w:pPr>
            <w:r w:rsidRPr="00C41F2B">
              <w:t>4.2 (0.27, 8.19)</w:t>
            </w:r>
          </w:p>
        </w:tc>
      </w:tr>
    </w:tbl>
    <w:p w:rsidR="00E66BA3" w:rsidRPr="00C41F2B" w:rsidRDefault="00E66BA3" w:rsidP="00E66BA3">
      <w:pPr>
        <w:pStyle w:val="TableFigureFooter"/>
      </w:pPr>
      <w:r w:rsidRPr="00C41F2B">
        <w:t>Source: Compiled during the evaluation from Table 2-14, p100, Section 2.2.D.6.1.2.1, pp107-108 and Table 2-23, pp127-128 of the submission.</w:t>
      </w:r>
    </w:p>
    <w:p w:rsidR="00E66BA3" w:rsidRPr="00C41F2B" w:rsidRDefault="00E66BA3" w:rsidP="00E66BA3">
      <w:pPr>
        <w:pStyle w:val="TableFigureFooter"/>
        <w:rPr>
          <w:vertAlign w:val="superscript"/>
        </w:rPr>
      </w:pPr>
      <w:r w:rsidRPr="00C41F2B">
        <w:t>HR = hazard ratio; PBO = placebo; RD = risk difference; RR = risk ratio; NR = Not Reported; SOC = system organ class</w:t>
      </w:r>
      <w:r w:rsidRPr="00C41F2B">
        <w:rPr>
          <w:vertAlign w:val="superscript"/>
        </w:rPr>
        <w:t xml:space="preserve"> </w:t>
      </w:r>
    </w:p>
    <w:p w:rsidR="00E66BA3" w:rsidRPr="00C41F2B" w:rsidRDefault="00E66BA3" w:rsidP="00E66BA3">
      <w:pPr>
        <w:pStyle w:val="TableFigureFooter"/>
      </w:pPr>
      <w:proofErr w:type="gramStart"/>
      <w:r w:rsidRPr="00C41F2B">
        <w:rPr>
          <w:vertAlign w:val="superscript"/>
        </w:rPr>
        <w:t>a</w:t>
      </w:r>
      <w:proofErr w:type="gramEnd"/>
      <w:r w:rsidRPr="00C41F2B">
        <w:rPr>
          <w:vertAlign w:val="superscript"/>
        </w:rPr>
        <w:t xml:space="preserve"> </w:t>
      </w:r>
      <w:r w:rsidRPr="00C41F2B">
        <w:t>RR, RD and confidence intervals calculated during the evaluation.</w:t>
      </w:r>
    </w:p>
    <w:p w:rsidR="00E66BA3" w:rsidRPr="00C41F2B" w:rsidRDefault="00E66BA3" w:rsidP="00E66BA3">
      <w:pPr>
        <w:pStyle w:val="TableFigureFooter"/>
      </w:pPr>
      <w:proofErr w:type="spellStart"/>
      <w:proofErr w:type="gramStart"/>
      <w:r w:rsidRPr="00C41F2B">
        <w:rPr>
          <w:vertAlign w:val="superscript"/>
        </w:rPr>
        <w:t>b</w:t>
      </w:r>
      <w:r w:rsidRPr="00C41F2B">
        <w:t>Total</w:t>
      </w:r>
      <w:proofErr w:type="spellEnd"/>
      <w:proofErr w:type="gramEnd"/>
      <w:r w:rsidRPr="00C41F2B">
        <w:t xml:space="preserve"> treatment duration (includes dose interruptions).</w:t>
      </w:r>
    </w:p>
    <w:p w:rsidR="00E66BA3" w:rsidRPr="00C41F2B" w:rsidRDefault="00E66BA3" w:rsidP="00E66BA3">
      <w:pPr>
        <w:pStyle w:val="TableFigureFooter"/>
      </w:pPr>
      <w:r w:rsidRPr="00C41F2B">
        <w:t>.</w:t>
      </w:r>
    </w:p>
    <w:p w:rsidR="00E66BA3" w:rsidRPr="00C41F2B" w:rsidRDefault="00E66BA3" w:rsidP="00E66BA3">
      <w:pPr>
        <w:pStyle w:val="3-BodyText"/>
        <w:rPr>
          <w:snapToGrid/>
        </w:rPr>
      </w:pPr>
      <w:r w:rsidRPr="00C41F2B">
        <w:rPr>
          <w:snapToGrid/>
        </w:rPr>
        <w:t>On the basis of direct evidence presented by the submission, for every 100 patients treated with olaparib in comparison with placebo:</w:t>
      </w:r>
    </w:p>
    <w:p w:rsidR="00E66BA3" w:rsidRPr="00C41F2B" w:rsidRDefault="00E66BA3" w:rsidP="00717606">
      <w:pPr>
        <w:pStyle w:val="3-BodyText"/>
        <w:numPr>
          <w:ilvl w:val="0"/>
          <w:numId w:val="8"/>
        </w:numPr>
        <w:ind w:left="1134"/>
      </w:pPr>
      <w:r w:rsidRPr="00C41F2B">
        <w:t xml:space="preserve">Approximately 39 more patients would remain progression-free at 24 months, however, there would be no difference in overall survival. </w:t>
      </w:r>
    </w:p>
    <w:p w:rsidR="00E66BA3" w:rsidRPr="00C41F2B" w:rsidRDefault="00E66BA3" w:rsidP="00E66BA3">
      <w:pPr>
        <w:pStyle w:val="3-BodyText"/>
        <w:rPr>
          <w:snapToGrid/>
        </w:rPr>
      </w:pPr>
      <w:r w:rsidRPr="00C41F2B">
        <w:rPr>
          <w:snapToGrid/>
        </w:rPr>
        <w:t>For every 100 patients treated with olaparib for 87 weeks in comparison to placebo for 65.3 weeks and followed until 30 days after treatment discontinuation:</w:t>
      </w:r>
    </w:p>
    <w:p w:rsidR="00E66BA3" w:rsidRPr="00C41F2B" w:rsidRDefault="00E66BA3" w:rsidP="00717606">
      <w:pPr>
        <w:pStyle w:val="3-BodyText"/>
        <w:numPr>
          <w:ilvl w:val="0"/>
          <w:numId w:val="8"/>
        </w:numPr>
        <w:ind w:left="1134"/>
      </w:pPr>
      <w:r w:rsidRPr="00C41F2B">
        <w:t>Approximately 20 additional patients would experience Grade 3 or greater anaemia; and</w:t>
      </w:r>
    </w:p>
    <w:p w:rsidR="00E66BA3" w:rsidRPr="00C41F2B" w:rsidRDefault="00E66BA3" w:rsidP="00717606">
      <w:pPr>
        <w:pStyle w:val="3-BodyText"/>
        <w:numPr>
          <w:ilvl w:val="0"/>
          <w:numId w:val="8"/>
        </w:numPr>
        <w:ind w:left="1134"/>
      </w:pPr>
      <w:r w:rsidRPr="00C41F2B">
        <w:t xml:space="preserve">Approximately 4 additional patients would experience Grade 3 or greater gastrointestinal disorders (diarrhoea, abdominal pain, nausea). </w:t>
      </w:r>
    </w:p>
    <w:p w:rsidR="00E66BA3" w:rsidRPr="00C41F2B" w:rsidRDefault="00E66BA3" w:rsidP="00E66BA3">
      <w:pPr>
        <w:pStyle w:val="4-SubsectionHeading"/>
      </w:pPr>
      <w:bookmarkStart w:id="32" w:name="_Toc22897644"/>
      <w:bookmarkStart w:id="33" w:name="_Toc38262921"/>
      <w:bookmarkStart w:id="34" w:name="_Toc38305874"/>
      <w:r w:rsidRPr="00C41F2B">
        <w:t>Clinical claim</w:t>
      </w:r>
      <w:bookmarkEnd w:id="32"/>
      <w:bookmarkEnd w:id="33"/>
      <w:bookmarkEnd w:id="34"/>
    </w:p>
    <w:p w:rsidR="00E66BA3" w:rsidRPr="00C41F2B" w:rsidRDefault="00E66BA3" w:rsidP="00806705">
      <w:pPr>
        <w:pStyle w:val="3-BodyText"/>
      </w:pPr>
      <w:r w:rsidRPr="00C41F2B">
        <w:t xml:space="preserve">The clinical claim presented in the resubmission was that olaparib maintenance treatment following a response to platinum-based chemotherapy in a patient who tests positive for a BRCAm (germline or somatic) is superior in terms of efficacy, and non-inferior in terms of quality of life with a manageable safety and tolerability profile </w:t>
      </w:r>
      <w:r w:rsidRPr="00C41F2B">
        <w:lastRenderedPageBreak/>
        <w:t>compared to placebo. The clinical claim in terms of quality of life was an addition compared with the previous submission.</w:t>
      </w:r>
    </w:p>
    <w:p w:rsidR="00E66BA3" w:rsidRPr="00C41F2B" w:rsidRDefault="00E66BA3" w:rsidP="00E66BA3">
      <w:pPr>
        <w:pStyle w:val="3-BodyText"/>
      </w:pPr>
      <w:r w:rsidRPr="00C41F2B">
        <w:t>The PBAC</w:t>
      </w:r>
      <w:r w:rsidR="007A79E9" w:rsidRPr="00C41F2B">
        <w:t xml:space="preserve"> </w:t>
      </w:r>
      <w:r w:rsidR="00892271" w:rsidRPr="00C41F2B">
        <w:t>reaffirmed its view</w:t>
      </w:r>
      <w:r w:rsidRPr="00C41F2B">
        <w:t xml:space="preserve"> that in patients with BRCAm, the claim of superior comparative effectiveness for olaparib maintenance compared with placebo followed by </w:t>
      </w:r>
      <w:r w:rsidR="004F687F" w:rsidRPr="00C41F2B">
        <w:t>2L</w:t>
      </w:r>
      <w:r w:rsidRPr="00C41F2B">
        <w:t xml:space="preserve"> platinum-based chemotherapy with olaparib maintenance treatment was reasonable for PFS, but was not adequately supported </w:t>
      </w:r>
      <w:r w:rsidR="00357AE0" w:rsidRPr="00C41F2B">
        <w:t>for OS</w:t>
      </w:r>
      <w:r w:rsidRPr="00C41F2B">
        <w:t xml:space="preserve">. </w:t>
      </w:r>
    </w:p>
    <w:p w:rsidR="00E66BA3" w:rsidRPr="00C41F2B" w:rsidRDefault="00E66BA3" w:rsidP="00E66BA3">
      <w:pPr>
        <w:pStyle w:val="3-BodyText"/>
      </w:pPr>
      <w:r w:rsidRPr="00C41F2B">
        <w:t xml:space="preserve">The PBAC </w:t>
      </w:r>
      <w:r w:rsidR="00892271" w:rsidRPr="00C41F2B">
        <w:t xml:space="preserve">reaffirmed its view </w:t>
      </w:r>
      <w:r w:rsidRPr="00C41F2B">
        <w:t>that the claim of inferior comparative safety was reasonable.</w:t>
      </w:r>
    </w:p>
    <w:p w:rsidR="00454D2E" w:rsidRPr="00C41F2B" w:rsidRDefault="00000900" w:rsidP="005E60AE">
      <w:pPr>
        <w:pStyle w:val="3-BodyText"/>
        <w:rPr>
          <w:rFonts w:eastAsia="Calibri"/>
        </w:rPr>
      </w:pPr>
      <w:r w:rsidRPr="00C41F2B">
        <w:t>The ESC</w:t>
      </w:r>
      <w:r w:rsidR="00892271" w:rsidRPr="00C41F2B">
        <w:t xml:space="preserve"> and PBAC</w:t>
      </w:r>
      <w:r w:rsidRPr="00C41F2B">
        <w:t xml:space="preserve"> considered t</w:t>
      </w:r>
      <w:r w:rsidR="00E66BA3" w:rsidRPr="00C41F2B">
        <w:t xml:space="preserve">he claimed non-inferior quality of life </w:t>
      </w:r>
      <w:r w:rsidR="007D0DA6" w:rsidRPr="00C41F2B">
        <w:t xml:space="preserve">for </w:t>
      </w:r>
      <w:r w:rsidR="00E66BA3" w:rsidRPr="00C41F2B">
        <w:t xml:space="preserve">olaparib compared with placebo was not adequately supported by the evidence. </w:t>
      </w:r>
      <w:r w:rsidR="00181E7D" w:rsidRPr="00C41F2B">
        <w:t xml:space="preserve">The ESC considered that flaws in the QA-PFS </w:t>
      </w:r>
      <w:r w:rsidR="0035511F">
        <w:t>(paragraph 6.14</w:t>
      </w:r>
      <w:r w:rsidR="00A3064E" w:rsidRPr="00C41F2B">
        <w:t xml:space="preserve">) </w:t>
      </w:r>
      <w:r w:rsidR="00181E7D" w:rsidRPr="00C41F2B">
        <w:t xml:space="preserve">and </w:t>
      </w:r>
      <w:proofErr w:type="spellStart"/>
      <w:r w:rsidR="00181E7D" w:rsidRPr="00C41F2B">
        <w:t>TWiST</w:t>
      </w:r>
      <w:proofErr w:type="spellEnd"/>
      <w:r w:rsidR="00181E7D" w:rsidRPr="00C41F2B">
        <w:t xml:space="preserve"> </w:t>
      </w:r>
      <w:r w:rsidR="0035511F">
        <w:t>(paragraph 6.15</w:t>
      </w:r>
      <w:r w:rsidR="00A3064E" w:rsidRPr="00C41F2B">
        <w:t xml:space="preserve">) </w:t>
      </w:r>
      <w:r w:rsidR="00181E7D" w:rsidRPr="00C41F2B">
        <w:t xml:space="preserve">presented </w:t>
      </w:r>
      <w:r w:rsidR="00A3064E" w:rsidRPr="00C41F2B">
        <w:t xml:space="preserve">above, </w:t>
      </w:r>
      <w:r w:rsidR="00181E7D" w:rsidRPr="00C41F2B">
        <w:t>undermined the conclusion of non-inferior quality of life.</w:t>
      </w:r>
    </w:p>
    <w:p w:rsidR="00BF2F47" w:rsidRPr="00C41F2B" w:rsidRDefault="00BF2F47" w:rsidP="00BF2F47">
      <w:pPr>
        <w:pStyle w:val="4-SubsectionHeading"/>
      </w:pPr>
      <w:bookmarkStart w:id="35" w:name="_Toc22897645"/>
      <w:bookmarkStart w:id="36" w:name="_Toc38305875"/>
      <w:r w:rsidRPr="00C41F2B">
        <w:t>Economic analysis</w:t>
      </w:r>
      <w:bookmarkEnd w:id="35"/>
      <w:bookmarkEnd w:id="36"/>
      <w:r w:rsidRPr="00C41F2B">
        <w:t xml:space="preserve"> </w:t>
      </w:r>
    </w:p>
    <w:p w:rsidR="00864372" w:rsidRPr="00C41F2B" w:rsidRDefault="00F655E6" w:rsidP="005E60AE">
      <w:pPr>
        <w:pStyle w:val="3-BodyText"/>
      </w:pPr>
      <w:r w:rsidRPr="00C41F2B">
        <w:t>As in</w:t>
      </w:r>
      <w:r w:rsidR="00864372" w:rsidRPr="00C41F2B">
        <w:t xml:space="preserve"> the original submission, the resubmission presented a modelled economic evaluation, based on the direct randomised trial SOLO1; comparing olaparib versus placebo (watch and wait), in a population of patients with newly diagnosed (tumour) BRCA1/2-mutated advanced ovarian cancer who are in response (complete or partial) after </w:t>
      </w:r>
      <w:r w:rsidR="004F687F" w:rsidRPr="00C41F2B">
        <w:t>1L</w:t>
      </w:r>
      <w:r w:rsidR="00864372" w:rsidRPr="00C41F2B">
        <w:t xml:space="preserve"> platinum-based chemotherapy. In each arm disease progression is followed by </w:t>
      </w:r>
      <w:r w:rsidR="004F687F" w:rsidRPr="00C41F2B">
        <w:t>2L</w:t>
      </w:r>
      <w:r w:rsidR="00864372" w:rsidRPr="00C41F2B">
        <w:t xml:space="preserve"> platinum-based treatment in those who are eligible to receive it, and in the comparator arm this may include olaparib maintenance post </w:t>
      </w:r>
      <w:r w:rsidR="004F687F" w:rsidRPr="00C41F2B">
        <w:t>2L</w:t>
      </w:r>
      <w:r w:rsidR="00864372" w:rsidRPr="00C41F2B">
        <w:t xml:space="preserve"> platinum treatment. The types of economic evaluation presented were cost-utility and cost-effectiveness analyses. A summary of the structure and rationale for the economic model is presented in the table below.</w:t>
      </w:r>
      <w:r w:rsidR="00181E7D" w:rsidRPr="00C41F2B">
        <w:t xml:space="preserve"> </w:t>
      </w:r>
    </w:p>
    <w:p w:rsidR="00BF2F47" w:rsidRPr="00C41F2B" w:rsidRDefault="00BF2F47" w:rsidP="006C4B81">
      <w:pPr>
        <w:pStyle w:val="TableFigureHeading"/>
      </w:pPr>
      <w:r w:rsidRPr="00C41F2B">
        <w:t xml:space="preserve">Table </w:t>
      </w:r>
      <w:r w:rsidR="00A0380C">
        <w:rPr>
          <w:noProof/>
        </w:rPr>
        <w:t>7</w:t>
      </w:r>
      <w:r w:rsidRPr="00C41F2B">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BF2F47" w:rsidRPr="00C41F2B" w:rsidTr="00446686">
        <w:trPr>
          <w:tblHeader/>
        </w:trPr>
        <w:tc>
          <w:tcPr>
            <w:tcW w:w="784" w:type="pct"/>
            <w:shd w:val="clear" w:color="auto" w:fill="auto"/>
            <w:vAlign w:val="center"/>
          </w:tcPr>
          <w:p w:rsidR="00BF2F47" w:rsidRPr="00C41F2B" w:rsidRDefault="00BF2F47" w:rsidP="00F77308">
            <w:pPr>
              <w:pStyle w:val="In-tableHeading"/>
              <w:keepNext w:val="0"/>
              <w:widowControl w:val="0"/>
              <w:rPr>
                <w:lang w:val="en-AU"/>
              </w:rPr>
            </w:pPr>
            <w:r w:rsidRPr="00C41F2B">
              <w:rPr>
                <w:lang w:val="en-AU"/>
              </w:rPr>
              <w:t>Component</w:t>
            </w:r>
          </w:p>
        </w:tc>
        <w:tc>
          <w:tcPr>
            <w:tcW w:w="4216" w:type="pct"/>
            <w:shd w:val="clear" w:color="auto" w:fill="auto"/>
            <w:vAlign w:val="center"/>
          </w:tcPr>
          <w:p w:rsidR="00BF2F47" w:rsidRPr="00C41F2B" w:rsidRDefault="00BF2F47" w:rsidP="00F77308">
            <w:pPr>
              <w:pStyle w:val="In-tableHeading"/>
              <w:keepNext w:val="0"/>
              <w:widowControl w:val="0"/>
              <w:rPr>
                <w:lang w:val="en-AU"/>
              </w:rPr>
            </w:pPr>
            <w:r w:rsidRPr="00C41F2B">
              <w:rPr>
                <w:lang w:val="en-AU"/>
              </w:rPr>
              <w:t>Summary</w:t>
            </w:r>
          </w:p>
        </w:tc>
      </w:tr>
      <w:tr w:rsidR="00BF2F47" w:rsidRPr="00C41F2B" w:rsidTr="00446686">
        <w:tc>
          <w:tcPr>
            <w:tcW w:w="784" w:type="pct"/>
            <w:shd w:val="clear" w:color="auto" w:fill="auto"/>
            <w:vAlign w:val="center"/>
          </w:tcPr>
          <w:p w:rsidR="00BF2F47" w:rsidRPr="00C41F2B" w:rsidRDefault="00BF2F47" w:rsidP="00F77308">
            <w:pPr>
              <w:pStyle w:val="TableText0"/>
              <w:keepNext w:val="0"/>
              <w:widowControl w:val="0"/>
              <w:rPr>
                <w:szCs w:val="20"/>
              </w:rPr>
            </w:pPr>
            <w:r w:rsidRPr="00C41F2B">
              <w:rPr>
                <w:szCs w:val="20"/>
              </w:rPr>
              <w:t>Treatments</w:t>
            </w:r>
          </w:p>
        </w:tc>
        <w:tc>
          <w:tcPr>
            <w:tcW w:w="4216" w:type="pct"/>
            <w:shd w:val="clear" w:color="auto" w:fill="auto"/>
            <w:vAlign w:val="center"/>
          </w:tcPr>
          <w:p w:rsidR="00BF2F47" w:rsidRPr="00C41F2B" w:rsidRDefault="00BF2F47" w:rsidP="00F77308">
            <w:pPr>
              <w:pStyle w:val="TableText0"/>
              <w:keepNext w:val="0"/>
              <w:widowControl w:val="0"/>
              <w:rPr>
                <w:szCs w:val="20"/>
              </w:rPr>
            </w:pPr>
            <w:r w:rsidRPr="00C41F2B">
              <w:rPr>
                <w:szCs w:val="20"/>
              </w:rPr>
              <w:t xml:space="preserve">Olaparib </w:t>
            </w:r>
            <w:r w:rsidR="004F687F" w:rsidRPr="00C41F2B">
              <w:rPr>
                <w:szCs w:val="20"/>
              </w:rPr>
              <w:t>1L</w:t>
            </w:r>
            <w:r w:rsidRPr="00C41F2B">
              <w:rPr>
                <w:szCs w:val="20"/>
              </w:rPr>
              <w:t xml:space="preserve"> maintenance vs watch and wait</w:t>
            </w:r>
          </w:p>
        </w:tc>
      </w:tr>
      <w:tr w:rsidR="00BF2F47" w:rsidRPr="00C41F2B" w:rsidTr="00446686">
        <w:tc>
          <w:tcPr>
            <w:tcW w:w="784" w:type="pct"/>
            <w:shd w:val="clear" w:color="auto" w:fill="auto"/>
            <w:vAlign w:val="center"/>
          </w:tcPr>
          <w:p w:rsidR="00BF2F47" w:rsidRPr="00C41F2B" w:rsidRDefault="00BF2F47" w:rsidP="00F77308">
            <w:pPr>
              <w:pStyle w:val="TableText0"/>
              <w:keepNext w:val="0"/>
              <w:widowControl w:val="0"/>
              <w:rPr>
                <w:szCs w:val="20"/>
              </w:rPr>
            </w:pPr>
            <w:r w:rsidRPr="00C41F2B">
              <w:rPr>
                <w:szCs w:val="20"/>
              </w:rPr>
              <w:t>Time horizon</w:t>
            </w:r>
          </w:p>
        </w:tc>
        <w:tc>
          <w:tcPr>
            <w:tcW w:w="4216" w:type="pct"/>
            <w:shd w:val="clear" w:color="auto" w:fill="auto"/>
            <w:vAlign w:val="center"/>
          </w:tcPr>
          <w:p w:rsidR="00BF2F47" w:rsidRPr="00C41F2B" w:rsidRDefault="00BF2F47" w:rsidP="00F77308">
            <w:pPr>
              <w:pStyle w:val="TableText0"/>
              <w:keepNext w:val="0"/>
              <w:widowControl w:val="0"/>
              <w:rPr>
                <w:i/>
                <w:szCs w:val="20"/>
              </w:rPr>
            </w:pPr>
            <w:r w:rsidRPr="00C41F2B">
              <w:rPr>
                <w:szCs w:val="20"/>
              </w:rPr>
              <w:t>20 years in the model base case (15 years in sensitivity analysis) versus 41 months median follow-up in the SOLO1 trial. A time horizon of 25 years was used in the previous submission.</w:t>
            </w:r>
          </w:p>
        </w:tc>
      </w:tr>
      <w:tr w:rsidR="00BF2F47" w:rsidRPr="00C41F2B" w:rsidTr="00446686">
        <w:tc>
          <w:tcPr>
            <w:tcW w:w="784" w:type="pct"/>
            <w:shd w:val="clear" w:color="auto" w:fill="auto"/>
            <w:vAlign w:val="center"/>
          </w:tcPr>
          <w:p w:rsidR="00BF2F47" w:rsidRPr="00C41F2B" w:rsidRDefault="00BF2F47" w:rsidP="00F77308">
            <w:pPr>
              <w:pStyle w:val="TableText0"/>
              <w:keepNext w:val="0"/>
              <w:widowControl w:val="0"/>
              <w:rPr>
                <w:szCs w:val="20"/>
              </w:rPr>
            </w:pPr>
            <w:r w:rsidRPr="00C41F2B">
              <w:rPr>
                <w:szCs w:val="20"/>
              </w:rPr>
              <w:t>Outcomes</w:t>
            </w:r>
          </w:p>
        </w:tc>
        <w:tc>
          <w:tcPr>
            <w:tcW w:w="4216" w:type="pct"/>
            <w:shd w:val="clear" w:color="auto" w:fill="auto"/>
            <w:vAlign w:val="center"/>
          </w:tcPr>
          <w:p w:rsidR="00BF2F47" w:rsidRPr="00C41F2B" w:rsidRDefault="00BF2F47" w:rsidP="00F77308">
            <w:pPr>
              <w:pStyle w:val="TableText0"/>
              <w:keepNext w:val="0"/>
              <w:widowControl w:val="0"/>
              <w:rPr>
                <w:szCs w:val="20"/>
              </w:rPr>
            </w:pPr>
            <w:r w:rsidRPr="00C41F2B">
              <w:rPr>
                <w:szCs w:val="20"/>
              </w:rPr>
              <w:t xml:space="preserve">Progression-free years gained; life-years </w:t>
            </w:r>
            <w:r w:rsidR="00677981" w:rsidRPr="00C41F2B">
              <w:rPr>
                <w:szCs w:val="20"/>
              </w:rPr>
              <w:t>gained;</w:t>
            </w:r>
            <w:r w:rsidRPr="00C41F2B">
              <w:rPr>
                <w:szCs w:val="20"/>
              </w:rPr>
              <w:t xml:space="preserve"> quality-adjusted life years gained. These remained the same as in the previous submission.</w:t>
            </w:r>
          </w:p>
        </w:tc>
      </w:tr>
      <w:tr w:rsidR="00864372" w:rsidRPr="00C41F2B" w:rsidTr="00446686">
        <w:tc>
          <w:tcPr>
            <w:tcW w:w="784"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Methods used to generate results</w:t>
            </w:r>
          </w:p>
        </w:tc>
        <w:tc>
          <w:tcPr>
            <w:tcW w:w="4216"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 xml:space="preserve">The resubmission stated the approach was a ‘Modified Markov’ model. </w:t>
            </w:r>
            <w:r w:rsidRPr="00C41F2B">
              <w:rPr>
                <w:iCs/>
                <w:szCs w:val="20"/>
              </w:rPr>
              <w:t>The resubmission used a partitioned survival model (</w:t>
            </w:r>
            <w:r w:rsidR="00DA7BFE" w:rsidRPr="00C41F2B">
              <w:rPr>
                <w:iCs/>
                <w:szCs w:val="20"/>
              </w:rPr>
              <w:t>i.e.</w:t>
            </w:r>
            <w:r w:rsidRPr="00C41F2B">
              <w:rPr>
                <w:iCs/>
                <w:szCs w:val="20"/>
              </w:rPr>
              <w:t xml:space="preserve"> area under the curve) to assign costs and QALYs over the time horizon of the model. However, in the extrapolated portion of the model, the PFS2 and OS curves were constructed using Markov-modelling techniques</w:t>
            </w:r>
            <w:r w:rsidRPr="00C41F2B">
              <w:rPr>
                <w:szCs w:val="20"/>
              </w:rPr>
              <w:t>.</w:t>
            </w:r>
          </w:p>
          <w:p w:rsidR="00864372" w:rsidRPr="00C41F2B" w:rsidRDefault="008F5A48" w:rsidP="008F5A48">
            <w:pPr>
              <w:pStyle w:val="TableText0"/>
              <w:keepNext w:val="0"/>
              <w:widowControl w:val="0"/>
              <w:rPr>
                <w:szCs w:val="20"/>
              </w:rPr>
            </w:pPr>
            <w:r w:rsidRPr="00C41F2B">
              <w:rPr>
                <w:szCs w:val="20"/>
              </w:rPr>
              <w:t>T</w:t>
            </w:r>
            <w:r w:rsidR="00864372" w:rsidRPr="00C41F2B">
              <w:rPr>
                <w:szCs w:val="20"/>
              </w:rPr>
              <w:t>hese methods are the same as those used in the previous submission.</w:t>
            </w:r>
          </w:p>
        </w:tc>
      </w:tr>
      <w:tr w:rsidR="00864372" w:rsidRPr="00C41F2B" w:rsidTr="00446686">
        <w:tc>
          <w:tcPr>
            <w:tcW w:w="784"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Health states</w:t>
            </w:r>
          </w:p>
        </w:tc>
        <w:tc>
          <w:tcPr>
            <w:tcW w:w="4216"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Cured (</w:t>
            </w:r>
            <w:r w:rsidR="00DA7BFE" w:rsidRPr="00C41F2B">
              <w:rPr>
                <w:szCs w:val="20"/>
              </w:rPr>
              <w:t>i.e.</w:t>
            </w:r>
            <w:r w:rsidRPr="00C41F2B">
              <w:rPr>
                <w:szCs w:val="20"/>
              </w:rPr>
              <w:t xml:space="preserve"> at no risk of progression), progression-free following </w:t>
            </w:r>
            <w:r w:rsidR="004F687F" w:rsidRPr="00C41F2B">
              <w:rPr>
                <w:szCs w:val="20"/>
              </w:rPr>
              <w:t>1L</w:t>
            </w:r>
            <w:r w:rsidRPr="00C41F2B">
              <w:rPr>
                <w:szCs w:val="20"/>
              </w:rPr>
              <w:t xml:space="preserve"> platinum regimen (PFS1) for uncured, </w:t>
            </w:r>
            <w:r w:rsidR="009A2225" w:rsidRPr="00C41F2B">
              <w:rPr>
                <w:szCs w:val="20"/>
              </w:rPr>
              <w:t>p</w:t>
            </w:r>
            <w:r w:rsidRPr="00C41F2B">
              <w:rPr>
                <w:szCs w:val="20"/>
              </w:rPr>
              <w:t xml:space="preserve">rogression-free following </w:t>
            </w:r>
            <w:r w:rsidR="004F687F" w:rsidRPr="00C41F2B">
              <w:rPr>
                <w:szCs w:val="20"/>
              </w:rPr>
              <w:t>2L</w:t>
            </w:r>
            <w:r w:rsidRPr="00C41F2B">
              <w:rPr>
                <w:szCs w:val="20"/>
              </w:rPr>
              <w:t xml:space="preserve"> platinum regimen (PFS2) for uncured, progressive disease, death.</w:t>
            </w:r>
          </w:p>
          <w:p w:rsidR="00864372" w:rsidRPr="00C41F2B" w:rsidRDefault="00864372" w:rsidP="00864372">
            <w:pPr>
              <w:pStyle w:val="TableText0"/>
              <w:keepNext w:val="0"/>
              <w:widowControl w:val="0"/>
              <w:rPr>
                <w:szCs w:val="20"/>
              </w:rPr>
            </w:pPr>
            <w:r w:rsidRPr="00C41F2B">
              <w:rPr>
                <w:szCs w:val="20"/>
              </w:rPr>
              <w:t>Compared with the previous submission, an additional health state, ‘cured’, was added.</w:t>
            </w:r>
          </w:p>
        </w:tc>
      </w:tr>
      <w:tr w:rsidR="00864372" w:rsidRPr="00C41F2B" w:rsidTr="00446686">
        <w:tc>
          <w:tcPr>
            <w:tcW w:w="784"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Cycle length</w:t>
            </w:r>
          </w:p>
        </w:tc>
        <w:tc>
          <w:tcPr>
            <w:tcW w:w="4216"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Monthly. Unchanged from the previous submission.</w:t>
            </w:r>
          </w:p>
        </w:tc>
      </w:tr>
      <w:tr w:rsidR="00864372" w:rsidRPr="00C41F2B" w:rsidTr="00446686">
        <w:tc>
          <w:tcPr>
            <w:tcW w:w="784"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 xml:space="preserve">Transition probabilities and allocation to health states </w:t>
            </w:r>
          </w:p>
        </w:tc>
        <w:tc>
          <w:tcPr>
            <w:tcW w:w="4216"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The methods for determining health state allocation remain the same as the previous submission. The survival curves were constructed using a combination of PFS1, PFS2 and OS KM curves observed from trial data and constructed PFS2 and OS curves.</w:t>
            </w:r>
          </w:p>
          <w:p w:rsidR="00864372" w:rsidRPr="00C41F2B" w:rsidRDefault="00864372" w:rsidP="00864372">
            <w:pPr>
              <w:pStyle w:val="TableText0"/>
              <w:keepNext w:val="0"/>
              <w:widowControl w:val="0"/>
              <w:rPr>
                <w:szCs w:val="20"/>
              </w:rPr>
            </w:pPr>
            <w:r w:rsidRPr="00C41F2B">
              <w:rPr>
                <w:szCs w:val="20"/>
              </w:rPr>
              <w:t>Specifically, for BRCAm patients:</w:t>
            </w:r>
          </w:p>
          <w:p w:rsidR="00864372" w:rsidRPr="00C41F2B" w:rsidRDefault="00864372" w:rsidP="00864372">
            <w:pPr>
              <w:pStyle w:val="ListBullet"/>
              <w:widowControl w:val="0"/>
              <w:rPr>
                <w:rFonts w:ascii="Arial Narrow" w:hAnsi="Arial Narrow"/>
                <w:sz w:val="20"/>
                <w:szCs w:val="20"/>
              </w:rPr>
            </w:pPr>
            <w:r w:rsidRPr="00C41F2B">
              <w:rPr>
                <w:rFonts w:ascii="Arial Narrow" w:hAnsi="Arial Narrow"/>
                <w:sz w:val="20"/>
                <w:szCs w:val="20"/>
              </w:rPr>
              <w:t xml:space="preserve">The PFS1 curve was based on extrapolated data from SOLO1. </w:t>
            </w:r>
          </w:p>
          <w:p w:rsidR="00864372" w:rsidRPr="00C41F2B" w:rsidRDefault="00864372" w:rsidP="00864372">
            <w:pPr>
              <w:pStyle w:val="ListBullet"/>
              <w:widowControl w:val="0"/>
              <w:rPr>
                <w:rFonts w:ascii="Arial Narrow" w:hAnsi="Arial Narrow"/>
                <w:sz w:val="20"/>
                <w:szCs w:val="20"/>
              </w:rPr>
            </w:pPr>
            <w:r w:rsidRPr="00C41F2B">
              <w:rPr>
                <w:rFonts w:ascii="Arial Narrow" w:hAnsi="Arial Narrow"/>
                <w:sz w:val="20"/>
                <w:szCs w:val="20"/>
              </w:rPr>
              <w:lastRenderedPageBreak/>
              <w:t xml:space="preserve">The PFS2 curve was derived from SOLO1 until month 47. After month 47 the resubmission applied the constructed PFS curve for uncured patients. This constructed curve is not extrapolated from the SOLO1 PFS2 data but is calculated by applying the observed transition from PFS1 to PFS2 </w:t>
            </w:r>
            <w:r w:rsidR="00570331" w:rsidRPr="00C41F2B">
              <w:rPr>
                <w:rFonts w:ascii="Arial Narrow" w:hAnsi="Arial Narrow"/>
                <w:sz w:val="20"/>
                <w:szCs w:val="20"/>
              </w:rPr>
              <w:t>each cycle for</w:t>
            </w:r>
            <w:r w:rsidRPr="00C41F2B">
              <w:rPr>
                <w:rFonts w:ascii="Arial Narrow" w:hAnsi="Arial Narrow"/>
                <w:sz w:val="20"/>
                <w:szCs w:val="20"/>
              </w:rPr>
              <w:t xml:space="preserve"> each of the respective arms in the SOLO1 trial.</w:t>
            </w:r>
          </w:p>
          <w:p w:rsidR="00864372" w:rsidRPr="00C41F2B" w:rsidRDefault="00864372" w:rsidP="00864372">
            <w:pPr>
              <w:pStyle w:val="ListBullet"/>
              <w:widowControl w:val="0"/>
              <w:rPr>
                <w:rFonts w:ascii="Arial Narrow" w:hAnsi="Arial Narrow"/>
                <w:sz w:val="20"/>
                <w:szCs w:val="20"/>
              </w:rPr>
            </w:pPr>
            <w:r w:rsidRPr="00C41F2B">
              <w:rPr>
                <w:rFonts w:ascii="Arial Narrow" w:hAnsi="Arial Narrow"/>
                <w:sz w:val="20"/>
                <w:szCs w:val="20"/>
              </w:rPr>
              <w:t xml:space="preserve">Similarly, the OS curve used in the model is based on the SOLO1 curve until month 41. After month 41, the resubmission applied the constructed OS curve. The constructed OS curve was not extrapolated from SOLO1, but was calculated by applying the estimated transition from progressive disease to death </w:t>
            </w:r>
            <w:r w:rsidR="00570331" w:rsidRPr="00C41F2B">
              <w:rPr>
                <w:rFonts w:ascii="Arial Narrow" w:hAnsi="Arial Narrow"/>
                <w:sz w:val="20"/>
                <w:szCs w:val="20"/>
              </w:rPr>
              <w:t xml:space="preserve">(each cycle) </w:t>
            </w:r>
            <w:r w:rsidRPr="00C41F2B">
              <w:rPr>
                <w:rFonts w:ascii="Arial Narrow" w:hAnsi="Arial Narrow"/>
                <w:sz w:val="20"/>
                <w:szCs w:val="20"/>
              </w:rPr>
              <w:t>from Study 19 to the PFS2 curve in each of the respective arms.</w:t>
            </w:r>
          </w:p>
          <w:p w:rsidR="00864372" w:rsidRPr="00C41F2B" w:rsidRDefault="00570331" w:rsidP="008F5A48">
            <w:pPr>
              <w:pStyle w:val="5-SubsectionSubheading"/>
            </w:pPr>
            <w:r w:rsidRPr="00C41F2B">
              <w:rPr>
                <w:rFonts w:ascii="Arial Narrow" w:hAnsi="Arial Narrow"/>
                <w:b w:val="0"/>
                <w:bCs/>
                <w:color w:val="auto"/>
                <w:sz w:val="20"/>
                <w:szCs w:val="20"/>
                <w:lang w:eastAsia="en-AU"/>
              </w:rPr>
              <w:t xml:space="preserve">Outcomes for </w:t>
            </w:r>
            <w:proofErr w:type="spellStart"/>
            <w:r w:rsidRPr="00C41F2B">
              <w:rPr>
                <w:rFonts w:ascii="Arial Narrow" w:hAnsi="Arial Narrow"/>
                <w:b w:val="0"/>
                <w:bCs/>
                <w:color w:val="auto"/>
                <w:sz w:val="20"/>
                <w:szCs w:val="20"/>
                <w:lang w:eastAsia="en-AU"/>
              </w:rPr>
              <w:t>BRCAwt</w:t>
            </w:r>
            <w:proofErr w:type="spellEnd"/>
            <w:r w:rsidRPr="00C41F2B">
              <w:rPr>
                <w:rFonts w:ascii="Arial Narrow" w:hAnsi="Arial Narrow"/>
                <w:b w:val="0"/>
                <w:bCs/>
                <w:color w:val="auto"/>
                <w:sz w:val="20"/>
                <w:szCs w:val="20"/>
                <w:lang w:eastAsia="en-AU"/>
              </w:rPr>
              <w:t xml:space="preserve"> patients were based on modelling of data from AOCS. The PFS1 curve in this patient population is based on a fitted parametric function to AOCS data. For PFS2 and OS, the constructed curves were calculated by applying the estimated transition from that health state to the next, similar to the methods described for the BRCAm population above.</w:t>
            </w:r>
          </w:p>
        </w:tc>
      </w:tr>
      <w:tr w:rsidR="00864372" w:rsidRPr="00C41F2B" w:rsidTr="00446686">
        <w:tc>
          <w:tcPr>
            <w:tcW w:w="784" w:type="pct"/>
            <w:shd w:val="clear" w:color="auto" w:fill="auto"/>
            <w:vAlign w:val="center"/>
          </w:tcPr>
          <w:p w:rsidR="00864372" w:rsidRPr="00C41F2B" w:rsidRDefault="00864372" w:rsidP="00864372">
            <w:pPr>
              <w:pStyle w:val="TableText0"/>
              <w:keepNext w:val="0"/>
              <w:widowControl w:val="0"/>
              <w:rPr>
                <w:szCs w:val="20"/>
              </w:rPr>
            </w:pPr>
            <w:r w:rsidRPr="00C41F2B">
              <w:rPr>
                <w:szCs w:val="20"/>
              </w:rPr>
              <w:lastRenderedPageBreak/>
              <w:t>Extrapolation method</w:t>
            </w:r>
          </w:p>
        </w:tc>
        <w:tc>
          <w:tcPr>
            <w:tcW w:w="4216"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For the BRCAm patient population:</w:t>
            </w:r>
          </w:p>
          <w:p w:rsidR="00864372" w:rsidRPr="00C41F2B" w:rsidRDefault="00864372" w:rsidP="00864372">
            <w:pPr>
              <w:pStyle w:val="TableText0"/>
              <w:keepNext w:val="0"/>
              <w:widowControl w:val="0"/>
              <w:rPr>
                <w:szCs w:val="20"/>
              </w:rPr>
            </w:pPr>
            <w:r w:rsidRPr="00C41F2B">
              <w:rPr>
                <w:szCs w:val="20"/>
              </w:rPr>
              <w:t>PFS1: Mixed cure model (log-logistic, jointly estimated, theta + scale + shape), based on SOLO1 data.</w:t>
            </w:r>
          </w:p>
          <w:p w:rsidR="00864372" w:rsidRPr="00C41F2B" w:rsidRDefault="00864372" w:rsidP="00864372">
            <w:pPr>
              <w:pStyle w:val="TableText0"/>
              <w:keepNext w:val="0"/>
              <w:widowControl w:val="0"/>
              <w:rPr>
                <w:szCs w:val="20"/>
              </w:rPr>
            </w:pPr>
            <w:r w:rsidRPr="00C41F2B">
              <w:rPr>
                <w:szCs w:val="20"/>
              </w:rPr>
              <w:t xml:space="preserve">Transitions from PFS1 to PFS2: Log-logistic fitted to SOLO1. </w:t>
            </w:r>
          </w:p>
          <w:p w:rsidR="00864372" w:rsidRPr="00C41F2B" w:rsidRDefault="00864372" w:rsidP="00864372">
            <w:pPr>
              <w:pStyle w:val="TableText0"/>
              <w:keepNext w:val="0"/>
              <w:widowControl w:val="0"/>
              <w:rPr>
                <w:szCs w:val="20"/>
              </w:rPr>
            </w:pPr>
            <w:r w:rsidRPr="00C41F2B">
              <w:rPr>
                <w:szCs w:val="20"/>
              </w:rPr>
              <w:t xml:space="preserve">Transitions from PFS2 to OS: Jointly fitted generalised gamma function (proportional hazards model). </w:t>
            </w:r>
          </w:p>
          <w:p w:rsidR="00864372" w:rsidRPr="00C41F2B" w:rsidRDefault="00864372" w:rsidP="00864372">
            <w:pPr>
              <w:pStyle w:val="TableText0"/>
              <w:keepNext w:val="0"/>
              <w:widowControl w:val="0"/>
              <w:rPr>
                <w:szCs w:val="20"/>
              </w:rPr>
            </w:pPr>
          </w:p>
          <w:p w:rsidR="00864372" w:rsidRPr="00C41F2B" w:rsidRDefault="00864372" w:rsidP="00864372">
            <w:pPr>
              <w:pStyle w:val="TableText0"/>
              <w:keepNext w:val="0"/>
              <w:widowControl w:val="0"/>
              <w:rPr>
                <w:szCs w:val="20"/>
              </w:rPr>
            </w:pPr>
            <w:r w:rsidRPr="00C41F2B">
              <w:rPr>
                <w:bCs w:val="0"/>
                <w:iCs/>
                <w:szCs w:val="20"/>
              </w:rPr>
              <w:t>86% of the incremental QALYs are generated in the extrapolated period (beyond 41 months).</w:t>
            </w:r>
          </w:p>
        </w:tc>
      </w:tr>
      <w:tr w:rsidR="00864372" w:rsidRPr="00C41F2B" w:rsidTr="00446686">
        <w:tc>
          <w:tcPr>
            <w:tcW w:w="784" w:type="pct"/>
            <w:shd w:val="clear" w:color="auto" w:fill="auto"/>
            <w:vAlign w:val="center"/>
          </w:tcPr>
          <w:p w:rsidR="00864372" w:rsidRPr="00C41F2B" w:rsidRDefault="00864372" w:rsidP="00864372">
            <w:pPr>
              <w:pStyle w:val="TableText0"/>
              <w:keepNext w:val="0"/>
              <w:widowControl w:val="0"/>
              <w:rPr>
                <w:szCs w:val="20"/>
              </w:rPr>
            </w:pPr>
            <w:r w:rsidRPr="00C41F2B">
              <w:rPr>
                <w:szCs w:val="20"/>
              </w:rPr>
              <w:t>Health related quality of life</w:t>
            </w:r>
          </w:p>
        </w:tc>
        <w:tc>
          <w:tcPr>
            <w:tcW w:w="4216" w:type="pct"/>
            <w:shd w:val="clear" w:color="auto" w:fill="auto"/>
            <w:vAlign w:val="center"/>
          </w:tcPr>
          <w:p w:rsidR="00570331" w:rsidRPr="00C41F2B" w:rsidRDefault="00570331" w:rsidP="00570331">
            <w:pPr>
              <w:pStyle w:val="TableText0"/>
              <w:keepNext w:val="0"/>
              <w:widowControl w:val="0"/>
              <w:rPr>
                <w:szCs w:val="20"/>
              </w:rPr>
            </w:pPr>
            <w:r w:rsidRPr="00C41F2B">
              <w:rPr>
                <w:szCs w:val="20"/>
              </w:rPr>
              <w:t>PFS1: 0.8031 sourced from SOLO1 (same as that in the previous submission)</w:t>
            </w:r>
          </w:p>
          <w:p w:rsidR="00570331" w:rsidRPr="00C41F2B" w:rsidRDefault="00570331" w:rsidP="00570331">
            <w:pPr>
              <w:pStyle w:val="TableText0"/>
              <w:keepNext w:val="0"/>
              <w:widowControl w:val="0"/>
              <w:rPr>
                <w:szCs w:val="20"/>
              </w:rPr>
            </w:pPr>
            <w:r w:rsidRPr="00C41F2B">
              <w:rPr>
                <w:szCs w:val="20"/>
              </w:rPr>
              <w:t xml:space="preserve">PFS2: 0.637, derived by weighting the utility value for patients not well enough to receive 2L olaparib maintenance from </w:t>
            </w:r>
            <w:proofErr w:type="spellStart"/>
            <w:r w:rsidRPr="00C41F2B">
              <w:rPr>
                <w:szCs w:val="20"/>
              </w:rPr>
              <w:t>Havrilesky</w:t>
            </w:r>
            <w:proofErr w:type="spellEnd"/>
            <w:r w:rsidRPr="00C41F2B">
              <w:rPr>
                <w:szCs w:val="20"/>
              </w:rPr>
              <w:t xml:space="preserve"> 2009, and the utility value for those who are healthy enough to receive 2L olaparib maintenance from Study 19.</w:t>
            </w:r>
          </w:p>
          <w:p w:rsidR="00864372" w:rsidRPr="00C41F2B" w:rsidRDefault="00570331" w:rsidP="00570331">
            <w:pPr>
              <w:pStyle w:val="TableText0"/>
              <w:keepNext w:val="0"/>
              <w:widowControl w:val="0"/>
              <w:rPr>
                <w:szCs w:val="20"/>
              </w:rPr>
            </w:pPr>
            <w:r w:rsidRPr="00C41F2B">
              <w:rPr>
                <w:szCs w:val="20"/>
              </w:rPr>
              <w:t xml:space="preserve">PD: 0.557, derived by weighting the utility value for patients not well enough to receive 2L olaparib maintenance from </w:t>
            </w:r>
            <w:proofErr w:type="spellStart"/>
            <w:r w:rsidRPr="00C41F2B">
              <w:rPr>
                <w:szCs w:val="20"/>
              </w:rPr>
              <w:t>Havrilesky</w:t>
            </w:r>
            <w:proofErr w:type="spellEnd"/>
            <w:r w:rsidRPr="00C41F2B">
              <w:rPr>
                <w:szCs w:val="20"/>
              </w:rPr>
              <w:t xml:space="preserve"> 2009, and the utility value for those who are healthy enough to receive 2L olap</w:t>
            </w:r>
            <w:r w:rsidR="00357AE0" w:rsidRPr="00C41F2B">
              <w:rPr>
                <w:szCs w:val="20"/>
              </w:rPr>
              <w:t>arib maintenance from Study 19.</w:t>
            </w:r>
          </w:p>
        </w:tc>
      </w:tr>
    </w:tbl>
    <w:p w:rsidR="00BF2F47" w:rsidRPr="00C41F2B" w:rsidRDefault="00BF2F47" w:rsidP="00BF2F47">
      <w:pPr>
        <w:pStyle w:val="TableFigureFooter"/>
      </w:pPr>
      <w:r w:rsidRPr="00C41F2B">
        <w:t>Source: Table 21, Section 3 of the resubmission</w:t>
      </w:r>
    </w:p>
    <w:p w:rsidR="00BF2F47" w:rsidRPr="00C41F2B" w:rsidRDefault="00BF2F47" w:rsidP="00BF2F47">
      <w:pPr>
        <w:pStyle w:val="TableFigureFooter"/>
      </w:pPr>
      <w:r w:rsidRPr="00C41F2B">
        <w:t xml:space="preserve">AOCS = Australian Ovarian Cancer Study; </w:t>
      </w:r>
      <w:r w:rsidRPr="00C41F2B">
        <w:rPr>
          <w:i/>
        </w:rPr>
        <w:t>BRCA</w:t>
      </w:r>
      <w:r w:rsidRPr="00C41F2B">
        <w:t xml:space="preserve">m = </w:t>
      </w:r>
      <w:r w:rsidRPr="00C41F2B">
        <w:rPr>
          <w:i/>
        </w:rPr>
        <w:t>BRCA1/2</w:t>
      </w:r>
      <w:r w:rsidRPr="00C41F2B">
        <w:t xml:space="preserve"> mutation positives; </w:t>
      </w:r>
      <w:proofErr w:type="spellStart"/>
      <w:r w:rsidRPr="00C41F2B">
        <w:rPr>
          <w:i/>
        </w:rPr>
        <w:t>BRCA</w:t>
      </w:r>
      <w:r w:rsidRPr="00C41F2B">
        <w:t>wt</w:t>
      </w:r>
      <w:proofErr w:type="spellEnd"/>
      <w:r w:rsidRPr="00C41F2B">
        <w:t xml:space="preserve"> = </w:t>
      </w:r>
      <w:r w:rsidRPr="00C41F2B">
        <w:rPr>
          <w:i/>
        </w:rPr>
        <w:t>BRCA 1/2</w:t>
      </w:r>
      <w:r w:rsidRPr="00C41F2B">
        <w:t xml:space="preserve"> </w:t>
      </w:r>
      <w:proofErr w:type="spellStart"/>
      <w:r w:rsidRPr="00C41F2B">
        <w:t>wildtype</w:t>
      </w:r>
      <w:proofErr w:type="spellEnd"/>
      <w:r w:rsidRPr="00C41F2B">
        <w:t xml:space="preserve">; OS = overall survival; </w:t>
      </w:r>
      <w:r w:rsidR="00570331" w:rsidRPr="00C41F2B">
        <w:t xml:space="preserve">PFS1 = progression-free survival after </w:t>
      </w:r>
      <w:r w:rsidR="004F687F" w:rsidRPr="00C41F2B">
        <w:t>1L</w:t>
      </w:r>
      <w:r w:rsidR="00570331" w:rsidRPr="00C41F2B">
        <w:t xml:space="preserve"> treatment; PFS2 = progression-free survival after </w:t>
      </w:r>
      <w:r w:rsidR="004F687F" w:rsidRPr="00C41F2B">
        <w:t>2L</w:t>
      </w:r>
      <w:r w:rsidR="00570331" w:rsidRPr="00C41F2B">
        <w:t xml:space="preserve"> treatment; PD = progressive disease.</w:t>
      </w:r>
    </w:p>
    <w:p w:rsidR="00BF2F47" w:rsidRPr="00C41F2B" w:rsidRDefault="00BF2F47" w:rsidP="00BF2F47">
      <w:pPr>
        <w:pStyle w:val="TableFigureFooter"/>
      </w:pPr>
    </w:p>
    <w:p w:rsidR="00864372" w:rsidRPr="00C41F2B" w:rsidRDefault="00864372" w:rsidP="00864372">
      <w:pPr>
        <w:pStyle w:val="TableFigureFooter"/>
      </w:pPr>
    </w:p>
    <w:p w:rsidR="00864372" w:rsidRPr="00C41F2B" w:rsidRDefault="00864372" w:rsidP="00864372">
      <w:pPr>
        <w:pStyle w:val="3-BodyText"/>
      </w:pPr>
      <w:r w:rsidRPr="00C41F2B">
        <w:t xml:space="preserve">In its consideration of the November 2019 submission, the PBAC identified a number of changes that would need to be made </w:t>
      </w:r>
      <w:r w:rsidR="006B4E7A" w:rsidRPr="00C41F2B">
        <w:t>to the economic model</w:t>
      </w:r>
      <w:r w:rsidRPr="00C41F2B">
        <w:t xml:space="preserve"> (para 7.25, olaparib PSD, November 2019 PBAC Meeting). </w:t>
      </w:r>
    </w:p>
    <w:p w:rsidR="00181E7D" w:rsidRPr="00C41F2B" w:rsidRDefault="00181E7D" w:rsidP="00181E7D">
      <w:pPr>
        <w:pStyle w:val="3-BodyText"/>
        <w:numPr>
          <w:ilvl w:val="0"/>
          <w:numId w:val="8"/>
        </w:numPr>
        <w:ind w:left="1134"/>
        <w:rPr>
          <w:i/>
        </w:rPr>
      </w:pPr>
      <w:r w:rsidRPr="00C41F2B">
        <w:t xml:space="preserve">A more usual analysis approach to the economic model, for example a partitioned survival analysis. </w:t>
      </w:r>
    </w:p>
    <w:p w:rsidR="00864372" w:rsidRPr="00C41F2B" w:rsidRDefault="00864372" w:rsidP="00717606">
      <w:pPr>
        <w:pStyle w:val="3-BodyText"/>
        <w:numPr>
          <w:ilvl w:val="0"/>
          <w:numId w:val="8"/>
        </w:numPr>
        <w:ind w:left="1134"/>
      </w:pPr>
      <w:r w:rsidRPr="00C41F2B">
        <w:t xml:space="preserve">Incorporating the following changes to the model </w:t>
      </w:r>
      <w:r w:rsidR="006B4E7A" w:rsidRPr="00C41F2B">
        <w:t>inputs</w:t>
      </w:r>
      <w:r w:rsidRPr="00C41F2B">
        <w:t>:</w:t>
      </w:r>
    </w:p>
    <w:p w:rsidR="00864372" w:rsidRPr="00C41F2B" w:rsidRDefault="00864372" w:rsidP="00717606">
      <w:pPr>
        <w:pStyle w:val="3-BodyText"/>
        <w:numPr>
          <w:ilvl w:val="0"/>
          <w:numId w:val="9"/>
        </w:numPr>
        <w:ind w:left="1418"/>
      </w:pPr>
      <w:proofErr w:type="gramStart"/>
      <w:r w:rsidRPr="00C41F2B">
        <w:t>using</w:t>
      </w:r>
      <w:proofErr w:type="gramEnd"/>
      <w:r w:rsidRPr="00C41F2B">
        <w:t xml:space="preserve"> utility values for PFS2 and PD as reported in Study 19. </w:t>
      </w:r>
      <w:r w:rsidRPr="00C41F2B">
        <w:rPr>
          <w:iCs/>
        </w:rPr>
        <w:t xml:space="preserve">The resubmission used weighted utility values for these health states based on 51% of ‘healthy’ patients having a utility sourced from Study 19, and the remainder having a utility value sourced from </w:t>
      </w:r>
      <w:proofErr w:type="spellStart"/>
      <w:r w:rsidRPr="00C41F2B">
        <w:rPr>
          <w:iCs/>
        </w:rPr>
        <w:t>Havrilsky</w:t>
      </w:r>
      <w:proofErr w:type="spellEnd"/>
      <w:r w:rsidRPr="00C41F2B">
        <w:rPr>
          <w:iCs/>
        </w:rPr>
        <w:t xml:space="preserve"> 2009. The use of the weighted utility favour</w:t>
      </w:r>
      <w:r w:rsidR="00A86694" w:rsidRPr="00C41F2B">
        <w:rPr>
          <w:iCs/>
        </w:rPr>
        <w:t>ed</w:t>
      </w:r>
      <w:r w:rsidRPr="00C41F2B">
        <w:rPr>
          <w:iCs/>
        </w:rPr>
        <w:t xml:space="preserve"> olaparib </w:t>
      </w:r>
      <w:r w:rsidR="004F687F" w:rsidRPr="00C41F2B">
        <w:rPr>
          <w:iCs/>
        </w:rPr>
        <w:t>1L</w:t>
      </w:r>
      <w:r w:rsidRPr="00C41F2B">
        <w:rPr>
          <w:iCs/>
        </w:rPr>
        <w:t xml:space="preserve"> maintenance treatment, compared with the use of utility values from Study 19.</w:t>
      </w:r>
    </w:p>
    <w:p w:rsidR="00864372" w:rsidRPr="00C41F2B" w:rsidRDefault="00864372" w:rsidP="00717606">
      <w:pPr>
        <w:pStyle w:val="3-BodyText"/>
        <w:numPr>
          <w:ilvl w:val="0"/>
          <w:numId w:val="9"/>
        </w:numPr>
        <w:ind w:left="1418"/>
      </w:pPr>
      <w:proofErr w:type="gramStart"/>
      <w:r w:rsidRPr="00C41F2B">
        <w:t>correcting</w:t>
      </w:r>
      <w:proofErr w:type="gramEnd"/>
      <w:r w:rsidRPr="00C41F2B">
        <w:t xml:space="preserve"> the modelled cost of olaparib. </w:t>
      </w:r>
      <w:r w:rsidRPr="00C41F2B">
        <w:rPr>
          <w:iCs/>
        </w:rPr>
        <w:t xml:space="preserve">The resubmission continued to </w:t>
      </w:r>
      <w:r w:rsidR="006B4E7A" w:rsidRPr="00C41F2B">
        <w:rPr>
          <w:iCs/>
        </w:rPr>
        <w:t xml:space="preserve">adjust the cost based on </w:t>
      </w:r>
      <w:r w:rsidRPr="00C41F2B">
        <w:rPr>
          <w:iCs/>
        </w:rPr>
        <w:t xml:space="preserve">the mean daily dose of olaparib, </w:t>
      </w:r>
      <w:r w:rsidR="004E5DE9" w:rsidRPr="00C41F2B">
        <w:rPr>
          <w:iCs/>
        </w:rPr>
        <w:t>even though</w:t>
      </w:r>
      <w:r w:rsidRPr="00C41F2B">
        <w:rPr>
          <w:iCs/>
        </w:rPr>
        <w:t xml:space="preserve"> the </w:t>
      </w:r>
      <w:r w:rsidR="004E5DE9" w:rsidRPr="00C41F2B">
        <w:rPr>
          <w:iCs/>
        </w:rPr>
        <w:t>cost for</w:t>
      </w:r>
      <w:r w:rsidRPr="00C41F2B">
        <w:rPr>
          <w:iCs/>
        </w:rPr>
        <w:t xml:space="preserve"> </w:t>
      </w:r>
      <w:r w:rsidR="004E5DE9" w:rsidRPr="00C41F2B">
        <w:rPr>
          <w:iCs/>
        </w:rPr>
        <w:t xml:space="preserve">a </w:t>
      </w:r>
      <w:r w:rsidRPr="00C41F2B">
        <w:rPr>
          <w:iCs/>
        </w:rPr>
        <w:t xml:space="preserve">400mg or 600mg daily dose is equivalent. </w:t>
      </w:r>
      <w:r w:rsidR="00DB651A" w:rsidRPr="00C41F2B">
        <w:rPr>
          <w:iCs/>
        </w:rPr>
        <w:t>The PSCR</w:t>
      </w:r>
      <w:r w:rsidR="00A3064E" w:rsidRPr="00C41F2B">
        <w:rPr>
          <w:iCs/>
        </w:rPr>
        <w:t xml:space="preserve"> </w:t>
      </w:r>
      <w:r w:rsidR="00DB651A" w:rsidRPr="00C41F2B">
        <w:rPr>
          <w:iCs/>
        </w:rPr>
        <w:t xml:space="preserve">stated that </w:t>
      </w:r>
      <w:r w:rsidR="00FA1449" w:rsidRPr="00C41F2B">
        <w:rPr>
          <w:iCs/>
        </w:rPr>
        <w:t xml:space="preserve">the reason the planned daily dose of 600mg was not achieved on all days was more frequently </w:t>
      </w:r>
      <w:r w:rsidR="00FA1449" w:rsidRPr="00C41F2B">
        <w:rPr>
          <w:iCs/>
        </w:rPr>
        <w:lastRenderedPageBreak/>
        <w:t xml:space="preserve">due to treatment interruptions, which would result in a reduction in the cost of treatment. However treatment </w:t>
      </w:r>
      <w:r w:rsidR="00717606" w:rsidRPr="00C41F2B">
        <w:rPr>
          <w:iCs/>
        </w:rPr>
        <w:t>interruptions</w:t>
      </w:r>
      <w:r w:rsidR="00FA1449" w:rsidRPr="00C41F2B">
        <w:rPr>
          <w:iCs/>
        </w:rPr>
        <w:t xml:space="preserve"> were generally short</w:t>
      </w:r>
      <w:r w:rsidR="00717606" w:rsidRPr="00C41F2B">
        <w:rPr>
          <w:iCs/>
        </w:rPr>
        <w:t xml:space="preserve"> (</w:t>
      </w:r>
      <w:r w:rsidR="00357AE0" w:rsidRPr="00C41F2B">
        <w:rPr>
          <w:iCs/>
        </w:rPr>
        <w:t xml:space="preserve">SOLO1 </w:t>
      </w:r>
      <w:r w:rsidR="00717606" w:rsidRPr="00C41F2B">
        <w:rPr>
          <w:iCs/>
        </w:rPr>
        <w:t>CSR page</w:t>
      </w:r>
      <w:r w:rsidR="00E80396" w:rsidRPr="00C41F2B">
        <w:rPr>
          <w:iCs/>
        </w:rPr>
        <w:t xml:space="preserve"> 133)</w:t>
      </w:r>
      <w:r w:rsidR="00FA1449" w:rsidRPr="00C41F2B">
        <w:rPr>
          <w:iCs/>
        </w:rPr>
        <w:t xml:space="preserve"> and the</w:t>
      </w:r>
      <w:r w:rsidR="00717606" w:rsidRPr="00C41F2B">
        <w:rPr>
          <w:iCs/>
        </w:rPr>
        <w:t xml:space="preserve"> treatment duration</w:t>
      </w:r>
      <w:r w:rsidR="002D564E" w:rsidRPr="00C41F2B">
        <w:rPr>
          <w:iCs/>
        </w:rPr>
        <w:t xml:space="preserve"> accounting for interruptions</w:t>
      </w:r>
      <w:r w:rsidR="00717606" w:rsidRPr="00C41F2B">
        <w:rPr>
          <w:iCs/>
        </w:rPr>
        <w:t xml:space="preserve"> is approximately 97% of the total treatment duration, suggesting that treatment interruptions are minor.</w:t>
      </w:r>
      <w:r w:rsidR="00FA1449" w:rsidRPr="00C41F2B">
        <w:rPr>
          <w:iCs/>
        </w:rPr>
        <w:t xml:space="preserve"> </w:t>
      </w:r>
    </w:p>
    <w:p w:rsidR="00864372" w:rsidRPr="00C41F2B" w:rsidRDefault="00864372" w:rsidP="00717606">
      <w:pPr>
        <w:pStyle w:val="3-BodyText"/>
        <w:numPr>
          <w:ilvl w:val="0"/>
          <w:numId w:val="9"/>
        </w:numPr>
        <w:ind w:left="1418"/>
      </w:pPr>
      <w:proofErr w:type="gramStart"/>
      <w:r w:rsidRPr="00C41F2B">
        <w:rPr>
          <w:iCs/>
        </w:rPr>
        <w:t>including</w:t>
      </w:r>
      <w:proofErr w:type="gramEnd"/>
      <w:r w:rsidRPr="00C41F2B">
        <w:rPr>
          <w:iCs/>
        </w:rPr>
        <w:t xml:space="preserve"> downstream germline testing costs in tumour positive patients and private/hospital funded test costs. The resubmission included downstream germline testing costs in tumour positive patients.</w:t>
      </w:r>
      <w:r w:rsidRPr="00C41F2B">
        <w:rPr>
          <w:rFonts w:eastAsiaTheme="minorHAnsi" w:cstheme="minorBidi"/>
          <w:szCs w:val="22"/>
          <w:lang w:eastAsia="en-US"/>
        </w:rPr>
        <w:t xml:space="preserve"> </w:t>
      </w:r>
    </w:p>
    <w:p w:rsidR="00864372" w:rsidRPr="00C41F2B" w:rsidRDefault="00864372" w:rsidP="00717606">
      <w:pPr>
        <w:pStyle w:val="3-BodyText"/>
        <w:numPr>
          <w:ilvl w:val="0"/>
          <w:numId w:val="9"/>
        </w:numPr>
        <w:ind w:left="1418"/>
      </w:pPr>
      <w:proofErr w:type="gramStart"/>
      <w:r w:rsidRPr="00C41F2B">
        <w:rPr>
          <w:iCs/>
        </w:rPr>
        <w:t>using</w:t>
      </w:r>
      <w:proofErr w:type="gramEnd"/>
      <w:r w:rsidRPr="00C41F2B">
        <w:rPr>
          <w:iCs/>
        </w:rPr>
        <w:t xml:space="preserve"> a prevalence for </w:t>
      </w:r>
      <w:proofErr w:type="spellStart"/>
      <w:r w:rsidRPr="00C41F2B">
        <w:rPr>
          <w:iCs/>
        </w:rPr>
        <w:t>gBRCAm</w:t>
      </w:r>
      <w:proofErr w:type="spellEnd"/>
      <w:r w:rsidRPr="00C41F2B">
        <w:rPr>
          <w:iCs/>
        </w:rPr>
        <w:t xml:space="preserve"> of 20.3%. This </w:t>
      </w:r>
      <w:r w:rsidR="009A3138" w:rsidRPr="00C41F2B">
        <w:rPr>
          <w:iCs/>
        </w:rPr>
        <w:t xml:space="preserve">proportion </w:t>
      </w:r>
      <w:r w:rsidR="00E80396" w:rsidRPr="00C41F2B">
        <w:rPr>
          <w:iCs/>
        </w:rPr>
        <w:t>wa</w:t>
      </w:r>
      <w:r w:rsidRPr="00C41F2B">
        <w:rPr>
          <w:iCs/>
        </w:rPr>
        <w:t xml:space="preserve">s </w:t>
      </w:r>
      <w:r w:rsidR="00E80396" w:rsidRPr="00C41F2B">
        <w:rPr>
          <w:iCs/>
        </w:rPr>
        <w:t>used in</w:t>
      </w:r>
      <w:r w:rsidRPr="00C41F2B">
        <w:rPr>
          <w:iCs/>
        </w:rPr>
        <w:t xml:space="preserve"> the resubmission. </w:t>
      </w:r>
    </w:p>
    <w:p w:rsidR="00864372" w:rsidRPr="00C41F2B" w:rsidRDefault="00864372" w:rsidP="00717606">
      <w:pPr>
        <w:pStyle w:val="3-BodyText"/>
        <w:numPr>
          <w:ilvl w:val="0"/>
          <w:numId w:val="8"/>
        </w:numPr>
        <w:ind w:left="1134"/>
      </w:pPr>
      <w:r w:rsidRPr="00C41F2B">
        <w:t xml:space="preserve">A revised, more conservative approach to estimating </w:t>
      </w:r>
      <w:r w:rsidR="00761254" w:rsidRPr="00C41F2B">
        <w:t>OS</w:t>
      </w:r>
      <w:r w:rsidRPr="00C41F2B">
        <w:t xml:space="preserve"> benefit, consistent with the OS benefit shown </w:t>
      </w:r>
      <w:r w:rsidR="00925C8E" w:rsidRPr="00C41F2B">
        <w:t>with</w:t>
      </w:r>
      <w:r w:rsidRPr="00C41F2B">
        <w:t xml:space="preserve"> </w:t>
      </w:r>
      <w:r w:rsidR="004F687F" w:rsidRPr="00C41F2B">
        <w:t>2L</w:t>
      </w:r>
      <w:r w:rsidRPr="00C41F2B">
        <w:t xml:space="preserve"> olaparib for patients who would not have been given olaparib in the </w:t>
      </w:r>
      <w:r w:rsidR="004F687F" w:rsidRPr="00C41F2B">
        <w:t>2L</w:t>
      </w:r>
      <w:r w:rsidRPr="00C41F2B">
        <w:t xml:space="preserve"> setting, or based on more mature survival data for </w:t>
      </w:r>
      <w:r w:rsidR="004F687F" w:rsidRPr="00C41F2B">
        <w:t>1L</w:t>
      </w:r>
      <w:r w:rsidRPr="00C41F2B">
        <w:t xml:space="preserve"> olaparib. The resubmission maintained PFS2 as a</w:t>
      </w:r>
      <w:r w:rsidR="00A3064E" w:rsidRPr="00C41F2B">
        <w:t xml:space="preserve"> </w:t>
      </w:r>
      <w:r w:rsidRPr="00C41F2B">
        <w:t>surrogate for OS and the implied surrogacy of PFS1 for OS through the use of the constructed PFS2 curve</w:t>
      </w:r>
      <w:r w:rsidR="00DF466E" w:rsidRPr="00C41F2B">
        <w:t xml:space="preserve"> in the extrapolated portion of the model</w:t>
      </w:r>
      <w:r w:rsidRPr="00C41F2B">
        <w:t xml:space="preserve">. While the resubmission used Study 19 to inform transitions from PFS2 to death in the extrapolated portion of the curve, the modelled difference in </w:t>
      </w:r>
      <w:r w:rsidR="00D11F18" w:rsidRPr="00C41F2B">
        <w:t>OS</w:t>
      </w:r>
      <w:r w:rsidRPr="00C41F2B">
        <w:t xml:space="preserve"> between the two treatment arms remained substantial and was not supported by the </w:t>
      </w:r>
      <w:r w:rsidR="00D70BB4" w:rsidRPr="00C41F2B">
        <w:t xml:space="preserve">available </w:t>
      </w:r>
      <w:r w:rsidRPr="00C41F2B">
        <w:t>clinical evidence</w:t>
      </w:r>
      <w:r w:rsidR="00DB6EED" w:rsidRPr="00C41F2B">
        <w:t xml:space="preserve"> for SOLO1</w:t>
      </w:r>
      <w:r w:rsidRPr="00C41F2B">
        <w:t>.</w:t>
      </w:r>
      <w:r w:rsidR="00DB651A" w:rsidRPr="00C41F2B">
        <w:t xml:space="preserve"> </w:t>
      </w:r>
    </w:p>
    <w:p w:rsidR="00864372" w:rsidRPr="00C41F2B" w:rsidRDefault="00864372" w:rsidP="00717606">
      <w:pPr>
        <w:pStyle w:val="3-BodyText"/>
        <w:numPr>
          <w:ilvl w:val="0"/>
          <w:numId w:val="8"/>
        </w:numPr>
        <w:ind w:left="1134"/>
      </w:pPr>
      <w:r w:rsidRPr="00C41F2B">
        <w:t xml:space="preserve">A time horizon of up to 15 years. The resubmission argued that a time horizon of 20 years was more appropriate given the likely difference in the proportion of patients experiencing cure. Using a longer time horizon would capture long-term cured survival benefits if they exist, but adds further uncertainty to the modelled results and favoured </w:t>
      </w:r>
      <w:r w:rsidR="00D00E60" w:rsidRPr="00C41F2B">
        <w:t xml:space="preserve">the </w:t>
      </w:r>
      <w:r w:rsidRPr="00C41F2B">
        <w:t xml:space="preserve">olaparib </w:t>
      </w:r>
      <w:r w:rsidR="004F687F" w:rsidRPr="00C41F2B">
        <w:t>1L</w:t>
      </w:r>
      <w:r w:rsidRPr="00C41F2B">
        <w:t xml:space="preserve"> treatment arm.</w:t>
      </w:r>
      <w:r w:rsidR="000E3D4A" w:rsidRPr="00C41F2B">
        <w:t xml:space="preserve"> The ESC </w:t>
      </w:r>
      <w:r w:rsidR="004E797D" w:rsidRPr="00C41F2B">
        <w:t xml:space="preserve">noted the </w:t>
      </w:r>
      <w:r w:rsidR="00DB6EED" w:rsidRPr="00C41F2B">
        <w:t>reduced</w:t>
      </w:r>
      <w:r w:rsidR="000E3D4A" w:rsidRPr="00C41F2B">
        <w:t xml:space="preserve"> time horizon of 20 years compared to </w:t>
      </w:r>
      <w:r w:rsidR="006F5711" w:rsidRPr="00C41F2B">
        <w:t>25 years</w:t>
      </w:r>
      <w:r w:rsidR="00DB6EED" w:rsidRPr="00C41F2B">
        <w:t xml:space="preserve"> in </w:t>
      </w:r>
      <w:r w:rsidR="000E3D4A" w:rsidRPr="00C41F2B">
        <w:t xml:space="preserve">the previous submission and considered </w:t>
      </w:r>
      <w:r w:rsidR="004E797D" w:rsidRPr="00C41F2B">
        <w:t xml:space="preserve">that </w:t>
      </w:r>
      <w:r w:rsidR="00057605" w:rsidRPr="00C41F2B">
        <w:t xml:space="preserve">a time horizon of </w:t>
      </w:r>
      <w:r w:rsidR="00574119" w:rsidRPr="00C41F2B">
        <w:t xml:space="preserve">up to </w:t>
      </w:r>
      <w:r w:rsidR="004E797D" w:rsidRPr="00C41F2B">
        <w:t>20 years may be reasonable given typical survival for advanced ovarian cancer is 10-15 years</w:t>
      </w:r>
      <w:r w:rsidR="005C1170" w:rsidRPr="00C41F2B">
        <w:t xml:space="preserve"> and would be longer </w:t>
      </w:r>
      <w:r w:rsidR="00190698" w:rsidRPr="00C41F2B">
        <w:t>where</w:t>
      </w:r>
      <w:r w:rsidR="004427CB" w:rsidRPr="00C41F2B">
        <w:t xml:space="preserve"> </w:t>
      </w:r>
      <w:r w:rsidR="005C1170" w:rsidRPr="00C41F2B">
        <w:t xml:space="preserve">patients </w:t>
      </w:r>
      <w:r w:rsidR="004427CB" w:rsidRPr="00C41F2B">
        <w:t>are considered</w:t>
      </w:r>
      <w:r w:rsidR="005C1170" w:rsidRPr="00C41F2B">
        <w:t xml:space="preserve"> cured</w:t>
      </w:r>
      <w:r w:rsidR="004E797D" w:rsidRPr="00C41F2B">
        <w:t>.</w:t>
      </w:r>
    </w:p>
    <w:p w:rsidR="00864372" w:rsidRPr="00C41F2B" w:rsidRDefault="00925C8E" w:rsidP="00717606">
      <w:pPr>
        <w:pStyle w:val="3-BodyText"/>
        <w:numPr>
          <w:ilvl w:val="0"/>
          <w:numId w:val="8"/>
        </w:numPr>
        <w:ind w:left="1134"/>
      </w:pPr>
      <w:r w:rsidRPr="00C41F2B">
        <w:t>I</w:t>
      </w:r>
      <w:r w:rsidR="00864372" w:rsidRPr="00C41F2B">
        <w:t>ncluding the impact of bevacizumab in the model for the patient population with sub</w:t>
      </w:r>
      <w:r w:rsidR="00FD64FB">
        <w:t>-</w:t>
      </w:r>
      <w:r w:rsidR="00864372" w:rsidRPr="00C41F2B">
        <w:t xml:space="preserve">optimally </w:t>
      </w:r>
      <w:proofErr w:type="spellStart"/>
      <w:r w:rsidR="00864372" w:rsidRPr="00C41F2B">
        <w:t>debulked</w:t>
      </w:r>
      <w:proofErr w:type="spellEnd"/>
      <w:r w:rsidR="00864372" w:rsidRPr="00C41F2B">
        <w:t xml:space="preserve"> Stage IIIB/C and all Stage IV patients who would be treated with olaparib maintenance instead of bevacizumab. This analysis was not included in the resubmission base case but provided as a sensitivity analysis.</w:t>
      </w:r>
      <w:r w:rsidR="004440B8" w:rsidRPr="00C41F2B">
        <w:t xml:space="preserve"> </w:t>
      </w:r>
    </w:p>
    <w:p w:rsidR="00864372" w:rsidRPr="00C41F2B" w:rsidRDefault="00864372" w:rsidP="00717606">
      <w:pPr>
        <w:pStyle w:val="3-BodyText"/>
        <w:numPr>
          <w:ilvl w:val="0"/>
          <w:numId w:val="8"/>
        </w:numPr>
        <w:ind w:left="1134"/>
      </w:pPr>
      <w:r w:rsidRPr="00C41F2B">
        <w:t xml:space="preserve">Consideration of the impact of increased </w:t>
      </w:r>
      <w:r w:rsidR="004F687F" w:rsidRPr="00C41F2B">
        <w:t>2L</w:t>
      </w:r>
      <w:r w:rsidRPr="00C41F2B">
        <w:t xml:space="preserve"> therapies. This was not addressed by the resubmission. Costs associated with the use of </w:t>
      </w:r>
      <w:r w:rsidR="004F687F" w:rsidRPr="00C41F2B">
        <w:t>2L</w:t>
      </w:r>
      <w:r w:rsidRPr="00C41F2B">
        <w:t xml:space="preserve"> therapies remain identical to those considered in the November 2019 submission</w:t>
      </w:r>
      <w:r w:rsidR="00D00E60" w:rsidRPr="00C41F2B">
        <w:t>.</w:t>
      </w:r>
    </w:p>
    <w:p w:rsidR="00BF2F47" w:rsidRPr="00C41F2B" w:rsidRDefault="00864372" w:rsidP="00717606">
      <w:pPr>
        <w:pStyle w:val="3-BodyText"/>
        <w:numPr>
          <w:ilvl w:val="0"/>
          <w:numId w:val="8"/>
        </w:numPr>
        <w:ind w:left="1134"/>
      </w:pPr>
      <w:r w:rsidRPr="00C41F2B">
        <w:rPr>
          <w:iCs/>
        </w:rPr>
        <w:t xml:space="preserve">A reduced price resulting in an ICER consistent with that accepted for olaparib in the </w:t>
      </w:r>
      <w:r w:rsidR="004F687F" w:rsidRPr="00C41F2B">
        <w:rPr>
          <w:iCs/>
        </w:rPr>
        <w:t>2L</w:t>
      </w:r>
      <w:r w:rsidRPr="00C41F2B">
        <w:rPr>
          <w:iCs/>
        </w:rPr>
        <w:t xml:space="preserve"> setting (</w:t>
      </w:r>
      <w:r w:rsidR="00A3094E" w:rsidRPr="00A3094E">
        <w:rPr>
          <w:iCs/>
          <w:color w:val="000000" w:themeColor="text1"/>
          <w:szCs w:val="20"/>
        </w:rPr>
        <w:t>$55,000 to &lt; $75,000</w:t>
      </w:r>
      <w:r w:rsidRPr="00C41F2B">
        <w:rPr>
          <w:iCs/>
        </w:rPr>
        <w:t xml:space="preserve"> per QALY).</w:t>
      </w:r>
      <w:r w:rsidRPr="00C41F2B">
        <w:t xml:space="preserve"> The proposed ex-manufacturer price of olaparib remained unchanged from the previous submission, however, the ICER in the resubmission base case </w:t>
      </w:r>
      <w:r w:rsidR="0078616C" w:rsidRPr="00C41F2B">
        <w:t>wa</w:t>
      </w:r>
      <w:r w:rsidRPr="00C41F2B">
        <w:t xml:space="preserve">s claimed to be less than </w:t>
      </w:r>
      <w:r w:rsidR="00A3094E" w:rsidRPr="00A3094E">
        <w:rPr>
          <w:iCs/>
          <w:color w:val="000000" w:themeColor="text1"/>
          <w:szCs w:val="20"/>
        </w:rPr>
        <w:t>$55,000 to &lt; $75,000</w:t>
      </w:r>
      <w:r w:rsidRPr="00C41F2B">
        <w:t>/QALY.</w:t>
      </w:r>
    </w:p>
    <w:p w:rsidR="00E35438" w:rsidRPr="00C41F2B" w:rsidRDefault="00B44148" w:rsidP="00294D55">
      <w:pPr>
        <w:pStyle w:val="3-BodyText"/>
      </w:pPr>
      <w:r w:rsidRPr="00C41F2B">
        <w:lastRenderedPageBreak/>
        <w:t xml:space="preserve">Overall, the ICER presented in the resubmission was </w:t>
      </w:r>
      <w:r w:rsidR="00666EE5" w:rsidRPr="00C41F2B">
        <w:t>higher (</w:t>
      </w:r>
      <w:r w:rsidR="00A3094E">
        <w:t>$35,000 - &lt; $45,000</w:t>
      </w:r>
      <w:r w:rsidR="00666EE5" w:rsidRPr="00C41F2B">
        <w:t>/QALY) than</w:t>
      </w:r>
      <w:r w:rsidR="00CC60F8" w:rsidRPr="00C41F2B">
        <w:t xml:space="preserve"> in</w:t>
      </w:r>
      <w:r w:rsidR="00666EE5" w:rsidRPr="00C41F2B">
        <w:t xml:space="preserve"> the original submission (</w:t>
      </w:r>
      <w:r w:rsidR="00A3094E">
        <w:t>$35,000 - &lt; $45,000</w:t>
      </w:r>
      <w:r w:rsidR="00666EE5" w:rsidRPr="00C41F2B">
        <w:t xml:space="preserve">/QALY). </w:t>
      </w:r>
      <w:r w:rsidR="00E35438" w:rsidRPr="00C41F2B">
        <w:t xml:space="preserve">Compared with the original submission, </w:t>
      </w:r>
      <w:r w:rsidR="00386B82" w:rsidRPr="00C41F2B">
        <w:t>there</w:t>
      </w:r>
      <w:r w:rsidR="00294D55" w:rsidRPr="00C41F2B">
        <w:t xml:space="preserve"> was a decrease in the incremental QALYs gained</w:t>
      </w:r>
      <w:r w:rsidR="001D2D00" w:rsidRPr="00C41F2B">
        <w:t xml:space="preserve"> (6.8%)</w:t>
      </w:r>
      <w:r w:rsidR="00294D55" w:rsidRPr="00C41F2B">
        <w:t>, and a</w:t>
      </w:r>
      <w:r w:rsidR="00CC60F8" w:rsidRPr="00C41F2B">
        <w:t>n</w:t>
      </w:r>
      <w:r w:rsidR="00294D55" w:rsidRPr="00C41F2B">
        <w:t xml:space="preserve"> increase in the incremental costs</w:t>
      </w:r>
      <w:r w:rsidR="001D2D00" w:rsidRPr="00C41F2B">
        <w:t xml:space="preserve"> (6.3%)</w:t>
      </w:r>
      <w:r w:rsidR="00434F2C" w:rsidRPr="00C41F2B">
        <w:t>:</w:t>
      </w:r>
    </w:p>
    <w:p w:rsidR="00294D55" w:rsidRPr="00C41F2B" w:rsidRDefault="00E35438" w:rsidP="00717606">
      <w:pPr>
        <w:pStyle w:val="3-BodyText"/>
        <w:numPr>
          <w:ilvl w:val="0"/>
          <w:numId w:val="8"/>
        </w:numPr>
        <w:ind w:left="1134"/>
        <w:rPr>
          <w:iCs/>
        </w:rPr>
      </w:pPr>
      <w:r w:rsidRPr="00C41F2B">
        <w:rPr>
          <w:iCs/>
        </w:rPr>
        <w:t xml:space="preserve">The reduction in the incremental QALYs gained from the original submission was in part due to a changes in the transition probabilities between PFS2 and OS (based on Study 19 rather than AOCS data), and a reduction in the modelled difference between the PFS1 curves (based on a mixed cure model rather than standard parametric functions alone). The </w:t>
      </w:r>
      <w:r w:rsidR="00294D55" w:rsidRPr="00C41F2B">
        <w:rPr>
          <w:iCs/>
        </w:rPr>
        <w:t>increased utility values for the PFS2 and progressed health states</w:t>
      </w:r>
      <w:r w:rsidR="003E6C21" w:rsidRPr="00C41F2B">
        <w:rPr>
          <w:iCs/>
        </w:rPr>
        <w:t xml:space="preserve"> also</w:t>
      </w:r>
      <w:r w:rsidR="00294D55" w:rsidRPr="00C41F2B">
        <w:rPr>
          <w:iCs/>
        </w:rPr>
        <w:t xml:space="preserve"> reduced the incremental QALY gain. </w:t>
      </w:r>
    </w:p>
    <w:p w:rsidR="00E35438" w:rsidRPr="00C41F2B" w:rsidRDefault="00294D55" w:rsidP="00717606">
      <w:pPr>
        <w:pStyle w:val="3-BodyText"/>
        <w:numPr>
          <w:ilvl w:val="0"/>
          <w:numId w:val="8"/>
        </w:numPr>
        <w:ind w:left="1134"/>
        <w:rPr>
          <w:iCs/>
        </w:rPr>
      </w:pPr>
      <w:r w:rsidRPr="00C41F2B">
        <w:rPr>
          <w:iCs/>
        </w:rPr>
        <w:t xml:space="preserve">The </w:t>
      </w:r>
      <w:r w:rsidR="00DB651A" w:rsidRPr="00C41F2B">
        <w:rPr>
          <w:iCs/>
        </w:rPr>
        <w:t xml:space="preserve">increase </w:t>
      </w:r>
      <w:r w:rsidRPr="00C41F2B">
        <w:rPr>
          <w:iCs/>
        </w:rPr>
        <w:t xml:space="preserve">in incremental costs </w:t>
      </w:r>
      <w:r w:rsidR="001D2D00" w:rsidRPr="00C41F2B">
        <w:rPr>
          <w:iCs/>
        </w:rPr>
        <w:t xml:space="preserve">was mostly driven by an increase in the modelled cost of </w:t>
      </w:r>
      <w:r w:rsidR="004F687F" w:rsidRPr="00C41F2B">
        <w:rPr>
          <w:iCs/>
        </w:rPr>
        <w:t>1L</w:t>
      </w:r>
      <w:r w:rsidR="001D2D00" w:rsidRPr="00C41F2B">
        <w:rPr>
          <w:iCs/>
        </w:rPr>
        <w:t xml:space="preserve"> </w:t>
      </w:r>
      <w:r w:rsidR="004A1171" w:rsidRPr="00C41F2B">
        <w:rPr>
          <w:iCs/>
        </w:rPr>
        <w:t>olaparib</w:t>
      </w:r>
      <w:r w:rsidR="001D2D00" w:rsidRPr="00C41F2B">
        <w:rPr>
          <w:iCs/>
        </w:rPr>
        <w:t xml:space="preserve"> (</w:t>
      </w:r>
      <w:r w:rsidR="00A3094E">
        <w:rPr>
          <w:iCs/>
        </w:rPr>
        <w:t>$25,000 - &lt; $35,000</w:t>
      </w:r>
      <w:r w:rsidR="001D2D00" w:rsidRPr="00C41F2B">
        <w:rPr>
          <w:iCs/>
        </w:rPr>
        <w:t xml:space="preserve"> vs </w:t>
      </w:r>
      <w:r w:rsidR="00A3094E">
        <w:rPr>
          <w:iCs/>
        </w:rPr>
        <w:t>$15,000 - &lt; $25,000</w:t>
      </w:r>
      <w:r w:rsidR="001D2D00" w:rsidRPr="00C41F2B">
        <w:rPr>
          <w:iCs/>
        </w:rPr>
        <w:t xml:space="preserve">), which was partly mediated by an increase in cost-offsets associated with the use of </w:t>
      </w:r>
      <w:r w:rsidR="004F687F" w:rsidRPr="00C41F2B">
        <w:rPr>
          <w:iCs/>
        </w:rPr>
        <w:t>2L</w:t>
      </w:r>
      <w:r w:rsidR="001D2D00" w:rsidRPr="00C41F2B">
        <w:rPr>
          <w:iCs/>
        </w:rPr>
        <w:t xml:space="preserve"> olaparib (</w:t>
      </w:r>
      <w:r w:rsidR="00A3094E" w:rsidRPr="00B1026A">
        <w:rPr>
          <w:rFonts w:cstheme="minorHAnsi"/>
        </w:rPr>
        <w:t>$5,000 to &lt; $15,000</w:t>
      </w:r>
      <w:r w:rsidR="001D2D00" w:rsidRPr="00165467">
        <w:rPr>
          <w:iCs/>
        </w:rPr>
        <w:t xml:space="preserve"> vs </w:t>
      </w:r>
      <w:r w:rsidR="00A3094E" w:rsidRPr="00B1026A">
        <w:rPr>
          <w:rFonts w:cstheme="minorHAnsi"/>
        </w:rPr>
        <w:t>$5,000 to &lt; $15,000</w:t>
      </w:r>
      <w:r w:rsidR="001D2D00" w:rsidRPr="00C41F2B">
        <w:rPr>
          <w:iCs/>
        </w:rPr>
        <w:t>)</w:t>
      </w:r>
      <w:r w:rsidR="00386B82" w:rsidRPr="00C41F2B">
        <w:rPr>
          <w:iCs/>
        </w:rPr>
        <w:t>. These changes are du</w:t>
      </w:r>
      <w:r w:rsidR="001D2D00" w:rsidRPr="00C41F2B">
        <w:rPr>
          <w:iCs/>
        </w:rPr>
        <w:t xml:space="preserve">e to the increased prevalence of </w:t>
      </w:r>
      <w:proofErr w:type="spellStart"/>
      <w:r w:rsidR="00386B82" w:rsidRPr="00C41F2B">
        <w:rPr>
          <w:iCs/>
        </w:rPr>
        <w:t>gBRCAm</w:t>
      </w:r>
      <w:proofErr w:type="spellEnd"/>
      <w:r w:rsidR="00386B82" w:rsidRPr="00C41F2B">
        <w:rPr>
          <w:iCs/>
        </w:rPr>
        <w:t xml:space="preserve"> (updated from 17% to 20.3%, based on PBAC advice). </w:t>
      </w:r>
    </w:p>
    <w:p w:rsidR="00BF2F47" w:rsidRPr="00C41F2B" w:rsidRDefault="00057605" w:rsidP="00BF2F47">
      <w:pPr>
        <w:pStyle w:val="3-BodyText"/>
        <w:rPr>
          <w:i/>
        </w:rPr>
      </w:pPr>
      <w:r w:rsidRPr="00C41F2B">
        <w:rPr>
          <w:snapToGrid/>
        </w:rPr>
        <w:t>The ESC noted that t</w:t>
      </w:r>
      <w:r w:rsidR="00BF2F47" w:rsidRPr="00C41F2B">
        <w:rPr>
          <w:snapToGrid/>
        </w:rPr>
        <w:t xml:space="preserve">he difference in the model structure between the resubmission and the previous submission is the addition of a “cured” health state, which was based on the PBAC advice that the economic model should incorporate a proportion of patients cured in the </w:t>
      </w:r>
      <w:r w:rsidR="004F687F" w:rsidRPr="00C41F2B">
        <w:rPr>
          <w:snapToGrid/>
        </w:rPr>
        <w:t>1L</w:t>
      </w:r>
      <w:r w:rsidR="00BF2F47" w:rsidRPr="00C41F2B">
        <w:rPr>
          <w:snapToGrid/>
        </w:rPr>
        <w:t xml:space="preserve"> placebo group (</w:t>
      </w:r>
      <w:r w:rsidR="00E26DCA" w:rsidRPr="00C41F2B">
        <w:rPr>
          <w:snapToGrid/>
        </w:rPr>
        <w:t>p</w:t>
      </w:r>
      <w:r w:rsidR="00BF2F47" w:rsidRPr="00C41F2B">
        <w:rPr>
          <w:snapToGrid/>
        </w:rPr>
        <w:t xml:space="preserve">ara 7.20, olaparib PSD, November 2019 PBAC Meeting). </w:t>
      </w:r>
      <w:r w:rsidR="00DC300C" w:rsidRPr="00C41F2B">
        <w:t>The PSCR argued that the revised model structure allows the consideration of outcomes for cured and uncured patients separately, decreasing the uncertainty in the overall modelled OS gain.</w:t>
      </w:r>
      <w:r w:rsidR="00DC300C" w:rsidRPr="00C41F2B">
        <w:rPr>
          <w:iCs/>
          <w:snapToGrid/>
        </w:rPr>
        <w:t xml:space="preserve"> The ESC considered that </w:t>
      </w:r>
      <w:r w:rsidR="00A3064E" w:rsidRPr="00C41F2B">
        <w:rPr>
          <w:iCs/>
          <w:snapToGrid/>
        </w:rPr>
        <w:t xml:space="preserve">the cure rates applied in the model </w:t>
      </w:r>
      <w:r w:rsidR="00611EE4" w:rsidRPr="00C41F2B">
        <w:rPr>
          <w:iCs/>
          <w:snapToGrid/>
        </w:rPr>
        <w:t>were not</w:t>
      </w:r>
      <w:r w:rsidR="00A3064E" w:rsidRPr="00C41F2B">
        <w:rPr>
          <w:iCs/>
          <w:snapToGrid/>
        </w:rPr>
        <w:t xml:space="preserve"> a</w:t>
      </w:r>
      <w:r w:rsidR="00611EE4" w:rsidRPr="00C41F2B">
        <w:rPr>
          <w:iCs/>
          <w:snapToGrid/>
        </w:rPr>
        <w:t xml:space="preserve">dequately supported by the data provided, </w:t>
      </w:r>
      <w:r w:rsidR="006A2A44" w:rsidRPr="00C41F2B">
        <w:rPr>
          <w:iCs/>
          <w:snapToGrid/>
        </w:rPr>
        <w:t>and</w:t>
      </w:r>
      <w:r w:rsidR="00611EE4" w:rsidRPr="00C41F2B">
        <w:rPr>
          <w:iCs/>
          <w:snapToGrid/>
        </w:rPr>
        <w:t xml:space="preserve"> may not be applicable to the patient population included in the model.</w:t>
      </w:r>
      <w:r w:rsidR="00611EE4" w:rsidRPr="00C41F2B" w:rsidDel="00A3064E">
        <w:rPr>
          <w:rStyle w:val="CommentReference"/>
          <w:rFonts w:cs="Times New Roman"/>
          <w:snapToGrid/>
          <w:lang w:eastAsia="en-GB"/>
        </w:rPr>
        <w:t xml:space="preserve"> </w:t>
      </w:r>
    </w:p>
    <w:p w:rsidR="00BF2F47" w:rsidRPr="00C41F2B" w:rsidRDefault="00BF2F47" w:rsidP="00BF2F47">
      <w:pPr>
        <w:pStyle w:val="3-BodyText"/>
      </w:pPr>
      <w:r w:rsidRPr="00C41F2B">
        <w:rPr>
          <w:iCs/>
          <w:snapToGrid/>
        </w:rPr>
        <w:t>The</w:t>
      </w:r>
      <w:r w:rsidRPr="00C41F2B">
        <w:rPr>
          <w:iCs/>
        </w:rPr>
        <w:t xml:space="preserve"> </w:t>
      </w:r>
      <w:r w:rsidRPr="00C41F2B">
        <w:t>key drivers of the model are summarised below.</w:t>
      </w:r>
    </w:p>
    <w:p w:rsidR="00BF2F47" w:rsidRPr="00C41F2B" w:rsidRDefault="00BF2F47" w:rsidP="006C4B81">
      <w:pPr>
        <w:pStyle w:val="TableFigureHeading"/>
      </w:pPr>
      <w:r w:rsidRPr="00C41F2B">
        <w:t xml:space="preserve">Table </w:t>
      </w:r>
      <w:r w:rsidR="00A0380C">
        <w:rPr>
          <w:noProof/>
        </w:rPr>
        <w:t>8</w:t>
      </w:r>
      <w:r w:rsidRPr="00C41F2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5172"/>
        <w:gridCol w:w="2431"/>
      </w:tblGrid>
      <w:tr w:rsidR="00BF2F47" w:rsidRPr="00C41F2B" w:rsidTr="009C41E3">
        <w:trPr>
          <w:tblHeader/>
        </w:trPr>
        <w:tc>
          <w:tcPr>
            <w:tcW w:w="784" w:type="pct"/>
            <w:shd w:val="clear" w:color="auto" w:fill="auto"/>
            <w:vAlign w:val="bottom"/>
          </w:tcPr>
          <w:p w:rsidR="00BF2F47" w:rsidRPr="00C41F2B" w:rsidRDefault="00BF2F47" w:rsidP="009C41E3">
            <w:pPr>
              <w:pStyle w:val="TableText0"/>
              <w:rPr>
                <w:b/>
                <w:szCs w:val="20"/>
              </w:rPr>
            </w:pPr>
            <w:r w:rsidRPr="00C41F2B">
              <w:rPr>
                <w:b/>
                <w:szCs w:val="20"/>
              </w:rPr>
              <w:t>Description</w:t>
            </w:r>
          </w:p>
        </w:tc>
        <w:tc>
          <w:tcPr>
            <w:tcW w:w="2868" w:type="pct"/>
            <w:shd w:val="clear" w:color="auto" w:fill="auto"/>
            <w:vAlign w:val="bottom"/>
          </w:tcPr>
          <w:p w:rsidR="00BF2F47" w:rsidRPr="00C41F2B" w:rsidRDefault="00BF2F47" w:rsidP="009C41E3">
            <w:pPr>
              <w:pStyle w:val="TableText0"/>
              <w:rPr>
                <w:b/>
                <w:szCs w:val="20"/>
              </w:rPr>
            </w:pPr>
            <w:r w:rsidRPr="00C41F2B">
              <w:rPr>
                <w:b/>
                <w:szCs w:val="20"/>
              </w:rPr>
              <w:t>Method/Value</w:t>
            </w:r>
          </w:p>
        </w:tc>
        <w:tc>
          <w:tcPr>
            <w:tcW w:w="1348" w:type="pct"/>
            <w:shd w:val="clear" w:color="auto" w:fill="auto"/>
            <w:vAlign w:val="bottom"/>
          </w:tcPr>
          <w:p w:rsidR="00BF2F47" w:rsidRPr="00C41F2B" w:rsidRDefault="00BF2F47" w:rsidP="009C41E3">
            <w:pPr>
              <w:pStyle w:val="TableText0"/>
              <w:rPr>
                <w:b/>
                <w:szCs w:val="20"/>
              </w:rPr>
            </w:pPr>
            <w:r w:rsidRPr="00C41F2B">
              <w:rPr>
                <w:b/>
                <w:szCs w:val="20"/>
              </w:rPr>
              <w:t>Impact</w:t>
            </w:r>
          </w:p>
        </w:tc>
      </w:tr>
      <w:tr w:rsidR="00BF2F47" w:rsidRPr="00C41F2B" w:rsidTr="009C41E3">
        <w:tc>
          <w:tcPr>
            <w:tcW w:w="784" w:type="pct"/>
            <w:shd w:val="clear" w:color="auto" w:fill="auto"/>
            <w:vAlign w:val="center"/>
          </w:tcPr>
          <w:p w:rsidR="00BF2F47" w:rsidRPr="00C41F2B" w:rsidRDefault="00BF2F47" w:rsidP="009C41E3">
            <w:pPr>
              <w:pStyle w:val="TableText0"/>
              <w:rPr>
                <w:szCs w:val="20"/>
              </w:rPr>
            </w:pPr>
            <w:r w:rsidRPr="00C41F2B">
              <w:rPr>
                <w:szCs w:val="20"/>
              </w:rPr>
              <w:t>Extrapolation</w:t>
            </w:r>
          </w:p>
        </w:tc>
        <w:tc>
          <w:tcPr>
            <w:tcW w:w="2868" w:type="pct"/>
            <w:shd w:val="clear" w:color="auto" w:fill="auto"/>
            <w:vAlign w:val="center"/>
          </w:tcPr>
          <w:p w:rsidR="00BF2F47" w:rsidRPr="00C41F2B" w:rsidRDefault="00BF2F47" w:rsidP="009C41E3">
            <w:pPr>
              <w:pStyle w:val="TableText0"/>
              <w:rPr>
                <w:szCs w:val="20"/>
              </w:rPr>
            </w:pPr>
            <w:r w:rsidRPr="00C41F2B">
              <w:rPr>
                <w:szCs w:val="20"/>
              </w:rPr>
              <w:t xml:space="preserve">OS curves are constructed from a combination of Kaplan Meier data from the SOLO1 trial for the first 41 months, and constructed survival curve of time from PFS2 to death, based on PFS and (adjusted) OS curves from Study 19. </w:t>
            </w:r>
          </w:p>
        </w:tc>
        <w:tc>
          <w:tcPr>
            <w:tcW w:w="1348" w:type="pct"/>
            <w:shd w:val="clear" w:color="auto" w:fill="auto"/>
            <w:vAlign w:val="center"/>
          </w:tcPr>
          <w:p w:rsidR="00BF2F47" w:rsidRPr="00C41F2B" w:rsidRDefault="00BF2F47" w:rsidP="009C41E3">
            <w:pPr>
              <w:pStyle w:val="TableText0"/>
              <w:rPr>
                <w:szCs w:val="20"/>
              </w:rPr>
            </w:pPr>
            <w:r w:rsidRPr="00C41F2B">
              <w:rPr>
                <w:szCs w:val="20"/>
              </w:rPr>
              <w:t>High, favours olaparib</w:t>
            </w:r>
          </w:p>
        </w:tc>
      </w:tr>
      <w:tr w:rsidR="00BF2F47" w:rsidRPr="00C41F2B" w:rsidTr="009C41E3">
        <w:tc>
          <w:tcPr>
            <w:tcW w:w="784" w:type="pct"/>
            <w:shd w:val="clear" w:color="auto" w:fill="auto"/>
            <w:vAlign w:val="center"/>
          </w:tcPr>
          <w:p w:rsidR="00BF2F47" w:rsidRPr="00C41F2B" w:rsidRDefault="00BF2F47" w:rsidP="009C41E3">
            <w:pPr>
              <w:pStyle w:val="TableText0"/>
              <w:rPr>
                <w:szCs w:val="20"/>
              </w:rPr>
            </w:pPr>
            <w:r w:rsidRPr="00C41F2B">
              <w:rPr>
                <w:szCs w:val="20"/>
              </w:rPr>
              <w:t>Utilities</w:t>
            </w:r>
          </w:p>
        </w:tc>
        <w:tc>
          <w:tcPr>
            <w:tcW w:w="2868" w:type="pct"/>
            <w:shd w:val="clear" w:color="auto" w:fill="auto"/>
            <w:vAlign w:val="center"/>
          </w:tcPr>
          <w:p w:rsidR="00BF2F47" w:rsidRPr="00C41F2B" w:rsidRDefault="00BF2F47" w:rsidP="009C41E3">
            <w:pPr>
              <w:pStyle w:val="TableText0"/>
              <w:rPr>
                <w:szCs w:val="20"/>
              </w:rPr>
            </w:pPr>
            <w:r w:rsidRPr="00C41F2B">
              <w:rPr>
                <w:szCs w:val="20"/>
              </w:rPr>
              <w:t xml:space="preserve">Utility values for PFS2 and PD derived by weighting the utility value for patients not well enough to receive </w:t>
            </w:r>
            <w:r w:rsidR="004F687F" w:rsidRPr="00C41F2B">
              <w:rPr>
                <w:szCs w:val="20"/>
              </w:rPr>
              <w:t>2L</w:t>
            </w:r>
            <w:r w:rsidRPr="00C41F2B">
              <w:rPr>
                <w:szCs w:val="20"/>
              </w:rPr>
              <w:t xml:space="preserve"> olaparib maintenance from </w:t>
            </w:r>
            <w:proofErr w:type="spellStart"/>
            <w:r w:rsidRPr="00C41F2B">
              <w:rPr>
                <w:szCs w:val="20"/>
              </w:rPr>
              <w:t>Havrilesky</w:t>
            </w:r>
            <w:proofErr w:type="spellEnd"/>
            <w:r w:rsidRPr="00C41F2B">
              <w:rPr>
                <w:szCs w:val="20"/>
              </w:rPr>
              <w:t xml:space="preserve">, and those who are healthy enough to receive </w:t>
            </w:r>
            <w:r w:rsidR="004F687F" w:rsidRPr="00C41F2B">
              <w:rPr>
                <w:szCs w:val="20"/>
              </w:rPr>
              <w:t>2L</w:t>
            </w:r>
            <w:r w:rsidRPr="00C41F2B">
              <w:rPr>
                <w:szCs w:val="20"/>
              </w:rPr>
              <w:t xml:space="preserve"> olaparib maintenance from Study 19. The PBAC previously advised to use utility values from Study 19 for these healthy states. </w:t>
            </w:r>
          </w:p>
        </w:tc>
        <w:tc>
          <w:tcPr>
            <w:tcW w:w="1348" w:type="pct"/>
            <w:shd w:val="clear" w:color="auto" w:fill="auto"/>
            <w:vAlign w:val="center"/>
          </w:tcPr>
          <w:p w:rsidR="00BF2F47" w:rsidRPr="00C41F2B" w:rsidRDefault="00570331" w:rsidP="009C41E3">
            <w:pPr>
              <w:pStyle w:val="TableText0"/>
              <w:rPr>
                <w:szCs w:val="20"/>
              </w:rPr>
            </w:pPr>
            <w:r w:rsidRPr="00C41F2B">
              <w:rPr>
                <w:szCs w:val="20"/>
              </w:rPr>
              <w:t>High</w:t>
            </w:r>
            <w:r w:rsidR="00BF2F47" w:rsidRPr="00C41F2B">
              <w:rPr>
                <w:szCs w:val="20"/>
              </w:rPr>
              <w:t>, favours olaparib</w:t>
            </w:r>
          </w:p>
        </w:tc>
      </w:tr>
      <w:tr w:rsidR="00BF2F47" w:rsidRPr="00C41F2B" w:rsidTr="009C41E3">
        <w:tc>
          <w:tcPr>
            <w:tcW w:w="784" w:type="pct"/>
            <w:shd w:val="clear" w:color="auto" w:fill="auto"/>
            <w:vAlign w:val="center"/>
          </w:tcPr>
          <w:p w:rsidR="00BF2F47" w:rsidRPr="00C41F2B" w:rsidRDefault="00BF2F47" w:rsidP="009C41E3">
            <w:pPr>
              <w:pStyle w:val="TableText0"/>
              <w:rPr>
                <w:szCs w:val="20"/>
              </w:rPr>
            </w:pPr>
            <w:r w:rsidRPr="00C41F2B">
              <w:rPr>
                <w:szCs w:val="20"/>
              </w:rPr>
              <w:t>Time horizon</w:t>
            </w:r>
          </w:p>
        </w:tc>
        <w:tc>
          <w:tcPr>
            <w:tcW w:w="2868" w:type="pct"/>
            <w:shd w:val="clear" w:color="auto" w:fill="auto"/>
            <w:vAlign w:val="center"/>
          </w:tcPr>
          <w:p w:rsidR="00BF2F47" w:rsidRPr="00C41F2B" w:rsidRDefault="00BF2F47" w:rsidP="009C41E3">
            <w:pPr>
              <w:pStyle w:val="TableText0"/>
              <w:rPr>
                <w:szCs w:val="20"/>
              </w:rPr>
            </w:pPr>
            <w:r w:rsidRPr="00C41F2B">
              <w:rPr>
                <w:szCs w:val="20"/>
              </w:rPr>
              <w:t>20 years. The PBAC previously advised a 15 year time horizon.</w:t>
            </w:r>
          </w:p>
        </w:tc>
        <w:tc>
          <w:tcPr>
            <w:tcW w:w="1348" w:type="pct"/>
            <w:shd w:val="clear" w:color="auto" w:fill="auto"/>
            <w:vAlign w:val="center"/>
          </w:tcPr>
          <w:p w:rsidR="00BF2F47" w:rsidRPr="00C41F2B" w:rsidRDefault="00BF2F47" w:rsidP="009C41E3">
            <w:pPr>
              <w:pStyle w:val="TableText0"/>
              <w:rPr>
                <w:szCs w:val="20"/>
              </w:rPr>
            </w:pPr>
            <w:r w:rsidRPr="00C41F2B">
              <w:rPr>
                <w:szCs w:val="20"/>
              </w:rPr>
              <w:t>Moderate, favours olaparib</w:t>
            </w:r>
          </w:p>
        </w:tc>
      </w:tr>
    </w:tbl>
    <w:p w:rsidR="00BF2F47" w:rsidRPr="00C41F2B" w:rsidRDefault="00BF2F47" w:rsidP="006C4B81">
      <w:pPr>
        <w:pStyle w:val="TableFigureFooter"/>
      </w:pPr>
      <w:r w:rsidRPr="00C41F2B">
        <w:t>Source: compiled during the evaluation based on data presented in Section 3.9 of the resubmission.</w:t>
      </w:r>
    </w:p>
    <w:p w:rsidR="00BF2F47" w:rsidRPr="00C41F2B" w:rsidRDefault="00BF2F47" w:rsidP="006C4B81">
      <w:pPr>
        <w:pStyle w:val="TableFigureFooter"/>
      </w:pPr>
      <w:r w:rsidRPr="00C41F2B">
        <w:t xml:space="preserve">OS = overall survival; PFS2 = Progression-free survival following </w:t>
      </w:r>
      <w:r w:rsidR="004F687F" w:rsidRPr="00C41F2B">
        <w:t>2L</w:t>
      </w:r>
      <w:r w:rsidRPr="00C41F2B">
        <w:t xml:space="preserve"> platinum regimen; PD = progressive disease.</w:t>
      </w:r>
    </w:p>
    <w:p w:rsidR="00BF2F47" w:rsidRPr="00C41F2B" w:rsidRDefault="00BF2F47" w:rsidP="006C4B81">
      <w:pPr>
        <w:pStyle w:val="TableFigureFooter"/>
      </w:pPr>
    </w:p>
    <w:p w:rsidR="00BF2F47" w:rsidRPr="00C41F2B" w:rsidRDefault="00410E6A" w:rsidP="00EA4C5B">
      <w:pPr>
        <w:pStyle w:val="3-BodyText"/>
      </w:pPr>
      <w:r w:rsidRPr="00C41F2B">
        <w:t>The ESC agreed with the evaluators that a</w:t>
      </w:r>
      <w:r w:rsidR="00DD3611" w:rsidRPr="00C41F2B">
        <w:t xml:space="preserve">lthough the </w:t>
      </w:r>
      <w:r w:rsidR="0078616C" w:rsidRPr="00C41F2B">
        <w:t xml:space="preserve">data informing the </w:t>
      </w:r>
      <w:r w:rsidR="00DD3611" w:rsidRPr="00C41F2B">
        <w:t xml:space="preserve">extrapolation of OS in the resubmission was different </w:t>
      </w:r>
      <w:r w:rsidR="0078616C" w:rsidRPr="00C41F2B">
        <w:t xml:space="preserve">to </w:t>
      </w:r>
      <w:r w:rsidR="00DD3611" w:rsidRPr="00C41F2B">
        <w:t>that used in the previous submission</w:t>
      </w:r>
      <w:r w:rsidR="0078616C" w:rsidRPr="00C41F2B">
        <w:t xml:space="preserve"> (</w:t>
      </w:r>
      <w:r w:rsidR="00DA7BFE" w:rsidRPr="00C41F2B">
        <w:t>i.e.</w:t>
      </w:r>
      <w:r w:rsidR="0078616C" w:rsidRPr="00C41F2B">
        <w:t xml:space="preserve"> Study 19 rather than AOCS data)</w:t>
      </w:r>
      <w:r w:rsidR="00DD3611" w:rsidRPr="00C41F2B">
        <w:t xml:space="preserve">, the approach was </w:t>
      </w:r>
      <w:r w:rsidR="0078616C" w:rsidRPr="00C41F2B">
        <w:t xml:space="preserve">the same </w:t>
      </w:r>
      <w:r w:rsidR="00DD3611" w:rsidRPr="00C41F2B">
        <w:t xml:space="preserve">in that PFS2 continued </w:t>
      </w:r>
      <w:r w:rsidR="00DD3611" w:rsidRPr="00C41F2B">
        <w:lastRenderedPageBreak/>
        <w:t>to direct</w:t>
      </w:r>
      <w:r w:rsidR="0078616C" w:rsidRPr="00C41F2B">
        <w:t>ly</w:t>
      </w:r>
      <w:r w:rsidR="00DD3611" w:rsidRPr="00C41F2B">
        <w:t xml:space="preserve"> predict </w:t>
      </w:r>
      <w:r w:rsidR="0078616C" w:rsidRPr="00C41F2B">
        <w:t>OS</w:t>
      </w:r>
      <w:r w:rsidR="00DD3611" w:rsidRPr="00C41F2B">
        <w:t xml:space="preserve">. </w:t>
      </w:r>
      <w:r w:rsidR="0078616C" w:rsidRPr="00C41F2B">
        <w:t>Hence</w:t>
      </w:r>
      <w:r w:rsidR="00DD3611" w:rsidRPr="00C41F2B">
        <w:t xml:space="preserve"> the revised model again results in a substantial </w:t>
      </w:r>
      <w:r w:rsidR="00761254" w:rsidRPr="00C41F2B">
        <w:t>OS</w:t>
      </w:r>
      <w:r w:rsidR="00DD3611" w:rsidRPr="00C41F2B">
        <w:t xml:space="preserve"> benefit </w:t>
      </w:r>
      <w:r w:rsidR="0078616C" w:rsidRPr="00C41F2B">
        <w:t xml:space="preserve">(1.4 years undiscounted for BRCA+ patients) </w:t>
      </w:r>
      <w:r w:rsidR="00DD3611" w:rsidRPr="00C41F2B">
        <w:t>that is not supported by the clinical evidence</w:t>
      </w:r>
      <w:r w:rsidR="00DB6EED" w:rsidRPr="00C41F2B">
        <w:t xml:space="preserve"> available for SOLO1</w:t>
      </w:r>
      <w:r w:rsidR="00DD3611" w:rsidRPr="00C41F2B">
        <w:t xml:space="preserve">. The PBAC </w:t>
      </w:r>
      <w:r w:rsidRPr="00C41F2B">
        <w:t xml:space="preserve">previously </w:t>
      </w:r>
      <w:r w:rsidR="00DD3611" w:rsidRPr="00C41F2B">
        <w:t xml:space="preserve">considered that the extrapolation of OS lacked plausibility, as the OS curves between the two arms diverge further after the trial median follow-up and do not converge within the modelled period, which was not supported by SOLO1 outcomes (para 7.17, olaparib PSD, November 2019 PBAC meeting). </w:t>
      </w:r>
      <w:r w:rsidR="00DC300C" w:rsidRPr="00C41F2B">
        <w:t xml:space="preserve">The PSCR argued that the lack of convergence </w:t>
      </w:r>
      <w:r w:rsidR="00A90E40" w:rsidRPr="00C41F2B">
        <w:t xml:space="preserve">within the time horizon </w:t>
      </w:r>
      <w:r w:rsidR="00DC300C" w:rsidRPr="00C41F2B">
        <w:t>reflects cured patients</w:t>
      </w:r>
      <w:r w:rsidR="007A5EF2" w:rsidRPr="00C41F2B">
        <w:t xml:space="preserve"> (for whom the curves would not be expected to converge)</w:t>
      </w:r>
      <w:r w:rsidR="00A90E40" w:rsidRPr="00C41F2B">
        <w:t xml:space="preserve"> and that for uncured patients the curves do converge within 20 years </w:t>
      </w:r>
      <w:r w:rsidR="00DA7BFE" w:rsidRPr="00C41F2B">
        <w:t>(PSCR</w:t>
      </w:r>
      <w:r w:rsidR="00A90E40" w:rsidRPr="00C41F2B">
        <w:t>)</w:t>
      </w:r>
      <w:r w:rsidR="00DC300C" w:rsidRPr="00C41F2B">
        <w:t xml:space="preserve">. </w:t>
      </w:r>
      <w:r w:rsidR="00DD3611" w:rsidRPr="00C41F2B">
        <w:t xml:space="preserve">The </w:t>
      </w:r>
      <w:r w:rsidR="00A70B1B" w:rsidRPr="00C41F2B">
        <w:t>ESC agreed with the commentary that</w:t>
      </w:r>
      <w:r w:rsidR="00A90E40" w:rsidRPr="00C41F2B">
        <w:t xml:space="preserve"> the </w:t>
      </w:r>
      <w:r w:rsidR="0058223C" w:rsidRPr="00C41F2B">
        <w:t xml:space="preserve">PBAC’s </w:t>
      </w:r>
      <w:r w:rsidR="00DD3611" w:rsidRPr="00C41F2B">
        <w:t xml:space="preserve">previous concern </w:t>
      </w:r>
      <w:r w:rsidR="00761254" w:rsidRPr="00C41F2B">
        <w:t xml:space="preserve">regarding </w:t>
      </w:r>
      <w:r w:rsidR="00DD3611" w:rsidRPr="00C41F2B">
        <w:t>the extrapolated OS benefit of olaparib remain</w:t>
      </w:r>
      <w:r w:rsidR="0058223C" w:rsidRPr="00C41F2B">
        <w:t>ed</w:t>
      </w:r>
      <w:r w:rsidR="00DD3611" w:rsidRPr="00C41F2B">
        <w:t xml:space="preserve"> applicable to the revised mode</w:t>
      </w:r>
      <w:r w:rsidR="00761254" w:rsidRPr="00C41F2B">
        <w:t>l</w:t>
      </w:r>
      <w:r w:rsidR="00A70B1B" w:rsidRPr="00C41F2B">
        <w:rPr>
          <w:bCs/>
          <w:i/>
          <w:iCs/>
          <w:szCs w:val="20"/>
        </w:rPr>
        <w:t>.</w:t>
      </w:r>
    </w:p>
    <w:p w:rsidR="00BF2F47" w:rsidRPr="00C41F2B" w:rsidRDefault="00BF2F47" w:rsidP="00BF2F47">
      <w:pPr>
        <w:pStyle w:val="3-BodyText"/>
      </w:pPr>
      <w:r w:rsidRPr="00C41F2B">
        <w:t xml:space="preserve">The modelled </w:t>
      </w:r>
      <w:r w:rsidR="00E75B55" w:rsidRPr="00C41F2B">
        <w:t>OS</w:t>
      </w:r>
      <w:r w:rsidRPr="00C41F2B">
        <w:t xml:space="preserve"> (including extrapolation) versus</w:t>
      </w:r>
      <w:r w:rsidR="00E75B55" w:rsidRPr="00C41F2B">
        <w:t xml:space="preserve"> the</w:t>
      </w:r>
      <w:r w:rsidRPr="00C41F2B">
        <w:t xml:space="preserve"> trial data for BRCAm (cured and uncured) patients </w:t>
      </w:r>
      <w:r w:rsidR="00E75B55" w:rsidRPr="00C41F2B">
        <w:t xml:space="preserve">is </w:t>
      </w:r>
      <w:r w:rsidRPr="00C41F2B">
        <w:t>presented below.</w:t>
      </w:r>
    </w:p>
    <w:p w:rsidR="00BF2F47" w:rsidRPr="00C41F2B" w:rsidRDefault="00BF2F47" w:rsidP="006C4B81">
      <w:pPr>
        <w:pStyle w:val="TableFigureHeading"/>
      </w:pPr>
      <w:r w:rsidRPr="00C41F2B">
        <w:t xml:space="preserve">Figure </w:t>
      </w:r>
      <w:r w:rsidR="00A0380C">
        <w:rPr>
          <w:noProof/>
        </w:rPr>
        <w:t>1</w:t>
      </w:r>
      <w:r w:rsidRPr="00C41F2B">
        <w:t xml:space="preserve">: Kaplan-Meier and modelled curves for OS for </w:t>
      </w:r>
      <w:r w:rsidRPr="00C41F2B">
        <w:rPr>
          <w:i/>
        </w:rPr>
        <w:t>BRCA</w:t>
      </w:r>
      <w:r w:rsidRPr="00C41F2B">
        <w:t>m</w:t>
      </w:r>
    </w:p>
    <w:p w:rsidR="00BF2F47" w:rsidRPr="00C41F2B" w:rsidRDefault="00BF2F47" w:rsidP="006C4B81">
      <w:pPr>
        <w:pStyle w:val="TableFigureHeading"/>
      </w:pPr>
      <w:r w:rsidRPr="00C41F2B">
        <w:rPr>
          <w:noProof/>
        </w:rPr>
        <w:drawing>
          <wp:inline distT="0" distB="0" distL="0" distR="0" wp14:anchorId="1BAB5DDE" wp14:editId="56A76D61">
            <wp:extent cx="5968352" cy="3697312"/>
            <wp:effectExtent l="0" t="0" r="1270" b="0"/>
            <wp:docPr id="6" name="Picture 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5739" r="14431"/>
                    <a:stretch/>
                  </pic:blipFill>
                  <pic:spPr bwMode="auto">
                    <a:xfrm>
                      <a:off x="0" y="0"/>
                      <a:ext cx="6038679" cy="3740879"/>
                    </a:xfrm>
                    <a:prstGeom prst="rect">
                      <a:avLst/>
                    </a:prstGeom>
                    <a:noFill/>
                    <a:ln>
                      <a:noFill/>
                    </a:ln>
                    <a:extLst>
                      <a:ext uri="{53640926-AAD7-44D8-BBD7-CCE9431645EC}">
                        <a14:shadowObscured xmlns:a14="http://schemas.microsoft.com/office/drawing/2010/main"/>
                      </a:ext>
                    </a:extLst>
                  </pic:spPr>
                </pic:pic>
              </a:graphicData>
            </a:graphic>
          </wp:inline>
        </w:drawing>
      </w:r>
    </w:p>
    <w:p w:rsidR="00BF2F47" w:rsidRPr="00C41F2B" w:rsidRDefault="00BF2F47" w:rsidP="006C4B81">
      <w:pPr>
        <w:pStyle w:val="TableFigureFooter"/>
      </w:pPr>
      <w:r w:rsidRPr="00C41F2B">
        <w:t xml:space="preserve">Source Complied during the evaluation based on information presented in </w:t>
      </w:r>
      <w:proofErr w:type="spellStart"/>
      <w:r w:rsidRPr="00C41F2B">
        <w:t>Olaparib_Economic</w:t>
      </w:r>
      <w:proofErr w:type="spellEnd"/>
      <w:r w:rsidRPr="00C41F2B">
        <w:t xml:space="preserve"> Evaluation_11032020 Final.xlsx’</w:t>
      </w:r>
    </w:p>
    <w:p w:rsidR="00BF2F47" w:rsidRPr="00C41F2B" w:rsidRDefault="00BF2F47" w:rsidP="006C4B81">
      <w:pPr>
        <w:pStyle w:val="TableFigureFooter"/>
      </w:pPr>
      <w:r w:rsidRPr="00C41F2B">
        <w:rPr>
          <w:i/>
        </w:rPr>
        <w:t>BRCA</w:t>
      </w:r>
      <w:r w:rsidR="00570331" w:rsidRPr="00C41F2B">
        <w:t>+</w:t>
      </w:r>
      <w:r w:rsidRPr="00C41F2B">
        <w:t xml:space="preserve"> = </w:t>
      </w:r>
      <w:r w:rsidRPr="00C41F2B">
        <w:rPr>
          <w:i/>
        </w:rPr>
        <w:t>BRCA1/2</w:t>
      </w:r>
      <w:r w:rsidRPr="00C41F2B">
        <w:t xml:space="preserve"> mutation positive; OS = overall survival;</w:t>
      </w:r>
    </w:p>
    <w:p w:rsidR="00BF2F47" w:rsidRPr="00C41F2B" w:rsidRDefault="00BF2F47" w:rsidP="00BF2F47">
      <w:pPr>
        <w:pStyle w:val="TableFigureFooter"/>
      </w:pPr>
    </w:p>
    <w:p w:rsidR="00453C72" w:rsidRDefault="00BF2F47" w:rsidP="00BF2F47">
      <w:pPr>
        <w:pStyle w:val="3-BodyText"/>
      </w:pPr>
      <w:r w:rsidRPr="00C41F2B">
        <w:t xml:space="preserve">The results of the stepped analyses </w:t>
      </w:r>
      <w:r w:rsidR="00E75B55" w:rsidRPr="00C41F2B">
        <w:t xml:space="preserve">for </w:t>
      </w:r>
      <w:r w:rsidRPr="00C41F2B">
        <w:t>the</w:t>
      </w:r>
      <w:r w:rsidR="00E75B55" w:rsidRPr="00C41F2B">
        <w:t xml:space="preserve"> resubmission’s</w:t>
      </w:r>
      <w:r w:rsidRPr="00C41F2B">
        <w:t xml:space="preserve"> base case are presented in the table below.</w:t>
      </w:r>
    </w:p>
    <w:p w:rsidR="00453C72" w:rsidRDefault="00453C72">
      <w:pPr>
        <w:jc w:val="left"/>
        <w:rPr>
          <w:rFonts w:cs="Arial"/>
          <w:snapToGrid w:val="0"/>
          <w:lang w:eastAsia="en-AU"/>
        </w:rPr>
      </w:pPr>
      <w:r>
        <w:br w:type="page"/>
      </w:r>
    </w:p>
    <w:p w:rsidR="00BF2F47" w:rsidRPr="00C41F2B" w:rsidRDefault="00BF2F47" w:rsidP="00BF2F47">
      <w:pPr>
        <w:pStyle w:val="TableFigureHeading"/>
      </w:pPr>
      <w:r w:rsidRPr="00C41F2B">
        <w:lastRenderedPageBreak/>
        <w:t xml:space="preserve">Table </w:t>
      </w:r>
      <w:r w:rsidR="00A0380C">
        <w:rPr>
          <w:noProof/>
        </w:rPr>
        <w:t>9</w:t>
      </w:r>
      <w:r w:rsidRPr="00C41F2B">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122"/>
        <w:gridCol w:w="849"/>
        <w:gridCol w:w="992"/>
        <w:gridCol w:w="988"/>
        <w:gridCol w:w="994"/>
        <w:gridCol w:w="992"/>
        <w:gridCol w:w="994"/>
        <w:gridCol w:w="1086"/>
      </w:tblGrid>
      <w:tr w:rsidR="00BF2F47" w:rsidRPr="00C41F2B" w:rsidTr="00463843">
        <w:trPr>
          <w:cantSplit/>
          <w:tblHeader/>
        </w:trPr>
        <w:tc>
          <w:tcPr>
            <w:tcW w:w="1177" w:type="pct"/>
            <w:vMerge w:val="restart"/>
            <w:shd w:val="clear" w:color="auto" w:fill="FFFFFF" w:themeFill="background1"/>
          </w:tcPr>
          <w:p w:rsidR="00BF2F47" w:rsidRPr="00C41F2B" w:rsidRDefault="00BF2F47" w:rsidP="009C41E3">
            <w:pPr>
              <w:pStyle w:val="TableText0"/>
              <w:keepNext w:val="0"/>
              <w:widowControl w:val="0"/>
              <w:rPr>
                <w:b/>
                <w:bCs w:val="0"/>
                <w:szCs w:val="20"/>
              </w:rPr>
            </w:pPr>
            <w:r w:rsidRPr="00C41F2B">
              <w:rPr>
                <w:b/>
                <w:bCs w:val="0"/>
                <w:szCs w:val="20"/>
              </w:rPr>
              <w:t>Data</w:t>
            </w:r>
          </w:p>
        </w:tc>
        <w:tc>
          <w:tcPr>
            <w:tcW w:w="1569" w:type="pct"/>
            <w:gridSpan w:val="3"/>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Costs (discounted)</w:t>
            </w:r>
          </w:p>
        </w:tc>
        <w:tc>
          <w:tcPr>
            <w:tcW w:w="1652" w:type="pct"/>
            <w:gridSpan w:val="3"/>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Health outcomes (discounted)</w:t>
            </w:r>
          </w:p>
        </w:tc>
        <w:tc>
          <w:tcPr>
            <w:tcW w:w="601" w:type="pct"/>
            <w:vMerge w:val="restar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ICER</w:t>
            </w:r>
          </w:p>
        </w:tc>
      </w:tr>
      <w:tr w:rsidR="00BF2F47" w:rsidRPr="00C41F2B" w:rsidTr="00463843">
        <w:trPr>
          <w:cantSplit/>
          <w:tblHeader/>
        </w:trPr>
        <w:tc>
          <w:tcPr>
            <w:tcW w:w="1177" w:type="pct"/>
            <w:vMerge/>
            <w:shd w:val="clear" w:color="auto" w:fill="FFFFFF" w:themeFill="background1"/>
          </w:tcPr>
          <w:p w:rsidR="00BF2F47" w:rsidRPr="00C41F2B" w:rsidRDefault="00BF2F47" w:rsidP="009C41E3">
            <w:pPr>
              <w:pStyle w:val="TableText0"/>
              <w:keepNext w:val="0"/>
              <w:widowControl w:val="0"/>
              <w:rPr>
                <w:b/>
                <w:bCs w:val="0"/>
              </w:rPr>
            </w:pPr>
          </w:p>
        </w:tc>
        <w:tc>
          <w:tcPr>
            <w:tcW w:w="471" w:type="pc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Proposed scenario</w:t>
            </w:r>
          </w:p>
        </w:tc>
        <w:tc>
          <w:tcPr>
            <w:tcW w:w="550" w:type="pc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Current scenario</w:t>
            </w:r>
          </w:p>
        </w:tc>
        <w:tc>
          <w:tcPr>
            <w:tcW w:w="548" w:type="pc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Increment</w:t>
            </w:r>
          </w:p>
        </w:tc>
        <w:tc>
          <w:tcPr>
            <w:tcW w:w="551" w:type="pc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Proposed scenario</w:t>
            </w:r>
          </w:p>
        </w:tc>
        <w:tc>
          <w:tcPr>
            <w:tcW w:w="550" w:type="pc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Current scenario</w:t>
            </w:r>
          </w:p>
        </w:tc>
        <w:tc>
          <w:tcPr>
            <w:tcW w:w="551" w:type="pct"/>
            <w:shd w:val="clear" w:color="auto" w:fill="FFFFFF" w:themeFill="background1"/>
          </w:tcPr>
          <w:p w:rsidR="00BF2F47" w:rsidRPr="00C41F2B" w:rsidRDefault="00BF2F47" w:rsidP="009C41E3">
            <w:pPr>
              <w:pStyle w:val="TableText0"/>
              <w:keepNext w:val="0"/>
              <w:widowControl w:val="0"/>
              <w:jc w:val="center"/>
              <w:rPr>
                <w:b/>
                <w:bCs w:val="0"/>
                <w:szCs w:val="20"/>
              </w:rPr>
            </w:pPr>
            <w:r w:rsidRPr="00C41F2B">
              <w:rPr>
                <w:b/>
                <w:bCs w:val="0"/>
                <w:szCs w:val="20"/>
              </w:rPr>
              <w:t>Increment</w:t>
            </w:r>
          </w:p>
        </w:tc>
        <w:tc>
          <w:tcPr>
            <w:tcW w:w="601" w:type="pct"/>
            <w:vMerge/>
            <w:shd w:val="clear" w:color="auto" w:fill="FFFFFF" w:themeFill="background1"/>
          </w:tcPr>
          <w:p w:rsidR="00BF2F47" w:rsidRPr="00C41F2B" w:rsidRDefault="00BF2F47" w:rsidP="009C41E3">
            <w:pPr>
              <w:pStyle w:val="TableText0"/>
              <w:keepNext w:val="0"/>
              <w:widowControl w:val="0"/>
            </w:pPr>
          </w:p>
        </w:tc>
      </w:tr>
      <w:tr w:rsidR="00BF2F47" w:rsidRPr="00C41F2B" w:rsidTr="00A70B1B">
        <w:trPr>
          <w:cantSplit/>
        </w:trPr>
        <w:tc>
          <w:tcPr>
            <w:tcW w:w="5000" w:type="pct"/>
            <w:gridSpan w:val="8"/>
            <w:tcBorders>
              <w:bottom w:val="single" w:sz="4" w:space="0" w:color="auto"/>
            </w:tcBorders>
            <w:shd w:val="clear" w:color="auto" w:fill="FFFFFF" w:themeFill="background1"/>
          </w:tcPr>
          <w:p w:rsidR="00BF2F47" w:rsidRPr="00C41F2B" w:rsidRDefault="00BF2F47" w:rsidP="009C41E3">
            <w:pPr>
              <w:pStyle w:val="TableText0"/>
              <w:keepNext w:val="0"/>
              <w:widowControl w:val="0"/>
              <w:rPr>
                <w:b/>
                <w:bCs w:val="0"/>
                <w:color w:val="000000"/>
                <w:szCs w:val="20"/>
              </w:rPr>
            </w:pPr>
            <w:r w:rsidRPr="00C41F2B">
              <w:rPr>
                <w:b/>
                <w:bCs w:val="0"/>
                <w:szCs w:val="20"/>
              </w:rPr>
              <w:t>Resubmission</w:t>
            </w:r>
          </w:p>
        </w:tc>
      </w:tr>
      <w:tr w:rsidR="00BF2F47" w:rsidRPr="00C41F2B" w:rsidTr="00463843">
        <w:trPr>
          <w:cantSplit/>
        </w:trPr>
        <w:tc>
          <w:tcPr>
            <w:tcW w:w="1177" w:type="pct"/>
            <w:tcBorders>
              <w:bottom w:val="single" w:sz="4" w:space="0" w:color="auto"/>
            </w:tcBorders>
            <w:shd w:val="clear" w:color="auto" w:fill="FFFFFF" w:themeFill="background1"/>
            <w:vAlign w:val="center"/>
          </w:tcPr>
          <w:p w:rsidR="00BF2F47" w:rsidRPr="00C41F2B" w:rsidRDefault="00BF2F47" w:rsidP="009C41E3">
            <w:pPr>
              <w:pStyle w:val="TableText0"/>
              <w:keepNext w:val="0"/>
              <w:widowControl w:val="0"/>
              <w:rPr>
                <w:szCs w:val="20"/>
              </w:rPr>
            </w:pPr>
            <w:r w:rsidRPr="00C41F2B">
              <w:rPr>
                <w:szCs w:val="20"/>
              </w:rPr>
              <w:t>Step 1</w:t>
            </w:r>
          </w:p>
          <w:p w:rsidR="00BF2F47" w:rsidRPr="00C41F2B" w:rsidRDefault="00BF2F47" w:rsidP="009C41E3">
            <w:pPr>
              <w:pStyle w:val="TableText0"/>
              <w:keepNext w:val="0"/>
              <w:widowControl w:val="0"/>
              <w:rPr>
                <w:szCs w:val="20"/>
              </w:rPr>
            </w:pPr>
            <w:r w:rsidRPr="00C41F2B">
              <w:rPr>
                <w:szCs w:val="20"/>
              </w:rPr>
              <w:t>Setting: Trial setting (BRCAm+ only)</w:t>
            </w:r>
          </w:p>
          <w:p w:rsidR="00BF2F47" w:rsidRPr="00C41F2B" w:rsidRDefault="00BF2F47" w:rsidP="009C41E3">
            <w:pPr>
              <w:pStyle w:val="TableText0"/>
              <w:keepNext w:val="0"/>
              <w:widowControl w:val="0"/>
              <w:rPr>
                <w:szCs w:val="20"/>
              </w:rPr>
            </w:pPr>
            <w:r w:rsidRPr="00C41F2B">
              <w:rPr>
                <w:szCs w:val="20"/>
              </w:rPr>
              <w:t xml:space="preserve">Time horizon: 49 months </w:t>
            </w:r>
            <w:r w:rsidRPr="00C41F2B">
              <w:rPr>
                <w:szCs w:val="20"/>
                <w:vertAlign w:val="superscript"/>
              </w:rPr>
              <w:t>a</w:t>
            </w:r>
          </w:p>
        </w:tc>
        <w:tc>
          <w:tcPr>
            <w:tcW w:w="471" w:type="pct"/>
            <w:tcBorders>
              <w:bottom w:val="single" w:sz="4" w:space="0" w:color="auto"/>
            </w:tcBorders>
            <w:shd w:val="clear" w:color="auto" w:fill="FFFFFF" w:themeFill="background1"/>
            <w:vAlign w:val="center"/>
          </w:tcPr>
          <w:p w:rsidR="00BF2F47" w:rsidRPr="00E9713A" w:rsidRDefault="00E9713A" w:rsidP="009C41E3">
            <w:pPr>
              <w:pStyle w:val="TableText0"/>
              <w:keepNext w:val="0"/>
              <w:widowControl w:val="0"/>
              <w:jc w:val="center"/>
              <w:rPr>
                <w:szCs w:val="20"/>
                <w:highlight w:val="black"/>
              </w:rPr>
            </w:pPr>
            <w:r>
              <w:rPr>
                <w:noProof/>
                <w:color w:val="000000"/>
                <w:szCs w:val="20"/>
                <w:highlight w:val="black"/>
              </w:rPr>
              <w:t>'''''''''''''''''''''</w:t>
            </w:r>
          </w:p>
        </w:tc>
        <w:tc>
          <w:tcPr>
            <w:tcW w:w="550" w:type="pct"/>
            <w:tcBorders>
              <w:bottom w:val="single" w:sz="4" w:space="0" w:color="auto"/>
            </w:tcBorders>
            <w:shd w:val="clear" w:color="auto" w:fill="FFFFFF" w:themeFill="background1"/>
            <w:vAlign w:val="center"/>
          </w:tcPr>
          <w:p w:rsidR="00BF2F47" w:rsidRPr="00E9713A" w:rsidRDefault="00E9713A" w:rsidP="009C41E3">
            <w:pPr>
              <w:pStyle w:val="TableText0"/>
              <w:keepNext w:val="0"/>
              <w:widowControl w:val="0"/>
              <w:jc w:val="center"/>
              <w:rPr>
                <w:szCs w:val="20"/>
                <w:highlight w:val="black"/>
              </w:rPr>
            </w:pPr>
            <w:r>
              <w:rPr>
                <w:noProof/>
                <w:color w:val="000000"/>
                <w:szCs w:val="20"/>
                <w:highlight w:val="black"/>
              </w:rPr>
              <w:t>''''''''''''</w:t>
            </w:r>
          </w:p>
        </w:tc>
        <w:tc>
          <w:tcPr>
            <w:tcW w:w="548" w:type="pct"/>
            <w:tcBorders>
              <w:bottom w:val="single" w:sz="4" w:space="0" w:color="auto"/>
            </w:tcBorders>
            <w:shd w:val="clear" w:color="auto" w:fill="FFFFFF" w:themeFill="background1"/>
            <w:vAlign w:val="center"/>
          </w:tcPr>
          <w:p w:rsidR="00BF2F47" w:rsidRPr="00E9713A" w:rsidRDefault="00E9713A" w:rsidP="009C41E3">
            <w:pPr>
              <w:pStyle w:val="TableText0"/>
              <w:keepNext w:val="0"/>
              <w:widowControl w:val="0"/>
              <w:jc w:val="center"/>
              <w:rPr>
                <w:szCs w:val="20"/>
                <w:highlight w:val="black"/>
              </w:rPr>
            </w:pPr>
            <w:r>
              <w:rPr>
                <w:noProof/>
                <w:color w:val="000000"/>
                <w:szCs w:val="20"/>
                <w:highlight w:val="black"/>
              </w:rPr>
              <w:t>'''''''''''''''''</w:t>
            </w:r>
          </w:p>
        </w:tc>
        <w:tc>
          <w:tcPr>
            <w:tcW w:w="551" w:type="pct"/>
            <w:tcBorders>
              <w:bottom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color w:val="000000"/>
                <w:szCs w:val="20"/>
              </w:rPr>
              <w:t>3.06</w:t>
            </w:r>
          </w:p>
        </w:tc>
        <w:tc>
          <w:tcPr>
            <w:tcW w:w="550" w:type="pct"/>
            <w:tcBorders>
              <w:bottom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color w:val="000000"/>
                <w:szCs w:val="20"/>
              </w:rPr>
              <w:t>1.82</w:t>
            </w:r>
          </w:p>
        </w:tc>
        <w:tc>
          <w:tcPr>
            <w:tcW w:w="551" w:type="pct"/>
            <w:tcBorders>
              <w:bottom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color w:val="000000"/>
                <w:szCs w:val="20"/>
              </w:rPr>
              <w:t>1.24</w:t>
            </w:r>
          </w:p>
        </w:tc>
        <w:tc>
          <w:tcPr>
            <w:tcW w:w="601" w:type="pct"/>
            <w:tcBorders>
              <w:bottom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color w:val="000000"/>
                <w:szCs w:val="20"/>
              </w:rPr>
              <w:t>$</w:t>
            </w:r>
            <w:r w:rsidR="00E9713A">
              <w:rPr>
                <w:noProof/>
                <w:color w:val="000000"/>
                <w:szCs w:val="20"/>
                <w:highlight w:val="black"/>
              </w:rPr>
              <w:t>'''''''''''''''</w:t>
            </w:r>
            <w:r w:rsidRPr="00C41F2B">
              <w:rPr>
                <w:color w:val="000000"/>
                <w:szCs w:val="20"/>
              </w:rPr>
              <w:t xml:space="preserve"> </w:t>
            </w:r>
            <w:r w:rsidRPr="00C41F2B">
              <w:rPr>
                <w:szCs w:val="20"/>
              </w:rPr>
              <w:t>per PFY gained</w:t>
            </w:r>
          </w:p>
        </w:tc>
      </w:tr>
      <w:tr w:rsidR="00463843" w:rsidRPr="00C41F2B" w:rsidTr="00463843">
        <w:trPr>
          <w:cantSplit/>
        </w:trPr>
        <w:tc>
          <w:tcPr>
            <w:tcW w:w="1177"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C41F2B" w:rsidRDefault="00BF2F47" w:rsidP="009C41E3">
            <w:pPr>
              <w:pStyle w:val="TableText0"/>
              <w:keepNext w:val="0"/>
              <w:widowControl w:val="0"/>
              <w:rPr>
                <w:szCs w:val="20"/>
              </w:rPr>
            </w:pPr>
            <w:r w:rsidRPr="00C41F2B">
              <w:rPr>
                <w:szCs w:val="20"/>
              </w:rPr>
              <w:t>Step 2</w:t>
            </w:r>
          </w:p>
          <w:p w:rsidR="00BF2F47" w:rsidRPr="00C41F2B" w:rsidRDefault="00BF2F47" w:rsidP="009C41E3">
            <w:pPr>
              <w:pStyle w:val="TableText0"/>
              <w:keepNext w:val="0"/>
              <w:widowControl w:val="0"/>
              <w:rPr>
                <w:szCs w:val="20"/>
              </w:rPr>
            </w:pPr>
            <w:r w:rsidRPr="00C41F2B">
              <w:rPr>
                <w:szCs w:val="20"/>
              </w:rPr>
              <w:t>Setting: Proposed MBS and PBS populations</w:t>
            </w:r>
          </w:p>
          <w:p w:rsidR="00BF2F47" w:rsidRPr="00C41F2B" w:rsidRDefault="00BF2F47" w:rsidP="009C41E3">
            <w:pPr>
              <w:pStyle w:val="TableText0"/>
              <w:keepNext w:val="0"/>
              <w:widowControl w:val="0"/>
              <w:rPr>
                <w:szCs w:val="20"/>
              </w:rPr>
            </w:pPr>
            <w:r w:rsidRPr="00C41F2B">
              <w:rPr>
                <w:szCs w:val="20"/>
              </w:rPr>
              <w:t xml:space="preserve">Time horizon: 20 years </w:t>
            </w:r>
            <w:r w:rsidRPr="00C41F2B">
              <w:rPr>
                <w:szCs w:val="20"/>
                <w:vertAlign w:val="superscript"/>
              </w:rPr>
              <w:t>b</w:t>
            </w:r>
          </w:p>
        </w:tc>
        <w:tc>
          <w:tcPr>
            <w:tcW w:w="471"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E9713A" w:rsidRDefault="00E9713A" w:rsidP="009C41E3">
            <w:pPr>
              <w:pStyle w:val="TableText0"/>
              <w:keepNext w:val="0"/>
              <w:widowControl w:val="0"/>
              <w:jc w:val="center"/>
              <w:rPr>
                <w:szCs w:val="20"/>
                <w:highlight w:val="black"/>
              </w:rPr>
            </w:pPr>
            <w:r>
              <w:rPr>
                <w:noProof/>
                <w:color w:val="000000"/>
                <w:szCs w:val="20"/>
                <w:highlight w:val="black"/>
              </w:rPr>
              <w:t>'''''''''''''''''''</w:t>
            </w:r>
          </w:p>
        </w:tc>
        <w:tc>
          <w:tcPr>
            <w:tcW w:w="550"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E9713A" w:rsidRDefault="00E9713A" w:rsidP="009C41E3">
            <w:pPr>
              <w:pStyle w:val="TableText0"/>
              <w:keepNext w:val="0"/>
              <w:widowControl w:val="0"/>
              <w:jc w:val="center"/>
              <w:rPr>
                <w:szCs w:val="20"/>
                <w:highlight w:val="black"/>
              </w:rPr>
            </w:pPr>
            <w:r>
              <w:rPr>
                <w:noProof/>
                <w:color w:val="000000"/>
                <w:szCs w:val="20"/>
                <w:highlight w:val="black"/>
              </w:rPr>
              <w:t>''''''''''''''''''''</w:t>
            </w:r>
          </w:p>
        </w:tc>
        <w:tc>
          <w:tcPr>
            <w:tcW w:w="548"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E9713A" w:rsidRDefault="00E9713A" w:rsidP="009C41E3">
            <w:pPr>
              <w:pStyle w:val="TableText0"/>
              <w:keepNext w:val="0"/>
              <w:widowControl w:val="0"/>
              <w:jc w:val="center"/>
              <w:rPr>
                <w:szCs w:val="20"/>
                <w:highlight w:val="black"/>
              </w:rPr>
            </w:pPr>
            <w:r>
              <w:rPr>
                <w:noProof/>
                <w:color w:val="000000"/>
                <w:szCs w:val="20"/>
                <w:highlight w:val="black"/>
              </w:rPr>
              <w:t>'''''''''''''''''''</w:t>
            </w:r>
          </w:p>
        </w:tc>
        <w:tc>
          <w:tcPr>
            <w:tcW w:w="551"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szCs w:val="20"/>
              </w:rPr>
              <w:t>4.96</w:t>
            </w:r>
          </w:p>
        </w:tc>
        <w:tc>
          <w:tcPr>
            <w:tcW w:w="550"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szCs w:val="20"/>
              </w:rPr>
              <w:t>4.61</w:t>
            </w:r>
          </w:p>
        </w:tc>
        <w:tc>
          <w:tcPr>
            <w:tcW w:w="551"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szCs w:val="20"/>
              </w:rPr>
              <w:t>0.35</w:t>
            </w:r>
          </w:p>
        </w:tc>
        <w:tc>
          <w:tcPr>
            <w:tcW w:w="601" w:type="pct"/>
            <w:tcBorders>
              <w:top w:val="single" w:sz="4" w:space="0" w:color="auto"/>
              <w:left w:val="single" w:sz="4" w:space="0" w:color="auto"/>
              <w:bottom w:val="nil"/>
              <w:right w:val="single" w:sz="4" w:space="0" w:color="auto"/>
            </w:tcBorders>
            <w:shd w:val="clear" w:color="auto" w:fill="FFFFFF" w:themeFill="background1"/>
            <w:vAlign w:val="center"/>
          </w:tcPr>
          <w:p w:rsidR="00BF2F47" w:rsidRPr="00C41F2B" w:rsidRDefault="00BF2F47" w:rsidP="009C41E3">
            <w:pPr>
              <w:pStyle w:val="TableText0"/>
              <w:keepNext w:val="0"/>
              <w:widowControl w:val="0"/>
              <w:jc w:val="center"/>
              <w:rPr>
                <w:szCs w:val="20"/>
              </w:rPr>
            </w:pPr>
            <w:r w:rsidRPr="00C41F2B">
              <w:rPr>
                <w:szCs w:val="20"/>
              </w:rPr>
              <w:t>$</w:t>
            </w:r>
            <w:r w:rsidR="00E9713A">
              <w:rPr>
                <w:noProof/>
                <w:color w:val="000000"/>
                <w:szCs w:val="20"/>
                <w:highlight w:val="black"/>
              </w:rPr>
              <w:t>''''''''''''''''</w:t>
            </w:r>
            <w:r w:rsidRPr="00C41F2B">
              <w:rPr>
                <w:szCs w:val="20"/>
              </w:rPr>
              <w:t xml:space="preserve"> per LY gained</w:t>
            </w:r>
          </w:p>
        </w:tc>
      </w:tr>
      <w:tr w:rsidR="00463843" w:rsidRPr="00C41F2B" w:rsidTr="00463843">
        <w:trPr>
          <w:cantSplit/>
        </w:trPr>
        <w:tc>
          <w:tcPr>
            <w:tcW w:w="1177"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C41F2B" w:rsidRDefault="00463843" w:rsidP="00463843">
            <w:pPr>
              <w:pStyle w:val="TableText0"/>
              <w:keepNext w:val="0"/>
              <w:widowControl w:val="0"/>
              <w:rPr>
                <w:szCs w:val="20"/>
              </w:rPr>
            </w:pPr>
            <w:r w:rsidRPr="00C41F2B">
              <w:rPr>
                <w:szCs w:val="20"/>
              </w:rPr>
              <w:t xml:space="preserve">BRCAm+ population only </w:t>
            </w:r>
            <w:r w:rsidRPr="00C41F2B">
              <w:rPr>
                <w:szCs w:val="20"/>
                <w:vertAlign w:val="superscript"/>
              </w:rPr>
              <w:t>c</w:t>
            </w:r>
          </w:p>
        </w:tc>
        <w:tc>
          <w:tcPr>
            <w:tcW w:w="471"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E9713A" w:rsidRDefault="00E9713A" w:rsidP="00463843">
            <w:pPr>
              <w:pStyle w:val="TableText0"/>
              <w:keepNext w:val="0"/>
              <w:widowControl w:val="0"/>
              <w:jc w:val="center"/>
              <w:rPr>
                <w:szCs w:val="20"/>
                <w:highlight w:val="black"/>
              </w:rPr>
            </w:pPr>
            <w:r>
              <w:rPr>
                <w:noProof/>
                <w:color w:val="000000"/>
                <w:szCs w:val="20"/>
                <w:highlight w:val="black"/>
              </w:rPr>
              <w:t>''''''''''''''''''''''''</w:t>
            </w:r>
          </w:p>
        </w:tc>
        <w:tc>
          <w:tcPr>
            <w:tcW w:w="550"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E9713A" w:rsidRDefault="00E9713A" w:rsidP="00463843">
            <w:pPr>
              <w:pStyle w:val="TableText0"/>
              <w:keepNext w:val="0"/>
              <w:widowControl w:val="0"/>
              <w:jc w:val="center"/>
              <w:rPr>
                <w:szCs w:val="20"/>
                <w:highlight w:val="black"/>
              </w:rPr>
            </w:pPr>
            <w:r>
              <w:rPr>
                <w:noProof/>
                <w:color w:val="000000"/>
                <w:szCs w:val="20"/>
                <w:highlight w:val="black"/>
              </w:rPr>
              <w:t>'''''''''''''''''''</w:t>
            </w:r>
          </w:p>
        </w:tc>
        <w:tc>
          <w:tcPr>
            <w:tcW w:w="548"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E9713A" w:rsidRDefault="00E9713A" w:rsidP="00463843">
            <w:pPr>
              <w:pStyle w:val="TableText0"/>
              <w:keepNext w:val="0"/>
              <w:widowControl w:val="0"/>
              <w:jc w:val="center"/>
              <w:rPr>
                <w:szCs w:val="20"/>
                <w:highlight w:val="black"/>
              </w:rPr>
            </w:pPr>
            <w:r>
              <w:rPr>
                <w:noProof/>
                <w:color w:val="000000"/>
                <w:szCs w:val="20"/>
                <w:highlight w:val="black"/>
              </w:rPr>
              <w:t>''''''''''''''''''</w:t>
            </w:r>
          </w:p>
        </w:tc>
        <w:tc>
          <w:tcPr>
            <w:tcW w:w="551"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C41F2B" w:rsidRDefault="00463843" w:rsidP="00463843">
            <w:pPr>
              <w:pStyle w:val="TableText0"/>
              <w:keepNext w:val="0"/>
              <w:widowControl w:val="0"/>
              <w:jc w:val="center"/>
              <w:rPr>
                <w:szCs w:val="20"/>
              </w:rPr>
            </w:pPr>
            <w:r w:rsidRPr="00C41F2B">
              <w:rPr>
                <w:szCs w:val="20"/>
              </w:rPr>
              <w:t>7.69</w:t>
            </w:r>
          </w:p>
        </w:tc>
        <w:tc>
          <w:tcPr>
            <w:tcW w:w="550"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C41F2B" w:rsidRDefault="00463843" w:rsidP="00463843">
            <w:pPr>
              <w:pStyle w:val="TableText0"/>
              <w:keepNext w:val="0"/>
              <w:widowControl w:val="0"/>
              <w:jc w:val="center"/>
              <w:rPr>
                <w:szCs w:val="20"/>
              </w:rPr>
            </w:pPr>
            <w:r w:rsidRPr="00C41F2B">
              <w:rPr>
                <w:szCs w:val="20"/>
              </w:rPr>
              <w:t>6.84</w:t>
            </w:r>
          </w:p>
        </w:tc>
        <w:tc>
          <w:tcPr>
            <w:tcW w:w="551"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C41F2B" w:rsidRDefault="00463843" w:rsidP="00463843">
            <w:pPr>
              <w:pStyle w:val="TableText0"/>
              <w:keepNext w:val="0"/>
              <w:widowControl w:val="0"/>
              <w:jc w:val="center"/>
              <w:rPr>
                <w:szCs w:val="20"/>
              </w:rPr>
            </w:pPr>
            <w:r w:rsidRPr="00C41F2B">
              <w:rPr>
                <w:szCs w:val="20"/>
              </w:rPr>
              <w:t>0.85</w:t>
            </w:r>
          </w:p>
        </w:tc>
        <w:tc>
          <w:tcPr>
            <w:tcW w:w="601" w:type="pct"/>
            <w:tcBorders>
              <w:top w:val="nil"/>
              <w:left w:val="single" w:sz="4" w:space="0" w:color="auto"/>
              <w:bottom w:val="single" w:sz="4" w:space="0" w:color="auto"/>
              <w:right w:val="single" w:sz="4" w:space="0" w:color="auto"/>
            </w:tcBorders>
            <w:shd w:val="clear" w:color="auto" w:fill="FFFFFF" w:themeFill="background1"/>
            <w:vAlign w:val="center"/>
          </w:tcPr>
          <w:p w:rsidR="00463843" w:rsidRPr="00C41F2B" w:rsidRDefault="00463843" w:rsidP="00463843">
            <w:pPr>
              <w:pStyle w:val="TableText0"/>
              <w:keepNext w:val="0"/>
              <w:widowControl w:val="0"/>
              <w:jc w:val="center"/>
              <w:rPr>
                <w:szCs w:val="20"/>
              </w:rPr>
            </w:pPr>
            <w:r w:rsidRPr="00C41F2B">
              <w:rPr>
                <w:szCs w:val="20"/>
              </w:rPr>
              <w:t>$</w:t>
            </w:r>
            <w:r w:rsidR="00E9713A">
              <w:rPr>
                <w:noProof/>
                <w:color w:val="000000"/>
                <w:szCs w:val="20"/>
                <w:highlight w:val="black"/>
              </w:rPr>
              <w:t xml:space="preserve">''''''''''''''' </w:t>
            </w:r>
            <w:r w:rsidRPr="00C41F2B">
              <w:rPr>
                <w:szCs w:val="20"/>
              </w:rPr>
              <w:t>per LY gained</w:t>
            </w:r>
          </w:p>
        </w:tc>
      </w:tr>
      <w:tr w:rsidR="002702AF" w:rsidRPr="00C41F2B" w:rsidTr="00463843">
        <w:trPr>
          <w:cantSplit/>
        </w:trPr>
        <w:tc>
          <w:tcPr>
            <w:tcW w:w="1177"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C41F2B" w:rsidRDefault="002702AF" w:rsidP="002702AF">
            <w:pPr>
              <w:pStyle w:val="TableText0"/>
              <w:keepNext w:val="0"/>
              <w:widowControl w:val="0"/>
              <w:rPr>
                <w:szCs w:val="20"/>
              </w:rPr>
            </w:pPr>
            <w:r w:rsidRPr="00C41F2B">
              <w:rPr>
                <w:szCs w:val="20"/>
              </w:rPr>
              <w:t>Step 3</w:t>
            </w:r>
          </w:p>
          <w:p w:rsidR="002702AF" w:rsidRPr="00C41F2B" w:rsidRDefault="002702AF" w:rsidP="002702AF">
            <w:pPr>
              <w:pStyle w:val="TableText0"/>
              <w:keepNext w:val="0"/>
              <w:widowControl w:val="0"/>
              <w:rPr>
                <w:szCs w:val="20"/>
              </w:rPr>
            </w:pPr>
            <w:r w:rsidRPr="00C41F2B">
              <w:rPr>
                <w:szCs w:val="20"/>
              </w:rPr>
              <w:t>Study evidence transformed from LY to QALY</w:t>
            </w:r>
          </w:p>
        </w:tc>
        <w:tc>
          <w:tcPr>
            <w:tcW w:w="471"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E9713A" w:rsidRDefault="00E9713A" w:rsidP="002702AF">
            <w:pPr>
              <w:pStyle w:val="TableText0"/>
              <w:keepNext w:val="0"/>
              <w:widowControl w:val="0"/>
              <w:jc w:val="center"/>
              <w:rPr>
                <w:szCs w:val="20"/>
                <w:highlight w:val="black"/>
              </w:rPr>
            </w:pPr>
            <w:r>
              <w:rPr>
                <w:noProof/>
                <w:color w:val="000000"/>
                <w:szCs w:val="20"/>
                <w:highlight w:val="black"/>
              </w:rPr>
              <w:t>''''''''''''''''''''</w:t>
            </w:r>
          </w:p>
        </w:tc>
        <w:tc>
          <w:tcPr>
            <w:tcW w:w="550"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E9713A" w:rsidRDefault="00E9713A" w:rsidP="002702AF">
            <w:pPr>
              <w:pStyle w:val="TableText0"/>
              <w:keepNext w:val="0"/>
              <w:widowControl w:val="0"/>
              <w:jc w:val="center"/>
              <w:rPr>
                <w:szCs w:val="20"/>
                <w:highlight w:val="black"/>
              </w:rPr>
            </w:pPr>
            <w:r>
              <w:rPr>
                <w:noProof/>
                <w:color w:val="000000"/>
                <w:szCs w:val="20"/>
                <w:highlight w:val="black"/>
              </w:rPr>
              <w:t>''''''''''''''''''''</w:t>
            </w:r>
          </w:p>
        </w:tc>
        <w:tc>
          <w:tcPr>
            <w:tcW w:w="548"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E9713A" w:rsidRDefault="00E9713A" w:rsidP="002702AF">
            <w:pPr>
              <w:pStyle w:val="TableText0"/>
              <w:keepNext w:val="0"/>
              <w:widowControl w:val="0"/>
              <w:jc w:val="center"/>
              <w:rPr>
                <w:szCs w:val="20"/>
                <w:highlight w:val="black"/>
              </w:rPr>
            </w:pPr>
            <w:r>
              <w:rPr>
                <w:noProof/>
                <w:color w:val="000000"/>
                <w:szCs w:val="20"/>
                <w:highlight w:val="black"/>
              </w:rPr>
              <w:t>''''''''''''''''''</w:t>
            </w:r>
          </w:p>
        </w:tc>
        <w:tc>
          <w:tcPr>
            <w:tcW w:w="551"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C41F2B" w:rsidRDefault="002702AF" w:rsidP="002702AF">
            <w:pPr>
              <w:pStyle w:val="TableText0"/>
              <w:keepNext w:val="0"/>
              <w:widowControl w:val="0"/>
              <w:jc w:val="center"/>
              <w:rPr>
                <w:szCs w:val="20"/>
              </w:rPr>
            </w:pPr>
            <w:r w:rsidRPr="00C41F2B">
              <w:rPr>
                <w:szCs w:val="20"/>
              </w:rPr>
              <w:t>3.60</w:t>
            </w:r>
          </w:p>
        </w:tc>
        <w:tc>
          <w:tcPr>
            <w:tcW w:w="550"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C41F2B" w:rsidRDefault="002702AF" w:rsidP="002702AF">
            <w:pPr>
              <w:pStyle w:val="TableText0"/>
              <w:keepNext w:val="0"/>
              <w:widowControl w:val="0"/>
              <w:jc w:val="center"/>
              <w:rPr>
                <w:szCs w:val="20"/>
              </w:rPr>
            </w:pPr>
            <w:r w:rsidRPr="00C41F2B">
              <w:rPr>
                <w:szCs w:val="20"/>
              </w:rPr>
              <w:t>3.23</w:t>
            </w:r>
          </w:p>
        </w:tc>
        <w:tc>
          <w:tcPr>
            <w:tcW w:w="551"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C41F2B" w:rsidRDefault="002702AF" w:rsidP="002702AF">
            <w:pPr>
              <w:pStyle w:val="TableText0"/>
              <w:keepNext w:val="0"/>
              <w:widowControl w:val="0"/>
              <w:jc w:val="center"/>
              <w:rPr>
                <w:szCs w:val="20"/>
              </w:rPr>
            </w:pPr>
            <w:r w:rsidRPr="00C41F2B">
              <w:rPr>
                <w:szCs w:val="20"/>
              </w:rPr>
              <w:t>0.37</w:t>
            </w:r>
          </w:p>
        </w:tc>
        <w:tc>
          <w:tcPr>
            <w:tcW w:w="601" w:type="pct"/>
            <w:tcBorders>
              <w:top w:val="single" w:sz="4" w:space="0" w:color="auto"/>
              <w:left w:val="single" w:sz="4" w:space="0" w:color="auto"/>
              <w:bottom w:val="nil"/>
              <w:right w:val="single" w:sz="4" w:space="0" w:color="auto"/>
            </w:tcBorders>
            <w:shd w:val="clear" w:color="auto" w:fill="FFFFFF" w:themeFill="background1"/>
            <w:vAlign w:val="center"/>
          </w:tcPr>
          <w:p w:rsidR="002702AF" w:rsidRPr="00C41F2B" w:rsidRDefault="002702AF" w:rsidP="002702AF">
            <w:pPr>
              <w:pStyle w:val="TableText0"/>
              <w:keepNext w:val="0"/>
              <w:widowControl w:val="0"/>
              <w:jc w:val="center"/>
              <w:rPr>
                <w:szCs w:val="20"/>
              </w:rPr>
            </w:pPr>
            <w:r w:rsidRPr="00C41F2B">
              <w:rPr>
                <w:szCs w:val="20"/>
              </w:rPr>
              <w:t>$</w:t>
            </w:r>
            <w:r w:rsidR="00E9713A">
              <w:rPr>
                <w:noProof/>
                <w:color w:val="000000"/>
                <w:szCs w:val="20"/>
                <w:highlight w:val="black"/>
              </w:rPr>
              <w:t>''''''''''''''''</w:t>
            </w:r>
            <w:r w:rsidRPr="00C41F2B">
              <w:rPr>
                <w:szCs w:val="20"/>
              </w:rPr>
              <w:t xml:space="preserve"> per QALY gained</w:t>
            </w:r>
          </w:p>
        </w:tc>
      </w:tr>
      <w:tr w:rsidR="002702AF" w:rsidRPr="00C41F2B" w:rsidTr="00463843">
        <w:trPr>
          <w:cantSplit/>
        </w:trPr>
        <w:tc>
          <w:tcPr>
            <w:tcW w:w="1177"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C41F2B" w:rsidRDefault="002702AF" w:rsidP="002702AF">
            <w:pPr>
              <w:pStyle w:val="TableText0"/>
              <w:keepNext w:val="0"/>
              <w:widowControl w:val="0"/>
              <w:rPr>
                <w:szCs w:val="20"/>
              </w:rPr>
            </w:pPr>
            <w:r w:rsidRPr="00C41F2B">
              <w:rPr>
                <w:szCs w:val="20"/>
              </w:rPr>
              <w:t>BRCAm+ population only</w:t>
            </w:r>
            <w:r w:rsidR="00463843" w:rsidRPr="00C41F2B">
              <w:rPr>
                <w:szCs w:val="20"/>
              </w:rPr>
              <w:t xml:space="preserve"> </w:t>
            </w:r>
            <w:r w:rsidR="00463843" w:rsidRPr="00C41F2B">
              <w:rPr>
                <w:szCs w:val="20"/>
                <w:vertAlign w:val="superscript"/>
              </w:rPr>
              <w:t>c</w:t>
            </w:r>
          </w:p>
        </w:tc>
        <w:tc>
          <w:tcPr>
            <w:tcW w:w="471"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E9713A" w:rsidRDefault="00E9713A" w:rsidP="002702AF">
            <w:pPr>
              <w:pStyle w:val="TableText0"/>
              <w:keepNext w:val="0"/>
              <w:widowControl w:val="0"/>
              <w:jc w:val="center"/>
              <w:rPr>
                <w:szCs w:val="20"/>
                <w:highlight w:val="black"/>
              </w:rPr>
            </w:pPr>
            <w:r>
              <w:rPr>
                <w:noProof/>
                <w:color w:val="000000"/>
                <w:szCs w:val="20"/>
                <w:highlight w:val="black"/>
              </w:rPr>
              <w:t>''''''''''''''''''''''</w:t>
            </w:r>
          </w:p>
        </w:tc>
        <w:tc>
          <w:tcPr>
            <w:tcW w:w="550"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E9713A" w:rsidRDefault="00E9713A" w:rsidP="002702AF">
            <w:pPr>
              <w:pStyle w:val="TableText0"/>
              <w:keepNext w:val="0"/>
              <w:widowControl w:val="0"/>
              <w:jc w:val="center"/>
              <w:rPr>
                <w:szCs w:val="20"/>
                <w:highlight w:val="black"/>
              </w:rPr>
            </w:pPr>
            <w:r>
              <w:rPr>
                <w:noProof/>
                <w:color w:val="000000"/>
                <w:szCs w:val="20"/>
                <w:highlight w:val="black"/>
              </w:rPr>
              <w:t>'''''''''''''''''''''</w:t>
            </w:r>
          </w:p>
        </w:tc>
        <w:tc>
          <w:tcPr>
            <w:tcW w:w="548"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E9713A" w:rsidRDefault="00E9713A" w:rsidP="002702AF">
            <w:pPr>
              <w:pStyle w:val="TableText0"/>
              <w:keepNext w:val="0"/>
              <w:widowControl w:val="0"/>
              <w:jc w:val="center"/>
              <w:rPr>
                <w:szCs w:val="20"/>
                <w:highlight w:val="black"/>
              </w:rPr>
            </w:pPr>
            <w:r>
              <w:rPr>
                <w:noProof/>
                <w:color w:val="000000"/>
                <w:szCs w:val="20"/>
                <w:highlight w:val="black"/>
              </w:rPr>
              <w:t>''''''''''''''''''</w:t>
            </w:r>
          </w:p>
        </w:tc>
        <w:tc>
          <w:tcPr>
            <w:tcW w:w="551"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C41F2B" w:rsidRDefault="007D788C" w:rsidP="002702AF">
            <w:pPr>
              <w:pStyle w:val="TableText0"/>
              <w:keepNext w:val="0"/>
              <w:widowControl w:val="0"/>
              <w:jc w:val="center"/>
              <w:rPr>
                <w:szCs w:val="20"/>
              </w:rPr>
            </w:pPr>
            <w:r w:rsidRPr="00C41F2B">
              <w:rPr>
                <w:szCs w:val="20"/>
              </w:rPr>
              <w:t>5.82</w:t>
            </w:r>
          </w:p>
        </w:tc>
        <w:tc>
          <w:tcPr>
            <w:tcW w:w="550"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C41F2B" w:rsidRDefault="007D788C" w:rsidP="002702AF">
            <w:pPr>
              <w:pStyle w:val="TableText0"/>
              <w:keepNext w:val="0"/>
              <w:widowControl w:val="0"/>
              <w:jc w:val="center"/>
              <w:rPr>
                <w:szCs w:val="20"/>
              </w:rPr>
            </w:pPr>
            <w:r w:rsidRPr="00C41F2B">
              <w:rPr>
                <w:szCs w:val="20"/>
              </w:rPr>
              <w:t>4.76</w:t>
            </w:r>
          </w:p>
        </w:tc>
        <w:tc>
          <w:tcPr>
            <w:tcW w:w="551"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C41F2B" w:rsidRDefault="007D788C" w:rsidP="002702AF">
            <w:pPr>
              <w:pStyle w:val="TableText0"/>
              <w:keepNext w:val="0"/>
              <w:widowControl w:val="0"/>
              <w:jc w:val="center"/>
              <w:rPr>
                <w:szCs w:val="20"/>
              </w:rPr>
            </w:pPr>
            <w:r w:rsidRPr="00C41F2B">
              <w:rPr>
                <w:szCs w:val="20"/>
              </w:rPr>
              <w:t>1.05</w:t>
            </w:r>
          </w:p>
        </w:tc>
        <w:tc>
          <w:tcPr>
            <w:tcW w:w="601" w:type="pct"/>
            <w:tcBorders>
              <w:top w:val="nil"/>
              <w:left w:val="single" w:sz="4" w:space="0" w:color="auto"/>
              <w:bottom w:val="single" w:sz="4" w:space="0" w:color="auto"/>
              <w:right w:val="single" w:sz="4" w:space="0" w:color="auto"/>
            </w:tcBorders>
            <w:shd w:val="clear" w:color="auto" w:fill="FFFFFF" w:themeFill="background1"/>
            <w:vAlign w:val="center"/>
          </w:tcPr>
          <w:p w:rsidR="002702AF" w:rsidRPr="00C41F2B" w:rsidRDefault="002702AF" w:rsidP="002702AF">
            <w:pPr>
              <w:pStyle w:val="TableText0"/>
              <w:keepNext w:val="0"/>
              <w:widowControl w:val="0"/>
              <w:jc w:val="center"/>
              <w:rPr>
                <w:szCs w:val="20"/>
              </w:rPr>
            </w:pPr>
            <w:r w:rsidRPr="00C41F2B">
              <w:rPr>
                <w:szCs w:val="20"/>
              </w:rPr>
              <w:t>$</w:t>
            </w:r>
            <w:r w:rsidR="00E9713A">
              <w:rPr>
                <w:noProof/>
                <w:color w:val="000000"/>
                <w:szCs w:val="20"/>
                <w:highlight w:val="black"/>
              </w:rPr>
              <w:t>'''''''''''''''''</w:t>
            </w:r>
            <w:r w:rsidRPr="00C41F2B">
              <w:rPr>
                <w:szCs w:val="20"/>
              </w:rPr>
              <w:t xml:space="preserve"> per QALY gained</w:t>
            </w:r>
          </w:p>
        </w:tc>
      </w:tr>
      <w:tr w:rsidR="002702AF" w:rsidRPr="00C41F2B" w:rsidTr="00A70B1B">
        <w:trPr>
          <w:cantSplit/>
        </w:trPr>
        <w:tc>
          <w:tcPr>
            <w:tcW w:w="5000" w:type="pct"/>
            <w:gridSpan w:val="8"/>
            <w:tcBorders>
              <w:bottom w:val="single" w:sz="4" w:space="0" w:color="auto"/>
            </w:tcBorders>
            <w:shd w:val="clear" w:color="auto" w:fill="FFFFFF" w:themeFill="background1"/>
          </w:tcPr>
          <w:p w:rsidR="002702AF" w:rsidRPr="00C41F2B" w:rsidRDefault="002702AF" w:rsidP="002702AF">
            <w:pPr>
              <w:pStyle w:val="TableText0"/>
              <w:rPr>
                <w:b/>
                <w:bCs w:val="0"/>
                <w:szCs w:val="20"/>
              </w:rPr>
            </w:pPr>
            <w:r w:rsidRPr="00C41F2B">
              <w:rPr>
                <w:b/>
                <w:bCs w:val="0"/>
                <w:szCs w:val="20"/>
              </w:rPr>
              <w:t>November 2019 submission</w:t>
            </w:r>
          </w:p>
        </w:tc>
      </w:tr>
      <w:tr w:rsidR="002702AF" w:rsidRPr="00C41F2B" w:rsidTr="00463843">
        <w:trPr>
          <w:cantSplit/>
        </w:trPr>
        <w:tc>
          <w:tcPr>
            <w:tcW w:w="1177" w:type="pct"/>
            <w:tcBorders>
              <w:bottom w:val="single" w:sz="4" w:space="0" w:color="auto"/>
            </w:tcBorders>
            <w:shd w:val="clear" w:color="auto" w:fill="DBE5F1" w:themeFill="accent1" w:themeFillTint="33"/>
          </w:tcPr>
          <w:p w:rsidR="002702AF" w:rsidRPr="00C41F2B" w:rsidRDefault="002702AF" w:rsidP="002702AF">
            <w:pPr>
              <w:pStyle w:val="TableText0"/>
              <w:rPr>
                <w:szCs w:val="20"/>
              </w:rPr>
            </w:pPr>
            <w:r w:rsidRPr="00C41F2B">
              <w:rPr>
                <w:szCs w:val="20"/>
              </w:rPr>
              <w:t>Step 1</w:t>
            </w:r>
          </w:p>
          <w:p w:rsidR="002702AF" w:rsidRPr="00C41F2B" w:rsidRDefault="002702AF" w:rsidP="002702AF">
            <w:pPr>
              <w:pStyle w:val="TableText0"/>
              <w:rPr>
                <w:szCs w:val="20"/>
              </w:rPr>
            </w:pPr>
            <w:r w:rsidRPr="00C41F2B">
              <w:rPr>
                <w:szCs w:val="20"/>
              </w:rPr>
              <w:t>Setting: Trial setting (</w:t>
            </w:r>
            <w:r w:rsidRPr="00C41F2B">
              <w:rPr>
                <w:i/>
                <w:szCs w:val="20"/>
              </w:rPr>
              <w:t>BRCA</w:t>
            </w:r>
            <w:r w:rsidRPr="00C41F2B">
              <w:rPr>
                <w:szCs w:val="20"/>
              </w:rPr>
              <w:t>m+ only)</w:t>
            </w:r>
          </w:p>
          <w:p w:rsidR="002702AF" w:rsidRPr="00C41F2B" w:rsidRDefault="002702AF" w:rsidP="002702AF">
            <w:pPr>
              <w:pStyle w:val="TableText0"/>
              <w:rPr>
                <w:szCs w:val="20"/>
              </w:rPr>
            </w:pPr>
            <w:r w:rsidRPr="00C41F2B">
              <w:rPr>
                <w:szCs w:val="20"/>
              </w:rPr>
              <w:t xml:space="preserve">Time horizon: 49 months </w:t>
            </w:r>
            <w:r w:rsidRPr="00C41F2B">
              <w:rPr>
                <w:szCs w:val="20"/>
                <w:vertAlign w:val="superscript"/>
              </w:rPr>
              <w:t>a</w:t>
            </w:r>
            <w:r w:rsidRPr="00C41F2B">
              <w:rPr>
                <w:szCs w:val="20"/>
              </w:rPr>
              <w:t xml:space="preserve"> </w:t>
            </w:r>
          </w:p>
        </w:tc>
        <w:tc>
          <w:tcPr>
            <w:tcW w:w="471" w:type="pct"/>
            <w:tcBorders>
              <w:bottom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noProof/>
                <w:color w:val="000000"/>
                <w:szCs w:val="20"/>
                <w:highlight w:val="black"/>
              </w:rPr>
              <w:t>''''''''''''''''''''''''</w:t>
            </w:r>
          </w:p>
        </w:tc>
        <w:tc>
          <w:tcPr>
            <w:tcW w:w="550" w:type="pct"/>
            <w:tcBorders>
              <w:bottom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noProof/>
                <w:color w:val="000000"/>
                <w:szCs w:val="20"/>
                <w:highlight w:val="black"/>
              </w:rPr>
              <w:t>'''''''''''''</w:t>
            </w:r>
          </w:p>
        </w:tc>
        <w:tc>
          <w:tcPr>
            <w:tcW w:w="548" w:type="pct"/>
            <w:tcBorders>
              <w:bottom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noProof/>
                <w:color w:val="000000"/>
                <w:szCs w:val="20"/>
                <w:highlight w:val="black"/>
              </w:rPr>
              <w:t>'''''''''''''''''''</w:t>
            </w:r>
          </w:p>
        </w:tc>
        <w:tc>
          <w:tcPr>
            <w:tcW w:w="551" w:type="pct"/>
            <w:tcBorders>
              <w:bottom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szCs w:val="20"/>
              </w:rPr>
              <w:t>2.81</w:t>
            </w:r>
          </w:p>
        </w:tc>
        <w:tc>
          <w:tcPr>
            <w:tcW w:w="550" w:type="pct"/>
            <w:tcBorders>
              <w:bottom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szCs w:val="20"/>
              </w:rPr>
              <w:t>1.76</w:t>
            </w:r>
          </w:p>
        </w:tc>
        <w:tc>
          <w:tcPr>
            <w:tcW w:w="551" w:type="pct"/>
            <w:tcBorders>
              <w:bottom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szCs w:val="20"/>
              </w:rPr>
              <w:t>1.05</w:t>
            </w:r>
          </w:p>
        </w:tc>
        <w:tc>
          <w:tcPr>
            <w:tcW w:w="601" w:type="pct"/>
            <w:tcBorders>
              <w:bottom w:val="single" w:sz="4" w:space="0" w:color="auto"/>
            </w:tcBorders>
            <w:shd w:val="clear" w:color="auto" w:fill="DBE5F1" w:themeFill="accent1" w:themeFillTint="33"/>
            <w:vAlign w:val="center"/>
          </w:tcPr>
          <w:p w:rsidR="002702AF" w:rsidRPr="00C41F2B" w:rsidRDefault="002702AF" w:rsidP="002702AF">
            <w:pPr>
              <w:pStyle w:val="TableText0"/>
              <w:rPr>
                <w:szCs w:val="20"/>
              </w:rPr>
            </w:pPr>
            <w:r w:rsidRPr="00C41F2B">
              <w:rPr>
                <w:szCs w:val="20"/>
              </w:rPr>
              <w:t>$</w:t>
            </w:r>
            <w:r w:rsidR="00E9713A">
              <w:rPr>
                <w:noProof/>
                <w:color w:val="000000"/>
                <w:szCs w:val="20"/>
                <w:highlight w:val="black"/>
              </w:rPr>
              <w:t>'''''''''''''''''</w:t>
            </w:r>
            <w:r w:rsidRPr="00C41F2B">
              <w:rPr>
                <w:szCs w:val="20"/>
              </w:rPr>
              <w:t xml:space="preserve"> per PFY gained</w:t>
            </w:r>
          </w:p>
        </w:tc>
      </w:tr>
      <w:tr w:rsidR="002702AF" w:rsidRPr="00C41F2B" w:rsidTr="00463843">
        <w:trPr>
          <w:cantSplit/>
        </w:trPr>
        <w:tc>
          <w:tcPr>
            <w:tcW w:w="117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02AF" w:rsidRPr="00C41F2B" w:rsidRDefault="002702AF" w:rsidP="002702AF">
            <w:pPr>
              <w:pStyle w:val="TableText0"/>
              <w:rPr>
                <w:szCs w:val="20"/>
              </w:rPr>
            </w:pPr>
            <w:r w:rsidRPr="00C41F2B">
              <w:rPr>
                <w:szCs w:val="20"/>
              </w:rPr>
              <w:t>Step 2</w:t>
            </w:r>
          </w:p>
          <w:p w:rsidR="002702AF" w:rsidRPr="00C41F2B" w:rsidRDefault="002702AF" w:rsidP="002702AF">
            <w:pPr>
              <w:pStyle w:val="TableText0"/>
              <w:rPr>
                <w:szCs w:val="20"/>
              </w:rPr>
            </w:pPr>
            <w:r w:rsidRPr="00C41F2B">
              <w:rPr>
                <w:szCs w:val="20"/>
              </w:rPr>
              <w:t>Setting: Proposed MBS and PBS populations</w:t>
            </w:r>
          </w:p>
          <w:p w:rsidR="002702AF" w:rsidRPr="00C41F2B" w:rsidRDefault="002702AF" w:rsidP="002702AF">
            <w:pPr>
              <w:pStyle w:val="TableText0"/>
              <w:rPr>
                <w:szCs w:val="20"/>
              </w:rPr>
            </w:pPr>
            <w:r w:rsidRPr="00C41F2B">
              <w:rPr>
                <w:szCs w:val="20"/>
              </w:rPr>
              <w:t xml:space="preserve">Time horizon: 25 </w:t>
            </w:r>
            <w:proofErr w:type="spellStart"/>
            <w:r w:rsidRPr="00C41F2B">
              <w:rPr>
                <w:szCs w:val="20"/>
              </w:rPr>
              <w:t>years</w:t>
            </w:r>
            <w:r w:rsidRPr="00C41F2B">
              <w:rPr>
                <w:szCs w:val="20"/>
                <w:vertAlign w:val="superscript"/>
              </w:rPr>
              <w:t>b</w:t>
            </w:r>
            <w:proofErr w:type="spellEnd"/>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rFonts w:eastAsia="Times New Roman" w:cs="Times New Roman"/>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rFonts w:eastAsia="Times New Roman" w:cs="Times New Roman"/>
                <w:noProof/>
                <w:color w:val="000000"/>
                <w:szCs w:val="20"/>
                <w:highlight w:val="black"/>
              </w:rPr>
              <w:t>''''''''''''''''''''</w:t>
            </w:r>
          </w:p>
        </w:tc>
        <w:tc>
          <w:tcPr>
            <w:tcW w:w="5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rFonts w:eastAsia="Times New Roman" w:cs="Times New Roman"/>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rFonts w:eastAsia="Times New Roman" w:cs="Times New Roman"/>
                <w:szCs w:val="20"/>
              </w:rPr>
              <w:t>4.71</w:t>
            </w: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rFonts w:eastAsia="Times New Roman" w:cs="Times New Roman"/>
                <w:szCs w:val="20"/>
              </w:rPr>
              <w:t>4.35</w:t>
            </w:r>
          </w:p>
        </w:tc>
        <w:tc>
          <w:tcPr>
            <w:tcW w:w="5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rFonts w:eastAsia="Times New Roman" w:cs="Times New Roman"/>
                <w:szCs w:val="20"/>
              </w:rPr>
              <w:t>0.36</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rPr>
                <w:szCs w:val="20"/>
              </w:rPr>
            </w:pPr>
            <w:r w:rsidRPr="00C41F2B">
              <w:rPr>
                <w:rFonts w:eastAsia="Times New Roman" w:cs="Times New Roman"/>
                <w:szCs w:val="20"/>
              </w:rPr>
              <w:t>$</w:t>
            </w:r>
            <w:r w:rsidR="00E9713A">
              <w:rPr>
                <w:rFonts w:eastAsia="Times New Roman" w:cs="Times New Roman"/>
                <w:noProof/>
                <w:color w:val="000000"/>
                <w:szCs w:val="20"/>
                <w:highlight w:val="black"/>
              </w:rPr>
              <w:t>'''''''''''''''''</w:t>
            </w:r>
            <w:r w:rsidRPr="00C41F2B">
              <w:rPr>
                <w:rFonts w:eastAsia="Times New Roman" w:cs="Times New Roman"/>
                <w:szCs w:val="20"/>
              </w:rPr>
              <w:t xml:space="preserve"> per LY gained</w:t>
            </w:r>
          </w:p>
        </w:tc>
      </w:tr>
      <w:tr w:rsidR="002702AF" w:rsidRPr="00C41F2B" w:rsidTr="00463843">
        <w:trPr>
          <w:cantSplit/>
        </w:trPr>
        <w:tc>
          <w:tcPr>
            <w:tcW w:w="117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702AF" w:rsidRPr="00C41F2B" w:rsidRDefault="002702AF" w:rsidP="002702AF">
            <w:pPr>
              <w:pStyle w:val="TableText0"/>
              <w:rPr>
                <w:szCs w:val="20"/>
              </w:rPr>
            </w:pPr>
            <w:r w:rsidRPr="00C41F2B">
              <w:rPr>
                <w:szCs w:val="20"/>
              </w:rPr>
              <w:t>Step 3</w:t>
            </w:r>
          </w:p>
          <w:p w:rsidR="002702AF" w:rsidRPr="00C41F2B" w:rsidRDefault="002702AF" w:rsidP="002702AF">
            <w:pPr>
              <w:pStyle w:val="TableText0"/>
              <w:rPr>
                <w:szCs w:val="20"/>
              </w:rPr>
            </w:pPr>
            <w:r w:rsidRPr="00C41F2B">
              <w:rPr>
                <w:szCs w:val="20"/>
              </w:rPr>
              <w:t>Study evidence transformed from LY to QALY</w:t>
            </w: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rFonts w:eastAsia="Times New Roman" w:cs="Times New Roman"/>
                <w:noProof/>
                <w:color w:val="000000"/>
                <w:szCs w:val="2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rFonts w:eastAsia="Times New Roman" w:cs="Times New Roman"/>
                <w:noProof/>
                <w:color w:val="000000"/>
                <w:szCs w:val="20"/>
                <w:highlight w:val="black"/>
              </w:rPr>
              <w:t>'''''''''''''''''''</w:t>
            </w:r>
          </w:p>
        </w:tc>
        <w:tc>
          <w:tcPr>
            <w:tcW w:w="5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E9713A" w:rsidRDefault="00E9713A" w:rsidP="002702AF">
            <w:pPr>
              <w:pStyle w:val="TableText0"/>
              <w:jc w:val="center"/>
              <w:rPr>
                <w:szCs w:val="20"/>
                <w:highlight w:val="black"/>
              </w:rPr>
            </w:pPr>
            <w:r>
              <w:rPr>
                <w:rFonts w:eastAsia="Times New Roman" w:cs="Times New Roman"/>
                <w:noProof/>
                <w:color w:val="000000"/>
                <w:szCs w:val="20"/>
                <w:highlight w:val="black"/>
              </w:rPr>
              <w:t>''''''''''''''''''''</w:t>
            </w:r>
          </w:p>
        </w:tc>
        <w:tc>
          <w:tcPr>
            <w:tcW w:w="5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rFonts w:eastAsia="Times New Roman" w:cs="Times New Roman"/>
                <w:szCs w:val="20"/>
              </w:rPr>
              <w:t>3.10</w:t>
            </w: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rFonts w:eastAsia="Times New Roman" w:cs="Times New Roman"/>
                <w:szCs w:val="20"/>
              </w:rPr>
              <w:t>2.70</w:t>
            </w:r>
          </w:p>
        </w:tc>
        <w:tc>
          <w:tcPr>
            <w:tcW w:w="5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jc w:val="center"/>
              <w:rPr>
                <w:szCs w:val="20"/>
              </w:rPr>
            </w:pPr>
            <w:r w:rsidRPr="00C41F2B">
              <w:rPr>
                <w:rFonts w:eastAsia="Times New Roman" w:cs="Times New Roman"/>
                <w:szCs w:val="20"/>
              </w:rPr>
              <w:t>0.39</w:t>
            </w:r>
          </w:p>
        </w:tc>
        <w:tc>
          <w:tcPr>
            <w:tcW w:w="60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702AF" w:rsidRPr="00C41F2B" w:rsidRDefault="002702AF" w:rsidP="002702AF">
            <w:pPr>
              <w:pStyle w:val="TableText0"/>
              <w:rPr>
                <w:szCs w:val="20"/>
              </w:rPr>
            </w:pPr>
            <w:r w:rsidRPr="00C41F2B">
              <w:rPr>
                <w:rFonts w:eastAsia="Times New Roman" w:cs="Times New Roman"/>
                <w:szCs w:val="20"/>
              </w:rPr>
              <w:t>$</w:t>
            </w:r>
            <w:r w:rsidR="00E9713A">
              <w:rPr>
                <w:rFonts w:eastAsia="Times New Roman" w:cs="Times New Roman"/>
                <w:noProof/>
                <w:color w:val="000000"/>
                <w:szCs w:val="20"/>
                <w:highlight w:val="black"/>
              </w:rPr>
              <w:t>'''''''''''''''</w:t>
            </w:r>
            <w:r w:rsidRPr="00C41F2B">
              <w:rPr>
                <w:rFonts w:eastAsia="Times New Roman" w:cs="Times New Roman"/>
                <w:szCs w:val="20"/>
              </w:rPr>
              <w:t xml:space="preserve"> per QALY gained</w:t>
            </w:r>
          </w:p>
        </w:tc>
      </w:tr>
    </w:tbl>
    <w:p w:rsidR="00BF2F47" w:rsidRPr="00C41F2B" w:rsidRDefault="00BF2F47" w:rsidP="00BF2F47">
      <w:pPr>
        <w:pStyle w:val="TableFigureFooter"/>
      </w:pPr>
      <w:r w:rsidRPr="00C41F2B">
        <w:t xml:space="preserve">Source: Table 48, Table 49 and Table 50, Section 3.A.8 of the resubmission. November 2019 values from Table 3-38, p301 of the submission; Table 3-40, Table 3-41 and Table 3-42, p303 of the submission; Table 3-43 and Table 3-44, p304 of the November 2019 submission. </w:t>
      </w:r>
    </w:p>
    <w:p w:rsidR="00BF2F47" w:rsidRPr="00C41F2B" w:rsidRDefault="00BF2F47" w:rsidP="00BF2F47">
      <w:pPr>
        <w:pStyle w:val="TableFigureFooter"/>
      </w:pPr>
      <w:r w:rsidRPr="00C41F2B">
        <w:rPr>
          <w:shd w:val="clear" w:color="auto" w:fill="DBE5F1" w:themeFill="accent1" w:themeFillTint="33"/>
        </w:rPr>
        <w:t xml:space="preserve">Blue shading </w:t>
      </w:r>
      <w:r w:rsidRPr="00C41F2B">
        <w:t>relates to values previously considered by PBAC.</w:t>
      </w:r>
    </w:p>
    <w:p w:rsidR="00BF2F47" w:rsidRPr="00C41F2B" w:rsidRDefault="00BF2F47" w:rsidP="00BF2F47">
      <w:pPr>
        <w:pStyle w:val="TableFigureFooter"/>
      </w:pPr>
      <w:proofErr w:type="gramStart"/>
      <w:r w:rsidRPr="00C41F2B">
        <w:rPr>
          <w:vertAlign w:val="superscript"/>
        </w:rPr>
        <w:t>a</w:t>
      </w:r>
      <w:proofErr w:type="gramEnd"/>
      <w:r w:rsidRPr="00C41F2B">
        <w:t xml:space="preserve"> Costs included are those associated with </w:t>
      </w:r>
      <w:r w:rsidRPr="00C41F2B">
        <w:rPr>
          <w:i/>
        </w:rPr>
        <w:t>BRCA</w:t>
      </w:r>
      <w:r w:rsidRPr="00C41F2B">
        <w:t xml:space="preserve"> testing, olaparib treatment in </w:t>
      </w:r>
      <w:r w:rsidR="004F687F" w:rsidRPr="00C41F2B">
        <w:t>1L</w:t>
      </w:r>
      <w:r w:rsidRPr="00C41F2B">
        <w:t xml:space="preserve"> for intervention and treatment associated adverse events. Costs and health outcomes presented are for true positives only.</w:t>
      </w:r>
    </w:p>
    <w:p w:rsidR="00BF2F47" w:rsidRPr="00C41F2B" w:rsidRDefault="00BF2F47" w:rsidP="00BF2F47">
      <w:pPr>
        <w:pStyle w:val="TableFigureFooter"/>
      </w:pPr>
      <w:r w:rsidRPr="00C41F2B">
        <w:rPr>
          <w:vertAlign w:val="superscript"/>
        </w:rPr>
        <w:t>b</w:t>
      </w:r>
      <w:r w:rsidRPr="00C41F2B">
        <w:t xml:space="preserve"> Costs and health outcomes in Step 2 and 3 are modelled for the patients entering the model and are aggregated across both modelled arms over the time horizon of 20 years (25 years in November 2019 submission). Costs included in the modelled analysis are those associated with </w:t>
      </w:r>
      <w:r w:rsidRPr="00C41F2B">
        <w:rPr>
          <w:i/>
        </w:rPr>
        <w:t>BRCA</w:t>
      </w:r>
      <w:r w:rsidRPr="00C41F2B">
        <w:t xml:space="preserve"> testing, olaparib treatment, treatment associated adverse events, disease monitoring, disease progression, </w:t>
      </w:r>
      <w:r w:rsidR="004F687F" w:rsidRPr="00C41F2B">
        <w:t>2L</w:t>
      </w:r>
      <w:r w:rsidRPr="00C41F2B">
        <w:t xml:space="preserve"> platinum based chemotherapy and cost of palliative care.</w:t>
      </w:r>
    </w:p>
    <w:p w:rsidR="007D788C" w:rsidRPr="00C41F2B" w:rsidRDefault="00463843" w:rsidP="00BF2F47">
      <w:pPr>
        <w:pStyle w:val="TableFigureFooter"/>
      </w:pPr>
      <w:proofErr w:type="gramStart"/>
      <w:r w:rsidRPr="00C41F2B">
        <w:rPr>
          <w:vertAlign w:val="superscript"/>
        </w:rPr>
        <w:t>c</w:t>
      </w:r>
      <w:proofErr w:type="gramEnd"/>
      <w:r w:rsidR="007D788C" w:rsidRPr="00C41F2B">
        <w:t xml:space="preserve"> BRCAm true positives</w:t>
      </w:r>
    </w:p>
    <w:p w:rsidR="00BF2F47" w:rsidRDefault="00BF2F47" w:rsidP="00BF2F47">
      <w:pPr>
        <w:pStyle w:val="TableFigureFooter"/>
      </w:pPr>
      <w:r w:rsidRPr="00C41F2B">
        <w:rPr>
          <w:i/>
        </w:rPr>
        <w:t>BRCA</w:t>
      </w:r>
      <w:r w:rsidRPr="00C41F2B">
        <w:t xml:space="preserve">m = germline </w:t>
      </w:r>
      <w:r w:rsidRPr="00C41F2B">
        <w:rPr>
          <w:i/>
        </w:rPr>
        <w:t>BRCA1/2</w:t>
      </w:r>
      <w:r w:rsidRPr="00C41F2B">
        <w:t xml:space="preserve"> mutation positive; LY = life year; PFY = Progression-free years; QALY = quality-adjusted life year.</w:t>
      </w:r>
    </w:p>
    <w:p w:rsidR="00A3094E" w:rsidRDefault="00A3094E" w:rsidP="00BF2F47">
      <w:pPr>
        <w:pStyle w:val="TableFigureFooter"/>
        <w:rPr>
          <w:rFonts w:asciiTheme="minorHAnsi" w:hAnsiTheme="minorHAnsi" w:cs="Arial"/>
          <w:szCs w:val="24"/>
        </w:rPr>
      </w:pPr>
    </w:p>
    <w:p w:rsidR="00A3094E" w:rsidRPr="002F445F" w:rsidRDefault="00A3094E" w:rsidP="00BF2F47">
      <w:pPr>
        <w:pStyle w:val="TableFigureFooter"/>
        <w:rPr>
          <w:rFonts w:asciiTheme="minorHAnsi" w:hAnsiTheme="minorHAnsi" w:cstheme="minorHAnsi"/>
          <w:sz w:val="24"/>
          <w:szCs w:val="24"/>
        </w:rPr>
      </w:pPr>
      <w:r w:rsidRPr="002F445F">
        <w:rPr>
          <w:rFonts w:asciiTheme="minorHAnsi" w:hAnsiTheme="minorHAnsi" w:cstheme="minorHAnsi"/>
          <w:sz w:val="24"/>
          <w:szCs w:val="24"/>
        </w:rPr>
        <w:t>The redacted table shows ICERs in the range of $35,000 - $45,000 to $75,000 to &lt; $95,000.</w:t>
      </w:r>
    </w:p>
    <w:p w:rsidR="00FF1F94" w:rsidRPr="00C41F2B" w:rsidRDefault="00FF1F94" w:rsidP="003906A5">
      <w:pPr>
        <w:pStyle w:val="3-BodyText"/>
      </w:pPr>
      <w:r w:rsidRPr="00C41F2B">
        <w:t xml:space="preserve">The PBAC previously considered that the extent of </w:t>
      </w:r>
      <w:r w:rsidR="00E75B55" w:rsidRPr="00C41F2B">
        <w:t xml:space="preserve">modelled </w:t>
      </w:r>
      <w:r w:rsidRPr="00C41F2B">
        <w:t>OS benefit was implausibly optimistic. The extent of OS benefit modelled in the resubmission, although slightly smaller than the original submission, remain</w:t>
      </w:r>
      <w:r w:rsidR="00DD69FB" w:rsidRPr="00C41F2B">
        <w:t>ed</w:t>
      </w:r>
      <w:r w:rsidRPr="00C41F2B">
        <w:t xml:space="preserve"> optimistic</w:t>
      </w:r>
      <w:r w:rsidR="00B10838" w:rsidRPr="00C41F2B">
        <w:t xml:space="preserve"> and highly uncertain, with </w:t>
      </w:r>
      <w:r w:rsidR="00B10838" w:rsidRPr="00C41F2B">
        <w:rPr>
          <w:bCs/>
          <w:iCs/>
          <w:szCs w:val="20"/>
        </w:rPr>
        <w:t>86% of the incremental QALYs generated in the extrapolated period (beyond 41 months)</w:t>
      </w:r>
      <w:r w:rsidRPr="00C41F2B">
        <w:t xml:space="preserve">. The PBAC </w:t>
      </w:r>
      <w:r w:rsidR="00CA5C7A" w:rsidRPr="00C41F2B">
        <w:t xml:space="preserve">previously </w:t>
      </w:r>
      <w:r w:rsidRPr="00C41F2B">
        <w:t xml:space="preserve">considered that, although consistent with the evidence from the SOLO1 trial, the revised scenario that removed </w:t>
      </w:r>
      <w:r w:rsidR="00054C33" w:rsidRPr="00C41F2B">
        <w:t xml:space="preserve">the </w:t>
      </w:r>
      <w:r w:rsidRPr="00C41F2B">
        <w:t xml:space="preserve">OS benefit was overly conservative. The PBAC considered that it would be reasonable for the </w:t>
      </w:r>
      <w:r w:rsidRPr="00C41F2B">
        <w:lastRenderedPageBreak/>
        <w:t>model to include an OS benefit, consistent with</w:t>
      </w:r>
      <w:r w:rsidR="00054C33" w:rsidRPr="00C41F2B">
        <w:t xml:space="preserve"> that observed in</w:t>
      </w:r>
      <w:r w:rsidRPr="00C41F2B">
        <w:t xml:space="preserve"> Study 19, for the proportion of patients for whom it is reasonable to accept that olaparib would not have been given in the </w:t>
      </w:r>
      <w:r w:rsidR="004F687F" w:rsidRPr="00C41F2B">
        <w:t>2L</w:t>
      </w:r>
      <w:r w:rsidRPr="00C41F2B">
        <w:t xml:space="preserve"> setting (para 7.19, olaparib PSD, November 2019).</w:t>
      </w:r>
      <w:r w:rsidR="00463843" w:rsidRPr="00C41F2B">
        <w:t xml:space="preserve"> </w:t>
      </w:r>
      <w:r w:rsidR="00DD69FB" w:rsidRPr="00C41F2B">
        <w:t>T</w:t>
      </w:r>
      <w:r w:rsidRPr="00C41F2B">
        <w:t xml:space="preserve">his suggestion was not addressed in the resubmission. The </w:t>
      </w:r>
      <w:r w:rsidR="0087022C" w:rsidRPr="00C41F2B">
        <w:t xml:space="preserve">ESC noted that the </w:t>
      </w:r>
      <w:r w:rsidRPr="00C41F2B">
        <w:t xml:space="preserve">model presented in the resubmission did not differentiate between these two patient </w:t>
      </w:r>
      <w:r w:rsidR="00397930" w:rsidRPr="00C41F2B">
        <w:t>sub</w:t>
      </w:r>
      <w:r w:rsidRPr="00C41F2B">
        <w:t>groups</w:t>
      </w:r>
      <w:r w:rsidR="00B10838" w:rsidRPr="00C41F2B">
        <w:t xml:space="preserve"> (</w:t>
      </w:r>
      <w:r w:rsidR="007A5EF2" w:rsidRPr="00C41F2B">
        <w:t>1L placebo patients</w:t>
      </w:r>
      <w:r w:rsidR="00B10838" w:rsidRPr="00C41F2B">
        <w:t xml:space="preserve"> with and without 2L olaparib)</w:t>
      </w:r>
      <w:r w:rsidRPr="00C41F2B">
        <w:t xml:space="preserve">, and the complexity of the model structure </w:t>
      </w:r>
      <w:r w:rsidR="009657DC" w:rsidRPr="00C41F2B">
        <w:t>meant that these changes could not be</w:t>
      </w:r>
      <w:r w:rsidRPr="00C41F2B">
        <w:t xml:space="preserve"> easily incorporate</w:t>
      </w:r>
      <w:r w:rsidR="009657DC" w:rsidRPr="00C41F2B">
        <w:t>d</w:t>
      </w:r>
      <w:r w:rsidRPr="00C41F2B">
        <w:t xml:space="preserve"> </w:t>
      </w:r>
      <w:r w:rsidR="0087022C" w:rsidRPr="00C41F2B">
        <w:t>during evaluation. The PSCR argued that the OS gain generated for uncured patients in the model (HR = 0.87</w:t>
      </w:r>
      <w:r w:rsidR="00214C05" w:rsidRPr="00C41F2B">
        <w:t xml:space="preserve"> at 20 years</w:t>
      </w:r>
      <w:r w:rsidR="00446686" w:rsidRPr="00C41F2B">
        <w:t>, 0.88 at 15 years</w:t>
      </w:r>
      <w:r w:rsidR="0087022C" w:rsidRPr="00C41F2B">
        <w:t xml:space="preserve">) </w:t>
      </w:r>
      <w:r w:rsidR="00DD69FB" w:rsidRPr="00C41F2B">
        <w:t>wa</w:t>
      </w:r>
      <w:r w:rsidR="0087022C" w:rsidRPr="00C41F2B">
        <w:t>s more conservative than that proposed by the PBAC</w:t>
      </w:r>
      <w:r w:rsidR="00397930" w:rsidRPr="00C41F2B">
        <w:t xml:space="preserve">. The PSCR </w:t>
      </w:r>
      <w:r w:rsidR="00DD69FB" w:rsidRPr="00C41F2B">
        <w:t>estimated the</w:t>
      </w:r>
      <w:r w:rsidR="00397930" w:rsidRPr="00C41F2B">
        <w:t xml:space="preserve"> </w:t>
      </w:r>
      <w:r w:rsidR="0087022C" w:rsidRPr="00C41F2B">
        <w:t>HR</w:t>
      </w:r>
      <w:r w:rsidR="00DD69FB" w:rsidRPr="00C41F2B">
        <w:t xml:space="preserve"> for the PBAC proposed approach to be</w:t>
      </w:r>
      <w:r w:rsidR="00463843" w:rsidRPr="00C41F2B">
        <w:t xml:space="preserve"> </w:t>
      </w:r>
      <w:r w:rsidR="0087022C" w:rsidRPr="00C41F2B">
        <w:t>0.765</w:t>
      </w:r>
      <w:r w:rsidR="00DD69FB" w:rsidRPr="00C41F2B">
        <w:t xml:space="preserve"> based on a HR of 0.52 for</w:t>
      </w:r>
      <w:r w:rsidR="00397930" w:rsidRPr="00C41F2B">
        <w:t xml:space="preserve"> </w:t>
      </w:r>
      <w:r w:rsidR="0087022C" w:rsidRPr="00C41F2B">
        <w:t xml:space="preserve">49% of the patient population </w:t>
      </w:r>
      <w:r w:rsidR="00DD69FB" w:rsidRPr="00C41F2B">
        <w:t xml:space="preserve">in which the comparison is </w:t>
      </w:r>
      <w:r w:rsidR="0087022C" w:rsidRPr="00C41F2B">
        <w:t>1L olaparib vs no olaparib</w:t>
      </w:r>
      <w:r w:rsidR="00DD69FB" w:rsidRPr="00C41F2B">
        <w:t xml:space="preserve">, and a </w:t>
      </w:r>
      <w:r w:rsidR="0087022C" w:rsidRPr="00C41F2B">
        <w:t xml:space="preserve"> HR</w:t>
      </w:r>
      <w:r w:rsidR="00DD69FB" w:rsidRPr="00C41F2B">
        <w:t xml:space="preserve"> of </w:t>
      </w:r>
      <w:r w:rsidR="008224D4" w:rsidRPr="00C41F2B">
        <w:t>1</w:t>
      </w:r>
      <w:r w:rsidR="0087022C" w:rsidRPr="00C41F2B">
        <w:t xml:space="preserve"> </w:t>
      </w:r>
      <w:r w:rsidR="00DD69FB" w:rsidRPr="00C41F2B">
        <w:t>for</w:t>
      </w:r>
      <w:r w:rsidR="0087022C" w:rsidRPr="00C41F2B">
        <w:t xml:space="preserve"> 51% </w:t>
      </w:r>
      <w:r w:rsidR="008224D4" w:rsidRPr="00C41F2B">
        <w:t xml:space="preserve">in which the comparison is </w:t>
      </w:r>
      <w:r w:rsidR="0087022C" w:rsidRPr="00C41F2B">
        <w:t>1L vs 2L olaparib.</w:t>
      </w:r>
    </w:p>
    <w:p w:rsidR="00FF1F94" w:rsidRPr="00C41F2B" w:rsidRDefault="00B10838" w:rsidP="00FF1F94">
      <w:pPr>
        <w:pStyle w:val="3-BodyText"/>
      </w:pPr>
      <w:r w:rsidRPr="00C41F2B">
        <w:t>T</w:t>
      </w:r>
      <w:r w:rsidR="0087022C" w:rsidRPr="00C41F2B">
        <w:t xml:space="preserve">he evaluation </w:t>
      </w:r>
      <w:r w:rsidR="00FF1F94" w:rsidRPr="00C41F2B">
        <w:t xml:space="preserve">presented the results of two additional analyses </w:t>
      </w:r>
      <w:r w:rsidR="00950BBC" w:rsidRPr="00C41F2B">
        <w:t>given</w:t>
      </w:r>
      <w:r w:rsidR="00FF1F94" w:rsidRPr="00C41F2B">
        <w:t xml:space="preserve"> the absence of mature OS data:</w:t>
      </w:r>
    </w:p>
    <w:p w:rsidR="00FF1F94" w:rsidRPr="00C41F2B" w:rsidRDefault="00CB1901" w:rsidP="00717606">
      <w:pPr>
        <w:pStyle w:val="3-BodyText"/>
        <w:numPr>
          <w:ilvl w:val="0"/>
          <w:numId w:val="8"/>
        </w:numPr>
        <w:ind w:left="1134"/>
      </w:pPr>
      <w:r w:rsidRPr="00C41F2B">
        <w:t xml:space="preserve">Option 1: </w:t>
      </w:r>
      <w:r w:rsidR="00FF1F94" w:rsidRPr="00C41F2B">
        <w:t xml:space="preserve">Assuming no difference in OS benefit associated with olaparib </w:t>
      </w:r>
      <w:r w:rsidR="004F687F" w:rsidRPr="00C41F2B">
        <w:t>1L</w:t>
      </w:r>
      <w:r w:rsidR="00FF1F94" w:rsidRPr="00C41F2B">
        <w:t xml:space="preserve"> maintenance beyond the median follow up (41 months); and</w:t>
      </w:r>
    </w:p>
    <w:p w:rsidR="00FF1F94" w:rsidRPr="00C41F2B" w:rsidRDefault="00CB1901" w:rsidP="00717606">
      <w:pPr>
        <w:pStyle w:val="3-BodyText"/>
        <w:numPr>
          <w:ilvl w:val="0"/>
          <w:numId w:val="8"/>
        </w:numPr>
        <w:ind w:left="1134"/>
      </w:pPr>
      <w:r w:rsidRPr="00C41F2B">
        <w:t xml:space="preserve">Option 2: </w:t>
      </w:r>
      <w:r w:rsidR="00FF1F94" w:rsidRPr="00C41F2B">
        <w:t>Assuming a HR of 0.95 for OS would apply beyond the median follow up in SOLO1 (41 months)</w:t>
      </w:r>
      <w:r w:rsidR="00383140" w:rsidRPr="00C41F2B">
        <w:t xml:space="preserve"> based on </w:t>
      </w:r>
      <w:r w:rsidR="00FF1F94" w:rsidRPr="00C41F2B">
        <w:t>the point-estimate for the OS HR in SOLO1</w:t>
      </w:r>
      <w:r w:rsidRPr="00C41F2B">
        <w:t xml:space="preserve"> </w:t>
      </w:r>
      <w:r w:rsidR="007A5EF2" w:rsidRPr="00C41F2B">
        <w:t>(</w:t>
      </w:r>
      <w:r w:rsidRPr="00C41F2B">
        <w:t>See</w:t>
      </w:r>
      <w:r w:rsidRPr="00C41F2B">
        <w:rPr>
          <w:iCs/>
        </w:rPr>
        <w:t xml:space="preserve"> </w:t>
      </w:r>
      <w:r w:rsidR="00A0380C" w:rsidRPr="00A0380C">
        <w:rPr>
          <w:iCs/>
        </w:rPr>
        <w:t>Figure 2</w:t>
      </w:r>
      <w:r w:rsidRPr="00C41F2B">
        <w:rPr>
          <w:iCs/>
        </w:rPr>
        <w:t>)</w:t>
      </w:r>
      <w:r w:rsidR="00B31E7D" w:rsidRPr="00C41F2B">
        <w:rPr>
          <w:iCs/>
        </w:rPr>
        <w:t>.</w:t>
      </w:r>
    </w:p>
    <w:p w:rsidR="00CB1901" w:rsidRPr="00C41F2B" w:rsidRDefault="00CB1901" w:rsidP="005C1170">
      <w:pPr>
        <w:pStyle w:val="TableFigureHeading"/>
        <w:rPr>
          <w:rStyle w:val="CommentReference"/>
          <w:b/>
          <w:szCs w:val="24"/>
        </w:rPr>
      </w:pPr>
      <w:bookmarkStart w:id="37" w:name="_Ref40449625"/>
      <w:r w:rsidRPr="00C41F2B">
        <w:rPr>
          <w:rStyle w:val="CommentReference"/>
          <w:b/>
          <w:szCs w:val="24"/>
        </w:rPr>
        <w:t xml:space="preserve">Figure </w:t>
      </w:r>
      <w:r w:rsidR="00A0380C">
        <w:rPr>
          <w:rStyle w:val="CommentReference"/>
          <w:b/>
          <w:noProof/>
          <w:szCs w:val="24"/>
        </w:rPr>
        <w:t>2</w:t>
      </w:r>
      <w:bookmarkEnd w:id="37"/>
      <w:r w:rsidRPr="00C41F2B">
        <w:rPr>
          <w:rStyle w:val="CommentReference"/>
          <w:b/>
          <w:szCs w:val="24"/>
        </w:rPr>
        <w:t>: Option 2: Including all changes requested by the PBAC, using OS KM from SOLO1 until median follow up (41 months) and  assuming a difference (HR=0.95) in OS beyond median follow up.</w:t>
      </w:r>
    </w:p>
    <w:p w:rsidR="00CB1901" w:rsidRPr="00C41F2B" w:rsidRDefault="00CB1901" w:rsidP="00CB1901">
      <w:pPr>
        <w:pStyle w:val="TableFigureFooter"/>
        <w:rPr>
          <w:i/>
          <w:iCs/>
          <w:color w:val="000000" w:themeColor="text1"/>
        </w:rPr>
      </w:pPr>
      <w:r w:rsidRPr="00C41F2B">
        <w:rPr>
          <w:noProof/>
          <w:lang w:eastAsia="en-AU"/>
        </w:rPr>
        <w:drawing>
          <wp:inline distT="0" distB="0" distL="0" distR="0" wp14:anchorId="0B3C1613" wp14:editId="1B279ACA">
            <wp:extent cx="5732145" cy="353758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3537585"/>
                    </a:xfrm>
                    <a:prstGeom prst="rect">
                      <a:avLst/>
                    </a:prstGeom>
                  </pic:spPr>
                </pic:pic>
              </a:graphicData>
            </a:graphic>
          </wp:inline>
        </w:drawing>
      </w:r>
    </w:p>
    <w:p w:rsidR="00CB1901" w:rsidRPr="00C41F2B" w:rsidRDefault="00CB1901" w:rsidP="00CB1901">
      <w:pPr>
        <w:pStyle w:val="TableFigureFooter"/>
      </w:pPr>
      <w:r w:rsidRPr="00C41F2B">
        <w:rPr>
          <w:iCs/>
          <w:color w:val="000000" w:themeColor="text1"/>
        </w:rPr>
        <w:t xml:space="preserve">Source: Complied during the evaluation based on information presented in </w:t>
      </w:r>
      <w:r w:rsidRPr="00C41F2B">
        <w:t>‘</w:t>
      </w:r>
      <w:proofErr w:type="spellStart"/>
      <w:r w:rsidRPr="00C41F2B">
        <w:t>Olaparib_Economic</w:t>
      </w:r>
      <w:proofErr w:type="spellEnd"/>
      <w:r w:rsidRPr="00C41F2B">
        <w:t xml:space="preserve"> evaluation_11032020 Final.xlsx’</w:t>
      </w:r>
    </w:p>
    <w:p w:rsidR="00DD3611" w:rsidRPr="00C41F2B" w:rsidRDefault="00CB1901" w:rsidP="00DD3611">
      <w:pPr>
        <w:pStyle w:val="3-BodyText"/>
      </w:pPr>
      <w:r w:rsidRPr="00C41F2B">
        <w:rPr>
          <w:iCs/>
        </w:rPr>
        <w:lastRenderedPageBreak/>
        <w:t>Both additional analyses conducted during the evaluation also included a number of changes as requested by the PBAC</w:t>
      </w:r>
      <w:r w:rsidR="00DD3611" w:rsidRPr="00C41F2B">
        <w:rPr>
          <w:iCs/>
        </w:rPr>
        <w:t>:</w:t>
      </w:r>
    </w:p>
    <w:p w:rsidR="00DD3611" w:rsidRPr="00C41F2B" w:rsidRDefault="00DD3611" w:rsidP="00717606">
      <w:pPr>
        <w:pStyle w:val="3-BodyText"/>
        <w:numPr>
          <w:ilvl w:val="0"/>
          <w:numId w:val="8"/>
        </w:numPr>
        <w:ind w:left="1134"/>
      </w:pPr>
      <w:r w:rsidRPr="00C41F2B">
        <w:t xml:space="preserve">Allowing use of olaparib in 2L setting for </w:t>
      </w:r>
      <w:proofErr w:type="spellStart"/>
      <w:r w:rsidR="00570331" w:rsidRPr="00C41F2B">
        <w:t>sBRCAm</w:t>
      </w:r>
      <w:proofErr w:type="spellEnd"/>
      <w:r w:rsidRPr="00C41F2B">
        <w:t xml:space="preserve"> patients, consistent with the PBAC recommendation in March 2020 (7.12 Olaparib </w:t>
      </w:r>
      <w:r w:rsidR="00DA7BFE">
        <w:t>PSD</w:t>
      </w:r>
      <w:r w:rsidRPr="00C41F2B">
        <w:t>, March 2020 PBAC Meeting);</w:t>
      </w:r>
    </w:p>
    <w:p w:rsidR="00DD3611" w:rsidRPr="00C41F2B" w:rsidRDefault="00DD3611" w:rsidP="00717606">
      <w:pPr>
        <w:pStyle w:val="3-BodyText"/>
        <w:numPr>
          <w:ilvl w:val="0"/>
          <w:numId w:val="8"/>
        </w:numPr>
        <w:ind w:left="1134"/>
      </w:pPr>
      <w:r w:rsidRPr="00C41F2B">
        <w:t xml:space="preserve">Assuming a time horizon of 15 years (para 7.25, olaparib PSD, November 2019 PBAC Meeting); </w:t>
      </w:r>
    </w:p>
    <w:p w:rsidR="00DD3611" w:rsidRPr="00C41F2B" w:rsidRDefault="00DD3611" w:rsidP="00717606">
      <w:pPr>
        <w:pStyle w:val="3-BodyText"/>
        <w:numPr>
          <w:ilvl w:val="0"/>
          <w:numId w:val="8"/>
        </w:numPr>
        <w:ind w:left="1134"/>
      </w:pPr>
      <w:r w:rsidRPr="00C41F2B">
        <w:t>Use of utility values</w:t>
      </w:r>
      <w:r w:rsidR="001A1250" w:rsidRPr="00C41F2B">
        <w:t xml:space="preserve"> for PFS2 and PD</w:t>
      </w:r>
      <w:r w:rsidRPr="00C41F2B">
        <w:t xml:space="preserve"> from Study 19 (para 7.25, olaparib PSD, November 2019 PBAC Meeting</w:t>
      </w:r>
      <w:r w:rsidR="00F346C4" w:rsidRPr="00C41F2B">
        <w:t>);</w:t>
      </w:r>
    </w:p>
    <w:p w:rsidR="00DD3611" w:rsidRPr="00C41F2B" w:rsidRDefault="00DD3611" w:rsidP="00717606">
      <w:pPr>
        <w:pStyle w:val="3-BodyText"/>
        <w:numPr>
          <w:ilvl w:val="0"/>
          <w:numId w:val="8"/>
        </w:numPr>
        <w:ind w:left="1134"/>
      </w:pPr>
      <w:r w:rsidRPr="00C41F2B">
        <w:t>Correcting the modelled costs of olaparib (para 7.25, olaparib PSD, November 2019 PBAC Meeting</w:t>
      </w:r>
      <w:r w:rsidR="00F346C4" w:rsidRPr="00C41F2B">
        <w:t>)</w:t>
      </w:r>
      <w:r w:rsidRPr="00C41F2B">
        <w:t>;</w:t>
      </w:r>
    </w:p>
    <w:p w:rsidR="0070761C" w:rsidRPr="00C41F2B" w:rsidRDefault="00DD3611" w:rsidP="00717606">
      <w:pPr>
        <w:pStyle w:val="3-BodyText"/>
        <w:numPr>
          <w:ilvl w:val="0"/>
          <w:numId w:val="8"/>
        </w:numPr>
        <w:ind w:left="1134"/>
        <w:rPr>
          <w:iCs/>
        </w:rPr>
      </w:pPr>
      <w:r w:rsidRPr="00C41F2B">
        <w:t xml:space="preserve">Including bevacizumab as a comparator </w:t>
      </w:r>
      <w:r w:rsidR="005417D0" w:rsidRPr="00C41F2B">
        <w:t xml:space="preserve">for </w:t>
      </w:r>
      <w:r w:rsidRPr="00C41F2B">
        <w:t xml:space="preserve">the relevant </w:t>
      </w:r>
      <w:r w:rsidR="005417D0" w:rsidRPr="00C41F2B">
        <w:t>sub</w:t>
      </w:r>
      <w:r w:rsidRPr="00C41F2B">
        <w:t>population</w:t>
      </w:r>
      <w:r w:rsidRPr="00C41F2B">
        <w:rPr>
          <w:iCs/>
        </w:rPr>
        <w:t xml:space="preserve"> (para 7.25, olaparib PSD, November 2019 PBAC Meeting)</w:t>
      </w:r>
      <w:r w:rsidR="006F7CFE" w:rsidRPr="00C41F2B">
        <w:rPr>
          <w:iCs/>
        </w:rPr>
        <w:t xml:space="preserve"> (assumed in the resubmission to be 7% of patients)</w:t>
      </w:r>
      <w:r w:rsidRPr="00C41F2B">
        <w:rPr>
          <w:iCs/>
        </w:rPr>
        <w:t xml:space="preserve">. </w:t>
      </w:r>
    </w:p>
    <w:p w:rsidR="00BF2F47" w:rsidRPr="00C41F2B" w:rsidRDefault="00BF2F47" w:rsidP="006C4B81">
      <w:pPr>
        <w:pStyle w:val="TableFigureHeading"/>
      </w:pPr>
      <w:bookmarkStart w:id="38" w:name="_Ref40695296"/>
      <w:r w:rsidRPr="00C41F2B">
        <w:t xml:space="preserve">Table </w:t>
      </w:r>
      <w:r w:rsidR="00A0380C">
        <w:rPr>
          <w:noProof/>
        </w:rPr>
        <w:t>10</w:t>
      </w:r>
      <w:bookmarkEnd w:id="38"/>
      <w:r w:rsidRPr="00C41F2B">
        <w:t xml:space="preserve">: </w:t>
      </w:r>
      <w:r w:rsidR="00CB1901" w:rsidRPr="00C41F2B">
        <w:t>Options for a respecified base case</w:t>
      </w:r>
    </w:p>
    <w:tbl>
      <w:tblPr>
        <w:tblStyle w:val="TableGrid"/>
        <w:tblW w:w="0" w:type="auto"/>
        <w:tblLayout w:type="fixed"/>
        <w:tblCellMar>
          <w:left w:w="28" w:type="dxa"/>
          <w:right w:w="28" w:type="dxa"/>
        </w:tblCellMar>
        <w:tblLook w:val="04A0" w:firstRow="1" w:lastRow="0" w:firstColumn="1" w:lastColumn="0" w:noHBand="0" w:noVBand="1"/>
      </w:tblPr>
      <w:tblGrid>
        <w:gridCol w:w="421"/>
        <w:gridCol w:w="1134"/>
        <w:gridCol w:w="2126"/>
        <w:gridCol w:w="2410"/>
        <w:gridCol w:w="992"/>
        <w:gridCol w:w="992"/>
        <w:gridCol w:w="942"/>
      </w:tblGrid>
      <w:tr w:rsidR="005C1170" w:rsidRPr="00C41F2B" w:rsidTr="00E81EB3">
        <w:trPr>
          <w:tblHeader/>
        </w:trPr>
        <w:tc>
          <w:tcPr>
            <w:tcW w:w="421" w:type="dxa"/>
            <w:vAlign w:val="center"/>
          </w:tcPr>
          <w:p w:rsidR="00CB1901" w:rsidRPr="00C41F2B" w:rsidRDefault="00CB1901" w:rsidP="00E81EB3">
            <w:pPr>
              <w:pStyle w:val="Tabletext"/>
              <w:contextualSpacing/>
              <w:jc w:val="left"/>
              <w:rPr>
                <w:b/>
              </w:rPr>
            </w:pPr>
            <w:r w:rsidRPr="00C41F2B">
              <w:rPr>
                <w:b/>
              </w:rPr>
              <w:t>#</w:t>
            </w:r>
          </w:p>
        </w:tc>
        <w:tc>
          <w:tcPr>
            <w:tcW w:w="1134" w:type="dxa"/>
          </w:tcPr>
          <w:p w:rsidR="00CB1901" w:rsidRPr="00C41F2B" w:rsidRDefault="00CB1901" w:rsidP="00E81EB3">
            <w:pPr>
              <w:pStyle w:val="Tabletext"/>
              <w:contextualSpacing/>
              <w:jc w:val="left"/>
              <w:rPr>
                <w:b/>
              </w:rPr>
            </w:pPr>
            <w:r w:rsidRPr="00C41F2B">
              <w:rPr>
                <w:b/>
              </w:rPr>
              <w:t>Parameter</w:t>
            </w:r>
          </w:p>
        </w:tc>
        <w:tc>
          <w:tcPr>
            <w:tcW w:w="2126" w:type="dxa"/>
            <w:vAlign w:val="center"/>
          </w:tcPr>
          <w:p w:rsidR="00CB1901" w:rsidRPr="00C41F2B" w:rsidRDefault="00CB1901" w:rsidP="00E81EB3">
            <w:pPr>
              <w:pStyle w:val="Tabletext"/>
              <w:contextualSpacing/>
              <w:jc w:val="left"/>
              <w:rPr>
                <w:b/>
              </w:rPr>
            </w:pPr>
            <w:r w:rsidRPr="00C41F2B">
              <w:rPr>
                <w:b/>
              </w:rPr>
              <w:t>Base case value</w:t>
            </w:r>
          </w:p>
        </w:tc>
        <w:tc>
          <w:tcPr>
            <w:tcW w:w="2410" w:type="dxa"/>
            <w:vAlign w:val="center"/>
          </w:tcPr>
          <w:p w:rsidR="00CB1901" w:rsidRPr="00C41F2B" w:rsidRDefault="00CB1901" w:rsidP="00E81EB3">
            <w:pPr>
              <w:pStyle w:val="Tabletext"/>
              <w:contextualSpacing/>
              <w:jc w:val="left"/>
              <w:rPr>
                <w:b/>
              </w:rPr>
            </w:pPr>
            <w:r w:rsidRPr="00C41F2B">
              <w:rPr>
                <w:b/>
              </w:rPr>
              <w:t>Value used in analysis</w:t>
            </w:r>
          </w:p>
        </w:tc>
        <w:tc>
          <w:tcPr>
            <w:tcW w:w="992" w:type="dxa"/>
            <w:vAlign w:val="center"/>
          </w:tcPr>
          <w:p w:rsidR="00CB1901" w:rsidRPr="00C41F2B" w:rsidRDefault="00CB1901" w:rsidP="00E81EB3">
            <w:pPr>
              <w:pStyle w:val="Tabletext"/>
              <w:contextualSpacing/>
              <w:jc w:val="left"/>
              <w:rPr>
                <w:b/>
              </w:rPr>
            </w:pPr>
            <w:r w:rsidRPr="00C41F2B">
              <w:rPr>
                <w:b/>
              </w:rPr>
              <w:t>Incremental Costs</w:t>
            </w:r>
          </w:p>
        </w:tc>
        <w:tc>
          <w:tcPr>
            <w:tcW w:w="992" w:type="dxa"/>
            <w:vAlign w:val="center"/>
          </w:tcPr>
          <w:p w:rsidR="00CB1901" w:rsidRPr="00C41F2B" w:rsidRDefault="00CB1901" w:rsidP="00E81EB3">
            <w:pPr>
              <w:pStyle w:val="Tabletext"/>
              <w:contextualSpacing/>
              <w:jc w:val="left"/>
              <w:rPr>
                <w:b/>
              </w:rPr>
            </w:pPr>
            <w:r w:rsidRPr="00C41F2B">
              <w:rPr>
                <w:b/>
              </w:rPr>
              <w:t>Incremental QALYs</w:t>
            </w:r>
          </w:p>
        </w:tc>
        <w:tc>
          <w:tcPr>
            <w:tcW w:w="942" w:type="dxa"/>
            <w:vAlign w:val="center"/>
          </w:tcPr>
          <w:p w:rsidR="00CB1901" w:rsidRPr="00C41F2B" w:rsidRDefault="00CB1901" w:rsidP="00E81EB3">
            <w:pPr>
              <w:pStyle w:val="Tabletext"/>
              <w:contextualSpacing/>
              <w:jc w:val="left"/>
              <w:rPr>
                <w:b/>
              </w:rPr>
            </w:pPr>
            <w:r w:rsidRPr="00C41F2B">
              <w:rPr>
                <w:b/>
              </w:rPr>
              <w:t>ICER ($/QALY)</w:t>
            </w:r>
          </w:p>
        </w:tc>
      </w:tr>
      <w:tr w:rsidR="005C1170" w:rsidRPr="00C41F2B" w:rsidTr="00E81EB3">
        <w:tc>
          <w:tcPr>
            <w:tcW w:w="421" w:type="dxa"/>
            <w:vAlign w:val="center"/>
          </w:tcPr>
          <w:p w:rsidR="00CB1901" w:rsidRPr="00C41F2B" w:rsidRDefault="00CB1901" w:rsidP="00E81EB3">
            <w:pPr>
              <w:pStyle w:val="Tabletext"/>
              <w:ind w:left="57"/>
              <w:contextualSpacing/>
              <w:jc w:val="left"/>
            </w:pPr>
          </w:p>
        </w:tc>
        <w:tc>
          <w:tcPr>
            <w:tcW w:w="5670" w:type="dxa"/>
            <w:gridSpan w:val="3"/>
          </w:tcPr>
          <w:p w:rsidR="00CB1901" w:rsidRPr="00C41F2B" w:rsidRDefault="00CB1901" w:rsidP="00E81EB3">
            <w:pPr>
              <w:pStyle w:val="Tabletext"/>
              <w:ind w:left="57"/>
              <w:contextualSpacing/>
              <w:jc w:val="left"/>
            </w:pPr>
            <w:r w:rsidRPr="00C41F2B">
              <w:t>Resubmission base case</w:t>
            </w:r>
          </w:p>
        </w:tc>
        <w:tc>
          <w:tcPr>
            <w:tcW w:w="992" w:type="dxa"/>
            <w:vAlign w:val="bottom"/>
          </w:tcPr>
          <w:p w:rsidR="00CB1901" w:rsidRPr="00C41F2B" w:rsidRDefault="00CB1901" w:rsidP="00E81EB3">
            <w:pPr>
              <w:pStyle w:val="Tabletext"/>
              <w:ind w:left="57"/>
              <w:contextualSpacing/>
              <w:jc w:val="left"/>
              <w:rPr>
                <w:rFonts w:cs="Calibri"/>
              </w:rPr>
            </w:pPr>
            <w:r w:rsidRPr="00C41F2B">
              <w:rPr>
                <w:rFonts w:cs="Calibri"/>
              </w:rPr>
              <w:t>$</w:t>
            </w:r>
            <w:r w:rsidR="00E9713A">
              <w:rPr>
                <w:rFonts w:cs="Calibri"/>
                <w:noProof/>
                <w:color w:val="000000"/>
                <w:highlight w:val="black"/>
              </w:rPr>
              <w:t>'''''''''''''''</w:t>
            </w:r>
          </w:p>
        </w:tc>
        <w:tc>
          <w:tcPr>
            <w:tcW w:w="992" w:type="dxa"/>
            <w:vAlign w:val="bottom"/>
          </w:tcPr>
          <w:p w:rsidR="00CB1901" w:rsidRPr="00C41F2B" w:rsidRDefault="00CB1901" w:rsidP="002955A7">
            <w:pPr>
              <w:pStyle w:val="Tabletext"/>
              <w:ind w:left="57"/>
              <w:contextualSpacing/>
              <w:jc w:val="left"/>
              <w:rPr>
                <w:rFonts w:cs="Calibri"/>
              </w:rPr>
            </w:pPr>
            <w:r w:rsidRPr="00C41F2B">
              <w:rPr>
                <w:rFonts w:cs="Calibri"/>
              </w:rPr>
              <w:t>0.3</w:t>
            </w:r>
            <w:r w:rsidR="002955A7" w:rsidRPr="00C41F2B">
              <w:rPr>
                <w:rFonts w:cs="Calibri"/>
              </w:rPr>
              <w:t>65</w:t>
            </w:r>
          </w:p>
        </w:tc>
        <w:tc>
          <w:tcPr>
            <w:tcW w:w="942" w:type="dxa"/>
            <w:vAlign w:val="bottom"/>
          </w:tcPr>
          <w:p w:rsidR="00CB1901" w:rsidRPr="00C41F2B" w:rsidRDefault="00CB1901" w:rsidP="00E81EB3">
            <w:pPr>
              <w:pStyle w:val="Tabletext"/>
              <w:ind w:left="57"/>
              <w:contextualSpacing/>
              <w:jc w:val="left"/>
              <w:rPr>
                <w:rFonts w:cs="Calibri"/>
              </w:rPr>
            </w:pPr>
            <w:r w:rsidRPr="00C41F2B">
              <w:rPr>
                <w:rFonts w:cs="Calibri"/>
              </w:rPr>
              <w:t>$</w:t>
            </w:r>
            <w:r w:rsidR="00E9713A">
              <w:rPr>
                <w:rFonts w:cs="Calibri"/>
                <w:noProof/>
                <w:color w:val="000000"/>
                <w:highlight w:val="black"/>
              </w:rPr>
              <w:t>'''''''''''''''''</w:t>
            </w:r>
          </w:p>
        </w:tc>
      </w:tr>
      <w:tr w:rsidR="00CB1901" w:rsidRPr="00C41F2B" w:rsidTr="005E4B32">
        <w:tc>
          <w:tcPr>
            <w:tcW w:w="421" w:type="dxa"/>
            <w:vAlign w:val="center"/>
          </w:tcPr>
          <w:p w:rsidR="00CB1901" w:rsidRPr="00C41F2B" w:rsidRDefault="00CB1901" w:rsidP="00E81EB3">
            <w:pPr>
              <w:pStyle w:val="Tabletext"/>
              <w:ind w:left="57"/>
              <w:contextualSpacing/>
              <w:jc w:val="left"/>
              <w:rPr>
                <w:b/>
              </w:rPr>
            </w:pPr>
          </w:p>
        </w:tc>
        <w:tc>
          <w:tcPr>
            <w:tcW w:w="8596" w:type="dxa"/>
            <w:gridSpan w:val="6"/>
          </w:tcPr>
          <w:p w:rsidR="00CB1901" w:rsidRPr="00C41F2B" w:rsidRDefault="00CB1901" w:rsidP="00E81EB3">
            <w:pPr>
              <w:pStyle w:val="Tabletext"/>
              <w:ind w:left="57"/>
              <w:contextualSpacing/>
              <w:jc w:val="left"/>
              <w:rPr>
                <w:rFonts w:cs="Calibri"/>
                <w:b/>
              </w:rPr>
            </w:pPr>
            <w:r w:rsidRPr="00C41F2B">
              <w:rPr>
                <w:b/>
              </w:rPr>
              <w:t>Univariate Analyses</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1</w:t>
            </w:r>
          </w:p>
        </w:tc>
        <w:tc>
          <w:tcPr>
            <w:tcW w:w="1134" w:type="dxa"/>
            <w:vAlign w:val="center"/>
          </w:tcPr>
          <w:p w:rsidR="00CB1901" w:rsidRPr="00C41F2B" w:rsidRDefault="00CB1901" w:rsidP="00E81EB3">
            <w:pPr>
              <w:pStyle w:val="Tabletext"/>
              <w:ind w:left="57"/>
              <w:contextualSpacing/>
              <w:jc w:val="left"/>
            </w:pPr>
            <w:r w:rsidRPr="00C41F2B">
              <w:t>Availability of 2L treatment</w:t>
            </w:r>
          </w:p>
        </w:tc>
        <w:tc>
          <w:tcPr>
            <w:tcW w:w="2126" w:type="dxa"/>
            <w:vAlign w:val="center"/>
          </w:tcPr>
          <w:p w:rsidR="00CB1901" w:rsidRPr="00C41F2B" w:rsidRDefault="00CB1901" w:rsidP="00E81EB3">
            <w:pPr>
              <w:pStyle w:val="Tabletext"/>
              <w:ind w:left="57"/>
              <w:contextualSpacing/>
              <w:jc w:val="left"/>
            </w:pPr>
            <w:r w:rsidRPr="00C41F2B">
              <w:t xml:space="preserve">Patients with </w:t>
            </w:r>
            <w:proofErr w:type="spellStart"/>
            <w:r w:rsidRPr="00C41F2B">
              <w:t>sBRCA</w:t>
            </w:r>
            <w:proofErr w:type="spellEnd"/>
            <w:r w:rsidRPr="00C41F2B">
              <w:t xml:space="preserve"> mutations not eligible for treatment with 2L olaparib</w:t>
            </w:r>
          </w:p>
        </w:tc>
        <w:tc>
          <w:tcPr>
            <w:tcW w:w="2410" w:type="dxa"/>
            <w:vAlign w:val="center"/>
          </w:tcPr>
          <w:p w:rsidR="00CB1901" w:rsidRPr="00C41F2B" w:rsidRDefault="00CB1901" w:rsidP="00BA00B6">
            <w:pPr>
              <w:pStyle w:val="Tabletext"/>
              <w:ind w:left="57"/>
              <w:contextualSpacing/>
              <w:jc w:val="left"/>
            </w:pPr>
            <w:r w:rsidRPr="00C41F2B">
              <w:t xml:space="preserve"> </w:t>
            </w:r>
            <w:proofErr w:type="spellStart"/>
            <w:r w:rsidRPr="00C41F2B">
              <w:t>sBRCA</w:t>
            </w:r>
            <w:proofErr w:type="spellEnd"/>
            <w:r w:rsidRPr="00C41F2B">
              <w:t xml:space="preserve"> patients eligible for 2L olaparib </w:t>
            </w:r>
            <w:r w:rsidRPr="00C41F2B">
              <w:rPr>
                <w:vertAlign w:val="superscript"/>
              </w:rPr>
              <w:t>a</w:t>
            </w:r>
          </w:p>
        </w:tc>
        <w:tc>
          <w:tcPr>
            <w:tcW w:w="992" w:type="dxa"/>
            <w:vAlign w:val="center"/>
          </w:tcPr>
          <w:p w:rsidR="00CB1901" w:rsidRPr="00C41F2B" w:rsidRDefault="00CB1901" w:rsidP="00E81EB3">
            <w:pPr>
              <w:pStyle w:val="Tabletext"/>
              <w:ind w:left="57"/>
              <w:contextualSpacing/>
              <w:jc w:val="left"/>
              <w:rPr>
                <w:rFonts w:cs="Calibri"/>
              </w:rPr>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rPr>
                <w:rFonts w:cs="Calibri"/>
              </w:rPr>
            </w:pPr>
            <w:r w:rsidRPr="00C41F2B">
              <w:t>0.27</w:t>
            </w:r>
          </w:p>
        </w:tc>
        <w:tc>
          <w:tcPr>
            <w:tcW w:w="942" w:type="dxa"/>
            <w:vAlign w:val="center"/>
          </w:tcPr>
          <w:p w:rsidR="00CB1901" w:rsidRPr="00C41F2B" w:rsidRDefault="00CB1901" w:rsidP="00E81EB3">
            <w:pPr>
              <w:pStyle w:val="Tabletext"/>
              <w:ind w:left="57"/>
              <w:contextualSpacing/>
              <w:jc w:val="left"/>
              <w:rPr>
                <w:rFonts w:cs="Calibri"/>
              </w:rPr>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2</w:t>
            </w:r>
          </w:p>
        </w:tc>
        <w:tc>
          <w:tcPr>
            <w:tcW w:w="1134" w:type="dxa"/>
            <w:vAlign w:val="center"/>
          </w:tcPr>
          <w:p w:rsidR="00CB1901" w:rsidRPr="00C41F2B" w:rsidRDefault="00CB1901" w:rsidP="00E81EB3">
            <w:pPr>
              <w:pStyle w:val="Tabletext"/>
              <w:ind w:left="57"/>
              <w:contextualSpacing/>
              <w:jc w:val="left"/>
            </w:pPr>
            <w:r w:rsidRPr="00C41F2B">
              <w:t>Time horizon</w:t>
            </w:r>
          </w:p>
        </w:tc>
        <w:tc>
          <w:tcPr>
            <w:tcW w:w="2126" w:type="dxa"/>
            <w:vAlign w:val="center"/>
          </w:tcPr>
          <w:p w:rsidR="00CB1901" w:rsidRPr="00C41F2B" w:rsidRDefault="00CB1901" w:rsidP="00E81EB3">
            <w:pPr>
              <w:pStyle w:val="Tabletext"/>
              <w:ind w:left="57"/>
              <w:contextualSpacing/>
              <w:jc w:val="left"/>
            </w:pPr>
            <w:r w:rsidRPr="00C41F2B">
              <w:t>20 years</w:t>
            </w:r>
          </w:p>
        </w:tc>
        <w:tc>
          <w:tcPr>
            <w:tcW w:w="2410" w:type="dxa"/>
            <w:vAlign w:val="center"/>
          </w:tcPr>
          <w:p w:rsidR="00CB1901" w:rsidRPr="00C41F2B" w:rsidRDefault="00CB1901" w:rsidP="00E81EB3">
            <w:pPr>
              <w:pStyle w:val="Tabletext"/>
              <w:ind w:left="57"/>
              <w:contextualSpacing/>
              <w:jc w:val="left"/>
            </w:pPr>
            <w:r w:rsidRPr="00C41F2B">
              <w:t xml:space="preserve">15 </w:t>
            </w:r>
            <w:proofErr w:type="spellStart"/>
            <w:r w:rsidRPr="00C41F2B">
              <w:t>years</w:t>
            </w:r>
            <w:r w:rsidRPr="00C41F2B">
              <w:rPr>
                <w:vertAlign w:val="superscript"/>
              </w:rPr>
              <w:t>b</w:t>
            </w:r>
            <w:proofErr w:type="spellEnd"/>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0.308</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3</w:t>
            </w:r>
          </w:p>
        </w:tc>
        <w:tc>
          <w:tcPr>
            <w:tcW w:w="1134" w:type="dxa"/>
            <w:vAlign w:val="center"/>
          </w:tcPr>
          <w:p w:rsidR="00CB1901" w:rsidRPr="00C41F2B" w:rsidRDefault="00CB1901" w:rsidP="00E81EB3">
            <w:pPr>
              <w:pStyle w:val="Tabletext"/>
              <w:ind w:left="57"/>
              <w:contextualSpacing/>
              <w:jc w:val="left"/>
            </w:pPr>
            <w:r w:rsidRPr="00C41F2B">
              <w:t>Utilities</w:t>
            </w:r>
          </w:p>
        </w:tc>
        <w:tc>
          <w:tcPr>
            <w:tcW w:w="2126" w:type="dxa"/>
            <w:vAlign w:val="center"/>
          </w:tcPr>
          <w:p w:rsidR="00CB1901" w:rsidRPr="00C41F2B" w:rsidRDefault="00CB1901" w:rsidP="00E81EB3">
            <w:pPr>
              <w:pStyle w:val="Tabletext"/>
              <w:ind w:left="57"/>
              <w:contextualSpacing/>
              <w:jc w:val="left"/>
            </w:pPr>
            <w:r w:rsidRPr="00C41F2B">
              <w:t>PFS2: 0.637</w:t>
            </w:r>
          </w:p>
          <w:p w:rsidR="00CB1901" w:rsidRPr="00C41F2B" w:rsidRDefault="00CB1901" w:rsidP="00E81EB3">
            <w:pPr>
              <w:pStyle w:val="Tabletext"/>
              <w:ind w:left="57"/>
              <w:contextualSpacing/>
              <w:jc w:val="left"/>
            </w:pPr>
            <w:r w:rsidRPr="00C41F2B">
              <w:t>Progressive disease: 0.557</w:t>
            </w:r>
          </w:p>
          <w:p w:rsidR="00CB1901" w:rsidRPr="00C41F2B" w:rsidRDefault="00CB1901" w:rsidP="00E81EB3">
            <w:pPr>
              <w:pStyle w:val="Tabletext"/>
              <w:ind w:left="57"/>
              <w:contextualSpacing/>
              <w:jc w:val="left"/>
            </w:pPr>
            <w:r w:rsidRPr="00C41F2B">
              <w:t xml:space="preserve">Weighted between Study 19, and </w:t>
            </w:r>
            <w:proofErr w:type="spellStart"/>
            <w:r w:rsidRPr="00C41F2B">
              <w:t>Havrilesky</w:t>
            </w:r>
            <w:proofErr w:type="spellEnd"/>
            <w:r w:rsidRPr="00C41F2B">
              <w:t xml:space="preserve"> et al, assuming 51% of patients would be healthy enough to receive 2L olaparib.</w:t>
            </w:r>
          </w:p>
        </w:tc>
        <w:tc>
          <w:tcPr>
            <w:tcW w:w="2410" w:type="dxa"/>
            <w:vAlign w:val="center"/>
          </w:tcPr>
          <w:p w:rsidR="00CB1901" w:rsidRPr="00C41F2B" w:rsidRDefault="00CB1901" w:rsidP="00E81EB3">
            <w:pPr>
              <w:pStyle w:val="Tabletext"/>
              <w:ind w:left="57"/>
              <w:contextualSpacing/>
              <w:jc w:val="left"/>
            </w:pPr>
            <w:r w:rsidRPr="00C41F2B">
              <w:t xml:space="preserve">Utilities from Study 19: </w:t>
            </w:r>
          </w:p>
          <w:p w:rsidR="00CB1901" w:rsidRPr="00C41F2B" w:rsidRDefault="00CB1901" w:rsidP="00E81EB3">
            <w:pPr>
              <w:pStyle w:val="Tabletext"/>
              <w:ind w:left="57"/>
              <w:contextualSpacing/>
              <w:jc w:val="left"/>
            </w:pPr>
            <w:r w:rsidRPr="00C41F2B">
              <w:t>PFS2: 0.768</w:t>
            </w:r>
          </w:p>
          <w:p w:rsidR="00CB1901" w:rsidRPr="00C41F2B" w:rsidRDefault="00CB1901" w:rsidP="00E81EB3">
            <w:pPr>
              <w:pStyle w:val="Tabletext"/>
              <w:ind w:left="57"/>
              <w:contextualSpacing/>
              <w:jc w:val="left"/>
            </w:pPr>
            <w:r w:rsidRPr="00C41F2B">
              <w:t>Progressive disease: 0.708</w:t>
            </w:r>
            <w:r w:rsidRPr="00C41F2B">
              <w:rPr>
                <w:vertAlign w:val="superscript"/>
              </w:rPr>
              <w:t>c</w:t>
            </w:r>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0.310</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4</w:t>
            </w:r>
          </w:p>
        </w:tc>
        <w:tc>
          <w:tcPr>
            <w:tcW w:w="1134" w:type="dxa"/>
            <w:vAlign w:val="center"/>
          </w:tcPr>
          <w:p w:rsidR="00CB1901" w:rsidRPr="00C41F2B" w:rsidRDefault="00CB1901" w:rsidP="00E81EB3">
            <w:pPr>
              <w:pStyle w:val="Tabletext"/>
              <w:ind w:left="57"/>
              <w:contextualSpacing/>
              <w:jc w:val="left"/>
            </w:pPr>
            <w:r w:rsidRPr="00C41F2B">
              <w:t>Cost of olaparib</w:t>
            </w:r>
          </w:p>
        </w:tc>
        <w:tc>
          <w:tcPr>
            <w:tcW w:w="2126" w:type="dxa"/>
            <w:vAlign w:val="center"/>
          </w:tcPr>
          <w:p w:rsidR="00CB1901" w:rsidRPr="00C41F2B" w:rsidRDefault="00CB1901" w:rsidP="00BA00B6">
            <w:pPr>
              <w:pStyle w:val="Tabletext"/>
              <w:ind w:left="57"/>
              <w:contextualSpacing/>
              <w:jc w:val="left"/>
            </w:pPr>
            <w:r w:rsidRPr="00C41F2B">
              <w:t xml:space="preserve">Average daily dose of 1L treatment (558.8mg) from SOLO1 and 2L treatment (568.20mg) SOLO2 used to determine </w:t>
            </w:r>
            <w:r w:rsidR="00BA00B6" w:rsidRPr="00C41F2B">
              <w:t>cost</w:t>
            </w:r>
          </w:p>
        </w:tc>
        <w:tc>
          <w:tcPr>
            <w:tcW w:w="2410" w:type="dxa"/>
            <w:vAlign w:val="center"/>
          </w:tcPr>
          <w:p w:rsidR="00CB1901" w:rsidRPr="00C41F2B" w:rsidRDefault="00BA00B6" w:rsidP="00E81EB3">
            <w:pPr>
              <w:pStyle w:val="Tabletext"/>
              <w:ind w:left="57"/>
              <w:contextualSpacing/>
              <w:jc w:val="left"/>
            </w:pPr>
            <w:r w:rsidRPr="00C41F2B">
              <w:t xml:space="preserve">No adjustment to cost to reflect same price for each tablet strength </w:t>
            </w:r>
            <w:r w:rsidR="00CB1901" w:rsidRPr="00C41F2B">
              <w:rPr>
                <w:vertAlign w:val="superscript"/>
              </w:rPr>
              <w:t>d</w:t>
            </w:r>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0.365</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5</w:t>
            </w:r>
          </w:p>
        </w:tc>
        <w:tc>
          <w:tcPr>
            <w:tcW w:w="1134" w:type="dxa"/>
            <w:vAlign w:val="center"/>
          </w:tcPr>
          <w:p w:rsidR="00CB1901" w:rsidRPr="00C41F2B" w:rsidRDefault="00CB1901" w:rsidP="00E81EB3">
            <w:pPr>
              <w:pStyle w:val="Tabletext"/>
              <w:ind w:left="57"/>
              <w:contextualSpacing/>
              <w:jc w:val="left"/>
            </w:pPr>
            <w:r w:rsidRPr="00C41F2B">
              <w:t>Bevacizumab use in comparator arm</w:t>
            </w:r>
          </w:p>
        </w:tc>
        <w:tc>
          <w:tcPr>
            <w:tcW w:w="2126" w:type="dxa"/>
            <w:vAlign w:val="center"/>
          </w:tcPr>
          <w:p w:rsidR="00CB1901" w:rsidRPr="00C41F2B" w:rsidRDefault="00CB1901" w:rsidP="00E81EB3">
            <w:pPr>
              <w:pStyle w:val="Tabletext"/>
              <w:ind w:left="57"/>
              <w:contextualSpacing/>
              <w:jc w:val="left"/>
            </w:pPr>
            <w:r w:rsidRPr="00C41F2B">
              <w:t>Bevacizumab not included in BRCAm+ placebo patients</w:t>
            </w:r>
          </w:p>
        </w:tc>
        <w:tc>
          <w:tcPr>
            <w:tcW w:w="2410" w:type="dxa"/>
            <w:vAlign w:val="center"/>
          </w:tcPr>
          <w:p w:rsidR="00CB1901" w:rsidRPr="00C41F2B" w:rsidRDefault="00CB1901" w:rsidP="00E81EB3">
            <w:pPr>
              <w:pStyle w:val="Tabletext"/>
              <w:ind w:left="57"/>
              <w:contextualSpacing/>
              <w:jc w:val="left"/>
            </w:pPr>
            <w:r w:rsidRPr="00C41F2B">
              <w:t>Bevacizumab included in BRCAm+ placebo patients (7%;)</w:t>
            </w:r>
            <w:r w:rsidRPr="00C41F2B">
              <w:rPr>
                <w:vertAlign w:val="superscript"/>
              </w:rPr>
              <w:t>e</w:t>
            </w:r>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0.358</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6</w:t>
            </w:r>
          </w:p>
        </w:tc>
        <w:tc>
          <w:tcPr>
            <w:tcW w:w="1134" w:type="dxa"/>
            <w:vMerge w:val="restart"/>
            <w:vAlign w:val="center"/>
          </w:tcPr>
          <w:p w:rsidR="00CB1901" w:rsidRPr="00C41F2B" w:rsidRDefault="00CB1901" w:rsidP="00E81EB3">
            <w:pPr>
              <w:pStyle w:val="Tabletext"/>
              <w:ind w:left="57"/>
              <w:contextualSpacing/>
              <w:jc w:val="left"/>
            </w:pPr>
            <w:r w:rsidRPr="00C41F2B">
              <w:t>OS Gain</w:t>
            </w:r>
          </w:p>
        </w:tc>
        <w:tc>
          <w:tcPr>
            <w:tcW w:w="2126" w:type="dxa"/>
            <w:vMerge w:val="restart"/>
            <w:vAlign w:val="center"/>
          </w:tcPr>
          <w:p w:rsidR="00CB1901" w:rsidRPr="00C41F2B" w:rsidRDefault="00CB1901" w:rsidP="00E81EB3">
            <w:pPr>
              <w:pStyle w:val="Tabletext"/>
              <w:ind w:left="57"/>
              <w:contextualSpacing/>
              <w:jc w:val="left"/>
            </w:pPr>
            <w:r w:rsidRPr="00C41F2B">
              <w:t>Assumed surrogacy of PFS for OS</w:t>
            </w:r>
          </w:p>
        </w:tc>
        <w:tc>
          <w:tcPr>
            <w:tcW w:w="2410" w:type="dxa"/>
            <w:vAlign w:val="center"/>
          </w:tcPr>
          <w:p w:rsidR="00CB1901" w:rsidRPr="00C41F2B" w:rsidRDefault="00994E5E" w:rsidP="00E81EB3">
            <w:pPr>
              <w:pStyle w:val="Tabletext"/>
              <w:ind w:left="57"/>
              <w:contextualSpacing/>
              <w:jc w:val="left"/>
            </w:pPr>
            <w:r w:rsidRPr="00C41F2B">
              <w:t>No OS benefit</w:t>
            </w:r>
            <w:r w:rsidR="00CB1901" w:rsidRPr="00C41F2B">
              <w:t xml:space="preserve"> after median follow up (41 months)</w:t>
            </w:r>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0.251</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7</w:t>
            </w:r>
          </w:p>
        </w:tc>
        <w:tc>
          <w:tcPr>
            <w:tcW w:w="1134" w:type="dxa"/>
            <w:vMerge/>
          </w:tcPr>
          <w:p w:rsidR="00CB1901" w:rsidRPr="00C41F2B" w:rsidRDefault="00CB1901" w:rsidP="00E81EB3">
            <w:pPr>
              <w:pStyle w:val="Tabletext"/>
              <w:ind w:left="57"/>
              <w:contextualSpacing/>
              <w:jc w:val="left"/>
            </w:pPr>
          </w:p>
        </w:tc>
        <w:tc>
          <w:tcPr>
            <w:tcW w:w="2126" w:type="dxa"/>
            <w:vMerge/>
            <w:vAlign w:val="center"/>
          </w:tcPr>
          <w:p w:rsidR="00CB1901" w:rsidRPr="00C41F2B" w:rsidRDefault="00CB1901" w:rsidP="00E81EB3">
            <w:pPr>
              <w:pStyle w:val="Tabletext"/>
              <w:ind w:left="57"/>
              <w:contextualSpacing/>
              <w:jc w:val="left"/>
            </w:pPr>
          </w:p>
        </w:tc>
        <w:tc>
          <w:tcPr>
            <w:tcW w:w="2410" w:type="dxa"/>
            <w:vAlign w:val="center"/>
          </w:tcPr>
          <w:p w:rsidR="00CB1901" w:rsidRPr="00C41F2B" w:rsidRDefault="00CB1901" w:rsidP="00E81EB3">
            <w:pPr>
              <w:pStyle w:val="Tabletext"/>
              <w:ind w:left="57"/>
              <w:contextualSpacing/>
              <w:jc w:val="left"/>
            </w:pPr>
            <w:r w:rsidRPr="00C41F2B">
              <w:t>Assume OS HR of 0.95 after median follow up (41 months)</w:t>
            </w:r>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0.276</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412E4B" w:rsidRPr="00C41F2B" w:rsidTr="0033153C">
        <w:tc>
          <w:tcPr>
            <w:tcW w:w="421" w:type="dxa"/>
            <w:vAlign w:val="center"/>
          </w:tcPr>
          <w:p w:rsidR="00412E4B" w:rsidRPr="00C41F2B" w:rsidRDefault="00412E4B" w:rsidP="00E81EB3">
            <w:pPr>
              <w:pStyle w:val="Tabletext"/>
              <w:ind w:left="57"/>
              <w:contextualSpacing/>
              <w:jc w:val="left"/>
            </w:pPr>
            <w:r w:rsidRPr="00C41F2B">
              <w:t>8</w:t>
            </w:r>
          </w:p>
        </w:tc>
        <w:tc>
          <w:tcPr>
            <w:tcW w:w="1134" w:type="dxa"/>
            <w:vAlign w:val="center"/>
          </w:tcPr>
          <w:p w:rsidR="00412E4B" w:rsidRPr="00C41F2B" w:rsidRDefault="00412E4B" w:rsidP="0033153C">
            <w:pPr>
              <w:pStyle w:val="Tabletext"/>
              <w:ind w:left="57"/>
              <w:contextualSpacing/>
              <w:jc w:val="left"/>
            </w:pPr>
            <w:r w:rsidRPr="00C41F2B">
              <w:t>Duration of 2L treatment</w:t>
            </w:r>
          </w:p>
        </w:tc>
        <w:tc>
          <w:tcPr>
            <w:tcW w:w="2126" w:type="dxa"/>
            <w:vAlign w:val="center"/>
          </w:tcPr>
          <w:p w:rsidR="00412E4B" w:rsidRPr="00C41F2B" w:rsidRDefault="00412E4B" w:rsidP="00381CD1">
            <w:pPr>
              <w:pStyle w:val="Tabletext"/>
              <w:ind w:left="57"/>
              <w:contextualSpacing/>
              <w:jc w:val="left"/>
            </w:pPr>
            <w:r w:rsidRPr="00C41F2B">
              <w:t xml:space="preserve">Final </w:t>
            </w:r>
            <w:r w:rsidR="00381CD1" w:rsidRPr="00C41F2B">
              <w:t>data cut for</w:t>
            </w:r>
            <w:r w:rsidRPr="00C41F2B">
              <w:t xml:space="preserve"> study 19 (21.52 months)</w:t>
            </w:r>
          </w:p>
        </w:tc>
        <w:tc>
          <w:tcPr>
            <w:tcW w:w="2410" w:type="dxa"/>
            <w:vAlign w:val="center"/>
          </w:tcPr>
          <w:p w:rsidR="00412E4B" w:rsidRPr="00C41F2B" w:rsidRDefault="00412E4B" w:rsidP="00E81EB3">
            <w:pPr>
              <w:pStyle w:val="Tabletext"/>
              <w:ind w:left="57"/>
              <w:contextualSpacing/>
              <w:jc w:val="left"/>
            </w:pPr>
            <w:r w:rsidRPr="00C41F2B">
              <w:t>Truncated mean in SOLO2 (16.92 months)</w:t>
            </w:r>
          </w:p>
          <w:p w:rsidR="004C4B58" w:rsidRPr="00C41F2B" w:rsidRDefault="004C4B58" w:rsidP="00E81EB3">
            <w:pPr>
              <w:pStyle w:val="Tabletext"/>
              <w:ind w:left="57"/>
              <w:contextualSpacing/>
              <w:jc w:val="left"/>
            </w:pPr>
            <w:r w:rsidRPr="00C41F2B">
              <w:t>16.3 months as per Nov 2016 submission</w:t>
            </w:r>
          </w:p>
        </w:tc>
        <w:tc>
          <w:tcPr>
            <w:tcW w:w="992" w:type="dxa"/>
            <w:vAlign w:val="bottom"/>
          </w:tcPr>
          <w:p w:rsidR="004C4B58" w:rsidRPr="00C41F2B" w:rsidRDefault="00412E4B" w:rsidP="004C4B58">
            <w:pPr>
              <w:pStyle w:val="Tabletext"/>
              <w:ind w:left="57"/>
              <w:contextualSpacing/>
              <w:jc w:val="left"/>
            </w:pPr>
            <w:r w:rsidRPr="00C41F2B">
              <w:t>$</w:t>
            </w:r>
            <w:r w:rsidR="00E9713A">
              <w:rPr>
                <w:noProof/>
                <w:color w:val="000000"/>
                <w:highlight w:val="black"/>
              </w:rPr>
              <w:t>'''''''''''''''</w:t>
            </w:r>
          </w:p>
          <w:p w:rsidR="004C4B58" w:rsidRPr="00C41F2B" w:rsidRDefault="004C4B58" w:rsidP="004C4B58">
            <w:pPr>
              <w:pStyle w:val="Tabletext"/>
              <w:ind w:left="57"/>
              <w:contextualSpacing/>
              <w:jc w:val="left"/>
            </w:pPr>
          </w:p>
          <w:p w:rsidR="00412E4B" w:rsidRPr="00C41F2B" w:rsidRDefault="004C4B58" w:rsidP="004C4B58">
            <w:pPr>
              <w:pStyle w:val="Tabletext"/>
              <w:ind w:left="57"/>
              <w:contextualSpacing/>
              <w:jc w:val="left"/>
            </w:pPr>
            <w:r w:rsidRPr="00C41F2B">
              <w:t>$</w:t>
            </w:r>
            <w:r w:rsidR="00E9713A">
              <w:rPr>
                <w:noProof/>
                <w:color w:val="000000"/>
                <w:highlight w:val="black"/>
              </w:rPr>
              <w:t>''''''''''''''''</w:t>
            </w:r>
          </w:p>
        </w:tc>
        <w:tc>
          <w:tcPr>
            <w:tcW w:w="992" w:type="dxa"/>
            <w:vAlign w:val="bottom"/>
          </w:tcPr>
          <w:p w:rsidR="00412E4B" w:rsidRPr="00C41F2B" w:rsidRDefault="00412E4B" w:rsidP="0033153C">
            <w:pPr>
              <w:pStyle w:val="Tabletext"/>
              <w:ind w:left="57"/>
              <w:contextualSpacing/>
              <w:jc w:val="left"/>
            </w:pPr>
            <w:r w:rsidRPr="00C41F2B">
              <w:t>0.365</w:t>
            </w:r>
          </w:p>
          <w:p w:rsidR="004C4B58" w:rsidRPr="00C41F2B" w:rsidRDefault="004C4B58" w:rsidP="0033153C">
            <w:pPr>
              <w:pStyle w:val="Tabletext"/>
              <w:ind w:left="57"/>
              <w:contextualSpacing/>
              <w:jc w:val="left"/>
            </w:pPr>
          </w:p>
          <w:p w:rsidR="0033153C" w:rsidRPr="00C41F2B" w:rsidRDefault="0033153C" w:rsidP="0033153C">
            <w:pPr>
              <w:pStyle w:val="Tabletext"/>
              <w:ind w:left="57"/>
              <w:contextualSpacing/>
              <w:jc w:val="left"/>
            </w:pPr>
            <w:r w:rsidRPr="00C41F2B">
              <w:t>0.365</w:t>
            </w:r>
          </w:p>
        </w:tc>
        <w:tc>
          <w:tcPr>
            <w:tcW w:w="942" w:type="dxa"/>
            <w:vAlign w:val="bottom"/>
          </w:tcPr>
          <w:p w:rsidR="00412E4B" w:rsidRPr="00E9713A" w:rsidRDefault="00412E4B" w:rsidP="004C4B58">
            <w:pPr>
              <w:pStyle w:val="Tabletext"/>
              <w:ind w:left="57"/>
              <w:contextualSpacing/>
              <w:jc w:val="left"/>
            </w:pPr>
            <w:r w:rsidRPr="00C41F2B">
              <w:t>$</w:t>
            </w:r>
            <w:r w:rsidR="00E9713A">
              <w:rPr>
                <w:noProof/>
                <w:color w:val="000000"/>
                <w:highlight w:val="black"/>
              </w:rPr>
              <w:t>'''''''''''''''''</w:t>
            </w:r>
          </w:p>
          <w:p w:rsidR="004C4B58" w:rsidRPr="00C41F2B" w:rsidRDefault="004C4B58" w:rsidP="004C4B58">
            <w:pPr>
              <w:pStyle w:val="Tabletext"/>
              <w:ind w:left="57"/>
              <w:contextualSpacing/>
              <w:jc w:val="left"/>
            </w:pPr>
          </w:p>
          <w:p w:rsidR="004C4B58" w:rsidRPr="00C41F2B" w:rsidRDefault="004C4B58" w:rsidP="004C4B58">
            <w:pPr>
              <w:pStyle w:val="Tabletext"/>
              <w:ind w:left="57"/>
              <w:contextualSpacing/>
              <w:jc w:val="left"/>
            </w:pPr>
            <w:r w:rsidRPr="00C41F2B">
              <w:t>$</w:t>
            </w:r>
            <w:r w:rsidR="00E9713A">
              <w:rPr>
                <w:noProof/>
                <w:color w:val="000000"/>
                <w:highlight w:val="black"/>
              </w:rPr>
              <w:t>'''''''''''''''</w:t>
            </w:r>
          </w:p>
        </w:tc>
      </w:tr>
      <w:tr w:rsidR="00CB1901" w:rsidRPr="00C41F2B" w:rsidTr="005E4B32">
        <w:tc>
          <w:tcPr>
            <w:tcW w:w="421" w:type="dxa"/>
            <w:vAlign w:val="center"/>
          </w:tcPr>
          <w:p w:rsidR="00CB1901" w:rsidRPr="00C41F2B" w:rsidRDefault="00CB1901" w:rsidP="00E81EB3">
            <w:pPr>
              <w:pStyle w:val="Tabletext"/>
              <w:ind w:left="57"/>
              <w:contextualSpacing/>
              <w:jc w:val="left"/>
              <w:rPr>
                <w:b/>
              </w:rPr>
            </w:pPr>
          </w:p>
        </w:tc>
        <w:tc>
          <w:tcPr>
            <w:tcW w:w="8596" w:type="dxa"/>
            <w:gridSpan w:val="6"/>
            <w:vAlign w:val="center"/>
          </w:tcPr>
          <w:p w:rsidR="00CB1901" w:rsidRPr="00C41F2B" w:rsidRDefault="00CB1901" w:rsidP="00E81EB3">
            <w:pPr>
              <w:pStyle w:val="Tabletext"/>
              <w:ind w:left="57"/>
              <w:contextualSpacing/>
              <w:jc w:val="left"/>
              <w:rPr>
                <w:b/>
              </w:rPr>
            </w:pPr>
            <w:r w:rsidRPr="00C41F2B">
              <w:rPr>
                <w:b/>
              </w:rPr>
              <w:t>Multivariate Analyses</w:t>
            </w:r>
          </w:p>
        </w:tc>
      </w:tr>
      <w:tr w:rsidR="005C1170" w:rsidRPr="00C41F2B" w:rsidTr="00E81EB3">
        <w:tc>
          <w:tcPr>
            <w:tcW w:w="421" w:type="dxa"/>
            <w:vAlign w:val="center"/>
          </w:tcPr>
          <w:p w:rsidR="00CB1901" w:rsidRPr="00C41F2B" w:rsidRDefault="006F7CFE" w:rsidP="00E81EB3">
            <w:pPr>
              <w:pStyle w:val="Tabletext"/>
              <w:ind w:left="57"/>
              <w:contextualSpacing/>
              <w:jc w:val="left"/>
            </w:pPr>
            <w:r w:rsidRPr="00C41F2B">
              <w:t>9</w:t>
            </w:r>
          </w:p>
        </w:tc>
        <w:tc>
          <w:tcPr>
            <w:tcW w:w="5670" w:type="dxa"/>
            <w:gridSpan w:val="3"/>
          </w:tcPr>
          <w:p w:rsidR="00CB1901" w:rsidRPr="00C41F2B" w:rsidRDefault="00CB1901" w:rsidP="00E81EB3">
            <w:pPr>
              <w:pStyle w:val="Tabletext"/>
              <w:ind w:left="57"/>
              <w:contextualSpacing/>
              <w:jc w:val="left"/>
            </w:pPr>
            <w:r w:rsidRPr="00C41F2B">
              <w:t>Option 1: #1 to #6</w:t>
            </w:r>
          </w:p>
          <w:p w:rsidR="00CB1901" w:rsidRPr="00C41F2B" w:rsidRDefault="00CB1901" w:rsidP="00F74971">
            <w:pPr>
              <w:pStyle w:val="Tabletext"/>
              <w:ind w:left="57"/>
              <w:contextualSpacing/>
              <w:jc w:val="left"/>
            </w:pPr>
            <w:r w:rsidRPr="00C41F2B">
              <w:t xml:space="preserve">Includes changes requested by the PBAC, and no difference in OS beyond median follow up. </w:t>
            </w:r>
          </w:p>
        </w:tc>
        <w:tc>
          <w:tcPr>
            <w:tcW w:w="99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0.046</w:t>
            </w:r>
          </w:p>
        </w:tc>
        <w:tc>
          <w:tcPr>
            <w:tcW w:w="942" w:type="dxa"/>
            <w:vAlign w:val="center"/>
          </w:tcPr>
          <w:p w:rsidR="00CB1901" w:rsidRPr="00C41F2B" w:rsidRDefault="00CB1901" w:rsidP="00E81EB3">
            <w:pPr>
              <w:pStyle w:val="Tabletext"/>
              <w:ind w:left="57"/>
              <w:contextualSpacing/>
              <w:jc w:val="left"/>
            </w:pPr>
            <w:r w:rsidRPr="00C41F2B">
              <w:t>$</w:t>
            </w:r>
            <w:r w:rsidR="00E9713A">
              <w:rPr>
                <w:noProof/>
                <w:color w:val="000000"/>
                <w:highlight w:val="black"/>
              </w:rPr>
              <w:t>'''''''''''''''''''</w:t>
            </w:r>
          </w:p>
        </w:tc>
      </w:tr>
      <w:tr w:rsidR="005C1170" w:rsidRPr="00C41F2B" w:rsidTr="00E81EB3">
        <w:tc>
          <w:tcPr>
            <w:tcW w:w="421" w:type="dxa"/>
            <w:vAlign w:val="center"/>
          </w:tcPr>
          <w:p w:rsidR="00CB1901" w:rsidRPr="00C41F2B" w:rsidRDefault="00CB1901" w:rsidP="00E81EB3">
            <w:pPr>
              <w:pStyle w:val="Tabletext"/>
              <w:ind w:left="57"/>
              <w:contextualSpacing/>
              <w:jc w:val="left"/>
            </w:pPr>
            <w:r w:rsidRPr="00C41F2B">
              <w:t>1</w:t>
            </w:r>
            <w:r w:rsidR="006F7CFE" w:rsidRPr="00C41F2B">
              <w:t>0</w:t>
            </w:r>
          </w:p>
        </w:tc>
        <w:tc>
          <w:tcPr>
            <w:tcW w:w="5670" w:type="dxa"/>
            <w:gridSpan w:val="3"/>
          </w:tcPr>
          <w:p w:rsidR="00994E5E" w:rsidRPr="00C41F2B" w:rsidRDefault="00994E5E" w:rsidP="00994E5E">
            <w:pPr>
              <w:pStyle w:val="Tabletext"/>
              <w:contextualSpacing/>
              <w:jc w:val="left"/>
            </w:pPr>
            <w:r w:rsidRPr="00C41F2B">
              <w:t xml:space="preserve"> </w:t>
            </w:r>
            <w:r w:rsidR="00CB1901" w:rsidRPr="00C41F2B">
              <w:t>Option 2</w:t>
            </w:r>
            <w:r w:rsidR="00442A70" w:rsidRPr="00C41F2B">
              <w:t>a</w:t>
            </w:r>
            <w:r w:rsidR="00CB1901" w:rsidRPr="00C41F2B">
              <w:t>: #1 to # 5 and #7</w:t>
            </w:r>
            <w:r w:rsidR="00BD33D0" w:rsidRPr="00C41F2B">
              <w:t xml:space="preserve"> (15 year time horizon)</w:t>
            </w:r>
          </w:p>
          <w:p w:rsidR="00CB1901" w:rsidRPr="00C41F2B" w:rsidRDefault="00994E5E" w:rsidP="00994E5E">
            <w:pPr>
              <w:pStyle w:val="Tabletext"/>
              <w:contextualSpacing/>
              <w:jc w:val="left"/>
            </w:pPr>
            <w:r w:rsidRPr="00C41F2B">
              <w:t xml:space="preserve"> </w:t>
            </w:r>
            <w:r w:rsidR="00BD33D0" w:rsidRPr="00C41F2B">
              <w:t xml:space="preserve">Option 2b: </w:t>
            </w:r>
            <w:r w:rsidRPr="00C41F2B">
              <w:t xml:space="preserve">as above, </w:t>
            </w:r>
            <w:r w:rsidR="00BD33D0" w:rsidRPr="00C41F2B">
              <w:t>20 year time horizon</w:t>
            </w:r>
          </w:p>
          <w:p w:rsidR="0060753C" w:rsidRPr="00C41F2B" w:rsidRDefault="004167C0" w:rsidP="00994E5E">
            <w:pPr>
              <w:pStyle w:val="Tabletext"/>
              <w:contextualSpacing/>
              <w:jc w:val="left"/>
            </w:pPr>
            <w:r w:rsidRPr="00C41F2B">
              <w:t>Includes all changes requested by the PBAC and</w:t>
            </w:r>
            <w:r w:rsidR="0060753C" w:rsidRPr="00C41F2B">
              <w:t xml:space="preserve"> a difference in OS assuming a HR of 0.95</w:t>
            </w:r>
          </w:p>
        </w:tc>
        <w:tc>
          <w:tcPr>
            <w:tcW w:w="992" w:type="dxa"/>
            <w:vAlign w:val="center"/>
          </w:tcPr>
          <w:p w:rsidR="00BD33D0" w:rsidRPr="00C41F2B" w:rsidRDefault="00CB1901" w:rsidP="00BD33D0">
            <w:pPr>
              <w:pStyle w:val="Tabletext"/>
              <w:ind w:left="57"/>
              <w:contextualSpacing/>
              <w:jc w:val="left"/>
            </w:pPr>
            <w:r w:rsidRPr="00C41F2B">
              <w:t>$</w:t>
            </w:r>
            <w:r w:rsidR="00E9713A">
              <w:rPr>
                <w:noProof/>
                <w:color w:val="000000"/>
                <w:highlight w:val="black"/>
              </w:rPr>
              <w:t>'''''''''''''''''</w:t>
            </w:r>
          </w:p>
          <w:p w:rsidR="00BD33D0" w:rsidRPr="00C41F2B" w:rsidRDefault="00BD33D0" w:rsidP="00BD33D0">
            <w:pPr>
              <w:pStyle w:val="Tabletext"/>
              <w:ind w:left="57"/>
              <w:contextualSpacing/>
              <w:jc w:val="left"/>
            </w:pPr>
            <w:r w:rsidRPr="00C41F2B">
              <w:t>$</w:t>
            </w:r>
            <w:r w:rsidR="00E9713A">
              <w:rPr>
                <w:noProof/>
                <w:color w:val="000000"/>
                <w:highlight w:val="black"/>
              </w:rPr>
              <w:t>''''''''''''''''''</w:t>
            </w:r>
          </w:p>
        </w:tc>
        <w:tc>
          <w:tcPr>
            <w:tcW w:w="992" w:type="dxa"/>
            <w:vAlign w:val="center"/>
          </w:tcPr>
          <w:p w:rsidR="00CB1901" w:rsidRPr="00C41F2B" w:rsidRDefault="00CB1901" w:rsidP="00E81EB3">
            <w:pPr>
              <w:pStyle w:val="Tabletext"/>
              <w:ind w:left="57"/>
              <w:contextualSpacing/>
              <w:jc w:val="left"/>
            </w:pPr>
            <w:r w:rsidRPr="00C41F2B">
              <w:t>0.070</w:t>
            </w:r>
          </w:p>
          <w:p w:rsidR="00BD33D0" w:rsidRPr="00C41F2B" w:rsidRDefault="00BD33D0" w:rsidP="00E81EB3">
            <w:pPr>
              <w:pStyle w:val="Tabletext"/>
              <w:ind w:left="57"/>
              <w:contextualSpacing/>
              <w:jc w:val="left"/>
            </w:pPr>
            <w:r w:rsidRPr="00C41F2B">
              <w:t>0.081</w:t>
            </w:r>
          </w:p>
        </w:tc>
        <w:tc>
          <w:tcPr>
            <w:tcW w:w="942" w:type="dxa"/>
            <w:vAlign w:val="center"/>
          </w:tcPr>
          <w:p w:rsidR="00BD33D0" w:rsidRPr="00C41F2B" w:rsidRDefault="00CB1901" w:rsidP="00E81EB3">
            <w:pPr>
              <w:pStyle w:val="Tabletext"/>
              <w:ind w:left="57"/>
              <w:contextualSpacing/>
              <w:jc w:val="left"/>
            </w:pPr>
            <w:r w:rsidRPr="00C41F2B">
              <w:t>$</w:t>
            </w:r>
            <w:r w:rsidR="00E9713A">
              <w:rPr>
                <w:noProof/>
                <w:color w:val="000000"/>
                <w:highlight w:val="black"/>
              </w:rPr>
              <w:t>''''''''''''''''''''</w:t>
            </w:r>
          </w:p>
          <w:p w:rsidR="00CB1901" w:rsidRPr="00C41F2B" w:rsidRDefault="00BD33D0" w:rsidP="00E81EB3">
            <w:pPr>
              <w:pStyle w:val="Tabletext"/>
              <w:ind w:left="57"/>
              <w:contextualSpacing/>
              <w:jc w:val="left"/>
            </w:pPr>
            <w:r w:rsidRPr="00C41F2B">
              <w:t>$</w:t>
            </w:r>
            <w:r w:rsidR="00E9713A">
              <w:rPr>
                <w:noProof/>
                <w:color w:val="000000"/>
                <w:highlight w:val="black"/>
              </w:rPr>
              <w:t>''''''''''''''''''''</w:t>
            </w:r>
          </w:p>
        </w:tc>
      </w:tr>
      <w:tr w:rsidR="00994E5E" w:rsidRPr="00C41F2B" w:rsidTr="00994E5E">
        <w:tc>
          <w:tcPr>
            <w:tcW w:w="421" w:type="dxa"/>
            <w:shd w:val="clear" w:color="auto" w:fill="auto"/>
            <w:vAlign w:val="center"/>
          </w:tcPr>
          <w:p w:rsidR="00994E5E" w:rsidRPr="00C41F2B" w:rsidRDefault="00994E5E" w:rsidP="00E81EB3">
            <w:pPr>
              <w:pStyle w:val="Tabletext"/>
              <w:ind w:left="57"/>
              <w:contextualSpacing/>
              <w:jc w:val="left"/>
            </w:pPr>
            <w:r w:rsidRPr="00C41F2B">
              <w:t>1</w:t>
            </w:r>
            <w:r w:rsidR="006F7CFE" w:rsidRPr="00C41F2B">
              <w:t>1</w:t>
            </w:r>
          </w:p>
        </w:tc>
        <w:tc>
          <w:tcPr>
            <w:tcW w:w="5670" w:type="dxa"/>
            <w:gridSpan w:val="3"/>
            <w:shd w:val="clear" w:color="auto" w:fill="auto"/>
          </w:tcPr>
          <w:p w:rsidR="002234E1" w:rsidRPr="00C41F2B" w:rsidRDefault="0033153C" w:rsidP="002234E1">
            <w:pPr>
              <w:pStyle w:val="Tabletext"/>
              <w:contextualSpacing/>
              <w:jc w:val="left"/>
            </w:pPr>
            <w:r w:rsidRPr="00C41F2B">
              <w:t xml:space="preserve">Option </w:t>
            </w:r>
            <w:r w:rsidR="00442A70" w:rsidRPr="00C41F2B">
              <w:t>3a:</w:t>
            </w:r>
            <w:r w:rsidRPr="00C41F2B">
              <w:t xml:space="preserve"> </w:t>
            </w:r>
            <w:r w:rsidR="00994E5E" w:rsidRPr="00C41F2B">
              <w:t xml:space="preserve"> #1, #2, #4, #5, #7</w:t>
            </w:r>
            <w:r w:rsidR="00442A70" w:rsidRPr="00C41F2B">
              <w:t>(</w:t>
            </w:r>
            <w:r w:rsidRPr="00C41F2B">
              <w:t>15 year time horizon)</w:t>
            </w:r>
          </w:p>
          <w:p w:rsidR="0033153C" w:rsidRPr="00C41F2B" w:rsidRDefault="0033153C" w:rsidP="00442A70">
            <w:pPr>
              <w:pStyle w:val="Tabletext"/>
              <w:contextualSpacing/>
              <w:jc w:val="left"/>
            </w:pPr>
            <w:r w:rsidRPr="00C41F2B">
              <w:t xml:space="preserve">Option </w:t>
            </w:r>
            <w:r w:rsidR="00442A70" w:rsidRPr="00C41F2B">
              <w:t>3b:</w:t>
            </w:r>
            <w:r w:rsidRPr="00C41F2B">
              <w:t xml:space="preserve"> #1, #2, #4, #5, #7 </w:t>
            </w:r>
            <w:r w:rsidR="00442A70" w:rsidRPr="00C41F2B">
              <w:t>(</w:t>
            </w:r>
            <w:r w:rsidRPr="00C41F2B">
              <w:t>20 year time horizon)</w:t>
            </w:r>
          </w:p>
          <w:p w:rsidR="00442A70" w:rsidRPr="00C41F2B" w:rsidRDefault="00442A70" w:rsidP="00442A70">
            <w:pPr>
              <w:pStyle w:val="Tabletext"/>
              <w:contextualSpacing/>
              <w:jc w:val="left"/>
            </w:pPr>
            <w:r w:rsidRPr="00C41F2B">
              <w:t>As per Option 2 but with resubmission base case utilities</w:t>
            </w:r>
          </w:p>
        </w:tc>
        <w:tc>
          <w:tcPr>
            <w:tcW w:w="992" w:type="dxa"/>
            <w:vAlign w:val="center"/>
          </w:tcPr>
          <w:p w:rsidR="00994E5E" w:rsidRPr="00C41F2B" w:rsidRDefault="00994E5E" w:rsidP="00BD33D0">
            <w:pPr>
              <w:pStyle w:val="Tabletext"/>
              <w:ind w:left="57"/>
              <w:contextualSpacing/>
              <w:jc w:val="left"/>
            </w:pPr>
            <w:r w:rsidRPr="00C41F2B">
              <w:t>$</w:t>
            </w:r>
            <w:r w:rsidR="00E9713A">
              <w:rPr>
                <w:noProof/>
                <w:color w:val="000000"/>
                <w:highlight w:val="black"/>
              </w:rPr>
              <w:t>'''''''''''''''</w:t>
            </w:r>
          </w:p>
          <w:p w:rsidR="00FA6DF9" w:rsidRPr="00C41F2B" w:rsidRDefault="00FA6DF9" w:rsidP="00BD33D0">
            <w:pPr>
              <w:pStyle w:val="Tabletext"/>
              <w:ind w:left="57"/>
              <w:contextualSpacing/>
              <w:jc w:val="left"/>
            </w:pPr>
          </w:p>
          <w:p w:rsidR="002234E1" w:rsidRPr="00C41F2B" w:rsidRDefault="002234E1" w:rsidP="00BD33D0">
            <w:pPr>
              <w:pStyle w:val="Tabletext"/>
              <w:ind w:left="57"/>
              <w:contextualSpacing/>
              <w:jc w:val="left"/>
            </w:pPr>
          </w:p>
          <w:p w:rsidR="00FA6DF9" w:rsidRPr="00C41F2B" w:rsidRDefault="00FA6DF9" w:rsidP="00BD33D0">
            <w:pPr>
              <w:pStyle w:val="Tabletext"/>
              <w:ind w:left="57"/>
              <w:contextualSpacing/>
              <w:jc w:val="left"/>
            </w:pPr>
            <w:r w:rsidRPr="00C41F2B">
              <w:t>$</w:t>
            </w:r>
            <w:r w:rsidR="00E9713A">
              <w:rPr>
                <w:noProof/>
                <w:color w:val="000000"/>
                <w:highlight w:val="black"/>
              </w:rPr>
              <w:t>'''''''''''''''''</w:t>
            </w:r>
          </w:p>
          <w:p w:rsidR="007C7735" w:rsidRPr="00C41F2B" w:rsidRDefault="007C7735" w:rsidP="00BD33D0">
            <w:pPr>
              <w:pStyle w:val="Tabletext"/>
              <w:ind w:left="57"/>
              <w:contextualSpacing/>
              <w:jc w:val="left"/>
            </w:pPr>
          </w:p>
        </w:tc>
        <w:tc>
          <w:tcPr>
            <w:tcW w:w="992" w:type="dxa"/>
            <w:vAlign w:val="center"/>
          </w:tcPr>
          <w:p w:rsidR="00994E5E" w:rsidRPr="00C41F2B" w:rsidRDefault="00994E5E" w:rsidP="00E81EB3">
            <w:pPr>
              <w:pStyle w:val="Tabletext"/>
              <w:ind w:left="57"/>
              <w:contextualSpacing/>
              <w:jc w:val="left"/>
            </w:pPr>
            <w:r w:rsidRPr="00C41F2B">
              <w:t>0.153</w:t>
            </w:r>
          </w:p>
          <w:p w:rsidR="00FA6DF9" w:rsidRPr="00C41F2B" w:rsidRDefault="00FA6DF9" w:rsidP="00E81EB3">
            <w:pPr>
              <w:pStyle w:val="Tabletext"/>
              <w:ind w:left="57"/>
              <w:contextualSpacing/>
              <w:jc w:val="left"/>
            </w:pPr>
          </w:p>
          <w:p w:rsidR="002234E1" w:rsidRPr="00C41F2B" w:rsidRDefault="002234E1" w:rsidP="00E81EB3">
            <w:pPr>
              <w:pStyle w:val="Tabletext"/>
              <w:ind w:left="57"/>
              <w:contextualSpacing/>
              <w:jc w:val="left"/>
            </w:pPr>
          </w:p>
          <w:p w:rsidR="00FA6DF9" w:rsidRPr="00C41F2B" w:rsidRDefault="00FA6DF9" w:rsidP="00E81EB3">
            <w:pPr>
              <w:pStyle w:val="Tabletext"/>
              <w:ind w:left="57"/>
              <w:contextualSpacing/>
              <w:jc w:val="left"/>
            </w:pPr>
            <w:r w:rsidRPr="00C41F2B">
              <w:t>0.172</w:t>
            </w:r>
          </w:p>
          <w:p w:rsidR="007C7735" w:rsidRPr="00C41F2B" w:rsidRDefault="007C7735" w:rsidP="00E81EB3">
            <w:pPr>
              <w:pStyle w:val="Tabletext"/>
              <w:ind w:left="57"/>
              <w:contextualSpacing/>
              <w:jc w:val="left"/>
            </w:pPr>
          </w:p>
        </w:tc>
        <w:tc>
          <w:tcPr>
            <w:tcW w:w="942" w:type="dxa"/>
            <w:vAlign w:val="center"/>
          </w:tcPr>
          <w:p w:rsidR="00994E5E" w:rsidRPr="00C41F2B" w:rsidRDefault="00994E5E" w:rsidP="00E81EB3">
            <w:pPr>
              <w:pStyle w:val="Tabletext"/>
              <w:ind w:left="57"/>
              <w:contextualSpacing/>
              <w:jc w:val="left"/>
            </w:pPr>
            <w:r w:rsidRPr="00C41F2B">
              <w:t>$</w:t>
            </w:r>
            <w:r w:rsidR="00E9713A">
              <w:rPr>
                <w:noProof/>
                <w:color w:val="000000"/>
                <w:highlight w:val="black"/>
              </w:rPr>
              <w:t>'''''''''''''''''</w:t>
            </w:r>
          </w:p>
          <w:p w:rsidR="00FA6DF9" w:rsidRPr="00C41F2B" w:rsidRDefault="00FA6DF9" w:rsidP="00E81EB3">
            <w:pPr>
              <w:pStyle w:val="Tabletext"/>
              <w:ind w:left="57"/>
              <w:contextualSpacing/>
              <w:jc w:val="left"/>
            </w:pPr>
          </w:p>
          <w:p w:rsidR="002234E1" w:rsidRPr="00C41F2B" w:rsidRDefault="002234E1" w:rsidP="00E81EB3">
            <w:pPr>
              <w:pStyle w:val="Tabletext"/>
              <w:ind w:left="57"/>
              <w:contextualSpacing/>
              <w:jc w:val="left"/>
            </w:pPr>
          </w:p>
          <w:p w:rsidR="00FA6DF9" w:rsidRPr="00C41F2B" w:rsidRDefault="00FA6DF9" w:rsidP="00E81EB3">
            <w:pPr>
              <w:pStyle w:val="Tabletext"/>
              <w:ind w:left="57"/>
              <w:contextualSpacing/>
              <w:jc w:val="left"/>
            </w:pPr>
            <w:r w:rsidRPr="00C41F2B">
              <w:t>$</w:t>
            </w:r>
            <w:r w:rsidR="00E9713A">
              <w:rPr>
                <w:noProof/>
                <w:color w:val="000000"/>
                <w:highlight w:val="black"/>
              </w:rPr>
              <w:t>''''''''''''''''''</w:t>
            </w:r>
          </w:p>
          <w:p w:rsidR="007C7735" w:rsidRPr="00C41F2B" w:rsidRDefault="007C7735" w:rsidP="00E81EB3">
            <w:pPr>
              <w:pStyle w:val="Tabletext"/>
              <w:ind w:left="57"/>
              <w:contextualSpacing/>
              <w:jc w:val="left"/>
            </w:pPr>
          </w:p>
        </w:tc>
      </w:tr>
    </w:tbl>
    <w:p w:rsidR="00CB1901" w:rsidRPr="00C41F2B" w:rsidRDefault="00CB1901" w:rsidP="00CB1901">
      <w:pPr>
        <w:pStyle w:val="TableFigureFooter"/>
        <w:rPr>
          <w:color w:val="000000" w:themeColor="text1"/>
        </w:rPr>
      </w:pPr>
      <w:r w:rsidRPr="00C41F2B">
        <w:rPr>
          <w:color w:val="000000" w:themeColor="text1"/>
        </w:rPr>
        <w:t>Source: Constructed during the evaluation based on information presented in ‘</w:t>
      </w:r>
      <w:proofErr w:type="spellStart"/>
      <w:r w:rsidRPr="00C41F2B">
        <w:rPr>
          <w:color w:val="000000" w:themeColor="text1"/>
        </w:rPr>
        <w:t>Olaparib_Economic</w:t>
      </w:r>
      <w:proofErr w:type="spellEnd"/>
      <w:r w:rsidRPr="00C41F2B">
        <w:rPr>
          <w:color w:val="000000" w:themeColor="text1"/>
        </w:rPr>
        <w:t xml:space="preserve"> evaluation_11032020 Final.xlsx’ </w:t>
      </w:r>
    </w:p>
    <w:p w:rsidR="00CB1901" w:rsidRPr="00C41F2B" w:rsidRDefault="00CB1901" w:rsidP="00CB1901">
      <w:pPr>
        <w:pStyle w:val="TableFigureFooter"/>
        <w:rPr>
          <w:color w:val="000000" w:themeColor="text1"/>
        </w:rPr>
      </w:pPr>
      <w:proofErr w:type="spellStart"/>
      <w:r w:rsidRPr="00C41F2B">
        <w:rPr>
          <w:color w:val="000000" w:themeColor="text1"/>
          <w:vertAlign w:val="superscript"/>
        </w:rPr>
        <w:t>a</w:t>
      </w:r>
      <w:proofErr w:type="spellEnd"/>
      <w:r w:rsidRPr="00C41F2B">
        <w:rPr>
          <w:color w:val="000000" w:themeColor="text1"/>
          <w:vertAlign w:val="superscript"/>
        </w:rPr>
        <w:t xml:space="preserve"> </w:t>
      </w:r>
      <w:r w:rsidRPr="00C41F2B">
        <w:rPr>
          <w:color w:val="000000" w:themeColor="text1"/>
        </w:rPr>
        <w:t xml:space="preserve">Analysis conducted by setting the value in Cell C63 in ‘Input Assumptions’ worksheet equal to 26.3%, and the value in D63 in the ‘input assumptions’ worksheet to 0%. </w:t>
      </w:r>
    </w:p>
    <w:p w:rsidR="00CB1901" w:rsidRPr="00C41F2B" w:rsidRDefault="00CB1901" w:rsidP="00CB1901">
      <w:pPr>
        <w:pStyle w:val="TableFigureFooter"/>
        <w:rPr>
          <w:color w:val="000000" w:themeColor="text1"/>
        </w:rPr>
      </w:pPr>
      <w:proofErr w:type="gramStart"/>
      <w:r w:rsidRPr="00C41F2B">
        <w:rPr>
          <w:color w:val="000000" w:themeColor="text1"/>
          <w:vertAlign w:val="superscript"/>
        </w:rPr>
        <w:t>b</w:t>
      </w:r>
      <w:proofErr w:type="gramEnd"/>
      <w:r w:rsidRPr="00C41F2B">
        <w:rPr>
          <w:color w:val="000000" w:themeColor="text1"/>
          <w:vertAlign w:val="superscript"/>
        </w:rPr>
        <w:t xml:space="preserve"> </w:t>
      </w:r>
      <w:r w:rsidRPr="00C41F2B">
        <w:rPr>
          <w:color w:val="000000" w:themeColor="text1"/>
        </w:rPr>
        <w:t xml:space="preserve">Cell E13 in ‘Input Assumptions’ set equal to </w:t>
      </w:r>
      <w:r w:rsidR="00BD33D0" w:rsidRPr="00C41F2B">
        <w:rPr>
          <w:color w:val="000000" w:themeColor="text1"/>
        </w:rPr>
        <w:t>15</w:t>
      </w:r>
      <w:r w:rsidRPr="00C41F2B">
        <w:rPr>
          <w:color w:val="000000" w:themeColor="text1"/>
        </w:rPr>
        <w:t xml:space="preserve">. </w:t>
      </w:r>
    </w:p>
    <w:p w:rsidR="00CB1901" w:rsidRPr="00C41F2B" w:rsidRDefault="00CB1901" w:rsidP="00CB1901">
      <w:pPr>
        <w:pStyle w:val="TableFigureFooter"/>
        <w:rPr>
          <w:color w:val="000000" w:themeColor="text1"/>
        </w:rPr>
      </w:pPr>
      <w:proofErr w:type="gramStart"/>
      <w:r w:rsidRPr="00C41F2B">
        <w:rPr>
          <w:color w:val="000000" w:themeColor="text1"/>
          <w:vertAlign w:val="superscript"/>
        </w:rPr>
        <w:t>c</w:t>
      </w:r>
      <w:proofErr w:type="gramEnd"/>
      <w:r w:rsidRPr="00C41F2B">
        <w:rPr>
          <w:color w:val="000000" w:themeColor="text1"/>
          <w:vertAlign w:val="superscript"/>
        </w:rPr>
        <w:t xml:space="preserve"> </w:t>
      </w:r>
      <w:r w:rsidRPr="00C41F2B">
        <w:rPr>
          <w:color w:val="000000" w:themeColor="text1"/>
        </w:rPr>
        <w:t xml:space="preserve">Cell B6 and C7 in ‘Utilities’ worksheet set to 0.768 and 0.708, respectively. </w:t>
      </w:r>
    </w:p>
    <w:p w:rsidR="00CB1901" w:rsidRPr="00C41F2B" w:rsidRDefault="00CB1901" w:rsidP="00CB1901">
      <w:pPr>
        <w:pStyle w:val="TableFigureFooter"/>
        <w:rPr>
          <w:color w:val="000000" w:themeColor="text1"/>
        </w:rPr>
      </w:pPr>
      <w:proofErr w:type="gramStart"/>
      <w:r w:rsidRPr="00C41F2B">
        <w:rPr>
          <w:color w:val="000000" w:themeColor="text1"/>
          <w:vertAlign w:val="superscript"/>
        </w:rPr>
        <w:t>d</w:t>
      </w:r>
      <w:proofErr w:type="gramEnd"/>
      <w:r w:rsidRPr="00C41F2B">
        <w:rPr>
          <w:color w:val="000000" w:themeColor="text1"/>
        </w:rPr>
        <w:t xml:space="preserve"> Cell D13 and D14 in “resource inputs” worksheet set to ‘4’. </w:t>
      </w:r>
    </w:p>
    <w:p w:rsidR="00CB1901" w:rsidRPr="00C41F2B" w:rsidRDefault="00CB1901" w:rsidP="00CB1901">
      <w:pPr>
        <w:pStyle w:val="TableFigureFooter"/>
        <w:rPr>
          <w:i/>
          <w:iCs/>
          <w:color w:val="000000" w:themeColor="text1"/>
        </w:rPr>
      </w:pPr>
      <w:proofErr w:type="gramStart"/>
      <w:r w:rsidRPr="00C41F2B">
        <w:rPr>
          <w:color w:val="000000" w:themeColor="text1"/>
          <w:vertAlign w:val="superscript"/>
        </w:rPr>
        <w:t>e</w:t>
      </w:r>
      <w:proofErr w:type="gramEnd"/>
      <w:r w:rsidRPr="00C41F2B">
        <w:rPr>
          <w:color w:val="000000" w:themeColor="text1"/>
        </w:rPr>
        <w:t xml:space="preserve"> Cell D209 in in ‘Input Assumptions worksheet set to “Yes”. Impact limited to an adjustment on QALYs gained in the PFS1 health state (</w:t>
      </w:r>
      <w:proofErr w:type="spellStart"/>
      <w:r w:rsidRPr="00C41F2B">
        <w:rPr>
          <w:color w:val="000000" w:themeColor="text1"/>
        </w:rPr>
        <w:t>ie</w:t>
      </w:r>
      <w:proofErr w:type="spellEnd"/>
      <w:r w:rsidRPr="00C41F2B">
        <w:rPr>
          <w:color w:val="000000" w:themeColor="text1"/>
        </w:rPr>
        <w:t xml:space="preserve"> % reduction in time spent in PFS1). Submission estimated a 1.33% average improvement in PFS1-associated QALYs (calculation: (1- </w:t>
      </w:r>
      <w:proofErr w:type="spellStart"/>
      <w:r w:rsidRPr="00C41F2B">
        <w:rPr>
          <w:color w:val="000000" w:themeColor="text1"/>
        </w:rPr>
        <w:t>HRf</w:t>
      </w:r>
      <w:proofErr w:type="spellEnd"/>
      <w:r w:rsidRPr="00C41F2B">
        <w:rPr>
          <w:color w:val="000000" w:themeColor="text1"/>
        </w:rPr>
        <w:t xml:space="preserve"> or PFS in ICON7) * proportion of patients to receive bevacizumab; (1-0.81)*7%). </w:t>
      </w:r>
      <w:r w:rsidRPr="00C41F2B">
        <w:rPr>
          <w:iCs/>
          <w:color w:val="000000" w:themeColor="text1"/>
        </w:rPr>
        <w:t xml:space="preserve">This sensitivity analysis may not accurately reflect the true impact of including bevacizumab in the comparator arm for patients with sub-optimally </w:t>
      </w:r>
      <w:proofErr w:type="spellStart"/>
      <w:r w:rsidRPr="00C41F2B">
        <w:rPr>
          <w:iCs/>
          <w:color w:val="000000" w:themeColor="text1"/>
        </w:rPr>
        <w:t>debulked</w:t>
      </w:r>
      <w:proofErr w:type="spellEnd"/>
      <w:r w:rsidRPr="00C41F2B">
        <w:rPr>
          <w:iCs/>
          <w:color w:val="000000" w:themeColor="text1"/>
        </w:rPr>
        <w:t>, but may be informative to the PBAC.</w:t>
      </w:r>
      <w:r w:rsidRPr="00C41F2B">
        <w:rPr>
          <w:i/>
          <w:iCs/>
          <w:color w:val="000000" w:themeColor="text1"/>
        </w:rPr>
        <w:t xml:space="preserve"> </w:t>
      </w:r>
    </w:p>
    <w:p w:rsidR="000E5225" w:rsidRPr="00086727" w:rsidRDefault="00A3094E" w:rsidP="000E5225">
      <w:pPr>
        <w:rPr>
          <w:rFonts w:cs="Arial"/>
        </w:rPr>
      </w:pPr>
      <w:r w:rsidRPr="00086727">
        <w:rPr>
          <w:rFonts w:cs="Arial"/>
        </w:rPr>
        <w:t xml:space="preserve">The redacted table shows ICERs in the range of </w:t>
      </w:r>
      <w:r w:rsidR="001524BD" w:rsidRPr="00086727">
        <w:rPr>
          <w:rFonts w:cs="Arial"/>
        </w:rPr>
        <w:t xml:space="preserve">$35,000 - &lt; $45,000 to </w:t>
      </w:r>
      <w:r w:rsidR="001524BD" w:rsidRPr="00086727">
        <w:rPr>
          <w:rFonts w:cstheme="minorHAnsi"/>
        </w:rPr>
        <w:t>$255,000 - &lt; $355,000.</w:t>
      </w:r>
    </w:p>
    <w:p w:rsidR="00A3094E" w:rsidRPr="00A3094E" w:rsidRDefault="00A3094E" w:rsidP="000E5225">
      <w:pPr>
        <w:rPr>
          <w:i/>
          <w:vertAlign w:val="superscript"/>
        </w:rPr>
      </w:pPr>
    </w:p>
    <w:p w:rsidR="00442A70" w:rsidRPr="00C41F2B" w:rsidRDefault="00442A70" w:rsidP="006E141B">
      <w:pPr>
        <w:pStyle w:val="3-BodyText"/>
        <w:rPr>
          <w:iCs/>
        </w:rPr>
      </w:pPr>
      <w:r w:rsidRPr="00C41F2B">
        <w:rPr>
          <w:iCs/>
        </w:rPr>
        <w:t xml:space="preserve">Noting revision to both the OS gain and utility values, the ESC considered that Option 1 was unrealistically conservative, while </w:t>
      </w:r>
      <w:r w:rsidR="00054C33" w:rsidRPr="00C41F2B">
        <w:rPr>
          <w:iCs/>
        </w:rPr>
        <w:t>O</w:t>
      </w:r>
      <w:r w:rsidRPr="00C41F2B">
        <w:rPr>
          <w:iCs/>
        </w:rPr>
        <w:t>ption 2 was hypothetical and relie</w:t>
      </w:r>
      <w:r w:rsidR="00054C33" w:rsidRPr="00C41F2B">
        <w:rPr>
          <w:iCs/>
        </w:rPr>
        <w:t>d</w:t>
      </w:r>
      <w:r w:rsidRPr="00C41F2B">
        <w:rPr>
          <w:iCs/>
        </w:rPr>
        <w:t xml:space="preserve"> on the point estimate of </w:t>
      </w:r>
      <w:r w:rsidR="00054C33" w:rsidRPr="00C41F2B">
        <w:rPr>
          <w:iCs/>
        </w:rPr>
        <w:t xml:space="preserve">the OS </w:t>
      </w:r>
      <w:r w:rsidRPr="00C41F2B">
        <w:rPr>
          <w:iCs/>
        </w:rPr>
        <w:t xml:space="preserve">HR in SOLO1 being the true benefit. </w:t>
      </w:r>
      <w:r w:rsidRPr="00C41F2B">
        <w:t xml:space="preserve">The ESC noted that olaparib was recommended by NICE for inclusion in the Cancer Drugs Fund on the basis of </w:t>
      </w:r>
      <w:r w:rsidR="002F32C9" w:rsidRPr="00C41F2B">
        <w:t xml:space="preserve">the NHS England version of </w:t>
      </w:r>
      <w:r w:rsidRPr="00C41F2B">
        <w:t>a Managed Access Program (MAP) in which the uncertainty related to modelling of OS is to be addressed through the collection of long-term OS data from SOLO1. The pre-PBAC response indicated that that the sponsor would be willing to enter a MAP</w:t>
      </w:r>
      <w:r w:rsidR="00054C33" w:rsidRPr="00C41F2B">
        <w:t>.</w:t>
      </w:r>
      <w:r w:rsidRPr="00C41F2B">
        <w:t xml:space="preserve"> </w:t>
      </w:r>
    </w:p>
    <w:p w:rsidR="006E141B" w:rsidRPr="00C41F2B" w:rsidRDefault="00190698" w:rsidP="00733B41">
      <w:pPr>
        <w:pStyle w:val="3-BodyText"/>
        <w:rPr>
          <w:iCs/>
        </w:rPr>
      </w:pPr>
      <w:r w:rsidRPr="00C41F2B">
        <w:t>The ESC noted that the ICER was sensitive to the utilit</w:t>
      </w:r>
      <w:r w:rsidR="00D56DC5" w:rsidRPr="00C41F2B">
        <w:t>y values</w:t>
      </w:r>
      <w:r w:rsidRPr="00C41F2B">
        <w:t xml:space="preserve"> used when a smaller </w:t>
      </w:r>
      <w:r w:rsidR="00442A70" w:rsidRPr="00C41F2B">
        <w:t xml:space="preserve">(or no) </w:t>
      </w:r>
      <w:r w:rsidRPr="00C41F2B">
        <w:t xml:space="preserve">OS </w:t>
      </w:r>
      <w:r w:rsidR="008C33FC" w:rsidRPr="00C41F2B">
        <w:t>benefit</w:t>
      </w:r>
      <w:r w:rsidRPr="00C41F2B">
        <w:t xml:space="preserve"> for olaparib was assumed. The ESC </w:t>
      </w:r>
      <w:r w:rsidR="005D6CE9" w:rsidRPr="00C41F2B">
        <w:t xml:space="preserve">noted that use of the Study 19 utility values resulted in a value of 0.71 for progressive disease which seemed high, and considered that the approach used in the resubmission where the Study 19 values were applied to the proportion of patients </w:t>
      </w:r>
      <w:r w:rsidR="005D6CE9" w:rsidRPr="00C41F2B">
        <w:rPr>
          <w:iCs/>
        </w:rPr>
        <w:t xml:space="preserve">healthy enough to receive 2L olaparib maintenance </w:t>
      </w:r>
      <w:r w:rsidR="00D56DC5" w:rsidRPr="00C41F2B">
        <w:rPr>
          <w:iCs/>
        </w:rPr>
        <w:t>may be reasonable.</w:t>
      </w:r>
      <w:r w:rsidR="00D56DC5" w:rsidRPr="00C41F2B">
        <w:t xml:space="preserve"> The ICER for the scenario with a survival gain based on a HR of 0.95 and the utility values from the resubmission </w:t>
      </w:r>
      <w:r w:rsidR="00442A70" w:rsidRPr="00C41F2B">
        <w:t xml:space="preserve">(Option 3) </w:t>
      </w:r>
      <w:r w:rsidR="00D56DC5" w:rsidRPr="00C41F2B">
        <w:t xml:space="preserve">was </w:t>
      </w:r>
      <w:r w:rsidR="001524BD" w:rsidRPr="00B1026A">
        <w:rPr>
          <w:rFonts w:cstheme="minorHAnsi"/>
        </w:rPr>
        <w:t>$75,000 to &lt; $95,000</w:t>
      </w:r>
      <w:r w:rsidR="00D56DC5" w:rsidRPr="00C41F2B">
        <w:t xml:space="preserve"> with a 15 year time horizon and</w:t>
      </w:r>
      <w:r w:rsidR="00FA6DF9" w:rsidRPr="00C41F2B">
        <w:t xml:space="preserve"> </w:t>
      </w:r>
      <w:r w:rsidR="001524BD" w:rsidRPr="00B1026A">
        <w:rPr>
          <w:rFonts w:cstheme="minorHAnsi"/>
        </w:rPr>
        <w:t>$75,000 to &lt; $95,000</w:t>
      </w:r>
      <w:r w:rsidR="00D56DC5" w:rsidRPr="00C41F2B">
        <w:t>with a 20 year time horizon.</w:t>
      </w:r>
    </w:p>
    <w:p w:rsidR="00442A70" w:rsidRPr="00C41F2B" w:rsidRDefault="00442A70" w:rsidP="00442A70">
      <w:pPr>
        <w:pStyle w:val="3-BodyText"/>
        <w:rPr>
          <w:iCs/>
        </w:rPr>
      </w:pPr>
      <w:r w:rsidRPr="00C41F2B">
        <w:rPr>
          <w:iCs/>
        </w:rPr>
        <w:t xml:space="preserve">The ESC noted that the assumed duration of 2L olaparib treatment (based on the final data cut for Study 19) was longer than that accepted by the PBAC in November 2016 based on </w:t>
      </w:r>
      <w:r w:rsidR="004269E1" w:rsidRPr="00C41F2B">
        <w:rPr>
          <w:iCs/>
        </w:rPr>
        <w:t xml:space="preserve">an earlier analysis of </w:t>
      </w:r>
      <w:r w:rsidRPr="00C41F2B">
        <w:rPr>
          <w:iCs/>
        </w:rPr>
        <w:t xml:space="preserve">Study 19 (paragraph 6.8, olaparib PSD, November 2016 PBAC meeting) (21.5 months vs 16.3 months). The ESC noted that the ICER was </w:t>
      </w:r>
      <w:r w:rsidRPr="00C41F2B">
        <w:rPr>
          <w:iCs/>
        </w:rPr>
        <w:lastRenderedPageBreak/>
        <w:t xml:space="preserve">somewhat sensitive to the 2L olaparib treatment duration, with the ICER increasing to </w:t>
      </w:r>
      <w:r w:rsidR="001524BD">
        <w:rPr>
          <w:iCs/>
        </w:rPr>
        <w:t>$45,000 to &lt; $55,000</w:t>
      </w:r>
      <w:r w:rsidRPr="00C41F2B">
        <w:rPr>
          <w:iCs/>
        </w:rPr>
        <w:t xml:space="preserve"> per QALY when the duration accepted in November 2016 was used</w:t>
      </w:r>
      <w:r w:rsidR="00A61C43" w:rsidRPr="00C41F2B">
        <w:rPr>
          <w:iCs/>
        </w:rPr>
        <w:t xml:space="preserve"> (</w:t>
      </w:r>
      <w:r w:rsidR="00A0380C" w:rsidRPr="00C41F2B">
        <w:t xml:space="preserve">Table </w:t>
      </w:r>
      <w:r w:rsidR="00A0380C">
        <w:rPr>
          <w:noProof/>
        </w:rPr>
        <w:t>10</w:t>
      </w:r>
      <w:r w:rsidR="00A61C43" w:rsidRPr="00C41F2B">
        <w:rPr>
          <w:iCs/>
        </w:rPr>
        <w:t>)</w:t>
      </w:r>
      <w:r w:rsidRPr="00C41F2B">
        <w:rPr>
          <w:iCs/>
        </w:rPr>
        <w:t xml:space="preserve">. </w:t>
      </w:r>
    </w:p>
    <w:p w:rsidR="00D80519" w:rsidRPr="00C41F2B" w:rsidRDefault="00264510" w:rsidP="00264510">
      <w:pPr>
        <w:pStyle w:val="3-BodyText"/>
      </w:pPr>
      <w:r w:rsidRPr="00C41F2B">
        <w:t xml:space="preserve">The pre-PBAC response </w:t>
      </w:r>
      <w:r w:rsidR="00A62321" w:rsidRPr="00C41F2B">
        <w:t xml:space="preserve">included an alternative model scenario which differed from </w:t>
      </w:r>
      <w:r w:rsidR="00812249" w:rsidRPr="00C41F2B">
        <w:t xml:space="preserve">the options presented </w:t>
      </w:r>
      <w:r w:rsidR="00C6517A" w:rsidRPr="00C41F2B">
        <w:t>in the ESC advice</w:t>
      </w:r>
      <w:r w:rsidR="00A62321" w:rsidRPr="00C41F2B">
        <w:t xml:space="preserve"> </w:t>
      </w:r>
      <w:r w:rsidR="00C058E6" w:rsidRPr="00C41F2B">
        <w:t xml:space="preserve">(see </w:t>
      </w:r>
      <w:r w:rsidR="00A0380C" w:rsidRPr="00C41F2B">
        <w:t xml:space="preserve">Table </w:t>
      </w:r>
      <w:r w:rsidR="00A0380C">
        <w:rPr>
          <w:noProof/>
        </w:rPr>
        <w:t>10</w:t>
      </w:r>
      <w:r w:rsidR="00C058E6" w:rsidRPr="00C41F2B">
        <w:t>)</w:t>
      </w:r>
      <w:r w:rsidR="00A62321" w:rsidRPr="00C41F2B">
        <w:t>.</w:t>
      </w:r>
      <w:r w:rsidR="00C058E6" w:rsidRPr="00C41F2B">
        <w:t xml:space="preserve"> </w:t>
      </w:r>
      <w:r w:rsidR="007C69EB" w:rsidRPr="00C41F2B">
        <w:t xml:space="preserve">The </w:t>
      </w:r>
      <w:r w:rsidR="00D80519" w:rsidRPr="00C41F2B">
        <w:t xml:space="preserve">PBAC noted </w:t>
      </w:r>
      <w:r w:rsidR="00262459" w:rsidRPr="00C41F2B">
        <w:t xml:space="preserve">that </w:t>
      </w:r>
      <w:r w:rsidR="00D80519" w:rsidRPr="00C41F2B">
        <w:t>compared with the base case scenario in the resubmission, the pre</w:t>
      </w:r>
      <w:r w:rsidR="00262459" w:rsidRPr="00C41F2B">
        <w:t>-</w:t>
      </w:r>
      <w:r w:rsidR="00D80519" w:rsidRPr="00C41F2B">
        <w:t>PBAC scenario:</w:t>
      </w:r>
    </w:p>
    <w:p w:rsidR="007C69EB" w:rsidRPr="00C41F2B" w:rsidRDefault="00D80519" w:rsidP="00D80519">
      <w:pPr>
        <w:pStyle w:val="3-BodyText"/>
        <w:numPr>
          <w:ilvl w:val="0"/>
          <w:numId w:val="37"/>
        </w:numPr>
      </w:pPr>
      <w:r w:rsidRPr="00C41F2B">
        <w:t xml:space="preserve">accepted the inclusion of </w:t>
      </w:r>
      <w:proofErr w:type="spellStart"/>
      <w:r w:rsidRPr="00C41F2B">
        <w:t>sBRCA</w:t>
      </w:r>
      <w:proofErr w:type="spellEnd"/>
      <w:r w:rsidRPr="00C41F2B">
        <w:t xml:space="preserve"> patients in 2L and bevacizumab in the comparator arm;</w:t>
      </w:r>
    </w:p>
    <w:p w:rsidR="00D80519" w:rsidRPr="00C41F2B" w:rsidRDefault="00D80519" w:rsidP="00D80519">
      <w:pPr>
        <w:pStyle w:val="3-BodyText"/>
        <w:numPr>
          <w:ilvl w:val="0"/>
          <w:numId w:val="37"/>
        </w:numPr>
      </w:pPr>
      <w:r w:rsidRPr="00C41F2B">
        <w:t>maintained use of the weighted utility values and 20 year time horizon (the ESC considered these assumptions may be reasonable);</w:t>
      </w:r>
    </w:p>
    <w:p w:rsidR="00D80519" w:rsidRPr="00C41F2B" w:rsidRDefault="00D80519" w:rsidP="00D80519">
      <w:pPr>
        <w:pStyle w:val="3-BodyText"/>
        <w:numPr>
          <w:ilvl w:val="0"/>
          <w:numId w:val="37"/>
        </w:numPr>
      </w:pPr>
      <w:r w:rsidRPr="00C41F2B">
        <w:t>continued to use PFS2 as a surrogate for OS</w:t>
      </w:r>
      <w:r w:rsidR="00262459" w:rsidRPr="00C41F2B">
        <w:t xml:space="preserve"> (the ESC considered this to be inappropriate noting it resulted in a large gain in OS);</w:t>
      </w:r>
    </w:p>
    <w:p w:rsidR="00262459" w:rsidRPr="00C41F2B" w:rsidRDefault="00262459" w:rsidP="00D80519">
      <w:pPr>
        <w:pStyle w:val="3-BodyText"/>
        <w:numPr>
          <w:ilvl w:val="0"/>
          <w:numId w:val="37"/>
        </w:numPr>
      </w:pPr>
      <w:r w:rsidRPr="00C41F2B">
        <w:t xml:space="preserve">revised the approach for adjusting the cost of olaparib to account for treatment interruptions; and </w:t>
      </w:r>
    </w:p>
    <w:p w:rsidR="00262459" w:rsidRPr="00C41F2B" w:rsidRDefault="00262459" w:rsidP="00D80519">
      <w:pPr>
        <w:pStyle w:val="3-BodyText"/>
        <w:numPr>
          <w:ilvl w:val="0"/>
          <w:numId w:val="37"/>
        </w:numPr>
      </w:pPr>
      <w:proofErr w:type="gramStart"/>
      <w:r w:rsidRPr="00C41F2B">
        <w:t>reduced</w:t>
      </w:r>
      <w:proofErr w:type="gramEnd"/>
      <w:r w:rsidRPr="00C41F2B">
        <w:t xml:space="preserve"> the duration of 2L olaparib to be consistent with that included in the </w:t>
      </w:r>
      <w:r w:rsidR="004269E1" w:rsidRPr="00C41F2B">
        <w:t>PBAC submission</w:t>
      </w:r>
      <w:r w:rsidRPr="00C41F2B">
        <w:t xml:space="preserve"> for the 2L listing of olaparib.</w:t>
      </w:r>
    </w:p>
    <w:p w:rsidR="00264510" w:rsidRPr="00C41F2B" w:rsidRDefault="00262459" w:rsidP="002A0870">
      <w:pPr>
        <w:pStyle w:val="3-BodyText"/>
      </w:pPr>
      <w:r w:rsidRPr="00C41F2B">
        <w:t xml:space="preserve">The ICER for the pre-PBAC scenario was </w:t>
      </w:r>
      <w:r w:rsidR="001524BD">
        <w:t>$55,000 - $75,000</w:t>
      </w:r>
      <w:r w:rsidRPr="00C41F2B">
        <w:t xml:space="preserve">/QALY. </w:t>
      </w:r>
      <w:r w:rsidR="002A0870" w:rsidRPr="00C41F2B">
        <w:t>The PBAC considered the approach for estimating OS should be revised based on that presented in the evaluation using a</w:t>
      </w:r>
      <w:r w:rsidR="009877FB" w:rsidRPr="00C41F2B">
        <w:t xml:space="preserve"> </w:t>
      </w:r>
      <w:r w:rsidR="002A0870" w:rsidRPr="00C41F2B">
        <w:t>HR of 0.95</w:t>
      </w:r>
      <w:r w:rsidR="009877FB" w:rsidRPr="00C41F2B">
        <w:t xml:space="preserve"> and </w:t>
      </w:r>
      <w:r w:rsidR="002A0870" w:rsidRPr="00C41F2B">
        <w:t xml:space="preserve">2L </w:t>
      </w:r>
      <w:r w:rsidR="009877FB" w:rsidRPr="00C41F2B">
        <w:t xml:space="preserve">olaparib use should be based on </w:t>
      </w:r>
      <w:r w:rsidR="00642E6E" w:rsidRPr="00C41F2B">
        <w:t xml:space="preserve">the final analysis of </w:t>
      </w:r>
      <w:r w:rsidR="009877FB" w:rsidRPr="00C41F2B">
        <w:t>Study 19.</w:t>
      </w:r>
      <w:r w:rsidR="002A0870" w:rsidRPr="00C41F2B">
        <w:t xml:space="preserve"> </w:t>
      </w:r>
      <w:r w:rsidR="009877FB" w:rsidRPr="00C41F2B">
        <w:t>T</w:t>
      </w:r>
      <w:r w:rsidR="002A0870" w:rsidRPr="00C41F2B">
        <w:t>he</w:t>
      </w:r>
      <w:r w:rsidR="009877FB" w:rsidRPr="00C41F2B">
        <w:t xml:space="preserve"> resulting ICER wa</w:t>
      </w:r>
      <w:r w:rsidR="002A0870" w:rsidRPr="00C41F2B">
        <w:t xml:space="preserve">s </w:t>
      </w:r>
      <w:r w:rsidR="001524BD">
        <w:t>$55,000 - $75,000</w:t>
      </w:r>
      <w:r w:rsidR="004269E1" w:rsidRPr="00C41F2B">
        <w:t>/QALY</w:t>
      </w:r>
      <w:r w:rsidR="009877FB" w:rsidRPr="00C41F2B">
        <w:t>.</w:t>
      </w:r>
      <w:r w:rsidR="002A0870" w:rsidRPr="00C41F2B">
        <w:t xml:space="preserve"> </w:t>
      </w:r>
    </w:p>
    <w:p w:rsidR="00323684" w:rsidRPr="00C41F2B" w:rsidRDefault="00323684" w:rsidP="00323684">
      <w:pPr>
        <w:pStyle w:val="TableFigureHeading"/>
      </w:pPr>
      <w:r w:rsidRPr="00C41F2B">
        <w:t xml:space="preserve">Table </w:t>
      </w:r>
      <w:r w:rsidR="00A0380C">
        <w:rPr>
          <w:noProof/>
        </w:rPr>
        <w:t>11</w:t>
      </w:r>
      <w:r w:rsidRPr="00C41F2B">
        <w:t>: Respecified base cases in ESC advice and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1"/>
        <w:gridCol w:w="3048"/>
        <w:gridCol w:w="2928"/>
      </w:tblGrid>
      <w:tr w:rsidR="00975E7D" w:rsidRPr="00C41F2B" w:rsidTr="00323684">
        <w:tc>
          <w:tcPr>
            <w:tcW w:w="3056" w:type="dxa"/>
            <w:tcMar>
              <w:top w:w="0" w:type="dxa"/>
              <w:left w:w="108" w:type="dxa"/>
              <w:bottom w:w="0" w:type="dxa"/>
              <w:right w:w="108" w:type="dxa"/>
            </w:tcMar>
          </w:tcPr>
          <w:p w:rsidR="00975E7D" w:rsidRPr="00C41F2B" w:rsidRDefault="00826DDD" w:rsidP="00826DDD">
            <w:pPr>
              <w:pStyle w:val="Tabletext"/>
              <w:contextualSpacing/>
              <w:jc w:val="left"/>
              <w:rPr>
                <w:b/>
              </w:rPr>
            </w:pPr>
            <w:r w:rsidRPr="00C41F2B">
              <w:rPr>
                <w:b/>
              </w:rPr>
              <w:t>Model parameter</w:t>
            </w:r>
          </w:p>
        </w:tc>
        <w:tc>
          <w:tcPr>
            <w:tcW w:w="3064" w:type="dxa"/>
            <w:tcMar>
              <w:top w:w="0" w:type="dxa"/>
              <w:left w:w="108" w:type="dxa"/>
              <w:bottom w:w="0" w:type="dxa"/>
              <w:right w:w="108" w:type="dxa"/>
            </w:tcMar>
            <w:hideMark/>
          </w:tcPr>
          <w:p w:rsidR="00975E7D" w:rsidRPr="00C41F2B" w:rsidRDefault="00975E7D" w:rsidP="00812249">
            <w:pPr>
              <w:pStyle w:val="Tabletext"/>
              <w:contextualSpacing/>
              <w:jc w:val="left"/>
              <w:rPr>
                <w:b/>
              </w:rPr>
            </w:pPr>
            <w:r w:rsidRPr="00C41F2B">
              <w:rPr>
                <w:b/>
              </w:rPr>
              <w:t>ESC advice</w:t>
            </w:r>
            <w:r w:rsidR="00A62321" w:rsidRPr="00C41F2B">
              <w:rPr>
                <w:b/>
              </w:rPr>
              <w:t xml:space="preserve"> </w:t>
            </w:r>
          </w:p>
        </w:tc>
        <w:tc>
          <w:tcPr>
            <w:tcW w:w="2942" w:type="dxa"/>
            <w:tcMar>
              <w:top w:w="0" w:type="dxa"/>
              <w:left w:w="108" w:type="dxa"/>
              <w:bottom w:w="0" w:type="dxa"/>
              <w:right w:w="108" w:type="dxa"/>
            </w:tcMar>
            <w:hideMark/>
          </w:tcPr>
          <w:p w:rsidR="00975E7D" w:rsidRPr="00C41F2B" w:rsidRDefault="00975E7D" w:rsidP="00C452FF">
            <w:pPr>
              <w:pStyle w:val="Tabletext"/>
              <w:contextualSpacing/>
              <w:jc w:val="left"/>
              <w:rPr>
                <w:b/>
              </w:rPr>
            </w:pPr>
            <w:r w:rsidRPr="00C41F2B">
              <w:rPr>
                <w:b/>
              </w:rPr>
              <w:t xml:space="preserve">Pre-PBAC </w:t>
            </w:r>
            <w:r w:rsidR="00C452FF" w:rsidRPr="00C41F2B">
              <w:rPr>
                <w:b/>
              </w:rPr>
              <w:t>revised scenario</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proofErr w:type="spellStart"/>
            <w:r w:rsidRPr="00C41F2B">
              <w:t>sBRCA</w:t>
            </w:r>
            <w:proofErr w:type="spellEnd"/>
            <w:r w:rsidRPr="00C41F2B">
              <w:t xml:space="preserve"> patients in 2L included</w:t>
            </w:r>
          </w:p>
        </w:tc>
        <w:tc>
          <w:tcPr>
            <w:tcW w:w="3064"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Yes</w:t>
            </w:r>
          </w:p>
        </w:tc>
        <w:tc>
          <w:tcPr>
            <w:tcW w:w="2942"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Yes</w:t>
            </w:r>
            <w:r w:rsidR="00C452FF" w:rsidRPr="00C41F2B">
              <w:t xml:space="preserve"> </w:t>
            </w:r>
            <w:r w:rsidR="00C452FF" w:rsidRPr="00C41F2B">
              <w:rPr>
                <w:vertAlign w:val="superscript"/>
              </w:rPr>
              <w:t>a</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Time horizon</w:t>
            </w:r>
          </w:p>
        </w:tc>
        <w:tc>
          <w:tcPr>
            <w:tcW w:w="3064" w:type="dxa"/>
            <w:tcMar>
              <w:top w:w="0" w:type="dxa"/>
              <w:left w:w="108" w:type="dxa"/>
              <w:bottom w:w="0" w:type="dxa"/>
              <w:right w:w="108" w:type="dxa"/>
            </w:tcMar>
            <w:hideMark/>
          </w:tcPr>
          <w:p w:rsidR="00975E7D" w:rsidRPr="00C41F2B" w:rsidRDefault="00A62321" w:rsidP="00826DDD">
            <w:pPr>
              <w:pStyle w:val="Tabletext"/>
              <w:contextualSpacing/>
              <w:jc w:val="left"/>
            </w:pPr>
            <w:r w:rsidRPr="00C41F2B">
              <w:t xml:space="preserve">15 </w:t>
            </w:r>
            <w:r w:rsidR="00826DDD" w:rsidRPr="00C41F2B">
              <w:rPr>
                <w:b/>
              </w:rPr>
              <w:t>OR</w:t>
            </w:r>
            <w:r w:rsidRPr="00C41F2B">
              <w:t xml:space="preserve"> </w:t>
            </w:r>
            <w:r w:rsidR="00975E7D" w:rsidRPr="00C41F2B">
              <w:t>20 years</w:t>
            </w:r>
            <w:r w:rsidRPr="00C41F2B">
              <w:t xml:space="preserve"> </w:t>
            </w:r>
          </w:p>
        </w:tc>
        <w:tc>
          <w:tcPr>
            <w:tcW w:w="2942"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20 years</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Utilities PFS2 and PD</w:t>
            </w:r>
          </w:p>
        </w:tc>
        <w:tc>
          <w:tcPr>
            <w:tcW w:w="3064" w:type="dxa"/>
            <w:tcMar>
              <w:top w:w="0" w:type="dxa"/>
              <w:left w:w="108" w:type="dxa"/>
              <w:bottom w:w="0" w:type="dxa"/>
              <w:right w:w="108" w:type="dxa"/>
            </w:tcMar>
            <w:hideMark/>
          </w:tcPr>
          <w:p w:rsidR="00826DDD" w:rsidRPr="00C41F2B" w:rsidRDefault="00826DDD" w:rsidP="00826DDD">
            <w:pPr>
              <w:pStyle w:val="Tabletext"/>
              <w:contextualSpacing/>
              <w:jc w:val="left"/>
            </w:pPr>
            <w:r w:rsidRPr="00C41F2B">
              <w:t>Utilities from Study 19</w:t>
            </w:r>
            <w:r w:rsidR="00812249" w:rsidRPr="00C41F2B">
              <w:t xml:space="preserve"> (Options 1 and 2)</w:t>
            </w:r>
            <w:r w:rsidRPr="00C41F2B">
              <w:t xml:space="preserve">: </w:t>
            </w:r>
          </w:p>
          <w:p w:rsidR="00826DDD" w:rsidRPr="00C41F2B" w:rsidRDefault="00826DDD" w:rsidP="00826DDD">
            <w:pPr>
              <w:pStyle w:val="Tabletext"/>
              <w:contextualSpacing/>
              <w:jc w:val="left"/>
            </w:pPr>
            <w:r w:rsidRPr="00C41F2B">
              <w:t>PFS2=0.768; PD=0.708</w:t>
            </w:r>
          </w:p>
          <w:p w:rsidR="00826DDD" w:rsidRPr="00C41F2B" w:rsidRDefault="00826DDD" w:rsidP="00826DDD">
            <w:pPr>
              <w:pStyle w:val="Tabletext"/>
              <w:contextualSpacing/>
              <w:jc w:val="left"/>
              <w:rPr>
                <w:b/>
              </w:rPr>
            </w:pPr>
            <w:r w:rsidRPr="00C41F2B">
              <w:rPr>
                <w:b/>
              </w:rPr>
              <w:t>OR</w:t>
            </w:r>
          </w:p>
          <w:p w:rsidR="00826DDD" w:rsidRPr="00C41F2B" w:rsidRDefault="00826DDD" w:rsidP="00826DDD">
            <w:pPr>
              <w:pStyle w:val="Tabletext"/>
              <w:contextualSpacing/>
              <w:jc w:val="left"/>
            </w:pPr>
            <w:r w:rsidRPr="00C41F2B">
              <w:t xml:space="preserve">Weighted Study 19 &amp; </w:t>
            </w:r>
            <w:proofErr w:type="spellStart"/>
            <w:r w:rsidRPr="00C41F2B">
              <w:t>Havrilesky</w:t>
            </w:r>
            <w:proofErr w:type="spellEnd"/>
            <w:r w:rsidRPr="00C41F2B">
              <w:t xml:space="preserve"> 2009</w:t>
            </w:r>
            <w:r w:rsidR="00812249" w:rsidRPr="00C41F2B">
              <w:t xml:space="preserve"> (Option 3)</w:t>
            </w:r>
            <w:r w:rsidRPr="00C41F2B">
              <w:t>:</w:t>
            </w:r>
          </w:p>
          <w:p w:rsidR="00975E7D" w:rsidRPr="00C41F2B" w:rsidRDefault="00975E7D" w:rsidP="00826DDD">
            <w:pPr>
              <w:pStyle w:val="Tabletext"/>
              <w:contextualSpacing/>
              <w:jc w:val="left"/>
            </w:pPr>
            <w:r w:rsidRPr="00C41F2B">
              <w:t>PFS2=</w:t>
            </w:r>
            <w:r w:rsidR="00826DDD" w:rsidRPr="00C41F2B">
              <w:t>0.637;</w:t>
            </w:r>
            <w:r w:rsidRPr="00C41F2B">
              <w:t xml:space="preserve"> PD=0.557 </w:t>
            </w:r>
          </w:p>
        </w:tc>
        <w:tc>
          <w:tcPr>
            <w:tcW w:w="2942" w:type="dxa"/>
            <w:tcMar>
              <w:top w:w="0" w:type="dxa"/>
              <w:left w:w="108" w:type="dxa"/>
              <w:bottom w:w="0" w:type="dxa"/>
              <w:right w:w="108" w:type="dxa"/>
            </w:tcMar>
            <w:hideMark/>
          </w:tcPr>
          <w:p w:rsidR="00826DDD" w:rsidRPr="00C41F2B" w:rsidRDefault="00826DDD" w:rsidP="00826DDD">
            <w:pPr>
              <w:pStyle w:val="Tabletext"/>
              <w:contextualSpacing/>
              <w:jc w:val="left"/>
            </w:pPr>
            <w:r w:rsidRPr="00C41F2B">
              <w:t xml:space="preserve">Weighted Study 19 &amp; </w:t>
            </w:r>
            <w:proofErr w:type="spellStart"/>
            <w:r w:rsidRPr="00C41F2B">
              <w:t>Havrilesky</w:t>
            </w:r>
            <w:proofErr w:type="spellEnd"/>
            <w:r w:rsidRPr="00C41F2B">
              <w:t xml:space="preserve"> 2009:</w:t>
            </w:r>
          </w:p>
          <w:p w:rsidR="00975E7D" w:rsidRPr="00C41F2B" w:rsidRDefault="00826DDD" w:rsidP="00826DDD">
            <w:pPr>
              <w:pStyle w:val="Tabletext"/>
              <w:contextualSpacing/>
              <w:jc w:val="left"/>
            </w:pPr>
            <w:r w:rsidRPr="00C41F2B">
              <w:t>PFS2=0.637; PD=0.557</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Cost of olaparib</w:t>
            </w:r>
          </w:p>
        </w:tc>
        <w:tc>
          <w:tcPr>
            <w:tcW w:w="3064"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No adjustment to cost to reflect same price for each tablet strength</w:t>
            </w:r>
          </w:p>
        </w:tc>
        <w:tc>
          <w:tcPr>
            <w:tcW w:w="2942" w:type="dxa"/>
            <w:shd w:val="clear" w:color="auto" w:fill="auto"/>
            <w:tcMar>
              <w:top w:w="0" w:type="dxa"/>
              <w:left w:w="108" w:type="dxa"/>
              <w:bottom w:w="0" w:type="dxa"/>
              <w:right w:w="108" w:type="dxa"/>
            </w:tcMar>
            <w:hideMark/>
          </w:tcPr>
          <w:p w:rsidR="00975E7D" w:rsidRPr="00C41F2B" w:rsidRDefault="00975E7D" w:rsidP="00826DDD">
            <w:pPr>
              <w:pStyle w:val="Tabletext"/>
              <w:contextualSpacing/>
              <w:jc w:val="left"/>
            </w:pPr>
            <w:r w:rsidRPr="00C41F2B">
              <w:t>4.9 weeks treatment interruption approximated by setting zero cost for olaparib for cycle 1.</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Bevacizumab (7%)</w:t>
            </w:r>
            <w:r w:rsidR="00C058E6" w:rsidRPr="00C41F2B">
              <w:t xml:space="preserve"> included</w:t>
            </w:r>
          </w:p>
        </w:tc>
        <w:tc>
          <w:tcPr>
            <w:tcW w:w="3064"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Yes</w:t>
            </w:r>
          </w:p>
        </w:tc>
        <w:tc>
          <w:tcPr>
            <w:tcW w:w="2942" w:type="dxa"/>
            <w:shd w:val="clear" w:color="auto" w:fill="auto"/>
            <w:tcMar>
              <w:top w:w="0" w:type="dxa"/>
              <w:left w:w="108" w:type="dxa"/>
              <w:bottom w:w="0" w:type="dxa"/>
              <w:right w:w="108" w:type="dxa"/>
            </w:tcMar>
            <w:hideMark/>
          </w:tcPr>
          <w:p w:rsidR="00975E7D" w:rsidRPr="00C41F2B" w:rsidRDefault="00975E7D" w:rsidP="00826DDD">
            <w:pPr>
              <w:pStyle w:val="Tabletext"/>
              <w:contextualSpacing/>
              <w:jc w:val="left"/>
            </w:pPr>
            <w:r w:rsidRPr="00C41F2B">
              <w:t>Yes</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OS</w:t>
            </w:r>
          </w:p>
        </w:tc>
        <w:tc>
          <w:tcPr>
            <w:tcW w:w="3064" w:type="dxa"/>
            <w:tcMar>
              <w:top w:w="0" w:type="dxa"/>
              <w:left w:w="108" w:type="dxa"/>
              <w:bottom w:w="0" w:type="dxa"/>
              <w:right w:w="108" w:type="dxa"/>
            </w:tcMar>
            <w:hideMark/>
          </w:tcPr>
          <w:p w:rsidR="00975E7D" w:rsidRPr="00C41F2B" w:rsidRDefault="00826DDD" w:rsidP="00826DDD">
            <w:pPr>
              <w:pStyle w:val="Tabletext"/>
              <w:contextualSpacing/>
              <w:jc w:val="left"/>
            </w:pPr>
            <w:r w:rsidRPr="00C41F2B">
              <w:t xml:space="preserve">HR=1 </w:t>
            </w:r>
            <w:r w:rsidR="00C058E6" w:rsidRPr="00C41F2B">
              <w:t xml:space="preserve">(Option 1) </w:t>
            </w:r>
            <w:r w:rsidRPr="00C41F2B">
              <w:rPr>
                <w:b/>
              </w:rPr>
              <w:t>OR</w:t>
            </w:r>
            <w:r w:rsidRPr="00C41F2B">
              <w:t xml:space="preserve"> </w:t>
            </w:r>
            <w:r w:rsidR="00975E7D" w:rsidRPr="00C41F2B">
              <w:t>HR=0.95</w:t>
            </w:r>
            <w:r w:rsidR="00C058E6" w:rsidRPr="00C41F2B">
              <w:t xml:space="preserve"> (Option 2 and 3)</w:t>
            </w:r>
            <w:r w:rsidR="00975E7D" w:rsidRPr="00C41F2B">
              <w:t xml:space="preserve"> after median follow-up</w:t>
            </w:r>
          </w:p>
        </w:tc>
        <w:tc>
          <w:tcPr>
            <w:tcW w:w="2942" w:type="dxa"/>
            <w:shd w:val="clear" w:color="auto" w:fill="auto"/>
            <w:tcMar>
              <w:top w:w="0" w:type="dxa"/>
              <w:left w:w="108" w:type="dxa"/>
              <w:bottom w:w="0" w:type="dxa"/>
              <w:right w:w="108" w:type="dxa"/>
            </w:tcMar>
            <w:hideMark/>
          </w:tcPr>
          <w:p w:rsidR="00975E7D" w:rsidRPr="00C41F2B" w:rsidRDefault="00975E7D" w:rsidP="00826DDD">
            <w:pPr>
              <w:pStyle w:val="Tabletext"/>
              <w:contextualSpacing/>
              <w:jc w:val="left"/>
            </w:pPr>
            <w:r w:rsidRPr="00C41F2B">
              <w:t>Based on PFS, PFS2 from SOLO1</w:t>
            </w:r>
          </w:p>
        </w:tc>
      </w:tr>
      <w:tr w:rsidR="00975E7D" w:rsidRPr="00C41F2B" w:rsidTr="00323684">
        <w:tc>
          <w:tcPr>
            <w:tcW w:w="3056" w:type="dxa"/>
            <w:tcMar>
              <w:top w:w="0" w:type="dxa"/>
              <w:left w:w="108" w:type="dxa"/>
              <w:bottom w:w="0" w:type="dxa"/>
              <w:right w:w="108" w:type="dxa"/>
            </w:tcMar>
            <w:hideMark/>
          </w:tcPr>
          <w:p w:rsidR="00975E7D" w:rsidRPr="00C41F2B" w:rsidRDefault="00975E7D" w:rsidP="00826DDD">
            <w:pPr>
              <w:pStyle w:val="Tabletext"/>
              <w:contextualSpacing/>
              <w:jc w:val="left"/>
            </w:pPr>
            <w:r w:rsidRPr="00C41F2B">
              <w:t>Duration of 2L treatment</w:t>
            </w:r>
          </w:p>
        </w:tc>
        <w:tc>
          <w:tcPr>
            <w:tcW w:w="3064" w:type="dxa"/>
            <w:tcMar>
              <w:top w:w="0" w:type="dxa"/>
              <w:left w:w="108" w:type="dxa"/>
              <w:bottom w:w="0" w:type="dxa"/>
              <w:right w:w="108" w:type="dxa"/>
            </w:tcMar>
            <w:hideMark/>
          </w:tcPr>
          <w:p w:rsidR="00975E7D" w:rsidRPr="00C41F2B" w:rsidRDefault="00975E7D" w:rsidP="00C058E6">
            <w:pPr>
              <w:pStyle w:val="Tabletext"/>
              <w:contextualSpacing/>
              <w:jc w:val="left"/>
            </w:pPr>
            <w:r w:rsidRPr="00C41F2B">
              <w:t xml:space="preserve">Final data cut for </w:t>
            </w:r>
            <w:r w:rsidR="00C058E6" w:rsidRPr="00C41F2B">
              <w:t>S</w:t>
            </w:r>
            <w:r w:rsidRPr="00C41F2B">
              <w:t>tudy 19 (21.52 months)</w:t>
            </w:r>
          </w:p>
        </w:tc>
        <w:tc>
          <w:tcPr>
            <w:tcW w:w="2942" w:type="dxa"/>
            <w:shd w:val="clear" w:color="auto" w:fill="auto"/>
            <w:tcMar>
              <w:top w:w="0" w:type="dxa"/>
              <w:left w:w="108" w:type="dxa"/>
              <w:bottom w:w="0" w:type="dxa"/>
              <w:right w:w="108" w:type="dxa"/>
            </w:tcMar>
            <w:hideMark/>
          </w:tcPr>
          <w:p w:rsidR="00975E7D" w:rsidRPr="00C41F2B" w:rsidRDefault="00975E7D" w:rsidP="00826DDD">
            <w:pPr>
              <w:pStyle w:val="Tabletext"/>
              <w:contextualSpacing/>
              <w:jc w:val="left"/>
            </w:pPr>
            <w:r w:rsidRPr="00C41F2B">
              <w:t>16.3 months as per Nov 2016 submission</w:t>
            </w:r>
          </w:p>
        </w:tc>
      </w:tr>
    </w:tbl>
    <w:p w:rsidR="00583ECB" w:rsidRPr="00C41F2B" w:rsidRDefault="00C452FF" w:rsidP="00C452FF">
      <w:pPr>
        <w:pStyle w:val="TableFooter"/>
      </w:pPr>
      <w:bookmarkStart w:id="39" w:name="_Toc22897646"/>
      <w:bookmarkStart w:id="40" w:name="_Toc38305876"/>
      <w:proofErr w:type="spellStart"/>
      <w:r w:rsidRPr="00C41F2B">
        <w:rPr>
          <w:vertAlign w:val="superscript"/>
        </w:rPr>
        <w:t>a</w:t>
      </w:r>
      <w:proofErr w:type="spellEnd"/>
      <w:r w:rsidRPr="00C41F2B">
        <w:t xml:space="preserve"> The pre-PBAC response </w:t>
      </w:r>
      <w:r w:rsidR="005B7537" w:rsidRPr="00C41F2B">
        <w:t xml:space="preserve">revised scenario </w:t>
      </w:r>
      <w:r w:rsidRPr="00C41F2B">
        <w:t>also incorporates the cost of downstream germline testing in both the proposed and comparator arms of the model given that the March 2020 PBAC recommendation assumes tumour testing occurs in the comparator arm</w:t>
      </w:r>
    </w:p>
    <w:p w:rsidR="00C058E6" w:rsidRPr="00C41F2B" w:rsidRDefault="00C058E6" w:rsidP="00C452FF">
      <w:pPr>
        <w:pStyle w:val="TableFooter"/>
      </w:pPr>
    </w:p>
    <w:p w:rsidR="00C25D9C" w:rsidRPr="00C41F2B" w:rsidRDefault="00C25D9C" w:rsidP="00BB732D">
      <w:pPr>
        <w:pStyle w:val="4-SubsectionHeading"/>
      </w:pPr>
      <w:r w:rsidRPr="00C41F2B">
        <w:lastRenderedPageBreak/>
        <w:t>Dru</w:t>
      </w:r>
      <w:r w:rsidR="00B718AA" w:rsidRPr="00C41F2B">
        <w:t>g</w:t>
      </w:r>
      <w:r w:rsidRPr="00C41F2B">
        <w:t xml:space="preserve"> cost/patient/</w:t>
      </w:r>
      <w:bookmarkEnd w:id="39"/>
      <w:r w:rsidR="00B718AA" w:rsidRPr="00C41F2B">
        <w:t>course</w:t>
      </w:r>
      <w:bookmarkEnd w:id="40"/>
    </w:p>
    <w:p w:rsidR="00B718AA" w:rsidRPr="00C41F2B" w:rsidRDefault="00B718AA" w:rsidP="006C4B81">
      <w:pPr>
        <w:pStyle w:val="TableFigureHeading"/>
      </w:pPr>
      <w:r w:rsidRPr="00C41F2B">
        <w:t xml:space="preserve">Table </w:t>
      </w:r>
      <w:r w:rsidR="00A0380C">
        <w:rPr>
          <w:noProof/>
        </w:rPr>
        <w:t>12</w:t>
      </w:r>
      <w:r w:rsidRPr="00C41F2B">
        <w:t xml:space="preserve">: Drug cost per patient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13"/>
        <w:gridCol w:w="1363"/>
        <w:gridCol w:w="1463"/>
        <w:gridCol w:w="1466"/>
        <w:gridCol w:w="1446"/>
        <w:gridCol w:w="1466"/>
      </w:tblGrid>
      <w:tr w:rsidR="00B74A5B" w:rsidRPr="00C41F2B" w:rsidTr="00B74A5B">
        <w:trPr>
          <w:cantSplit/>
          <w:tblHeader/>
          <w:jc w:val="center"/>
        </w:trPr>
        <w:tc>
          <w:tcPr>
            <w:tcW w:w="1005" w:type="pct"/>
            <w:vMerge w:val="restart"/>
            <w:shd w:val="clear" w:color="auto" w:fill="auto"/>
            <w:vAlign w:val="center"/>
          </w:tcPr>
          <w:p w:rsidR="00B74A5B" w:rsidRPr="00C41F2B" w:rsidRDefault="00B74A5B" w:rsidP="00BB732D">
            <w:pPr>
              <w:pStyle w:val="In-tableHeading"/>
              <w:jc w:val="center"/>
              <w:rPr>
                <w:lang w:val="en-AU"/>
              </w:rPr>
            </w:pPr>
          </w:p>
        </w:tc>
        <w:tc>
          <w:tcPr>
            <w:tcW w:w="2380" w:type="pct"/>
            <w:gridSpan w:val="3"/>
            <w:shd w:val="clear" w:color="auto" w:fill="auto"/>
            <w:vAlign w:val="center"/>
          </w:tcPr>
          <w:p w:rsidR="00B74A5B" w:rsidRPr="00C41F2B" w:rsidRDefault="00B74A5B" w:rsidP="00BB732D">
            <w:pPr>
              <w:pStyle w:val="In-tableHeading"/>
              <w:jc w:val="center"/>
              <w:rPr>
                <w:lang w:val="en-AU"/>
              </w:rPr>
            </w:pPr>
            <w:r w:rsidRPr="00C41F2B">
              <w:rPr>
                <w:lang w:val="en-AU"/>
              </w:rPr>
              <w:t xml:space="preserve">Olaparib </w:t>
            </w:r>
            <w:r w:rsidR="004F687F" w:rsidRPr="00C41F2B">
              <w:rPr>
                <w:lang w:val="en-AU"/>
              </w:rPr>
              <w:t>1L</w:t>
            </w:r>
            <w:r w:rsidRPr="00C41F2B">
              <w:rPr>
                <w:lang w:val="en-AU"/>
              </w:rPr>
              <w:t xml:space="preserve"> </w:t>
            </w:r>
          </w:p>
        </w:tc>
        <w:tc>
          <w:tcPr>
            <w:tcW w:w="1615" w:type="pct"/>
            <w:gridSpan w:val="2"/>
            <w:shd w:val="clear" w:color="auto" w:fill="auto"/>
            <w:vAlign w:val="center"/>
          </w:tcPr>
          <w:p w:rsidR="00B74A5B" w:rsidRPr="00C41F2B" w:rsidRDefault="00B74A5B" w:rsidP="00CC3861">
            <w:pPr>
              <w:pStyle w:val="In-tableHeading"/>
              <w:jc w:val="center"/>
              <w:rPr>
                <w:lang w:val="en-AU"/>
              </w:rPr>
            </w:pPr>
            <w:r w:rsidRPr="00C41F2B">
              <w:rPr>
                <w:lang w:val="en-AU"/>
              </w:rPr>
              <w:t xml:space="preserve">Olaparib </w:t>
            </w:r>
            <w:r w:rsidR="004F687F" w:rsidRPr="00C41F2B">
              <w:rPr>
                <w:lang w:val="en-AU"/>
              </w:rPr>
              <w:t>2L</w:t>
            </w:r>
            <w:r w:rsidRPr="00C41F2B">
              <w:rPr>
                <w:lang w:val="en-AU"/>
              </w:rPr>
              <w:t xml:space="preserve"> (</w:t>
            </w:r>
            <w:r w:rsidR="000D4BF0" w:rsidRPr="00C41F2B">
              <w:rPr>
                <w:lang w:val="en-AU"/>
              </w:rPr>
              <w:t xml:space="preserve">as would be received in 51% of progressed patients in the </w:t>
            </w:r>
            <w:r w:rsidR="00CC3861" w:rsidRPr="00C41F2B">
              <w:rPr>
                <w:lang w:val="en-AU"/>
              </w:rPr>
              <w:t>1L</w:t>
            </w:r>
            <w:r w:rsidR="000D4BF0" w:rsidRPr="00C41F2B">
              <w:rPr>
                <w:lang w:val="en-AU"/>
              </w:rPr>
              <w:t xml:space="preserve"> comparator population)</w:t>
            </w:r>
            <w:r w:rsidRPr="00C41F2B">
              <w:rPr>
                <w:vertAlign w:val="superscript"/>
                <w:lang w:val="en-AU"/>
              </w:rPr>
              <w:t>a</w:t>
            </w:r>
          </w:p>
        </w:tc>
      </w:tr>
      <w:tr w:rsidR="00B74A5B" w:rsidRPr="00C41F2B" w:rsidTr="00B74A5B">
        <w:trPr>
          <w:cantSplit/>
          <w:tblHeader/>
          <w:jc w:val="center"/>
        </w:trPr>
        <w:tc>
          <w:tcPr>
            <w:tcW w:w="1005" w:type="pct"/>
            <w:vMerge/>
            <w:shd w:val="clear" w:color="auto" w:fill="auto"/>
            <w:vAlign w:val="center"/>
          </w:tcPr>
          <w:p w:rsidR="00B74A5B" w:rsidRPr="00C41F2B" w:rsidRDefault="00B74A5B" w:rsidP="00BB732D">
            <w:pPr>
              <w:pStyle w:val="In-tableHeading"/>
              <w:jc w:val="center"/>
              <w:rPr>
                <w:lang w:val="en-AU"/>
              </w:rPr>
            </w:pPr>
          </w:p>
        </w:tc>
        <w:tc>
          <w:tcPr>
            <w:tcW w:w="756" w:type="pct"/>
            <w:shd w:val="clear" w:color="auto" w:fill="auto"/>
            <w:vAlign w:val="center"/>
          </w:tcPr>
          <w:p w:rsidR="00B74A5B" w:rsidRPr="00C41F2B" w:rsidRDefault="00B74A5B" w:rsidP="00BB732D">
            <w:pPr>
              <w:pStyle w:val="In-tableHeading"/>
              <w:jc w:val="center"/>
              <w:rPr>
                <w:lang w:val="en-AU"/>
              </w:rPr>
            </w:pPr>
            <w:r w:rsidRPr="00C41F2B">
              <w:rPr>
                <w:lang w:val="en-AU"/>
              </w:rPr>
              <w:t xml:space="preserve">1L olaparib </w:t>
            </w:r>
          </w:p>
          <w:p w:rsidR="00B74A5B" w:rsidRPr="00C41F2B" w:rsidRDefault="00B74A5B" w:rsidP="00BB732D">
            <w:pPr>
              <w:pStyle w:val="In-tableHeading"/>
              <w:jc w:val="center"/>
              <w:rPr>
                <w:lang w:val="en-AU"/>
              </w:rPr>
            </w:pPr>
            <w:r w:rsidRPr="00C41F2B">
              <w:rPr>
                <w:lang w:val="en-AU"/>
              </w:rPr>
              <w:t>SOLO1 dose and duration</w:t>
            </w:r>
          </w:p>
        </w:tc>
        <w:tc>
          <w:tcPr>
            <w:tcW w:w="811" w:type="pct"/>
            <w:shd w:val="clear" w:color="auto" w:fill="auto"/>
            <w:vAlign w:val="center"/>
          </w:tcPr>
          <w:p w:rsidR="00B74A5B" w:rsidRPr="00C41F2B" w:rsidRDefault="00B74A5B" w:rsidP="00BB732D">
            <w:pPr>
              <w:pStyle w:val="In-tableHeading"/>
              <w:jc w:val="center"/>
              <w:rPr>
                <w:lang w:val="en-AU"/>
              </w:rPr>
            </w:pPr>
            <w:r w:rsidRPr="00C41F2B">
              <w:rPr>
                <w:lang w:val="en-AU"/>
              </w:rPr>
              <w:t>Proposed drug</w:t>
            </w:r>
          </w:p>
          <w:p w:rsidR="00B74A5B" w:rsidRPr="00C41F2B" w:rsidRDefault="00B74A5B" w:rsidP="00BB732D">
            <w:pPr>
              <w:pStyle w:val="In-tableHeading"/>
              <w:jc w:val="center"/>
              <w:rPr>
                <w:lang w:val="en-AU"/>
              </w:rPr>
            </w:pPr>
            <w:r w:rsidRPr="00C41F2B">
              <w:rPr>
                <w:lang w:val="en-AU"/>
              </w:rPr>
              <w:t>Model</w:t>
            </w:r>
          </w:p>
        </w:tc>
        <w:tc>
          <w:tcPr>
            <w:tcW w:w="813" w:type="pct"/>
            <w:shd w:val="clear" w:color="auto" w:fill="auto"/>
            <w:vAlign w:val="center"/>
          </w:tcPr>
          <w:p w:rsidR="00B74A5B" w:rsidRPr="00C41F2B" w:rsidRDefault="00B74A5B" w:rsidP="00BB732D">
            <w:pPr>
              <w:pStyle w:val="In-tableHeading"/>
              <w:jc w:val="center"/>
              <w:rPr>
                <w:lang w:val="en-AU"/>
              </w:rPr>
            </w:pPr>
            <w:r w:rsidRPr="00C41F2B">
              <w:rPr>
                <w:lang w:val="en-AU"/>
              </w:rPr>
              <w:t>Proposed drug</w:t>
            </w:r>
          </w:p>
          <w:p w:rsidR="00B74A5B" w:rsidRPr="00C41F2B" w:rsidRDefault="00B74A5B" w:rsidP="00BB732D">
            <w:pPr>
              <w:pStyle w:val="In-tableHeading"/>
              <w:jc w:val="center"/>
              <w:rPr>
                <w:lang w:val="en-AU"/>
              </w:rPr>
            </w:pPr>
            <w:r w:rsidRPr="00C41F2B">
              <w:rPr>
                <w:lang w:val="en-AU"/>
              </w:rPr>
              <w:t>Financial estimates</w:t>
            </w:r>
          </w:p>
        </w:tc>
        <w:tc>
          <w:tcPr>
            <w:tcW w:w="802" w:type="pct"/>
            <w:shd w:val="clear" w:color="auto" w:fill="auto"/>
            <w:vAlign w:val="center"/>
          </w:tcPr>
          <w:p w:rsidR="00B74A5B" w:rsidRPr="00C41F2B" w:rsidRDefault="00B74A5B" w:rsidP="00BB732D">
            <w:pPr>
              <w:pStyle w:val="In-tableHeading"/>
              <w:jc w:val="center"/>
              <w:rPr>
                <w:lang w:val="en-AU"/>
              </w:rPr>
            </w:pPr>
            <w:r w:rsidRPr="00C41F2B">
              <w:rPr>
                <w:lang w:val="en-AU"/>
              </w:rPr>
              <w:t>Comparator</w:t>
            </w:r>
          </w:p>
          <w:p w:rsidR="00B74A5B" w:rsidRPr="00C41F2B" w:rsidRDefault="00B74A5B" w:rsidP="00BB732D">
            <w:pPr>
              <w:pStyle w:val="In-tableHeading"/>
              <w:jc w:val="center"/>
              <w:rPr>
                <w:lang w:val="en-AU"/>
              </w:rPr>
            </w:pPr>
            <w:r w:rsidRPr="00C41F2B">
              <w:rPr>
                <w:lang w:val="en-AU"/>
              </w:rPr>
              <w:t>Model</w:t>
            </w:r>
          </w:p>
        </w:tc>
        <w:tc>
          <w:tcPr>
            <w:tcW w:w="813" w:type="pct"/>
          </w:tcPr>
          <w:p w:rsidR="00B74A5B" w:rsidRPr="00C41F2B" w:rsidRDefault="00B74A5B" w:rsidP="00BB732D">
            <w:pPr>
              <w:pStyle w:val="In-tableHeading"/>
              <w:jc w:val="center"/>
              <w:rPr>
                <w:lang w:val="en-AU"/>
              </w:rPr>
            </w:pPr>
            <w:r w:rsidRPr="00C41F2B">
              <w:rPr>
                <w:lang w:val="en-AU"/>
              </w:rPr>
              <w:t>Comparator</w:t>
            </w:r>
          </w:p>
          <w:p w:rsidR="00B74A5B" w:rsidRPr="00C41F2B" w:rsidRDefault="00B74A5B" w:rsidP="00BB732D">
            <w:pPr>
              <w:pStyle w:val="In-tableHeading"/>
              <w:jc w:val="center"/>
              <w:rPr>
                <w:lang w:val="en-AU"/>
              </w:rPr>
            </w:pPr>
            <w:r w:rsidRPr="00C41F2B">
              <w:rPr>
                <w:lang w:val="en-AU"/>
              </w:rPr>
              <w:t xml:space="preserve">Financial </w:t>
            </w:r>
            <w:proofErr w:type="spellStart"/>
            <w:r w:rsidRPr="00C41F2B">
              <w:rPr>
                <w:lang w:val="en-AU"/>
              </w:rPr>
              <w:t>estimates</w:t>
            </w:r>
            <w:r w:rsidR="00B92FDE" w:rsidRPr="00C41F2B">
              <w:rPr>
                <w:vertAlign w:val="superscript"/>
                <w:lang w:val="en-AU"/>
              </w:rPr>
              <w:t>g</w:t>
            </w:r>
            <w:proofErr w:type="spellEnd"/>
          </w:p>
        </w:tc>
      </w:tr>
      <w:tr w:rsidR="00B74A5B" w:rsidRPr="00C41F2B" w:rsidTr="00B74A5B">
        <w:trPr>
          <w:cantSplit/>
          <w:jc w:val="center"/>
        </w:trPr>
        <w:tc>
          <w:tcPr>
            <w:tcW w:w="1005" w:type="pct"/>
            <w:shd w:val="clear" w:color="auto" w:fill="auto"/>
            <w:vAlign w:val="center"/>
          </w:tcPr>
          <w:p w:rsidR="00B74A5B" w:rsidRPr="00C41F2B" w:rsidRDefault="00B74A5B" w:rsidP="00BB732D">
            <w:pPr>
              <w:pStyle w:val="TableText0"/>
              <w:rPr>
                <w:szCs w:val="20"/>
              </w:rPr>
            </w:pPr>
            <w:r w:rsidRPr="00C41F2B">
              <w:rPr>
                <w:szCs w:val="20"/>
              </w:rPr>
              <w:t>Mean dose (mg/day)</w:t>
            </w:r>
          </w:p>
        </w:tc>
        <w:tc>
          <w:tcPr>
            <w:tcW w:w="756" w:type="pct"/>
            <w:shd w:val="clear" w:color="auto" w:fill="auto"/>
            <w:vAlign w:val="center"/>
          </w:tcPr>
          <w:p w:rsidR="00B74A5B" w:rsidRPr="00C41F2B" w:rsidRDefault="00B74A5B" w:rsidP="00A768D8">
            <w:pPr>
              <w:pStyle w:val="TableText0"/>
              <w:jc w:val="center"/>
              <w:rPr>
                <w:rFonts w:cs="Times New Roman"/>
                <w:szCs w:val="20"/>
              </w:rPr>
            </w:pPr>
            <w:r w:rsidRPr="00C41F2B">
              <w:rPr>
                <w:rFonts w:cs="Times New Roman"/>
                <w:szCs w:val="20"/>
              </w:rPr>
              <w:t>558.80</w:t>
            </w:r>
          </w:p>
        </w:tc>
        <w:tc>
          <w:tcPr>
            <w:tcW w:w="811" w:type="pct"/>
            <w:shd w:val="clear" w:color="auto" w:fill="auto"/>
            <w:vAlign w:val="center"/>
          </w:tcPr>
          <w:p w:rsidR="00B74A5B" w:rsidRPr="00C41F2B" w:rsidRDefault="00B74A5B" w:rsidP="00A768D8">
            <w:pPr>
              <w:pStyle w:val="TableText0"/>
              <w:jc w:val="center"/>
              <w:rPr>
                <w:rFonts w:cs="Times New Roman"/>
                <w:szCs w:val="20"/>
              </w:rPr>
            </w:pPr>
            <w:r w:rsidRPr="00C41F2B">
              <w:rPr>
                <w:rFonts w:cs="Times New Roman"/>
                <w:szCs w:val="20"/>
              </w:rPr>
              <w:t>558.80</w:t>
            </w:r>
            <w:r w:rsidRPr="00C41F2B">
              <w:rPr>
                <w:rFonts w:cs="Times New Roman"/>
                <w:szCs w:val="20"/>
                <w:vertAlign w:val="superscript"/>
              </w:rPr>
              <w:t>b</w:t>
            </w:r>
          </w:p>
        </w:tc>
        <w:tc>
          <w:tcPr>
            <w:tcW w:w="813" w:type="pct"/>
            <w:shd w:val="clear" w:color="auto" w:fill="auto"/>
            <w:vAlign w:val="center"/>
          </w:tcPr>
          <w:p w:rsidR="00B74A5B" w:rsidRPr="00C41F2B" w:rsidRDefault="00B74A5B" w:rsidP="00A768D8">
            <w:pPr>
              <w:pStyle w:val="TableText0"/>
              <w:jc w:val="center"/>
              <w:rPr>
                <w:rFonts w:cs="Times New Roman"/>
              </w:rPr>
            </w:pPr>
            <w:r w:rsidRPr="00C41F2B">
              <w:rPr>
                <w:rFonts w:cs="Times New Roman"/>
                <w:szCs w:val="20"/>
              </w:rPr>
              <w:t>558.80</w:t>
            </w:r>
          </w:p>
        </w:tc>
        <w:tc>
          <w:tcPr>
            <w:tcW w:w="802" w:type="pct"/>
            <w:shd w:val="clear" w:color="auto" w:fill="auto"/>
            <w:vAlign w:val="center"/>
          </w:tcPr>
          <w:p w:rsidR="00B74A5B" w:rsidRPr="00C41F2B" w:rsidRDefault="00B74A5B" w:rsidP="004142FA">
            <w:pPr>
              <w:pStyle w:val="TableText0"/>
              <w:jc w:val="center"/>
              <w:rPr>
                <w:rFonts w:cs="Times New Roman"/>
                <w:szCs w:val="20"/>
              </w:rPr>
            </w:pPr>
            <w:r w:rsidRPr="00C41F2B">
              <w:rPr>
                <w:rFonts w:cs="Times New Roman"/>
                <w:szCs w:val="20"/>
              </w:rPr>
              <w:t>568.</w:t>
            </w:r>
            <w:r w:rsidR="004142FA" w:rsidRPr="00C41F2B">
              <w:rPr>
                <w:rFonts w:cs="Times New Roman"/>
                <w:szCs w:val="20"/>
              </w:rPr>
              <w:t>2</w:t>
            </w:r>
            <w:r w:rsidR="004142FA" w:rsidRPr="00C41F2B">
              <w:rPr>
                <w:rFonts w:cs="Times New Roman"/>
                <w:szCs w:val="20"/>
                <w:vertAlign w:val="superscript"/>
              </w:rPr>
              <w:t>a</w:t>
            </w:r>
          </w:p>
        </w:tc>
        <w:tc>
          <w:tcPr>
            <w:tcW w:w="813" w:type="pct"/>
            <w:vAlign w:val="center"/>
          </w:tcPr>
          <w:p w:rsidR="00B74A5B" w:rsidRPr="00C41F2B" w:rsidRDefault="00B74A5B" w:rsidP="00A768D8">
            <w:pPr>
              <w:pStyle w:val="TableText0"/>
              <w:jc w:val="center"/>
              <w:rPr>
                <w:rFonts w:cs="Times New Roman"/>
              </w:rPr>
            </w:pPr>
            <w:r w:rsidRPr="00C41F2B">
              <w:rPr>
                <w:rFonts w:cs="Times New Roman"/>
              </w:rPr>
              <w:t>NR</w:t>
            </w:r>
          </w:p>
        </w:tc>
      </w:tr>
      <w:tr w:rsidR="00B74A5B" w:rsidRPr="00C41F2B" w:rsidTr="00B74A5B">
        <w:trPr>
          <w:cantSplit/>
          <w:jc w:val="center"/>
        </w:trPr>
        <w:tc>
          <w:tcPr>
            <w:tcW w:w="1005" w:type="pct"/>
            <w:tcBorders>
              <w:bottom w:val="nil"/>
            </w:tcBorders>
            <w:shd w:val="clear" w:color="auto" w:fill="auto"/>
            <w:vAlign w:val="center"/>
          </w:tcPr>
          <w:p w:rsidR="00B74A5B" w:rsidRPr="00C41F2B" w:rsidRDefault="00B74A5B" w:rsidP="00BB732D">
            <w:pPr>
              <w:pStyle w:val="TableText0"/>
              <w:rPr>
                <w:szCs w:val="20"/>
              </w:rPr>
            </w:pPr>
            <w:r w:rsidRPr="00C41F2B">
              <w:rPr>
                <w:szCs w:val="20"/>
              </w:rPr>
              <w:t>Mean duration (months)</w:t>
            </w:r>
          </w:p>
        </w:tc>
        <w:tc>
          <w:tcPr>
            <w:tcW w:w="756" w:type="pct"/>
            <w:tcBorders>
              <w:bottom w:val="nil"/>
            </w:tcBorders>
            <w:shd w:val="clear" w:color="auto" w:fill="auto"/>
            <w:vAlign w:val="center"/>
          </w:tcPr>
          <w:p w:rsidR="00B74A5B" w:rsidRPr="00C41F2B" w:rsidRDefault="00B74A5B" w:rsidP="00A768D8">
            <w:pPr>
              <w:pStyle w:val="TableText0"/>
              <w:jc w:val="center"/>
              <w:rPr>
                <w:rFonts w:cs="Times New Roman"/>
              </w:rPr>
            </w:pPr>
            <w:r w:rsidRPr="00C41F2B">
              <w:rPr>
                <w:rFonts w:cs="Times New Roman"/>
              </w:rPr>
              <w:t>20.65</w:t>
            </w:r>
          </w:p>
        </w:tc>
        <w:tc>
          <w:tcPr>
            <w:tcW w:w="811" w:type="pct"/>
            <w:tcBorders>
              <w:bottom w:val="nil"/>
            </w:tcBorders>
            <w:shd w:val="clear" w:color="auto" w:fill="auto"/>
            <w:vAlign w:val="center"/>
          </w:tcPr>
          <w:p w:rsidR="00B74A5B" w:rsidRPr="00C41F2B" w:rsidRDefault="00B74A5B" w:rsidP="00A768D8">
            <w:pPr>
              <w:pStyle w:val="TableText0"/>
              <w:jc w:val="center"/>
              <w:rPr>
                <w:rFonts w:cs="Times New Roman"/>
                <w:szCs w:val="20"/>
              </w:rPr>
            </w:pPr>
            <w:r w:rsidRPr="00C41F2B">
              <w:rPr>
                <w:rFonts w:cs="Times New Roman"/>
                <w:szCs w:val="20"/>
              </w:rPr>
              <w:t>20.04</w:t>
            </w:r>
            <w:r w:rsidR="004142FA" w:rsidRPr="00C41F2B">
              <w:rPr>
                <w:rFonts w:cs="Times New Roman"/>
                <w:szCs w:val="20"/>
                <w:vertAlign w:val="superscript"/>
              </w:rPr>
              <w:t>c</w:t>
            </w:r>
          </w:p>
        </w:tc>
        <w:tc>
          <w:tcPr>
            <w:tcW w:w="813" w:type="pct"/>
            <w:tcBorders>
              <w:bottom w:val="nil"/>
            </w:tcBorders>
            <w:shd w:val="clear" w:color="auto" w:fill="auto"/>
            <w:vAlign w:val="center"/>
          </w:tcPr>
          <w:p w:rsidR="00B74A5B" w:rsidRPr="00C41F2B" w:rsidRDefault="00B74A5B" w:rsidP="00707C21">
            <w:pPr>
              <w:pStyle w:val="TableText0"/>
              <w:jc w:val="center"/>
              <w:rPr>
                <w:rFonts w:cs="Times New Roman"/>
              </w:rPr>
            </w:pPr>
            <w:r w:rsidRPr="00C41F2B">
              <w:rPr>
                <w:rFonts w:cs="Times New Roman"/>
              </w:rPr>
              <w:t>20.65</w:t>
            </w:r>
            <w:r w:rsidR="004142FA" w:rsidRPr="00C41F2B">
              <w:rPr>
                <w:rFonts w:cs="Times New Roman"/>
                <w:vertAlign w:val="superscript"/>
              </w:rPr>
              <w:t>b</w:t>
            </w:r>
          </w:p>
        </w:tc>
        <w:tc>
          <w:tcPr>
            <w:tcW w:w="802" w:type="pct"/>
            <w:tcBorders>
              <w:bottom w:val="nil"/>
            </w:tcBorders>
            <w:shd w:val="clear" w:color="auto" w:fill="auto"/>
            <w:vAlign w:val="center"/>
          </w:tcPr>
          <w:p w:rsidR="00B74A5B" w:rsidRPr="00C41F2B" w:rsidRDefault="00B74A5B" w:rsidP="00A768D8">
            <w:pPr>
              <w:pStyle w:val="TableText0"/>
              <w:jc w:val="center"/>
              <w:rPr>
                <w:rFonts w:cs="Times New Roman"/>
                <w:szCs w:val="20"/>
              </w:rPr>
            </w:pPr>
            <w:r w:rsidRPr="00C41F2B">
              <w:rPr>
                <w:rFonts w:cs="Times New Roman"/>
                <w:szCs w:val="20"/>
              </w:rPr>
              <w:t>21.52</w:t>
            </w:r>
            <w:r w:rsidR="004142FA" w:rsidRPr="00C41F2B">
              <w:rPr>
                <w:rFonts w:cs="Times New Roman"/>
                <w:szCs w:val="20"/>
                <w:vertAlign w:val="superscript"/>
              </w:rPr>
              <w:t>d</w:t>
            </w:r>
          </w:p>
        </w:tc>
        <w:tc>
          <w:tcPr>
            <w:tcW w:w="813" w:type="pct"/>
            <w:tcBorders>
              <w:bottom w:val="nil"/>
            </w:tcBorders>
            <w:vAlign w:val="center"/>
          </w:tcPr>
          <w:p w:rsidR="00B74A5B" w:rsidRPr="00C41F2B" w:rsidRDefault="00B74A5B" w:rsidP="00A768D8">
            <w:pPr>
              <w:pStyle w:val="TableText0"/>
              <w:jc w:val="center"/>
              <w:rPr>
                <w:rFonts w:cs="Times New Roman"/>
              </w:rPr>
            </w:pPr>
            <w:r w:rsidRPr="00C41F2B">
              <w:rPr>
                <w:rFonts w:cs="Times New Roman"/>
              </w:rPr>
              <w:t>NR</w:t>
            </w:r>
          </w:p>
        </w:tc>
      </w:tr>
      <w:tr w:rsidR="00B74A5B" w:rsidRPr="00C41F2B" w:rsidTr="00B74A5B">
        <w:trPr>
          <w:cantSplit/>
          <w:jc w:val="center"/>
        </w:trPr>
        <w:tc>
          <w:tcPr>
            <w:tcW w:w="1005" w:type="pct"/>
            <w:tcBorders>
              <w:bottom w:val="nil"/>
            </w:tcBorders>
            <w:shd w:val="clear" w:color="auto" w:fill="auto"/>
            <w:vAlign w:val="center"/>
          </w:tcPr>
          <w:p w:rsidR="00B74A5B" w:rsidRPr="00C41F2B" w:rsidRDefault="00B74A5B" w:rsidP="00BB732D">
            <w:pPr>
              <w:pStyle w:val="TableText0"/>
              <w:rPr>
                <w:szCs w:val="20"/>
              </w:rPr>
            </w:pPr>
            <w:r w:rsidRPr="00C41F2B">
              <w:rPr>
                <w:szCs w:val="20"/>
              </w:rPr>
              <w:t>Cost/patient/month</w:t>
            </w:r>
          </w:p>
        </w:tc>
        <w:tc>
          <w:tcPr>
            <w:tcW w:w="756" w:type="pct"/>
            <w:tcBorders>
              <w:bottom w:val="nil"/>
            </w:tcBorders>
            <w:shd w:val="clear" w:color="auto" w:fill="auto"/>
            <w:vAlign w:val="center"/>
          </w:tcPr>
          <w:p w:rsidR="00B74A5B" w:rsidRPr="00C41F2B" w:rsidRDefault="00B74A5B" w:rsidP="00A768D8">
            <w:pPr>
              <w:pStyle w:val="TableText0"/>
              <w:jc w:val="center"/>
              <w:rPr>
                <w:rFonts w:cs="Times New Roman"/>
              </w:rPr>
            </w:pPr>
            <w:r w:rsidRPr="00C41F2B">
              <w:rPr>
                <w:rFonts w:cs="Times New Roman"/>
              </w:rPr>
              <w:t>NR</w:t>
            </w:r>
          </w:p>
        </w:tc>
        <w:tc>
          <w:tcPr>
            <w:tcW w:w="811" w:type="pct"/>
            <w:tcBorders>
              <w:bottom w:val="nil"/>
            </w:tcBorders>
            <w:shd w:val="clear" w:color="auto" w:fill="auto"/>
            <w:vAlign w:val="center"/>
          </w:tcPr>
          <w:p w:rsidR="00B74A5B" w:rsidRPr="00C41F2B" w:rsidRDefault="00B74A5B" w:rsidP="00A768D8">
            <w:pPr>
              <w:pStyle w:val="TableText0"/>
              <w:jc w:val="center"/>
              <w:rPr>
                <w:rFonts w:cs="Times New Roman"/>
                <w:szCs w:val="20"/>
              </w:rPr>
            </w:pPr>
            <w:r w:rsidRPr="00C41F2B">
              <w:rPr>
                <w:rFonts w:cs="Times New Roman"/>
                <w:szCs w:val="20"/>
              </w:rPr>
              <w:t>$</w:t>
            </w:r>
            <w:r w:rsidR="00E9713A">
              <w:rPr>
                <w:rFonts w:cs="Times New Roman"/>
                <w:noProof/>
                <w:color w:val="000000"/>
                <w:szCs w:val="20"/>
                <w:highlight w:val="black"/>
              </w:rPr>
              <w:t>''''''''''''''''''''</w:t>
            </w:r>
          </w:p>
        </w:tc>
        <w:tc>
          <w:tcPr>
            <w:tcW w:w="813" w:type="pct"/>
            <w:tcBorders>
              <w:bottom w:val="nil"/>
            </w:tcBorders>
            <w:shd w:val="clear" w:color="auto" w:fill="auto"/>
            <w:vAlign w:val="center"/>
          </w:tcPr>
          <w:p w:rsidR="00B74A5B" w:rsidRPr="00C41F2B" w:rsidRDefault="00B74A5B" w:rsidP="00A768D8">
            <w:pPr>
              <w:pStyle w:val="TableText0"/>
              <w:jc w:val="center"/>
              <w:rPr>
                <w:rFonts w:cs="Times New Roman"/>
                <w:iCs/>
              </w:rPr>
            </w:pPr>
            <w:r w:rsidRPr="00C41F2B">
              <w:rPr>
                <w:rFonts w:cs="Times New Roman"/>
                <w:iCs/>
              </w:rPr>
              <w:t>$</w:t>
            </w:r>
            <w:r w:rsidR="00E9713A">
              <w:rPr>
                <w:rFonts w:cs="Times New Roman"/>
                <w:iCs/>
                <w:noProof/>
                <w:color w:val="000000"/>
                <w:highlight w:val="black"/>
              </w:rPr>
              <w:t>'''''''''''''''''''''</w:t>
            </w:r>
          </w:p>
        </w:tc>
        <w:tc>
          <w:tcPr>
            <w:tcW w:w="802" w:type="pct"/>
            <w:tcBorders>
              <w:bottom w:val="nil"/>
            </w:tcBorders>
            <w:shd w:val="clear" w:color="auto" w:fill="auto"/>
            <w:vAlign w:val="center"/>
          </w:tcPr>
          <w:p w:rsidR="00B74A5B" w:rsidRPr="00C41F2B" w:rsidRDefault="00B74A5B" w:rsidP="00A768D8">
            <w:pPr>
              <w:jc w:val="center"/>
              <w:rPr>
                <w:rFonts w:ascii="Arial Narrow" w:eastAsiaTheme="majorEastAsia" w:hAnsi="Arial Narrow"/>
                <w:bCs/>
                <w:sz w:val="20"/>
                <w:lang w:eastAsia="en-AU"/>
              </w:rPr>
            </w:pPr>
            <w:r w:rsidRPr="00C41F2B">
              <w:rPr>
                <w:rFonts w:ascii="Arial Narrow" w:eastAsiaTheme="majorEastAsia" w:hAnsi="Arial Narrow"/>
                <w:bCs/>
                <w:sz w:val="20"/>
                <w:lang w:eastAsia="en-AU"/>
              </w:rPr>
              <w:t>$</w:t>
            </w:r>
            <w:r w:rsidR="00E9713A">
              <w:rPr>
                <w:rFonts w:ascii="Arial Narrow" w:eastAsiaTheme="majorEastAsia" w:hAnsi="Arial Narrow"/>
                <w:bCs/>
                <w:noProof/>
                <w:color w:val="000000"/>
                <w:sz w:val="20"/>
                <w:highlight w:val="black"/>
                <w:lang w:eastAsia="en-AU"/>
              </w:rPr>
              <w:t>''''''''''''''''''''''</w:t>
            </w:r>
          </w:p>
        </w:tc>
        <w:tc>
          <w:tcPr>
            <w:tcW w:w="813" w:type="pct"/>
            <w:tcBorders>
              <w:bottom w:val="nil"/>
            </w:tcBorders>
            <w:vAlign w:val="center"/>
          </w:tcPr>
          <w:p w:rsidR="00B74A5B" w:rsidRPr="00C41F2B" w:rsidRDefault="00B74A5B" w:rsidP="00A768D8">
            <w:pPr>
              <w:pStyle w:val="TableText0"/>
              <w:jc w:val="center"/>
              <w:rPr>
                <w:rFonts w:cs="Times New Roman"/>
              </w:rPr>
            </w:pPr>
            <w:r w:rsidRPr="00C41F2B">
              <w:rPr>
                <w:rFonts w:cs="Times New Roman"/>
              </w:rPr>
              <w:t>NR</w:t>
            </w:r>
          </w:p>
        </w:tc>
      </w:tr>
      <w:tr w:rsidR="00B74A5B" w:rsidRPr="00C41F2B" w:rsidTr="00B74A5B">
        <w:trPr>
          <w:cantSplit/>
          <w:jc w:val="center"/>
        </w:trPr>
        <w:tc>
          <w:tcPr>
            <w:tcW w:w="1005" w:type="pct"/>
            <w:tcBorders>
              <w:top w:val="nil"/>
            </w:tcBorders>
            <w:shd w:val="clear" w:color="auto" w:fill="auto"/>
            <w:vAlign w:val="center"/>
          </w:tcPr>
          <w:p w:rsidR="00B74A5B" w:rsidRPr="00C41F2B" w:rsidRDefault="00B74A5B" w:rsidP="00667A6F">
            <w:pPr>
              <w:pStyle w:val="TableText0"/>
              <w:rPr>
                <w:iCs/>
                <w:szCs w:val="20"/>
              </w:rPr>
            </w:pPr>
            <w:r w:rsidRPr="00C41F2B">
              <w:rPr>
                <w:iCs/>
                <w:szCs w:val="20"/>
              </w:rPr>
              <w:t>Revised</w:t>
            </w:r>
          </w:p>
        </w:tc>
        <w:tc>
          <w:tcPr>
            <w:tcW w:w="756" w:type="pct"/>
            <w:tcBorders>
              <w:top w:val="nil"/>
            </w:tcBorders>
            <w:shd w:val="clear" w:color="auto" w:fill="auto"/>
            <w:vAlign w:val="center"/>
          </w:tcPr>
          <w:p w:rsidR="00B74A5B" w:rsidRPr="00C41F2B" w:rsidRDefault="00B74A5B" w:rsidP="00667A6F">
            <w:pPr>
              <w:pStyle w:val="TableText0"/>
              <w:jc w:val="center"/>
              <w:rPr>
                <w:rFonts w:cs="Times New Roman"/>
                <w:iCs/>
              </w:rPr>
            </w:pPr>
          </w:p>
        </w:tc>
        <w:tc>
          <w:tcPr>
            <w:tcW w:w="811" w:type="pct"/>
            <w:tcBorders>
              <w:top w:val="nil"/>
            </w:tcBorders>
            <w:shd w:val="clear" w:color="auto" w:fill="auto"/>
            <w:vAlign w:val="center"/>
          </w:tcPr>
          <w:p w:rsidR="00B74A5B" w:rsidRPr="00C41F2B" w:rsidRDefault="00B74A5B" w:rsidP="00667A6F">
            <w:pPr>
              <w:pStyle w:val="TableText0"/>
              <w:jc w:val="center"/>
              <w:rPr>
                <w:rFonts w:cs="Times New Roman"/>
                <w:iCs/>
                <w:szCs w:val="20"/>
              </w:rPr>
            </w:pPr>
            <w:r w:rsidRPr="00C41F2B">
              <w:rPr>
                <w:rFonts w:cs="Times New Roman"/>
                <w:iCs/>
                <w:szCs w:val="20"/>
              </w:rPr>
              <w:t>$</w:t>
            </w:r>
            <w:r w:rsidR="00E9713A">
              <w:rPr>
                <w:rFonts w:cs="Times New Roman"/>
                <w:iCs/>
                <w:noProof/>
                <w:color w:val="000000"/>
                <w:szCs w:val="20"/>
                <w:highlight w:val="black"/>
              </w:rPr>
              <w:t>'''''''''''''''''''''''</w:t>
            </w:r>
            <w:r w:rsidR="004142FA" w:rsidRPr="00C41F2B">
              <w:rPr>
                <w:rFonts w:cs="Times New Roman"/>
                <w:iCs/>
                <w:szCs w:val="20"/>
                <w:vertAlign w:val="superscript"/>
              </w:rPr>
              <w:t>e</w:t>
            </w:r>
          </w:p>
        </w:tc>
        <w:tc>
          <w:tcPr>
            <w:tcW w:w="813" w:type="pct"/>
            <w:tcBorders>
              <w:top w:val="nil"/>
            </w:tcBorders>
            <w:shd w:val="clear" w:color="auto" w:fill="auto"/>
            <w:vAlign w:val="center"/>
          </w:tcPr>
          <w:p w:rsidR="00B74A5B" w:rsidRPr="00C41F2B" w:rsidRDefault="00B74A5B" w:rsidP="00667A6F">
            <w:pPr>
              <w:pStyle w:val="TableText0"/>
              <w:jc w:val="center"/>
              <w:rPr>
                <w:rFonts w:cs="Times New Roman"/>
                <w:iCs/>
              </w:rPr>
            </w:pPr>
            <w:r w:rsidRPr="00C41F2B">
              <w:rPr>
                <w:rFonts w:cs="Times New Roman"/>
                <w:iCs/>
                <w:szCs w:val="20"/>
              </w:rPr>
              <w:t>$</w:t>
            </w:r>
            <w:r w:rsidR="00E9713A">
              <w:rPr>
                <w:rFonts w:cs="Times New Roman"/>
                <w:iCs/>
                <w:noProof/>
                <w:color w:val="000000"/>
                <w:szCs w:val="20"/>
                <w:highlight w:val="black"/>
              </w:rPr>
              <w:t>'''''''''''''''''''''</w:t>
            </w:r>
            <w:r w:rsidR="004142FA" w:rsidRPr="00C41F2B">
              <w:rPr>
                <w:rFonts w:cs="Times New Roman"/>
                <w:iCs/>
                <w:szCs w:val="20"/>
                <w:vertAlign w:val="superscript"/>
              </w:rPr>
              <w:t>f</w:t>
            </w:r>
          </w:p>
        </w:tc>
        <w:tc>
          <w:tcPr>
            <w:tcW w:w="802" w:type="pct"/>
            <w:tcBorders>
              <w:top w:val="nil"/>
            </w:tcBorders>
            <w:shd w:val="clear" w:color="auto" w:fill="auto"/>
            <w:vAlign w:val="center"/>
          </w:tcPr>
          <w:p w:rsidR="00B74A5B" w:rsidRPr="00C41F2B" w:rsidRDefault="00B74A5B" w:rsidP="00B92FDE">
            <w:pPr>
              <w:pStyle w:val="TableText0"/>
              <w:jc w:val="center"/>
              <w:rPr>
                <w:rFonts w:cs="Times New Roman"/>
                <w:iCs/>
                <w:szCs w:val="20"/>
              </w:rPr>
            </w:pPr>
            <w:r w:rsidRPr="00C41F2B">
              <w:rPr>
                <w:rFonts w:cs="Times New Roman"/>
                <w:iCs/>
                <w:szCs w:val="20"/>
              </w:rPr>
              <w:t>$</w:t>
            </w:r>
            <w:r w:rsidR="00E9713A">
              <w:rPr>
                <w:rFonts w:cs="Times New Roman"/>
                <w:iCs/>
                <w:noProof/>
                <w:color w:val="000000"/>
                <w:szCs w:val="20"/>
                <w:highlight w:val="black"/>
              </w:rPr>
              <w:t>'''''''''''''''''''</w:t>
            </w:r>
            <w:r w:rsidR="00B92FDE" w:rsidRPr="00C41F2B">
              <w:rPr>
                <w:rFonts w:cs="Times New Roman"/>
                <w:iCs/>
                <w:szCs w:val="20"/>
                <w:vertAlign w:val="superscript"/>
              </w:rPr>
              <w:t>e</w:t>
            </w:r>
          </w:p>
        </w:tc>
        <w:tc>
          <w:tcPr>
            <w:tcW w:w="813" w:type="pct"/>
            <w:tcBorders>
              <w:top w:val="nil"/>
            </w:tcBorders>
            <w:vAlign w:val="center"/>
          </w:tcPr>
          <w:p w:rsidR="00B74A5B" w:rsidRPr="00C41F2B" w:rsidRDefault="00B74A5B" w:rsidP="00667A6F">
            <w:pPr>
              <w:pStyle w:val="TableText0"/>
              <w:jc w:val="center"/>
              <w:rPr>
                <w:rFonts w:cs="Times New Roman"/>
                <w:i/>
                <w:iCs/>
              </w:rPr>
            </w:pPr>
          </w:p>
        </w:tc>
      </w:tr>
      <w:tr w:rsidR="00B74A5B" w:rsidRPr="00C41F2B" w:rsidTr="00B74A5B">
        <w:trPr>
          <w:cantSplit/>
          <w:jc w:val="center"/>
        </w:trPr>
        <w:tc>
          <w:tcPr>
            <w:tcW w:w="1005" w:type="pct"/>
            <w:tcBorders>
              <w:bottom w:val="nil"/>
            </w:tcBorders>
            <w:shd w:val="clear" w:color="auto" w:fill="auto"/>
            <w:vAlign w:val="center"/>
          </w:tcPr>
          <w:p w:rsidR="00B74A5B" w:rsidRPr="00C41F2B" w:rsidRDefault="00B74A5B" w:rsidP="00667A6F">
            <w:pPr>
              <w:pStyle w:val="TableText0"/>
              <w:rPr>
                <w:szCs w:val="20"/>
              </w:rPr>
            </w:pPr>
            <w:r w:rsidRPr="00C41F2B">
              <w:rPr>
                <w:szCs w:val="20"/>
              </w:rPr>
              <w:t>Cost/patient/course</w:t>
            </w:r>
          </w:p>
        </w:tc>
        <w:tc>
          <w:tcPr>
            <w:tcW w:w="756" w:type="pct"/>
            <w:tcBorders>
              <w:bottom w:val="nil"/>
            </w:tcBorders>
            <w:shd w:val="clear" w:color="auto" w:fill="auto"/>
            <w:vAlign w:val="center"/>
          </w:tcPr>
          <w:p w:rsidR="00B74A5B" w:rsidRPr="00C41F2B" w:rsidRDefault="00B74A5B" w:rsidP="00667A6F">
            <w:pPr>
              <w:pStyle w:val="TableText0"/>
              <w:jc w:val="center"/>
              <w:rPr>
                <w:rFonts w:cs="Times New Roman"/>
              </w:rPr>
            </w:pPr>
            <w:r w:rsidRPr="00C41F2B">
              <w:rPr>
                <w:rFonts w:cs="Times New Roman"/>
              </w:rPr>
              <w:t>NR</w:t>
            </w:r>
          </w:p>
        </w:tc>
        <w:tc>
          <w:tcPr>
            <w:tcW w:w="811" w:type="pct"/>
            <w:tcBorders>
              <w:bottom w:val="nil"/>
            </w:tcBorders>
            <w:shd w:val="clear" w:color="auto" w:fill="auto"/>
            <w:vAlign w:val="center"/>
          </w:tcPr>
          <w:p w:rsidR="00B74A5B" w:rsidRPr="00C41F2B" w:rsidRDefault="00B74A5B" w:rsidP="00667A6F">
            <w:pPr>
              <w:pStyle w:val="TableText0"/>
              <w:jc w:val="center"/>
              <w:rPr>
                <w:rFonts w:cs="Times New Roman"/>
                <w:szCs w:val="20"/>
              </w:rPr>
            </w:pPr>
            <w:r w:rsidRPr="00C41F2B">
              <w:rPr>
                <w:rFonts w:cs="Times New Roman"/>
                <w:szCs w:val="20"/>
              </w:rPr>
              <w:t>$</w:t>
            </w:r>
            <w:r w:rsidR="00E9713A">
              <w:rPr>
                <w:rFonts w:cs="Times New Roman"/>
                <w:noProof/>
                <w:color w:val="000000"/>
                <w:szCs w:val="20"/>
                <w:highlight w:val="black"/>
              </w:rPr>
              <w:t>''''''''''''''''''</w:t>
            </w:r>
          </w:p>
        </w:tc>
        <w:tc>
          <w:tcPr>
            <w:tcW w:w="813" w:type="pct"/>
            <w:tcBorders>
              <w:bottom w:val="nil"/>
            </w:tcBorders>
            <w:shd w:val="clear" w:color="auto" w:fill="auto"/>
            <w:vAlign w:val="center"/>
          </w:tcPr>
          <w:p w:rsidR="00B74A5B" w:rsidRPr="00C41F2B" w:rsidRDefault="00B74A5B" w:rsidP="00667A6F">
            <w:pPr>
              <w:pStyle w:val="TableText0"/>
              <w:jc w:val="center"/>
              <w:rPr>
                <w:rFonts w:cs="Times New Roman"/>
              </w:rPr>
            </w:pPr>
            <w:r w:rsidRPr="00C41F2B">
              <w:rPr>
                <w:rFonts w:cs="Times New Roman"/>
              </w:rPr>
              <w:t>$</w:t>
            </w:r>
            <w:r w:rsidR="00E9713A">
              <w:rPr>
                <w:rFonts w:cs="Times New Roman"/>
                <w:noProof/>
                <w:color w:val="000000"/>
                <w:highlight w:val="black"/>
              </w:rPr>
              <w:t>''''''''''''''''''''</w:t>
            </w:r>
          </w:p>
        </w:tc>
        <w:tc>
          <w:tcPr>
            <w:tcW w:w="802" w:type="pct"/>
            <w:tcBorders>
              <w:bottom w:val="nil"/>
            </w:tcBorders>
            <w:shd w:val="clear" w:color="auto" w:fill="auto"/>
            <w:vAlign w:val="center"/>
          </w:tcPr>
          <w:p w:rsidR="00B74A5B" w:rsidRPr="00C41F2B" w:rsidRDefault="00B74A5B" w:rsidP="00667A6F">
            <w:pPr>
              <w:pStyle w:val="TableText0"/>
              <w:jc w:val="center"/>
              <w:rPr>
                <w:rFonts w:cs="Times New Roman"/>
                <w:szCs w:val="20"/>
              </w:rPr>
            </w:pPr>
            <w:r w:rsidRPr="00C41F2B">
              <w:rPr>
                <w:rFonts w:cs="Times New Roman"/>
                <w:szCs w:val="20"/>
              </w:rPr>
              <w:t>$</w:t>
            </w:r>
            <w:r w:rsidR="00E9713A">
              <w:rPr>
                <w:rFonts w:cs="Times New Roman"/>
                <w:noProof/>
                <w:color w:val="000000"/>
                <w:szCs w:val="20"/>
                <w:highlight w:val="black"/>
              </w:rPr>
              <w:t>''''''''''''''''''''</w:t>
            </w:r>
          </w:p>
        </w:tc>
        <w:tc>
          <w:tcPr>
            <w:tcW w:w="813" w:type="pct"/>
            <w:tcBorders>
              <w:bottom w:val="nil"/>
            </w:tcBorders>
            <w:vAlign w:val="center"/>
          </w:tcPr>
          <w:p w:rsidR="00B74A5B" w:rsidRPr="00C41F2B" w:rsidRDefault="00B74A5B" w:rsidP="00667A6F">
            <w:pPr>
              <w:pStyle w:val="TableText0"/>
              <w:jc w:val="center"/>
              <w:rPr>
                <w:rFonts w:cs="Times New Roman"/>
              </w:rPr>
            </w:pPr>
            <w:r w:rsidRPr="00C41F2B">
              <w:rPr>
                <w:rFonts w:cs="Times New Roman"/>
              </w:rPr>
              <w:t>NR</w:t>
            </w:r>
          </w:p>
        </w:tc>
      </w:tr>
      <w:tr w:rsidR="00B74A5B" w:rsidRPr="00C41F2B" w:rsidTr="00B74A5B">
        <w:trPr>
          <w:cantSplit/>
          <w:jc w:val="center"/>
        </w:trPr>
        <w:tc>
          <w:tcPr>
            <w:tcW w:w="1005" w:type="pct"/>
            <w:tcBorders>
              <w:top w:val="nil"/>
            </w:tcBorders>
            <w:shd w:val="clear" w:color="auto" w:fill="auto"/>
            <w:vAlign w:val="center"/>
          </w:tcPr>
          <w:p w:rsidR="00B74A5B" w:rsidRPr="00C41F2B" w:rsidRDefault="00B74A5B" w:rsidP="00667A6F">
            <w:pPr>
              <w:pStyle w:val="TableText0"/>
              <w:rPr>
                <w:iCs/>
                <w:szCs w:val="20"/>
              </w:rPr>
            </w:pPr>
            <w:r w:rsidRPr="00C41F2B">
              <w:rPr>
                <w:iCs/>
                <w:szCs w:val="20"/>
              </w:rPr>
              <w:t>Revised</w:t>
            </w:r>
          </w:p>
        </w:tc>
        <w:tc>
          <w:tcPr>
            <w:tcW w:w="756" w:type="pct"/>
            <w:tcBorders>
              <w:top w:val="nil"/>
            </w:tcBorders>
            <w:shd w:val="clear" w:color="auto" w:fill="auto"/>
            <w:vAlign w:val="center"/>
          </w:tcPr>
          <w:p w:rsidR="00B74A5B" w:rsidRPr="00C41F2B" w:rsidRDefault="00B74A5B" w:rsidP="00667A6F">
            <w:pPr>
              <w:pStyle w:val="TableText0"/>
              <w:jc w:val="center"/>
              <w:rPr>
                <w:iCs/>
              </w:rPr>
            </w:pPr>
          </w:p>
        </w:tc>
        <w:tc>
          <w:tcPr>
            <w:tcW w:w="811" w:type="pct"/>
            <w:tcBorders>
              <w:top w:val="nil"/>
            </w:tcBorders>
            <w:shd w:val="clear" w:color="auto" w:fill="auto"/>
            <w:vAlign w:val="center"/>
          </w:tcPr>
          <w:p w:rsidR="00B74A5B" w:rsidRPr="00C41F2B" w:rsidRDefault="00B74A5B" w:rsidP="00667A6F">
            <w:pPr>
              <w:pStyle w:val="TableText0"/>
              <w:jc w:val="center"/>
              <w:rPr>
                <w:rFonts w:cs="Times New Roman"/>
                <w:iCs/>
                <w:szCs w:val="20"/>
              </w:rPr>
            </w:pPr>
            <w:r w:rsidRPr="00C41F2B">
              <w:rPr>
                <w:rFonts w:cs="Times New Roman"/>
                <w:iCs/>
                <w:szCs w:val="20"/>
              </w:rPr>
              <w:t>$</w:t>
            </w:r>
            <w:r w:rsidR="00E9713A">
              <w:rPr>
                <w:rFonts w:cs="Times New Roman"/>
                <w:iCs/>
                <w:noProof/>
                <w:color w:val="000000"/>
                <w:szCs w:val="20"/>
                <w:highlight w:val="black"/>
              </w:rPr>
              <w:t>''''''''''''''''''''</w:t>
            </w:r>
            <w:r w:rsidR="00B92FDE" w:rsidRPr="00C41F2B">
              <w:rPr>
                <w:rFonts w:cs="Times New Roman"/>
                <w:iCs/>
                <w:szCs w:val="20"/>
                <w:vertAlign w:val="superscript"/>
              </w:rPr>
              <w:t>e</w:t>
            </w:r>
          </w:p>
        </w:tc>
        <w:tc>
          <w:tcPr>
            <w:tcW w:w="813" w:type="pct"/>
            <w:tcBorders>
              <w:top w:val="nil"/>
            </w:tcBorders>
            <w:shd w:val="clear" w:color="auto" w:fill="auto"/>
            <w:vAlign w:val="center"/>
          </w:tcPr>
          <w:p w:rsidR="00B74A5B" w:rsidRPr="00C41F2B" w:rsidRDefault="00B74A5B" w:rsidP="00667A6F">
            <w:pPr>
              <w:pStyle w:val="TableText0"/>
              <w:jc w:val="center"/>
              <w:rPr>
                <w:rFonts w:cs="Times New Roman"/>
                <w:iCs/>
              </w:rPr>
            </w:pPr>
            <w:r w:rsidRPr="00C41F2B">
              <w:rPr>
                <w:rFonts w:cs="Times New Roman"/>
                <w:iCs/>
              </w:rPr>
              <w:t>$</w:t>
            </w:r>
            <w:r w:rsidR="00E9713A">
              <w:rPr>
                <w:rFonts w:cs="Times New Roman"/>
                <w:iCs/>
                <w:noProof/>
                <w:color w:val="000000"/>
                <w:highlight w:val="black"/>
              </w:rPr>
              <w:t>''''''''''''''''''''</w:t>
            </w:r>
            <w:r w:rsidR="00B92FDE" w:rsidRPr="00C41F2B">
              <w:rPr>
                <w:rFonts w:cs="Times New Roman"/>
                <w:iCs/>
                <w:vertAlign w:val="superscript"/>
              </w:rPr>
              <w:t>f</w:t>
            </w:r>
          </w:p>
        </w:tc>
        <w:tc>
          <w:tcPr>
            <w:tcW w:w="802" w:type="pct"/>
            <w:tcBorders>
              <w:top w:val="nil"/>
            </w:tcBorders>
            <w:shd w:val="clear" w:color="auto" w:fill="auto"/>
            <w:vAlign w:val="center"/>
          </w:tcPr>
          <w:p w:rsidR="00B74A5B" w:rsidRPr="00C41F2B" w:rsidRDefault="00B74A5B" w:rsidP="00667A6F">
            <w:pPr>
              <w:pStyle w:val="TableText0"/>
              <w:jc w:val="center"/>
              <w:rPr>
                <w:rFonts w:cs="Times New Roman"/>
                <w:iCs/>
                <w:szCs w:val="20"/>
              </w:rPr>
            </w:pPr>
            <w:r w:rsidRPr="00C41F2B">
              <w:rPr>
                <w:rFonts w:cs="Times New Roman"/>
                <w:iCs/>
                <w:szCs w:val="20"/>
              </w:rPr>
              <w:t>$</w:t>
            </w:r>
            <w:r w:rsidR="00E9713A">
              <w:rPr>
                <w:rFonts w:cs="Times New Roman"/>
                <w:iCs/>
                <w:noProof/>
                <w:color w:val="000000"/>
                <w:szCs w:val="20"/>
                <w:highlight w:val="black"/>
              </w:rPr>
              <w:t>'''''''''''''''''</w:t>
            </w:r>
            <w:r w:rsidR="00B92FDE" w:rsidRPr="00C41F2B">
              <w:rPr>
                <w:rFonts w:cs="Times New Roman"/>
                <w:iCs/>
                <w:szCs w:val="20"/>
                <w:vertAlign w:val="superscript"/>
              </w:rPr>
              <w:t>e</w:t>
            </w:r>
          </w:p>
        </w:tc>
        <w:tc>
          <w:tcPr>
            <w:tcW w:w="813" w:type="pct"/>
            <w:tcBorders>
              <w:top w:val="nil"/>
            </w:tcBorders>
          </w:tcPr>
          <w:p w:rsidR="00B74A5B" w:rsidRPr="00C41F2B" w:rsidRDefault="00B74A5B" w:rsidP="00667A6F">
            <w:pPr>
              <w:pStyle w:val="TableText0"/>
              <w:jc w:val="center"/>
              <w:rPr>
                <w:i/>
                <w:iCs/>
              </w:rPr>
            </w:pPr>
          </w:p>
        </w:tc>
      </w:tr>
    </w:tbl>
    <w:p w:rsidR="00494207" w:rsidRPr="00C41F2B" w:rsidRDefault="00372ECE" w:rsidP="006851A5">
      <w:pPr>
        <w:pStyle w:val="TableFigureFooter"/>
        <w:rPr>
          <w:snapToGrid/>
        </w:rPr>
      </w:pPr>
      <w:r w:rsidRPr="00C41F2B">
        <w:rPr>
          <w:snapToGrid/>
        </w:rPr>
        <w:t xml:space="preserve">Source: </w:t>
      </w:r>
      <w:r w:rsidR="000E101D" w:rsidRPr="00C41F2B">
        <w:rPr>
          <w:snapToGrid/>
        </w:rPr>
        <w:t xml:space="preserve">Complied during the evaluation based on information presented in Section 3 and Section 4 of the resubmission. </w:t>
      </w:r>
    </w:p>
    <w:p w:rsidR="0046729B" w:rsidRPr="00C41F2B" w:rsidRDefault="004142FA" w:rsidP="006851A5">
      <w:pPr>
        <w:pStyle w:val="TableFigureFooter"/>
        <w:rPr>
          <w:snapToGrid/>
        </w:rPr>
      </w:pPr>
      <w:proofErr w:type="gramStart"/>
      <w:r w:rsidRPr="00C41F2B">
        <w:rPr>
          <w:snapToGrid/>
          <w:vertAlign w:val="superscript"/>
        </w:rPr>
        <w:t>a</w:t>
      </w:r>
      <w:proofErr w:type="gramEnd"/>
      <w:r w:rsidRPr="00C41F2B">
        <w:rPr>
          <w:snapToGrid/>
        </w:rPr>
        <w:t xml:space="preserve"> </w:t>
      </w:r>
      <w:r w:rsidR="0046729B" w:rsidRPr="00C41F2B">
        <w:rPr>
          <w:snapToGrid/>
        </w:rPr>
        <w:t xml:space="preserve">Mean dose of </w:t>
      </w:r>
      <w:r w:rsidR="004F687F" w:rsidRPr="00C41F2B">
        <w:rPr>
          <w:snapToGrid/>
        </w:rPr>
        <w:t>2L</w:t>
      </w:r>
      <w:r w:rsidR="0046729B" w:rsidRPr="00C41F2B">
        <w:rPr>
          <w:snapToGrid/>
        </w:rPr>
        <w:t xml:space="preserve"> olaparib was taken from SOLO1. </w:t>
      </w:r>
    </w:p>
    <w:p w:rsidR="0046729B" w:rsidRPr="00C41F2B" w:rsidRDefault="004142FA" w:rsidP="006851A5">
      <w:pPr>
        <w:pStyle w:val="TableFigureFooter"/>
        <w:rPr>
          <w:snapToGrid/>
        </w:rPr>
      </w:pPr>
      <w:proofErr w:type="gramStart"/>
      <w:r w:rsidRPr="00C41F2B">
        <w:rPr>
          <w:snapToGrid/>
          <w:vertAlign w:val="superscript"/>
        </w:rPr>
        <w:t>b</w:t>
      </w:r>
      <w:proofErr w:type="gramEnd"/>
      <w:r w:rsidR="0046729B" w:rsidRPr="00C41F2B">
        <w:rPr>
          <w:snapToGrid/>
        </w:rPr>
        <w:t xml:space="preserve"> Based on area under the (digitized) time to treatment discontinuation curve from SOLO1. Included approximately 10% of patients who had received treatment beyond 24 months. </w:t>
      </w:r>
    </w:p>
    <w:p w:rsidR="00BF1F8C" w:rsidRPr="00C41F2B" w:rsidRDefault="004142FA" w:rsidP="006851A5">
      <w:pPr>
        <w:pStyle w:val="TableFigureFooter"/>
        <w:rPr>
          <w:snapToGrid/>
        </w:rPr>
      </w:pPr>
      <w:r w:rsidRPr="00C41F2B">
        <w:rPr>
          <w:snapToGrid/>
          <w:vertAlign w:val="superscript"/>
        </w:rPr>
        <w:t>c</w:t>
      </w:r>
      <w:r w:rsidR="00BF1F8C" w:rsidRPr="00C41F2B">
        <w:rPr>
          <w:snapToGrid/>
        </w:rPr>
        <w:t xml:space="preserve"> </w:t>
      </w:r>
      <w:r w:rsidR="00BF1F8C" w:rsidRPr="00C41F2B">
        <w:t xml:space="preserve">This includes the error where the economic model applied the time to treatment discontinuation </w:t>
      </w:r>
      <w:r w:rsidR="00433071" w:rsidRPr="00C41F2B">
        <w:t>Kaplan</w:t>
      </w:r>
      <w:r w:rsidR="00BF1F8C" w:rsidRPr="00C41F2B">
        <w:t xml:space="preserve"> Meier curve from month 1, rather than the beginning of month 0. </w:t>
      </w:r>
    </w:p>
    <w:p w:rsidR="0046729B" w:rsidRPr="00C41F2B" w:rsidRDefault="004142FA" w:rsidP="006851A5">
      <w:pPr>
        <w:pStyle w:val="TableFigureFooter"/>
        <w:rPr>
          <w:snapToGrid/>
        </w:rPr>
      </w:pPr>
      <w:proofErr w:type="gramStart"/>
      <w:r w:rsidRPr="00C41F2B">
        <w:rPr>
          <w:snapToGrid/>
          <w:vertAlign w:val="superscript"/>
        </w:rPr>
        <w:t>d</w:t>
      </w:r>
      <w:proofErr w:type="gramEnd"/>
      <w:r w:rsidR="000E101D" w:rsidRPr="00C41F2B">
        <w:rPr>
          <w:snapToGrid/>
        </w:rPr>
        <w:t xml:space="preserve"> Mean duration in model based on area under the curve of the time to treatment discontinuation Kaplan Meier curve from Study 19. </w:t>
      </w:r>
      <w:r w:rsidR="0029008E" w:rsidRPr="00C41F2B">
        <w:rPr>
          <w:snapToGrid/>
        </w:rPr>
        <w:t xml:space="preserve">This is longer than the treatment duration for 2L olaparib accepted in the November 2016 submission (16.3 months, based on </w:t>
      </w:r>
      <w:r w:rsidR="00642E6E" w:rsidRPr="00C41F2B">
        <w:rPr>
          <w:snapToGrid/>
        </w:rPr>
        <w:t>an earlier analysis of</w:t>
      </w:r>
      <w:r w:rsidR="0029008E" w:rsidRPr="00C41F2B">
        <w:rPr>
          <w:snapToGrid/>
        </w:rPr>
        <w:t xml:space="preserve"> Study 19</w:t>
      </w:r>
      <w:r w:rsidR="00DF511B" w:rsidRPr="00C41F2B">
        <w:rPr>
          <w:snapToGrid/>
        </w:rPr>
        <w:t>)</w:t>
      </w:r>
      <w:r w:rsidR="0029008E" w:rsidRPr="00C41F2B">
        <w:rPr>
          <w:snapToGrid/>
        </w:rPr>
        <w:t>.</w:t>
      </w:r>
    </w:p>
    <w:p w:rsidR="000E101D" w:rsidRPr="00C41F2B" w:rsidRDefault="004142FA" w:rsidP="006851A5">
      <w:pPr>
        <w:pStyle w:val="TableFigureFooter"/>
        <w:rPr>
          <w:snapToGrid/>
        </w:rPr>
      </w:pPr>
      <w:proofErr w:type="gramStart"/>
      <w:r w:rsidRPr="00C41F2B">
        <w:rPr>
          <w:snapToGrid/>
          <w:vertAlign w:val="superscript"/>
        </w:rPr>
        <w:t>e</w:t>
      </w:r>
      <w:proofErr w:type="gramEnd"/>
      <w:r w:rsidR="000E101D" w:rsidRPr="00C41F2B">
        <w:rPr>
          <w:snapToGrid/>
        </w:rPr>
        <w:t xml:space="preserve"> </w:t>
      </w:r>
      <w:r w:rsidRPr="00C41F2B">
        <w:rPr>
          <w:snapToGrid/>
        </w:rPr>
        <w:t>Corrected to account for flat pricing across doses.</w:t>
      </w:r>
      <w:r w:rsidR="000E101D" w:rsidRPr="00C41F2B">
        <w:rPr>
          <w:snapToGrid/>
        </w:rPr>
        <w:t xml:space="preserve"> </w:t>
      </w:r>
      <w:r w:rsidR="00412E4B" w:rsidRPr="00C41F2B">
        <w:rPr>
          <w:snapToGrid/>
        </w:rPr>
        <w:t>The accepted cost for 2L olaparib was $</w:t>
      </w:r>
      <w:r w:rsidR="00E9713A">
        <w:rPr>
          <w:noProof/>
          <w:snapToGrid/>
          <w:color w:val="000000"/>
          <w:highlight w:val="black"/>
        </w:rPr>
        <w:t>'''''''''''''''</w:t>
      </w:r>
      <w:r w:rsidR="00412E4B" w:rsidRPr="00C41F2B">
        <w:rPr>
          <w:snapToGrid/>
        </w:rPr>
        <w:t xml:space="preserve">, based on the shorter treatment duration. </w:t>
      </w:r>
    </w:p>
    <w:p w:rsidR="000E101D" w:rsidRPr="00C41F2B" w:rsidRDefault="004142FA" w:rsidP="006851A5">
      <w:pPr>
        <w:pStyle w:val="TableFigureFooter"/>
        <w:rPr>
          <w:snapToGrid/>
        </w:rPr>
      </w:pPr>
      <w:proofErr w:type="gramStart"/>
      <w:r w:rsidRPr="00C41F2B">
        <w:rPr>
          <w:snapToGrid/>
          <w:vertAlign w:val="superscript"/>
        </w:rPr>
        <w:t>f</w:t>
      </w:r>
      <w:proofErr w:type="gramEnd"/>
      <w:r w:rsidR="000E101D" w:rsidRPr="00C41F2B">
        <w:rPr>
          <w:snapToGrid/>
        </w:rPr>
        <w:t xml:space="preserve"> </w:t>
      </w:r>
      <w:r w:rsidRPr="00C41F2B">
        <w:rPr>
          <w:snapToGrid/>
        </w:rPr>
        <w:t>Corrected</w:t>
      </w:r>
      <w:r w:rsidR="000E101D" w:rsidRPr="00C41F2B">
        <w:rPr>
          <w:snapToGrid/>
        </w:rPr>
        <w:t xml:space="preserve"> calculation for converting treatment months into the number of packs required is:  # months x (365.25/12) / 28.</w:t>
      </w:r>
    </w:p>
    <w:p w:rsidR="0046729B" w:rsidRPr="00C41F2B" w:rsidRDefault="00B92FDE" w:rsidP="006851A5">
      <w:pPr>
        <w:pStyle w:val="TableFigureFooter"/>
        <w:rPr>
          <w:snapToGrid/>
        </w:rPr>
      </w:pPr>
      <w:r w:rsidRPr="00C41F2B">
        <w:rPr>
          <w:snapToGrid/>
          <w:vertAlign w:val="superscript"/>
        </w:rPr>
        <w:t>g</w:t>
      </w:r>
      <w:r w:rsidR="004142FA" w:rsidRPr="00C41F2B">
        <w:rPr>
          <w:snapToGrid/>
        </w:rPr>
        <w:t xml:space="preserve"> </w:t>
      </w:r>
      <w:r w:rsidR="00B74A5B" w:rsidRPr="00C41F2B">
        <w:rPr>
          <w:snapToGrid/>
        </w:rPr>
        <w:t>Th</w:t>
      </w:r>
      <w:r w:rsidR="004142FA" w:rsidRPr="00C41F2B">
        <w:rPr>
          <w:snapToGrid/>
        </w:rPr>
        <w:t>e</w:t>
      </w:r>
      <w:r w:rsidR="00B74A5B" w:rsidRPr="00C41F2B">
        <w:rPr>
          <w:snapToGrid/>
        </w:rPr>
        <w:t xml:space="preserve"> approach </w:t>
      </w:r>
      <w:r w:rsidR="004142FA" w:rsidRPr="00C41F2B">
        <w:rPr>
          <w:snapToGrid/>
        </w:rPr>
        <w:t xml:space="preserve">used </w:t>
      </w:r>
      <w:r w:rsidR="00B74A5B" w:rsidRPr="00C41F2B">
        <w:rPr>
          <w:snapToGrid/>
        </w:rPr>
        <w:t xml:space="preserve">does not identify the number of patients who receive olaparib in the </w:t>
      </w:r>
      <w:r w:rsidR="004F687F" w:rsidRPr="00C41F2B">
        <w:rPr>
          <w:snapToGrid/>
        </w:rPr>
        <w:t>2L</w:t>
      </w:r>
      <w:r w:rsidR="00B74A5B" w:rsidRPr="00C41F2B">
        <w:rPr>
          <w:snapToGrid/>
        </w:rPr>
        <w:t xml:space="preserve"> setting, but estimates the number of patient-years of </w:t>
      </w:r>
      <w:r w:rsidR="004F687F" w:rsidRPr="00C41F2B">
        <w:rPr>
          <w:snapToGrid/>
        </w:rPr>
        <w:t>2L</w:t>
      </w:r>
      <w:r w:rsidR="00B74A5B" w:rsidRPr="00C41F2B">
        <w:rPr>
          <w:snapToGrid/>
        </w:rPr>
        <w:t xml:space="preserve"> olaparib treatment that would be avoided per patient treated with </w:t>
      </w:r>
      <w:r w:rsidR="004F687F" w:rsidRPr="00C41F2B">
        <w:rPr>
          <w:snapToGrid/>
        </w:rPr>
        <w:t>1L</w:t>
      </w:r>
      <w:r w:rsidR="00B74A5B" w:rsidRPr="00C41F2B">
        <w:rPr>
          <w:snapToGrid/>
        </w:rPr>
        <w:t xml:space="preserve"> olaparib.</w:t>
      </w:r>
    </w:p>
    <w:p w:rsidR="0046729B" w:rsidRPr="00C41F2B" w:rsidRDefault="0046729B" w:rsidP="006851A5">
      <w:pPr>
        <w:pStyle w:val="TableFigureFooter"/>
        <w:rPr>
          <w:snapToGrid/>
        </w:rPr>
      </w:pPr>
    </w:p>
    <w:p w:rsidR="00B60939" w:rsidRPr="00C41F2B" w:rsidRDefault="00B60939" w:rsidP="002B05A1">
      <w:pPr>
        <w:pStyle w:val="4-SubsectionHeading"/>
      </w:pPr>
      <w:bookmarkStart w:id="41" w:name="_Toc22897647"/>
      <w:bookmarkStart w:id="42" w:name="_Toc38305877"/>
      <w:r w:rsidRPr="00C41F2B">
        <w:t>Estimated PBS usage &amp; financial implications</w:t>
      </w:r>
      <w:bookmarkEnd w:id="41"/>
      <w:bookmarkEnd w:id="42"/>
    </w:p>
    <w:p w:rsidR="00790928" w:rsidRPr="00C41F2B" w:rsidRDefault="00790928" w:rsidP="00790928">
      <w:pPr>
        <w:pStyle w:val="3-BodyText"/>
        <w:rPr>
          <w:color w:val="0066FF"/>
        </w:rPr>
      </w:pPr>
      <w:r w:rsidRPr="00C41F2B">
        <w:t xml:space="preserve">This resubmission </w:t>
      </w:r>
      <w:r w:rsidR="00DB0DF3" w:rsidRPr="00C41F2B">
        <w:t xml:space="preserve">was </w:t>
      </w:r>
      <w:r w:rsidRPr="00C41F2B">
        <w:t>not considered by DUSC.</w:t>
      </w:r>
    </w:p>
    <w:p w:rsidR="00790928" w:rsidRPr="00C41F2B" w:rsidRDefault="00790928" w:rsidP="00790928">
      <w:pPr>
        <w:pStyle w:val="3-BodyText"/>
      </w:pPr>
      <w:r w:rsidRPr="00C41F2B">
        <w:t>The key inputs for the updated financial estimates presented in the resubmission are summarised below.</w:t>
      </w:r>
    </w:p>
    <w:p w:rsidR="00790928" w:rsidRPr="00C41F2B" w:rsidRDefault="00790928" w:rsidP="00790928">
      <w:pPr>
        <w:pStyle w:val="TableFigureHeading"/>
      </w:pPr>
      <w:r w:rsidRPr="00C41F2B">
        <w:lastRenderedPageBreak/>
        <w:t xml:space="preserve">Table </w:t>
      </w:r>
      <w:r w:rsidR="00A0380C">
        <w:rPr>
          <w:noProof/>
        </w:rPr>
        <w:t>13</w:t>
      </w:r>
      <w:r w:rsidRPr="00C41F2B">
        <w:t>: Key inputs for the updated financial estimates in the resubmission</w:t>
      </w:r>
    </w:p>
    <w:tbl>
      <w:tblPr>
        <w:tblStyle w:val="TableGrid10"/>
        <w:tblW w:w="5000" w:type="pct"/>
        <w:tblLook w:val="04A0" w:firstRow="1" w:lastRow="0" w:firstColumn="1" w:lastColumn="0" w:noHBand="0" w:noVBand="1"/>
      </w:tblPr>
      <w:tblGrid>
        <w:gridCol w:w="1498"/>
        <w:gridCol w:w="3032"/>
        <w:gridCol w:w="4487"/>
      </w:tblGrid>
      <w:tr w:rsidR="00790928" w:rsidRPr="00C41F2B" w:rsidTr="00B92FDE">
        <w:tc>
          <w:tcPr>
            <w:tcW w:w="831" w:type="pct"/>
          </w:tcPr>
          <w:p w:rsidR="00790928" w:rsidRPr="00C41F2B" w:rsidRDefault="00790928" w:rsidP="00AF0480">
            <w:pPr>
              <w:pStyle w:val="TableText0"/>
              <w:widowControl w:val="0"/>
              <w:rPr>
                <w:b/>
                <w:sz w:val="20"/>
                <w:szCs w:val="20"/>
              </w:rPr>
            </w:pPr>
            <w:r w:rsidRPr="00C41F2B">
              <w:rPr>
                <w:b/>
                <w:sz w:val="20"/>
                <w:szCs w:val="20"/>
              </w:rPr>
              <w:t>Data</w:t>
            </w:r>
          </w:p>
        </w:tc>
        <w:tc>
          <w:tcPr>
            <w:tcW w:w="1681" w:type="pct"/>
          </w:tcPr>
          <w:p w:rsidR="00790928" w:rsidRPr="00C41F2B" w:rsidRDefault="00790928" w:rsidP="00AF0480">
            <w:pPr>
              <w:pStyle w:val="TableText0"/>
              <w:widowControl w:val="0"/>
              <w:rPr>
                <w:b/>
                <w:sz w:val="20"/>
                <w:szCs w:val="20"/>
              </w:rPr>
            </w:pPr>
            <w:r w:rsidRPr="00C41F2B">
              <w:rPr>
                <w:b/>
                <w:sz w:val="20"/>
                <w:szCs w:val="20"/>
              </w:rPr>
              <w:t>Values and source</w:t>
            </w:r>
          </w:p>
        </w:tc>
        <w:tc>
          <w:tcPr>
            <w:tcW w:w="2488" w:type="pct"/>
          </w:tcPr>
          <w:p w:rsidR="00790928" w:rsidRPr="00C41F2B" w:rsidRDefault="00790928" w:rsidP="00AF0480">
            <w:pPr>
              <w:pStyle w:val="TableText0"/>
              <w:widowControl w:val="0"/>
              <w:rPr>
                <w:b/>
                <w:sz w:val="20"/>
                <w:szCs w:val="20"/>
              </w:rPr>
            </w:pPr>
            <w:r w:rsidRPr="00C41F2B">
              <w:rPr>
                <w:b/>
                <w:sz w:val="20"/>
                <w:szCs w:val="20"/>
              </w:rPr>
              <w:t>Comment</w:t>
            </w:r>
          </w:p>
        </w:tc>
      </w:tr>
      <w:tr w:rsidR="00790928" w:rsidRPr="00C41F2B" w:rsidTr="00381241">
        <w:tc>
          <w:tcPr>
            <w:tcW w:w="5000" w:type="pct"/>
            <w:gridSpan w:val="3"/>
          </w:tcPr>
          <w:p w:rsidR="00790928" w:rsidRPr="00C41F2B" w:rsidRDefault="00790928" w:rsidP="00AF0480">
            <w:pPr>
              <w:pStyle w:val="TableText0"/>
              <w:widowControl w:val="0"/>
              <w:rPr>
                <w:b/>
                <w:sz w:val="20"/>
                <w:szCs w:val="20"/>
              </w:rPr>
            </w:pPr>
            <w:r w:rsidRPr="00C41F2B">
              <w:rPr>
                <w:b/>
                <w:sz w:val="20"/>
                <w:szCs w:val="20"/>
              </w:rPr>
              <w:t>Eligible population</w:t>
            </w:r>
          </w:p>
        </w:tc>
      </w:tr>
      <w:tr w:rsidR="00790928" w:rsidRPr="00C41F2B" w:rsidTr="00B92FDE">
        <w:tc>
          <w:tcPr>
            <w:tcW w:w="831" w:type="pct"/>
          </w:tcPr>
          <w:p w:rsidR="00790928" w:rsidRPr="00C41F2B" w:rsidRDefault="00790928" w:rsidP="00AF0480">
            <w:pPr>
              <w:pStyle w:val="TableText0"/>
              <w:widowControl w:val="0"/>
              <w:rPr>
                <w:bCs w:val="0"/>
                <w:sz w:val="20"/>
                <w:szCs w:val="20"/>
              </w:rPr>
            </w:pPr>
            <w:r w:rsidRPr="00C41F2B">
              <w:rPr>
                <w:bCs w:val="0"/>
                <w:sz w:val="20"/>
                <w:szCs w:val="20"/>
              </w:rPr>
              <w:t xml:space="preserve">% patients who test positive for </w:t>
            </w:r>
            <w:proofErr w:type="spellStart"/>
            <w:r w:rsidRPr="00C41F2B">
              <w:rPr>
                <w:bCs w:val="0"/>
                <w:sz w:val="20"/>
                <w:szCs w:val="20"/>
              </w:rPr>
              <w:t>gBRCAm</w:t>
            </w:r>
            <w:proofErr w:type="spellEnd"/>
          </w:p>
        </w:tc>
        <w:tc>
          <w:tcPr>
            <w:tcW w:w="1681" w:type="pct"/>
          </w:tcPr>
          <w:p w:rsidR="00790928" w:rsidRPr="00C41F2B" w:rsidRDefault="00790928" w:rsidP="00AF0480">
            <w:pPr>
              <w:pStyle w:val="TableText0"/>
              <w:widowControl w:val="0"/>
              <w:rPr>
                <w:bCs w:val="0"/>
                <w:sz w:val="20"/>
                <w:szCs w:val="20"/>
              </w:rPr>
            </w:pPr>
            <w:r w:rsidRPr="00C41F2B">
              <w:rPr>
                <w:bCs w:val="0"/>
                <w:sz w:val="20"/>
                <w:szCs w:val="20"/>
              </w:rPr>
              <w:t>20.3%</w:t>
            </w:r>
          </w:p>
          <w:p w:rsidR="00790928" w:rsidRPr="00C41F2B" w:rsidRDefault="00790928" w:rsidP="00AF0480">
            <w:pPr>
              <w:pStyle w:val="TableText0"/>
              <w:widowControl w:val="0"/>
              <w:rPr>
                <w:bCs w:val="0"/>
                <w:sz w:val="20"/>
                <w:szCs w:val="20"/>
              </w:rPr>
            </w:pPr>
            <w:r w:rsidRPr="00C41F2B">
              <w:rPr>
                <w:bCs w:val="0"/>
                <w:sz w:val="20"/>
                <w:szCs w:val="20"/>
              </w:rPr>
              <w:t>Australian Ovarian Cancer Study</w:t>
            </w:r>
          </w:p>
        </w:tc>
        <w:tc>
          <w:tcPr>
            <w:tcW w:w="2488" w:type="pct"/>
          </w:tcPr>
          <w:p w:rsidR="00790928" w:rsidRPr="00C41F2B" w:rsidRDefault="00790928" w:rsidP="00AF0480">
            <w:pPr>
              <w:pStyle w:val="TableText0"/>
              <w:widowControl w:val="0"/>
              <w:rPr>
                <w:bCs w:val="0"/>
                <w:i/>
                <w:iCs/>
                <w:sz w:val="20"/>
                <w:szCs w:val="20"/>
              </w:rPr>
            </w:pPr>
            <w:r w:rsidRPr="00C41F2B">
              <w:rPr>
                <w:bCs w:val="0"/>
                <w:sz w:val="20"/>
                <w:szCs w:val="20"/>
              </w:rPr>
              <w:t>Based on PBAC advice (para 7.25, olaparib, PSD, November 2019 PBAC meting), a</w:t>
            </w:r>
            <w:r w:rsidR="00642E6E" w:rsidRPr="00C41F2B">
              <w:rPr>
                <w:bCs w:val="0"/>
                <w:sz w:val="20"/>
                <w:szCs w:val="20"/>
              </w:rPr>
              <w:t xml:space="preserve"> prevalence of 20.3% for </w:t>
            </w:r>
            <w:proofErr w:type="spellStart"/>
            <w:r w:rsidR="00642E6E" w:rsidRPr="00C41F2B">
              <w:rPr>
                <w:bCs w:val="0"/>
                <w:sz w:val="20"/>
                <w:szCs w:val="20"/>
              </w:rPr>
              <w:t>gBRCA</w:t>
            </w:r>
            <w:proofErr w:type="spellEnd"/>
            <w:r w:rsidR="00642E6E" w:rsidRPr="00C41F2B">
              <w:rPr>
                <w:bCs w:val="0"/>
                <w:sz w:val="20"/>
                <w:szCs w:val="20"/>
              </w:rPr>
              <w:t xml:space="preserve"> wa</w:t>
            </w:r>
            <w:r w:rsidRPr="00C41F2B">
              <w:rPr>
                <w:bCs w:val="0"/>
                <w:sz w:val="20"/>
                <w:szCs w:val="20"/>
              </w:rPr>
              <w:t xml:space="preserve">s used in the resubmission. </w:t>
            </w:r>
          </w:p>
        </w:tc>
      </w:tr>
      <w:tr w:rsidR="00790928" w:rsidRPr="00C41F2B" w:rsidTr="00381241">
        <w:tc>
          <w:tcPr>
            <w:tcW w:w="5000" w:type="pct"/>
            <w:gridSpan w:val="3"/>
          </w:tcPr>
          <w:p w:rsidR="00790928" w:rsidRPr="00C41F2B" w:rsidRDefault="00790928" w:rsidP="00AF0480">
            <w:pPr>
              <w:pStyle w:val="TableText0"/>
              <w:widowControl w:val="0"/>
              <w:rPr>
                <w:b/>
                <w:sz w:val="20"/>
                <w:szCs w:val="20"/>
              </w:rPr>
            </w:pPr>
            <w:r w:rsidRPr="00C41F2B">
              <w:rPr>
                <w:b/>
                <w:sz w:val="20"/>
                <w:szCs w:val="20"/>
              </w:rPr>
              <w:t xml:space="preserve">Utilisation and cost of olaparib in the </w:t>
            </w:r>
            <w:r w:rsidR="004F687F" w:rsidRPr="00C41F2B">
              <w:rPr>
                <w:b/>
                <w:sz w:val="20"/>
                <w:szCs w:val="20"/>
              </w:rPr>
              <w:t>1L</w:t>
            </w:r>
            <w:r w:rsidRPr="00C41F2B">
              <w:rPr>
                <w:b/>
                <w:sz w:val="20"/>
                <w:szCs w:val="20"/>
              </w:rPr>
              <w:t xml:space="preserve"> setting</w:t>
            </w:r>
          </w:p>
        </w:tc>
      </w:tr>
      <w:tr w:rsidR="00790928" w:rsidRPr="00C41F2B" w:rsidTr="00B92FDE">
        <w:tc>
          <w:tcPr>
            <w:tcW w:w="831" w:type="pct"/>
          </w:tcPr>
          <w:p w:rsidR="00790928" w:rsidRPr="00C41F2B" w:rsidRDefault="00790928" w:rsidP="00AF0480">
            <w:pPr>
              <w:pStyle w:val="TableText0"/>
              <w:widowControl w:val="0"/>
              <w:rPr>
                <w:bCs w:val="0"/>
                <w:sz w:val="20"/>
                <w:szCs w:val="20"/>
              </w:rPr>
            </w:pPr>
            <w:r w:rsidRPr="00C41F2B">
              <w:rPr>
                <w:bCs w:val="0"/>
                <w:sz w:val="20"/>
                <w:szCs w:val="20"/>
              </w:rPr>
              <w:t>Average duration of treatment (months) per patient</w:t>
            </w:r>
          </w:p>
        </w:tc>
        <w:tc>
          <w:tcPr>
            <w:tcW w:w="1681" w:type="pct"/>
          </w:tcPr>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1:10.3</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2: 8.2</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3: 1.4</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4: 0.6</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5: 0.4</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6: 0.0</w:t>
            </w:r>
          </w:p>
          <w:p w:rsidR="00790928" w:rsidRPr="00C41F2B" w:rsidRDefault="00790928" w:rsidP="00AF0480">
            <w:pPr>
              <w:pStyle w:val="TableText0"/>
              <w:widowControl w:val="0"/>
              <w:rPr>
                <w:bCs w:val="0"/>
                <w:sz w:val="20"/>
                <w:szCs w:val="20"/>
              </w:rPr>
            </w:pPr>
            <w:r w:rsidRPr="00C41F2B">
              <w:rPr>
                <w:bCs w:val="0"/>
                <w:sz w:val="20"/>
                <w:szCs w:val="20"/>
              </w:rPr>
              <w:t>Based on SOLO1 trial</w:t>
            </w:r>
          </w:p>
          <w:p w:rsidR="00790928" w:rsidRPr="00C41F2B" w:rsidRDefault="00790928" w:rsidP="00AF0480">
            <w:pPr>
              <w:pStyle w:val="TableText0"/>
              <w:widowControl w:val="0"/>
              <w:rPr>
                <w:bCs w:val="0"/>
                <w:sz w:val="20"/>
                <w:szCs w:val="20"/>
              </w:rPr>
            </w:pPr>
          </w:p>
        </w:tc>
        <w:tc>
          <w:tcPr>
            <w:tcW w:w="2488" w:type="pct"/>
          </w:tcPr>
          <w:p w:rsidR="00790928" w:rsidRPr="00C41F2B" w:rsidRDefault="00790928" w:rsidP="00AF0480">
            <w:pPr>
              <w:pStyle w:val="TableText0"/>
              <w:widowControl w:val="0"/>
              <w:rPr>
                <w:bCs w:val="0"/>
                <w:i/>
                <w:iCs/>
                <w:sz w:val="20"/>
                <w:szCs w:val="20"/>
              </w:rPr>
            </w:pPr>
            <w:r w:rsidRPr="00C41F2B">
              <w:rPr>
                <w:bCs w:val="0"/>
                <w:sz w:val="20"/>
                <w:szCs w:val="20"/>
              </w:rPr>
              <w:t>The resubmission applied the Kaplan-Meier estimates for time to treatment discontinuation observed in the SOLO1 trial, which allowed treatment beyond 24 months</w:t>
            </w:r>
            <w:r w:rsidR="00C90122" w:rsidRPr="00C41F2B">
              <w:rPr>
                <w:bCs w:val="0"/>
                <w:sz w:val="20"/>
                <w:szCs w:val="20"/>
              </w:rPr>
              <w:t xml:space="preserve"> for patients with residual disease who may have continued to receive benefit according to the investigator’s discretion.</w:t>
            </w:r>
            <w:r w:rsidRPr="00C41F2B">
              <w:rPr>
                <w:bCs w:val="0"/>
                <w:sz w:val="20"/>
                <w:szCs w:val="20"/>
              </w:rPr>
              <w:t xml:space="preserve"> </w:t>
            </w:r>
            <w:r w:rsidRPr="00C41F2B">
              <w:rPr>
                <w:bCs w:val="0"/>
                <w:iCs/>
                <w:sz w:val="20"/>
                <w:szCs w:val="20"/>
              </w:rPr>
              <w:t>The requested restriction specifies a maximum treatment duration of 24 months</w:t>
            </w:r>
            <w:r w:rsidR="00C90122" w:rsidRPr="00C41F2B">
              <w:rPr>
                <w:bCs w:val="0"/>
                <w:iCs/>
                <w:sz w:val="20"/>
                <w:szCs w:val="20"/>
              </w:rPr>
              <w:t xml:space="preserve"> for patients in complete response who have not experienced relapsed disease.</w:t>
            </w:r>
          </w:p>
          <w:p w:rsidR="00790928" w:rsidRPr="00C41F2B" w:rsidRDefault="00790928" w:rsidP="00AF0480">
            <w:pPr>
              <w:pStyle w:val="TableText0"/>
              <w:widowControl w:val="0"/>
              <w:rPr>
                <w:bCs w:val="0"/>
                <w:sz w:val="20"/>
                <w:szCs w:val="20"/>
              </w:rPr>
            </w:pPr>
            <w:r w:rsidRPr="00C41F2B">
              <w:rPr>
                <w:bCs w:val="0"/>
                <w:sz w:val="20"/>
                <w:szCs w:val="20"/>
              </w:rPr>
              <w:t xml:space="preserve">To calculate the duration of therapy for grandfathered patients, the resubmission assumed that all patients have been on treatment for 12 months and will receive a total of 8.2 months of PBS-subsidised olaparib treatment. </w:t>
            </w:r>
          </w:p>
        </w:tc>
      </w:tr>
      <w:tr w:rsidR="00790928" w:rsidRPr="00C41F2B" w:rsidTr="00381241">
        <w:tc>
          <w:tcPr>
            <w:tcW w:w="5000" w:type="pct"/>
            <w:gridSpan w:val="3"/>
          </w:tcPr>
          <w:p w:rsidR="00790928" w:rsidRPr="00C41F2B" w:rsidRDefault="00790928" w:rsidP="00AF0480">
            <w:pPr>
              <w:pStyle w:val="TableText0"/>
              <w:widowControl w:val="0"/>
              <w:rPr>
                <w:b/>
                <w:sz w:val="20"/>
                <w:szCs w:val="20"/>
                <w:highlight w:val="yellow"/>
              </w:rPr>
            </w:pPr>
            <w:r w:rsidRPr="00C41F2B">
              <w:rPr>
                <w:b/>
                <w:sz w:val="20"/>
                <w:szCs w:val="20"/>
              </w:rPr>
              <w:t xml:space="preserve">Utilisation and cost of olaparib in the </w:t>
            </w:r>
            <w:r w:rsidR="004F687F" w:rsidRPr="00C41F2B">
              <w:rPr>
                <w:b/>
                <w:sz w:val="20"/>
                <w:szCs w:val="20"/>
              </w:rPr>
              <w:t>2L</w:t>
            </w:r>
            <w:r w:rsidRPr="00C41F2B">
              <w:rPr>
                <w:b/>
                <w:sz w:val="20"/>
                <w:szCs w:val="20"/>
              </w:rPr>
              <w:t xml:space="preserve"> setting</w:t>
            </w:r>
          </w:p>
        </w:tc>
      </w:tr>
      <w:tr w:rsidR="00790928" w:rsidRPr="00C41F2B" w:rsidTr="00B92FDE">
        <w:tc>
          <w:tcPr>
            <w:tcW w:w="831" w:type="pct"/>
          </w:tcPr>
          <w:p w:rsidR="00790928" w:rsidRPr="00C41F2B" w:rsidRDefault="00790928" w:rsidP="00B92FDE">
            <w:pPr>
              <w:pStyle w:val="TableText0"/>
              <w:widowControl w:val="0"/>
              <w:rPr>
                <w:bCs w:val="0"/>
                <w:sz w:val="20"/>
                <w:szCs w:val="20"/>
              </w:rPr>
            </w:pPr>
            <w:r w:rsidRPr="00C41F2B">
              <w:rPr>
                <w:bCs w:val="0"/>
                <w:sz w:val="20"/>
                <w:szCs w:val="20"/>
              </w:rPr>
              <w:t xml:space="preserve">The number of patient-years on </w:t>
            </w:r>
            <w:r w:rsidR="00B92FDE" w:rsidRPr="00C41F2B">
              <w:rPr>
                <w:bCs w:val="0"/>
                <w:sz w:val="20"/>
                <w:szCs w:val="20"/>
              </w:rPr>
              <w:t>2L</w:t>
            </w:r>
            <w:r w:rsidRPr="00C41F2B">
              <w:rPr>
                <w:bCs w:val="0"/>
                <w:sz w:val="20"/>
                <w:szCs w:val="20"/>
              </w:rPr>
              <w:t xml:space="preserve"> treatment per patient in the current clinical practice for those who are eligible for </w:t>
            </w:r>
            <w:r w:rsidR="00B92FDE" w:rsidRPr="00C41F2B">
              <w:rPr>
                <w:bCs w:val="0"/>
                <w:sz w:val="20"/>
                <w:szCs w:val="20"/>
              </w:rPr>
              <w:t xml:space="preserve">1L </w:t>
            </w:r>
            <w:r w:rsidRPr="00C41F2B">
              <w:rPr>
                <w:bCs w:val="0"/>
                <w:sz w:val="20"/>
                <w:szCs w:val="20"/>
              </w:rPr>
              <w:t>olaparib if it is listed</w:t>
            </w:r>
          </w:p>
        </w:tc>
        <w:tc>
          <w:tcPr>
            <w:tcW w:w="1681" w:type="pct"/>
          </w:tcPr>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1: 0.1104</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2: 0.2042</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3: 0.1528</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4: 0.1148</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5: 0.0913</w:t>
            </w:r>
          </w:p>
          <w:p w:rsidR="00790928" w:rsidRPr="00C41F2B" w:rsidRDefault="00790928" w:rsidP="00AF0480">
            <w:pPr>
              <w:pStyle w:val="TableText0"/>
              <w:widowControl w:val="0"/>
              <w:rPr>
                <w:bCs w:val="0"/>
                <w:sz w:val="20"/>
                <w:szCs w:val="20"/>
              </w:rPr>
            </w:pPr>
            <w:proofErr w:type="spellStart"/>
            <w:r w:rsidRPr="00C41F2B">
              <w:rPr>
                <w:bCs w:val="0"/>
                <w:sz w:val="20"/>
                <w:szCs w:val="20"/>
              </w:rPr>
              <w:t>Yr</w:t>
            </w:r>
            <w:proofErr w:type="spellEnd"/>
            <w:r w:rsidRPr="00C41F2B">
              <w:rPr>
                <w:bCs w:val="0"/>
                <w:sz w:val="20"/>
                <w:szCs w:val="20"/>
              </w:rPr>
              <w:t xml:space="preserve"> 6: 0.0772</w:t>
            </w:r>
          </w:p>
          <w:p w:rsidR="00790928" w:rsidRPr="00C41F2B" w:rsidRDefault="00B92FDE" w:rsidP="00AF0480">
            <w:pPr>
              <w:pStyle w:val="TableText0"/>
              <w:widowControl w:val="0"/>
              <w:rPr>
                <w:bCs w:val="0"/>
                <w:sz w:val="20"/>
                <w:szCs w:val="20"/>
              </w:rPr>
            </w:pPr>
            <w:r w:rsidRPr="00C41F2B">
              <w:rPr>
                <w:bCs w:val="0"/>
                <w:sz w:val="20"/>
                <w:szCs w:val="20"/>
              </w:rPr>
              <w:t>PFS</w:t>
            </w:r>
            <w:r w:rsidR="00790928" w:rsidRPr="00C41F2B">
              <w:rPr>
                <w:bCs w:val="0"/>
                <w:sz w:val="20"/>
                <w:szCs w:val="20"/>
              </w:rPr>
              <w:t xml:space="preserve"> in the placebo arm of SOLO1 (Kaplan Meier Data) multiplied by 51% (the proportion of patients who progressed in the placebo arm of SOLO1 and treated with </w:t>
            </w:r>
            <w:r w:rsidR="004F687F" w:rsidRPr="00C41F2B">
              <w:rPr>
                <w:bCs w:val="0"/>
                <w:sz w:val="20"/>
                <w:szCs w:val="20"/>
              </w:rPr>
              <w:t>2L</w:t>
            </w:r>
            <w:r w:rsidR="00790928" w:rsidRPr="00C41F2B">
              <w:rPr>
                <w:bCs w:val="0"/>
                <w:sz w:val="20"/>
                <w:szCs w:val="20"/>
              </w:rPr>
              <w:t xml:space="preserve"> olaparib)</w:t>
            </w:r>
            <w:r w:rsidR="001171B1" w:rsidRPr="00C41F2B">
              <w:rPr>
                <w:bCs w:val="0"/>
                <w:sz w:val="20"/>
                <w:szCs w:val="20"/>
              </w:rPr>
              <w:t>.</w:t>
            </w:r>
            <w:r w:rsidR="00790928" w:rsidRPr="00C41F2B">
              <w:rPr>
                <w:bCs w:val="0"/>
                <w:sz w:val="20"/>
                <w:szCs w:val="20"/>
              </w:rPr>
              <w:t xml:space="preserve"> </w:t>
            </w:r>
          </w:p>
          <w:p w:rsidR="00790928" w:rsidRPr="00C41F2B" w:rsidRDefault="00790928" w:rsidP="00AF0480">
            <w:pPr>
              <w:pStyle w:val="TableText0"/>
              <w:widowControl w:val="0"/>
              <w:rPr>
                <w:bCs w:val="0"/>
                <w:sz w:val="20"/>
                <w:szCs w:val="20"/>
              </w:rPr>
            </w:pPr>
            <w:r w:rsidRPr="00C41F2B">
              <w:rPr>
                <w:bCs w:val="0"/>
                <w:sz w:val="20"/>
                <w:szCs w:val="20"/>
              </w:rPr>
              <w:t>Each cycle the proportion starting subsequent olaparib is multiplied by the Kaplan-Meier duration of olaparib from Study19 (2L). The resulting value above is the estimated number of patient-years on 2L treatment per patient (for those not receiving 1L maintenance treatment).</w:t>
            </w:r>
          </w:p>
        </w:tc>
        <w:tc>
          <w:tcPr>
            <w:tcW w:w="2488" w:type="pct"/>
          </w:tcPr>
          <w:p w:rsidR="008C33FC" w:rsidRPr="00C41F2B" w:rsidRDefault="00790928" w:rsidP="00AF0480">
            <w:pPr>
              <w:pStyle w:val="Tabletext"/>
              <w:keepNext/>
              <w:widowControl w:val="0"/>
              <w:rPr>
                <w:szCs w:val="20"/>
              </w:rPr>
            </w:pPr>
            <w:r w:rsidRPr="00C41F2B">
              <w:rPr>
                <w:szCs w:val="20"/>
              </w:rPr>
              <w:t>The PBAC</w:t>
            </w:r>
            <w:r w:rsidR="001171B1" w:rsidRPr="00C41F2B">
              <w:rPr>
                <w:szCs w:val="20"/>
              </w:rPr>
              <w:t xml:space="preserve"> previously</w:t>
            </w:r>
            <w:r w:rsidRPr="00C41F2B">
              <w:rPr>
                <w:szCs w:val="20"/>
              </w:rPr>
              <w:t xml:space="preserve"> considered that the proportion of patients who receive </w:t>
            </w:r>
            <w:r w:rsidR="004F687F" w:rsidRPr="00C41F2B">
              <w:rPr>
                <w:szCs w:val="20"/>
              </w:rPr>
              <w:t>2L</w:t>
            </w:r>
            <w:r w:rsidRPr="00C41F2B">
              <w:rPr>
                <w:szCs w:val="20"/>
              </w:rPr>
              <w:t xml:space="preserve"> olaparib in clinical practice may be higher than in the SOLO1 trial, and therefore cost-offsets from </w:t>
            </w:r>
            <w:r w:rsidR="004F687F" w:rsidRPr="00C41F2B">
              <w:rPr>
                <w:szCs w:val="20"/>
              </w:rPr>
              <w:t>2L</w:t>
            </w:r>
            <w:r w:rsidRPr="00C41F2B">
              <w:rPr>
                <w:szCs w:val="20"/>
              </w:rPr>
              <w:t xml:space="preserve"> olaparib may be underestimated (Para 7.23, olaparib PSD, November 2019 PBAC meeting)</w:t>
            </w:r>
            <w:r w:rsidR="00B92FDE" w:rsidRPr="00C41F2B">
              <w:rPr>
                <w:szCs w:val="20"/>
              </w:rPr>
              <w:t>.</w:t>
            </w:r>
          </w:p>
          <w:p w:rsidR="008C33FC" w:rsidRPr="00C41F2B" w:rsidRDefault="008C33FC" w:rsidP="00AF0480">
            <w:pPr>
              <w:pStyle w:val="Tabletext"/>
              <w:keepNext/>
              <w:widowControl w:val="0"/>
              <w:rPr>
                <w:szCs w:val="20"/>
              </w:rPr>
            </w:pPr>
          </w:p>
          <w:p w:rsidR="00790928" w:rsidRPr="00C41F2B" w:rsidRDefault="00790928" w:rsidP="00AF0480">
            <w:pPr>
              <w:pStyle w:val="Tabletext"/>
              <w:keepNext/>
              <w:widowControl w:val="0"/>
              <w:rPr>
                <w:i/>
                <w:szCs w:val="20"/>
              </w:rPr>
            </w:pPr>
          </w:p>
        </w:tc>
      </w:tr>
    </w:tbl>
    <w:p w:rsidR="00790928" w:rsidRPr="00C41F2B" w:rsidRDefault="00790928" w:rsidP="00790928">
      <w:pPr>
        <w:pStyle w:val="TableFigureFooter"/>
      </w:pPr>
      <w:r w:rsidRPr="00C41F2B">
        <w:t>Source: Constructed during the evaluation based on Section 4 of the resubmission.</w:t>
      </w:r>
    </w:p>
    <w:p w:rsidR="002E19D4" w:rsidRPr="00C41F2B" w:rsidRDefault="00183894" w:rsidP="00790928">
      <w:pPr>
        <w:pStyle w:val="3-BodyText"/>
        <w:rPr>
          <w:color w:val="0066FF"/>
        </w:rPr>
      </w:pPr>
      <w:r w:rsidRPr="00C41F2B">
        <w:t>A</w:t>
      </w:r>
      <w:r w:rsidR="00790928" w:rsidRPr="00C41F2B">
        <w:t>s</w:t>
      </w:r>
      <w:r w:rsidRPr="00C41F2B">
        <w:t xml:space="preserve"> for</w:t>
      </w:r>
      <w:r w:rsidR="00790928" w:rsidRPr="00C41F2B">
        <w:t xml:space="preserve"> the previous submission, the resubmission used an epidemiological approach to estimate the number of patients diagnosed with FIGO Stage III/IV ovarian, fallopian tube and primary peritoneal cancer. </w:t>
      </w:r>
    </w:p>
    <w:p w:rsidR="002E19D4" w:rsidRPr="00C41F2B" w:rsidRDefault="0003644D" w:rsidP="00790928">
      <w:pPr>
        <w:pStyle w:val="3-BodyText"/>
        <w:rPr>
          <w:color w:val="0066FF"/>
        </w:rPr>
      </w:pPr>
      <w:bookmarkStart w:id="43" w:name="_Ref46896153"/>
      <w:r w:rsidRPr="00C41F2B">
        <w:t>The PBAC noted that the incidence</w:t>
      </w:r>
      <w:r w:rsidR="004A54AE" w:rsidRPr="00C41F2B">
        <w:t xml:space="preserve"> of ovarian cancer was based on AI</w:t>
      </w:r>
      <w:r w:rsidR="004269E1" w:rsidRPr="00C41F2B">
        <w:t>H</w:t>
      </w:r>
      <w:r w:rsidR="004A54AE" w:rsidRPr="00C41F2B">
        <w:t>W data and likely</w:t>
      </w:r>
      <w:r w:rsidRPr="00C41F2B">
        <w:t xml:space="preserve"> include</w:t>
      </w:r>
      <w:r w:rsidR="004A54AE" w:rsidRPr="00C41F2B">
        <w:t>d</w:t>
      </w:r>
      <w:r w:rsidRPr="00C41F2B">
        <w:t xml:space="preserve"> tumour types other than epithelial tumours (e.g. germ cell tumours), which would account for around 1</w:t>
      </w:r>
      <w:r w:rsidR="00464762" w:rsidRPr="00C41F2B">
        <w:t>6</w:t>
      </w:r>
      <w:r w:rsidRPr="00C41F2B">
        <w:t>% of ovarian cancers</w:t>
      </w:r>
      <w:r w:rsidRPr="00C41F2B">
        <w:rPr>
          <w:rStyle w:val="FootnoteReference"/>
        </w:rPr>
        <w:footnoteReference w:id="4"/>
      </w:r>
      <w:r w:rsidRPr="00C41F2B">
        <w:t>. The PBAC considered that the</w:t>
      </w:r>
      <w:r w:rsidR="004A54AE" w:rsidRPr="00C41F2B">
        <w:t xml:space="preserve"> patient numbers </w:t>
      </w:r>
      <w:r w:rsidRPr="00C41F2B">
        <w:t xml:space="preserve">should be </w:t>
      </w:r>
      <w:r w:rsidR="004A54AE" w:rsidRPr="00C41F2B">
        <w:t>revised</w:t>
      </w:r>
      <w:r w:rsidRPr="00C41F2B">
        <w:t xml:space="preserve"> to remove non-epithelial cancers.</w:t>
      </w:r>
      <w:bookmarkEnd w:id="43"/>
      <w:r w:rsidRPr="00C41F2B">
        <w:t xml:space="preserve"> </w:t>
      </w:r>
    </w:p>
    <w:p w:rsidR="00790928" w:rsidRPr="00C41F2B" w:rsidRDefault="00464762" w:rsidP="00790928">
      <w:pPr>
        <w:pStyle w:val="3-BodyText"/>
        <w:rPr>
          <w:color w:val="0066FF"/>
        </w:rPr>
      </w:pPr>
      <w:bookmarkStart w:id="44" w:name="_Ref46896188"/>
      <w:r w:rsidRPr="00C41F2B">
        <w:lastRenderedPageBreak/>
        <w:t xml:space="preserve">The PBAC noted that </w:t>
      </w:r>
      <w:r w:rsidR="004269E1" w:rsidRPr="00C41F2B">
        <w:t xml:space="preserve">the </w:t>
      </w:r>
      <w:r w:rsidR="0007038F" w:rsidRPr="00C41F2B">
        <w:t>estimated patient numbers</w:t>
      </w:r>
      <w:r w:rsidRPr="00C41F2B">
        <w:t xml:space="preserve"> were multiplied by</w:t>
      </w:r>
      <w:r w:rsidR="0007038F" w:rsidRPr="00C41F2B">
        <w:t xml:space="preserve"> a factor of</w:t>
      </w:r>
      <w:r w:rsidRPr="00C41F2B">
        <w:t xml:space="preserve"> 1.14 to include patients with primary peritoneal and fallopian tube cancer. The PBAC noted that this factor was not justified in the submission and </w:t>
      </w:r>
      <w:r w:rsidR="002E19D4" w:rsidRPr="00C41F2B">
        <w:t xml:space="preserve">considered </w:t>
      </w:r>
      <w:r w:rsidRPr="00C41F2B">
        <w:t>that the AIHW data is likely to encompass primary peritoneal cancer and to some extent, fallopian tube cancer, as distinguishing between these subtypes is often not practical.</w:t>
      </w:r>
      <w:bookmarkEnd w:id="44"/>
    </w:p>
    <w:p w:rsidR="004269E1" w:rsidRPr="00C41F2B" w:rsidRDefault="004269E1" w:rsidP="00790928">
      <w:pPr>
        <w:pStyle w:val="3-BodyText"/>
        <w:rPr>
          <w:color w:val="0066FF"/>
        </w:rPr>
      </w:pPr>
      <w:bookmarkStart w:id="45" w:name="_Ref46896230"/>
      <w:r w:rsidRPr="00C41F2B">
        <w:t xml:space="preserve">The assumed prevalence of </w:t>
      </w:r>
      <w:r w:rsidRPr="00C41F2B">
        <w:rPr>
          <w:iCs/>
        </w:rPr>
        <w:t>BRCA</w:t>
      </w:r>
      <w:r w:rsidRPr="00C41F2B">
        <w:t xml:space="preserve"> mutations was increased to 26.3% (20.3% for </w:t>
      </w:r>
      <w:proofErr w:type="spellStart"/>
      <w:r w:rsidRPr="00C41F2B">
        <w:t>gBRCAm</w:t>
      </w:r>
      <w:proofErr w:type="spellEnd"/>
      <w:r w:rsidRPr="00C41F2B">
        <w:t xml:space="preserve"> and 6% for </w:t>
      </w:r>
      <w:proofErr w:type="spellStart"/>
      <w:r w:rsidRPr="00C41F2B">
        <w:t>sBRCAm</w:t>
      </w:r>
      <w:proofErr w:type="spellEnd"/>
      <w:r w:rsidRPr="00C41F2B">
        <w:t xml:space="preserve">) in the resubmission from 22.6% (16.6% for </w:t>
      </w:r>
      <w:proofErr w:type="spellStart"/>
      <w:r w:rsidRPr="00C41F2B">
        <w:t>gBRCAm</w:t>
      </w:r>
      <w:proofErr w:type="spellEnd"/>
      <w:r w:rsidRPr="00C41F2B">
        <w:t xml:space="preserve"> and 6% for </w:t>
      </w:r>
      <w:proofErr w:type="spellStart"/>
      <w:r w:rsidRPr="00C41F2B">
        <w:t>sBRCAm</w:t>
      </w:r>
      <w:proofErr w:type="spellEnd"/>
      <w:r w:rsidRPr="00C41F2B">
        <w:t xml:space="preserve">) in the previous submission. The prevalence of 20.3% for </w:t>
      </w:r>
      <w:proofErr w:type="spellStart"/>
      <w:r w:rsidRPr="00C41F2B">
        <w:t>gBRCAm</w:t>
      </w:r>
      <w:proofErr w:type="spellEnd"/>
      <w:r w:rsidRPr="00C41F2B">
        <w:t xml:space="preserve"> is consistent with the previous PBAC advice (para 7.25, olaparib PSD, November 2019 PBAC meting). The PBAC considered that the prevalence of </w:t>
      </w:r>
      <w:proofErr w:type="spellStart"/>
      <w:r w:rsidRPr="00C41F2B">
        <w:t>sBRCAm</w:t>
      </w:r>
      <w:proofErr w:type="spellEnd"/>
      <w:r w:rsidRPr="00C41F2B">
        <w:t xml:space="preserve"> should be reduced to 5% consistent with the PBAC’s advice at the March 2020 meeting (paragraph 7.9 olaparib PSD March 2020 PBAC meeting).</w:t>
      </w:r>
      <w:bookmarkEnd w:id="45"/>
    </w:p>
    <w:p w:rsidR="00790928" w:rsidRPr="00C41F2B" w:rsidRDefault="00790928" w:rsidP="00790928">
      <w:pPr>
        <w:pStyle w:val="3-BodyText"/>
        <w:rPr>
          <w:color w:val="0066FF"/>
        </w:rPr>
      </w:pPr>
      <w:r w:rsidRPr="00C41F2B">
        <w:t>The resubmission estimated that 95% of eligible patients would undertake tumour BR</w:t>
      </w:r>
      <w:r w:rsidR="00EF1F93">
        <w:t>CA</w:t>
      </w:r>
      <w:r w:rsidRPr="00C41F2B">
        <w:t>m testing. During the evaluation, it was assumed that the remaining 5% of patients un</w:t>
      </w:r>
      <w:r w:rsidR="005B125F" w:rsidRPr="00C41F2B">
        <w:t>derwent a germline BRCAm test</w:t>
      </w:r>
      <w:r w:rsidRPr="00C41F2B">
        <w:t xml:space="preserve"> and the subsequently identified </w:t>
      </w:r>
      <w:proofErr w:type="spellStart"/>
      <w:r w:rsidRPr="00C41F2B">
        <w:t>gBRCAm</w:t>
      </w:r>
      <w:proofErr w:type="spellEnd"/>
      <w:r w:rsidRPr="00C41F2B">
        <w:t xml:space="preserve"> patients were included in the evaluation’s re-analyses.</w:t>
      </w:r>
      <w:r w:rsidR="003C691F" w:rsidRPr="00C41F2B">
        <w:t xml:space="preserve"> The PBAC considered it was reasonable to assume that 5% of patients would not undergo testing where patients are elderly or frail</w:t>
      </w:r>
      <w:r w:rsidR="003E5929">
        <w:t xml:space="preserve"> and do not undergo surgery and commence platinum based chemotherapy</w:t>
      </w:r>
      <w:r w:rsidR="003C691F" w:rsidRPr="00C41F2B">
        <w:t xml:space="preserve">. </w:t>
      </w:r>
    </w:p>
    <w:p w:rsidR="00790928" w:rsidRPr="00C41F2B" w:rsidRDefault="00EF432F" w:rsidP="004A12A3">
      <w:pPr>
        <w:pStyle w:val="3-BodyText"/>
      </w:pPr>
      <w:bookmarkStart w:id="46" w:name="_Ref46896989"/>
      <w:r w:rsidRPr="00C41F2B">
        <w:t>The</w:t>
      </w:r>
      <w:r w:rsidR="00790928" w:rsidRPr="00C41F2B">
        <w:t xml:space="preserve"> resubmission estimated the average duration of </w:t>
      </w:r>
      <w:r w:rsidR="004F687F" w:rsidRPr="00C41F2B">
        <w:t>1L</w:t>
      </w:r>
      <w:r w:rsidR="00790928" w:rsidRPr="00C41F2B">
        <w:t xml:space="preserve"> olaparib maintenance based on the time to treatment discontinuation curve from SOLO1. </w:t>
      </w:r>
      <w:r w:rsidR="00790928" w:rsidRPr="00C41F2B">
        <w:rPr>
          <w:iCs/>
        </w:rPr>
        <w:t xml:space="preserve">The resubmission appeared to make an error in converting the number of packs required (28 day supply) to the average number of months </w:t>
      </w:r>
      <w:r w:rsidR="00711309" w:rsidRPr="00C41F2B">
        <w:rPr>
          <w:iCs/>
        </w:rPr>
        <w:t xml:space="preserve">of </w:t>
      </w:r>
      <w:r w:rsidR="00790928" w:rsidRPr="00C41F2B">
        <w:rPr>
          <w:iCs/>
        </w:rPr>
        <w:t>treatment in a calendar year (assuming an average of 365.25/12= 30.4 days per month).</w:t>
      </w:r>
      <w:r w:rsidR="000A27EB" w:rsidRPr="00C41F2B">
        <w:rPr>
          <w:iCs/>
        </w:rPr>
        <w:t xml:space="preserve"> The PBAC noted, as for the economic model, the cost of </w:t>
      </w:r>
      <w:r w:rsidR="004269E1" w:rsidRPr="00C41F2B">
        <w:rPr>
          <w:iCs/>
        </w:rPr>
        <w:t xml:space="preserve">1L </w:t>
      </w:r>
      <w:r w:rsidR="000A27EB" w:rsidRPr="00C41F2B">
        <w:rPr>
          <w:iCs/>
        </w:rPr>
        <w:t xml:space="preserve">olaparib should be reduced to account for treatment interruptions. Treatment interruptions were estimated to account for </w:t>
      </w:r>
      <w:r w:rsidR="004269E1" w:rsidRPr="00C41F2B">
        <w:rPr>
          <w:iCs/>
        </w:rPr>
        <w:t>1 month</w:t>
      </w:r>
      <w:r w:rsidR="003947B7" w:rsidRPr="00C41F2B">
        <w:rPr>
          <w:iCs/>
        </w:rPr>
        <w:t xml:space="preserve"> (1</w:t>
      </w:r>
      <w:r w:rsidR="00DD595E">
        <w:rPr>
          <w:iCs/>
        </w:rPr>
        <w:t> </w:t>
      </w:r>
      <w:r w:rsidR="003947B7" w:rsidRPr="00C41F2B">
        <w:rPr>
          <w:iCs/>
        </w:rPr>
        <w:t xml:space="preserve">model cycle, Table 11) out of a total of 21.5 months of treatment. Thus the prescription </w:t>
      </w:r>
      <w:r w:rsidR="004269E1" w:rsidRPr="00C41F2B">
        <w:rPr>
          <w:iCs/>
        </w:rPr>
        <w:t>numbers have been reduced by 4.7</w:t>
      </w:r>
      <w:r w:rsidR="003947B7" w:rsidRPr="00C41F2B">
        <w:rPr>
          <w:iCs/>
        </w:rPr>
        <w:t>%.</w:t>
      </w:r>
      <w:bookmarkEnd w:id="46"/>
    </w:p>
    <w:p w:rsidR="005B125F" w:rsidRPr="00C41F2B" w:rsidRDefault="0040095E" w:rsidP="00AE1C68">
      <w:pPr>
        <w:pStyle w:val="3-BodyText"/>
      </w:pPr>
      <w:bookmarkStart w:id="47" w:name="_Ref46896554"/>
      <w:r w:rsidRPr="00C41F2B">
        <w:t>A</w:t>
      </w:r>
      <w:r w:rsidR="00EF432F" w:rsidRPr="00C41F2B">
        <w:t xml:space="preserve">s </w:t>
      </w:r>
      <w:r w:rsidRPr="00C41F2B">
        <w:t xml:space="preserve">in </w:t>
      </w:r>
      <w:r w:rsidR="00EF432F" w:rsidRPr="00C41F2B">
        <w:t>the November 2019 submission,</w:t>
      </w:r>
      <w:r w:rsidR="00790928" w:rsidRPr="00C41F2B">
        <w:t xml:space="preserve"> the resubmission estimated the displacement of </w:t>
      </w:r>
      <w:r w:rsidR="004F687F" w:rsidRPr="00C41F2B">
        <w:t>2L</w:t>
      </w:r>
      <w:r w:rsidR="00790928" w:rsidRPr="00C41F2B">
        <w:t xml:space="preserve"> olaparib using the PFS Kaplan-Meier estimates from the placebo arm in SOLO1 and assuming 51% of progressed patients on placebo would receive </w:t>
      </w:r>
      <w:r w:rsidR="004F687F" w:rsidRPr="00C41F2B">
        <w:t>2L</w:t>
      </w:r>
      <w:r w:rsidR="00790928" w:rsidRPr="00C41F2B">
        <w:t xml:space="preserve"> olaparib maintenance. To estimate </w:t>
      </w:r>
      <w:r w:rsidR="005B125F" w:rsidRPr="00C41F2B">
        <w:t xml:space="preserve">the </w:t>
      </w:r>
      <w:r w:rsidR="00790928" w:rsidRPr="00C41F2B">
        <w:t xml:space="preserve">treatment duration for </w:t>
      </w:r>
      <w:r w:rsidR="004F687F" w:rsidRPr="00C41F2B">
        <w:t>2L</w:t>
      </w:r>
      <w:r w:rsidR="00790928" w:rsidRPr="00C41F2B">
        <w:t xml:space="preserve"> olaparib, the resubmission applied the time until discontinuation of </w:t>
      </w:r>
      <w:r w:rsidR="004F687F" w:rsidRPr="00C41F2B">
        <w:t>2L</w:t>
      </w:r>
      <w:r w:rsidR="00790928" w:rsidRPr="00C41F2B">
        <w:t xml:space="preserve"> olaparib from Study 19</w:t>
      </w:r>
      <w:r w:rsidR="00554940" w:rsidRPr="00C41F2B">
        <w:t xml:space="preserve">. </w:t>
      </w:r>
      <w:r w:rsidR="005B125F" w:rsidRPr="00C41F2B">
        <w:rPr>
          <w:iCs/>
        </w:rPr>
        <w:t>The resubmission stated that it was assumed that 12 packs were required per treatment year for 2L</w:t>
      </w:r>
      <w:r w:rsidR="00DD595E">
        <w:rPr>
          <w:iCs/>
        </w:rPr>
        <w:t> </w:t>
      </w:r>
      <w:r w:rsidR="005B125F" w:rsidRPr="00C41F2B">
        <w:rPr>
          <w:iCs/>
        </w:rPr>
        <w:t>olaparib. The number of scripts required per patient year is actually 13.04 scripts (365.25 days/28 days per script). Further to this, the resubmission assumed that 3</w:t>
      </w:r>
      <w:r w:rsidR="00DD595E">
        <w:rPr>
          <w:iCs/>
        </w:rPr>
        <w:t> </w:t>
      </w:r>
      <w:r w:rsidR="005B125F" w:rsidRPr="00C41F2B">
        <w:rPr>
          <w:iCs/>
        </w:rPr>
        <w:t>scripts would also be required in the second year. This calculation was not explained by the resubmission and appeared incorrect.</w:t>
      </w:r>
      <w:bookmarkEnd w:id="47"/>
    </w:p>
    <w:p w:rsidR="00BE017E" w:rsidRPr="00C41F2B" w:rsidRDefault="00BE017E" w:rsidP="00790928">
      <w:pPr>
        <w:pStyle w:val="3-BodyText"/>
      </w:pPr>
      <w:r w:rsidRPr="00C41F2B">
        <w:rPr>
          <w:iCs/>
        </w:rPr>
        <w:t xml:space="preserve">The PBAC noted </w:t>
      </w:r>
      <w:r w:rsidR="00131F6E" w:rsidRPr="00C41F2B">
        <w:rPr>
          <w:iCs/>
        </w:rPr>
        <w:t xml:space="preserve">that </w:t>
      </w:r>
      <w:r w:rsidRPr="00C41F2B">
        <w:rPr>
          <w:iCs/>
        </w:rPr>
        <w:t>for the calculation of the cost of 1L olaparib</w:t>
      </w:r>
      <w:r w:rsidR="00955224" w:rsidRPr="00C41F2B">
        <w:rPr>
          <w:iCs/>
        </w:rPr>
        <w:t>,</w:t>
      </w:r>
      <w:r w:rsidRPr="00C41F2B">
        <w:rPr>
          <w:iCs/>
        </w:rPr>
        <w:t xml:space="preserve"> and for the cost offsets associated with 2L olaparib</w:t>
      </w:r>
      <w:r w:rsidR="00955224" w:rsidRPr="00C41F2B">
        <w:rPr>
          <w:iCs/>
        </w:rPr>
        <w:t>,</w:t>
      </w:r>
      <w:r w:rsidRPr="00C41F2B">
        <w:rPr>
          <w:iCs/>
        </w:rPr>
        <w:t xml:space="preserve"> it was assumed that 75% of patients would be treated in year 1.</w:t>
      </w:r>
      <w:r w:rsidR="00955224" w:rsidRPr="00C41F2B">
        <w:t xml:space="preserve"> The PBAC</w:t>
      </w:r>
      <w:r w:rsidR="00E734B8" w:rsidRPr="00C41F2B">
        <w:t xml:space="preserve"> considered</w:t>
      </w:r>
      <w:r w:rsidR="00955224" w:rsidRPr="00C41F2B">
        <w:t xml:space="preserve"> that the uptake rate should be reduced in </w:t>
      </w:r>
      <w:r w:rsidR="00955224" w:rsidRPr="00C41F2B">
        <w:lastRenderedPageBreak/>
        <w:t>Year</w:t>
      </w:r>
      <w:r w:rsidR="00552720">
        <w:t> </w:t>
      </w:r>
      <w:r w:rsidR="00955224" w:rsidRPr="00C41F2B">
        <w:t>1 to account for patients commencing treatment throughout the year and, on average, receiving a lower number of prescriptions per patient.</w:t>
      </w:r>
      <w:r w:rsidR="000A27EB" w:rsidRPr="00C41F2B">
        <w:t xml:space="preserve"> </w:t>
      </w:r>
    </w:p>
    <w:p w:rsidR="00790928" w:rsidRPr="00C41F2B" w:rsidRDefault="00790928" w:rsidP="00790928">
      <w:pPr>
        <w:pStyle w:val="3-BodyText"/>
      </w:pPr>
      <w:r w:rsidRPr="00C41F2B">
        <w:t xml:space="preserve">The number of grandfathered patients was estimated as </w:t>
      </w:r>
      <w:r w:rsidR="00A91904">
        <w:t xml:space="preserve">&lt;500 </w:t>
      </w:r>
      <w:r w:rsidRPr="00C41F2B">
        <w:t xml:space="preserve">in the resubmission, compared with </w:t>
      </w:r>
      <w:r w:rsidR="00A91904">
        <w:t xml:space="preserve">&lt;500 </w:t>
      </w:r>
      <w:r w:rsidRPr="00C41F2B">
        <w:t xml:space="preserve">in the previous submission. The ESC previously noted that the displacement of </w:t>
      </w:r>
      <w:r w:rsidR="004F687F" w:rsidRPr="00C41F2B">
        <w:t>2L</w:t>
      </w:r>
      <w:r w:rsidR="00FB455D" w:rsidRPr="00C41F2B">
        <w:t xml:space="preserve"> </w:t>
      </w:r>
      <w:r w:rsidRPr="00C41F2B">
        <w:t xml:space="preserve">olaparib did not account for grandfathered patients who would no longer access olaparib in the </w:t>
      </w:r>
      <w:r w:rsidR="004F687F" w:rsidRPr="00C41F2B">
        <w:t>2L</w:t>
      </w:r>
      <w:r w:rsidRPr="00C41F2B">
        <w:t xml:space="preserve"> setting (para 6.71, olaparib, PSD, November 2019 PBAC meeting). Grandfathered patients had been included in the estimated displacement of </w:t>
      </w:r>
      <w:r w:rsidR="004F687F" w:rsidRPr="00C41F2B">
        <w:t>2L</w:t>
      </w:r>
      <w:r w:rsidRPr="00C41F2B">
        <w:t xml:space="preserve"> olaparib in the resubmission.</w:t>
      </w:r>
    </w:p>
    <w:p w:rsidR="00790928" w:rsidRPr="00C41F2B" w:rsidRDefault="00790928" w:rsidP="00790928">
      <w:pPr>
        <w:pStyle w:val="3-BodyText"/>
      </w:pPr>
      <w:r w:rsidRPr="00C41F2B">
        <w:t>The estimated use and financial implications are summarised below</w:t>
      </w:r>
      <w:r w:rsidR="00C41F2B">
        <w:t xml:space="preserve">. </w:t>
      </w:r>
      <w:r w:rsidR="003A68BE" w:rsidRPr="00C41F2B">
        <w:t xml:space="preserve">The estimates </w:t>
      </w:r>
      <w:r w:rsidR="001267D6" w:rsidRPr="00C41F2B">
        <w:t>presented in the resubmission</w:t>
      </w:r>
      <w:r w:rsidR="005B125F" w:rsidRPr="00C41F2B">
        <w:t xml:space="preserve"> have been adjusted as follows</w:t>
      </w:r>
      <w:r w:rsidR="003A68BE" w:rsidRPr="00C41F2B">
        <w:t>:</w:t>
      </w:r>
    </w:p>
    <w:p w:rsidR="003A68BE" w:rsidRPr="00C41F2B" w:rsidRDefault="003A68BE" w:rsidP="003A68BE">
      <w:pPr>
        <w:pStyle w:val="3-BodyText"/>
        <w:numPr>
          <w:ilvl w:val="0"/>
          <w:numId w:val="38"/>
        </w:numPr>
      </w:pPr>
      <w:r w:rsidRPr="00C41F2B">
        <w:rPr>
          <w:iCs/>
        </w:rPr>
        <w:t>Patient numbers revised to exclude non-epithelial ovarian cancers (16%) (paragraph</w:t>
      </w:r>
      <w:r w:rsidR="00330D7D" w:rsidRPr="00C41F2B">
        <w:rPr>
          <w:iCs/>
        </w:rPr>
        <w:t xml:space="preserve"> </w:t>
      </w:r>
      <w:r w:rsidR="00A0380C">
        <w:rPr>
          <w:iCs/>
        </w:rPr>
        <w:t>6.44</w:t>
      </w:r>
      <w:r w:rsidRPr="00C41F2B">
        <w:rPr>
          <w:iCs/>
        </w:rPr>
        <w:t>);</w:t>
      </w:r>
    </w:p>
    <w:p w:rsidR="003A68BE" w:rsidRPr="00C41F2B" w:rsidRDefault="003A68BE" w:rsidP="003A68BE">
      <w:pPr>
        <w:pStyle w:val="3-BodyText"/>
        <w:numPr>
          <w:ilvl w:val="0"/>
          <w:numId w:val="38"/>
        </w:numPr>
      </w:pPr>
      <w:r w:rsidRPr="00C41F2B">
        <w:rPr>
          <w:iCs/>
        </w:rPr>
        <w:t>1.14 multiplication factor removed (paragraph</w:t>
      </w:r>
      <w:r w:rsidR="00C41F2B">
        <w:rPr>
          <w:iCs/>
        </w:rPr>
        <w:t xml:space="preserve"> </w:t>
      </w:r>
      <w:r w:rsidR="00A0380C">
        <w:rPr>
          <w:iCs/>
        </w:rPr>
        <w:t>6.45</w:t>
      </w:r>
      <w:r w:rsidRPr="00C41F2B">
        <w:rPr>
          <w:iCs/>
        </w:rPr>
        <w:t>);</w:t>
      </w:r>
    </w:p>
    <w:p w:rsidR="003A68BE" w:rsidRPr="00C41F2B" w:rsidRDefault="003A68BE" w:rsidP="003A68BE">
      <w:pPr>
        <w:pStyle w:val="3-BodyText"/>
        <w:numPr>
          <w:ilvl w:val="0"/>
          <w:numId w:val="38"/>
        </w:numPr>
      </w:pPr>
      <w:r w:rsidRPr="00C41F2B">
        <w:rPr>
          <w:iCs/>
        </w:rPr>
        <w:t>The prevalence of somatic BRCAm</w:t>
      </w:r>
      <w:r w:rsidRPr="00C41F2B">
        <w:t xml:space="preserve"> reduced from 6% to 5% (paragraph </w:t>
      </w:r>
      <w:r w:rsidR="00A0380C">
        <w:t>6.46</w:t>
      </w:r>
      <w:r w:rsidRPr="00C41F2B">
        <w:t xml:space="preserve">); </w:t>
      </w:r>
    </w:p>
    <w:p w:rsidR="003A68BE" w:rsidRPr="00C41F2B" w:rsidRDefault="00713646" w:rsidP="003A68BE">
      <w:pPr>
        <w:pStyle w:val="3-BodyText"/>
        <w:numPr>
          <w:ilvl w:val="0"/>
          <w:numId w:val="38"/>
        </w:numPr>
      </w:pPr>
      <w:r w:rsidRPr="00C41F2B">
        <w:t>Correction to the number of packs for 1L olaparib (</w:t>
      </w:r>
      <w:r w:rsidR="00EF1F93" w:rsidRPr="00C41F2B">
        <w:t xml:space="preserve">paragraph </w:t>
      </w:r>
      <w:r w:rsidR="00A0380C">
        <w:t>6.48</w:t>
      </w:r>
      <w:r w:rsidRPr="00C41F2B">
        <w:t>);</w:t>
      </w:r>
    </w:p>
    <w:p w:rsidR="003947B7" w:rsidRPr="00C41F2B" w:rsidRDefault="003947B7" w:rsidP="003A68BE">
      <w:pPr>
        <w:pStyle w:val="3-BodyText"/>
        <w:numPr>
          <w:ilvl w:val="0"/>
          <w:numId w:val="38"/>
        </w:numPr>
      </w:pPr>
      <w:r w:rsidRPr="00C41F2B">
        <w:t xml:space="preserve">Reduction in the number of prescription per patient for 1L olaparib to account for dose interruptions (paragraph </w:t>
      </w:r>
      <w:r w:rsidR="00A0380C">
        <w:t>6.48</w:t>
      </w:r>
      <w:r w:rsidRPr="00C41F2B">
        <w:t>);</w:t>
      </w:r>
    </w:p>
    <w:p w:rsidR="00713646" w:rsidRPr="00C41F2B" w:rsidRDefault="00713646" w:rsidP="003A68BE">
      <w:pPr>
        <w:pStyle w:val="3-BodyText"/>
        <w:numPr>
          <w:ilvl w:val="0"/>
          <w:numId w:val="38"/>
        </w:numPr>
      </w:pPr>
      <w:r w:rsidRPr="00C41F2B">
        <w:t xml:space="preserve">Correction to the number of packs for 2L olaparib (paragraph </w:t>
      </w:r>
      <w:r w:rsidR="00A0380C">
        <w:t>6.49</w:t>
      </w:r>
      <w:r w:rsidRPr="00C41F2B">
        <w:t>)</w:t>
      </w:r>
      <w:r w:rsidR="00E57BF3" w:rsidRPr="00C41F2B">
        <w:t>;</w:t>
      </w:r>
    </w:p>
    <w:p w:rsidR="00E57BF3" w:rsidRPr="00C41F2B" w:rsidRDefault="00E57BF3" w:rsidP="003A68BE">
      <w:pPr>
        <w:pStyle w:val="3-BodyText"/>
        <w:numPr>
          <w:ilvl w:val="0"/>
          <w:numId w:val="38"/>
        </w:numPr>
      </w:pPr>
      <w:r w:rsidRPr="00C41F2B">
        <w:t xml:space="preserve">Inclusion of </w:t>
      </w:r>
      <w:r w:rsidR="004A12A3" w:rsidRPr="00C41F2B">
        <w:t xml:space="preserve">the </w:t>
      </w:r>
      <w:r w:rsidR="00283A6B">
        <w:t>&lt;500</w:t>
      </w:r>
      <w:r w:rsidRPr="00C41F2B">
        <w:t xml:space="preserve"> </w:t>
      </w:r>
      <w:r w:rsidR="00F401FD" w:rsidRPr="00C41F2B">
        <w:t>grandfather</w:t>
      </w:r>
      <w:r w:rsidR="004B1CFF">
        <w:t>ed</w:t>
      </w:r>
      <w:r w:rsidR="00F401FD" w:rsidRPr="00C41F2B">
        <w:t xml:space="preserve"> patients</w:t>
      </w:r>
      <w:r w:rsidRPr="00C41F2B">
        <w:t xml:space="preserve"> </w:t>
      </w:r>
      <w:r w:rsidR="00F401FD" w:rsidRPr="00C41F2B">
        <w:t>(</w:t>
      </w:r>
      <w:r w:rsidRPr="00C41F2B">
        <w:t xml:space="preserve">not </w:t>
      </w:r>
      <w:r w:rsidR="00283A6B">
        <w:t>&lt;500</w:t>
      </w:r>
      <w:r w:rsidR="004A12A3" w:rsidRPr="00C41F2B">
        <w:t xml:space="preserve"> germline patients</w:t>
      </w:r>
      <w:r w:rsidR="00F401FD" w:rsidRPr="00C41F2B">
        <w:t>)</w:t>
      </w:r>
      <w:r w:rsidRPr="00C41F2B">
        <w:t xml:space="preserve"> </w:t>
      </w:r>
      <w:r w:rsidR="00F401FD" w:rsidRPr="00C41F2B">
        <w:t>for the calculation of the 2L olaparib offsets</w:t>
      </w:r>
      <w:r w:rsidRPr="00C41F2B">
        <w:t>.</w:t>
      </w:r>
      <w:r w:rsidR="00DA2BE5" w:rsidRPr="00C41F2B">
        <w:t xml:space="preserve"> </w:t>
      </w:r>
    </w:p>
    <w:p w:rsidR="00E734B8" w:rsidRPr="00C41F2B" w:rsidRDefault="00E734B8" w:rsidP="00E734B8">
      <w:pPr>
        <w:pStyle w:val="3-BodyText"/>
      </w:pPr>
      <w:r w:rsidRPr="00C41F2B">
        <w:t xml:space="preserve">The PBAC noted the resubmission’s sensitivity analyses for the financial estimates included cost offsets for reduced bevacizumab use. As for the economic model this was based on use in 7% of patients. The PBAC considered it reasonable for offsets for the reduced use of bevacizumab to be included in the financial estimates, noting that the offset had been underestimated due to underestimating the proportion of patients treated with bevacizumab, and this was likely in the region of up to 40% of the total 1L patients. </w:t>
      </w:r>
    </w:p>
    <w:p w:rsidR="00020518" w:rsidRPr="00C41F2B" w:rsidRDefault="00020518" w:rsidP="00020518">
      <w:pPr>
        <w:pStyle w:val="TableFigureHeading"/>
      </w:pPr>
      <w:r w:rsidRPr="00C41F2B">
        <w:lastRenderedPageBreak/>
        <w:t xml:space="preserve">Table </w:t>
      </w:r>
      <w:r w:rsidR="00A0380C">
        <w:rPr>
          <w:noProof/>
        </w:rPr>
        <w:t>14</w:t>
      </w:r>
      <w:r w:rsidRPr="00C41F2B">
        <w:t xml:space="preserve">: </w:t>
      </w:r>
      <w:r w:rsidRPr="00C41F2B">
        <w:rPr>
          <w:rStyle w:val="CommentReference"/>
          <w:b/>
          <w:szCs w:val="24"/>
        </w:rPr>
        <w:t>Estimated use and financial implications</w:t>
      </w:r>
      <w:r w:rsidR="00ED34AD" w:rsidRPr="00C41F2B">
        <w:rPr>
          <w:rStyle w:val="CommentReference"/>
          <w:b/>
          <w:szCs w:val="24"/>
        </w:rPr>
        <w:t xml:space="preserve"> (PBAC revised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790928" w:rsidRPr="00C41F2B" w:rsidTr="00EF432F">
        <w:trPr>
          <w:tblHeader/>
        </w:trPr>
        <w:tc>
          <w:tcPr>
            <w:tcW w:w="1116" w:type="pct"/>
            <w:shd w:val="clear" w:color="auto" w:fill="auto"/>
            <w:vAlign w:val="center"/>
          </w:tcPr>
          <w:p w:rsidR="00790928" w:rsidRPr="00C41F2B" w:rsidRDefault="00790928" w:rsidP="00381241">
            <w:pPr>
              <w:pStyle w:val="In-tableHeading"/>
              <w:jc w:val="center"/>
              <w:rPr>
                <w:lang w:val="en-AU"/>
              </w:rPr>
            </w:pPr>
          </w:p>
        </w:tc>
        <w:tc>
          <w:tcPr>
            <w:tcW w:w="647" w:type="pct"/>
            <w:shd w:val="clear" w:color="auto" w:fill="auto"/>
            <w:vAlign w:val="center"/>
          </w:tcPr>
          <w:p w:rsidR="00790928" w:rsidRPr="00C41F2B" w:rsidRDefault="00790928" w:rsidP="00381241">
            <w:pPr>
              <w:pStyle w:val="In-tableHeading"/>
              <w:jc w:val="center"/>
              <w:rPr>
                <w:lang w:val="en-AU"/>
              </w:rPr>
            </w:pPr>
            <w:r w:rsidRPr="00C41F2B">
              <w:rPr>
                <w:lang w:val="en-AU"/>
              </w:rPr>
              <w:t>Year 1</w:t>
            </w:r>
          </w:p>
        </w:tc>
        <w:tc>
          <w:tcPr>
            <w:tcW w:w="647" w:type="pct"/>
            <w:shd w:val="clear" w:color="auto" w:fill="auto"/>
            <w:vAlign w:val="center"/>
          </w:tcPr>
          <w:p w:rsidR="00790928" w:rsidRPr="00C41F2B" w:rsidRDefault="00790928" w:rsidP="00381241">
            <w:pPr>
              <w:pStyle w:val="In-tableHeading"/>
              <w:jc w:val="center"/>
              <w:rPr>
                <w:lang w:val="en-AU"/>
              </w:rPr>
            </w:pPr>
            <w:r w:rsidRPr="00C41F2B">
              <w:rPr>
                <w:lang w:val="en-AU"/>
              </w:rPr>
              <w:t>Year 2</w:t>
            </w:r>
          </w:p>
        </w:tc>
        <w:tc>
          <w:tcPr>
            <w:tcW w:w="647" w:type="pct"/>
            <w:shd w:val="clear" w:color="auto" w:fill="auto"/>
            <w:vAlign w:val="center"/>
          </w:tcPr>
          <w:p w:rsidR="00790928" w:rsidRPr="00C41F2B" w:rsidRDefault="00790928" w:rsidP="00381241">
            <w:pPr>
              <w:pStyle w:val="In-tableHeading"/>
              <w:jc w:val="center"/>
              <w:rPr>
                <w:lang w:val="en-AU"/>
              </w:rPr>
            </w:pPr>
            <w:r w:rsidRPr="00C41F2B">
              <w:rPr>
                <w:lang w:val="en-AU"/>
              </w:rPr>
              <w:t>Year 3</w:t>
            </w:r>
          </w:p>
        </w:tc>
        <w:tc>
          <w:tcPr>
            <w:tcW w:w="647" w:type="pct"/>
            <w:shd w:val="clear" w:color="auto" w:fill="auto"/>
            <w:vAlign w:val="center"/>
          </w:tcPr>
          <w:p w:rsidR="00790928" w:rsidRPr="00C41F2B" w:rsidRDefault="00790928" w:rsidP="00381241">
            <w:pPr>
              <w:pStyle w:val="In-tableHeading"/>
              <w:jc w:val="center"/>
              <w:rPr>
                <w:lang w:val="en-AU"/>
              </w:rPr>
            </w:pPr>
            <w:r w:rsidRPr="00C41F2B">
              <w:rPr>
                <w:lang w:val="en-AU"/>
              </w:rPr>
              <w:t>Year 4</w:t>
            </w:r>
          </w:p>
        </w:tc>
        <w:tc>
          <w:tcPr>
            <w:tcW w:w="647" w:type="pct"/>
            <w:shd w:val="clear" w:color="auto" w:fill="auto"/>
            <w:vAlign w:val="center"/>
          </w:tcPr>
          <w:p w:rsidR="00790928" w:rsidRPr="00C41F2B" w:rsidRDefault="00790928" w:rsidP="00381241">
            <w:pPr>
              <w:pStyle w:val="In-tableHeading"/>
              <w:jc w:val="center"/>
              <w:rPr>
                <w:lang w:val="en-AU"/>
              </w:rPr>
            </w:pPr>
            <w:r w:rsidRPr="00C41F2B">
              <w:rPr>
                <w:lang w:val="en-AU"/>
              </w:rPr>
              <w:t>Year 5</w:t>
            </w:r>
          </w:p>
        </w:tc>
        <w:tc>
          <w:tcPr>
            <w:tcW w:w="649" w:type="pct"/>
          </w:tcPr>
          <w:p w:rsidR="00790928" w:rsidRPr="00C41F2B" w:rsidRDefault="00790928" w:rsidP="00381241">
            <w:pPr>
              <w:pStyle w:val="In-tableHeading"/>
              <w:jc w:val="center"/>
              <w:rPr>
                <w:lang w:val="en-AU"/>
              </w:rPr>
            </w:pPr>
            <w:r w:rsidRPr="00C41F2B">
              <w:rPr>
                <w:lang w:val="en-AU"/>
              </w:rPr>
              <w:t>Year 6</w:t>
            </w:r>
          </w:p>
        </w:tc>
      </w:tr>
      <w:tr w:rsidR="00790928" w:rsidRPr="00C41F2B" w:rsidTr="00381241">
        <w:tc>
          <w:tcPr>
            <w:tcW w:w="5000" w:type="pct"/>
            <w:gridSpan w:val="7"/>
            <w:shd w:val="clear" w:color="auto" w:fill="auto"/>
            <w:vAlign w:val="center"/>
          </w:tcPr>
          <w:p w:rsidR="00790928" w:rsidRPr="00E9713A" w:rsidRDefault="00790928" w:rsidP="00381241">
            <w:pPr>
              <w:pStyle w:val="In-tableHeading"/>
              <w:rPr>
                <w:bCs/>
                <w:color w:val="000000"/>
                <w:lang w:val="en-AU"/>
              </w:rPr>
            </w:pPr>
            <w:r w:rsidRPr="00C41F2B">
              <w:rPr>
                <w:bCs/>
                <w:color w:val="000000"/>
                <w:lang w:val="en-AU"/>
              </w:rPr>
              <w:t>Estimated extent of use</w:t>
            </w:r>
          </w:p>
        </w:tc>
      </w:tr>
      <w:tr w:rsidR="00EF432F" w:rsidRPr="00C41F2B" w:rsidTr="00EF432F">
        <w:tc>
          <w:tcPr>
            <w:tcW w:w="1116" w:type="pct"/>
            <w:shd w:val="clear" w:color="auto" w:fill="auto"/>
            <w:vAlign w:val="center"/>
          </w:tcPr>
          <w:p w:rsidR="00EF432F" w:rsidRPr="00C41F2B" w:rsidRDefault="00EF432F" w:rsidP="00713646">
            <w:pPr>
              <w:pStyle w:val="TableText0"/>
              <w:rPr>
                <w:rFonts w:ascii="Times" w:hAnsi="Times"/>
                <w:szCs w:val="20"/>
              </w:rPr>
            </w:pPr>
            <w:r w:rsidRPr="00C41F2B">
              <w:rPr>
                <w:szCs w:val="20"/>
              </w:rPr>
              <w:t>Number of patients treated</w:t>
            </w:r>
            <w:r w:rsidR="00B64B13" w:rsidRPr="00C41F2B">
              <w:rPr>
                <w:szCs w:val="20"/>
              </w:rPr>
              <w:t xml:space="preserve"> (resubmission esti</w:t>
            </w:r>
            <w:r w:rsidR="00713646" w:rsidRPr="00C41F2B">
              <w:rPr>
                <w:szCs w:val="20"/>
              </w:rPr>
              <w:t>m</w:t>
            </w:r>
            <w:r w:rsidR="00B64B13" w:rsidRPr="00C41F2B">
              <w:rPr>
                <w:szCs w:val="20"/>
              </w:rPr>
              <w:t>ates)</w:t>
            </w:r>
          </w:p>
        </w:tc>
        <w:tc>
          <w:tcPr>
            <w:tcW w:w="647" w:type="pct"/>
            <w:shd w:val="clear" w:color="auto" w:fill="auto"/>
            <w:vAlign w:val="bottom"/>
          </w:tcPr>
          <w:p w:rsidR="00EF432F" w:rsidRPr="00C41F2B" w:rsidRDefault="00E9713A" w:rsidP="00EF432F">
            <w:pPr>
              <w:pStyle w:val="TableText0"/>
              <w:jc w:val="center"/>
              <w:rPr>
                <w:color w:val="000000"/>
              </w:rPr>
            </w:pPr>
            <w:r>
              <w:rPr>
                <w:noProof/>
                <w:color w:val="000000"/>
                <w:highlight w:val="black"/>
              </w:rPr>
              <w:t>''''''''</w:t>
            </w:r>
            <w:r w:rsidR="00EF432F" w:rsidRPr="00C41F2B">
              <w:rPr>
                <w:vertAlign w:val="superscript"/>
              </w:rPr>
              <w:t>a</w:t>
            </w:r>
          </w:p>
        </w:tc>
        <w:tc>
          <w:tcPr>
            <w:tcW w:w="647" w:type="pct"/>
            <w:shd w:val="clear" w:color="auto" w:fill="auto"/>
            <w:vAlign w:val="bottom"/>
          </w:tcPr>
          <w:p w:rsidR="00EF432F" w:rsidRPr="00E9713A" w:rsidRDefault="00E9713A" w:rsidP="00EF432F">
            <w:pPr>
              <w:pStyle w:val="TableText0"/>
              <w:jc w:val="center"/>
              <w:rPr>
                <w:color w:val="000000"/>
                <w:highlight w:val="black"/>
              </w:rPr>
            </w:pPr>
            <w:r>
              <w:rPr>
                <w:noProof/>
                <w:color w:val="000000"/>
                <w:highlight w:val="black"/>
              </w:rPr>
              <w:t>''''''''''</w:t>
            </w:r>
          </w:p>
        </w:tc>
        <w:tc>
          <w:tcPr>
            <w:tcW w:w="647" w:type="pct"/>
            <w:shd w:val="clear" w:color="auto" w:fill="auto"/>
            <w:vAlign w:val="bottom"/>
          </w:tcPr>
          <w:p w:rsidR="00EF432F" w:rsidRPr="00E9713A" w:rsidRDefault="00E9713A" w:rsidP="00EF432F">
            <w:pPr>
              <w:pStyle w:val="TableText0"/>
              <w:jc w:val="center"/>
              <w:rPr>
                <w:color w:val="000000"/>
                <w:highlight w:val="black"/>
              </w:rPr>
            </w:pPr>
            <w:r>
              <w:rPr>
                <w:noProof/>
                <w:color w:val="000000"/>
                <w:highlight w:val="black"/>
              </w:rPr>
              <w:t>''''''''</w:t>
            </w:r>
          </w:p>
        </w:tc>
        <w:tc>
          <w:tcPr>
            <w:tcW w:w="647" w:type="pct"/>
            <w:shd w:val="clear" w:color="auto" w:fill="auto"/>
            <w:vAlign w:val="bottom"/>
          </w:tcPr>
          <w:p w:rsidR="00EF432F" w:rsidRPr="00E9713A" w:rsidRDefault="00E9713A" w:rsidP="00EF432F">
            <w:pPr>
              <w:pStyle w:val="TableText0"/>
              <w:jc w:val="center"/>
              <w:rPr>
                <w:color w:val="000000"/>
                <w:highlight w:val="black"/>
              </w:rPr>
            </w:pPr>
            <w:r>
              <w:rPr>
                <w:noProof/>
                <w:color w:val="000000"/>
                <w:highlight w:val="black"/>
              </w:rPr>
              <w:t>'''''''''</w:t>
            </w:r>
          </w:p>
        </w:tc>
        <w:tc>
          <w:tcPr>
            <w:tcW w:w="647" w:type="pct"/>
            <w:shd w:val="clear" w:color="auto" w:fill="auto"/>
            <w:vAlign w:val="bottom"/>
          </w:tcPr>
          <w:p w:rsidR="00EF432F" w:rsidRPr="00E9713A" w:rsidRDefault="00E9713A" w:rsidP="00EF432F">
            <w:pPr>
              <w:pStyle w:val="TableText0"/>
              <w:jc w:val="center"/>
              <w:rPr>
                <w:color w:val="000000"/>
                <w:highlight w:val="black"/>
              </w:rPr>
            </w:pPr>
            <w:r>
              <w:rPr>
                <w:noProof/>
                <w:color w:val="000000"/>
                <w:highlight w:val="black"/>
              </w:rPr>
              <w:t>''''''''''</w:t>
            </w:r>
          </w:p>
        </w:tc>
        <w:tc>
          <w:tcPr>
            <w:tcW w:w="649" w:type="pct"/>
            <w:vAlign w:val="bottom"/>
          </w:tcPr>
          <w:p w:rsidR="00EF432F" w:rsidRPr="00E9713A" w:rsidRDefault="00E9713A" w:rsidP="00EF432F">
            <w:pPr>
              <w:pStyle w:val="TableText0"/>
              <w:jc w:val="center"/>
              <w:rPr>
                <w:color w:val="000000"/>
                <w:highlight w:val="black"/>
              </w:rPr>
            </w:pPr>
            <w:r>
              <w:rPr>
                <w:noProof/>
                <w:color w:val="000000"/>
                <w:highlight w:val="black"/>
              </w:rPr>
              <w:t>''''''''</w:t>
            </w:r>
          </w:p>
        </w:tc>
      </w:tr>
      <w:tr w:rsidR="0040095E" w:rsidRPr="00C41F2B" w:rsidTr="00FA78EC">
        <w:tc>
          <w:tcPr>
            <w:tcW w:w="1116" w:type="pct"/>
            <w:shd w:val="clear" w:color="auto" w:fill="auto"/>
            <w:vAlign w:val="center"/>
          </w:tcPr>
          <w:p w:rsidR="0040095E" w:rsidRPr="00C41F2B" w:rsidRDefault="0040095E" w:rsidP="0040095E">
            <w:pPr>
              <w:pStyle w:val="TableText0"/>
              <w:rPr>
                <w:szCs w:val="20"/>
              </w:rPr>
            </w:pPr>
            <w:r w:rsidRPr="00C41F2B">
              <w:rPr>
                <w:szCs w:val="20"/>
              </w:rPr>
              <w:t>PBAC revised number of patients treated</w:t>
            </w:r>
            <w:r w:rsidR="00FA78EC" w:rsidRPr="00C41F2B">
              <w:rPr>
                <w:szCs w:val="20"/>
              </w:rPr>
              <w:t xml:space="preserve"> </w:t>
            </w:r>
            <w:r w:rsidR="00FA78EC" w:rsidRPr="00C41F2B">
              <w:rPr>
                <w:szCs w:val="20"/>
                <w:vertAlign w:val="superscript"/>
              </w:rPr>
              <w:t>e</w:t>
            </w:r>
          </w:p>
        </w:tc>
        <w:tc>
          <w:tcPr>
            <w:tcW w:w="647" w:type="pct"/>
            <w:shd w:val="clear" w:color="auto" w:fill="auto"/>
            <w:vAlign w:val="center"/>
          </w:tcPr>
          <w:p w:rsidR="0040095E" w:rsidRPr="00E9713A" w:rsidRDefault="00E9713A" w:rsidP="00C800FE">
            <w:pPr>
              <w:pStyle w:val="TableText0"/>
              <w:jc w:val="center"/>
              <w:rPr>
                <w:highlight w:val="black"/>
              </w:rPr>
            </w:pPr>
            <w:r>
              <w:rPr>
                <w:noProof/>
                <w:color w:val="000000"/>
                <w:highlight w:val="black"/>
              </w:rPr>
              <w:t>''''''''''</w:t>
            </w:r>
          </w:p>
        </w:tc>
        <w:tc>
          <w:tcPr>
            <w:tcW w:w="647" w:type="pct"/>
            <w:shd w:val="clear" w:color="auto" w:fill="auto"/>
            <w:vAlign w:val="center"/>
          </w:tcPr>
          <w:p w:rsidR="0040095E" w:rsidRPr="00E9713A" w:rsidRDefault="00E9713A" w:rsidP="0040095E">
            <w:pPr>
              <w:pStyle w:val="TableText0"/>
              <w:jc w:val="center"/>
              <w:rPr>
                <w:highlight w:val="black"/>
              </w:rPr>
            </w:pPr>
            <w:r>
              <w:rPr>
                <w:noProof/>
                <w:color w:val="000000"/>
                <w:highlight w:val="black"/>
              </w:rPr>
              <w:t>'''''''''</w:t>
            </w:r>
          </w:p>
        </w:tc>
        <w:tc>
          <w:tcPr>
            <w:tcW w:w="647" w:type="pct"/>
            <w:shd w:val="clear" w:color="auto" w:fill="auto"/>
            <w:vAlign w:val="center"/>
          </w:tcPr>
          <w:p w:rsidR="0040095E" w:rsidRPr="00E9713A" w:rsidRDefault="00E9713A" w:rsidP="0040095E">
            <w:pPr>
              <w:pStyle w:val="TableText0"/>
              <w:jc w:val="center"/>
              <w:rPr>
                <w:highlight w:val="black"/>
              </w:rPr>
            </w:pPr>
            <w:r>
              <w:rPr>
                <w:noProof/>
                <w:color w:val="000000"/>
                <w:highlight w:val="black"/>
              </w:rPr>
              <w:t>'''''''''</w:t>
            </w:r>
          </w:p>
        </w:tc>
        <w:tc>
          <w:tcPr>
            <w:tcW w:w="647" w:type="pct"/>
            <w:shd w:val="clear" w:color="auto" w:fill="auto"/>
            <w:vAlign w:val="center"/>
          </w:tcPr>
          <w:p w:rsidR="0040095E" w:rsidRPr="00E9713A" w:rsidRDefault="00E9713A" w:rsidP="0040095E">
            <w:pPr>
              <w:pStyle w:val="TableText0"/>
              <w:jc w:val="center"/>
              <w:rPr>
                <w:highlight w:val="black"/>
              </w:rPr>
            </w:pPr>
            <w:r>
              <w:rPr>
                <w:noProof/>
                <w:color w:val="000000"/>
                <w:highlight w:val="black"/>
              </w:rPr>
              <w:t>''''''''</w:t>
            </w:r>
          </w:p>
        </w:tc>
        <w:tc>
          <w:tcPr>
            <w:tcW w:w="647" w:type="pct"/>
            <w:shd w:val="clear" w:color="auto" w:fill="auto"/>
            <w:vAlign w:val="center"/>
          </w:tcPr>
          <w:p w:rsidR="0040095E" w:rsidRPr="00E9713A" w:rsidRDefault="00E9713A" w:rsidP="0040095E">
            <w:pPr>
              <w:pStyle w:val="TableText0"/>
              <w:jc w:val="center"/>
              <w:rPr>
                <w:highlight w:val="black"/>
              </w:rPr>
            </w:pPr>
            <w:r>
              <w:rPr>
                <w:noProof/>
                <w:color w:val="000000"/>
                <w:highlight w:val="black"/>
              </w:rPr>
              <w:t>''''''''''</w:t>
            </w:r>
          </w:p>
        </w:tc>
        <w:tc>
          <w:tcPr>
            <w:tcW w:w="649" w:type="pct"/>
            <w:vAlign w:val="center"/>
          </w:tcPr>
          <w:p w:rsidR="0040095E" w:rsidRPr="00E9713A" w:rsidRDefault="00E9713A" w:rsidP="0040095E">
            <w:pPr>
              <w:pStyle w:val="TableText0"/>
              <w:jc w:val="center"/>
              <w:rPr>
                <w:highlight w:val="black"/>
              </w:rPr>
            </w:pPr>
            <w:r>
              <w:rPr>
                <w:noProof/>
                <w:color w:val="000000"/>
                <w:highlight w:val="black"/>
              </w:rPr>
              <w:t>''''''''</w:t>
            </w:r>
          </w:p>
        </w:tc>
      </w:tr>
      <w:tr w:rsidR="00C800FE" w:rsidRPr="00C41F2B" w:rsidTr="00FB77C9">
        <w:tc>
          <w:tcPr>
            <w:tcW w:w="1116" w:type="pct"/>
            <w:tcBorders>
              <w:bottom w:val="nil"/>
            </w:tcBorders>
            <w:shd w:val="clear" w:color="auto" w:fill="auto"/>
            <w:vAlign w:val="center"/>
          </w:tcPr>
          <w:p w:rsidR="00C800FE" w:rsidRPr="00C41F2B" w:rsidRDefault="00C800FE" w:rsidP="00C800FE">
            <w:pPr>
              <w:pStyle w:val="TableText0"/>
              <w:rPr>
                <w:szCs w:val="20"/>
              </w:rPr>
            </w:pPr>
            <w:r w:rsidRPr="00C41F2B">
              <w:rPr>
                <w:szCs w:val="20"/>
              </w:rPr>
              <w:t xml:space="preserve">PBAC revised number of scripts </w:t>
            </w:r>
            <w:r w:rsidRPr="00C41F2B">
              <w:rPr>
                <w:szCs w:val="20"/>
                <w:vertAlign w:val="superscript"/>
              </w:rPr>
              <w:t xml:space="preserve">b </w:t>
            </w:r>
          </w:p>
        </w:tc>
        <w:tc>
          <w:tcPr>
            <w:tcW w:w="647" w:type="pct"/>
            <w:tcBorders>
              <w:bottom w:val="nil"/>
            </w:tcBorders>
            <w:shd w:val="clear" w:color="auto" w:fill="auto"/>
            <w:vAlign w:val="bottom"/>
          </w:tcPr>
          <w:p w:rsidR="00C800FE" w:rsidRPr="00E9713A" w:rsidRDefault="00E9713A" w:rsidP="00C800FE">
            <w:pPr>
              <w:pStyle w:val="TableText0"/>
              <w:jc w:val="center"/>
              <w:rPr>
                <w:highlight w:val="black"/>
              </w:rPr>
            </w:pPr>
            <w:r>
              <w:rPr>
                <w:noProof/>
                <w:color w:val="000000"/>
                <w:highlight w:val="black"/>
              </w:rPr>
              <w:t>'''''''''''</w:t>
            </w:r>
          </w:p>
        </w:tc>
        <w:tc>
          <w:tcPr>
            <w:tcW w:w="647" w:type="pct"/>
            <w:tcBorders>
              <w:bottom w:val="nil"/>
            </w:tcBorders>
            <w:shd w:val="clear" w:color="auto" w:fill="auto"/>
            <w:vAlign w:val="bottom"/>
          </w:tcPr>
          <w:p w:rsidR="00C800FE" w:rsidRPr="00E9713A" w:rsidRDefault="00E9713A" w:rsidP="00C800FE">
            <w:pPr>
              <w:pStyle w:val="TableText0"/>
              <w:jc w:val="center"/>
              <w:rPr>
                <w:highlight w:val="black"/>
              </w:rPr>
            </w:pPr>
            <w:r>
              <w:rPr>
                <w:noProof/>
                <w:color w:val="000000"/>
                <w:highlight w:val="black"/>
              </w:rPr>
              <w:t>'''''''''''</w:t>
            </w:r>
          </w:p>
        </w:tc>
        <w:tc>
          <w:tcPr>
            <w:tcW w:w="647" w:type="pct"/>
            <w:tcBorders>
              <w:bottom w:val="nil"/>
            </w:tcBorders>
            <w:shd w:val="clear" w:color="auto" w:fill="auto"/>
            <w:vAlign w:val="bottom"/>
          </w:tcPr>
          <w:p w:rsidR="00C800FE" w:rsidRPr="00E9713A" w:rsidRDefault="00E9713A" w:rsidP="00C800FE">
            <w:pPr>
              <w:pStyle w:val="TableText0"/>
              <w:jc w:val="center"/>
              <w:rPr>
                <w:highlight w:val="black"/>
              </w:rPr>
            </w:pPr>
            <w:r>
              <w:rPr>
                <w:noProof/>
                <w:color w:val="000000"/>
                <w:highlight w:val="black"/>
              </w:rPr>
              <w:t>''''''''''''</w:t>
            </w:r>
          </w:p>
        </w:tc>
        <w:tc>
          <w:tcPr>
            <w:tcW w:w="647" w:type="pct"/>
            <w:tcBorders>
              <w:bottom w:val="nil"/>
            </w:tcBorders>
            <w:shd w:val="clear" w:color="auto" w:fill="auto"/>
            <w:vAlign w:val="bottom"/>
          </w:tcPr>
          <w:p w:rsidR="00C800FE" w:rsidRPr="00E9713A" w:rsidRDefault="00E9713A" w:rsidP="00C800FE">
            <w:pPr>
              <w:pStyle w:val="TableText0"/>
              <w:jc w:val="center"/>
              <w:rPr>
                <w:highlight w:val="black"/>
              </w:rPr>
            </w:pPr>
            <w:r>
              <w:rPr>
                <w:noProof/>
                <w:color w:val="000000"/>
                <w:highlight w:val="black"/>
              </w:rPr>
              <w:t>'''''''''''</w:t>
            </w:r>
          </w:p>
        </w:tc>
        <w:tc>
          <w:tcPr>
            <w:tcW w:w="647" w:type="pct"/>
            <w:tcBorders>
              <w:bottom w:val="nil"/>
            </w:tcBorders>
            <w:shd w:val="clear" w:color="auto" w:fill="auto"/>
            <w:vAlign w:val="bottom"/>
          </w:tcPr>
          <w:p w:rsidR="00C800FE" w:rsidRPr="00E9713A" w:rsidRDefault="00E9713A" w:rsidP="00C800FE">
            <w:pPr>
              <w:pStyle w:val="TableText0"/>
              <w:jc w:val="center"/>
              <w:rPr>
                <w:highlight w:val="black"/>
              </w:rPr>
            </w:pPr>
            <w:r>
              <w:rPr>
                <w:noProof/>
                <w:color w:val="000000"/>
                <w:highlight w:val="black"/>
              </w:rPr>
              <w:t>'''''''''''</w:t>
            </w:r>
          </w:p>
        </w:tc>
        <w:tc>
          <w:tcPr>
            <w:tcW w:w="649" w:type="pct"/>
            <w:tcBorders>
              <w:bottom w:val="nil"/>
            </w:tcBorders>
            <w:vAlign w:val="bottom"/>
          </w:tcPr>
          <w:p w:rsidR="00C800FE" w:rsidRPr="00E9713A" w:rsidRDefault="00E9713A" w:rsidP="00C800FE">
            <w:pPr>
              <w:pStyle w:val="TableText0"/>
              <w:jc w:val="center"/>
              <w:rPr>
                <w:highlight w:val="black"/>
              </w:rPr>
            </w:pPr>
            <w:r>
              <w:rPr>
                <w:noProof/>
                <w:color w:val="000000"/>
                <w:highlight w:val="black"/>
              </w:rPr>
              <w:t>'''''''''''''</w:t>
            </w:r>
          </w:p>
        </w:tc>
      </w:tr>
      <w:tr w:rsidR="00EF432F" w:rsidRPr="00C41F2B" w:rsidTr="00381241">
        <w:tc>
          <w:tcPr>
            <w:tcW w:w="5000" w:type="pct"/>
            <w:gridSpan w:val="7"/>
            <w:shd w:val="clear" w:color="auto" w:fill="auto"/>
            <w:vAlign w:val="center"/>
          </w:tcPr>
          <w:p w:rsidR="00EF432F" w:rsidRPr="00C41F2B" w:rsidRDefault="00EF432F" w:rsidP="00276753">
            <w:pPr>
              <w:pStyle w:val="In-tableHeading"/>
              <w:rPr>
                <w:lang w:val="en-AU"/>
              </w:rPr>
            </w:pPr>
            <w:r w:rsidRPr="00C41F2B">
              <w:rPr>
                <w:lang w:val="en-AU"/>
              </w:rPr>
              <w:t xml:space="preserve">Estimated financial implications of </w:t>
            </w:r>
            <w:r w:rsidR="004F687F" w:rsidRPr="00C41F2B">
              <w:rPr>
                <w:lang w:val="en-AU"/>
              </w:rPr>
              <w:t>1L</w:t>
            </w:r>
            <w:r w:rsidR="00E242BB" w:rsidRPr="00C41F2B">
              <w:rPr>
                <w:lang w:val="en-AU"/>
              </w:rPr>
              <w:t xml:space="preserve"> olaparib treatment</w:t>
            </w:r>
            <w:r w:rsidR="00FA78EC" w:rsidRPr="00C41F2B">
              <w:rPr>
                <w:lang w:val="en-AU"/>
              </w:rPr>
              <w:t xml:space="preserve"> </w:t>
            </w:r>
          </w:p>
        </w:tc>
      </w:tr>
      <w:tr w:rsidR="00C800FE" w:rsidRPr="00C41F2B" w:rsidTr="00186D02">
        <w:tc>
          <w:tcPr>
            <w:tcW w:w="1116" w:type="pct"/>
            <w:tcBorders>
              <w:bottom w:val="nil"/>
            </w:tcBorders>
            <w:shd w:val="clear" w:color="auto" w:fill="auto"/>
            <w:vAlign w:val="center"/>
          </w:tcPr>
          <w:p w:rsidR="00C800FE" w:rsidRPr="00C41F2B" w:rsidRDefault="00C800FE" w:rsidP="00C800FE">
            <w:pPr>
              <w:pStyle w:val="TableText0"/>
              <w:rPr>
                <w:szCs w:val="20"/>
              </w:rPr>
            </w:pPr>
            <w:r w:rsidRPr="00C41F2B">
              <w:rPr>
                <w:szCs w:val="20"/>
              </w:rPr>
              <w:t xml:space="preserve">PBAC revised cost to PBS/RPBS less </w:t>
            </w:r>
            <w:proofErr w:type="spellStart"/>
            <w:r w:rsidRPr="00C41F2B">
              <w:rPr>
                <w:szCs w:val="20"/>
              </w:rPr>
              <w:t>copayments</w:t>
            </w:r>
            <w:proofErr w:type="spellEnd"/>
            <w:r w:rsidRPr="00C41F2B">
              <w:rPr>
                <w:szCs w:val="20"/>
              </w:rPr>
              <w:t xml:space="preserve"> (A)</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9" w:type="pct"/>
            <w:tcBorders>
              <w:bottom w:val="nil"/>
            </w:tcBorders>
            <w:vAlign w:val="center"/>
          </w:tcPr>
          <w:p w:rsidR="00C800FE" w:rsidRPr="00C41F2B" w:rsidRDefault="00C800FE" w:rsidP="00C800FE">
            <w:pPr>
              <w:pStyle w:val="TableText0"/>
              <w:jc w:val="center"/>
            </w:pPr>
            <w:r w:rsidRPr="00C41F2B">
              <w:t>$</w:t>
            </w:r>
            <w:r w:rsidR="00E9713A">
              <w:rPr>
                <w:noProof/>
                <w:color w:val="000000"/>
                <w:highlight w:val="black"/>
              </w:rPr>
              <w:t>''''''''''''''''''''''''''''</w:t>
            </w:r>
          </w:p>
        </w:tc>
      </w:tr>
      <w:tr w:rsidR="00186D02" w:rsidRPr="00C41F2B" w:rsidTr="00381241">
        <w:tc>
          <w:tcPr>
            <w:tcW w:w="5000" w:type="pct"/>
            <w:gridSpan w:val="7"/>
            <w:shd w:val="clear" w:color="auto" w:fill="auto"/>
            <w:vAlign w:val="center"/>
          </w:tcPr>
          <w:p w:rsidR="00186D02" w:rsidRPr="00C41F2B" w:rsidRDefault="00186D02" w:rsidP="00ED34AD">
            <w:pPr>
              <w:pStyle w:val="TableText0"/>
              <w:rPr>
                <w:b/>
                <w:bCs w:val="0"/>
                <w:szCs w:val="20"/>
              </w:rPr>
            </w:pPr>
            <w:r w:rsidRPr="00C41F2B">
              <w:rPr>
                <w:b/>
                <w:bCs w:val="0"/>
                <w:szCs w:val="20"/>
              </w:rPr>
              <w:t>Estimated financial implications for</w:t>
            </w:r>
            <w:r w:rsidR="00FB455D" w:rsidRPr="00C41F2B">
              <w:rPr>
                <w:b/>
                <w:bCs w:val="0"/>
                <w:szCs w:val="20"/>
              </w:rPr>
              <w:t xml:space="preserve"> offset</w:t>
            </w:r>
            <w:r w:rsidRPr="00C41F2B">
              <w:rPr>
                <w:b/>
                <w:bCs w:val="0"/>
                <w:szCs w:val="20"/>
              </w:rPr>
              <w:t xml:space="preserve"> </w:t>
            </w:r>
            <w:r w:rsidR="004F687F" w:rsidRPr="00C41F2B">
              <w:rPr>
                <w:b/>
                <w:bCs w:val="0"/>
                <w:szCs w:val="20"/>
              </w:rPr>
              <w:t>2L</w:t>
            </w:r>
            <w:r w:rsidRPr="00C41F2B">
              <w:rPr>
                <w:b/>
                <w:bCs w:val="0"/>
                <w:szCs w:val="20"/>
              </w:rPr>
              <w:t xml:space="preserve"> olaparib</w:t>
            </w:r>
            <w:r w:rsidR="00FA78EC" w:rsidRPr="00C41F2B">
              <w:rPr>
                <w:b/>
                <w:bCs w:val="0"/>
                <w:szCs w:val="20"/>
              </w:rPr>
              <w:t xml:space="preserve"> </w:t>
            </w:r>
          </w:p>
        </w:tc>
      </w:tr>
      <w:tr w:rsidR="00C800FE" w:rsidRPr="00C41F2B" w:rsidTr="004A12A3">
        <w:tc>
          <w:tcPr>
            <w:tcW w:w="1116" w:type="pct"/>
            <w:tcBorders>
              <w:bottom w:val="nil"/>
            </w:tcBorders>
            <w:shd w:val="clear" w:color="auto" w:fill="auto"/>
            <w:vAlign w:val="center"/>
          </w:tcPr>
          <w:p w:rsidR="00C800FE" w:rsidRPr="00C41F2B" w:rsidRDefault="00C800FE" w:rsidP="00C800FE">
            <w:pPr>
              <w:pStyle w:val="TableText0"/>
              <w:rPr>
                <w:rFonts w:ascii="Arial" w:eastAsia="Times New Roman" w:hAnsi="Arial" w:cs="Arial"/>
                <w:bCs w:val="0"/>
                <w:color w:val="000000"/>
                <w:szCs w:val="20"/>
              </w:rPr>
            </w:pPr>
            <w:r w:rsidRPr="00C41F2B">
              <w:rPr>
                <w:szCs w:val="20"/>
              </w:rPr>
              <w:t xml:space="preserve">PBAC revised cost to PBS/RPBS less </w:t>
            </w:r>
            <w:proofErr w:type="spellStart"/>
            <w:r w:rsidRPr="00C41F2B">
              <w:rPr>
                <w:szCs w:val="20"/>
              </w:rPr>
              <w:t>copayments</w:t>
            </w:r>
            <w:r w:rsidRPr="00C41F2B">
              <w:rPr>
                <w:szCs w:val="20"/>
                <w:vertAlign w:val="superscript"/>
              </w:rPr>
              <w:t>c,d</w:t>
            </w:r>
            <w:proofErr w:type="spellEnd"/>
            <w:r w:rsidRPr="00C41F2B">
              <w:rPr>
                <w:szCs w:val="20"/>
                <w:vertAlign w:val="superscript"/>
              </w:rPr>
              <w:t xml:space="preserve"> </w:t>
            </w:r>
            <w:r w:rsidRPr="00C41F2B">
              <w:rPr>
                <w:szCs w:val="20"/>
              </w:rPr>
              <w:t>(B)</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top w:val="nil"/>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9" w:type="pct"/>
            <w:tcBorders>
              <w:bottom w:val="nil"/>
            </w:tcBorders>
            <w:vAlign w:val="center"/>
          </w:tcPr>
          <w:p w:rsidR="00C800FE" w:rsidRPr="00C41F2B" w:rsidRDefault="00C800FE" w:rsidP="00C800FE">
            <w:pPr>
              <w:pStyle w:val="TableText0"/>
              <w:jc w:val="center"/>
            </w:pPr>
            <w:r w:rsidRPr="00C41F2B">
              <w:t>$</w:t>
            </w:r>
            <w:r w:rsidR="00E9713A">
              <w:rPr>
                <w:noProof/>
                <w:color w:val="000000"/>
                <w:highlight w:val="black"/>
              </w:rPr>
              <w:t>'''''''''''''''''''''''''</w:t>
            </w:r>
          </w:p>
        </w:tc>
      </w:tr>
      <w:tr w:rsidR="00186D02" w:rsidRPr="00C41F2B" w:rsidTr="00381241">
        <w:tc>
          <w:tcPr>
            <w:tcW w:w="5000" w:type="pct"/>
            <w:gridSpan w:val="7"/>
            <w:shd w:val="clear" w:color="auto" w:fill="auto"/>
            <w:vAlign w:val="center"/>
          </w:tcPr>
          <w:p w:rsidR="00186D02" w:rsidRPr="00C41F2B" w:rsidRDefault="00186D02" w:rsidP="00390622">
            <w:pPr>
              <w:pStyle w:val="In-tableHeading"/>
              <w:rPr>
                <w:lang w:val="en-AU"/>
              </w:rPr>
            </w:pPr>
            <w:r w:rsidRPr="00C41F2B">
              <w:rPr>
                <w:lang w:val="en-AU"/>
              </w:rPr>
              <w:t>Net financial implications</w:t>
            </w:r>
            <w:r w:rsidR="00FA78EC" w:rsidRPr="00C41F2B">
              <w:rPr>
                <w:lang w:val="en-AU"/>
              </w:rPr>
              <w:t xml:space="preserve"> </w:t>
            </w:r>
          </w:p>
        </w:tc>
      </w:tr>
      <w:tr w:rsidR="00C800FE" w:rsidRPr="00C41F2B" w:rsidTr="00020518">
        <w:tc>
          <w:tcPr>
            <w:tcW w:w="1116" w:type="pct"/>
            <w:tcBorders>
              <w:bottom w:val="nil"/>
            </w:tcBorders>
            <w:shd w:val="clear" w:color="auto" w:fill="auto"/>
            <w:vAlign w:val="center"/>
          </w:tcPr>
          <w:p w:rsidR="00C800FE" w:rsidRPr="00C41F2B" w:rsidRDefault="00C800FE" w:rsidP="00C800FE">
            <w:pPr>
              <w:pStyle w:val="TableText0"/>
              <w:rPr>
                <w:szCs w:val="20"/>
              </w:rPr>
            </w:pPr>
            <w:r w:rsidRPr="00C41F2B">
              <w:rPr>
                <w:szCs w:val="20"/>
              </w:rPr>
              <w:t xml:space="preserve">Net cost to PBS/RPBS </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center"/>
          </w:tcPr>
          <w:p w:rsidR="00C800FE" w:rsidRPr="00C41F2B" w:rsidRDefault="00C800FE" w:rsidP="00C800FE">
            <w:pPr>
              <w:pStyle w:val="TableText0"/>
              <w:jc w:val="center"/>
            </w:pPr>
            <w:r w:rsidRPr="00C41F2B">
              <w:t>$</w:t>
            </w:r>
            <w:r w:rsidR="00E9713A">
              <w:rPr>
                <w:noProof/>
                <w:color w:val="000000"/>
                <w:highlight w:val="black"/>
              </w:rPr>
              <w:t>''''''''''''''''''''''''''''</w:t>
            </w:r>
          </w:p>
        </w:tc>
        <w:tc>
          <w:tcPr>
            <w:tcW w:w="649" w:type="pct"/>
            <w:tcBorders>
              <w:bottom w:val="nil"/>
            </w:tcBorders>
            <w:vAlign w:val="center"/>
          </w:tcPr>
          <w:p w:rsidR="00C800FE" w:rsidRPr="00C41F2B" w:rsidRDefault="00C800FE" w:rsidP="00C800FE">
            <w:pPr>
              <w:pStyle w:val="TableText0"/>
              <w:jc w:val="center"/>
            </w:pPr>
            <w:r w:rsidRPr="00C41F2B">
              <w:t>$</w:t>
            </w:r>
            <w:r w:rsidR="00E9713A">
              <w:rPr>
                <w:noProof/>
                <w:color w:val="000000"/>
                <w:highlight w:val="black"/>
              </w:rPr>
              <w:t>''''''''''''''''''''''''''''</w:t>
            </w:r>
          </w:p>
        </w:tc>
      </w:tr>
      <w:tr w:rsidR="00ED34AD" w:rsidRPr="00C41F2B" w:rsidTr="00390622">
        <w:tc>
          <w:tcPr>
            <w:tcW w:w="1116" w:type="pct"/>
            <w:shd w:val="clear" w:color="auto" w:fill="auto"/>
            <w:vAlign w:val="center"/>
          </w:tcPr>
          <w:p w:rsidR="00ED34AD" w:rsidRPr="00C41F2B" w:rsidRDefault="00ED34AD" w:rsidP="00ED34AD">
            <w:pPr>
              <w:pStyle w:val="TableText0"/>
              <w:rPr>
                <w:rFonts w:ascii="Times" w:hAnsi="Times"/>
                <w:szCs w:val="20"/>
              </w:rPr>
            </w:pPr>
            <w:r w:rsidRPr="00C41F2B">
              <w:rPr>
                <w:szCs w:val="20"/>
              </w:rPr>
              <w:t>Net cost to MBS</w:t>
            </w:r>
          </w:p>
        </w:tc>
        <w:tc>
          <w:tcPr>
            <w:tcW w:w="647" w:type="pct"/>
            <w:shd w:val="clear" w:color="auto" w:fill="auto"/>
            <w:vAlign w:val="bottom"/>
          </w:tcPr>
          <w:p w:rsidR="00ED34AD" w:rsidRPr="00C41F2B" w:rsidRDefault="00ED34AD" w:rsidP="00ED34AD">
            <w:pPr>
              <w:pStyle w:val="TableText0"/>
              <w:jc w:val="center"/>
            </w:pPr>
            <w:r w:rsidRPr="00C41F2B">
              <w:t>$</w:t>
            </w:r>
            <w:r w:rsidR="00E9713A">
              <w:rPr>
                <w:noProof/>
                <w:color w:val="000000"/>
                <w:highlight w:val="black"/>
              </w:rPr>
              <w:t>''''''''''''''''''</w:t>
            </w:r>
          </w:p>
        </w:tc>
        <w:tc>
          <w:tcPr>
            <w:tcW w:w="647" w:type="pct"/>
            <w:shd w:val="clear" w:color="auto" w:fill="auto"/>
            <w:vAlign w:val="bottom"/>
          </w:tcPr>
          <w:p w:rsidR="00ED34AD" w:rsidRPr="00C41F2B" w:rsidRDefault="00ED34AD" w:rsidP="00ED34AD">
            <w:pPr>
              <w:pStyle w:val="TableText0"/>
              <w:jc w:val="center"/>
            </w:pPr>
            <w:r w:rsidRPr="00C41F2B">
              <w:t>$</w:t>
            </w:r>
            <w:r w:rsidR="00E9713A">
              <w:rPr>
                <w:noProof/>
                <w:color w:val="000000"/>
                <w:highlight w:val="black"/>
              </w:rPr>
              <w:t>'''''''''''''''''</w:t>
            </w:r>
          </w:p>
        </w:tc>
        <w:tc>
          <w:tcPr>
            <w:tcW w:w="647" w:type="pct"/>
            <w:shd w:val="clear" w:color="auto" w:fill="auto"/>
            <w:vAlign w:val="bottom"/>
          </w:tcPr>
          <w:p w:rsidR="00ED34AD" w:rsidRPr="00C41F2B" w:rsidRDefault="00ED34AD" w:rsidP="00ED34AD">
            <w:pPr>
              <w:pStyle w:val="TableText0"/>
              <w:jc w:val="center"/>
            </w:pPr>
            <w:r w:rsidRPr="00C41F2B">
              <w:t>$</w:t>
            </w:r>
            <w:r w:rsidR="00E9713A">
              <w:rPr>
                <w:noProof/>
                <w:color w:val="000000"/>
                <w:highlight w:val="black"/>
              </w:rPr>
              <w:t>'''''''''''''''''''</w:t>
            </w:r>
          </w:p>
        </w:tc>
        <w:tc>
          <w:tcPr>
            <w:tcW w:w="647" w:type="pct"/>
            <w:shd w:val="clear" w:color="auto" w:fill="auto"/>
            <w:vAlign w:val="bottom"/>
          </w:tcPr>
          <w:p w:rsidR="00ED34AD" w:rsidRPr="00C41F2B" w:rsidRDefault="00ED34AD" w:rsidP="00ED34AD">
            <w:pPr>
              <w:pStyle w:val="TableText0"/>
              <w:jc w:val="center"/>
            </w:pPr>
            <w:r w:rsidRPr="00C41F2B">
              <w:t>$</w:t>
            </w:r>
            <w:r w:rsidR="00E9713A">
              <w:rPr>
                <w:noProof/>
                <w:color w:val="000000"/>
                <w:highlight w:val="black"/>
              </w:rPr>
              <w:t>'''''''''''''''''''''</w:t>
            </w:r>
          </w:p>
        </w:tc>
        <w:tc>
          <w:tcPr>
            <w:tcW w:w="647" w:type="pct"/>
            <w:shd w:val="clear" w:color="auto" w:fill="auto"/>
            <w:vAlign w:val="bottom"/>
          </w:tcPr>
          <w:p w:rsidR="00ED34AD" w:rsidRPr="00C41F2B" w:rsidRDefault="00ED34AD" w:rsidP="00ED34AD">
            <w:pPr>
              <w:pStyle w:val="TableText0"/>
              <w:jc w:val="center"/>
            </w:pPr>
            <w:r w:rsidRPr="00C41F2B">
              <w:t>$</w:t>
            </w:r>
            <w:r w:rsidR="00E9713A">
              <w:rPr>
                <w:noProof/>
                <w:color w:val="000000"/>
                <w:highlight w:val="black"/>
              </w:rPr>
              <w:t>''''''''''''''''''</w:t>
            </w:r>
          </w:p>
        </w:tc>
        <w:tc>
          <w:tcPr>
            <w:tcW w:w="649" w:type="pct"/>
            <w:vAlign w:val="bottom"/>
          </w:tcPr>
          <w:p w:rsidR="00ED34AD" w:rsidRPr="00C41F2B" w:rsidRDefault="00ED34AD" w:rsidP="00ED34AD">
            <w:pPr>
              <w:pStyle w:val="TableText0"/>
              <w:jc w:val="center"/>
            </w:pPr>
            <w:r w:rsidRPr="00C41F2B">
              <w:t>$</w:t>
            </w:r>
            <w:r w:rsidR="00E9713A">
              <w:rPr>
                <w:noProof/>
                <w:color w:val="000000"/>
                <w:highlight w:val="black"/>
              </w:rPr>
              <w:t>''''''''''''''''''''</w:t>
            </w:r>
          </w:p>
        </w:tc>
      </w:tr>
      <w:tr w:rsidR="00C800FE" w:rsidRPr="00C41F2B" w:rsidTr="00F15CA7">
        <w:tc>
          <w:tcPr>
            <w:tcW w:w="1116" w:type="pct"/>
            <w:tcBorders>
              <w:bottom w:val="nil"/>
            </w:tcBorders>
            <w:shd w:val="clear" w:color="auto" w:fill="auto"/>
            <w:vAlign w:val="center"/>
          </w:tcPr>
          <w:p w:rsidR="00C800FE" w:rsidRPr="00C41F2B" w:rsidRDefault="00C800FE" w:rsidP="00C800FE">
            <w:pPr>
              <w:pStyle w:val="TableText0"/>
              <w:rPr>
                <w:szCs w:val="20"/>
              </w:rPr>
            </w:pPr>
            <w:r w:rsidRPr="00C41F2B">
              <w:rPr>
                <w:szCs w:val="20"/>
              </w:rPr>
              <w:t xml:space="preserve">Net cost to PBS/RPBS/MBS </w:t>
            </w:r>
          </w:p>
        </w:tc>
        <w:tc>
          <w:tcPr>
            <w:tcW w:w="647" w:type="pct"/>
            <w:tcBorders>
              <w:bottom w:val="nil"/>
            </w:tcBorders>
            <w:shd w:val="clear" w:color="auto" w:fill="auto"/>
            <w:vAlign w:val="bottom"/>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bottom"/>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bottom"/>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bottom"/>
          </w:tcPr>
          <w:p w:rsidR="00C800FE" w:rsidRPr="00C41F2B" w:rsidRDefault="00C800FE" w:rsidP="00C800FE">
            <w:pPr>
              <w:pStyle w:val="TableText0"/>
              <w:jc w:val="center"/>
            </w:pPr>
            <w:r w:rsidRPr="00C41F2B">
              <w:t>$</w:t>
            </w:r>
            <w:r w:rsidR="00E9713A">
              <w:rPr>
                <w:noProof/>
                <w:color w:val="000000"/>
                <w:highlight w:val="black"/>
              </w:rPr>
              <w:t>'''''''''''''''''''''''''''</w:t>
            </w:r>
          </w:p>
        </w:tc>
        <w:tc>
          <w:tcPr>
            <w:tcW w:w="647" w:type="pct"/>
            <w:tcBorders>
              <w:bottom w:val="nil"/>
            </w:tcBorders>
            <w:shd w:val="clear" w:color="auto" w:fill="auto"/>
            <w:vAlign w:val="bottom"/>
          </w:tcPr>
          <w:p w:rsidR="00C800FE" w:rsidRPr="00C41F2B" w:rsidRDefault="00C800FE" w:rsidP="00C800FE">
            <w:pPr>
              <w:pStyle w:val="TableText0"/>
              <w:jc w:val="center"/>
            </w:pPr>
            <w:r w:rsidRPr="00C41F2B">
              <w:t>$</w:t>
            </w:r>
            <w:r w:rsidR="00E9713A">
              <w:rPr>
                <w:noProof/>
                <w:color w:val="000000"/>
                <w:highlight w:val="black"/>
              </w:rPr>
              <w:t>'''''''''''''''''''''''''''</w:t>
            </w:r>
          </w:p>
        </w:tc>
        <w:tc>
          <w:tcPr>
            <w:tcW w:w="649" w:type="pct"/>
            <w:tcBorders>
              <w:bottom w:val="nil"/>
            </w:tcBorders>
            <w:vAlign w:val="bottom"/>
          </w:tcPr>
          <w:p w:rsidR="00C800FE" w:rsidRPr="00C41F2B" w:rsidRDefault="00C800FE" w:rsidP="00C800FE">
            <w:pPr>
              <w:pStyle w:val="TableText0"/>
              <w:jc w:val="center"/>
            </w:pPr>
            <w:r w:rsidRPr="00C41F2B">
              <w:t>$</w:t>
            </w:r>
            <w:r w:rsidR="00E9713A">
              <w:rPr>
                <w:noProof/>
                <w:color w:val="000000"/>
                <w:highlight w:val="black"/>
              </w:rPr>
              <w:t>''''''''''''''''''''''''''''</w:t>
            </w:r>
          </w:p>
        </w:tc>
      </w:tr>
      <w:tr w:rsidR="00020518" w:rsidRPr="00C41F2B" w:rsidTr="00381241">
        <w:tc>
          <w:tcPr>
            <w:tcW w:w="5000" w:type="pct"/>
            <w:gridSpan w:val="7"/>
            <w:shd w:val="clear" w:color="auto" w:fill="B8CCE4" w:themeFill="accent1" w:themeFillTint="66"/>
            <w:vAlign w:val="center"/>
          </w:tcPr>
          <w:p w:rsidR="00020518" w:rsidRPr="00C41F2B" w:rsidRDefault="00020518" w:rsidP="00020518">
            <w:pPr>
              <w:pStyle w:val="In-tableHeading"/>
              <w:rPr>
                <w:lang w:val="en-AU"/>
              </w:rPr>
            </w:pPr>
            <w:r w:rsidRPr="00C41F2B">
              <w:rPr>
                <w:lang w:val="en-AU"/>
              </w:rPr>
              <w:t>Previous submission</w:t>
            </w:r>
            <w:r w:rsidR="00F77308" w:rsidRPr="00C41F2B">
              <w:rPr>
                <w:lang w:val="en-AU"/>
              </w:rPr>
              <w:t>: November 2019</w:t>
            </w:r>
          </w:p>
        </w:tc>
      </w:tr>
      <w:tr w:rsidR="00D516FD" w:rsidRPr="00C41F2B" w:rsidTr="00381241">
        <w:tc>
          <w:tcPr>
            <w:tcW w:w="1116" w:type="pct"/>
            <w:shd w:val="clear" w:color="auto" w:fill="B8CCE4" w:themeFill="accent1" w:themeFillTint="66"/>
            <w:vAlign w:val="center"/>
          </w:tcPr>
          <w:p w:rsidR="00D516FD" w:rsidRPr="00C41F2B" w:rsidRDefault="00D516FD" w:rsidP="00D516FD">
            <w:pPr>
              <w:pStyle w:val="TableText0"/>
              <w:rPr>
                <w:szCs w:val="20"/>
              </w:rPr>
            </w:pPr>
            <w:r w:rsidRPr="00C41F2B">
              <w:rPr>
                <w:szCs w:val="20"/>
              </w:rPr>
              <w:t>Net cost to PBS/RPBS</w:t>
            </w:r>
          </w:p>
        </w:tc>
        <w:tc>
          <w:tcPr>
            <w:tcW w:w="647" w:type="pct"/>
            <w:shd w:val="clear" w:color="auto" w:fill="B8CCE4" w:themeFill="accent1" w:themeFillTint="66"/>
            <w:vAlign w:val="center"/>
          </w:tcPr>
          <w:p w:rsidR="00D516FD" w:rsidRPr="00C41F2B" w:rsidRDefault="00D516FD" w:rsidP="00D516FD">
            <w:pPr>
              <w:pStyle w:val="TableText0"/>
              <w:jc w:val="center"/>
            </w:pPr>
            <w:r w:rsidRPr="00C41F2B">
              <w:t>$</w:t>
            </w:r>
            <w:r w:rsidR="00E9713A">
              <w:rPr>
                <w:noProof/>
                <w:color w:val="000000"/>
                <w:highlight w:val="black"/>
              </w:rPr>
              <w:t>'''''''''''''''''''''''''''</w:t>
            </w:r>
          </w:p>
        </w:tc>
        <w:tc>
          <w:tcPr>
            <w:tcW w:w="647" w:type="pct"/>
            <w:shd w:val="clear" w:color="auto" w:fill="B8CCE4" w:themeFill="accent1" w:themeFillTint="66"/>
            <w:vAlign w:val="center"/>
          </w:tcPr>
          <w:p w:rsidR="00D516FD" w:rsidRPr="00C41F2B" w:rsidRDefault="00D516FD" w:rsidP="00D516FD">
            <w:pPr>
              <w:pStyle w:val="TableText0"/>
              <w:jc w:val="center"/>
            </w:pPr>
            <w:r w:rsidRPr="00C41F2B">
              <w:t>$</w:t>
            </w:r>
            <w:r w:rsidR="00E9713A">
              <w:rPr>
                <w:noProof/>
                <w:color w:val="000000"/>
                <w:highlight w:val="black"/>
              </w:rPr>
              <w:t>'''''''''''''''''''''''''''''</w:t>
            </w:r>
          </w:p>
        </w:tc>
        <w:tc>
          <w:tcPr>
            <w:tcW w:w="647" w:type="pct"/>
            <w:shd w:val="clear" w:color="auto" w:fill="B8CCE4" w:themeFill="accent1" w:themeFillTint="66"/>
            <w:vAlign w:val="center"/>
          </w:tcPr>
          <w:p w:rsidR="00D516FD" w:rsidRPr="00C41F2B" w:rsidRDefault="00D516FD" w:rsidP="00D516FD">
            <w:pPr>
              <w:pStyle w:val="TableText0"/>
              <w:jc w:val="center"/>
            </w:pPr>
            <w:r w:rsidRPr="00C41F2B">
              <w:t>$</w:t>
            </w:r>
            <w:r w:rsidR="00E9713A">
              <w:rPr>
                <w:noProof/>
                <w:color w:val="000000"/>
                <w:highlight w:val="black"/>
              </w:rPr>
              <w:t>''''''''''''''''''''''''</w:t>
            </w:r>
          </w:p>
        </w:tc>
        <w:tc>
          <w:tcPr>
            <w:tcW w:w="647" w:type="pct"/>
            <w:shd w:val="clear" w:color="auto" w:fill="B8CCE4" w:themeFill="accent1" w:themeFillTint="66"/>
            <w:vAlign w:val="center"/>
          </w:tcPr>
          <w:p w:rsidR="00D516FD" w:rsidRPr="00C41F2B" w:rsidRDefault="00D516FD" w:rsidP="00D516FD">
            <w:pPr>
              <w:pStyle w:val="TableText0"/>
              <w:jc w:val="center"/>
            </w:pPr>
            <w:r w:rsidRPr="00C41F2B">
              <w:t>$</w:t>
            </w:r>
            <w:r w:rsidR="00E9713A">
              <w:rPr>
                <w:noProof/>
                <w:color w:val="000000"/>
                <w:highlight w:val="black"/>
              </w:rPr>
              <w:t>'''''''''''''''''''''''''''</w:t>
            </w:r>
          </w:p>
        </w:tc>
        <w:tc>
          <w:tcPr>
            <w:tcW w:w="647" w:type="pct"/>
            <w:shd w:val="clear" w:color="auto" w:fill="B8CCE4" w:themeFill="accent1" w:themeFillTint="66"/>
            <w:vAlign w:val="center"/>
          </w:tcPr>
          <w:p w:rsidR="00D516FD" w:rsidRPr="00C41F2B" w:rsidRDefault="00D516FD" w:rsidP="00D516FD">
            <w:pPr>
              <w:pStyle w:val="TableText0"/>
              <w:jc w:val="center"/>
            </w:pPr>
            <w:r w:rsidRPr="00C41F2B">
              <w:t>$</w:t>
            </w:r>
            <w:r w:rsidR="00E9713A">
              <w:rPr>
                <w:noProof/>
                <w:color w:val="000000"/>
                <w:highlight w:val="black"/>
              </w:rPr>
              <w:t>''''''''''''''''''''''''''''</w:t>
            </w:r>
          </w:p>
        </w:tc>
        <w:tc>
          <w:tcPr>
            <w:tcW w:w="649" w:type="pct"/>
            <w:shd w:val="clear" w:color="auto" w:fill="B8CCE4" w:themeFill="accent1" w:themeFillTint="66"/>
            <w:vAlign w:val="center"/>
          </w:tcPr>
          <w:p w:rsidR="00D516FD" w:rsidRPr="00C41F2B" w:rsidRDefault="00D516FD" w:rsidP="00D516FD">
            <w:pPr>
              <w:pStyle w:val="TableText0"/>
              <w:jc w:val="center"/>
            </w:pPr>
            <w:r w:rsidRPr="00C41F2B">
              <w:t>$</w:t>
            </w:r>
            <w:r w:rsidR="00E9713A">
              <w:rPr>
                <w:noProof/>
                <w:color w:val="000000"/>
                <w:highlight w:val="black"/>
              </w:rPr>
              <w:t>'''''''''''''''''''''''''''</w:t>
            </w:r>
          </w:p>
        </w:tc>
      </w:tr>
    </w:tbl>
    <w:p w:rsidR="00790928" w:rsidRPr="00C41F2B" w:rsidRDefault="00790928" w:rsidP="00790928">
      <w:pPr>
        <w:pStyle w:val="TableFigureFooter"/>
        <w:rPr>
          <w:rStyle w:val="TableFigureHeadingChar"/>
        </w:rPr>
      </w:pPr>
      <w:r w:rsidRPr="00C41F2B">
        <w:t xml:space="preserve">Source: </w:t>
      </w:r>
      <w:r w:rsidR="00F77308" w:rsidRPr="00C41F2B">
        <w:t xml:space="preserve"> Table 56, Table 59 and information presented in ‘</w:t>
      </w:r>
      <w:proofErr w:type="spellStart"/>
      <w:r w:rsidR="00F77308" w:rsidRPr="00C41F2B">
        <w:t>Olaparib_Economic</w:t>
      </w:r>
      <w:proofErr w:type="spellEnd"/>
      <w:r w:rsidR="00F77308" w:rsidRPr="00C41F2B">
        <w:t xml:space="preserve"> evaluation_11032020 Final.xlsx’ .Previous submission values from Table PBAC.15 6.05 olaparib PSD, November 2019 PBAC Meeting </w:t>
      </w:r>
    </w:p>
    <w:p w:rsidR="00790928" w:rsidRPr="00C41F2B" w:rsidRDefault="00790928" w:rsidP="00790928">
      <w:pPr>
        <w:pStyle w:val="TableFigureFooter"/>
      </w:pPr>
      <w:proofErr w:type="gramStart"/>
      <w:r w:rsidRPr="00C41F2B">
        <w:rPr>
          <w:vertAlign w:val="superscript"/>
        </w:rPr>
        <w:t>a</w:t>
      </w:r>
      <w:proofErr w:type="gramEnd"/>
      <w:r w:rsidR="00EF432F" w:rsidRPr="00C41F2B">
        <w:t xml:space="preserve"> Figure also includes </w:t>
      </w:r>
      <w:r w:rsidR="00283A6B">
        <w:t>&lt;500</w:t>
      </w:r>
      <w:r w:rsidR="00EF432F" w:rsidRPr="00C41F2B">
        <w:t xml:space="preserve"> grandfathered patients. </w:t>
      </w:r>
    </w:p>
    <w:p w:rsidR="00EF432F" w:rsidRPr="00C41F2B" w:rsidRDefault="00EF432F" w:rsidP="00790928">
      <w:pPr>
        <w:pStyle w:val="TableFigureFooter"/>
      </w:pPr>
      <w:proofErr w:type="gramStart"/>
      <w:r w:rsidRPr="00C41F2B">
        <w:rPr>
          <w:vertAlign w:val="superscript"/>
        </w:rPr>
        <w:t>b</w:t>
      </w:r>
      <w:proofErr w:type="gramEnd"/>
      <w:r w:rsidRPr="00C41F2B">
        <w:t xml:space="preserve"> Number of script</w:t>
      </w:r>
      <w:r w:rsidR="004F2FB2" w:rsidRPr="00C41F2B">
        <w:t>s based on TTD curve from SOLO1, which allowed treatment beyond 24 months</w:t>
      </w:r>
      <w:r w:rsidR="00706176" w:rsidRPr="00C41F2B">
        <w:t xml:space="preserve"> which was permitted according to the protocol for patients with residual disease who may continue to receive benefit according to investigator’s discretion</w:t>
      </w:r>
      <w:r w:rsidR="004F2FB2" w:rsidRPr="00C41F2B">
        <w:t>. The resubmission appeared to make an error in converting the number of packs required (28 day supply) to the average number of months treatment in a calendar year (365.25/12= 30.4 days per month)</w:t>
      </w:r>
      <w:r w:rsidR="00390622" w:rsidRPr="00C41F2B">
        <w:t>, this error has been corrected</w:t>
      </w:r>
      <w:r w:rsidR="004F2FB2" w:rsidRPr="00C41F2B">
        <w:t xml:space="preserve">. The resubmission estimated that the average duration of therapy was </w:t>
      </w:r>
      <w:r w:rsidR="00EA33AD" w:rsidRPr="00C41F2B">
        <w:t xml:space="preserve">20.65 months, which would require 22.1 scripts. </w:t>
      </w:r>
      <w:r w:rsidR="00E242BB" w:rsidRPr="00C41F2B">
        <w:t xml:space="preserve">However, 22.44 scripts would actually be required for a treatment duration of 20.65 months. This included approximately 10% of patients who received treatment beyond 24 months. </w:t>
      </w:r>
      <w:r w:rsidR="00C800FE" w:rsidRPr="00C41F2B">
        <w:t>1L script numbers reduced to account for treatment interruptions.</w:t>
      </w:r>
    </w:p>
    <w:p w:rsidR="00ED34AD" w:rsidRPr="00C41F2B" w:rsidRDefault="00ED34AD" w:rsidP="00790928">
      <w:pPr>
        <w:pStyle w:val="TableFigureFooter"/>
        <w:rPr>
          <w:iCs/>
        </w:rPr>
      </w:pPr>
      <w:proofErr w:type="gramStart"/>
      <w:r w:rsidRPr="00C41F2B">
        <w:rPr>
          <w:iCs/>
          <w:vertAlign w:val="superscript"/>
        </w:rPr>
        <w:t>c</w:t>
      </w:r>
      <w:proofErr w:type="gramEnd"/>
      <w:r w:rsidRPr="00C41F2B">
        <w:rPr>
          <w:iCs/>
        </w:rPr>
        <w:t xml:space="preserve"> The resubmission only accounted for 82 germline GF patients. Revised to include </w:t>
      </w:r>
      <w:r w:rsidR="00830E14">
        <w:rPr>
          <w:iCs/>
        </w:rPr>
        <w:t>&lt;500</w:t>
      </w:r>
      <w:r w:rsidRPr="00C41F2B">
        <w:rPr>
          <w:iCs/>
        </w:rPr>
        <w:t xml:space="preserve"> GF patients.</w:t>
      </w:r>
    </w:p>
    <w:p w:rsidR="00943C73" w:rsidRPr="00C41F2B" w:rsidRDefault="00FA78EC" w:rsidP="00790928">
      <w:pPr>
        <w:pStyle w:val="TableFigureFooter"/>
        <w:rPr>
          <w:iCs/>
        </w:rPr>
      </w:pPr>
      <w:proofErr w:type="gramStart"/>
      <w:r w:rsidRPr="00C41F2B">
        <w:rPr>
          <w:iCs/>
          <w:vertAlign w:val="superscript"/>
        </w:rPr>
        <w:t>d</w:t>
      </w:r>
      <w:proofErr w:type="gramEnd"/>
      <w:r w:rsidR="00943C73" w:rsidRPr="00C41F2B">
        <w:rPr>
          <w:iCs/>
          <w:vertAlign w:val="superscript"/>
        </w:rPr>
        <w:t xml:space="preserve"> </w:t>
      </w:r>
      <w:r w:rsidR="00F15CA7" w:rsidRPr="00C41F2B">
        <w:rPr>
          <w:iCs/>
        </w:rPr>
        <w:t>The resubmission stated that it was assumed that 12 packs were required per treatment per year. The number of scripts required per patient year is actually 13.04 scripts (365.25 days / 28 days per script). Further to this, the resubmission assumed that 3 scripts would also be required in the second year. This calculation was not explained by the resubmission</w:t>
      </w:r>
      <w:r w:rsidR="00F77308" w:rsidRPr="00C41F2B">
        <w:rPr>
          <w:iCs/>
        </w:rPr>
        <w:t xml:space="preserve"> </w:t>
      </w:r>
      <w:r w:rsidR="00F15CA7" w:rsidRPr="00C41F2B">
        <w:rPr>
          <w:iCs/>
        </w:rPr>
        <w:t xml:space="preserve">and appeared incorrect. </w:t>
      </w:r>
    </w:p>
    <w:p w:rsidR="00FA78EC" w:rsidRPr="00C41F2B" w:rsidRDefault="00FA78EC" w:rsidP="00790928">
      <w:pPr>
        <w:pStyle w:val="TableFigureFooter"/>
        <w:rPr>
          <w:iCs/>
          <w:vertAlign w:val="superscript"/>
        </w:rPr>
      </w:pPr>
      <w:proofErr w:type="gramStart"/>
      <w:r w:rsidRPr="00C41F2B">
        <w:rPr>
          <w:iCs/>
          <w:vertAlign w:val="superscript"/>
        </w:rPr>
        <w:t>e</w:t>
      </w:r>
      <w:proofErr w:type="gramEnd"/>
      <w:r w:rsidRPr="00C41F2B">
        <w:rPr>
          <w:iCs/>
          <w:vertAlign w:val="superscript"/>
        </w:rPr>
        <w:t xml:space="preserve"> </w:t>
      </w:r>
      <w:r w:rsidRPr="00C41F2B">
        <w:rPr>
          <w:iCs/>
        </w:rPr>
        <w:t>Patient numbers revised to exclude non-epithelial ovarian cancers</w:t>
      </w:r>
      <w:r w:rsidR="00B64B13" w:rsidRPr="00C41F2B">
        <w:rPr>
          <w:iCs/>
        </w:rPr>
        <w:t xml:space="preserve"> (16%)</w:t>
      </w:r>
      <w:r w:rsidRPr="00C41F2B">
        <w:rPr>
          <w:iCs/>
        </w:rPr>
        <w:t>, 1.14 multiplication factor removed, 5% somatic BRCAm</w:t>
      </w:r>
      <w:r w:rsidR="009E620F" w:rsidRPr="00C41F2B">
        <w:rPr>
          <w:iCs/>
        </w:rPr>
        <w:t>, 100%</w:t>
      </w:r>
      <w:r w:rsidR="00DD595E">
        <w:rPr>
          <w:iCs/>
        </w:rPr>
        <w:t> </w:t>
      </w:r>
      <w:r w:rsidR="009E620F" w:rsidRPr="00C41F2B">
        <w:rPr>
          <w:iCs/>
        </w:rPr>
        <w:t>of patients treated in year 1 but 64% uptake)</w:t>
      </w:r>
      <w:r w:rsidRPr="00C41F2B">
        <w:rPr>
          <w:iCs/>
        </w:rPr>
        <w:t xml:space="preserve">. </w:t>
      </w:r>
    </w:p>
    <w:p w:rsidR="00EF432F" w:rsidRPr="00C41F2B" w:rsidRDefault="00EF432F" w:rsidP="00790928">
      <w:pPr>
        <w:pStyle w:val="TableFigureFooter"/>
      </w:pPr>
    </w:p>
    <w:p w:rsidR="00790928" w:rsidRPr="00C41F2B" w:rsidRDefault="00790928" w:rsidP="00790928">
      <w:pPr>
        <w:pStyle w:val="3-BodyText"/>
      </w:pPr>
      <w:r w:rsidRPr="00C41F2B">
        <w:t xml:space="preserve">The </w:t>
      </w:r>
      <w:r w:rsidR="00F17382" w:rsidRPr="00C41F2B">
        <w:t>net</w:t>
      </w:r>
      <w:r w:rsidRPr="00C41F2B">
        <w:t xml:space="preserve"> cost to the PBS/RPBS of listing olaparib as </w:t>
      </w:r>
      <w:r w:rsidR="004F687F" w:rsidRPr="00C41F2B">
        <w:t>1L</w:t>
      </w:r>
      <w:r w:rsidRPr="00C41F2B">
        <w:t xml:space="preserve"> maintenance therapy was estimated to be</w:t>
      </w:r>
      <w:r w:rsidR="00477378" w:rsidRPr="00C41F2B">
        <w:t xml:space="preserve"> approximately</w:t>
      </w:r>
      <w:r w:rsidRPr="00C41F2B">
        <w:t xml:space="preserve"> </w:t>
      </w:r>
      <w:r w:rsidR="003533E9">
        <w:rPr>
          <w:rFonts w:cs="Times New Roman"/>
        </w:rPr>
        <w:t xml:space="preserve">$10 million to &lt; $20 </w:t>
      </w:r>
      <w:r w:rsidRPr="00C41F2B">
        <w:t xml:space="preserve">million in Year 6, and a total of </w:t>
      </w:r>
      <w:r w:rsidR="003533E9">
        <w:t>$60</w:t>
      </w:r>
      <w:r w:rsidR="00DD595E">
        <w:t> </w:t>
      </w:r>
      <w:r w:rsidR="003533E9">
        <w:t xml:space="preserve">million to &lt;$70 </w:t>
      </w:r>
      <w:r w:rsidRPr="00C41F2B">
        <w:t>million in the first 6 years of listing.</w:t>
      </w:r>
      <w:r w:rsidR="00F802BA" w:rsidRPr="00C41F2B">
        <w:t xml:space="preserve"> </w:t>
      </w:r>
    </w:p>
    <w:p w:rsidR="00790928" w:rsidRPr="00C41F2B" w:rsidRDefault="00790928" w:rsidP="00790928">
      <w:pPr>
        <w:pStyle w:val="4-SubsectionHeading"/>
      </w:pPr>
      <w:bookmarkStart w:id="48" w:name="_Toc22897648"/>
      <w:bookmarkStart w:id="49" w:name="_Toc38305878"/>
      <w:r w:rsidRPr="00C41F2B">
        <w:t>Quality Use of Medicines</w:t>
      </w:r>
      <w:bookmarkEnd w:id="48"/>
      <w:bookmarkEnd w:id="49"/>
    </w:p>
    <w:p w:rsidR="00790928" w:rsidRPr="00C41F2B" w:rsidRDefault="00790928" w:rsidP="00790928">
      <w:pPr>
        <w:pStyle w:val="3-BodyText"/>
        <w:rPr>
          <w:color w:val="0066FF"/>
        </w:rPr>
      </w:pPr>
      <w:r w:rsidRPr="00C41F2B">
        <w:t>The resubmission noted duration of therapy (and stopping rules for patients in complete response) as a potential quality use of medicine issue.</w:t>
      </w:r>
    </w:p>
    <w:p w:rsidR="00790928" w:rsidRPr="00C41F2B" w:rsidRDefault="00790928" w:rsidP="00790928">
      <w:pPr>
        <w:pStyle w:val="4-SubsectionHeading"/>
      </w:pPr>
      <w:bookmarkStart w:id="50" w:name="_Toc22897649"/>
      <w:bookmarkStart w:id="51" w:name="_Toc38305879"/>
      <w:r w:rsidRPr="00C41F2B">
        <w:t>Financial Management – Risk Sharing Arrangements</w:t>
      </w:r>
      <w:bookmarkEnd w:id="50"/>
      <w:bookmarkEnd w:id="51"/>
    </w:p>
    <w:p w:rsidR="00576972" w:rsidRPr="00C41F2B" w:rsidRDefault="00790928" w:rsidP="003023FB">
      <w:pPr>
        <w:pStyle w:val="ListParagraph"/>
        <w:numPr>
          <w:ilvl w:val="1"/>
          <w:numId w:val="1"/>
        </w:numPr>
      </w:pPr>
      <w:r w:rsidRPr="00C41F2B">
        <w:t xml:space="preserve">The resubmission proposed that the existing Deed between the sponsor and the government for olaparib supply as a </w:t>
      </w:r>
      <w:r w:rsidR="004F687F" w:rsidRPr="00C41F2B">
        <w:t>2L</w:t>
      </w:r>
      <w:r w:rsidRPr="00C41F2B">
        <w:t xml:space="preserve"> maintenance therapy be amended to reflect </w:t>
      </w:r>
      <w:r w:rsidRPr="00C41F2B">
        <w:lastRenderedPageBreak/>
        <w:t xml:space="preserve">the increased supply of olaparib for </w:t>
      </w:r>
      <w:r w:rsidR="004F687F" w:rsidRPr="00C41F2B">
        <w:t>1L</w:t>
      </w:r>
      <w:r w:rsidRPr="00C41F2B">
        <w:t xml:space="preserve"> treatment. </w:t>
      </w:r>
      <w:r w:rsidR="00131F6E" w:rsidRPr="00C41F2B">
        <w:t>The PBAC considered that for the RSA to be effective o</w:t>
      </w:r>
      <w:r w:rsidR="00B91D09" w:rsidRPr="00C41F2B">
        <w:t xml:space="preserve">ffsets from reduced </w:t>
      </w:r>
      <w:r w:rsidR="004F687F" w:rsidRPr="00C41F2B">
        <w:t>2L</w:t>
      </w:r>
      <w:r w:rsidR="00B91D09" w:rsidRPr="00C41F2B">
        <w:t xml:space="preserve"> use would need to be factored into calculation of the subsidisation caps</w:t>
      </w:r>
      <w:r w:rsidR="00D2421F" w:rsidRPr="00C41F2B">
        <w:t>.</w:t>
      </w:r>
      <w:r w:rsidR="00B91D09" w:rsidRPr="00C41F2B">
        <w:t xml:space="preserve"> </w:t>
      </w:r>
      <w:r w:rsidR="00AC4C3A" w:rsidRPr="00C41F2B">
        <w:t>N</w:t>
      </w:r>
      <w:r w:rsidR="00D516FD" w:rsidRPr="00C41F2B">
        <w:t xml:space="preserve">either the current subsidisation caps, nor the estimate of the revised subsidisation caps included in the resubmission take into consideration PBAC’s recommendation to allow 2L olaparib treatment in patients with </w:t>
      </w:r>
      <w:proofErr w:type="spellStart"/>
      <w:r w:rsidR="00D516FD" w:rsidRPr="00C41F2B">
        <w:t>sBRCA</w:t>
      </w:r>
      <w:proofErr w:type="spellEnd"/>
      <w:r w:rsidR="00D516FD" w:rsidRPr="00C41F2B">
        <w:t xml:space="preserve"> mutations.</w:t>
      </w:r>
      <w:r w:rsidR="004A1E0E" w:rsidRPr="00C41F2B">
        <w:t xml:space="preserve"> </w:t>
      </w:r>
      <w:r w:rsidR="004A1E0E" w:rsidRPr="00C41F2B">
        <w:rPr>
          <w:szCs w:val="20"/>
        </w:rPr>
        <w:t xml:space="preserve">The ESC considered that it may be reasonable to assume that, in time, all </w:t>
      </w:r>
      <w:r w:rsidR="00131F6E" w:rsidRPr="00C41F2B">
        <w:rPr>
          <w:szCs w:val="20"/>
        </w:rPr>
        <w:t xml:space="preserve">potential 2L </w:t>
      </w:r>
      <w:r w:rsidR="004A1E0E" w:rsidRPr="00C41F2B">
        <w:rPr>
          <w:szCs w:val="20"/>
        </w:rPr>
        <w:t xml:space="preserve">patients will be treated in the 1L setting and therefore the current 2L caps should reduce to $0. </w:t>
      </w:r>
    </w:p>
    <w:p w:rsidR="009901CD" w:rsidRPr="00C41F2B" w:rsidRDefault="009901CD" w:rsidP="000108E5">
      <w:pPr>
        <w:pStyle w:val="2-SectionHeading"/>
        <w:rPr>
          <w:bCs/>
        </w:rPr>
      </w:pPr>
      <w:bookmarkStart w:id="52" w:name="_Toc22897650"/>
      <w:bookmarkStart w:id="53" w:name="_Toc38305880"/>
      <w:r w:rsidRPr="00C41F2B">
        <w:rPr>
          <w:bCs/>
        </w:rPr>
        <w:t>PBAC Outcome</w:t>
      </w:r>
    </w:p>
    <w:p w:rsidR="00674F7C" w:rsidRPr="00C41F2B" w:rsidRDefault="009901CD" w:rsidP="00D12BE7">
      <w:pPr>
        <w:pStyle w:val="3-BodyText"/>
        <w:rPr>
          <w:lang w:eastAsia="en-GB"/>
        </w:rPr>
      </w:pPr>
      <w:r w:rsidRPr="00C41F2B">
        <w:rPr>
          <w:bCs/>
        </w:rPr>
        <w:t xml:space="preserve">The PBAC recommended the listing of </w:t>
      </w:r>
      <w:r w:rsidR="00F73AA9" w:rsidRPr="00C41F2B">
        <w:rPr>
          <w:bCs/>
        </w:rPr>
        <w:t xml:space="preserve">olaparib </w:t>
      </w:r>
      <w:r w:rsidR="00312AD9" w:rsidRPr="00C41F2B">
        <w:rPr>
          <w:bCs/>
        </w:rPr>
        <w:t xml:space="preserve">for the treatment of high </w:t>
      </w:r>
      <w:r w:rsidR="00312AD9" w:rsidRPr="00C41F2B">
        <w:rPr>
          <w:rFonts w:cs="Times New Roman"/>
          <w:snapToGrid/>
          <w:lang w:eastAsia="en-GB"/>
        </w:rPr>
        <w:t xml:space="preserve">grade </w:t>
      </w:r>
      <w:r w:rsidR="003E5929">
        <w:rPr>
          <w:rFonts w:cs="Times New Roman"/>
          <w:snapToGrid/>
          <w:lang w:eastAsia="en-GB"/>
        </w:rPr>
        <w:t xml:space="preserve">epithelial </w:t>
      </w:r>
      <w:r w:rsidR="00312AD9" w:rsidRPr="00C41F2B">
        <w:rPr>
          <w:rFonts w:cs="Times New Roman"/>
          <w:snapToGrid/>
          <w:lang w:eastAsia="en-GB"/>
        </w:rPr>
        <w:t xml:space="preserve">ovarian, fallopian tube and primary peritoneal cancers </w:t>
      </w:r>
      <w:r w:rsidR="009D39B2" w:rsidRPr="00C41F2B">
        <w:t>as</w:t>
      </w:r>
      <w:r w:rsidR="00312AD9" w:rsidRPr="00C41F2B">
        <w:t xml:space="preserve"> maintenance following a</w:t>
      </w:r>
      <w:r w:rsidR="007F3AE2" w:rsidRPr="00C41F2B">
        <w:t xml:space="preserve"> partial or complete</w:t>
      </w:r>
      <w:r w:rsidR="00312AD9" w:rsidRPr="00C41F2B">
        <w:t xml:space="preserve"> response to </w:t>
      </w:r>
      <w:r w:rsidR="009D39B2" w:rsidRPr="00C41F2B">
        <w:t xml:space="preserve">first line (1L) </w:t>
      </w:r>
      <w:r w:rsidR="00312AD9" w:rsidRPr="00C41F2B">
        <w:t>platinum-based chemotherapy in a patient</w:t>
      </w:r>
      <w:r w:rsidR="007F3AE2" w:rsidRPr="00C41F2B">
        <w:t xml:space="preserve"> with evidence of a BRCA1 or BRCA2 gene mutation (BRCAm) via germline or somatic testing</w:t>
      </w:r>
      <w:r w:rsidR="00312AD9" w:rsidRPr="00C41F2B">
        <w:t>.</w:t>
      </w:r>
      <w:r w:rsidR="00391BDF" w:rsidRPr="00C41F2B">
        <w:t xml:space="preserve"> </w:t>
      </w:r>
      <w:r w:rsidR="00D12BE7" w:rsidRPr="00C41F2B">
        <w:rPr>
          <w:bCs/>
          <w:lang w:eastAsia="en-GB"/>
        </w:rPr>
        <w:t xml:space="preserve">The PBAC was satisfied that </w:t>
      </w:r>
      <w:r w:rsidR="009D39B2" w:rsidRPr="00C41F2B">
        <w:rPr>
          <w:bCs/>
          <w:lang w:eastAsia="en-GB"/>
        </w:rPr>
        <w:t>1L</w:t>
      </w:r>
      <w:r w:rsidR="00D12BE7" w:rsidRPr="00C41F2B">
        <w:rPr>
          <w:bCs/>
          <w:lang w:eastAsia="en-GB"/>
        </w:rPr>
        <w:t xml:space="preserve"> maintenance with olaparib provides, for some patients, a significant delay in the time to progression.</w:t>
      </w:r>
      <w:r w:rsidR="00D12BE7" w:rsidRPr="00C41F2B">
        <w:t xml:space="preserve"> </w:t>
      </w:r>
      <w:r w:rsidR="00391BDF" w:rsidRPr="00C41F2B">
        <w:t xml:space="preserve">The PBAC’s recommendation for listing was based on, among other matters, its assessment that the cost-effectiveness of olaparib </w:t>
      </w:r>
      <w:r w:rsidR="00391BDF" w:rsidRPr="00C41F2B">
        <w:rPr>
          <w:bCs/>
        </w:rPr>
        <w:t xml:space="preserve">would be acceptable if the </w:t>
      </w:r>
      <w:r w:rsidR="00180303" w:rsidRPr="00C41F2B">
        <w:t>ICER</w:t>
      </w:r>
      <w:r w:rsidR="00391BDF" w:rsidRPr="00C41F2B">
        <w:t xml:space="preserve"> was </w:t>
      </w:r>
      <w:r w:rsidR="00391BDF" w:rsidRPr="00C41F2B">
        <w:rPr>
          <w:rFonts w:cstheme="minorHAnsi"/>
        </w:rPr>
        <w:t xml:space="preserve">less than </w:t>
      </w:r>
      <w:r w:rsidR="001524BD">
        <w:t>$55,000 - $75,000</w:t>
      </w:r>
      <w:r w:rsidR="00391BDF" w:rsidRPr="00C41F2B">
        <w:t>/QALY for the revised economic model scenario as described in paragraph</w:t>
      </w:r>
      <w:r w:rsidR="000E6B3E" w:rsidRPr="00C41F2B">
        <w:t xml:space="preserve"> </w:t>
      </w:r>
      <w:r w:rsidR="00A0380C">
        <w:t>7.17</w:t>
      </w:r>
      <w:r w:rsidR="000E6B3E" w:rsidRPr="00C41F2B">
        <w:t xml:space="preserve"> </w:t>
      </w:r>
      <w:r w:rsidR="00391BDF" w:rsidRPr="00C41F2B">
        <w:t>below.</w:t>
      </w:r>
    </w:p>
    <w:p w:rsidR="00D12BE7" w:rsidRPr="00C41F2B" w:rsidRDefault="00491FD6" w:rsidP="00D12BE7">
      <w:pPr>
        <w:pStyle w:val="3-BodyText"/>
        <w:rPr>
          <w:lang w:eastAsia="en-GB"/>
        </w:rPr>
      </w:pPr>
      <w:r w:rsidRPr="00C41F2B">
        <w:rPr>
          <w:bCs/>
          <w:lang w:eastAsia="en-GB"/>
        </w:rPr>
        <w:t xml:space="preserve">The PBAC recognised the clinical need for effective treatments for patients with ovarian cancer prior to disease relapse. </w:t>
      </w:r>
      <w:r w:rsidR="00D12BE7" w:rsidRPr="00C41F2B">
        <w:t>The PBAC noted the input from patient support organisations (Ovarian Cancer Australia and Rare Cancers Australia) and consumers regarding the high risk of recurrence without olaparib maintenance and the associated anxiety and depression related to the fear of recurrence. The PBAC noted the strong support of t</w:t>
      </w:r>
      <w:r w:rsidR="00DD595E">
        <w:rPr>
          <w:lang w:eastAsia="en-GB"/>
        </w:rPr>
        <w:t xml:space="preserve">he </w:t>
      </w:r>
      <w:r w:rsidR="00D12BE7" w:rsidRPr="00C41F2B">
        <w:rPr>
          <w:lang w:eastAsia="en-GB"/>
        </w:rPr>
        <w:t>MOGA for the olaparib submission,</w:t>
      </w:r>
      <w:r w:rsidR="0052521B" w:rsidRPr="00C41F2B">
        <w:rPr>
          <w:lang w:eastAsia="en-GB"/>
        </w:rPr>
        <w:t xml:space="preserve"> and</w:t>
      </w:r>
      <w:r w:rsidR="00D12BE7" w:rsidRPr="00C41F2B">
        <w:rPr>
          <w:lang w:eastAsia="en-GB"/>
        </w:rPr>
        <w:t xml:space="preserve"> that the ESMO-MCBS score was upgraded to 4 on the basis of a PFS difference &gt;10% at 2 years and a plateau of the PFS curve in the treatment arm</w:t>
      </w:r>
      <w:r w:rsidR="00C41F2B">
        <w:rPr>
          <w:lang w:eastAsia="en-GB"/>
        </w:rPr>
        <w:t xml:space="preserve">. </w:t>
      </w:r>
      <w:r w:rsidR="00D12BE7" w:rsidRPr="00C41F2B">
        <w:rPr>
          <w:highlight w:val="yellow"/>
          <w:lang w:eastAsia="en-GB"/>
        </w:rPr>
        <w:t xml:space="preserve"> </w:t>
      </w:r>
    </w:p>
    <w:p w:rsidR="00CB567B" w:rsidRPr="00C41F2B" w:rsidRDefault="00CB567B" w:rsidP="00E860D0">
      <w:pPr>
        <w:pStyle w:val="3-BodyText"/>
      </w:pPr>
      <w:r w:rsidRPr="00C41F2B">
        <w:t>The PBAC noted that in November 2019 MSAC recommended the MBS listing for tumour</w:t>
      </w:r>
      <w:r w:rsidR="005C0823" w:rsidRPr="00C41F2B">
        <w:t xml:space="preserve"> BRCA</w:t>
      </w:r>
      <w:r w:rsidRPr="00C41F2B">
        <w:t xml:space="preserve"> testing in patients treated with olaparib in the 2L setting but did not provide advice on BRCA testing for the 1L population. </w:t>
      </w:r>
      <w:r w:rsidR="00E7794D" w:rsidRPr="00C41F2B">
        <w:t>Although</w:t>
      </w:r>
      <w:r w:rsidRPr="00C41F2B">
        <w:t>, the proposed MBS item descriptors for germline and tumour testing do not specify the line of olaparib therapy</w:t>
      </w:r>
      <w:r w:rsidR="00E7794D" w:rsidRPr="00C41F2B">
        <w:t xml:space="preserve">, the PBAC noted that the July 2020 MSAC meeting was scheduled to consider a streamlined </w:t>
      </w:r>
      <w:r w:rsidR="00DA7BFE" w:rsidRPr="00C41F2B">
        <w:t>co-dependent</w:t>
      </w:r>
      <w:r w:rsidR="00E7794D" w:rsidRPr="00C41F2B">
        <w:t xml:space="preserve"> submission to ensure that these descriptors are appropriate for the 1L population, and to provide any advice on the consequential financial implications to the </w:t>
      </w:r>
      <w:r w:rsidR="00552720">
        <w:t>MBS</w:t>
      </w:r>
      <w:r w:rsidRPr="00C41F2B">
        <w:t>.</w:t>
      </w:r>
      <w:r w:rsidR="005C0823" w:rsidRPr="00C41F2B">
        <w:t xml:space="preserve"> </w:t>
      </w:r>
    </w:p>
    <w:p w:rsidR="00A74C51" w:rsidRPr="00C41F2B" w:rsidRDefault="00947C2E" w:rsidP="00A74C51">
      <w:pPr>
        <w:pStyle w:val="3Bodytext"/>
        <w:numPr>
          <w:ilvl w:val="1"/>
          <w:numId w:val="1"/>
        </w:numPr>
        <w:jc w:val="both"/>
        <w:rPr>
          <w:rFonts w:cs="Arial"/>
          <w:bCs/>
          <w:snapToGrid w:val="0"/>
        </w:rPr>
      </w:pPr>
      <w:r w:rsidRPr="00C41F2B">
        <w:t xml:space="preserve">The PBAC </w:t>
      </w:r>
      <w:r w:rsidR="00D609B1" w:rsidRPr="00C41F2B">
        <w:t xml:space="preserve">considered that the restriction should specify that treatment is for patients with stage III or IV epithelial ovarian cancer, consistent with the SOLO1 trial. </w:t>
      </w:r>
      <w:r w:rsidR="00583ECB" w:rsidRPr="00C41F2B">
        <w:t xml:space="preserve">The PBAC </w:t>
      </w:r>
      <w:r w:rsidR="00180303" w:rsidRPr="00C41F2B">
        <w:t xml:space="preserve">recommended new separate listings for 1L olaparib </w:t>
      </w:r>
      <w:r w:rsidR="00583ECB" w:rsidRPr="00C41F2B">
        <w:t>not</w:t>
      </w:r>
      <w:r w:rsidR="00180303" w:rsidRPr="00C41F2B">
        <w:t xml:space="preserve">ing </w:t>
      </w:r>
      <w:r w:rsidR="000E54A3" w:rsidRPr="00C41F2B">
        <w:t>that combining the 1L and 2L ol</w:t>
      </w:r>
      <w:r w:rsidR="00A379E5" w:rsidRPr="00C41F2B">
        <w:t>a</w:t>
      </w:r>
      <w:r w:rsidR="000E54A3" w:rsidRPr="00C41F2B">
        <w:t>parib listings</w:t>
      </w:r>
      <w:r w:rsidR="00180303" w:rsidRPr="00C41F2B">
        <w:t xml:space="preserve"> would be complex due to</w:t>
      </w:r>
      <w:r w:rsidR="00583ECB" w:rsidRPr="00C41F2B">
        <w:t xml:space="preserve"> the different </w:t>
      </w:r>
      <w:r w:rsidR="000E54A3" w:rsidRPr="00C41F2B">
        <w:t>dosing</w:t>
      </w:r>
      <w:r w:rsidR="005D7C7F" w:rsidRPr="00C41F2B">
        <w:t xml:space="preserve"> </w:t>
      </w:r>
      <w:r w:rsidR="00180303" w:rsidRPr="00C41F2B">
        <w:t>regimens for the two</w:t>
      </w:r>
      <w:r w:rsidR="00583ECB" w:rsidRPr="00C41F2B">
        <w:t xml:space="preserve"> settings. </w:t>
      </w:r>
      <w:r w:rsidR="0052521B" w:rsidRPr="00C41F2B">
        <w:t>The PBAC noted</w:t>
      </w:r>
      <w:r w:rsidR="00583ECB" w:rsidRPr="00C41F2B">
        <w:t xml:space="preserve"> there would be flow-on changes for the 2L listings to ensure </w:t>
      </w:r>
      <w:r w:rsidR="00583ECB" w:rsidRPr="00C41F2B">
        <w:lastRenderedPageBreak/>
        <w:t xml:space="preserve">that patients are not re-treated with olaparib </w:t>
      </w:r>
      <w:r w:rsidR="00CF799A" w:rsidRPr="00C41F2B">
        <w:t>following</w:t>
      </w:r>
      <w:r w:rsidR="00583ECB" w:rsidRPr="00C41F2B">
        <w:t xml:space="preserve"> recurrence</w:t>
      </w:r>
      <w:r w:rsidR="0052521B" w:rsidRPr="00C41F2B">
        <w:t xml:space="preserve"> on 1L olaparib</w:t>
      </w:r>
      <w:r w:rsidR="00583ECB" w:rsidRPr="00C41F2B">
        <w:t xml:space="preserve">. </w:t>
      </w:r>
      <w:r w:rsidR="005D7C7F" w:rsidRPr="00C41F2B">
        <w:t xml:space="preserve">The existing 2L listing is split into indications: “High grade serous ovarian cancer”, “High grade serous fallopian tube cancer” and “High grade serous primary peritoneal cancer”. The PBAC considered </w:t>
      </w:r>
      <w:r w:rsidR="00CF799A" w:rsidRPr="00C41F2B">
        <w:t xml:space="preserve">a </w:t>
      </w:r>
      <w:r w:rsidR="005D7C7F" w:rsidRPr="00C41F2B">
        <w:t>combined indication appropriate</w:t>
      </w:r>
      <w:r w:rsidR="00CF799A" w:rsidRPr="00C41F2B">
        <w:t xml:space="preserve"> for 1L</w:t>
      </w:r>
      <w:r w:rsidR="005D7C7F" w:rsidRPr="00C41F2B">
        <w:t xml:space="preserve"> and noted that the 2L listings could be similarly revised. </w:t>
      </w:r>
      <w:r w:rsidR="00A74C51" w:rsidRPr="00C41F2B">
        <w:t>As previously advised for the 2L olaparib listing, the PBAC considered that the prescribing instructions should be amended to “Evidence of a BRCA1 or BRCA2 gene mutation must be derived through germline or somatic mutation testing” and the clinical criteria should be amended to “The condition must be a class 4 or 5 BRCA1 or BRCA2 gene mutation”.</w:t>
      </w:r>
    </w:p>
    <w:p w:rsidR="00947C2E" w:rsidRPr="00C41F2B" w:rsidRDefault="00F24F16" w:rsidP="005D7C7F">
      <w:pPr>
        <w:pStyle w:val="3-BodyText"/>
      </w:pPr>
      <w:r w:rsidRPr="00C41F2B">
        <w:t xml:space="preserve">The PBAC </w:t>
      </w:r>
      <w:r w:rsidR="003A6107" w:rsidRPr="00C41F2B">
        <w:t>reaffirmed that</w:t>
      </w:r>
      <w:r w:rsidRPr="00C41F2B">
        <w:t xml:space="preserve"> watch and wait</w:t>
      </w:r>
      <w:r w:rsidR="003A6107" w:rsidRPr="00C41F2B">
        <w:t xml:space="preserve"> (placebo)</w:t>
      </w:r>
      <w:r w:rsidRPr="00C41F2B">
        <w:t xml:space="preserve">, followed by </w:t>
      </w:r>
      <w:r w:rsidR="003601AD" w:rsidRPr="00C41F2B">
        <w:t>2L</w:t>
      </w:r>
      <w:r w:rsidRPr="00C41F2B">
        <w:t xml:space="preserve"> platinum-based chemotherapy with olaparib maintenance</w:t>
      </w:r>
      <w:r w:rsidR="003A6107" w:rsidRPr="00C41F2B">
        <w:t>,</w:t>
      </w:r>
      <w:r w:rsidRPr="00C41F2B">
        <w:t xml:space="preserve"> </w:t>
      </w:r>
      <w:r w:rsidR="003A6107" w:rsidRPr="00C41F2B">
        <w:t>i</w:t>
      </w:r>
      <w:r w:rsidRPr="00C41F2B">
        <w:t>s the appropriate comparator</w:t>
      </w:r>
      <w:r w:rsidR="003A6107" w:rsidRPr="00C41F2B">
        <w:t>,</w:t>
      </w:r>
      <w:r w:rsidRPr="00C41F2B">
        <w:t xml:space="preserve"> and that for the subgroup of patients with sub-optimally </w:t>
      </w:r>
      <w:proofErr w:type="spellStart"/>
      <w:r w:rsidRPr="00C41F2B">
        <w:t>debulked</w:t>
      </w:r>
      <w:proofErr w:type="spellEnd"/>
      <w:r w:rsidRPr="00C41F2B">
        <w:t xml:space="preserve"> Stage III ovarian cancer</w:t>
      </w:r>
      <w:r w:rsidR="00B92B42" w:rsidRPr="00C41F2B">
        <w:t>,</w:t>
      </w:r>
      <w:r w:rsidR="003A6107" w:rsidRPr="00C41F2B">
        <w:t xml:space="preserve"> bevacizumab is also an appropriate comparator</w:t>
      </w:r>
      <w:r w:rsidRPr="00C41F2B">
        <w:t xml:space="preserve"> (paragraph 5.5, olaparib PSD, November 2019 PBAC meeting). </w:t>
      </w:r>
    </w:p>
    <w:p w:rsidR="00E4164D" w:rsidRPr="00C41F2B" w:rsidRDefault="003A6107" w:rsidP="00E4164D">
      <w:pPr>
        <w:pStyle w:val="3-BodyText"/>
      </w:pPr>
      <w:r w:rsidRPr="00C41F2B">
        <w:t xml:space="preserve">The PBAC noted the key evidence to support the clinical claim (the SOLO1 trial) remained unchanged from the previous submission. </w:t>
      </w:r>
      <w:r w:rsidR="00E4164D" w:rsidRPr="00C41F2B">
        <w:t>The PBAC noted</w:t>
      </w:r>
      <w:r w:rsidR="000E60A0" w:rsidRPr="00C41F2B">
        <w:t xml:space="preserve"> that</w:t>
      </w:r>
      <w:r w:rsidR="00E4164D" w:rsidRPr="00C41F2B">
        <w:t xml:space="preserve"> updated </w:t>
      </w:r>
      <w:r w:rsidR="00557B05" w:rsidRPr="00C41F2B">
        <w:t xml:space="preserve">5-year </w:t>
      </w:r>
      <w:r w:rsidR="00E4164D" w:rsidRPr="00C41F2B">
        <w:t xml:space="preserve">PFS results were </w:t>
      </w:r>
      <w:r w:rsidR="00557B05" w:rsidRPr="00C41F2B">
        <w:t xml:space="preserve">provided in the pre-PBAC response and that they were </w:t>
      </w:r>
      <w:r w:rsidR="00E4164D" w:rsidRPr="00C41F2B">
        <w:t xml:space="preserve">consistent with those presented in the resubmission with a hazard ratio of 0.33 (95% CI: 0.25, 0.43; p&lt;0.0001) and a </w:t>
      </w:r>
      <w:r w:rsidR="00557B05" w:rsidRPr="00C41F2B">
        <w:t xml:space="preserve">median </w:t>
      </w:r>
      <w:r w:rsidR="00E4164D" w:rsidRPr="00C41F2B">
        <w:t xml:space="preserve">difference of 42 months (56 months for olaparib vs 13.8 months for placebo). </w:t>
      </w:r>
      <w:r w:rsidR="00557B05" w:rsidRPr="00C41F2B">
        <w:t>The</w:t>
      </w:r>
      <w:r w:rsidR="00E4164D" w:rsidRPr="00C41F2B">
        <w:t xml:space="preserve"> OS data </w:t>
      </w:r>
      <w:r w:rsidR="00557B05" w:rsidRPr="00C41F2B">
        <w:t xml:space="preserve">were the same as provided in the November 2019 submission with a median follow-up of 41 months. The </w:t>
      </w:r>
      <w:r w:rsidR="00310773" w:rsidRPr="00C41F2B">
        <w:t xml:space="preserve">OS </w:t>
      </w:r>
      <w:r w:rsidR="00557B05" w:rsidRPr="00C41F2B">
        <w:t xml:space="preserve">data </w:t>
      </w:r>
      <w:r w:rsidR="00310773" w:rsidRPr="00C41F2B">
        <w:t>were immature (events in 21% of patients)</w:t>
      </w:r>
      <w:r w:rsidR="00E4164D" w:rsidRPr="00C41F2B">
        <w:t xml:space="preserve"> and a difference across the treatment groups was not demonstrated (HR 0.95, 95% CI: 0.60, 1.53; p=0.89).</w:t>
      </w:r>
      <w:r w:rsidR="00310773" w:rsidRPr="00C41F2B">
        <w:t xml:space="preserve"> The final analysis of the OS data is to be undertaken when 60% of death events have occurred and this is not expected until after 2023, and possibly </w:t>
      </w:r>
      <w:r w:rsidR="00463E27" w:rsidRPr="00C41F2B">
        <w:t>not until</w:t>
      </w:r>
      <w:r w:rsidR="00310773" w:rsidRPr="00C41F2B">
        <w:t xml:space="preserve"> 2027.</w:t>
      </w:r>
    </w:p>
    <w:p w:rsidR="00892271" w:rsidRPr="00C41F2B" w:rsidRDefault="00892271" w:rsidP="004A12A3">
      <w:pPr>
        <w:pStyle w:val="3-BodyText"/>
      </w:pPr>
      <w:r w:rsidRPr="00C41F2B">
        <w:t xml:space="preserve">The PBAC </w:t>
      </w:r>
      <w:r w:rsidR="00310773" w:rsidRPr="00C41F2B">
        <w:t xml:space="preserve">reaffirmed </w:t>
      </w:r>
      <w:r w:rsidRPr="00C41F2B">
        <w:t>that the claim of superior effectiveness for</w:t>
      </w:r>
      <w:r w:rsidR="00EF5E4F" w:rsidRPr="00C41F2B">
        <w:t xml:space="preserve"> </w:t>
      </w:r>
      <w:r w:rsidRPr="00C41F2B">
        <w:t>olaparib</w:t>
      </w:r>
      <w:r w:rsidR="00EF5E4F" w:rsidRPr="00C41F2B">
        <w:t xml:space="preserve"> 1L</w:t>
      </w:r>
      <w:r w:rsidRPr="00C41F2B">
        <w:t xml:space="preserve"> maintenance compared with placebo followed by subsequent therapy (including olaparib 2L maintenance in patients who remain eligible) </w:t>
      </w:r>
      <w:r w:rsidR="00310773" w:rsidRPr="00C41F2B">
        <w:t>is reasonable based on</w:t>
      </w:r>
      <w:r w:rsidRPr="00C41F2B">
        <w:t xml:space="preserve"> the PFS </w:t>
      </w:r>
      <w:r w:rsidR="00310773" w:rsidRPr="00C41F2B">
        <w:t>results</w:t>
      </w:r>
      <w:r w:rsidRPr="00C41F2B">
        <w:t xml:space="preserve">. </w:t>
      </w:r>
    </w:p>
    <w:p w:rsidR="00EB6389" w:rsidRPr="00C41F2B" w:rsidRDefault="00310773" w:rsidP="00EB6389">
      <w:pPr>
        <w:pStyle w:val="3-BodyText"/>
      </w:pPr>
      <w:r w:rsidRPr="00C41F2B">
        <w:rPr>
          <w:bCs/>
          <w:lang w:eastAsia="en-GB"/>
        </w:rPr>
        <w:t xml:space="preserve">No new safety data </w:t>
      </w:r>
      <w:r w:rsidR="00654B01" w:rsidRPr="00C41F2B">
        <w:rPr>
          <w:bCs/>
          <w:lang w:eastAsia="en-GB"/>
        </w:rPr>
        <w:t>were</w:t>
      </w:r>
      <w:r w:rsidRPr="00C41F2B">
        <w:rPr>
          <w:bCs/>
          <w:lang w:eastAsia="en-GB"/>
        </w:rPr>
        <w:t xml:space="preserve"> presented in the resubmission and t</w:t>
      </w:r>
      <w:r w:rsidR="00892271" w:rsidRPr="00C41F2B">
        <w:rPr>
          <w:bCs/>
          <w:lang w:eastAsia="en-GB"/>
        </w:rPr>
        <w:t xml:space="preserve">he PBAC </w:t>
      </w:r>
      <w:r w:rsidRPr="00C41F2B">
        <w:rPr>
          <w:bCs/>
          <w:lang w:eastAsia="en-GB"/>
        </w:rPr>
        <w:t xml:space="preserve">reaffirmed </w:t>
      </w:r>
      <w:r w:rsidR="00654B01" w:rsidRPr="00C41F2B">
        <w:rPr>
          <w:bCs/>
          <w:lang w:eastAsia="en-GB"/>
        </w:rPr>
        <w:t xml:space="preserve">that </w:t>
      </w:r>
      <w:r w:rsidRPr="00C41F2B">
        <w:rPr>
          <w:bCs/>
          <w:lang w:eastAsia="en-GB"/>
        </w:rPr>
        <w:t>the claim</w:t>
      </w:r>
      <w:r w:rsidR="00892271" w:rsidRPr="00C41F2B">
        <w:rPr>
          <w:bCs/>
          <w:lang w:eastAsia="en-GB"/>
        </w:rPr>
        <w:t xml:space="preserve"> </w:t>
      </w:r>
      <w:r w:rsidRPr="00C41F2B">
        <w:rPr>
          <w:bCs/>
          <w:lang w:eastAsia="en-GB"/>
        </w:rPr>
        <w:t xml:space="preserve">of </w:t>
      </w:r>
      <w:r w:rsidR="00892271" w:rsidRPr="00C41F2B">
        <w:rPr>
          <w:bCs/>
          <w:lang w:eastAsia="en-GB"/>
        </w:rPr>
        <w:t xml:space="preserve">inferior safety </w:t>
      </w:r>
      <w:r w:rsidR="00654B01" w:rsidRPr="00C41F2B">
        <w:rPr>
          <w:bCs/>
          <w:lang w:eastAsia="en-GB"/>
        </w:rPr>
        <w:t>is</w:t>
      </w:r>
      <w:r w:rsidRPr="00C41F2B">
        <w:rPr>
          <w:bCs/>
          <w:lang w:eastAsia="en-GB"/>
        </w:rPr>
        <w:t xml:space="preserve"> reasonable</w:t>
      </w:r>
      <w:r w:rsidR="00892271" w:rsidRPr="00C41F2B">
        <w:rPr>
          <w:bCs/>
          <w:lang w:eastAsia="en-GB"/>
        </w:rPr>
        <w:t xml:space="preserve">. </w:t>
      </w:r>
      <w:r w:rsidR="00A00A54" w:rsidRPr="00C41F2B">
        <w:rPr>
          <w:bCs/>
          <w:lang w:eastAsia="en-GB"/>
        </w:rPr>
        <w:t xml:space="preserve">The PBAC noted that </w:t>
      </w:r>
      <w:r w:rsidR="00654B01" w:rsidRPr="00C41F2B">
        <w:rPr>
          <w:bCs/>
          <w:lang w:eastAsia="en-GB"/>
        </w:rPr>
        <w:t xml:space="preserve">longer term follow-up </w:t>
      </w:r>
      <w:r w:rsidR="00A00A54" w:rsidRPr="00C41F2B">
        <w:rPr>
          <w:bCs/>
          <w:lang w:eastAsia="en-GB"/>
        </w:rPr>
        <w:t xml:space="preserve">data </w:t>
      </w:r>
      <w:r w:rsidR="00654B01" w:rsidRPr="00C41F2B">
        <w:rPr>
          <w:bCs/>
          <w:lang w:eastAsia="en-GB"/>
        </w:rPr>
        <w:t xml:space="preserve">for the Phase III 2L olaparib trial </w:t>
      </w:r>
      <w:r w:rsidR="00EF5E4F" w:rsidRPr="00C41F2B">
        <w:rPr>
          <w:bCs/>
          <w:lang w:eastAsia="en-GB"/>
        </w:rPr>
        <w:t xml:space="preserve">(SOLO2) </w:t>
      </w:r>
      <w:r w:rsidR="00A00A54" w:rsidRPr="00C41F2B">
        <w:rPr>
          <w:bCs/>
          <w:lang w:eastAsia="en-GB"/>
        </w:rPr>
        <w:t>indicate</w:t>
      </w:r>
      <w:r w:rsidR="00654B01" w:rsidRPr="00C41F2B">
        <w:rPr>
          <w:bCs/>
          <w:lang w:eastAsia="en-GB"/>
        </w:rPr>
        <w:t>d</w:t>
      </w:r>
      <w:r w:rsidR="00654B01" w:rsidRPr="00C41F2B">
        <w:t xml:space="preserve"> that 8% of patients treated with 2L olaparib experienced MDS, compared with 1.2% of patients treated with 1L olaparib in SOLO1. The PBAC </w:t>
      </w:r>
      <w:r w:rsidR="000E60A0" w:rsidRPr="00C41F2B">
        <w:t>noted</w:t>
      </w:r>
      <w:r w:rsidR="00A00A54" w:rsidRPr="00C41F2B">
        <w:rPr>
          <w:bCs/>
          <w:lang w:eastAsia="en-GB"/>
        </w:rPr>
        <w:t xml:space="preserve"> </w:t>
      </w:r>
      <w:r w:rsidR="00654B01" w:rsidRPr="00C41F2B">
        <w:rPr>
          <w:bCs/>
          <w:lang w:eastAsia="en-GB"/>
        </w:rPr>
        <w:t xml:space="preserve">this </w:t>
      </w:r>
      <w:r w:rsidR="00EF5E4F" w:rsidRPr="00C41F2B">
        <w:rPr>
          <w:bCs/>
          <w:lang w:eastAsia="en-GB"/>
        </w:rPr>
        <w:t xml:space="preserve">may </w:t>
      </w:r>
      <w:r w:rsidR="00654B01" w:rsidRPr="00C41F2B">
        <w:rPr>
          <w:bCs/>
          <w:lang w:eastAsia="en-GB"/>
        </w:rPr>
        <w:t>suggest that</w:t>
      </w:r>
      <w:r w:rsidR="00A00A54" w:rsidRPr="00C41F2B">
        <w:rPr>
          <w:bCs/>
          <w:lang w:eastAsia="en-GB"/>
        </w:rPr>
        <w:t xml:space="preserve"> </w:t>
      </w:r>
      <w:r w:rsidR="00A00A54" w:rsidRPr="00C41F2B">
        <w:t>MDS become</w:t>
      </w:r>
      <w:r w:rsidR="00EF5E4F" w:rsidRPr="00C41F2B">
        <w:t>s</w:t>
      </w:r>
      <w:r w:rsidR="00A00A54" w:rsidRPr="00C41F2B">
        <w:t xml:space="preserve"> more prevalent the longer patients </w:t>
      </w:r>
      <w:r w:rsidR="00654B01" w:rsidRPr="00C41F2B">
        <w:t>are treated with olaparib</w:t>
      </w:r>
      <w:r w:rsidR="00EF5E4F" w:rsidRPr="00C41F2B">
        <w:t>,</w:t>
      </w:r>
      <w:r w:rsidR="00A00A54" w:rsidRPr="00C41F2B">
        <w:t xml:space="preserve"> and that ongoing monitoring of this potentially life-threatening adverse event is warranted. </w:t>
      </w:r>
    </w:p>
    <w:p w:rsidR="00532849" w:rsidRPr="00C41F2B" w:rsidRDefault="00892271" w:rsidP="009F3EA4">
      <w:pPr>
        <w:pStyle w:val="3-BodyText"/>
      </w:pPr>
      <w:r w:rsidRPr="00C41F2B">
        <w:t xml:space="preserve">The </w:t>
      </w:r>
      <w:r w:rsidR="00593214" w:rsidRPr="00C41F2B">
        <w:t xml:space="preserve">PBAC considered the resubmission’s </w:t>
      </w:r>
      <w:r w:rsidRPr="00C41F2B">
        <w:t xml:space="preserve">claim of non-inferior quality of life for olaparib compared with placebo was not adequately supported by the evidence presented. </w:t>
      </w:r>
      <w:r w:rsidR="00593214" w:rsidRPr="00C41F2B">
        <w:t xml:space="preserve">The PBAC noted the </w:t>
      </w:r>
      <w:r w:rsidRPr="00C41F2B">
        <w:t xml:space="preserve">Quality-adjusted PFS (QA-PFS) </w:t>
      </w:r>
      <w:r w:rsidR="00593214" w:rsidRPr="00C41F2B">
        <w:t>outcome was</w:t>
      </w:r>
      <w:r w:rsidRPr="00C41F2B">
        <w:t xml:space="preserve"> based on metrics that censor</w:t>
      </w:r>
      <w:r w:rsidR="00593214" w:rsidRPr="00C41F2B">
        <w:t>ed</w:t>
      </w:r>
      <w:r w:rsidRPr="00C41F2B">
        <w:t xml:space="preserve"> patients at progression, and </w:t>
      </w:r>
      <w:r w:rsidR="00593214" w:rsidRPr="00C41F2B">
        <w:t xml:space="preserve">hence </w:t>
      </w:r>
      <w:r w:rsidRPr="00C41F2B">
        <w:t xml:space="preserve">did not provide an estimate of comparative quality of life across the arms </w:t>
      </w:r>
      <w:r w:rsidR="00EF5E4F" w:rsidRPr="00C41F2B">
        <w:t>over</w:t>
      </w:r>
      <w:r w:rsidRPr="00C41F2B">
        <w:t xml:space="preserve"> a similar time period. </w:t>
      </w:r>
      <w:r w:rsidR="00593214" w:rsidRPr="00C41F2B">
        <w:t>Regarding</w:t>
      </w:r>
      <w:r w:rsidRPr="00C41F2B">
        <w:t xml:space="preserve"> the </w:t>
      </w:r>
      <w:r w:rsidRPr="00C41F2B">
        <w:lastRenderedPageBreak/>
        <w:t>‘Time without symptoms or toxicity’ (</w:t>
      </w:r>
      <w:proofErr w:type="spellStart"/>
      <w:r w:rsidRPr="00C41F2B">
        <w:t>TWiST</w:t>
      </w:r>
      <w:proofErr w:type="spellEnd"/>
      <w:r w:rsidRPr="00C41F2B">
        <w:t xml:space="preserve">) metric </w:t>
      </w:r>
      <w:r w:rsidR="00593214" w:rsidRPr="00C41F2B">
        <w:t xml:space="preserve">the PBAC noted this </w:t>
      </w:r>
      <w:r w:rsidRPr="00C41F2B">
        <w:t xml:space="preserve">factored in </w:t>
      </w:r>
      <w:r w:rsidR="00593214" w:rsidRPr="00C41F2B">
        <w:t xml:space="preserve">only </w:t>
      </w:r>
      <w:r w:rsidRPr="00C41F2B">
        <w:t xml:space="preserve">three symptoms (nausea, vomiting and fatigue), </w:t>
      </w:r>
      <w:r w:rsidR="00593214" w:rsidRPr="00C41F2B">
        <w:t xml:space="preserve">and hence </w:t>
      </w:r>
      <w:r w:rsidRPr="00C41F2B">
        <w:t xml:space="preserve">did not accurately capture the adverse event profile </w:t>
      </w:r>
      <w:r w:rsidR="00593214" w:rsidRPr="00C41F2B">
        <w:t>of</w:t>
      </w:r>
      <w:r w:rsidRPr="00C41F2B">
        <w:t xml:space="preserve"> olaparib. </w:t>
      </w:r>
    </w:p>
    <w:p w:rsidR="00AF11B2" w:rsidRPr="00C41F2B" w:rsidRDefault="00AC0E4A" w:rsidP="004A12A3">
      <w:pPr>
        <w:pStyle w:val="3-BodyText"/>
      </w:pPr>
      <w:bookmarkStart w:id="54" w:name="_Ref46744444"/>
      <w:r w:rsidRPr="00C41F2B">
        <w:t>The PBAC noted the economic model included in the resubmission was revised to include a ‘cured’ health state, however PFS2 continued to be used as a direct predictor of OS and this resulted in a large increase in OS</w:t>
      </w:r>
      <w:r w:rsidR="00167A92" w:rsidRPr="00C41F2B">
        <w:t xml:space="preserve"> (a mean of 1.4 years</w:t>
      </w:r>
      <w:r w:rsidR="00BB6E24" w:rsidRPr="00C41F2B">
        <w:t xml:space="preserve"> in BRCAm</w:t>
      </w:r>
      <w:r w:rsidR="00E32426" w:rsidRPr="00C41F2B">
        <w:t xml:space="preserve"> patients</w:t>
      </w:r>
      <w:r w:rsidR="00167A92" w:rsidRPr="00C41F2B">
        <w:t xml:space="preserve">) </w:t>
      </w:r>
      <w:r w:rsidRPr="00C41F2B">
        <w:t>that was not supported by the SOLO1 results.</w:t>
      </w:r>
      <w:r w:rsidR="00EF5E4F" w:rsidRPr="00C41F2B">
        <w:t xml:space="preserve"> The PBAC noted</w:t>
      </w:r>
      <w:r w:rsidR="00AF11B2" w:rsidRPr="00C41F2B">
        <w:t xml:space="preserve"> in the final analysis of SOLO2</w:t>
      </w:r>
      <w:r w:rsidR="00AF11B2" w:rsidRPr="00C41F2B">
        <w:rPr>
          <w:rStyle w:val="FootnoteReference"/>
        </w:rPr>
        <w:footnoteReference w:id="5"/>
      </w:r>
      <w:r w:rsidR="00AF11B2" w:rsidRPr="00C41F2B">
        <w:t xml:space="preserve">, </w:t>
      </w:r>
      <w:r w:rsidR="009063C2" w:rsidRPr="00C41F2B">
        <w:t>compared with placebo, 2L olaparib result</w:t>
      </w:r>
      <w:r w:rsidR="00D97B02" w:rsidRPr="00C41F2B">
        <w:t>ed in a 12.9 month</w:t>
      </w:r>
      <w:r w:rsidR="009063C2" w:rsidRPr="00C41F2B">
        <w:t xml:space="preserve"> increase in </w:t>
      </w:r>
      <w:r w:rsidR="00AF11B2" w:rsidRPr="00C41F2B">
        <w:t xml:space="preserve">median OS (HR </w:t>
      </w:r>
      <w:r w:rsidR="006C609B" w:rsidRPr="00C41F2B">
        <w:t>0.74</w:t>
      </w:r>
      <w:r w:rsidR="00AF11B2" w:rsidRPr="00C41F2B">
        <w:t>, 95% CI</w:t>
      </w:r>
      <w:r w:rsidR="006C609B" w:rsidRPr="00C41F2B">
        <w:t>: 0.54, 1.00; p=0.0537</w:t>
      </w:r>
      <w:r w:rsidR="00AF11B2" w:rsidRPr="00C41F2B">
        <w:t xml:space="preserve">) </w:t>
      </w:r>
      <w:r w:rsidR="00DD1872" w:rsidRPr="00C41F2B">
        <w:t>with</w:t>
      </w:r>
      <w:r w:rsidR="00AF11B2" w:rsidRPr="00C41F2B">
        <w:t xml:space="preserve"> 38% of patients in the placebo arm receiving subsequent PARP inhibitor therapy. </w:t>
      </w:r>
      <w:r w:rsidR="00167A92" w:rsidRPr="00C41F2B">
        <w:t xml:space="preserve">The PBAC </w:t>
      </w:r>
      <w:r w:rsidR="0092521E" w:rsidRPr="00C41F2B">
        <w:t xml:space="preserve">considered, as was observed with longer follow-up of the SOLO2 trial, that a difference in OS may be observed with </w:t>
      </w:r>
      <w:r w:rsidR="00AF11B2" w:rsidRPr="00C41F2B">
        <w:t xml:space="preserve">1L olaparib with </w:t>
      </w:r>
      <w:r w:rsidR="0092521E" w:rsidRPr="00C41F2B">
        <w:t>more mature data</w:t>
      </w:r>
      <w:r w:rsidR="00D97B02" w:rsidRPr="00C41F2B">
        <w:t>, however currently the magnitude of any OS gain is highly uncertain</w:t>
      </w:r>
      <w:r w:rsidR="0092521E" w:rsidRPr="00C41F2B">
        <w:t>.</w:t>
      </w:r>
      <w:bookmarkEnd w:id="54"/>
      <w:r w:rsidR="00AF11B2" w:rsidRPr="00C41F2B">
        <w:t xml:space="preserve"> </w:t>
      </w:r>
    </w:p>
    <w:p w:rsidR="0092521E" w:rsidRPr="00C41F2B" w:rsidRDefault="0092521E" w:rsidP="009F3EA4">
      <w:pPr>
        <w:pStyle w:val="3-BodyText"/>
      </w:pPr>
      <w:r w:rsidRPr="00C41F2B">
        <w:t>The pre-PBAC response indicated that that the sponsor would be willing to enter a MAP</w:t>
      </w:r>
      <w:r w:rsidR="002F32C9" w:rsidRPr="00C41F2B">
        <w:t xml:space="preserve"> with reference to these planned analyses for the SOLO</w:t>
      </w:r>
      <w:r w:rsidR="00CC76E0" w:rsidRPr="00C41F2B">
        <w:t>1</w:t>
      </w:r>
      <w:r w:rsidR="002F32C9" w:rsidRPr="00C41F2B">
        <w:t xml:space="preserve"> trial</w:t>
      </w:r>
      <w:r w:rsidRPr="00C41F2B">
        <w:t xml:space="preserve">, however the PBAC </w:t>
      </w:r>
      <w:r w:rsidR="002F32C9" w:rsidRPr="00C41F2B">
        <w:t xml:space="preserve">did not recommend this, because the </w:t>
      </w:r>
      <w:r w:rsidRPr="00C41F2B">
        <w:t xml:space="preserve">timing of the final OS analysis is event driven and the </w:t>
      </w:r>
      <w:r w:rsidR="002F32C9" w:rsidRPr="00C41F2B">
        <w:t xml:space="preserve">relevant </w:t>
      </w:r>
      <w:r w:rsidRPr="00C41F2B">
        <w:t>data may not be available until 2027</w:t>
      </w:r>
      <w:r w:rsidR="00A379E5" w:rsidRPr="00C41F2B">
        <w:t>,</w:t>
      </w:r>
      <w:r w:rsidRPr="00C41F2B">
        <w:t xml:space="preserve"> which falls outside a reasonable timeframe for a MAP. </w:t>
      </w:r>
    </w:p>
    <w:p w:rsidR="0013529C" w:rsidRPr="00C41F2B" w:rsidRDefault="0092521E" w:rsidP="00E860D0">
      <w:pPr>
        <w:pStyle w:val="3-BodyText"/>
      </w:pPr>
      <w:bookmarkStart w:id="55" w:name="_Ref46996353"/>
      <w:r w:rsidRPr="00C41F2B">
        <w:t xml:space="preserve">The PBAC noted the alternative approach to modelling OS in the evaluation in which the OS </w:t>
      </w:r>
      <w:r w:rsidR="0029223A" w:rsidRPr="00C41F2B">
        <w:t xml:space="preserve">HR was applied directly beyond the median </w:t>
      </w:r>
      <w:r w:rsidR="009063C2" w:rsidRPr="00C41F2B">
        <w:t xml:space="preserve">trial </w:t>
      </w:r>
      <w:r w:rsidR="0029223A" w:rsidRPr="00C41F2B">
        <w:t xml:space="preserve">follow-up (41 months). Two scenarios were presented, one in which the point estimate for the OS HR from SOLO1 was applied (HR=0.95) and one in which no difference in OS was assumed (HR=1). </w:t>
      </w:r>
      <w:r w:rsidR="00597627" w:rsidRPr="00C41F2B">
        <w:t xml:space="preserve">The PBAC considered it reasonable to apply the point estimate </w:t>
      </w:r>
      <w:r w:rsidR="00DD1872" w:rsidRPr="00C41F2B">
        <w:t>from SOLO1</w:t>
      </w:r>
      <w:r w:rsidR="00597627" w:rsidRPr="00C41F2B">
        <w:t xml:space="preserve"> (HR=0.95)</w:t>
      </w:r>
      <w:r w:rsidR="00DD1872" w:rsidRPr="00C41F2B">
        <w:t>, even though not statistically significant, given</w:t>
      </w:r>
      <w:r w:rsidR="00D97B02" w:rsidRPr="00C41F2B">
        <w:t xml:space="preserve"> the large difference in PFS, and that</w:t>
      </w:r>
      <w:r w:rsidR="00DD1872" w:rsidRPr="00C41F2B">
        <w:t xml:space="preserve"> the results from</w:t>
      </w:r>
      <w:r w:rsidR="00D97B02" w:rsidRPr="00C41F2B">
        <w:t xml:space="preserve"> SOLO2 suggest</w:t>
      </w:r>
      <w:r w:rsidR="00DD1872" w:rsidRPr="00C41F2B">
        <w:t xml:space="preserve"> a difference in OS may be observed with longer follow-up</w:t>
      </w:r>
      <w:r w:rsidR="00324027" w:rsidRPr="00C41F2B">
        <w:t>.</w:t>
      </w:r>
      <w:bookmarkEnd w:id="55"/>
    </w:p>
    <w:p w:rsidR="00F16547" w:rsidRPr="00C41F2B" w:rsidRDefault="00F16547" w:rsidP="00E860D0">
      <w:pPr>
        <w:pStyle w:val="3-BodyText"/>
      </w:pPr>
      <w:bookmarkStart w:id="56" w:name="_Ref46744628"/>
      <w:r w:rsidRPr="00C41F2B">
        <w:t xml:space="preserve">The PBAC agreed with ESC that the 20-year </w:t>
      </w:r>
      <w:r w:rsidR="00DD1872" w:rsidRPr="00C41F2B">
        <w:t>model time</w:t>
      </w:r>
      <w:r w:rsidRPr="00C41F2B">
        <w:t xml:space="preserve"> horizon was reasonable. The PBAC also agreed with ESC that </w:t>
      </w:r>
      <w:r w:rsidR="00D97B02" w:rsidRPr="00C41F2B">
        <w:t xml:space="preserve">use of </w:t>
      </w:r>
      <w:r w:rsidRPr="00C41F2B">
        <w:t>the utility values for PFS2 and PD</w:t>
      </w:r>
      <w:r w:rsidR="00DD1872" w:rsidRPr="00C41F2B">
        <w:t xml:space="preserve"> from Study 19 </w:t>
      </w:r>
      <w:r w:rsidR="00D97B02" w:rsidRPr="00C41F2B">
        <w:t xml:space="preserve">only </w:t>
      </w:r>
      <w:r w:rsidR="00DD1872" w:rsidRPr="00C41F2B">
        <w:t>for the</w:t>
      </w:r>
      <w:r w:rsidR="00CB7CD3" w:rsidRPr="00C41F2B">
        <w:t xml:space="preserve"> proportion of</w:t>
      </w:r>
      <w:r w:rsidR="00DD1872" w:rsidRPr="00C41F2B">
        <w:t xml:space="preserve"> patients considered fit for 2L olaparib</w:t>
      </w:r>
      <w:r w:rsidR="00CB7CD3" w:rsidRPr="00C41F2B">
        <w:t xml:space="preserve"> </w:t>
      </w:r>
      <w:r w:rsidR="00DD1872" w:rsidRPr="00C41F2B">
        <w:t>to be reasonable</w:t>
      </w:r>
      <w:r w:rsidRPr="00C41F2B">
        <w:t>.</w:t>
      </w:r>
      <w:bookmarkEnd w:id="56"/>
    </w:p>
    <w:p w:rsidR="000240A4" w:rsidRPr="00C41F2B" w:rsidRDefault="00F16A89" w:rsidP="000240A4">
      <w:pPr>
        <w:pStyle w:val="3-BodyText"/>
      </w:pPr>
      <w:bookmarkStart w:id="57" w:name="_Ref46744657"/>
      <w:r w:rsidRPr="00C41F2B">
        <w:t xml:space="preserve">The PBAC noted that </w:t>
      </w:r>
      <w:r w:rsidR="000240A4" w:rsidRPr="00C41F2B">
        <w:t xml:space="preserve">the </w:t>
      </w:r>
      <w:r w:rsidR="00D97B02" w:rsidRPr="00C41F2B">
        <w:t xml:space="preserve">ESC </w:t>
      </w:r>
      <w:r w:rsidR="000240A4" w:rsidRPr="00C41F2B">
        <w:t>model</w:t>
      </w:r>
      <w:r w:rsidR="004B1CFF">
        <w:t>led</w:t>
      </w:r>
      <w:r w:rsidR="000240A4" w:rsidRPr="00C41F2B">
        <w:t xml:space="preserve"> scenarios</w:t>
      </w:r>
      <w:r w:rsidR="00CB7CD3" w:rsidRPr="00C41F2B">
        <w:t>,</w:t>
      </w:r>
      <w:r w:rsidR="000240A4" w:rsidRPr="00C41F2B">
        <w:t xml:space="preserve"> and the scenario included in the pre-PBAC response</w:t>
      </w:r>
      <w:r w:rsidR="00CB7CD3" w:rsidRPr="00C41F2B">
        <w:t>,</w:t>
      </w:r>
      <w:r w:rsidR="000240A4" w:rsidRPr="00C41F2B">
        <w:t xml:space="preserve"> assumed</w:t>
      </w:r>
      <w:r w:rsidRPr="00C41F2B">
        <w:t xml:space="preserve"> </w:t>
      </w:r>
      <w:r w:rsidR="00703602" w:rsidRPr="00C41F2B">
        <w:t xml:space="preserve">7% of </w:t>
      </w:r>
      <w:r w:rsidRPr="00C41F2B">
        <w:t>patients</w:t>
      </w:r>
      <w:r w:rsidR="00703602" w:rsidRPr="00C41F2B">
        <w:t xml:space="preserve"> in the comparator arm</w:t>
      </w:r>
      <w:r w:rsidR="000240A4" w:rsidRPr="00C41F2B">
        <w:t xml:space="preserve"> are treated with bevacizumab</w:t>
      </w:r>
      <w:r w:rsidRPr="00C41F2B">
        <w:t xml:space="preserve">. </w:t>
      </w:r>
      <w:r w:rsidR="000240A4" w:rsidRPr="00C41F2B">
        <w:t xml:space="preserve">The PBAC considered that </w:t>
      </w:r>
      <w:r w:rsidR="00CB7CD3" w:rsidRPr="00C41F2B">
        <w:t xml:space="preserve">a </w:t>
      </w:r>
      <w:r w:rsidR="000240A4" w:rsidRPr="00C41F2B">
        <w:t>substantially higher proportion of patients would be treated with bevacizumab in clinical practice. However</w:t>
      </w:r>
      <w:r w:rsidR="006C2CCC" w:rsidRPr="00C41F2B">
        <w:t>,</w:t>
      </w:r>
      <w:r w:rsidR="000240A4" w:rsidRPr="00C41F2B">
        <w:t xml:space="preserve"> the PBAC </w:t>
      </w:r>
      <w:r w:rsidR="00CB7CD3" w:rsidRPr="00C41F2B">
        <w:t>noted</w:t>
      </w:r>
      <w:r w:rsidR="006C2CCC" w:rsidRPr="00C41F2B">
        <w:t xml:space="preserve"> that the adjustments made to the model to capture the outcomes associated with bevacizumab treatment reduced the reliability of the ICER, and hence accepted the assumed low use of bevacizumab in the </w:t>
      </w:r>
      <w:r w:rsidR="00CB7CD3" w:rsidRPr="00C41F2B">
        <w:t xml:space="preserve">economic </w:t>
      </w:r>
      <w:r w:rsidR="006C2CCC" w:rsidRPr="00C41F2B">
        <w:t>model</w:t>
      </w:r>
      <w:bookmarkEnd w:id="57"/>
      <w:r w:rsidR="00C41F2B">
        <w:t xml:space="preserve">. </w:t>
      </w:r>
    </w:p>
    <w:p w:rsidR="00F04BAB" w:rsidRPr="00C41F2B" w:rsidRDefault="006C2CCC" w:rsidP="00733B41">
      <w:pPr>
        <w:pStyle w:val="3-BodyText"/>
      </w:pPr>
      <w:bookmarkStart w:id="58" w:name="_Ref46996303"/>
      <w:r w:rsidRPr="00C41F2B">
        <w:t xml:space="preserve">The PBAC noted that the </w:t>
      </w:r>
      <w:r w:rsidR="00D97B02" w:rsidRPr="00C41F2B">
        <w:t xml:space="preserve">ESC </w:t>
      </w:r>
      <w:r w:rsidRPr="00C41F2B">
        <w:t>model</w:t>
      </w:r>
      <w:r w:rsidR="004B1CFF">
        <w:t>led</w:t>
      </w:r>
      <w:r w:rsidRPr="00C41F2B">
        <w:t xml:space="preserve"> scenarios </w:t>
      </w:r>
      <w:r w:rsidR="00CB7CD3" w:rsidRPr="00C41F2B">
        <w:t xml:space="preserve">removed the resubmission’s </w:t>
      </w:r>
      <w:r w:rsidRPr="00C41F2B">
        <w:t>adjustment to cost of 1L olap</w:t>
      </w:r>
      <w:r w:rsidR="00FF7641" w:rsidRPr="00C41F2B">
        <w:t xml:space="preserve">arib to account for dose reductions or treatment </w:t>
      </w:r>
      <w:r w:rsidR="00FF7641" w:rsidRPr="00C41F2B">
        <w:lastRenderedPageBreak/>
        <w:t>interruptions</w:t>
      </w:r>
      <w:r w:rsidR="00CB7CD3" w:rsidRPr="00C41F2B">
        <w:t xml:space="preserve"> on the basis that the daily cost was the same regardless of dose</w:t>
      </w:r>
      <w:r w:rsidR="00FF7641" w:rsidRPr="00C41F2B">
        <w:t xml:space="preserve">. The pre-PBAC response </w:t>
      </w:r>
      <w:r w:rsidR="006E0FA7" w:rsidRPr="00C41F2B">
        <w:t xml:space="preserve">argued that treatment interruptions were </w:t>
      </w:r>
      <w:r w:rsidR="00381373" w:rsidRPr="00C41F2B">
        <w:t xml:space="preserve">associated with a reduced cost and stated that </w:t>
      </w:r>
      <w:r w:rsidR="00FF7641" w:rsidRPr="00C41F2B">
        <w:t xml:space="preserve">the mean duration of </w:t>
      </w:r>
      <w:r w:rsidR="00733B41" w:rsidRPr="00C41F2B">
        <w:t>treatment</w:t>
      </w:r>
      <w:r w:rsidR="00FF7641" w:rsidRPr="00C41F2B">
        <w:t xml:space="preserve"> interruptions </w:t>
      </w:r>
      <w:r w:rsidR="00381373" w:rsidRPr="00C41F2B">
        <w:t xml:space="preserve">in SOLO1 </w:t>
      </w:r>
      <w:r w:rsidR="00FF7641" w:rsidRPr="00C41F2B">
        <w:t>was 4.9 weeks per patient</w:t>
      </w:r>
      <w:r w:rsidR="00381373" w:rsidRPr="00C41F2B">
        <w:t xml:space="preserve">. This was applied in the pre-PBAC model by removing the 1L olaparib drug cost </w:t>
      </w:r>
      <w:r w:rsidR="00522897" w:rsidRPr="00C41F2B">
        <w:t xml:space="preserve">for </w:t>
      </w:r>
      <w:r w:rsidR="00381373" w:rsidRPr="00C41F2B">
        <w:t xml:space="preserve">the first monthly cycle. </w:t>
      </w:r>
      <w:r w:rsidR="00FF7641" w:rsidRPr="00C41F2B">
        <w:t xml:space="preserve">The PBAC </w:t>
      </w:r>
      <w:r w:rsidR="00381373" w:rsidRPr="00C41F2B">
        <w:t>considered this adjustment to be reasonable</w:t>
      </w:r>
      <w:r w:rsidR="00BE0C27" w:rsidRPr="00C41F2B">
        <w:t xml:space="preserve"> and that an equivalent adjustment should be made for the calculation of the financial estimates</w:t>
      </w:r>
      <w:r w:rsidR="00FF7641" w:rsidRPr="00C41F2B">
        <w:t>.</w:t>
      </w:r>
      <w:bookmarkEnd w:id="58"/>
    </w:p>
    <w:p w:rsidR="005D101D" w:rsidRPr="00C41F2B" w:rsidRDefault="005D101D" w:rsidP="00733B41">
      <w:pPr>
        <w:pStyle w:val="3-BodyText"/>
      </w:pPr>
      <w:bookmarkStart w:id="59" w:name="_Ref46993007"/>
      <w:r w:rsidRPr="00C41F2B">
        <w:t>The PBAC noted the duration of 2L olaparib in the pre-PBAC model</w:t>
      </w:r>
      <w:r w:rsidR="004B1CFF">
        <w:t>led</w:t>
      </w:r>
      <w:r w:rsidRPr="00C41F2B">
        <w:t xml:space="preserve"> scenario was 16.3 months, and although consistent with that assumed in the November 2016 submission for 2L olaparib</w:t>
      </w:r>
      <w:r w:rsidR="00E45168" w:rsidRPr="00C41F2B">
        <w:t xml:space="preserve"> </w:t>
      </w:r>
      <w:r w:rsidR="00E45168" w:rsidRPr="00C41F2B">
        <w:rPr>
          <w:iCs/>
        </w:rPr>
        <w:t>(paragraph 6.8, olaparib PSD, November 2016 PBAC meeting)</w:t>
      </w:r>
      <w:r w:rsidRPr="00C41F2B">
        <w:t>, was substantially less than that based on the final analysis of Study 19 (21.5</w:t>
      </w:r>
      <w:r w:rsidR="00D10B5F">
        <w:t> </w:t>
      </w:r>
      <w:r w:rsidRPr="00C41F2B">
        <w:t>months). The PBAC further noted that in SOLO2 patients remained on 2L</w:t>
      </w:r>
      <w:r w:rsidR="00DD595E">
        <w:t> </w:t>
      </w:r>
      <w:r w:rsidRPr="00C41F2B">
        <w:t xml:space="preserve">olaparib for a longer duration than in Study 19 (65% versus 40% </w:t>
      </w:r>
      <w:r w:rsidR="00E45168" w:rsidRPr="00C41F2B">
        <w:t xml:space="preserve">on treatment </w:t>
      </w:r>
      <w:r w:rsidRPr="00C41F2B">
        <w:t xml:space="preserve">at year 1, 45% versus 24% at year 2, data </w:t>
      </w:r>
      <w:r w:rsidR="00E45168" w:rsidRPr="00C41F2B">
        <w:t>sourced from</w:t>
      </w:r>
      <w:r w:rsidRPr="00C41F2B">
        <w:t xml:space="preserve"> the economic model). The PBAC considered</w:t>
      </w:r>
      <w:r w:rsidR="00E45168" w:rsidRPr="00C41F2B">
        <w:t xml:space="preserve"> that</w:t>
      </w:r>
      <w:r w:rsidR="00522897" w:rsidRPr="00C41F2B">
        <w:t xml:space="preserve"> it was reasonable for</w:t>
      </w:r>
      <w:r w:rsidR="00E45168" w:rsidRPr="00C41F2B">
        <w:t xml:space="preserve"> the duration of 2L treatment in the economic model </w:t>
      </w:r>
      <w:r w:rsidR="00522897" w:rsidRPr="00C41F2B">
        <w:t>to</w:t>
      </w:r>
      <w:r w:rsidR="00E45168" w:rsidRPr="00C41F2B">
        <w:t xml:space="preserve"> be based on the final analysis of Study 19</w:t>
      </w:r>
      <w:r w:rsidR="00F73677" w:rsidRPr="00C41F2B">
        <w:t>,</w:t>
      </w:r>
      <w:r w:rsidR="00E45168" w:rsidRPr="00C41F2B">
        <w:t xml:space="preserve"> as was done in the resubmission and the ESC model</w:t>
      </w:r>
      <w:r w:rsidR="004B1CFF">
        <w:t>led</w:t>
      </w:r>
      <w:r w:rsidR="00E45168" w:rsidRPr="00C41F2B">
        <w:t xml:space="preserve"> scenarios.</w:t>
      </w:r>
      <w:bookmarkEnd w:id="59"/>
    </w:p>
    <w:p w:rsidR="009B0F66" w:rsidRPr="00C41F2B" w:rsidRDefault="009A51F0" w:rsidP="00642E6E">
      <w:pPr>
        <w:pStyle w:val="3-BodyText"/>
      </w:pPr>
      <w:bookmarkStart w:id="60" w:name="_Ref46745093"/>
      <w:bookmarkStart w:id="61" w:name="_Ref46899293"/>
      <w:r w:rsidRPr="00C41F2B">
        <w:t>In summary</w:t>
      </w:r>
      <w:r w:rsidR="00BD684B" w:rsidRPr="00C41F2B">
        <w:t>, t</w:t>
      </w:r>
      <w:r w:rsidR="00A95D33" w:rsidRPr="00C41F2B">
        <w:t>he PBAC considered</w:t>
      </w:r>
      <w:r w:rsidR="00BD684B" w:rsidRPr="00C41F2B">
        <w:t xml:space="preserve"> the following model inputs applied in the pre-PBAC </w:t>
      </w:r>
      <w:r w:rsidR="00522897" w:rsidRPr="00C41F2B">
        <w:t>model</w:t>
      </w:r>
      <w:r w:rsidR="00BD684B" w:rsidRPr="00C41F2B">
        <w:t xml:space="preserve"> to be reasonable</w:t>
      </w:r>
      <w:r w:rsidR="0072215B" w:rsidRPr="00C41F2B">
        <w:t>:</w:t>
      </w:r>
      <w:r w:rsidR="000A33B1" w:rsidRPr="00C41F2B">
        <w:t xml:space="preserve"> (a)</w:t>
      </w:r>
      <w:r w:rsidR="00BD684B" w:rsidRPr="00C41F2B">
        <w:t xml:space="preserve"> 20 year time horizon (paragraph</w:t>
      </w:r>
      <w:r w:rsidR="005A0B6A">
        <w:t xml:space="preserve"> </w:t>
      </w:r>
      <w:r w:rsidR="00A0380C">
        <w:t>7.13</w:t>
      </w:r>
      <w:r w:rsidR="00BD684B" w:rsidRPr="00C41F2B">
        <w:t>)</w:t>
      </w:r>
      <w:r w:rsidR="000A33B1" w:rsidRPr="00C41F2B">
        <w:t>; (b) w</w:t>
      </w:r>
      <w:r w:rsidR="00BD684B" w:rsidRPr="00C41F2B">
        <w:t xml:space="preserve">eighted utility values for PFS2 and PD based on those reported in Study 19 and </w:t>
      </w:r>
      <w:proofErr w:type="spellStart"/>
      <w:r w:rsidR="00642E6E" w:rsidRPr="00C41F2B">
        <w:t>Havrilesky</w:t>
      </w:r>
      <w:proofErr w:type="spellEnd"/>
      <w:r w:rsidR="00642E6E" w:rsidRPr="00C41F2B">
        <w:t xml:space="preserve"> 2009 </w:t>
      </w:r>
      <w:r w:rsidR="00DC25DA" w:rsidRPr="00C41F2B">
        <w:t>(</w:t>
      </w:r>
      <w:r w:rsidR="009166B8" w:rsidRPr="00C41F2B">
        <w:t>0.637</w:t>
      </w:r>
      <w:r w:rsidR="00DC25DA" w:rsidRPr="00C41F2B">
        <w:t xml:space="preserve"> and </w:t>
      </w:r>
      <w:r w:rsidR="009166B8" w:rsidRPr="00C41F2B">
        <w:t>0.557</w:t>
      </w:r>
      <w:r w:rsidR="00DC25DA" w:rsidRPr="00C41F2B">
        <w:t>, respectively, paragraph</w:t>
      </w:r>
      <w:r w:rsidR="009166B8" w:rsidRPr="00C41F2B">
        <w:t xml:space="preserve"> </w:t>
      </w:r>
      <w:r w:rsidR="00A0380C">
        <w:t>7.13</w:t>
      </w:r>
      <w:r w:rsidR="00DC25DA" w:rsidRPr="00C41F2B">
        <w:t>)</w:t>
      </w:r>
      <w:r w:rsidR="000A33B1" w:rsidRPr="00C41F2B">
        <w:t>; (c) i</w:t>
      </w:r>
      <w:r w:rsidR="00BD684B" w:rsidRPr="00C41F2B">
        <w:t xml:space="preserve">nclusion of bevacizumab as a comparator for 7% of patients </w:t>
      </w:r>
      <w:r w:rsidR="00DC25DA" w:rsidRPr="00C41F2B">
        <w:t>(paragraph</w:t>
      </w:r>
      <w:r w:rsidR="009166B8" w:rsidRPr="00C41F2B">
        <w:t xml:space="preserve"> </w:t>
      </w:r>
      <w:r w:rsidR="00A0380C">
        <w:t>7.14</w:t>
      </w:r>
      <w:r w:rsidR="00DC25DA" w:rsidRPr="00C41F2B">
        <w:t>)</w:t>
      </w:r>
      <w:r w:rsidR="00BD684B" w:rsidRPr="00C41F2B">
        <w:t>;</w:t>
      </w:r>
      <w:r w:rsidR="00DC25DA" w:rsidRPr="00C41F2B">
        <w:t xml:space="preserve"> and</w:t>
      </w:r>
      <w:r w:rsidR="000A33B1" w:rsidRPr="00C41F2B">
        <w:t xml:space="preserve"> (d) a</w:t>
      </w:r>
      <w:r w:rsidR="00DC25DA" w:rsidRPr="00C41F2B">
        <w:t>djustment to the cost of 1L</w:t>
      </w:r>
      <w:r w:rsidR="00DD595E">
        <w:t> </w:t>
      </w:r>
      <w:r w:rsidR="00DC25DA" w:rsidRPr="00C41F2B">
        <w:t>olaparib to account for treatment interruptions (paragraph</w:t>
      </w:r>
      <w:r w:rsidR="00B42579" w:rsidRPr="00C41F2B">
        <w:t xml:space="preserve"> </w:t>
      </w:r>
      <w:r w:rsidR="00A0380C">
        <w:t>7.15</w:t>
      </w:r>
      <w:r w:rsidR="00DC25DA" w:rsidRPr="00C41F2B">
        <w:t>)</w:t>
      </w:r>
      <w:r w:rsidR="00BD684B" w:rsidRPr="00C41F2B">
        <w:t>.</w:t>
      </w:r>
      <w:r w:rsidR="00DC25DA" w:rsidRPr="00C41F2B">
        <w:t xml:space="preserve"> </w:t>
      </w:r>
      <w:r w:rsidR="000A33B1" w:rsidRPr="00C41F2B">
        <w:t xml:space="preserve">However, the PBAC considered </w:t>
      </w:r>
      <w:bookmarkStart w:id="62" w:name="_Ref46745061"/>
      <w:bookmarkEnd w:id="60"/>
      <w:r w:rsidR="000A33B1" w:rsidRPr="00C41F2B">
        <w:t>OS should be estimated using a HR of 0.95 (paragraph</w:t>
      </w:r>
      <w:r w:rsidR="00A0380C">
        <w:t xml:space="preserve"> 7.12</w:t>
      </w:r>
      <w:r w:rsidR="000A33B1" w:rsidRPr="00C41F2B">
        <w:t xml:space="preserve">) and the duration of 2L olaparib should be based on </w:t>
      </w:r>
      <w:r w:rsidR="00A96C52" w:rsidRPr="00C41F2B">
        <w:t xml:space="preserve">the final analysis of </w:t>
      </w:r>
      <w:r w:rsidR="000A33B1" w:rsidRPr="00C41F2B">
        <w:t>Study 19</w:t>
      </w:r>
      <w:r w:rsidR="00522897" w:rsidRPr="00C41F2B">
        <w:t xml:space="preserve"> (paragraph</w:t>
      </w:r>
      <w:r w:rsidR="005A0B6A">
        <w:t xml:space="preserve"> </w:t>
      </w:r>
      <w:r w:rsidR="00A0380C">
        <w:t>7.16</w:t>
      </w:r>
      <w:r w:rsidRPr="00C41F2B">
        <w:t>)</w:t>
      </w:r>
      <w:r w:rsidR="000A33B1" w:rsidRPr="00C41F2B">
        <w:t>.</w:t>
      </w:r>
      <w:r w:rsidR="00A96C52" w:rsidRPr="00C41F2B">
        <w:t xml:space="preserve"> The resulting </w:t>
      </w:r>
      <w:r w:rsidR="00642E6E" w:rsidRPr="00C41F2B">
        <w:t>ICER wa</w:t>
      </w:r>
      <w:r w:rsidR="00033289" w:rsidRPr="00C41F2B">
        <w:t xml:space="preserve">s </w:t>
      </w:r>
      <w:r w:rsidR="001524BD">
        <w:t>$55,000 - $75,000</w:t>
      </w:r>
      <w:r w:rsidR="00A96C52" w:rsidRPr="00C41F2B">
        <w:t>/QALY</w:t>
      </w:r>
      <w:r w:rsidR="009B0F66" w:rsidRPr="00C41F2B">
        <w:t xml:space="preserve">. The PBAC considered </w:t>
      </w:r>
      <w:r w:rsidR="009166B8" w:rsidRPr="00C41F2B">
        <w:t>the cost</w:t>
      </w:r>
      <w:r w:rsidR="0072215B" w:rsidRPr="00C41F2B">
        <w:t>-effectiveness of olapa</w:t>
      </w:r>
      <w:r w:rsidR="009166B8" w:rsidRPr="00C41F2B">
        <w:t xml:space="preserve">rib would be </w:t>
      </w:r>
      <w:r w:rsidR="009B0F66" w:rsidRPr="00C41F2B">
        <w:t xml:space="preserve">acceptable if </w:t>
      </w:r>
      <w:r w:rsidR="0072215B" w:rsidRPr="00C41F2B">
        <w:t>the ICER wa</w:t>
      </w:r>
      <w:r w:rsidR="009B0F66" w:rsidRPr="00C41F2B">
        <w:t xml:space="preserve">s </w:t>
      </w:r>
      <w:r w:rsidR="00A96C52" w:rsidRPr="00C41F2B">
        <w:t xml:space="preserve">less than </w:t>
      </w:r>
      <w:r w:rsidR="001524BD">
        <w:t>$55,000 - $75,000</w:t>
      </w:r>
      <w:r w:rsidRPr="00C41F2B">
        <w:t>/QALY</w:t>
      </w:r>
      <w:r w:rsidR="009B0F66" w:rsidRPr="00C41F2B">
        <w:t>.</w:t>
      </w:r>
      <w:bookmarkEnd w:id="62"/>
      <w:r w:rsidR="008D0BC1" w:rsidRPr="00C41F2B">
        <w:t xml:space="preserve"> </w:t>
      </w:r>
      <w:r w:rsidR="0048143E" w:rsidRPr="00C41F2B">
        <w:t xml:space="preserve">The PBAC noted that this </w:t>
      </w:r>
      <w:r w:rsidR="00F73677" w:rsidRPr="00C41F2B">
        <w:t xml:space="preserve">would need to </w:t>
      </w:r>
      <w:r w:rsidR="0048143E" w:rsidRPr="00C41F2B">
        <w:t>be achieved through a 10%</w:t>
      </w:r>
      <w:r w:rsidR="00DD595E">
        <w:t> </w:t>
      </w:r>
      <w:r w:rsidR="0048143E" w:rsidRPr="00C41F2B">
        <w:t xml:space="preserve">reduction in the </w:t>
      </w:r>
      <w:r w:rsidR="00F73677" w:rsidRPr="00C41F2B">
        <w:t xml:space="preserve">treatment cost </w:t>
      </w:r>
      <w:r w:rsidR="0048143E" w:rsidRPr="00C41F2B">
        <w:t xml:space="preserve">of olaparib for 1L treatment. </w:t>
      </w:r>
      <w:bookmarkEnd w:id="61"/>
    </w:p>
    <w:p w:rsidR="003E1A44" w:rsidRPr="00C41F2B" w:rsidRDefault="00C634C8" w:rsidP="003E1A44">
      <w:pPr>
        <w:pStyle w:val="3-BodyText"/>
      </w:pPr>
      <w:bookmarkStart w:id="63" w:name="_Ref46993705"/>
      <w:r w:rsidRPr="00C41F2B">
        <w:t xml:space="preserve">The PBAC considered that the </w:t>
      </w:r>
      <w:r w:rsidR="00A96C52" w:rsidRPr="00C41F2B">
        <w:t>number of patients estimated to receive 1L olaparib</w:t>
      </w:r>
      <w:r w:rsidRPr="00C41F2B">
        <w:t xml:space="preserve"> </w:t>
      </w:r>
      <w:r w:rsidR="00A96C52" w:rsidRPr="00C41F2B">
        <w:t>was</w:t>
      </w:r>
      <w:r w:rsidRPr="00C41F2B">
        <w:t xml:space="preserve"> overestimated</w:t>
      </w:r>
      <w:r w:rsidR="004B5500" w:rsidRPr="00C41F2B">
        <w:t xml:space="preserve"> and </w:t>
      </w:r>
      <w:r w:rsidR="003E1A44" w:rsidRPr="00C41F2B">
        <w:t>as outline</w:t>
      </w:r>
      <w:r w:rsidR="000F69D2" w:rsidRPr="00C41F2B">
        <w:t>d</w:t>
      </w:r>
      <w:r w:rsidR="003E1A44" w:rsidRPr="00C41F2B">
        <w:t xml:space="preserve"> in paragraphs </w:t>
      </w:r>
      <w:r w:rsidR="004C2E33" w:rsidRPr="00C41F2B">
        <w:t>6.44-6.52</w:t>
      </w:r>
      <w:r w:rsidR="003E1A44" w:rsidRPr="00C41F2B">
        <w:t xml:space="preserve"> </w:t>
      </w:r>
      <w:r w:rsidR="004B5500" w:rsidRPr="00C41F2B">
        <w:t>the</w:t>
      </w:r>
      <w:r w:rsidRPr="00C41F2B">
        <w:t xml:space="preserve"> </w:t>
      </w:r>
      <w:r w:rsidR="00A96C52" w:rsidRPr="00C41F2B">
        <w:t>financial estimates</w:t>
      </w:r>
      <w:r w:rsidR="003E1A44" w:rsidRPr="00C41F2B">
        <w:t xml:space="preserve"> should be revised as follows</w:t>
      </w:r>
      <w:r w:rsidRPr="00C41F2B">
        <w:t>:</w:t>
      </w:r>
      <w:r w:rsidR="003E1A44" w:rsidRPr="00C41F2B">
        <w:t xml:space="preserve"> (a) r</w:t>
      </w:r>
      <w:r w:rsidRPr="00C41F2B">
        <w:t xml:space="preserve">emove </w:t>
      </w:r>
      <w:r w:rsidR="00A96C52" w:rsidRPr="00C41F2B">
        <w:t xml:space="preserve">patients with </w:t>
      </w:r>
      <w:r w:rsidRPr="00C41F2B">
        <w:t>non-epithelial cancers</w:t>
      </w:r>
      <w:r w:rsidR="004B5500" w:rsidRPr="00C41F2B">
        <w:t xml:space="preserve"> (16%)</w:t>
      </w:r>
      <w:r w:rsidR="00A96C52" w:rsidRPr="00C41F2B">
        <w:t>;</w:t>
      </w:r>
      <w:r w:rsidR="003E1A44" w:rsidRPr="00C41F2B">
        <w:t xml:space="preserve"> (b) r</w:t>
      </w:r>
      <w:r w:rsidR="00A96C52" w:rsidRPr="00C41F2B">
        <w:t xml:space="preserve">emove the adjustment (1.14 multiplication factor) to account for </w:t>
      </w:r>
      <w:r w:rsidRPr="00C41F2B">
        <w:t>patients with primary peritoneal and fallopian tube cancer</w:t>
      </w:r>
      <w:r w:rsidR="003E1A44" w:rsidRPr="00C41F2B">
        <w:t>;</w:t>
      </w:r>
      <w:r w:rsidRPr="00C41F2B">
        <w:t xml:space="preserve"> </w:t>
      </w:r>
      <w:r w:rsidR="003E1A44" w:rsidRPr="00C41F2B">
        <w:t>and (c) a</w:t>
      </w:r>
      <w:r w:rsidRPr="00C41F2B">
        <w:t>ssume</w:t>
      </w:r>
      <w:r w:rsidR="003E1A44" w:rsidRPr="00C41F2B">
        <w:t xml:space="preserve"> a prevalence of</w:t>
      </w:r>
      <w:r w:rsidRPr="00C41F2B">
        <w:t xml:space="preserve"> 5</w:t>
      </w:r>
      <w:r w:rsidR="003E1A44" w:rsidRPr="00C41F2B">
        <w:t>% for</w:t>
      </w:r>
      <w:r w:rsidR="00A96C52" w:rsidRPr="00C41F2B">
        <w:t xml:space="preserve"> </w:t>
      </w:r>
      <w:proofErr w:type="spellStart"/>
      <w:r w:rsidRPr="00C41F2B">
        <w:t>sBRCAm</w:t>
      </w:r>
      <w:proofErr w:type="spellEnd"/>
      <w:r w:rsidRPr="00C41F2B">
        <w:t>.</w:t>
      </w:r>
      <w:r w:rsidR="003E1A44" w:rsidRPr="00C41F2B">
        <w:t xml:space="preserve"> The PBAC noted the number of prescriptions had been underestimated due to calculation errors, but </w:t>
      </w:r>
      <w:r w:rsidR="004B1CFF">
        <w:t xml:space="preserve">this was </w:t>
      </w:r>
      <w:r w:rsidR="003E1A44" w:rsidRPr="00C41F2B">
        <w:t xml:space="preserve">partly </w:t>
      </w:r>
      <w:r w:rsidR="004B1CFF" w:rsidRPr="00C41F2B">
        <w:t>counter</w:t>
      </w:r>
      <w:r w:rsidR="004B1CFF">
        <w:t>ed</w:t>
      </w:r>
      <w:r w:rsidR="004B1CFF" w:rsidRPr="00C41F2B">
        <w:t xml:space="preserve"> </w:t>
      </w:r>
      <w:r w:rsidR="004B1CFF">
        <w:t>by</w:t>
      </w:r>
      <w:r w:rsidR="004B1CFF" w:rsidRPr="00C41F2B">
        <w:t xml:space="preserve"> </w:t>
      </w:r>
      <w:r w:rsidR="003E1A44" w:rsidRPr="00C41F2B">
        <w:t>treatment interruptions n</w:t>
      </w:r>
      <w:r w:rsidR="004C2E33" w:rsidRPr="00C41F2B">
        <w:t xml:space="preserve">ot </w:t>
      </w:r>
      <w:r w:rsidR="004B1CFF">
        <w:t xml:space="preserve">being </w:t>
      </w:r>
      <w:r w:rsidR="004C2E33" w:rsidRPr="00C41F2B">
        <w:t>accounted for (paragraph 7.15</w:t>
      </w:r>
      <w:r w:rsidR="003E1A44" w:rsidRPr="00C41F2B">
        <w:t>).</w:t>
      </w:r>
      <w:bookmarkEnd w:id="63"/>
      <w:r w:rsidR="003E1A44" w:rsidRPr="00C41F2B">
        <w:t xml:space="preserve"> </w:t>
      </w:r>
    </w:p>
    <w:p w:rsidR="00075C25" w:rsidRPr="00C41F2B" w:rsidRDefault="009877FB" w:rsidP="009877FB">
      <w:pPr>
        <w:pStyle w:val="3-BodyText"/>
        <w:rPr>
          <w:bCs/>
        </w:rPr>
      </w:pPr>
      <w:r w:rsidRPr="00C41F2B">
        <w:t>The PBAC noted the</w:t>
      </w:r>
      <w:r w:rsidR="0072215B" w:rsidRPr="00C41F2B">
        <w:t xml:space="preserve"> </w:t>
      </w:r>
      <w:r w:rsidR="008D0BC1" w:rsidRPr="00C41F2B">
        <w:t xml:space="preserve">resubmission’s </w:t>
      </w:r>
      <w:r w:rsidR="0072215B" w:rsidRPr="00C41F2B">
        <w:t>sensitivity analyses for the</w:t>
      </w:r>
      <w:r w:rsidRPr="00C41F2B">
        <w:t xml:space="preserve"> financial estimate</w:t>
      </w:r>
      <w:r w:rsidR="00406DDC" w:rsidRPr="00C41F2B">
        <w:t>s</w:t>
      </w:r>
      <w:r w:rsidR="005A1C5E" w:rsidRPr="00C41F2B">
        <w:t xml:space="preserve"> </w:t>
      </w:r>
      <w:r w:rsidRPr="00C41F2B">
        <w:t>include</w:t>
      </w:r>
      <w:r w:rsidR="005A1C5E" w:rsidRPr="00C41F2B">
        <w:t>d cost</w:t>
      </w:r>
      <w:r w:rsidRPr="00C41F2B">
        <w:t xml:space="preserve"> offset</w:t>
      </w:r>
      <w:r w:rsidR="008D0BC1" w:rsidRPr="00C41F2B">
        <w:t>s</w:t>
      </w:r>
      <w:r w:rsidRPr="00C41F2B">
        <w:t xml:space="preserve"> for reduced bevacizumab use. </w:t>
      </w:r>
      <w:r w:rsidR="005A1C5E" w:rsidRPr="00C41F2B">
        <w:t xml:space="preserve">As for the economic model this was based on use in 7% of patients. The PBAC considered it reasonable </w:t>
      </w:r>
      <w:r w:rsidR="0072215B" w:rsidRPr="00C41F2B">
        <w:t>for</w:t>
      </w:r>
      <w:r w:rsidR="005A1C5E" w:rsidRPr="00C41F2B">
        <w:t xml:space="preserve"> </w:t>
      </w:r>
      <w:r w:rsidR="003D1894" w:rsidRPr="00C41F2B">
        <w:t>offsets</w:t>
      </w:r>
      <w:r w:rsidR="005A1C5E" w:rsidRPr="00C41F2B">
        <w:t xml:space="preserve"> for </w:t>
      </w:r>
      <w:r w:rsidR="003D1894" w:rsidRPr="00C41F2B">
        <w:t xml:space="preserve">the reduced use of </w:t>
      </w:r>
      <w:r w:rsidR="005A1C5E" w:rsidRPr="00C41F2B">
        <w:t>bevacizumab</w:t>
      </w:r>
      <w:r w:rsidR="0072215B" w:rsidRPr="00C41F2B">
        <w:t xml:space="preserve"> to be included in the financial estimates</w:t>
      </w:r>
      <w:r w:rsidR="005A1C5E" w:rsidRPr="00C41F2B">
        <w:t>, noting</w:t>
      </w:r>
      <w:r w:rsidR="0072215B" w:rsidRPr="00C41F2B">
        <w:t xml:space="preserve"> that</w:t>
      </w:r>
      <w:r w:rsidR="005A1C5E" w:rsidRPr="00C41F2B">
        <w:t xml:space="preserve"> the offset </w:t>
      </w:r>
      <w:r w:rsidR="003D1894" w:rsidRPr="00C41F2B">
        <w:t>had been</w:t>
      </w:r>
      <w:r w:rsidR="005A1C5E" w:rsidRPr="00C41F2B">
        <w:t xml:space="preserve"> underestimated due to underestimating the proportion of </w:t>
      </w:r>
      <w:r w:rsidR="005A1C5E" w:rsidRPr="00C41F2B">
        <w:lastRenderedPageBreak/>
        <w:t>patients treated with bevacizumab</w:t>
      </w:r>
      <w:r w:rsidR="003D1894" w:rsidRPr="00C41F2B">
        <w:t>, and this was likely in the region of up to 40% of the total 1L patients</w:t>
      </w:r>
      <w:r w:rsidRPr="00C41F2B">
        <w:t>.</w:t>
      </w:r>
      <w:r w:rsidR="00C634C8" w:rsidRPr="00C41F2B">
        <w:t xml:space="preserve"> </w:t>
      </w:r>
    </w:p>
    <w:p w:rsidR="008D0BC1" w:rsidRPr="00C41F2B" w:rsidRDefault="008D0BC1" w:rsidP="00075C25">
      <w:pPr>
        <w:pStyle w:val="3-BodyText"/>
      </w:pPr>
      <w:r w:rsidRPr="00C41F2B">
        <w:t>The PBAC noted the resubmission proposed the current RSA for 2L olaparib be revised to include the use of olaparib as 1L</w:t>
      </w:r>
      <w:r w:rsidR="009C32B9" w:rsidRPr="00C41F2B">
        <w:t>. T</w:t>
      </w:r>
      <w:r w:rsidRPr="00C41F2B">
        <w:t>he</w:t>
      </w:r>
      <w:r w:rsidR="003D1894" w:rsidRPr="00C41F2B">
        <w:t xml:space="preserve"> PBAC considered that for the RSA to be effective, the</w:t>
      </w:r>
      <w:r w:rsidRPr="00C41F2B">
        <w:t xml:space="preserve"> combined caps for 1L and 2L olaparib would</w:t>
      </w:r>
      <w:r w:rsidR="003D1894" w:rsidRPr="00C41F2B">
        <w:t xml:space="preserve"> need to</w:t>
      </w:r>
      <w:r w:rsidRPr="00C41F2B">
        <w:t xml:space="preserve"> be</w:t>
      </w:r>
      <w:r w:rsidR="003D1894" w:rsidRPr="00C41F2B">
        <w:t xml:space="preserve"> based on the net effective increase in the cost of olaparib to the PBS due to the addition of 1L</w:t>
      </w:r>
      <w:r w:rsidR="00DD595E">
        <w:t> </w:t>
      </w:r>
      <w:r w:rsidR="003D1894" w:rsidRPr="00C41F2B">
        <w:t>patients, and would be</w:t>
      </w:r>
      <w:r w:rsidRPr="00C41F2B">
        <w:t xml:space="preserve"> calculated as </w:t>
      </w:r>
      <w:r w:rsidR="009C32B9" w:rsidRPr="00C41F2B">
        <w:t>(</w:t>
      </w:r>
      <w:proofErr w:type="spellStart"/>
      <w:r w:rsidR="009C32B9" w:rsidRPr="00C41F2B">
        <w:t>i</w:t>
      </w:r>
      <w:proofErr w:type="spellEnd"/>
      <w:r w:rsidR="009C32B9" w:rsidRPr="00C41F2B">
        <w:t>)</w:t>
      </w:r>
      <w:r w:rsidR="007B57D9" w:rsidRPr="00C41F2B">
        <w:t xml:space="preserve"> the</w:t>
      </w:r>
      <w:r w:rsidR="009C32B9" w:rsidRPr="00C41F2B">
        <w:t xml:space="preserve"> </w:t>
      </w:r>
      <w:r w:rsidRPr="00C41F2B">
        <w:t>existing 2L caps</w:t>
      </w:r>
      <w:r w:rsidR="009C32B9" w:rsidRPr="00C41F2B">
        <w:t>,</w:t>
      </w:r>
      <w:r w:rsidRPr="00C41F2B">
        <w:t xml:space="preserve"> plus </w:t>
      </w:r>
      <w:r w:rsidR="009C32B9" w:rsidRPr="00C41F2B">
        <w:t xml:space="preserve">(ii) </w:t>
      </w:r>
      <w:r w:rsidR="007B57D9" w:rsidRPr="00C41F2B">
        <w:t xml:space="preserve">the </w:t>
      </w:r>
      <w:r w:rsidR="003D1894" w:rsidRPr="00C41F2B">
        <w:t xml:space="preserve">effective total </w:t>
      </w:r>
      <w:r w:rsidR="009C32B9" w:rsidRPr="00C41F2B">
        <w:t xml:space="preserve">cost of 1L olaparib, minus (iii) </w:t>
      </w:r>
      <w:r w:rsidR="007B57D9" w:rsidRPr="00C41F2B">
        <w:t xml:space="preserve">the </w:t>
      </w:r>
      <w:r w:rsidR="009C32B9" w:rsidRPr="00C41F2B">
        <w:t xml:space="preserve">cost of reduced 2L olaparib </w:t>
      </w:r>
      <w:r w:rsidR="00E71227" w:rsidRPr="00C41F2B">
        <w:t>use</w:t>
      </w:r>
      <w:r w:rsidR="003D1894" w:rsidRPr="00C41F2B">
        <w:t xml:space="preserve">, taking into account the changes to the financial estimates modelling as described above, including paragraph </w:t>
      </w:r>
      <w:r w:rsidR="00A0380C">
        <w:t>7.18</w:t>
      </w:r>
      <w:r w:rsidR="00E71227" w:rsidRPr="00C41F2B">
        <w:t xml:space="preserve">. The PBAC considered that 6 years after listing 1L olaparib, </w:t>
      </w:r>
      <w:r w:rsidR="00ED39E4" w:rsidRPr="00C41F2B">
        <w:t xml:space="preserve">it is likely that </w:t>
      </w:r>
      <w:r w:rsidR="00E71227" w:rsidRPr="00C41F2B">
        <w:t xml:space="preserve">all patients would be treated with 1L olaparib and </w:t>
      </w:r>
      <w:r w:rsidR="00ED39E4" w:rsidRPr="00C41F2B">
        <w:t>that it was unlikely that there would be a market for</w:t>
      </w:r>
      <w:r w:rsidR="00E71227" w:rsidRPr="00C41F2B">
        <w:t xml:space="preserve"> use of 2L olaparib. </w:t>
      </w:r>
    </w:p>
    <w:p w:rsidR="00D171BD" w:rsidRPr="00C41F2B" w:rsidRDefault="00D171BD" w:rsidP="009D2DE0">
      <w:pPr>
        <w:pStyle w:val="3-BodyText"/>
      </w:pPr>
      <w:r w:rsidRPr="00C41F2B">
        <w:rPr>
          <w:rFonts w:eastAsiaTheme="minorHAnsi" w:cstheme="minorBidi"/>
          <w:szCs w:val="22"/>
        </w:rPr>
        <w:t xml:space="preserve">The PBAC found that the criteria prescribed by the </w:t>
      </w:r>
      <w:r w:rsidRPr="003C167A">
        <w:rPr>
          <w:rFonts w:eastAsiaTheme="minorHAnsi" w:cstheme="minorBidi"/>
          <w:i/>
          <w:szCs w:val="22"/>
        </w:rPr>
        <w:t xml:space="preserve">National Health (Pharmaceutical and Vaccines – Cost Recovery) Regulations 2009 </w:t>
      </w:r>
      <w:r w:rsidRPr="00C41F2B">
        <w:rPr>
          <w:rFonts w:eastAsiaTheme="minorHAnsi" w:cstheme="minorBidi"/>
          <w:szCs w:val="22"/>
        </w:rPr>
        <w:t>for Pricing Pathway A were</w:t>
      </w:r>
      <w:r w:rsidR="00F64D92" w:rsidRPr="00C41F2B">
        <w:rPr>
          <w:rFonts w:eastAsiaTheme="minorHAnsi" w:cstheme="minorBidi"/>
          <w:szCs w:val="22"/>
        </w:rPr>
        <w:t xml:space="preserve"> not</w:t>
      </w:r>
      <w:r w:rsidRPr="00C41F2B">
        <w:rPr>
          <w:rFonts w:eastAsiaTheme="minorHAnsi" w:cstheme="minorBidi"/>
          <w:szCs w:val="22"/>
        </w:rPr>
        <w:t xml:space="preserve"> met. Specifically, the PBAC found that in the circumstances of its recommendation for </w:t>
      </w:r>
      <w:r w:rsidR="00715A29" w:rsidRPr="00C41F2B">
        <w:rPr>
          <w:rFonts w:eastAsiaTheme="minorHAnsi" w:cstheme="minorBidi"/>
          <w:szCs w:val="22"/>
        </w:rPr>
        <w:t xml:space="preserve">first line </w:t>
      </w:r>
      <w:r w:rsidRPr="00C41F2B">
        <w:rPr>
          <w:rFonts w:eastAsiaTheme="minorHAnsi" w:cstheme="minorBidi"/>
          <w:szCs w:val="22"/>
        </w:rPr>
        <w:t>olaparib</w:t>
      </w:r>
      <w:r w:rsidR="00715A29" w:rsidRPr="00C41F2B">
        <w:rPr>
          <w:rFonts w:eastAsiaTheme="minorHAnsi" w:cstheme="minorBidi"/>
          <w:szCs w:val="22"/>
        </w:rPr>
        <w:t xml:space="preserve"> maintenance</w:t>
      </w:r>
      <w:r w:rsidRPr="00C41F2B">
        <w:rPr>
          <w:rFonts w:eastAsiaTheme="minorHAnsi" w:cstheme="minorBidi"/>
        </w:rPr>
        <w:t>:</w:t>
      </w:r>
    </w:p>
    <w:p w:rsidR="00D171BD" w:rsidRPr="00C41F2B" w:rsidRDefault="00CE1CE2" w:rsidP="0002220E">
      <w:pPr>
        <w:pStyle w:val="BodyText11"/>
        <w:numPr>
          <w:ilvl w:val="0"/>
          <w:numId w:val="30"/>
        </w:numPr>
        <w:spacing w:after="0"/>
        <w:ind w:left="1134" w:hanging="425"/>
        <w:rPr>
          <w:rFonts w:eastAsia="Times New Roman" w:cs="Arial"/>
          <w:snapToGrid w:val="0"/>
          <w:sz w:val="24"/>
          <w:szCs w:val="24"/>
          <w:lang w:eastAsia="en-AU"/>
        </w:rPr>
      </w:pPr>
      <w:r w:rsidRPr="00C41F2B">
        <w:rPr>
          <w:rFonts w:eastAsia="Times New Roman" w:cs="Arial"/>
          <w:snapToGrid w:val="0"/>
          <w:sz w:val="24"/>
          <w:szCs w:val="24"/>
          <w:lang w:eastAsia="en-AU"/>
        </w:rPr>
        <w:t>T</w:t>
      </w:r>
      <w:r w:rsidR="0002220E" w:rsidRPr="00C41F2B">
        <w:rPr>
          <w:rFonts w:eastAsia="Times New Roman" w:cs="Arial"/>
          <w:snapToGrid w:val="0"/>
          <w:sz w:val="24"/>
          <w:szCs w:val="24"/>
          <w:lang w:eastAsia="en-AU"/>
        </w:rPr>
        <w:t xml:space="preserve">reatment </w:t>
      </w:r>
      <w:r w:rsidR="00F92020" w:rsidRPr="00C41F2B">
        <w:rPr>
          <w:rFonts w:eastAsia="Times New Roman" w:cs="Arial"/>
          <w:snapToGrid w:val="0"/>
          <w:sz w:val="24"/>
          <w:szCs w:val="24"/>
          <w:lang w:eastAsia="en-AU"/>
        </w:rPr>
        <w:t xml:space="preserve">with olaparib </w:t>
      </w:r>
      <w:r w:rsidR="0002220E" w:rsidRPr="00C41F2B">
        <w:rPr>
          <w:rFonts w:eastAsia="Times New Roman" w:cs="Arial"/>
          <w:snapToGrid w:val="0"/>
          <w:sz w:val="24"/>
          <w:szCs w:val="24"/>
          <w:lang w:eastAsia="en-AU"/>
        </w:rPr>
        <w:t xml:space="preserve">is expected to provide a substantial and clinically relevant improvement in efficacy over </w:t>
      </w:r>
      <w:r w:rsidR="00F92020" w:rsidRPr="00C41F2B">
        <w:rPr>
          <w:rFonts w:eastAsia="Times New Roman" w:cs="Arial"/>
          <w:snapToGrid w:val="0"/>
          <w:sz w:val="24"/>
          <w:szCs w:val="24"/>
          <w:lang w:eastAsia="en-AU"/>
        </w:rPr>
        <w:t>alternative therapies</w:t>
      </w:r>
      <w:r w:rsidR="00D171BD" w:rsidRPr="00C41F2B">
        <w:rPr>
          <w:rFonts w:eastAsia="Times New Roman" w:cs="Arial"/>
          <w:snapToGrid w:val="0"/>
          <w:sz w:val="24"/>
          <w:szCs w:val="24"/>
          <w:lang w:eastAsia="en-AU"/>
        </w:rPr>
        <w:t>;</w:t>
      </w:r>
    </w:p>
    <w:p w:rsidR="0002220E" w:rsidRPr="00C41F2B" w:rsidRDefault="00F92020" w:rsidP="00D171BD">
      <w:pPr>
        <w:pStyle w:val="BodyText11"/>
        <w:numPr>
          <w:ilvl w:val="0"/>
          <w:numId w:val="30"/>
        </w:numPr>
        <w:spacing w:after="0"/>
        <w:ind w:left="1134" w:hanging="425"/>
        <w:rPr>
          <w:snapToGrid w:val="0"/>
          <w:sz w:val="24"/>
          <w:szCs w:val="24"/>
        </w:rPr>
      </w:pPr>
      <w:r w:rsidRPr="00C41F2B">
        <w:rPr>
          <w:rFonts w:eastAsia="Times New Roman" w:cs="Arial"/>
          <w:snapToGrid w:val="0"/>
          <w:sz w:val="24"/>
          <w:szCs w:val="24"/>
          <w:lang w:eastAsia="en-AU"/>
        </w:rPr>
        <w:t>T</w:t>
      </w:r>
      <w:r w:rsidR="0002220E" w:rsidRPr="00C41F2B">
        <w:rPr>
          <w:rFonts w:eastAsia="Times New Roman" w:cs="Arial"/>
          <w:snapToGrid w:val="0"/>
          <w:sz w:val="24"/>
          <w:szCs w:val="24"/>
          <w:lang w:eastAsia="en-AU"/>
        </w:rPr>
        <w:t xml:space="preserve">reatment </w:t>
      </w:r>
      <w:r w:rsidRPr="00C41F2B">
        <w:rPr>
          <w:rFonts w:eastAsia="Times New Roman" w:cs="Arial"/>
          <w:snapToGrid w:val="0"/>
          <w:sz w:val="24"/>
          <w:szCs w:val="24"/>
          <w:lang w:eastAsia="en-AU"/>
        </w:rPr>
        <w:t xml:space="preserve">with olaparib </w:t>
      </w:r>
      <w:r w:rsidR="0002220E" w:rsidRPr="00C41F2B">
        <w:rPr>
          <w:rFonts w:eastAsia="Times New Roman" w:cs="Arial"/>
          <w:snapToGrid w:val="0"/>
          <w:sz w:val="24"/>
          <w:szCs w:val="24"/>
          <w:lang w:eastAsia="en-AU"/>
        </w:rPr>
        <w:t xml:space="preserve">is </w:t>
      </w:r>
      <w:r w:rsidRPr="00C41F2B">
        <w:rPr>
          <w:rFonts w:eastAsia="Times New Roman" w:cs="Arial"/>
          <w:snapToGrid w:val="0"/>
          <w:sz w:val="24"/>
          <w:szCs w:val="24"/>
          <w:lang w:eastAsia="en-AU"/>
        </w:rPr>
        <w:t xml:space="preserve">not </w:t>
      </w:r>
      <w:r w:rsidR="0002220E" w:rsidRPr="00C41F2B">
        <w:rPr>
          <w:rFonts w:eastAsia="Times New Roman" w:cs="Arial"/>
          <w:snapToGrid w:val="0"/>
          <w:sz w:val="24"/>
          <w:szCs w:val="24"/>
          <w:lang w:eastAsia="en-AU"/>
        </w:rPr>
        <w:t>expected to address a high</w:t>
      </w:r>
      <w:r w:rsidRPr="00C41F2B">
        <w:rPr>
          <w:rFonts w:eastAsia="Times New Roman" w:cs="Arial"/>
          <w:snapToGrid w:val="0"/>
          <w:sz w:val="24"/>
          <w:szCs w:val="24"/>
          <w:lang w:eastAsia="en-AU"/>
        </w:rPr>
        <w:t xml:space="preserve"> and urgent unmet clinical need</w:t>
      </w:r>
      <w:r w:rsidR="0002220E" w:rsidRPr="00C41F2B">
        <w:rPr>
          <w:rFonts w:eastAsia="Times New Roman" w:cs="Arial"/>
          <w:snapToGrid w:val="0"/>
          <w:sz w:val="24"/>
          <w:szCs w:val="24"/>
          <w:lang w:eastAsia="en-AU"/>
        </w:rPr>
        <w:t xml:space="preserve"> </w:t>
      </w:r>
      <w:r w:rsidRPr="00C41F2B">
        <w:rPr>
          <w:rFonts w:eastAsia="Times New Roman" w:cs="Arial"/>
          <w:snapToGrid w:val="0"/>
          <w:sz w:val="24"/>
          <w:szCs w:val="24"/>
          <w:lang w:eastAsia="en-AU"/>
        </w:rPr>
        <w:t>because other subsidised therapies (including</w:t>
      </w:r>
      <w:r w:rsidR="00D171BD" w:rsidRPr="00C41F2B">
        <w:rPr>
          <w:bCs/>
          <w:sz w:val="24"/>
          <w:szCs w:val="24"/>
        </w:rPr>
        <w:t xml:space="preserve"> </w:t>
      </w:r>
      <w:r w:rsidR="0002220E" w:rsidRPr="00C41F2B">
        <w:rPr>
          <w:bCs/>
          <w:sz w:val="24"/>
          <w:szCs w:val="24"/>
        </w:rPr>
        <w:t xml:space="preserve">olaparib </w:t>
      </w:r>
      <w:r w:rsidRPr="00C41F2B">
        <w:rPr>
          <w:bCs/>
          <w:sz w:val="24"/>
          <w:szCs w:val="24"/>
        </w:rPr>
        <w:t xml:space="preserve">in the </w:t>
      </w:r>
      <w:r w:rsidR="0002220E" w:rsidRPr="00C41F2B">
        <w:rPr>
          <w:bCs/>
          <w:sz w:val="24"/>
          <w:szCs w:val="24"/>
        </w:rPr>
        <w:t xml:space="preserve">second-line </w:t>
      </w:r>
      <w:r w:rsidRPr="00C41F2B">
        <w:rPr>
          <w:bCs/>
          <w:sz w:val="24"/>
          <w:szCs w:val="24"/>
        </w:rPr>
        <w:t>setting) are available</w:t>
      </w:r>
      <w:r w:rsidR="00D171BD" w:rsidRPr="00C41F2B">
        <w:rPr>
          <w:bCs/>
          <w:sz w:val="24"/>
          <w:szCs w:val="24"/>
        </w:rPr>
        <w:t>;</w:t>
      </w:r>
    </w:p>
    <w:p w:rsidR="0002220E" w:rsidRPr="00C41F2B" w:rsidRDefault="0002220E" w:rsidP="0002220E">
      <w:pPr>
        <w:pStyle w:val="BodyText11"/>
        <w:numPr>
          <w:ilvl w:val="0"/>
          <w:numId w:val="30"/>
        </w:numPr>
        <w:spacing w:after="120"/>
        <w:ind w:left="1134" w:hanging="425"/>
        <w:rPr>
          <w:rFonts w:eastAsia="Times New Roman" w:cs="Arial"/>
          <w:snapToGrid w:val="0"/>
          <w:sz w:val="24"/>
          <w:szCs w:val="24"/>
          <w:lang w:eastAsia="en-AU"/>
        </w:rPr>
      </w:pPr>
      <w:r w:rsidRPr="00C41F2B">
        <w:rPr>
          <w:rFonts w:eastAsia="Times New Roman" w:cs="Arial"/>
          <w:snapToGrid w:val="0"/>
          <w:sz w:val="24"/>
          <w:szCs w:val="24"/>
          <w:lang w:eastAsia="en-AU"/>
        </w:rPr>
        <w:t>It was not necessary to make a finding in relation to whether it would be in the public interest for the subsequent pricing application to be progressed under Pricing Pathway A because one or more of the preceding tests had failed.</w:t>
      </w:r>
    </w:p>
    <w:p w:rsidR="009901CD" w:rsidRPr="00C41F2B" w:rsidRDefault="009901CD" w:rsidP="009901CD">
      <w:pPr>
        <w:widowControl w:val="0"/>
        <w:numPr>
          <w:ilvl w:val="1"/>
          <w:numId w:val="1"/>
        </w:numPr>
        <w:spacing w:after="120"/>
        <w:rPr>
          <w:rFonts w:cs="Arial"/>
          <w:bCs/>
          <w:snapToGrid w:val="0"/>
        </w:rPr>
      </w:pPr>
      <w:r w:rsidRPr="00C41F2B">
        <w:rPr>
          <w:rFonts w:cs="Arial"/>
          <w:bCs/>
          <w:snapToGrid w:val="0"/>
        </w:rPr>
        <w:t xml:space="preserve">The PBAC noted the flow-on restriction changes </w:t>
      </w:r>
      <w:r w:rsidR="00E06065" w:rsidRPr="00C41F2B">
        <w:rPr>
          <w:rFonts w:cs="Arial"/>
          <w:bCs/>
          <w:snapToGrid w:val="0"/>
        </w:rPr>
        <w:t>to olaparib second line</w:t>
      </w:r>
      <w:r w:rsidR="007B57D9" w:rsidRPr="00C41F2B">
        <w:rPr>
          <w:rFonts w:cs="Arial"/>
          <w:bCs/>
          <w:snapToGrid w:val="0"/>
        </w:rPr>
        <w:t>.</w:t>
      </w:r>
    </w:p>
    <w:p w:rsidR="009901CD" w:rsidRPr="00C41F2B" w:rsidRDefault="00E06065" w:rsidP="00E06065">
      <w:pPr>
        <w:widowControl w:val="0"/>
        <w:numPr>
          <w:ilvl w:val="1"/>
          <w:numId w:val="1"/>
        </w:numPr>
        <w:spacing w:after="120"/>
        <w:rPr>
          <w:bCs/>
          <w:snapToGrid w:val="0"/>
        </w:rPr>
      </w:pPr>
      <w:r w:rsidRPr="00C41F2B">
        <w:rPr>
          <w:bCs/>
        </w:rPr>
        <w:t>The PBAC noted that this submission is not eligible for an Independent Review as it received a positive recommendation.</w:t>
      </w:r>
    </w:p>
    <w:p w:rsidR="009901CD" w:rsidRPr="00C41F2B" w:rsidRDefault="009901CD" w:rsidP="009901CD">
      <w:pPr>
        <w:spacing w:before="240"/>
        <w:rPr>
          <w:rFonts w:cs="Arial"/>
          <w:b/>
          <w:bCs/>
          <w:snapToGrid w:val="0"/>
        </w:rPr>
      </w:pPr>
      <w:r w:rsidRPr="00C41F2B">
        <w:rPr>
          <w:rFonts w:cs="Arial"/>
          <w:b/>
          <w:bCs/>
          <w:snapToGrid w:val="0"/>
        </w:rPr>
        <w:t>Outcome:</w:t>
      </w:r>
    </w:p>
    <w:p w:rsidR="009901CD" w:rsidRPr="00C41F2B" w:rsidRDefault="006F3DCB" w:rsidP="009901CD">
      <w:pPr>
        <w:rPr>
          <w:rFonts w:cs="Arial"/>
          <w:bCs/>
          <w:snapToGrid w:val="0"/>
        </w:rPr>
      </w:pPr>
      <w:r w:rsidRPr="00C41F2B">
        <w:rPr>
          <w:rFonts w:cs="Arial"/>
          <w:bCs/>
          <w:snapToGrid w:val="0"/>
        </w:rPr>
        <w:t>Recommended</w:t>
      </w:r>
    </w:p>
    <w:p w:rsidR="009901CD" w:rsidRPr="00C41F2B" w:rsidRDefault="009901CD" w:rsidP="000108E5">
      <w:pPr>
        <w:pStyle w:val="2-SectionHeading"/>
        <w:rPr>
          <w:bCs/>
          <w:i/>
        </w:rPr>
      </w:pPr>
      <w:r w:rsidRPr="00C41F2B">
        <w:rPr>
          <w:bCs/>
        </w:rPr>
        <w:t>Recommended listing</w:t>
      </w:r>
    </w:p>
    <w:p w:rsidR="009901CD" w:rsidRPr="00C41F2B" w:rsidRDefault="003166E8" w:rsidP="009901CD">
      <w:pPr>
        <w:widowControl w:val="0"/>
        <w:numPr>
          <w:ilvl w:val="1"/>
          <w:numId w:val="1"/>
        </w:numPr>
        <w:spacing w:after="120"/>
        <w:rPr>
          <w:rFonts w:cs="Arial"/>
          <w:b/>
          <w:bCs/>
          <w:snapToGrid w:val="0"/>
        </w:rPr>
      </w:pPr>
      <w:r w:rsidRPr="00C41F2B">
        <w:t xml:space="preserve">Add new </w:t>
      </w:r>
      <w:r w:rsidR="00A74C51" w:rsidRPr="00C41F2B">
        <w:t>PBS indication/</w:t>
      </w:r>
      <w:r w:rsidRPr="00C41F2B">
        <w:t>listing as follows:</w:t>
      </w:r>
    </w:p>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3386"/>
        <w:gridCol w:w="1246"/>
        <w:gridCol w:w="1069"/>
        <w:gridCol w:w="1069"/>
        <w:gridCol w:w="2257"/>
      </w:tblGrid>
      <w:tr w:rsidR="000C1587" w:rsidRPr="00C41F2B" w:rsidTr="000C1587">
        <w:trPr>
          <w:tblHeader/>
        </w:trPr>
        <w:tc>
          <w:tcPr>
            <w:tcW w:w="1876" w:type="pct"/>
          </w:tcPr>
          <w:p w:rsidR="000C1587" w:rsidRPr="00C41F2B" w:rsidRDefault="000C1587" w:rsidP="00A75EAB">
            <w:pPr>
              <w:keepLines/>
              <w:spacing w:before="40" w:after="40" w:line="256" w:lineRule="auto"/>
              <w:rPr>
                <w:rFonts w:ascii="Arial Narrow" w:hAnsi="Arial Narrow"/>
                <w:b/>
                <w:sz w:val="20"/>
              </w:rPr>
            </w:pPr>
            <w:r w:rsidRPr="00C41F2B">
              <w:rPr>
                <w:rFonts w:ascii="Arial Narrow" w:hAnsi="Arial Narrow"/>
                <w:b/>
                <w:sz w:val="20"/>
              </w:rPr>
              <w:t>Name, restriction, manner of administration, form</w:t>
            </w:r>
          </w:p>
        </w:tc>
        <w:tc>
          <w:tcPr>
            <w:tcW w:w="690" w:type="pct"/>
          </w:tcPr>
          <w:p w:rsidR="000C1587" w:rsidRPr="00C41F2B" w:rsidRDefault="000C1587" w:rsidP="00A75EAB">
            <w:pPr>
              <w:keepLines/>
              <w:spacing w:before="40" w:after="40" w:line="256" w:lineRule="auto"/>
              <w:rPr>
                <w:rFonts w:ascii="Arial Narrow" w:hAnsi="Arial Narrow"/>
                <w:b/>
                <w:sz w:val="20"/>
              </w:rPr>
            </w:pPr>
            <w:r w:rsidRPr="00C41F2B">
              <w:rPr>
                <w:rFonts w:ascii="Arial Narrow" w:hAnsi="Arial Narrow"/>
                <w:b/>
                <w:sz w:val="20"/>
              </w:rPr>
              <w:t xml:space="preserve">Max </w:t>
            </w:r>
            <w:proofErr w:type="spellStart"/>
            <w:r w:rsidRPr="00C41F2B">
              <w:rPr>
                <w:rFonts w:ascii="Arial Narrow" w:hAnsi="Arial Narrow"/>
                <w:b/>
                <w:sz w:val="20"/>
              </w:rPr>
              <w:t>qty</w:t>
            </w:r>
            <w:proofErr w:type="spellEnd"/>
            <w:r w:rsidRPr="00C41F2B">
              <w:rPr>
                <w:rFonts w:ascii="Arial Narrow" w:hAnsi="Arial Narrow"/>
                <w:b/>
                <w:sz w:val="20"/>
              </w:rPr>
              <w:t xml:space="preserve"> packs</w:t>
            </w:r>
          </w:p>
        </w:tc>
        <w:tc>
          <w:tcPr>
            <w:tcW w:w="592" w:type="pct"/>
          </w:tcPr>
          <w:p w:rsidR="000C1587" w:rsidRPr="00C41F2B" w:rsidRDefault="000C1587" w:rsidP="00A75EAB">
            <w:pPr>
              <w:keepLines/>
              <w:spacing w:before="40" w:after="40" w:line="256" w:lineRule="auto"/>
              <w:rPr>
                <w:rFonts w:ascii="Arial Narrow" w:hAnsi="Arial Narrow"/>
                <w:b/>
                <w:sz w:val="20"/>
              </w:rPr>
            </w:pPr>
            <w:r w:rsidRPr="00C41F2B">
              <w:rPr>
                <w:rFonts w:ascii="Arial Narrow" w:hAnsi="Arial Narrow"/>
                <w:b/>
                <w:sz w:val="20"/>
              </w:rPr>
              <w:t xml:space="preserve">Max </w:t>
            </w:r>
            <w:proofErr w:type="spellStart"/>
            <w:r w:rsidRPr="00C41F2B">
              <w:rPr>
                <w:rFonts w:ascii="Arial Narrow" w:hAnsi="Arial Narrow"/>
                <w:b/>
                <w:sz w:val="20"/>
              </w:rPr>
              <w:t>qty</w:t>
            </w:r>
            <w:proofErr w:type="spellEnd"/>
            <w:r w:rsidRPr="00C41F2B">
              <w:rPr>
                <w:rFonts w:ascii="Arial Narrow" w:hAnsi="Arial Narrow"/>
                <w:b/>
                <w:sz w:val="20"/>
              </w:rPr>
              <w:t xml:space="preserve"> (units)</w:t>
            </w:r>
          </w:p>
        </w:tc>
        <w:tc>
          <w:tcPr>
            <w:tcW w:w="592" w:type="pct"/>
          </w:tcPr>
          <w:p w:rsidR="000C1587" w:rsidRPr="00C41F2B" w:rsidRDefault="000C1587" w:rsidP="00A75EAB">
            <w:pPr>
              <w:keepLines/>
              <w:spacing w:before="40" w:after="40" w:line="256" w:lineRule="auto"/>
              <w:rPr>
                <w:rFonts w:ascii="Arial Narrow" w:hAnsi="Arial Narrow"/>
                <w:b/>
                <w:sz w:val="20"/>
              </w:rPr>
            </w:pPr>
            <w:r w:rsidRPr="00C41F2B">
              <w:rPr>
                <w:rFonts w:ascii="Arial Narrow" w:hAnsi="Arial Narrow"/>
                <w:b/>
                <w:sz w:val="20"/>
              </w:rPr>
              <w:t>No. of repeats</w:t>
            </w:r>
          </w:p>
        </w:tc>
        <w:tc>
          <w:tcPr>
            <w:tcW w:w="1250" w:type="pct"/>
          </w:tcPr>
          <w:p w:rsidR="000C1587" w:rsidRPr="00C41F2B" w:rsidRDefault="000C1587" w:rsidP="00A75EAB">
            <w:pPr>
              <w:keepLines/>
              <w:spacing w:before="40" w:after="40" w:line="256" w:lineRule="auto"/>
              <w:rPr>
                <w:rFonts w:ascii="Arial Narrow" w:hAnsi="Arial Narrow"/>
                <w:b/>
                <w:sz w:val="20"/>
              </w:rPr>
            </w:pPr>
            <w:r w:rsidRPr="00C41F2B">
              <w:rPr>
                <w:rFonts w:ascii="Arial Narrow" w:hAnsi="Arial Narrow"/>
                <w:b/>
                <w:sz w:val="20"/>
              </w:rPr>
              <w:t>Proprietary name and manufacturer</w:t>
            </w:r>
          </w:p>
        </w:tc>
      </w:tr>
      <w:tr w:rsidR="000C1587" w:rsidRPr="00C41F2B" w:rsidTr="000C1587">
        <w:tc>
          <w:tcPr>
            <w:tcW w:w="1876"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Olaparib, tablet, 150mg, 100mg</w:t>
            </w:r>
          </w:p>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INITIAL TREATMENT</w:t>
            </w:r>
          </w:p>
        </w:tc>
        <w:tc>
          <w:tcPr>
            <w:tcW w:w="690"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2</w:t>
            </w:r>
          </w:p>
        </w:tc>
        <w:tc>
          <w:tcPr>
            <w:tcW w:w="592"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112</w:t>
            </w:r>
          </w:p>
        </w:tc>
        <w:tc>
          <w:tcPr>
            <w:tcW w:w="592"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2</w:t>
            </w:r>
          </w:p>
        </w:tc>
        <w:tc>
          <w:tcPr>
            <w:tcW w:w="1250"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LYNPARZA®</w:t>
            </w:r>
            <w:r w:rsidRPr="00C41F2B">
              <w:rPr>
                <w:rFonts w:ascii="Arial Narrow" w:hAnsi="Arial Narrow"/>
                <w:sz w:val="20"/>
              </w:rPr>
              <w:br/>
              <w:t>AstraZeneca Pty Ltd</w:t>
            </w:r>
          </w:p>
        </w:tc>
      </w:tr>
      <w:tr w:rsidR="000C1587" w:rsidRPr="00C41F2B" w:rsidTr="000C1587">
        <w:tc>
          <w:tcPr>
            <w:tcW w:w="1876"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Olaparib, tablet, 150mg, 100mg</w:t>
            </w:r>
          </w:p>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CONTINUING TREATMENT</w:t>
            </w:r>
          </w:p>
        </w:tc>
        <w:tc>
          <w:tcPr>
            <w:tcW w:w="690"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2</w:t>
            </w:r>
          </w:p>
        </w:tc>
        <w:tc>
          <w:tcPr>
            <w:tcW w:w="592"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112</w:t>
            </w:r>
          </w:p>
        </w:tc>
        <w:tc>
          <w:tcPr>
            <w:tcW w:w="592"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5</w:t>
            </w:r>
          </w:p>
        </w:tc>
        <w:tc>
          <w:tcPr>
            <w:tcW w:w="1250" w:type="pct"/>
          </w:tcPr>
          <w:p w:rsidR="000C1587" w:rsidRPr="00C41F2B" w:rsidRDefault="000C1587" w:rsidP="00A75EAB">
            <w:pPr>
              <w:keepLines/>
              <w:spacing w:before="40" w:after="40" w:line="256" w:lineRule="auto"/>
              <w:rPr>
                <w:rFonts w:ascii="Arial Narrow" w:hAnsi="Arial Narrow"/>
                <w:sz w:val="20"/>
              </w:rPr>
            </w:pPr>
            <w:r w:rsidRPr="00C41F2B">
              <w:rPr>
                <w:rFonts w:ascii="Arial Narrow" w:hAnsi="Arial Narrow"/>
                <w:sz w:val="20"/>
              </w:rPr>
              <w:t>LYNPARZA®</w:t>
            </w:r>
            <w:r w:rsidRPr="00C41F2B">
              <w:rPr>
                <w:rFonts w:ascii="Arial Narrow" w:hAnsi="Arial Narrow"/>
                <w:sz w:val="20"/>
              </w:rPr>
              <w:br/>
              <w:t>AstraZeneca Pty Ltd</w:t>
            </w:r>
          </w:p>
        </w:tc>
      </w:tr>
    </w:tbl>
    <w:p w:rsidR="00327525" w:rsidRPr="00C41F2B" w:rsidRDefault="00327525" w:rsidP="00327525"/>
    <w:tbl>
      <w:tblPr>
        <w:tblStyle w:val="TableGrid"/>
        <w:tblW w:w="5000" w:type="pct"/>
        <w:tblLayout w:type="fixed"/>
        <w:tblLook w:val="04A0" w:firstRow="1" w:lastRow="0" w:firstColumn="1" w:lastColumn="0" w:noHBand="0" w:noVBand="1"/>
      </w:tblPr>
      <w:tblGrid>
        <w:gridCol w:w="1838"/>
        <w:gridCol w:w="7179"/>
      </w:tblGrid>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Category / Program</w:t>
            </w:r>
          </w:p>
        </w:tc>
        <w:tc>
          <w:tcPr>
            <w:tcW w:w="3981"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Section 85 – General Schedule</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Prescriber type</w:t>
            </w:r>
          </w:p>
        </w:tc>
        <w:tc>
          <w:tcPr>
            <w:tcW w:w="3981" w:type="pct"/>
          </w:tcPr>
          <w:p w:rsidR="00327525" w:rsidRPr="00C41F2B" w:rsidRDefault="00327525" w:rsidP="00A74C51">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fldChar w:fldCharType="begin">
                <w:ffData>
                  <w:name w:val="Check1"/>
                  <w:enabled/>
                  <w:calcOnExit w:val="0"/>
                  <w:checkBox>
                    <w:sizeAuto/>
                    <w:default w:val="1"/>
                  </w:checkBox>
                </w:ffData>
              </w:fldChar>
            </w:r>
            <w:r w:rsidRPr="00C41F2B">
              <w:rPr>
                <w:rFonts w:ascii="Arial Narrow" w:eastAsiaTheme="majorEastAsia" w:hAnsi="Arial Narrow"/>
                <w:sz w:val="20"/>
                <w:szCs w:val="20"/>
                <w:lang w:bidi="en-US"/>
              </w:rPr>
              <w:instrText xml:space="preserve"> FORMCHECKBOX </w:instrText>
            </w:r>
            <w:r w:rsidR="00EE7B1B">
              <w:rPr>
                <w:rFonts w:ascii="Arial Narrow" w:eastAsiaTheme="majorEastAsia" w:hAnsi="Arial Narrow"/>
                <w:sz w:val="20"/>
                <w:szCs w:val="20"/>
                <w:lang w:bidi="en-US"/>
              </w:rPr>
            </w:r>
            <w:r w:rsidR="00EE7B1B">
              <w:rPr>
                <w:rFonts w:ascii="Arial Narrow" w:eastAsiaTheme="majorEastAsia" w:hAnsi="Arial Narrow"/>
                <w:sz w:val="20"/>
                <w:szCs w:val="20"/>
                <w:lang w:bidi="en-US"/>
              </w:rPr>
              <w:fldChar w:fldCharType="separate"/>
            </w:r>
            <w:r w:rsidRPr="00C41F2B">
              <w:rPr>
                <w:rFonts w:ascii="Arial Narrow" w:eastAsiaTheme="majorEastAsia" w:hAnsi="Arial Narrow"/>
                <w:sz w:val="20"/>
                <w:szCs w:val="20"/>
                <w:lang w:bidi="en-US"/>
              </w:rPr>
              <w:fldChar w:fldCharType="end"/>
            </w:r>
            <w:r w:rsidRPr="00C41F2B">
              <w:rPr>
                <w:rFonts w:ascii="Arial Narrow" w:eastAsiaTheme="majorEastAsia" w:hAnsi="Arial Narrow"/>
                <w:sz w:val="20"/>
                <w:szCs w:val="20"/>
                <w:lang w:bidi="en-US"/>
              </w:rPr>
              <w:t xml:space="preserve">  Medical Practitioners </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Condition</w:t>
            </w:r>
          </w:p>
        </w:tc>
        <w:tc>
          <w:tcPr>
            <w:tcW w:w="3981" w:type="pct"/>
          </w:tcPr>
          <w:p w:rsidR="00327525" w:rsidRPr="00C41F2B" w:rsidRDefault="00327525" w:rsidP="00E36C7F">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High grade </w:t>
            </w:r>
            <w:r w:rsidR="00E36C7F" w:rsidRPr="00C41F2B">
              <w:rPr>
                <w:rFonts w:ascii="Arial Narrow" w:eastAsiaTheme="majorEastAsia" w:hAnsi="Arial Narrow"/>
                <w:sz w:val="20"/>
                <w:szCs w:val="20"/>
                <w:lang w:bidi="en-US"/>
              </w:rPr>
              <w:t>stage III/IV</w:t>
            </w:r>
            <w:r w:rsidR="00B275EB" w:rsidRPr="00C41F2B">
              <w:rPr>
                <w:rFonts w:ascii="Arial Narrow" w:eastAsiaTheme="majorEastAsia" w:hAnsi="Arial Narrow"/>
                <w:sz w:val="20"/>
                <w:szCs w:val="20"/>
                <w:lang w:bidi="en-US"/>
              </w:rPr>
              <w:t xml:space="preserve"> </w:t>
            </w:r>
            <w:r w:rsidRPr="00C41F2B">
              <w:rPr>
                <w:rFonts w:ascii="Arial Narrow" w:eastAsiaTheme="majorEastAsia" w:hAnsi="Arial Narrow"/>
                <w:sz w:val="20"/>
                <w:szCs w:val="20"/>
                <w:lang w:bidi="en-US"/>
              </w:rPr>
              <w:t>epithelial ovarian, fallopian tube or primary peritoneal cancer</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PBS Indication</w:t>
            </w:r>
          </w:p>
        </w:tc>
        <w:tc>
          <w:tcPr>
            <w:tcW w:w="3981" w:type="pct"/>
          </w:tcPr>
          <w:p w:rsidR="00327525" w:rsidRPr="00C41F2B" w:rsidRDefault="00327525" w:rsidP="00E36C7F">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High grade </w:t>
            </w:r>
            <w:r w:rsidR="00E36C7F" w:rsidRPr="00C41F2B">
              <w:rPr>
                <w:rFonts w:ascii="Arial Narrow" w:eastAsiaTheme="majorEastAsia" w:hAnsi="Arial Narrow"/>
                <w:sz w:val="20"/>
                <w:szCs w:val="20"/>
                <w:lang w:bidi="en-US"/>
              </w:rPr>
              <w:t>stage III/IV</w:t>
            </w:r>
            <w:r w:rsidR="00E36C7F" w:rsidRPr="00C41F2B" w:rsidDel="00E36C7F">
              <w:rPr>
                <w:rFonts w:ascii="Arial Narrow" w:eastAsiaTheme="majorEastAsia" w:hAnsi="Arial Narrow"/>
                <w:sz w:val="20"/>
                <w:szCs w:val="20"/>
                <w:lang w:bidi="en-US"/>
              </w:rPr>
              <w:t xml:space="preserve"> </w:t>
            </w:r>
            <w:r w:rsidRPr="00C41F2B">
              <w:rPr>
                <w:rFonts w:ascii="Arial Narrow" w:eastAsiaTheme="majorEastAsia" w:hAnsi="Arial Narrow"/>
                <w:sz w:val="20"/>
                <w:szCs w:val="20"/>
                <w:lang w:bidi="en-US"/>
              </w:rPr>
              <w:t>epithelial ovarian, fallopian tube or primary peritoneal cancer</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Treatment phase</w:t>
            </w:r>
          </w:p>
        </w:tc>
        <w:tc>
          <w:tcPr>
            <w:tcW w:w="3981" w:type="pct"/>
            <w:shd w:val="clear" w:color="auto" w:fill="auto"/>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Initial treatment</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Restriction</w:t>
            </w:r>
          </w:p>
        </w:tc>
        <w:tc>
          <w:tcPr>
            <w:tcW w:w="3981"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fldChar w:fldCharType="begin">
                <w:ffData>
                  <w:name w:val="Check1"/>
                  <w:enabled/>
                  <w:calcOnExit w:val="0"/>
                  <w:checkBox>
                    <w:sizeAuto/>
                    <w:default w:val="1"/>
                  </w:checkBox>
                </w:ffData>
              </w:fldChar>
            </w:r>
            <w:r w:rsidRPr="00C41F2B">
              <w:rPr>
                <w:rFonts w:ascii="Arial Narrow" w:eastAsiaTheme="majorEastAsia" w:hAnsi="Arial Narrow"/>
                <w:sz w:val="20"/>
                <w:szCs w:val="20"/>
                <w:lang w:bidi="en-US"/>
              </w:rPr>
              <w:instrText xml:space="preserve"> FORMCHECKBOX </w:instrText>
            </w:r>
            <w:r w:rsidR="00EE7B1B">
              <w:rPr>
                <w:rFonts w:ascii="Arial Narrow" w:eastAsiaTheme="majorEastAsia" w:hAnsi="Arial Narrow"/>
                <w:sz w:val="20"/>
                <w:szCs w:val="20"/>
                <w:lang w:bidi="en-US"/>
              </w:rPr>
            </w:r>
            <w:r w:rsidR="00EE7B1B">
              <w:rPr>
                <w:rFonts w:ascii="Arial Narrow" w:eastAsiaTheme="majorEastAsia" w:hAnsi="Arial Narrow"/>
                <w:sz w:val="20"/>
                <w:szCs w:val="20"/>
                <w:lang w:bidi="en-US"/>
              </w:rPr>
              <w:fldChar w:fldCharType="separate"/>
            </w:r>
            <w:r w:rsidRPr="00C41F2B">
              <w:rPr>
                <w:rFonts w:ascii="Arial Narrow" w:eastAsiaTheme="majorEastAsia" w:hAnsi="Arial Narrow"/>
                <w:sz w:val="20"/>
                <w:szCs w:val="20"/>
                <w:lang w:bidi="en-US"/>
              </w:rPr>
              <w:fldChar w:fldCharType="end"/>
            </w:r>
            <w:r w:rsidRPr="00C41F2B">
              <w:rPr>
                <w:rFonts w:ascii="Arial Narrow" w:eastAsiaTheme="majorEastAsia" w:hAnsi="Arial Narrow"/>
                <w:sz w:val="20"/>
                <w:szCs w:val="20"/>
                <w:lang w:bidi="en-US"/>
              </w:rPr>
              <w:t xml:space="preserve"> Authority Required – Telephone </w:t>
            </w:r>
          </w:p>
          <w:p w:rsidR="00327525" w:rsidRPr="00C41F2B" w:rsidRDefault="00B83D63"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fldChar w:fldCharType="begin">
                <w:ffData>
                  <w:name w:val=""/>
                  <w:enabled/>
                  <w:calcOnExit w:val="0"/>
                  <w:checkBox>
                    <w:sizeAuto/>
                    <w:default w:val="1"/>
                  </w:checkBox>
                </w:ffData>
              </w:fldChar>
            </w:r>
            <w:r w:rsidRPr="00C41F2B">
              <w:rPr>
                <w:rFonts w:ascii="Arial Narrow" w:eastAsiaTheme="majorEastAsia" w:hAnsi="Arial Narrow"/>
                <w:sz w:val="20"/>
                <w:szCs w:val="20"/>
                <w:lang w:bidi="en-US"/>
              </w:rPr>
              <w:instrText xml:space="preserve"> FORMCHECKBOX </w:instrText>
            </w:r>
            <w:r w:rsidR="00EE7B1B">
              <w:rPr>
                <w:rFonts w:ascii="Arial Narrow" w:eastAsiaTheme="majorEastAsia" w:hAnsi="Arial Narrow"/>
                <w:sz w:val="20"/>
                <w:szCs w:val="20"/>
                <w:lang w:bidi="en-US"/>
              </w:rPr>
            </w:r>
            <w:r w:rsidR="00EE7B1B">
              <w:rPr>
                <w:rFonts w:ascii="Arial Narrow" w:eastAsiaTheme="majorEastAsia" w:hAnsi="Arial Narrow"/>
                <w:sz w:val="20"/>
                <w:szCs w:val="20"/>
                <w:lang w:bidi="en-US"/>
              </w:rPr>
              <w:fldChar w:fldCharType="separate"/>
            </w:r>
            <w:r w:rsidRPr="00C41F2B">
              <w:rPr>
                <w:rFonts w:ascii="Arial Narrow" w:eastAsiaTheme="majorEastAsia" w:hAnsi="Arial Narrow"/>
                <w:sz w:val="20"/>
                <w:szCs w:val="20"/>
                <w:lang w:bidi="en-US"/>
              </w:rPr>
              <w:fldChar w:fldCharType="end"/>
            </w:r>
            <w:r w:rsidR="00327525" w:rsidRPr="00C41F2B">
              <w:rPr>
                <w:rFonts w:ascii="Arial Narrow" w:eastAsiaTheme="majorEastAsia" w:hAnsi="Arial Narrow"/>
                <w:sz w:val="20"/>
                <w:szCs w:val="20"/>
                <w:lang w:bidi="en-US"/>
              </w:rPr>
              <w:t xml:space="preserve"> Authority Required – Electronic</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Clinical criteria</w:t>
            </w:r>
          </w:p>
        </w:tc>
        <w:tc>
          <w:tcPr>
            <w:tcW w:w="3981"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The condition must be </w:t>
            </w:r>
            <w:r w:rsidR="00B275EB" w:rsidRPr="00C41F2B">
              <w:rPr>
                <w:rFonts w:ascii="Arial Narrow" w:eastAsiaTheme="majorEastAsia" w:hAnsi="Arial Narrow"/>
                <w:sz w:val="20"/>
                <w:szCs w:val="20"/>
                <w:lang w:bidi="en-US"/>
              </w:rPr>
              <w:t xml:space="preserve">associated with a </w:t>
            </w:r>
            <w:r w:rsidRPr="00C41F2B">
              <w:rPr>
                <w:rFonts w:ascii="Arial Narrow" w:eastAsiaTheme="majorEastAsia" w:hAnsi="Arial Narrow"/>
                <w:sz w:val="20"/>
                <w:szCs w:val="20"/>
                <w:lang w:bidi="en-US"/>
              </w:rPr>
              <w:t xml:space="preserve">class 4 or 5 BRCA1 or BRCA2 gene mutation, </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AND</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Patient must be in partial or complete response to the immediately preceding platinum-based chemotherapy regimen,</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AND</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The treatment must be the sole PBS-subsidised therapy for this condition,</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AND</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Patient must not have previously received PBS-subsidised treatment with this drug for this condition</w:t>
            </w:r>
            <w:r w:rsidR="00B275EB" w:rsidRPr="00C41F2B">
              <w:rPr>
                <w:rFonts w:ascii="Arial Narrow" w:eastAsiaTheme="majorEastAsia" w:hAnsi="Arial Narrow"/>
                <w:sz w:val="20"/>
                <w:szCs w:val="20"/>
                <w:lang w:bidi="en-US"/>
              </w:rPr>
              <w:t>.</w:t>
            </w:r>
            <w:r w:rsidRPr="00C41F2B">
              <w:rPr>
                <w:rFonts w:ascii="Arial Narrow" w:eastAsiaTheme="majorEastAsia" w:hAnsi="Arial Narrow"/>
                <w:sz w:val="20"/>
                <w:szCs w:val="20"/>
                <w:lang w:bidi="en-US"/>
              </w:rPr>
              <w:t xml:space="preserve"> </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Prescriber Instructions</w:t>
            </w:r>
          </w:p>
        </w:tc>
        <w:tc>
          <w:tcPr>
            <w:tcW w:w="3981" w:type="pct"/>
          </w:tcPr>
          <w:p w:rsidR="00174ED8" w:rsidRPr="00C41F2B" w:rsidRDefault="00327525" w:rsidP="00174ED8">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A response (complete or partial) to the platinum-based chemotherapy regimen is to be assessed using either Gynaecologic Cancer </w:t>
            </w:r>
            <w:proofErr w:type="spellStart"/>
            <w:r w:rsidRPr="00C41F2B">
              <w:rPr>
                <w:rFonts w:ascii="Arial Narrow" w:eastAsiaTheme="majorEastAsia" w:hAnsi="Arial Narrow"/>
                <w:sz w:val="20"/>
                <w:szCs w:val="20"/>
                <w:lang w:bidi="en-US"/>
              </w:rPr>
              <w:t>InterGroup</w:t>
            </w:r>
            <w:proofErr w:type="spellEnd"/>
            <w:r w:rsidRPr="00C41F2B">
              <w:rPr>
                <w:rFonts w:ascii="Arial Narrow" w:eastAsiaTheme="majorEastAsia" w:hAnsi="Arial Narrow"/>
                <w:sz w:val="20"/>
                <w:szCs w:val="20"/>
                <w:lang w:bidi="en-US"/>
              </w:rPr>
              <w:t xml:space="preserve"> (GCIC) or Response Evaluation in Solid Tumours (RECIST) guidelines.</w:t>
            </w:r>
          </w:p>
          <w:p w:rsidR="00327525" w:rsidRPr="00C41F2B" w:rsidRDefault="00174ED8" w:rsidP="00174ED8">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Evidence of a BRCA1 or BRCA2 gene mutation must be derived through germline or somatic testing </w:t>
            </w:r>
            <w:r w:rsidR="00FC287E">
              <w:rPr>
                <w:rFonts w:ascii="Arial Narrow" w:eastAsiaTheme="majorEastAsia" w:hAnsi="Arial Narrow"/>
                <w:sz w:val="20"/>
                <w:szCs w:val="20"/>
                <w:lang w:bidi="en-US"/>
              </w:rPr>
              <w:t>for</w:t>
            </w:r>
            <w:r w:rsidRPr="00C41F2B">
              <w:rPr>
                <w:rFonts w:ascii="Arial Narrow" w:eastAsiaTheme="majorEastAsia" w:hAnsi="Arial Narrow"/>
                <w:sz w:val="20"/>
                <w:szCs w:val="20"/>
                <w:lang w:bidi="en-US"/>
              </w:rPr>
              <w:t xml:space="preserve"> a BRCA1 or BRCA2 gene mutation. </w:t>
            </w:r>
          </w:p>
        </w:tc>
      </w:tr>
      <w:tr w:rsidR="00327525" w:rsidRPr="00C41F2B" w:rsidTr="00A75EAB">
        <w:tc>
          <w:tcPr>
            <w:tcW w:w="1019" w:type="pct"/>
          </w:tcPr>
          <w:p w:rsidR="00327525" w:rsidRPr="00C41F2B" w:rsidRDefault="00327525" w:rsidP="00174ED8">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Administrative Advice</w:t>
            </w:r>
          </w:p>
        </w:tc>
        <w:tc>
          <w:tcPr>
            <w:tcW w:w="3981" w:type="pct"/>
          </w:tcPr>
          <w:p w:rsidR="00327525" w:rsidRPr="00C41F2B" w:rsidRDefault="00327525" w:rsidP="00174ED8">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Applications for authorisation under this criterion may be made by telephone by contacting the Department of Human Services on 1800 700 270 (hours of operation 8a.m. to 5p.m. EST Monday to Friday). Special Pricing Arrangements apply</w:t>
            </w:r>
          </w:p>
        </w:tc>
      </w:tr>
    </w:tbl>
    <w:p w:rsidR="00327525" w:rsidRPr="00C41F2B" w:rsidRDefault="00327525" w:rsidP="00327525"/>
    <w:tbl>
      <w:tblPr>
        <w:tblStyle w:val="TableGrid"/>
        <w:tblW w:w="5000" w:type="pct"/>
        <w:tblLayout w:type="fixed"/>
        <w:tblLook w:val="04A0" w:firstRow="1" w:lastRow="0" w:firstColumn="1" w:lastColumn="0" w:noHBand="0" w:noVBand="1"/>
      </w:tblPr>
      <w:tblGrid>
        <w:gridCol w:w="1838"/>
        <w:gridCol w:w="7179"/>
      </w:tblGrid>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Category / Program</w:t>
            </w:r>
          </w:p>
        </w:tc>
        <w:tc>
          <w:tcPr>
            <w:tcW w:w="3981"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Section 85 – General Schedule</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Prescriber type</w:t>
            </w:r>
          </w:p>
        </w:tc>
        <w:tc>
          <w:tcPr>
            <w:tcW w:w="3981" w:type="pct"/>
          </w:tcPr>
          <w:p w:rsidR="00327525" w:rsidRPr="00C41F2B" w:rsidRDefault="00327525" w:rsidP="00174ED8">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fldChar w:fldCharType="begin">
                <w:ffData>
                  <w:name w:val="Check1"/>
                  <w:enabled/>
                  <w:calcOnExit w:val="0"/>
                  <w:checkBox>
                    <w:sizeAuto/>
                    <w:default w:val="1"/>
                  </w:checkBox>
                </w:ffData>
              </w:fldChar>
            </w:r>
            <w:r w:rsidRPr="00C41F2B">
              <w:rPr>
                <w:rFonts w:ascii="Arial Narrow" w:eastAsiaTheme="majorEastAsia" w:hAnsi="Arial Narrow"/>
                <w:sz w:val="20"/>
                <w:szCs w:val="20"/>
                <w:lang w:bidi="en-US"/>
              </w:rPr>
              <w:instrText xml:space="preserve"> FORMCHECKBOX </w:instrText>
            </w:r>
            <w:r w:rsidR="00EE7B1B">
              <w:rPr>
                <w:rFonts w:ascii="Arial Narrow" w:eastAsiaTheme="majorEastAsia" w:hAnsi="Arial Narrow"/>
                <w:sz w:val="20"/>
                <w:szCs w:val="20"/>
                <w:lang w:bidi="en-US"/>
              </w:rPr>
            </w:r>
            <w:r w:rsidR="00EE7B1B">
              <w:rPr>
                <w:rFonts w:ascii="Arial Narrow" w:eastAsiaTheme="majorEastAsia" w:hAnsi="Arial Narrow"/>
                <w:sz w:val="20"/>
                <w:szCs w:val="20"/>
                <w:lang w:bidi="en-US"/>
              </w:rPr>
              <w:fldChar w:fldCharType="separate"/>
            </w:r>
            <w:r w:rsidRPr="00C41F2B">
              <w:rPr>
                <w:rFonts w:ascii="Arial Narrow" w:eastAsiaTheme="majorEastAsia" w:hAnsi="Arial Narrow"/>
                <w:sz w:val="20"/>
                <w:szCs w:val="20"/>
                <w:lang w:bidi="en-US"/>
              </w:rPr>
              <w:fldChar w:fldCharType="end"/>
            </w:r>
            <w:r w:rsidRPr="00C41F2B">
              <w:rPr>
                <w:rFonts w:ascii="Arial Narrow" w:eastAsiaTheme="majorEastAsia" w:hAnsi="Arial Narrow"/>
                <w:sz w:val="20"/>
                <w:szCs w:val="20"/>
                <w:lang w:bidi="en-US"/>
              </w:rPr>
              <w:t xml:space="preserve">  Medical Practitioners </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Condition</w:t>
            </w:r>
          </w:p>
        </w:tc>
        <w:tc>
          <w:tcPr>
            <w:tcW w:w="3981" w:type="pct"/>
          </w:tcPr>
          <w:p w:rsidR="00327525" w:rsidRPr="00C41F2B" w:rsidRDefault="00327525" w:rsidP="008C0281">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High grade </w:t>
            </w:r>
            <w:r w:rsidR="00A04F39" w:rsidRPr="00C41F2B">
              <w:rPr>
                <w:rFonts w:ascii="Arial Narrow" w:eastAsiaTheme="majorEastAsia" w:hAnsi="Arial Narrow"/>
                <w:sz w:val="20"/>
                <w:szCs w:val="20"/>
                <w:lang w:bidi="en-US"/>
              </w:rPr>
              <w:t>stage III/IV</w:t>
            </w:r>
            <w:r w:rsidR="00A04F39" w:rsidRPr="00C41F2B" w:rsidDel="008C0281">
              <w:rPr>
                <w:rFonts w:ascii="Arial Narrow" w:eastAsiaTheme="majorEastAsia" w:hAnsi="Arial Narrow"/>
                <w:sz w:val="20"/>
                <w:szCs w:val="20"/>
                <w:lang w:bidi="en-US"/>
              </w:rPr>
              <w:t xml:space="preserve"> </w:t>
            </w:r>
            <w:r w:rsidRPr="00C41F2B">
              <w:rPr>
                <w:rFonts w:ascii="Arial Narrow" w:eastAsiaTheme="majorEastAsia" w:hAnsi="Arial Narrow"/>
                <w:sz w:val="20"/>
                <w:szCs w:val="20"/>
                <w:lang w:bidi="en-US"/>
              </w:rPr>
              <w:t>epithelial ovarian, fallopian tube or primary peritoneal cancer</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PBS Indication</w:t>
            </w:r>
          </w:p>
        </w:tc>
        <w:tc>
          <w:tcPr>
            <w:tcW w:w="3981" w:type="pct"/>
          </w:tcPr>
          <w:p w:rsidR="00327525" w:rsidRPr="00C41F2B" w:rsidRDefault="00327525" w:rsidP="008C0281">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High grade </w:t>
            </w:r>
            <w:r w:rsidR="00A04F39" w:rsidRPr="00C41F2B">
              <w:rPr>
                <w:rFonts w:ascii="Arial Narrow" w:eastAsiaTheme="majorEastAsia" w:hAnsi="Arial Narrow"/>
                <w:sz w:val="20"/>
                <w:szCs w:val="20"/>
                <w:lang w:bidi="en-US"/>
              </w:rPr>
              <w:t>stage III/IV</w:t>
            </w:r>
            <w:r w:rsidR="00A04F39" w:rsidRPr="00C41F2B" w:rsidDel="008C0281">
              <w:rPr>
                <w:rFonts w:ascii="Arial Narrow" w:eastAsiaTheme="majorEastAsia" w:hAnsi="Arial Narrow"/>
                <w:sz w:val="20"/>
                <w:szCs w:val="20"/>
                <w:lang w:bidi="en-US"/>
              </w:rPr>
              <w:t xml:space="preserve"> </w:t>
            </w:r>
            <w:r w:rsidRPr="00C41F2B">
              <w:rPr>
                <w:rFonts w:ascii="Arial Narrow" w:eastAsiaTheme="majorEastAsia" w:hAnsi="Arial Narrow"/>
                <w:sz w:val="20"/>
                <w:szCs w:val="20"/>
                <w:lang w:bidi="en-US"/>
              </w:rPr>
              <w:t>epithelial ovarian, fallopian tube or primary peritoneal cancer</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Treatment phase</w:t>
            </w:r>
          </w:p>
        </w:tc>
        <w:tc>
          <w:tcPr>
            <w:tcW w:w="3981" w:type="pct"/>
            <w:shd w:val="clear" w:color="auto" w:fill="auto"/>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Continuing treatment</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Restriction</w:t>
            </w:r>
          </w:p>
        </w:tc>
        <w:tc>
          <w:tcPr>
            <w:tcW w:w="3981" w:type="pct"/>
          </w:tcPr>
          <w:p w:rsidR="00327525" w:rsidRPr="00C41F2B" w:rsidRDefault="008C0281"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fldChar w:fldCharType="begin">
                <w:ffData>
                  <w:name w:val=""/>
                  <w:enabled/>
                  <w:calcOnExit w:val="0"/>
                  <w:checkBox>
                    <w:sizeAuto/>
                    <w:default w:val="1"/>
                  </w:checkBox>
                </w:ffData>
              </w:fldChar>
            </w:r>
            <w:r w:rsidRPr="00C41F2B">
              <w:rPr>
                <w:rFonts w:ascii="Arial Narrow" w:eastAsiaTheme="majorEastAsia" w:hAnsi="Arial Narrow"/>
                <w:sz w:val="20"/>
                <w:szCs w:val="20"/>
                <w:lang w:bidi="en-US"/>
              </w:rPr>
              <w:instrText xml:space="preserve"> FORMCHECKBOX </w:instrText>
            </w:r>
            <w:r w:rsidR="00EE7B1B">
              <w:rPr>
                <w:rFonts w:ascii="Arial Narrow" w:eastAsiaTheme="majorEastAsia" w:hAnsi="Arial Narrow"/>
                <w:sz w:val="20"/>
                <w:szCs w:val="20"/>
                <w:lang w:bidi="en-US"/>
              </w:rPr>
            </w:r>
            <w:r w:rsidR="00EE7B1B">
              <w:rPr>
                <w:rFonts w:ascii="Arial Narrow" w:eastAsiaTheme="majorEastAsia" w:hAnsi="Arial Narrow"/>
                <w:sz w:val="20"/>
                <w:szCs w:val="20"/>
                <w:lang w:bidi="en-US"/>
              </w:rPr>
              <w:fldChar w:fldCharType="separate"/>
            </w:r>
            <w:r w:rsidRPr="00C41F2B">
              <w:rPr>
                <w:rFonts w:ascii="Arial Narrow" w:eastAsiaTheme="majorEastAsia" w:hAnsi="Arial Narrow"/>
                <w:sz w:val="20"/>
                <w:szCs w:val="20"/>
                <w:lang w:bidi="en-US"/>
              </w:rPr>
              <w:fldChar w:fldCharType="end"/>
            </w:r>
            <w:r w:rsidR="00327525" w:rsidRPr="00C41F2B">
              <w:rPr>
                <w:rFonts w:ascii="Arial Narrow" w:eastAsiaTheme="majorEastAsia" w:hAnsi="Arial Narrow"/>
                <w:sz w:val="20"/>
                <w:szCs w:val="20"/>
                <w:lang w:bidi="en-US"/>
              </w:rPr>
              <w:t xml:space="preserve"> Authority Required – Telephone </w:t>
            </w:r>
          </w:p>
          <w:p w:rsidR="00327525" w:rsidRPr="00C41F2B" w:rsidRDefault="008C0281"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fldChar w:fldCharType="begin">
                <w:ffData>
                  <w:name w:val=""/>
                  <w:enabled/>
                  <w:calcOnExit w:val="0"/>
                  <w:checkBox>
                    <w:sizeAuto/>
                    <w:default w:val="1"/>
                  </w:checkBox>
                </w:ffData>
              </w:fldChar>
            </w:r>
            <w:r w:rsidRPr="00C41F2B">
              <w:rPr>
                <w:rFonts w:ascii="Arial Narrow" w:eastAsiaTheme="majorEastAsia" w:hAnsi="Arial Narrow"/>
                <w:sz w:val="20"/>
                <w:szCs w:val="20"/>
                <w:lang w:bidi="en-US"/>
              </w:rPr>
              <w:instrText xml:space="preserve"> FORMCHECKBOX </w:instrText>
            </w:r>
            <w:r w:rsidR="00EE7B1B">
              <w:rPr>
                <w:rFonts w:ascii="Arial Narrow" w:eastAsiaTheme="majorEastAsia" w:hAnsi="Arial Narrow"/>
                <w:sz w:val="20"/>
                <w:szCs w:val="20"/>
                <w:lang w:bidi="en-US"/>
              </w:rPr>
            </w:r>
            <w:r w:rsidR="00EE7B1B">
              <w:rPr>
                <w:rFonts w:ascii="Arial Narrow" w:eastAsiaTheme="majorEastAsia" w:hAnsi="Arial Narrow"/>
                <w:sz w:val="20"/>
                <w:szCs w:val="20"/>
                <w:lang w:bidi="en-US"/>
              </w:rPr>
              <w:fldChar w:fldCharType="separate"/>
            </w:r>
            <w:r w:rsidRPr="00C41F2B">
              <w:rPr>
                <w:rFonts w:ascii="Arial Narrow" w:eastAsiaTheme="majorEastAsia" w:hAnsi="Arial Narrow"/>
                <w:sz w:val="20"/>
                <w:szCs w:val="20"/>
                <w:lang w:bidi="en-US"/>
              </w:rPr>
              <w:fldChar w:fldCharType="end"/>
            </w:r>
            <w:r w:rsidR="00327525" w:rsidRPr="00C41F2B">
              <w:rPr>
                <w:rFonts w:ascii="Arial Narrow" w:eastAsiaTheme="majorEastAsia" w:hAnsi="Arial Narrow"/>
                <w:sz w:val="20"/>
                <w:szCs w:val="20"/>
                <w:lang w:bidi="en-US"/>
              </w:rPr>
              <w:t xml:space="preserve"> Authority Required – Electronic</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Clinical criteria</w:t>
            </w:r>
          </w:p>
        </w:tc>
        <w:tc>
          <w:tcPr>
            <w:tcW w:w="3981"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 xml:space="preserve">Patient must have received previous PBS-subsidised treatment with this drug </w:t>
            </w:r>
            <w:r w:rsidR="00174ED8" w:rsidRPr="00C41F2B">
              <w:rPr>
                <w:rFonts w:ascii="Arial Narrow" w:eastAsiaTheme="majorEastAsia" w:hAnsi="Arial Narrow"/>
                <w:sz w:val="20"/>
                <w:szCs w:val="20"/>
                <w:lang w:bidi="en-US"/>
              </w:rPr>
              <w:t xml:space="preserve">as first line </w:t>
            </w:r>
            <w:r w:rsidR="00FC287E">
              <w:rPr>
                <w:rFonts w:ascii="Arial Narrow" w:eastAsiaTheme="majorEastAsia" w:hAnsi="Arial Narrow"/>
                <w:sz w:val="20"/>
                <w:szCs w:val="20"/>
                <w:lang w:bidi="en-US"/>
              </w:rPr>
              <w:t xml:space="preserve">maintenance </w:t>
            </w:r>
            <w:r w:rsidR="00174ED8" w:rsidRPr="00C41F2B">
              <w:rPr>
                <w:rFonts w:ascii="Arial Narrow" w:eastAsiaTheme="majorEastAsia" w:hAnsi="Arial Narrow"/>
                <w:sz w:val="20"/>
                <w:szCs w:val="20"/>
                <w:lang w:bidi="en-US"/>
              </w:rPr>
              <w:t xml:space="preserve">therapy for </w:t>
            </w:r>
            <w:r w:rsidRPr="00C41F2B">
              <w:rPr>
                <w:rFonts w:ascii="Arial Narrow" w:eastAsiaTheme="majorEastAsia" w:hAnsi="Arial Narrow"/>
                <w:sz w:val="20"/>
                <w:szCs w:val="20"/>
                <w:lang w:bidi="en-US"/>
              </w:rPr>
              <w:t>this condition</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AND</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The treatment must be the sole PBS-subsidised therapy for this condition,</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AND</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Patient must not have developed disease progression while receiving treatment with this drug for this condition</w:t>
            </w:r>
          </w:p>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AND</w:t>
            </w:r>
          </w:p>
          <w:p w:rsidR="00327525" w:rsidRPr="00C41F2B" w:rsidRDefault="00AB0740"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T</w:t>
            </w:r>
            <w:r w:rsidR="00327525" w:rsidRPr="00C41F2B">
              <w:rPr>
                <w:rFonts w:ascii="Arial Narrow" w:eastAsiaTheme="majorEastAsia" w:hAnsi="Arial Narrow"/>
                <w:sz w:val="20"/>
                <w:szCs w:val="20"/>
                <w:lang w:bidi="en-US"/>
              </w:rPr>
              <w:t xml:space="preserve">reatment must not exceed </w:t>
            </w:r>
            <w:r w:rsidRPr="00C41F2B">
              <w:rPr>
                <w:rFonts w:ascii="Arial Narrow" w:eastAsiaTheme="majorEastAsia" w:hAnsi="Arial Narrow"/>
                <w:sz w:val="20"/>
                <w:szCs w:val="20"/>
                <w:lang w:bidi="en-US"/>
              </w:rPr>
              <w:t xml:space="preserve">at </w:t>
            </w:r>
            <w:r w:rsidR="00327525" w:rsidRPr="00C41F2B">
              <w:rPr>
                <w:rFonts w:ascii="Arial Narrow" w:eastAsiaTheme="majorEastAsia" w:hAnsi="Arial Narrow"/>
                <w:sz w:val="20"/>
                <w:szCs w:val="20"/>
                <w:lang w:bidi="en-US"/>
              </w:rPr>
              <w:t>a total of 24 months</w:t>
            </w:r>
            <w:r w:rsidRPr="00C41F2B">
              <w:rPr>
                <w:rFonts w:ascii="Arial Narrow" w:eastAsiaTheme="majorEastAsia" w:hAnsi="Arial Narrow"/>
                <w:sz w:val="20"/>
                <w:szCs w:val="20"/>
                <w:lang w:bidi="en-US"/>
              </w:rPr>
              <w:t xml:space="preserve"> for patients in complete response</w:t>
            </w:r>
          </w:p>
        </w:tc>
      </w:tr>
      <w:tr w:rsidR="00327525" w:rsidRPr="00C41F2B" w:rsidTr="00A75EAB">
        <w:tc>
          <w:tcPr>
            <w:tcW w:w="1019"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Administrative Advice</w:t>
            </w:r>
          </w:p>
        </w:tc>
        <w:tc>
          <w:tcPr>
            <w:tcW w:w="3981" w:type="pct"/>
          </w:tcPr>
          <w:p w:rsidR="00327525" w:rsidRPr="00C41F2B" w:rsidRDefault="00327525" w:rsidP="00A75EAB">
            <w:pPr>
              <w:spacing w:before="20" w:after="20"/>
              <w:rPr>
                <w:rFonts w:ascii="Arial Narrow" w:eastAsiaTheme="majorEastAsia" w:hAnsi="Arial Narrow"/>
                <w:sz w:val="20"/>
                <w:szCs w:val="20"/>
                <w:lang w:bidi="en-US"/>
              </w:rPr>
            </w:pPr>
            <w:r w:rsidRPr="00C41F2B">
              <w:rPr>
                <w:rFonts w:ascii="Arial Narrow" w:eastAsiaTheme="majorEastAsia" w:hAnsi="Arial Narrow"/>
                <w:sz w:val="20"/>
                <w:szCs w:val="20"/>
                <w:lang w:bidi="en-US"/>
              </w:rPr>
              <w:t>Special Pricing Arrangements apply</w:t>
            </w:r>
          </w:p>
        </w:tc>
      </w:tr>
    </w:tbl>
    <w:p w:rsidR="00327525" w:rsidRPr="00C41F2B" w:rsidRDefault="00327525" w:rsidP="009901CD">
      <w:pPr>
        <w:widowControl w:val="0"/>
        <w:rPr>
          <w:rFonts w:cs="Arial"/>
          <w:bCs/>
          <w:snapToGrid w:val="0"/>
        </w:rPr>
      </w:pPr>
    </w:p>
    <w:p w:rsidR="009901CD" w:rsidRPr="00C41F2B" w:rsidRDefault="003166E8" w:rsidP="007B5329">
      <w:pPr>
        <w:widowControl w:val="0"/>
        <w:numPr>
          <w:ilvl w:val="1"/>
          <w:numId w:val="1"/>
        </w:numPr>
        <w:spacing w:after="120"/>
        <w:rPr>
          <w:rFonts w:cs="Arial"/>
          <w:bCs/>
          <w:snapToGrid w:val="0"/>
        </w:rPr>
      </w:pPr>
      <w:r w:rsidRPr="007B5329">
        <w:t>Amend</w:t>
      </w:r>
      <w:r w:rsidRPr="00C41F2B">
        <w:rPr>
          <w:rFonts w:cs="Arial"/>
          <w:bCs/>
          <w:snapToGrid w:val="0"/>
        </w:rPr>
        <w:t xml:space="preserve"> existing listings with flow-on changes</w:t>
      </w:r>
      <w:r w:rsidR="00E14213" w:rsidRPr="00C41F2B">
        <w:rPr>
          <w:rFonts w:cs="Arial"/>
          <w:bCs/>
          <w:snapToGrid w:val="0"/>
        </w:rPr>
        <w:t>:</w:t>
      </w:r>
    </w:p>
    <w:p w:rsidR="00F641E4" w:rsidRPr="00C41F2B" w:rsidRDefault="00F641E4" w:rsidP="00F641E4">
      <w:pPr>
        <w:rPr>
          <w:rFonts w:ascii="Arial Narrow" w:hAnsi="Arial Narrow"/>
          <w:sz w:val="20"/>
          <w:szCs w:val="20"/>
          <w:lang w:eastAsia="en-AU" w:bidi="en-US"/>
        </w:rPr>
      </w:pPr>
    </w:p>
    <w:p w:rsidR="00174ED8" w:rsidRPr="00C41F2B" w:rsidRDefault="00174ED8" w:rsidP="00174ED8">
      <w:pPr>
        <w:widowControl w:val="0"/>
        <w:rPr>
          <w:rFonts w:cs="Arial"/>
          <w:bCs/>
          <w:i/>
          <w:snapToGrid w:val="0"/>
        </w:rPr>
      </w:pPr>
      <w:r w:rsidRPr="00C41F2B">
        <w:rPr>
          <w:rFonts w:cs="Arial"/>
          <w:bCs/>
          <w:i/>
          <w:snapToGrid w:val="0"/>
        </w:rPr>
        <w:t>Combine ovarian/fallopian/peritoneal treatment restriction into one:</w:t>
      </w:r>
    </w:p>
    <w:p w:rsidR="00361E69" w:rsidRDefault="00361E69" w:rsidP="00174ED8">
      <w:pPr>
        <w:widowControl w:val="0"/>
        <w:rPr>
          <w:rFonts w:ascii="Arial Narrow" w:hAnsi="Arial Narrow" w:cs="Arial"/>
          <w:b/>
          <w:bCs/>
          <w:i/>
          <w:snapToGrid w:val="0"/>
          <w:sz w:val="20"/>
          <w:szCs w:val="20"/>
        </w:rPr>
      </w:pPr>
    </w:p>
    <w:p w:rsidR="00174ED8" w:rsidRPr="00361E69" w:rsidRDefault="00174ED8" w:rsidP="00174ED8">
      <w:pPr>
        <w:widowControl w:val="0"/>
        <w:rPr>
          <w:rFonts w:ascii="Arial Narrow" w:hAnsi="Arial Narrow" w:cs="Arial"/>
          <w:b/>
          <w:bCs/>
          <w:i/>
          <w:snapToGrid w:val="0"/>
          <w:sz w:val="20"/>
          <w:szCs w:val="20"/>
        </w:rPr>
      </w:pPr>
      <w:r w:rsidRPr="00361E69">
        <w:rPr>
          <w:rFonts w:ascii="Arial Narrow" w:hAnsi="Arial Narrow" w:cs="Arial"/>
          <w:b/>
          <w:bCs/>
          <w:i/>
          <w:snapToGrid w:val="0"/>
          <w:sz w:val="20"/>
          <w:szCs w:val="20"/>
        </w:rPr>
        <w:lastRenderedPageBreak/>
        <w:t xml:space="preserve">Restriction Summary 8131 / </w:t>
      </w:r>
      <w:proofErr w:type="spellStart"/>
      <w:r w:rsidRPr="00361E69">
        <w:rPr>
          <w:rFonts w:ascii="Arial Narrow" w:hAnsi="Arial Narrow" w:cs="Arial"/>
          <w:b/>
          <w:bCs/>
          <w:i/>
          <w:snapToGrid w:val="0"/>
          <w:sz w:val="20"/>
          <w:szCs w:val="20"/>
        </w:rPr>
        <w:t>ToC</w:t>
      </w:r>
      <w:proofErr w:type="spellEnd"/>
      <w:r w:rsidRPr="00361E69">
        <w:rPr>
          <w:rFonts w:ascii="Arial Narrow" w:hAnsi="Arial Narrow" w:cs="Arial"/>
          <w:b/>
          <w:bCs/>
          <w:i/>
          <w:snapToGrid w:val="0"/>
          <w:sz w:val="20"/>
          <w:szCs w:val="20"/>
        </w:rPr>
        <w:t>: 8132: Authority Required</w:t>
      </w:r>
    </w:p>
    <w:tbl>
      <w:tblPr>
        <w:tblStyle w:val="TableGrid"/>
        <w:tblW w:w="5000" w:type="pct"/>
        <w:tblInd w:w="-5" w:type="dxa"/>
        <w:tblLook w:val="04A0" w:firstRow="1" w:lastRow="0" w:firstColumn="1" w:lastColumn="0" w:noHBand="0" w:noVBand="1"/>
      </w:tblPr>
      <w:tblGrid>
        <w:gridCol w:w="9017"/>
      </w:tblGrid>
      <w:tr w:rsidR="00174ED8" w:rsidRPr="00C41F2B" w:rsidTr="00C41F2B">
        <w:tc>
          <w:tcPr>
            <w:tcW w:w="5000" w:type="pct"/>
            <w:tcBorders>
              <w:top w:val="single" w:sz="4" w:space="0" w:color="auto"/>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Category / Program:</w:t>
            </w:r>
            <w:r w:rsidRPr="00C41F2B">
              <w:rPr>
                <w:rFonts w:ascii="Arial Narrow" w:hAnsi="Arial Narrow"/>
                <w:sz w:val="20"/>
                <w:szCs w:val="20"/>
                <w:lang w:eastAsia="en-AU" w:bidi="en-US"/>
              </w:rPr>
              <w:t xml:space="preserve"> Section 85 – General Schedule</w:t>
            </w:r>
          </w:p>
        </w:tc>
      </w:tr>
      <w:tr w:rsidR="00174ED8" w:rsidRPr="00C41F2B" w:rsidTr="00C41F2B">
        <w:tc>
          <w:tcPr>
            <w:tcW w:w="5000" w:type="pct"/>
            <w:tcBorders>
              <w:top w:val="single" w:sz="4" w:space="0" w:color="auto"/>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Prescriber type:</w:t>
            </w:r>
            <w:r w:rsidRPr="00C41F2B">
              <w:rPr>
                <w:rFonts w:ascii="Arial Narrow" w:hAnsi="Arial Narrow"/>
                <w:sz w:val="20"/>
                <w:szCs w:val="20"/>
                <w:lang w:eastAsia="en-AU" w:bidi="en-US"/>
              </w:rPr>
              <w:t xml:space="preserve">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Dental  </w:t>
            </w:r>
            <w:r w:rsidRPr="00C41F2B">
              <w:rPr>
                <w:rFonts w:ascii="Arial Narrow" w:hAnsi="Arial Narrow"/>
                <w:sz w:val="20"/>
                <w:szCs w:val="20"/>
                <w:lang w:eastAsia="en-AU" w:bidi="en-US"/>
              </w:rPr>
              <w:fldChar w:fldCharType="begin">
                <w:ffData>
                  <w:name w:val="Check1"/>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Medical Practitioners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Nurse practitioners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Optometrists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Midwives</w:t>
            </w:r>
          </w:p>
        </w:tc>
      </w:tr>
      <w:tr w:rsidR="00174ED8" w:rsidRPr="00C41F2B" w:rsidTr="00C41F2B">
        <w:tc>
          <w:tcPr>
            <w:tcW w:w="5000" w:type="pct"/>
            <w:tcBorders>
              <w:top w:val="single" w:sz="4" w:space="0" w:color="auto"/>
              <w:left w:val="single" w:sz="4" w:space="0" w:color="auto"/>
              <w:bottom w:val="single" w:sz="4" w:space="0" w:color="auto"/>
              <w:right w:val="single" w:sz="4" w:space="0" w:color="auto"/>
            </w:tcBorders>
            <w:hideMark/>
          </w:tcPr>
          <w:p w:rsidR="00174ED8" w:rsidRPr="00C41F2B" w:rsidRDefault="00174ED8" w:rsidP="00C41F2B">
            <w:pPr>
              <w:rPr>
                <w:rFonts w:ascii="Arial Narrow" w:hAnsi="Arial Narrow" w:cs="Arial"/>
                <w:b/>
                <w:sz w:val="20"/>
                <w:szCs w:val="20"/>
                <w:lang w:eastAsia="en-AU"/>
              </w:rPr>
            </w:pPr>
            <w:r w:rsidRPr="00C41F2B">
              <w:rPr>
                <w:rFonts w:ascii="Arial Narrow" w:hAnsi="Arial Narrow" w:cs="Arial"/>
                <w:b/>
                <w:sz w:val="20"/>
                <w:szCs w:val="20"/>
                <w:lang w:eastAsia="en-AU"/>
              </w:rPr>
              <w:t>Restriction Level / Method:</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fldChar w:fldCharType="begin">
                <w:ffData>
                  <w:name w:val="Check1"/>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Authority Required – Telephone/Electronic</w:t>
            </w:r>
          </w:p>
        </w:tc>
      </w:tr>
      <w:tr w:rsidR="00174ED8" w:rsidRPr="00C41F2B" w:rsidTr="00C41F2B">
        <w:tc>
          <w:tcPr>
            <w:tcW w:w="5000" w:type="pct"/>
            <w:tcBorders>
              <w:top w:val="single" w:sz="4" w:space="0" w:color="auto"/>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Condition:</w:t>
            </w:r>
            <w:r w:rsidRPr="00C41F2B">
              <w:rPr>
                <w:rFonts w:ascii="Arial Narrow" w:hAnsi="Arial Narrow"/>
                <w:sz w:val="20"/>
                <w:szCs w:val="20"/>
                <w:lang w:eastAsia="en-AU" w:bidi="en-US"/>
              </w:rPr>
              <w:t xml:space="preserve"> High grade epithelial ovarian, fallopian tube or primary peritoneal cancer</w:t>
            </w:r>
          </w:p>
        </w:tc>
      </w:tr>
      <w:tr w:rsidR="00174ED8" w:rsidRPr="00C41F2B" w:rsidTr="00C41F2B">
        <w:tc>
          <w:tcPr>
            <w:tcW w:w="5000" w:type="pct"/>
            <w:tcBorders>
              <w:top w:val="single" w:sz="4" w:space="0" w:color="auto"/>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PBS Indication:</w:t>
            </w:r>
            <w:r w:rsidRPr="00C41F2B">
              <w:rPr>
                <w:rFonts w:ascii="Arial Narrow" w:hAnsi="Arial Narrow"/>
                <w:sz w:val="20"/>
                <w:szCs w:val="20"/>
                <w:lang w:eastAsia="en-AU" w:bidi="en-US"/>
              </w:rPr>
              <w:t xml:space="preserve"> High grade epithelial ovarian, fallopian tube or primary peritoneal cancer</w:t>
            </w:r>
          </w:p>
        </w:tc>
      </w:tr>
      <w:tr w:rsidR="00174ED8" w:rsidRPr="00C41F2B" w:rsidTr="00C41F2B">
        <w:tc>
          <w:tcPr>
            <w:tcW w:w="5000" w:type="pct"/>
            <w:tcBorders>
              <w:top w:val="single" w:sz="4" w:space="0" w:color="auto"/>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Treatment phase</w:t>
            </w:r>
            <w:r w:rsidRPr="00C41F2B">
              <w:rPr>
                <w:rFonts w:ascii="Arial Narrow" w:hAnsi="Arial Narrow"/>
                <w:sz w:val="20"/>
                <w:szCs w:val="20"/>
                <w:lang w:eastAsia="en-AU" w:bidi="en-US"/>
              </w:rPr>
              <w:t>: Initial treatment</w:t>
            </w:r>
          </w:p>
        </w:tc>
      </w:tr>
      <w:tr w:rsidR="00174ED8" w:rsidRPr="00C41F2B" w:rsidTr="00C41F2B">
        <w:tc>
          <w:tcPr>
            <w:tcW w:w="5000" w:type="pct"/>
            <w:tcBorders>
              <w:top w:val="single" w:sz="4" w:space="0" w:color="auto"/>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Clinical criteria:</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condition must be associated with a class 4 or 5 BRCA1 or BRCA2 gene mutation</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condition must be platinum sensitive</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have received at least two previous platinum-containing regimens,</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have relapsed following a previous platinum-containing regimen,</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be in partial or complete response to the immediately preceding platinum-based chemotherapy regimen</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the sole PBS-subsidised therapy for this condition</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maintenance therapy</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tcBorders>
              <w:top w:val="nil"/>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not have previously received PBS-subsidised treatment with this drug for this condition</w:t>
            </w:r>
          </w:p>
        </w:tc>
      </w:tr>
      <w:tr w:rsidR="00174ED8" w:rsidRPr="00C41F2B" w:rsidTr="00C41F2B">
        <w:tc>
          <w:tcPr>
            <w:tcW w:w="5000" w:type="pct"/>
            <w:tcBorders>
              <w:top w:val="single" w:sz="4" w:space="0" w:color="auto"/>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 xml:space="preserve">Prescriber Instructions: </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Platinum sensitivity is defined as disease progression greater than 6 months after completion of the penultimate platinum regimen</w:t>
            </w:r>
          </w:p>
        </w:tc>
      </w:tr>
      <w:tr w:rsidR="00174ED8" w:rsidRPr="00C41F2B" w:rsidTr="00C41F2B">
        <w:tc>
          <w:tcPr>
            <w:tcW w:w="5000" w:type="pct"/>
            <w:tcBorders>
              <w:top w:val="nil"/>
              <w:left w:val="single" w:sz="4" w:space="0" w:color="auto"/>
              <w:bottom w:val="nil"/>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 xml:space="preserve">A response (complete or partial) to the platinum-based chemotherapy regimen is to be assessed using either Gynaecologic Cancer </w:t>
            </w:r>
            <w:proofErr w:type="spellStart"/>
            <w:r w:rsidRPr="00C41F2B">
              <w:rPr>
                <w:rFonts w:ascii="Arial Narrow" w:hAnsi="Arial Narrow"/>
                <w:sz w:val="20"/>
                <w:szCs w:val="20"/>
                <w:lang w:eastAsia="en-AU" w:bidi="en-US"/>
              </w:rPr>
              <w:t>InterGroup</w:t>
            </w:r>
            <w:proofErr w:type="spellEnd"/>
            <w:r w:rsidRPr="00C41F2B">
              <w:rPr>
                <w:rFonts w:ascii="Arial Narrow" w:hAnsi="Arial Narrow"/>
                <w:sz w:val="20"/>
                <w:szCs w:val="20"/>
                <w:lang w:eastAsia="en-AU" w:bidi="en-US"/>
              </w:rPr>
              <w:t xml:space="preserve"> (GCIC) or Response Evaluation in Solid Tumours (RECIST) guidelines</w:t>
            </w:r>
          </w:p>
        </w:tc>
      </w:tr>
      <w:tr w:rsidR="00174ED8" w:rsidRPr="00C41F2B" w:rsidTr="00C41F2B">
        <w:tc>
          <w:tcPr>
            <w:tcW w:w="5000" w:type="pct"/>
            <w:tcBorders>
              <w:top w:val="nil"/>
              <w:left w:val="single" w:sz="4" w:space="0" w:color="auto"/>
              <w:bottom w:val="single" w:sz="4" w:space="0" w:color="auto"/>
              <w:right w:val="single" w:sz="4" w:space="0" w:color="auto"/>
            </w:tcBorders>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Evidence of a BRCA1 or BRCA2 gene mutation must be derived through germline or somatic testing</w:t>
            </w:r>
          </w:p>
        </w:tc>
      </w:tr>
      <w:tr w:rsidR="00174ED8" w:rsidRPr="00C41F2B" w:rsidTr="00C41F2B">
        <w:tc>
          <w:tcPr>
            <w:tcW w:w="5000" w:type="pct"/>
            <w:tcBorders>
              <w:top w:val="single" w:sz="4" w:space="0" w:color="auto"/>
              <w:left w:val="single" w:sz="4" w:space="0" w:color="auto"/>
              <w:bottom w:val="single" w:sz="4" w:space="0" w:color="auto"/>
              <w:right w:val="single" w:sz="4" w:space="0" w:color="auto"/>
            </w:tcBorders>
          </w:tcPr>
          <w:p w:rsidR="00174ED8" w:rsidRPr="00C41F2B" w:rsidRDefault="00174ED8" w:rsidP="00C41F2B">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 xml:space="preserve">Administrative Advice: </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Applications for authorisation under this restriction may be made in real time using the Online PBS Authorities system (see www.servicesaustralia.gov.au/HPOS) or by telephone by contacting Services Australia on 1800 888 333.</w:t>
            </w:r>
          </w:p>
          <w:p w:rsidR="00174ED8" w:rsidRPr="00C41F2B" w:rsidRDefault="00174ED8" w:rsidP="00C41F2B">
            <w:pPr>
              <w:spacing w:before="20" w:after="20"/>
              <w:jc w:val="left"/>
              <w:rPr>
                <w:rFonts w:ascii="Arial Narrow" w:hAnsi="Arial Narrow"/>
                <w:sz w:val="20"/>
                <w:szCs w:val="20"/>
                <w:lang w:eastAsia="en-AU" w:bidi="en-US"/>
              </w:rPr>
            </w:pPr>
          </w:p>
          <w:p w:rsidR="00174ED8" w:rsidRPr="00C41F2B" w:rsidRDefault="00174ED8" w:rsidP="00C41F2B">
            <w:pPr>
              <w:spacing w:before="20" w:after="20"/>
              <w:jc w:val="left"/>
              <w:rPr>
                <w:rFonts w:ascii="Arial Narrow" w:hAnsi="Arial Narrow"/>
                <w:i/>
                <w:sz w:val="20"/>
                <w:szCs w:val="20"/>
                <w:lang w:eastAsia="en-AU" w:bidi="en-US"/>
              </w:rPr>
            </w:pPr>
            <w:r w:rsidRPr="00C41F2B">
              <w:rPr>
                <w:rFonts w:ascii="Arial Narrow" w:hAnsi="Arial Narrow"/>
                <w:sz w:val="20"/>
                <w:szCs w:val="20"/>
                <w:lang w:eastAsia="en-AU" w:bidi="en-US"/>
              </w:rPr>
              <w:t>Special Pricing Arrangements apply</w:t>
            </w:r>
          </w:p>
        </w:tc>
      </w:tr>
    </w:tbl>
    <w:p w:rsidR="00361E69" w:rsidRDefault="00361E69" w:rsidP="00174ED8">
      <w:pPr>
        <w:widowControl w:val="0"/>
        <w:rPr>
          <w:rFonts w:ascii="Arial Narrow" w:hAnsi="Arial Narrow" w:cs="Arial"/>
          <w:bCs/>
          <w:i/>
          <w:snapToGrid w:val="0"/>
          <w:sz w:val="20"/>
          <w:szCs w:val="20"/>
        </w:rPr>
      </w:pPr>
    </w:p>
    <w:p w:rsidR="00174ED8" w:rsidRPr="00361E69" w:rsidRDefault="00174ED8" w:rsidP="00174ED8">
      <w:pPr>
        <w:widowControl w:val="0"/>
        <w:rPr>
          <w:rFonts w:ascii="Arial Narrow" w:hAnsi="Arial Narrow" w:cs="Arial"/>
          <w:b/>
          <w:bCs/>
          <w:i/>
          <w:snapToGrid w:val="0"/>
          <w:sz w:val="20"/>
          <w:szCs w:val="20"/>
        </w:rPr>
      </w:pPr>
      <w:r w:rsidRPr="00361E69">
        <w:rPr>
          <w:rFonts w:ascii="Arial Narrow" w:hAnsi="Arial Narrow" w:cs="Arial"/>
          <w:b/>
          <w:bCs/>
          <w:i/>
          <w:snapToGrid w:val="0"/>
          <w:sz w:val="20"/>
          <w:szCs w:val="20"/>
        </w:rPr>
        <w:t xml:space="preserve">Restriction Summary 8130 / </w:t>
      </w:r>
      <w:proofErr w:type="spellStart"/>
      <w:r w:rsidRPr="00361E69">
        <w:rPr>
          <w:rFonts w:ascii="Arial Narrow" w:hAnsi="Arial Narrow" w:cs="Arial"/>
          <w:b/>
          <w:bCs/>
          <w:i/>
          <w:snapToGrid w:val="0"/>
          <w:sz w:val="20"/>
          <w:szCs w:val="20"/>
        </w:rPr>
        <w:t>ToC</w:t>
      </w:r>
      <w:proofErr w:type="spellEnd"/>
      <w:r w:rsidRPr="00361E69">
        <w:rPr>
          <w:rFonts w:ascii="Arial Narrow" w:hAnsi="Arial Narrow" w:cs="Arial"/>
          <w:b/>
          <w:bCs/>
          <w:i/>
          <w:snapToGrid w:val="0"/>
          <w:sz w:val="20"/>
          <w:szCs w:val="20"/>
        </w:rPr>
        <w:t>: 8169: Authority Required: Streamlined</w:t>
      </w:r>
    </w:p>
    <w:tbl>
      <w:tblPr>
        <w:tblStyle w:val="TableGrid"/>
        <w:tblW w:w="5000" w:type="pct"/>
        <w:tblLook w:val="04A0" w:firstRow="1" w:lastRow="0" w:firstColumn="1" w:lastColumn="0" w:noHBand="0" w:noVBand="1"/>
      </w:tblPr>
      <w:tblGrid>
        <w:gridCol w:w="9017"/>
      </w:tblGrid>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Category / Program:</w:t>
            </w:r>
            <w:r w:rsidRPr="00C41F2B">
              <w:rPr>
                <w:rFonts w:ascii="Arial Narrow" w:hAnsi="Arial Narrow"/>
                <w:sz w:val="20"/>
                <w:szCs w:val="20"/>
                <w:lang w:eastAsia="en-AU" w:bidi="en-US"/>
              </w:rPr>
              <w:t xml:space="preserve"> Section 85 – General Schedule</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Prescriber type:</w:t>
            </w:r>
            <w:r w:rsidRPr="00C41F2B">
              <w:rPr>
                <w:rFonts w:ascii="Arial Narrow" w:hAnsi="Arial Narrow"/>
                <w:sz w:val="20"/>
                <w:szCs w:val="20"/>
                <w:lang w:eastAsia="en-AU" w:bidi="en-US"/>
              </w:rPr>
              <w:t xml:space="preserve">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Dental  </w:t>
            </w:r>
            <w:r w:rsidRPr="00C41F2B">
              <w:rPr>
                <w:rFonts w:ascii="Arial Narrow" w:hAnsi="Arial Narrow"/>
                <w:sz w:val="20"/>
                <w:szCs w:val="20"/>
                <w:lang w:eastAsia="en-AU" w:bidi="en-US"/>
              </w:rPr>
              <w:fldChar w:fldCharType="begin">
                <w:ffData>
                  <w:name w:val="Check1"/>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Medical Practitioners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Nurse practitioners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Optometrists </w:t>
            </w:r>
            <w:r w:rsidRPr="00C41F2B">
              <w:rPr>
                <w:rFonts w:ascii="Arial Narrow" w:hAnsi="Arial Narrow"/>
                <w:sz w:val="20"/>
                <w:szCs w:val="20"/>
                <w:lang w:eastAsia="en-AU" w:bidi="en-US"/>
              </w:rPr>
              <w:fldChar w:fldCharType="begin">
                <w:ffData>
                  <w:name w:val="Check1"/>
                  <w:enabled/>
                  <w:calcOnExit w:val="0"/>
                  <w:checkBox>
                    <w:sizeAuto/>
                    <w:default w:val="0"/>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Midwives</w:t>
            </w:r>
          </w:p>
        </w:tc>
      </w:tr>
      <w:tr w:rsidR="00174ED8" w:rsidRPr="00C41F2B" w:rsidTr="00C41F2B">
        <w:tc>
          <w:tcPr>
            <w:tcW w:w="5000" w:type="pct"/>
            <w:hideMark/>
          </w:tcPr>
          <w:p w:rsidR="00174ED8" w:rsidRPr="00C41F2B" w:rsidRDefault="00174ED8" w:rsidP="00C41F2B">
            <w:pPr>
              <w:rPr>
                <w:rFonts w:ascii="Arial Narrow" w:hAnsi="Arial Narrow" w:cs="Arial"/>
                <w:b/>
                <w:sz w:val="20"/>
                <w:szCs w:val="20"/>
                <w:lang w:eastAsia="en-AU"/>
              </w:rPr>
            </w:pPr>
            <w:r w:rsidRPr="00C41F2B">
              <w:rPr>
                <w:rFonts w:ascii="Arial Narrow" w:hAnsi="Arial Narrow" w:cs="Arial"/>
                <w:b/>
                <w:sz w:val="20"/>
                <w:szCs w:val="20"/>
                <w:lang w:eastAsia="en-AU"/>
              </w:rPr>
              <w:t>Restriction Level / Method:</w:t>
            </w:r>
          </w:p>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fldChar w:fldCharType="begin">
                <w:ffData>
                  <w:name w:val=""/>
                  <w:enabled/>
                  <w:calcOnExit w:val="0"/>
                  <w:checkBox>
                    <w:sizeAuto/>
                    <w:default w:val="1"/>
                  </w:checkBox>
                </w:ffData>
              </w:fldChar>
            </w:r>
            <w:r w:rsidRPr="00C41F2B">
              <w:rPr>
                <w:rFonts w:ascii="Arial Narrow" w:hAnsi="Arial Narrow"/>
                <w:sz w:val="20"/>
                <w:szCs w:val="20"/>
                <w:lang w:eastAsia="en-AU" w:bidi="en-US"/>
              </w:rPr>
              <w:instrText xml:space="preserve"> FORMCHECKBOX </w:instrText>
            </w:r>
            <w:r w:rsidR="00EE7B1B">
              <w:rPr>
                <w:rFonts w:ascii="Arial Narrow" w:hAnsi="Arial Narrow"/>
                <w:sz w:val="20"/>
                <w:szCs w:val="20"/>
                <w:lang w:eastAsia="en-AU" w:bidi="en-US"/>
              </w:rPr>
            </w:r>
            <w:r w:rsidR="00EE7B1B">
              <w:rPr>
                <w:rFonts w:ascii="Arial Narrow" w:hAnsi="Arial Narrow"/>
                <w:sz w:val="20"/>
                <w:szCs w:val="20"/>
                <w:lang w:eastAsia="en-AU" w:bidi="en-US"/>
              </w:rPr>
              <w:fldChar w:fldCharType="separate"/>
            </w:r>
            <w:r w:rsidRPr="00C41F2B">
              <w:rPr>
                <w:rFonts w:ascii="Arial Narrow" w:hAnsi="Arial Narrow"/>
                <w:sz w:val="20"/>
                <w:szCs w:val="20"/>
                <w:lang w:eastAsia="en-AU" w:bidi="en-US"/>
              </w:rPr>
              <w:fldChar w:fldCharType="end"/>
            </w:r>
            <w:r w:rsidRPr="00C41F2B">
              <w:rPr>
                <w:rFonts w:ascii="Arial Narrow" w:hAnsi="Arial Narrow"/>
                <w:sz w:val="20"/>
                <w:szCs w:val="20"/>
                <w:lang w:eastAsia="en-AU" w:bidi="en-US"/>
              </w:rPr>
              <w:t xml:space="preserve"> Streamlined</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Condition</w:t>
            </w:r>
            <w:r w:rsidRPr="00C41F2B">
              <w:rPr>
                <w:rFonts w:ascii="Arial Narrow" w:hAnsi="Arial Narrow"/>
                <w:sz w:val="20"/>
                <w:szCs w:val="20"/>
                <w:lang w:eastAsia="en-AU" w:bidi="en-US"/>
              </w:rPr>
              <w:t>: High grade epithelial ovarian, fallopian tube or primary peritoneal cancer</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PBS Indication:</w:t>
            </w:r>
            <w:r w:rsidRPr="00C41F2B">
              <w:rPr>
                <w:rFonts w:ascii="Arial Narrow" w:hAnsi="Arial Narrow"/>
                <w:sz w:val="20"/>
                <w:szCs w:val="20"/>
                <w:lang w:eastAsia="en-AU" w:bidi="en-US"/>
              </w:rPr>
              <w:t xml:space="preserve"> High grade epithelial ovarian, fallopian tube or primary peritoneal cancer</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i/>
                <w:sz w:val="20"/>
                <w:szCs w:val="20"/>
                <w:lang w:eastAsia="en-AU" w:bidi="en-US"/>
              </w:rPr>
            </w:pPr>
            <w:r w:rsidRPr="00C41F2B">
              <w:rPr>
                <w:rFonts w:ascii="Arial Narrow" w:hAnsi="Arial Narrow"/>
                <w:b/>
                <w:sz w:val="20"/>
                <w:szCs w:val="20"/>
                <w:lang w:eastAsia="en-AU" w:bidi="en-US"/>
              </w:rPr>
              <w:t>Treatment phase:</w:t>
            </w:r>
            <w:r w:rsidRPr="00C41F2B">
              <w:rPr>
                <w:rFonts w:ascii="Arial Narrow" w:hAnsi="Arial Narrow"/>
                <w:sz w:val="20"/>
                <w:szCs w:val="20"/>
                <w:lang w:eastAsia="en-AU" w:bidi="en-US"/>
              </w:rPr>
              <w:t xml:space="preserve"> Continuing treatment – </w:t>
            </w:r>
            <w:r w:rsidRPr="00C41F2B">
              <w:rPr>
                <w:rFonts w:ascii="Arial Narrow" w:hAnsi="Arial Narrow"/>
                <w:i/>
                <w:sz w:val="20"/>
                <w:szCs w:val="20"/>
                <w:lang w:eastAsia="en-AU" w:bidi="en-US"/>
              </w:rPr>
              <w:t>second line treatment</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b/>
                <w:sz w:val="20"/>
                <w:szCs w:val="20"/>
                <w:lang w:eastAsia="en-AU" w:bidi="en-US"/>
              </w:rPr>
            </w:pPr>
            <w:r w:rsidRPr="00C41F2B">
              <w:rPr>
                <w:rFonts w:ascii="Arial Narrow" w:hAnsi="Arial Narrow"/>
                <w:b/>
                <w:sz w:val="20"/>
                <w:szCs w:val="20"/>
                <w:lang w:eastAsia="en-AU" w:bidi="en-US"/>
              </w:rPr>
              <w:t>Clinical criteria:</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 xml:space="preserve">Patient must have previously received PBS-subsidised treatment with this drug </w:t>
            </w:r>
            <w:r w:rsidRPr="00C41F2B">
              <w:rPr>
                <w:rFonts w:ascii="Arial Narrow" w:hAnsi="Arial Narrow"/>
                <w:i/>
                <w:sz w:val="20"/>
                <w:szCs w:val="20"/>
                <w:lang w:eastAsia="en-AU" w:bidi="en-US"/>
              </w:rPr>
              <w:t>as a second line therapy</w:t>
            </w:r>
            <w:r w:rsidRPr="00C41F2B">
              <w:rPr>
                <w:rFonts w:ascii="Arial Narrow" w:hAnsi="Arial Narrow"/>
                <w:sz w:val="20"/>
                <w:szCs w:val="20"/>
                <w:lang w:eastAsia="en-AU" w:bidi="en-US"/>
              </w:rPr>
              <w:t xml:space="preserve"> for this condition</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have received at least two previous platinum-containing regimens</w:t>
            </w:r>
          </w:p>
        </w:tc>
      </w:tr>
      <w:tr w:rsidR="00174ED8" w:rsidRPr="00C41F2B" w:rsidTr="00C41F2B">
        <w:tc>
          <w:tcPr>
            <w:tcW w:w="5000" w:type="pct"/>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lastRenderedPageBreak/>
              <w:t>AND</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the sole PBS-subsidised therapy for this condition</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The treatment must be maintenance therapy</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AND</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sz w:val="20"/>
                <w:szCs w:val="20"/>
                <w:lang w:eastAsia="en-AU" w:bidi="en-US"/>
              </w:rPr>
              <w:t>Patient must not have developed disease progression while receiving treatment with this drug for this condition</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Prescriber Instructions</w:t>
            </w:r>
            <w:r w:rsidRPr="00C41F2B">
              <w:rPr>
                <w:rFonts w:ascii="Arial Narrow" w:hAnsi="Arial Narrow"/>
                <w:sz w:val="20"/>
                <w:szCs w:val="20"/>
                <w:lang w:eastAsia="en-AU" w:bidi="en-US"/>
              </w:rPr>
              <w:t xml:space="preserve">: A response (complete or partial) to the platinum-based chemotherapy regimen is to be assessed using either Gynaecologic Cancer </w:t>
            </w:r>
            <w:proofErr w:type="spellStart"/>
            <w:r w:rsidRPr="00C41F2B">
              <w:rPr>
                <w:rFonts w:ascii="Arial Narrow" w:hAnsi="Arial Narrow"/>
                <w:sz w:val="20"/>
                <w:szCs w:val="20"/>
                <w:lang w:eastAsia="en-AU" w:bidi="en-US"/>
              </w:rPr>
              <w:t>InterGroup</w:t>
            </w:r>
            <w:proofErr w:type="spellEnd"/>
            <w:r w:rsidRPr="00C41F2B">
              <w:rPr>
                <w:rFonts w:ascii="Arial Narrow" w:hAnsi="Arial Narrow"/>
                <w:sz w:val="20"/>
                <w:szCs w:val="20"/>
                <w:lang w:eastAsia="en-AU" w:bidi="en-US"/>
              </w:rPr>
              <w:t xml:space="preserve"> (GCIC) or Response Evaluation in Solid Tumours (RECIST) guidelines.</w:t>
            </w:r>
          </w:p>
        </w:tc>
      </w:tr>
      <w:tr w:rsidR="00174ED8" w:rsidRPr="00C41F2B" w:rsidTr="00C41F2B">
        <w:tc>
          <w:tcPr>
            <w:tcW w:w="5000" w:type="pct"/>
            <w:hideMark/>
          </w:tcPr>
          <w:p w:rsidR="00174ED8" w:rsidRPr="00C41F2B" w:rsidRDefault="00174ED8" w:rsidP="00C41F2B">
            <w:pPr>
              <w:spacing w:before="20" w:after="20"/>
              <w:jc w:val="left"/>
              <w:rPr>
                <w:rFonts w:ascii="Arial Narrow" w:hAnsi="Arial Narrow"/>
                <w:sz w:val="20"/>
                <w:szCs w:val="20"/>
                <w:lang w:eastAsia="en-AU" w:bidi="en-US"/>
              </w:rPr>
            </w:pPr>
            <w:r w:rsidRPr="00C41F2B">
              <w:rPr>
                <w:rFonts w:ascii="Arial Narrow" w:hAnsi="Arial Narrow"/>
                <w:b/>
                <w:sz w:val="20"/>
                <w:szCs w:val="20"/>
                <w:lang w:eastAsia="en-AU" w:bidi="en-US"/>
              </w:rPr>
              <w:t>Administrative Advice:</w:t>
            </w:r>
            <w:r w:rsidRPr="00C41F2B">
              <w:rPr>
                <w:rFonts w:ascii="Arial Narrow" w:hAnsi="Arial Narrow"/>
                <w:sz w:val="20"/>
                <w:szCs w:val="20"/>
                <w:lang w:eastAsia="en-AU" w:bidi="en-US"/>
              </w:rPr>
              <w:t xml:space="preserve"> Special Pricing Arrangements apply</w:t>
            </w:r>
          </w:p>
        </w:tc>
      </w:tr>
    </w:tbl>
    <w:p w:rsidR="00C838BA" w:rsidRDefault="00C838BA" w:rsidP="00C838BA">
      <w:pPr>
        <w:pStyle w:val="NoSpacing"/>
      </w:pPr>
    </w:p>
    <w:p w:rsidR="00C838BA" w:rsidRDefault="00C838BA" w:rsidP="00C838BA">
      <w:pPr>
        <w:pStyle w:val="ListParagraph"/>
        <w:numPr>
          <w:ilvl w:val="0"/>
          <w:numId w:val="0"/>
        </w:numPr>
        <w:rPr>
          <w:rFonts w:cstheme="minorHAnsi"/>
          <w:b/>
          <w:i/>
        </w:rPr>
      </w:pPr>
      <w:r w:rsidRPr="00C838BA">
        <w:rPr>
          <w:rFonts w:cstheme="minorHAnsi"/>
          <w:b/>
          <w:i/>
        </w:rPr>
        <w:t>This restriction may be subject to further review. Should there be any changes made to the restriction the Sponsor will be informed.</w:t>
      </w:r>
      <w:bookmarkEnd w:id="52"/>
      <w:bookmarkEnd w:id="53"/>
    </w:p>
    <w:p w:rsidR="009B3EC1" w:rsidRDefault="009B3EC1" w:rsidP="009B3EC1">
      <w:pPr>
        <w:pStyle w:val="2-SectionHeading"/>
        <w:rPr>
          <w:color w:val="1F497D"/>
        </w:rPr>
      </w:pPr>
      <w:r w:rsidRPr="00C07617">
        <w:t>Context for Decision</w:t>
      </w:r>
    </w:p>
    <w:p w:rsidR="009B3EC1" w:rsidRPr="007129F2" w:rsidRDefault="009B3EC1" w:rsidP="009B3EC1">
      <w:pPr>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B3EC1" w:rsidRPr="00C07617" w:rsidRDefault="009B3EC1" w:rsidP="009B3EC1">
      <w:pPr>
        <w:pStyle w:val="2-SectionHeading"/>
        <w:rPr>
          <w:b w:val="0"/>
        </w:rPr>
      </w:pPr>
      <w:r>
        <w:t>Sponsor’s Comment</w:t>
      </w:r>
    </w:p>
    <w:p w:rsidR="009B3EC1" w:rsidRPr="009B3EC1" w:rsidRDefault="009B3EC1" w:rsidP="001524BD">
      <w:pPr>
        <w:pStyle w:val="ListBullet"/>
        <w:numPr>
          <w:ilvl w:val="0"/>
          <w:numId w:val="0"/>
        </w:numPr>
        <w:rPr>
          <w:lang w:eastAsia="en-AU"/>
        </w:rPr>
      </w:pPr>
      <w:r w:rsidRPr="00C07617">
        <w:rPr>
          <w:rFonts w:cs="Arial"/>
          <w:bCs/>
        </w:rPr>
        <w:t>The sponsor had no comment.</w:t>
      </w:r>
    </w:p>
    <w:sectPr w:rsidR="009B3EC1" w:rsidRPr="009B3EC1" w:rsidSect="00332BA0">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21" w:rsidRDefault="007B6621" w:rsidP="00124A51">
      <w:r>
        <w:separator/>
      </w:r>
    </w:p>
    <w:p w:rsidR="007B6621" w:rsidRDefault="007B6621"/>
  </w:endnote>
  <w:endnote w:type="continuationSeparator" w:id="0">
    <w:p w:rsidR="007B6621" w:rsidRDefault="007B6621" w:rsidP="00124A51">
      <w:r>
        <w:continuationSeparator/>
      </w:r>
    </w:p>
    <w:p w:rsidR="007B6621" w:rsidRDefault="007B6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621" w:rsidRDefault="007B6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621" w:rsidRDefault="007B6621" w:rsidP="00114EC3">
    <w:pPr>
      <w:pStyle w:val="Footer"/>
      <w:jc w:val="center"/>
      <w:rPr>
        <w:rFonts w:ascii="Calibri" w:hAnsi="Calibri" w:cs="Arial"/>
        <w:b/>
      </w:rPr>
    </w:pPr>
  </w:p>
  <w:p w:rsidR="007B6621" w:rsidRDefault="007B6621" w:rsidP="00114EC3">
    <w:pPr>
      <w:pStyle w:val="Footer"/>
      <w:jc w:val="cente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sidR="00EE7B1B">
      <w:rPr>
        <w:rFonts w:ascii="Calibri" w:hAnsi="Calibri" w:cs="Arial"/>
        <w:b/>
        <w:noProof/>
      </w:rPr>
      <w:t>20</w:t>
    </w:r>
    <w:r w:rsidRPr="00836F75">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621" w:rsidRDefault="007B6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21" w:rsidRDefault="007B6621" w:rsidP="00124A51">
      <w:r>
        <w:separator/>
      </w:r>
    </w:p>
    <w:p w:rsidR="007B6621" w:rsidRDefault="007B6621"/>
  </w:footnote>
  <w:footnote w:type="continuationSeparator" w:id="0">
    <w:p w:rsidR="007B6621" w:rsidRDefault="007B6621" w:rsidP="00124A51">
      <w:r>
        <w:continuationSeparator/>
      </w:r>
    </w:p>
    <w:p w:rsidR="007B6621" w:rsidRDefault="007B6621"/>
  </w:footnote>
  <w:footnote w:id="1">
    <w:p w:rsidR="007B6621" w:rsidRDefault="007B6621">
      <w:pPr>
        <w:pStyle w:val="FootnoteText"/>
      </w:pPr>
      <w:r>
        <w:rPr>
          <w:rStyle w:val="FootnoteReference"/>
        </w:rPr>
        <w:footnoteRef/>
      </w:r>
      <w:r>
        <w:t xml:space="preserve"> </w:t>
      </w:r>
      <w:proofErr w:type="spellStart"/>
      <w:r w:rsidRPr="00E561E8">
        <w:rPr>
          <w:sz w:val="16"/>
          <w:szCs w:val="16"/>
          <w:lang w:eastAsia="en-GB"/>
        </w:rPr>
        <w:t>Cherny</w:t>
      </w:r>
      <w:proofErr w:type="spellEnd"/>
      <w:r w:rsidRPr="00E561E8">
        <w:rPr>
          <w:sz w:val="16"/>
          <w:szCs w:val="16"/>
          <w:lang w:eastAsia="en-GB"/>
        </w:rPr>
        <w:t xml:space="preserve"> NI, Dafni U, </w:t>
      </w:r>
      <w:proofErr w:type="spellStart"/>
      <w:r w:rsidRPr="00E561E8">
        <w:rPr>
          <w:sz w:val="16"/>
          <w:szCs w:val="16"/>
          <w:lang w:eastAsia="en-GB"/>
        </w:rPr>
        <w:t>Bogaerts</w:t>
      </w:r>
      <w:proofErr w:type="spellEnd"/>
      <w:r w:rsidRPr="00E561E8">
        <w:rPr>
          <w:sz w:val="16"/>
          <w:szCs w:val="16"/>
          <w:lang w:eastAsia="en-GB"/>
        </w:rPr>
        <w:t xml:space="preserve"> J, et al: ESMO-Magnitude of Clinical Benefit Scale version 1.1. Annals of Oncology 28:2340-2366, 2017</w:t>
      </w:r>
    </w:p>
  </w:footnote>
  <w:footnote w:id="2">
    <w:p w:rsidR="007B6621" w:rsidRDefault="007B6621" w:rsidP="00E66BA3">
      <w:pPr>
        <w:pStyle w:val="FootnoteText"/>
      </w:pPr>
      <w:r>
        <w:rPr>
          <w:rStyle w:val="FootnoteReference"/>
        </w:rPr>
        <w:footnoteRef/>
      </w:r>
      <w:r>
        <w:t xml:space="preserve"> </w:t>
      </w:r>
      <w:r w:rsidRPr="007B0AFD">
        <w:t xml:space="preserve">Herzog TJ, Armstrong DK, Brady MF, Coleman RL, Einstein MH, Monk BJ, et al. Ovarian cancer clinical trial endpoints: Society of </w:t>
      </w:r>
      <w:proofErr w:type="spellStart"/>
      <w:r w:rsidRPr="007B0AFD">
        <w:t>Gynecologic</w:t>
      </w:r>
      <w:proofErr w:type="spellEnd"/>
      <w:r w:rsidRPr="007B0AFD">
        <w:t xml:space="preserve"> Oncology white paper. </w:t>
      </w:r>
      <w:proofErr w:type="spellStart"/>
      <w:r w:rsidRPr="007B0AFD">
        <w:t>Gynecologic</w:t>
      </w:r>
      <w:proofErr w:type="spellEnd"/>
      <w:r w:rsidRPr="007B0AFD">
        <w:t xml:space="preserve"> oncology. 2014</w:t>
      </w:r>
      <w:proofErr w:type="gramStart"/>
      <w:r w:rsidRPr="007B0AFD">
        <w:t>;132</w:t>
      </w:r>
      <w:proofErr w:type="gramEnd"/>
      <w:r w:rsidRPr="007B0AFD">
        <w:t>(1):8-17.</w:t>
      </w:r>
    </w:p>
  </w:footnote>
  <w:footnote w:id="3">
    <w:p w:rsidR="007B6621" w:rsidRDefault="007B6621">
      <w:pPr>
        <w:pStyle w:val="FootnoteText"/>
      </w:pPr>
      <w:r>
        <w:rPr>
          <w:rStyle w:val="FootnoteReference"/>
        </w:rPr>
        <w:footnoteRef/>
      </w:r>
      <w:r>
        <w:t xml:space="preserve"> </w:t>
      </w:r>
      <w:proofErr w:type="spellStart"/>
      <w:r>
        <w:t>Poveda</w:t>
      </w:r>
      <w:proofErr w:type="spellEnd"/>
      <w:r>
        <w:t xml:space="preserve">, A. 2020. </w:t>
      </w:r>
      <w:r w:rsidRPr="00357AE0">
        <w:t>Final overall survival (OS) results from SOLO2/ENGOT-ov21: A phase III trial assessing maintenance olaparib in patients (pts) with platinum-sensitive, relapsed ovarian cancer and a BRCA mutation.</w:t>
      </w:r>
      <w:r>
        <w:t xml:space="preserve"> 2020 ASCO Virtual Scientific Program. </w:t>
      </w:r>
    </w:p>
  </w:footnote>
  <w:footnote w:id="4">
    <w:p w:rsidR="007B6621" w:rsidRPr="00464762" w:rsidRDefault="007B6621" w:rsidP="00464762">
      <w:pPr>
        <w:autoSpaceDE w:val="0"/>
        <w:autoSpaceDN w:val="0"/>
        <w:adjustRightInd w:val="0"/>
        <w:jc w:val="left"/>
        <w:rPr>
          <w:rFonts w:ascii="Calibri" w:hAnsi="Calibri" w:cs="Calibri"/>
        </w:rPr>
      </w:pPr>
      <w:r w:rsidRPr="00464762">
        <w:rPr>
          <w:rStyle w:val="FootnoteReference"/>
          <w:sz w:val="20"/>
          <w:szCs w:val="20"/>
        </w:rPr>
        <w:footnoteRef/>
      </w:r>
      <w:r w:rsidRPr="00464762">
        <w:rPr>
          <w:sz w:val="20"/>
          <w:szCs w:val="20"/>
        </w:rPr>
        <w:t xml:space="preserve"> </w:t>
      </w:r>
      <w:r w:rsidRPr="00464762">
        <w:rPr>
          <w:rFonts w:ascii="Calibri" w:hAnsi="Calibri" w:cs="Calibri"/>
          <w:sz w:val="20"/>
          <w:szCs w:val="20"/>
          <w:lang w:eastAsia="en-AU"/>
        </w:rPr>
        <w:t xml:space="preserve">Australian Institute of Health and Welfare &amp; National Breast and Ovarian Cancer Centre 2010. Ovarian cancer in Australia: an overview, 2010. Cancer series no. 52. Cat. </w:t>
      </w:r>
      <w:proofErr w:type="gramStart"/>
      <w:r w:rsidRPr="00464762">
        <w:rPr>
          <w:rFonts w:ascii="Calibri" w:hAnsi="Calibri" w:cs="Calibri"/>
          <w:sz w:val="20"/>
          <w:szCs w:val="20"/>
          <w:lang w:eastAsia="en-AU"/>
        </w:rPr>
        <w:t>no</w:t>
      </w:r>
      <w:proofErr w:type="gramEnd"/>
      <w:r w:rsidRPr="00464762">
        <w:rPr>
          <w:rFonts w:ascii="Calibri" w:hAnsi="Calibri" w:cs="Calibri"/>
          <w:sz w:val="20"/>
          <w:szCs w:val="20"/>
          <w:lang w:eastAsia="en-AU"/>
        </w:rPr>
        <w:t>. CAN 48. Canberra: AIHW.</w:t>
      </w:r>
    </w:p>
  </w:footnote>
  <w:footnote w:id="5">
    <w:p w:rsidR="007B6621" w:rsidRPr="00B36CC7" w:rsidRDefault="007B6621" w:rsidP="00AF11B2">
      <w:pPr>
        <w:pStyle w:val="FootnoteText"/>
      </w:pPr>
      <w:r w:rsidRPr="00B36CC7">
        <w:rPr>
          <w:rStyle w:val="FootnoteReference"/>
        </w:rPr>
        <w:footnoteRef/>
      </w:r>
      <w:r w:rsidRPr="00B36CC7">
        <w:t xml:space="preserve"> </w:t>
      </w:r>
      <w:proofErr w:type="spellStart"/>
      <w:r w:rsidRPr="00B36CC7">
        <w:t>Poveda</w:t>
      </w:r>
      <w:proofErr w:type="spellEnd"/>
      <w:r w:rsidRPr="00B36CC7">
        <w:t xml:space="preserve">, A. et al 2020 suppl.6002 </w:t>
      </w:r>
      <w:r w:rsidRPr="00B36CC7">
        <w:rPr>
          <w:i/>
          <w:iCs/>
        </w:rPr>
        <w:t>Journal of Clinical Oncology</w:t>
      </w:r>
      <w:r w:rsidRPr="00B36CC7">
        <w:t xml:space="preserve"> 38, no. 15_suppl (May 20, 2020) 6002-6002. DOI: 10.1200/JCO.2020.38.15_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621" w:rsidRDefault="007B6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621" w:rsidRPr="007C13CC" w:rsidRDefault="007B6621" w:rsidP="00114EC3">
    <w:pPr>
      <w:pStyle w:val="Header"/>
      <w:rPr>
        <w:rFonts w:cstheme="minorHAnsi"/>
        <w:i/>
        <w:color w:val="808080"/>
      </w:rPr>
    </w:pPr>
    <w:r>
      <w:rPr>
        <w:rFonts w:cstheme="minorHAnsi"/>
        <w:i/>
        <w:color w:val="808080"/>
      </w:rPr>
      <w:t>Public Summary Document</w:t>
    </w:r>
    <w:r w:rsidRPr="007C13CC">
      <w:rPr>
        <w:rFonts w:cstheme="minorHAnsi"/>
        <w:i/>
        <w:color w:val="808080"/>
      </w:rPr>
      <w:t xml:space="preserve"> – </w:t>
    </w:r>
    <w:r>
      <w:rPr>
        <w:rFonts w:cstheme="minorHAnsi"/>
        <w:i/>
        <w:color w:val="808080"/>
      </w:rPr>
      <w:t>July 2020</w:t>
    </w:r>
    <w:r w:rsidRPr="007C13CC">
      <w:rPr>
        <w:rFonts w:cstheme="minorHAnsi"/>
        <w:i/>
        <w:color w:val="808080"/>
      </w:rPr>
      <w:t xml:space="preserve"> PBAC Meeting</w:t>
    </w:r>
  </w:p>
  <w:p w:rsidR="007B6621" w:rsidRPr="00C838BA" w:rsidRDefault="007B6621" w:rsidP="00114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621" w:rsidRDefault="007B6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ED8B5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00914"/>
    <w:multiLevelType w:val="hybridMultilevel"/>
    <w:tmpl w:val="C932F80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6C5B65"/>
    <w:multiLevelType w:val="hybridMultilevel"/>
    <w:tmpl w:val="E4FAD58A"/>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7530455"/>
    <w:multiLevelType w:val="hybridMultilevel"/>
    <w:tmpl w:val="A4F274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9231A12"/>
    <w:multiLevelType w:val="hybridMultilevel"/>
    <w:tmpl w:val="B420E5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3C725714"/>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075F3F"/>
    <w:multiLevelType w:val="hybridMultilevel"/>
    <w:tmpl w:val="1194B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740831"/>
    <w:multiLevelType w:val="hybridMultilevel"/>
    <w:tmpl w:val="A6B03D42"/>
    <w:lvl w:ilvl="0" w:tplc="3CE2FFFA">
      <w:start w:val="30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684E12"/>
    <w:multiLevelType w:val="hybridMultilevel"/>
    <w:tmpl w:val="8E9A127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6" w15:restartNumberingAfterBreak="0">
    <w:nsid w:val="44442297"/>
    <w:multiLevelType w:val="hybridMultilevel"/>
    <w:tmpl w:val="95DA5CF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E73C0"/>
    <w:multiLevelType w:val="hybridMultilevel"/>
    <w:tmpl w:val="5C7C9A7E"/>
    <w:lvl w:ilvl="0" w:tplc="0C090001">
      <w:start w:val="1"/>
      <w:numFmt w:val="bullet"/>
      <w:lvlText w:val=""/>
      <w:lvlJc w:val="left"/>
      <w:pPr>
        <w:ind w:left="720" w:hanging="360"/>
      </w:pPr>
      <w:rPr>
        <w:rFonts w:ascii="Symbol" w:hAnsi="Symbol" w:hint="default"/>
      </w:rPr>
    </w:lvl>
    <w:lvl w:ilvl="1" w:tplc="0C090003" w:tentative="1">
      <w:start w:val="1"/>
      <w:numFmt w:val="bullet"/>
      <w:pStyle w:val="Numberedlevel2tex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EA1C59"/>
    <w:multiLevelType w:val="hybridMultilevel"/>
    <w:tmpl w:val="043E2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AA7471"/>
    <w:multiLevelType w:val="hybridMultilevel"/>
    <w:tmpl w:val="A6F6D3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9B51C1"/>
    <w:multiLevelType w:val="hybridMultilevel"/>
    <w:tmpl w:val="53429B34"/>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73D74A4E"/>
    <w:multiLevelType w:val="hybridMultilevel"/>
    <w:tmpl w:val="826A9468"/>
    <w:lvl w:ilvl="0" w:tplc="ADAC4910">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A0A0948A"/>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7"/>
  </w:num>
  <w:num w:numId="4">
    <w:abstractNumId w:val="0"/>
  </w:num>
  <w:num w:numId="5">
    <w:abstractNumId w:val="27"/>
  </w:num>
  <w:num w:numId="6">
    <w:abstractNumId w:val="28"/>
  </w:num>
  <w:num w:numId="7">
    <w:abstractNumId w:val="22"/>
  </w:num>
  <w:num w:numId="8">
    <w:abstractNumId w:val="3"/>
  </w:num>
  <w:num w:numId="9">
    <w:abstractNumId w:val="25"/>
  </w:num>
  <w:num w:numId="10">
    <w:abstractNumId w:val="18"/>
  </w:num>
  <w:num w:numId="11">
    <w:abstractNumId w:val="5"/>
  </w:num>
  <w:num w:numId="12">
    <w:abstractNumId w:val="4"/>
  </w:num>
  <w:num w:numId="13">
    <w:abstractNumId w:val="15"/>
  </w:num>
  <w:num w:numId="14">
    <w:abstractNumId w:val="14"/>
  </w:num>
  <w:num w:numId="15">
    <w:abstractNumId w:val="23"/>
  </w:num>
  <w:num w:numId="16">
    <w:abstractNumId w:val="12"/>
  </w:num>
  <w:num w:numId="17">
    <w:abstractNumId w:val="10"/>
  </w:num>
  <w:num w:numId="18">
    <w:abstractNumId w:val="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9"/>
  </w:num>
  <w:num w:numId="22">
    <w:abstractNumId w:val="21"/>
  </w:num>
  <w:num w:numId="23">
    <w:abstractNumId w:val="2"/>
  </w:num>
  <w:num w:numId="24">
    <w:abstractNumId w:val="1"/>
  </w:num>
  <w:num w:numId="25">
    <w:abstractNumId w:val="11"/>
  </w:num>
  <w:num w:numId="26">
    <w:abstractNumId w:val="13"/>
  </w:num>
  <w:num w:numId="27">
    <w:abstractNumId w:val="9"/>
  </w:num>
  <w:num w:numId="28">
    <w:abstractNumId w:val="27"/>
  </w:num>
  <w:num w:numId="29">
    <w:abstractNumId w:val="27"/>
  </w:num>
  <w:num w:numId="30">
    <w:abstractNumId w:val="24"/>
  </w:num>
  <w:num w:numId="31">
    <w:abstractNumId w:val="26"/>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0"/>
  </w:num>
  <w:num w:numId="36">
    <w:abstractNumId w:val="27"/>
  </w:num>
  <w:num w:numId="37">
    <w:abstractNumId w:val="6"/>
  </w:num>
  <w:num w:numId="38">
    <w:abstractNumId w:val="7"/>
  </w:num>
  <w:num w:numId="39">
    <w:abstractNumId w:val="0"/>
  </w:num>
  <w:num w:numId="40">
    <w:abstractNumId w:val="27"/>
  </w:num>
  <w:num w:numId="41">
    <w:abstractNumId w:val="27"/>
  </w:num>
  <w:num w:numId="42">
    <w:abstractNumId w:val="27"/>
  </w:num>
  <w:num w:numId="4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p2p0tzove0rkesasxpva5hx5sazzdfx5tz&quot;&gt;Olaparib Resubmission&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8&lt;/item&gt;&lt;item&gt;19&lt;/item&gt;&lt;item&gt;21&lt;/item&gt;&lt;item&gt;22&lt;/item&gt;&lt;item&gt;23&lt;/item&gt;&lt;/record-ids&gt;&lt;/item&gt;&lt;item db-id=&quot;fzad9d2tlartz4erx595aaxhaftsww2ffxpt&quot;&gt;Olaparib_2019&lt;record-ids&gt;&lt;item&gt;121&lt;/item&gt;&lt;/record-ids&gt;&lt;/item&gt;&lt;/Libraries&gt;"/>
  </w:docVars>
  <w:rsids>
    <w:rsidRoot w:val="00E65E79"/>
    <w:rsid w:val="00000790"/>
    <w:rsid w:val="00000900"/>
    <w:rsid w:val="00000AEE"/>
    <w:rsid w:val="0000110B"/>
    <w:rsid w:val="00002B8F"/>
    <w:rsid w:val="00003499"/>
    <w:rsid w:val="000039B7"/>
    <w:rsid w:val="00004A5C"/>
    <w:rsid w:val="00004F4D"/>
    <w:rsid w:val="00005BAA"/>
    <w:rsid w:val="0000639A"/>
    <w:rsid w:val="000068E7"/>
    <w:rsid w:val="000108E5"/>
    <w:rsid w:val="00010A35"/>
    <w:rsid w:val="000129C6"/>
    <w:rsid w:val="00013247"/>
    <w:rsid w:val="00014363"/>
    <w:rsid w:val="00014645"/>
    <w:rsid w:val="000151B4"/>
    <w:rsid w:val="00015886"/>
    <w:rsid w:val="000162EF"/>
    <w:rsid w:val="00016622"/>
    <w:rsid w:val="0001771F"/>
    <w:rsid w:val="00020518"/>
    <w:rsid w:val="000207C9"/>
    <w:rsid w:val="0002098D"/>
    <w:rsid w:val="00020DA9"/>
    <w:rsid w:val="00021045"/>
    <w:rsid w:val="00021709"/>
    <w:rsid w:val="0002170B"/>
    <w:rsid w:val="00021916"/>
    <w:rsid w:val="00021DCF"/>
    <w:rsid w:val="0002220E"/>
    <w:rsid w:val="0002225F"/>
    <w:rsid w:val="00022E51"/>
    <w:rsid w:val="00023763"/>
    <w:rsid w:val="000240A4"/>
    <w:rsid w:val="0002435B"/>
    <w:rsid w:val="00024AD0"/>
    <w:rsid w:val="00024E8C"/>
    <w:rsid w:val="000257C7"/>
    <w:rsid w:val="000272E0"/>
    <w:rsid w:val="000274B8"/>
    <w:rsid w:val="0003125E"/>
    <w:rsid w:val="00033289"/>
    <w:rsid w:val="00033863"/>
    <w:rsid w:val="00034BCD"/>
    <w:rsid w:val="00035CCD"/>
    <w:rsid w:val="00035DC0"/>
    <w:rsid w:val="0003644D"/>
    <w:rsid w:val="00036829"/>
    <w:rsid w:val="00040895"/>
    <w:rsid w:val="00042206"/>
    <w:rsid w:val="000435EE"/>
    <w:rsid w:val="00043C37"/>
    <w:rsid w:val="000443C8"/>
    <w:rsid w:val="00045017"/>
    <w:rsid w:val="0004501D"/>
    <w:rsid w:val="00045A2B"/>
    <w:rsid w:val="00045ABF"/>
    <w:rsid w:val="000460AE"/>
    <w:rsid w:val="0004698F"/>
    <w:rsid w:val="00046F19"/>
    <w:rsid w:val="000472A5"/>
    <w:rsid w:val="00047FB4"/>
    <w:rsid w:val="000539D0"/>
    <w:rsid w:val="00054621"/>
    <w:rsid w:val="000546D7"/>
    <w:rsid w:val="00054871"/>
    <w:rsid w:val="00054B67"/>
    <w:rsid w:val="00054C33"/>
    <w:rsid w:val="00055193"/>
    <w:rsid w:val="00056485"/>
    <w:rsid w:val="000564E2"/>
    <w:rsid w:val="00056ECF"/>
    <w:rsid w:val="00057605"/>
    <w:rsid w:val="000577C4"/>
    <w:rsid w:val="000579A4"/>
    <w:rsid w:val="000604DF"/>
    <w:rsid w:val="00061AF9"/>
    <w:rsid w:val="00062165"/>
    <w:rsid w:val="0006304A"/>
    <w:rsid w:val="000653B5"/>
    <w:rsid w:val="00066289"/>
    <w:rsid w:val="00066360"/>
    <w:rsid w:val="00066578"/>
    <w:rsid w:val="00066AF8"/>
    <w:rsid w:val="00067FCB"/>
    <w:rsid w:val="000700C6"/>
    <w:rsid w:val="0007027C"/>
    <w:rsid w:val="0007038F"/>
    <w:rsid w:val="0007068F"/>
    <w:rsid w:val="00071248"/>
    <w:rsid w:val="000720B9"/>
    <w:rsid w:val="000737F7"/>
    <w:rsid w:val="00075C25"/>
    <w:rsid w:val="0007672F"/>
    <w:rsid w:val="00076B54"/>
    <w:rsid w:val="00076F7A"/>
    <w:rsid w:val="000774F0"/>
    <w:rsid w:val="00080909"/>
    <w:rsid w:val="000812CA"/>
    <w:rsid w:val="00081D48"/>
    <w:rsid w:val="00081E63"/>
    <w:rsid w:val="000820E4"/>
    <w:rsid w:val="0008258D"/>
    <w:rsid w:val="00082C42"/>
    <w:rsid w:val="000837FC"/>
    <w:rsid w:val="00083E99"/>
    <w:rsid w:val="00084307"/>
    <w:rsid w:val="00084C84"/>
    <w:rsid w:val="00084D50"/>
    <w:rsid w:val="00084FA8"/>
    <w:rsid w:val="00084FF1"/>
    <w:rsid w:val="000856C5"/>
    <w:rsid w:val="00085C31"/>
    <w:rsid w:val="00086727"/>
    <w:rsid w:val="00087279"/>
    <w:rsid w:val="00090175"/>
    <w:rsid w:val="000902D9"/>
    <w:rsid w:val="00090C7E"/>
    <w:rsid w:val="00090CD2"/>
    <w:rsid w:val="00092600"/>
    <w:rsid w:val="0009262B"/>
    <w:rsid w:val="0009302A"/>
    <w:rsid w:val="00093310"/>
    <w:rsid w:val="0009445C"/>
    <w:rsid w:val="00095200"/>
    <w:rsid w:val="00095FE5"/>
    <w:rsid w:val="00096284"/>
    <w:rsid w:val="000A1BC0"/>
    <w:rsid w:val="000A27EB"/>
    <w:rsid w:val="000A32AD"/>
    <w:rsid w:val="000A33B1"/>
    <w:rsid w:val="000A34C6"/>
    <w:rsid w:val="000A6039"/>
    <w:rsid w:val="000A7358"/>
    <w:rsid w:val="000A7453"/>
    <w:rsid w:val="000A78DD"/>
    <w:rsid w:val="000A7D08"/>
    <w:rsid w:val="000A7DBC"/>
    <w:rsid w:val="000B0121"/>
    <w:rsid w:val="000B0670"/>
    <w:rsid w:val="000B0E75"/>
    <w:rsid w:val="000B25F1"/>
    <w:rsid w:val="000B2DCB"/>
    <w:rsid w:val="000B4111"/>
    <w:rsid w:val="000B430C"/>
    <w:rsid w:val="000B4C08"/>
    <w:rsid w:val="000B5CE0"/>
    <w:rsid w:val="000B6CAC"/>
    <w:rsid w:val="000B75CC"/>
    <w:rsid w:val="000B7612"/>
    <w:rsid w:val="000B78AE"/>
    <w:rsid w:val="000C1587"/>
    <w:rsid w:val="000C2878"/>
    <w:rsid w:val="000C3527"/>
    <w:rsid w:val="000C3DF9"/>
    <w:rsid w:val="000C4A04"/>
    <w:rsid w:val="000C5E52"/>
    <w:rsid w:val="000C6713"/>
    <w:rsid w:val="000C6AF6"/>
    <w:rsid w:val="000D06E2"/>
    <w:rsid w:val="000D1847"/>
    <w:rsid w:val="000D1A5E"/>
    <w:rsid w:val="000D1BFC"/>
    <w:rsid w:val="000D1D5D"/>
    <w:rsid w:val="000D281A"/>
    <w:rsid w:val="000D2848"/>
    <w:rsid w:val="000D2DAD"/>
    <w:rsid w:val="000D326A"/>
    <w:rsid w:val="000D345C"/>
    <w:rsid w:val="000D4BF0"/>
    <w:rsid w:val="000D51FB"/>
    <w:rsid w:val="000D5C8A"/>
    <w:rsid w:val="000E0640"/>
    <w:rsid w:val="000E101D"/>
    <w:rsid w:val="000E135D"/>
    <w:rsid w:val="000E2F30"/>
    <w:rsid w:val="000E3D4A"/>
    <w:rsid w:val="000E4C3F"/>
    <w:rsid w:val="000E4F4F"/>
    <w:rsid w:val="000E5225"/>
    <w:rsid w:val="000E5442"/>
    <w:rsid w:val="000E54A3"/>
    <w:rsid w:val="000E583A"/>
    <w:rsid w:val="000E60A0"/>
    <w:rsid w:val="000E67D3"/>
    <w:rsid w:val="000E6B3E"/>
    <w:rsid w:val="000E77C3"/>
    <w:rsid w:val="000E79E7"/>
    <w:rsid w:val="000F00BA"/>
    <w:rsid w:val="000F132F"/>
    <w:rsid w:val="000F1FCF"/>
    <w:rsid w:val="000F316A"/>
    <w:rsid w:val="000F3C74"/>
    <w:rsid w:val="000F47C6"/>
    <w:rsid w:val="000F4A5A"/>
    <w:rsid w:val="000F4BB8"/>
    <w:rsid w:val="000F4FA9"/>
    <w:rsid w:val="000F53FB"/>
    <w:rsid w:val="000F69D2"/>
    <w:rsid w:val="000F7127"/>
    <w:rsid w:val="000F7B54"/>
    <w:rsid w:val="00100F8A"/>
    <w:rsid w:val="00103A23"/>
    <w:rsid w:val="001041A0"/>
    <w:rsid w:val="0010452E"/>
    <w:rsid w:val="00105AE2"/>
    <w:rsid w:val="001060C6"/>
    <w:rsid w:val="00106B80"/>
    <w:rsid w:val="0011032E"/>
    <w:rsid w:val="00111041"/>
    <w:rsid w:val="0011348B"/>
    <w:rsid w:val="00114EC3"/>
    <w:rsid w:val="00115982"/>
    <w:rsid w:val="00115AB7"/>
    <w:rsid w:val="00116C53"/>
    <w:rsid w:val="001171B1"/>
    <w:rsid w:val="00120D3F"/>
    <w:rsid w:val="00121274"/>
    <w:rsid w:val="00121799"/>
    <w:rsid w:val="00121FED"/>
    <w:rsid w:val="001222FC"/>
    <w:rsid w:val="00122B0F"/>
    <w:rsid w:val="00122C56"/>
    <w:rsid w:val="00123902"/>
    <w:rsid w:val="001240AD"/>
    <w:rsid w:val="00124A51"/>
    <w:rsid w:val="00126621"/>
    <w:rsid w:val="001267D6"/>
    <w:rsid w:val="00126B1D"/>
    <w:rsid w:val="001301E9"/>
    <w:rsid w:val="001302FE"/>
    <w:rsid w:val="001319CC"/>
    <w:rsid w:val="00131D82"/>
    <w:rsid w:val="00131F6E"/>
    <w:rsid w:val="00132B22"/>
    <w:rsid w:val="00133D36"/>
    <w:rsid w:val="001344C7"/>
    <w:rsid w:val="00134EEB"/>
    <w:rsid w:val="0013529C"/>
    <w:rsid w:val="001374EF"/>
    <w:rsid w:val="00137645"/>
    <w:rsid w:val="0014015A"/>
    <w:rsid w:val="001403A1"/>
    <w:rsid w:val="00140E99"/>
    <w:rsid w:val="0014108E"/>
    <w:rsid w:val="00141241"/>
    <w:rsid w:val="00141A55"/>
    <w:rsid w:val="00141B63"/>
    <w:rsid w:val="00142F5C"/>
    <w:rsid w:val="001430F0"/>
    <w:rsid w:val="00143733"/>
    <w:rsid w:val="00143765"/>
    <w:rsid w:val="00143A45"/>
    <w:rsid w:val="00143F67"/>
    <w:rsid w:val="00145540"/>
    <w:rsid w:val="001456B0"/>
    <w:rsid w:val="00145B41"/>
    <w:rsid w:val="00150987"/>
    <w:rsid w:val="00151588"/>
    <w:rsid w:val="001519C4"/>
    <w:rsid w:val="001521CF"/>
    <w:rsid w:val="001524BD"/>
    <w:rsid w:val="00153CBB"/>
    <w:rsid w:val="0015486F"/>
    <w:rsid w:val="00156C8D"/>
    <w:rsid w:val="00156F8F"/>
    <w:rsid w:val="00157130"/>
    <w:rsid w:val="001576B1"/>
    <w:rsid w:val="0016047B"/>
    <w:rsid w:val="001608F9"/>
    <w:rsid w:val="00160A4C"/>
    <w:rsid w:val="0016198A"/>
    <w:rsid w:val="00161E21"/>
    <w:rsid w:val="00162913"/>
    <w:rsid w:val="00163198"/>
    <w:rsid w:val="0016387E"/>
    <w:rsid w:val="00163EFF"/>
    <w:rsid w:val="00163F66"/>
    <w:rsid w:val="001643B7"/>
    <w:rsid w:val="00164DDB"/>
    <w:rsid w:val="00165467"/>
    <w:rsid w:val="001661FB"/>
    <w:rsid w:val="001671A0"/>
    <w:rsid w:val="0016767F"/>
    <w:rsid w:val="00167A92"/>
    <w:rsid w:val="00167FB6"/>
    <w:rsid w:val="00170F25"/>
    <w:rsid w:val="00172BC7"/>
    <w:rsid w:val="00173565"/>
    <w:rsid w:val="00173B07"/>
    <w:rsid w:val="00173BED"/>
    <w:rsid w:val="00174164"/>
    <w:rsid w:val="00174ED8"/>
    <w:rsid w:val="001751FA"/>
    <w:rsid w:val="00175547"/>
    <w:rsid w:val="001767D3"/>
    <w:rsid w:val="001800B6"/>
    <w:rsid w:val="00180303"/>
    <w:rsid w:val="00180FDE"/>
    <w:rsid w:val="001813C0"/>
    <w:rsid w:val="001819DA"/>
    <w:rsid w:val="00181D9C"/>
    <w:rsid w:val="00181E7D"/>
    <w:rsid w:val="00183894"/>
    <w:rsid w:val="00184B0E"/>
    <w:rsid w:val="00185C2A"/>
    <w:rsid w:val="00186D02"/>
    <w:rsid w:val="0018752F"/>
    <w:rsid w:val="00190698"/>
    <w:rsid w:val="00190E19"/>
    <w:rsid w:val="0019241D"/>
    <w:rsid w:val="00193838"/>
    <w:rsid w:val="0019400D"/>
    <w:rsid w:val="00194AD8"/>
    <w:rsid w:val="00195222"/>
    <w:rsid w:val="00195278"/>
    <w:rsid w:val="0019527A"/>
    <w:rsid w:val="001975D8"/>
    <w:rsid w:val="00197D6F"/>
    <w:rsid w:val="001A04B1"/>
    <w:rsid w:val="001A1250"/>
    <w:rsid w:val="001A178E"/>
    <w:rsid w:val="001A3566"/>
    <w:rsid w:val="001A43FA"/>
    <w:rsid w:val="001A47C5"/>
    <w:rsid w:val="001A49EE"/>
    <w:rsid w:val="001A4C35"/>
    <w:rsid w:val="001A59FB"/>
    <w:rsid w:val="001A5E9E"/>
    <w:rsid w:val="001A6354"/>
    <w:rsid w:val="001A6366"/>
    <w:rsid w:val="001A7991"/>
    <w:rsid w:val="001A7AE8"/>
    <w:rsid w:val="001B01D0"/>
    <w:rsid w:val="001B0F79"/>
    <w:rsid w:val="001B204E"/>
    <w:rsid w:val="001B2372"/>
    <w:rsid w:val="001B270C"/>
    <w:rsid w:val="001B2D08"/>
    <w:rsid w:val="001B3443"/>
    <w:rsid w:val="001B4619"/>
    <w:rsid w:val="001B4D20"/>
    <w:rsid w:val="001B5847"/>
    <w:rsid w:val="001B72E2"/>
    <w:rsid w:val="001C00FA"/>
    <w:rsid w:val="001C2A9B"/>
    <w:rsid w:val="001C3230"/>
    <w:rsid w:val="001C3C3D"/>
    <w:rsid w:val="001C40B4"/>
    <w:rsid w:val="001C4299"/>
    <w:rsid w:val="001C4874"/>
    <w:rsid w:val="001C4C33"/>
    <w:rsid w:val="001C5BDB"/>
    <w:rsid w:val="001C5F94"/>
    <w:rsid w:val="001C652A"/>
    <w:rsid w:val="001C65BB"/>
    <w:rsid w:val="001C6AD1"/>
    <w:rsid w:val="001C6E66"/>
    <w:rsid w:val="001D0DB0"/>
    <w:rsid w:val="001D1100"/>
    <w:rsid w:val="001D1391"/>
    <w:rsid w:val="001D25D7"/>
    <w:rsid w:val="001D2610"/>
    <w:rsid w:val="001D28D7"/>
    <w:rsid w:val="001D2D00"/>
    <w:rsid w:val="001D503C"/>
    <w:rsid w:val="001D50B2"/>
    <w:rsid w:val="001D57A5"/>
    <w:rsid w:val="001D6AC1"/>
    <w:rsid w:val="001D7645"/>
    <w:rsid w:val="001E03DC"/>
    <w:rsid w:val="001E1E86"/>
    <w:rsid w:val="001E238E"/>
    <w:rsid w:val="001E2483"/>
    <w:rsid w:val="001E24FB"/>
    <w:rsid w:val="001E2B1E"/>
    <w:rsid w:val="001E2CFF"/>
    <w:rsid w:val="001E2E48"/>
    <w:rsid w:val="001E2F24"/>
    <w:rsid w:val="001E30D4"/>
    <w:rsid w:val="001E34DF"/>
    <w:rsid w:val="001E45AA"/>
    <w:rsid w:val="001E52EB"/>
    <w:rsid w:val="001E61D2"/>
    <w:rsid w:val="001E62B6"/>
    <w:rsid w:val="001E740C"/>
    <w:rsid w:val="001E7A9D"/>
    <w:rsid w:val="001F0780"/>
    <w:rsid w:val="001F1235"/>
    <w:rsid w:val="001F198B"/>
    <w:rsid w:val="001F1CB3"/>
    <w:rsid w:val="001F38B5"/>
    <w:rsid w:val="001F3F8A"/>
    <w:rsid w:val="001F4081"/>
    <w:rsid w:val="001F5165"/>
    <w:rsid w:val="001F6E71"/>
    <w:rsid w:val="001F7361"/>
    <w:rsid w:val="002011B0"/>
    <w:rsid w:val="0020183B"/>
    <w:rsid w:val="00203181"/>
    <w:rsid w:val="00203783"/>
    <w:rsid w:val="0020385F"/>
    <w:rsid w:val="0020457E"/>
    <w:rsid w:val="00205F4D"/>
    <w:rsid w:val="002068A0"/>
    <w:rsid w:val="00207021"/>
    <w:rsid w:val="0020732F"/>
    <w:rsid w:val="00207D00"/>
    <w:rsid w:val="002105C1"/>
    <w:rsid w:val="00210B36"/>
    <w:rsid w:val="00211C17"/>
    <w:rsid w:val="002139E2"/>
    <w:rsid w:val="00213A29"/>
    <w:rsid w:val="00213EF5"/>
    <w:rsid w:val="00214C05"/>
    <w:rsid w:val="00216BF5"/>
    <w:rsid w:val="002178DC"/>
    <w:rsid w:val="00217D68"/>
    <w:rsid w:val="00222A24"/>
    <w:rsid w:val="002234E1"/>
    <w:rsid w:val="00223B49"/>
    <w:rsid w:val="00223D5A"/>
    <w:rsid w:val="00223DE3"/>
    <w:rsid w:val="00224DD4"/>
    <w:rsid w:val="00225B6B"/>
    <w:rsid w:val="0022603F"/>
    <w:rsid w:val="00227862"/>
    <w:rsid w:val="002278A0"/>
    <w:rsid w:val="00230919"/>
    <w:rsid w:val="002309CC"/>
    <w:rsid w:val="002315AF"/>
    <w:rsid w:val="00231721"/>
    <w:rsid w:val="0023209F"/>
    <w:rsid w:val="002328A9"/>
    <w:rsid w:val="002335B8"/>
    <w:rsid w:val="002336CE"/>
    <w:rsid w:val="00233C01"/>
    <w:rsid w:val="0023413C"/>
    <w:rsid w:val="002346CE"/>
    <w:rsid w:val="002346F0"/>
    <w:rsid w:val="00234ED1"/>
    <w:rsid w:val="0023629D"/>
    <w:rsid w:val="00237255"/>
    <w:rsid w:val="00237ED5"/>
    <w:rsid w:val="002410AE"/>
    <w:rsid w:val="002424AF"/>
    <w:rsid w:val="00242801"/>
    <w:rsid w:val="00242AC6"/>
    <w:rsid w:val="002439C1"/>
    <w:rsid w:val="002439DC"/>
    <w:rsid w:val="002441D2"/>
    <w:rsid w:val="00244DC8"/>
    <w:rsid w:val="002458BA"/>
    <w:rsid w:val="00245B2F"/>
    <w:rsid w:val="00245CE9"/>
    <w:rsid w:val="0024636C"/>
    <w:rsid w:val="002466C0"/>
    <w:rsid w:val="00247418"/>
    <w:rsid w:val="00247925"/>
    <w:rsid w:val="002507C7"/>
    <w:rsid w:val="00251006"/>
    <w:rsid w:val="00251AF7"/>
    <w:rsid w:val="002524D5"/>
    <w:rsid w:val="00252CD9"/>
    <w:rsid w:val="002537F4"/>
    <w:rsid w:val="00253B1D"/>
    <w:rsid w:val="00254DCF"/>
    <w:rsid w:val="00254F94"/>
    <w:rsid w:val="0025534B"/>
    <w:rsid w:val="00255BB7"/>
    <w:rsid w:val="002562B3"/>
    <w:rsid w:val="00256D02"/>
    <w:rsid w:val="00256E85"/>
    <w:rsid w:val="00257541"/>
    <w:rsid w:val="00257A39"/>
    <w:rsid w:val="00257AC4"/>
    <w:rsid w:val="00261EEF"/>
    <w:rsid w:val="00262459"/>
    <w:rsid w:val="00262A1A"/>
    <w:rsid w:val="00262A87"/>
    <w:rsid w:val="00264510"/>
    <w:rsid w:val="0026484B"/>
    <w:rsid w:val="00264D26"/>
    <w:rsid w:val="00265C7C"/>
    <w:rsid w:val="00266CDE"/>
    <w:rsid w:val="00267642"/>
    <w:rsid w:val="00267AEA"/>
    <w:rsid w:val="00267C9B"/>
    <w:rsid w:val="002700E6"/>
    <w:rsid w:val="002701E5"/>
    <w:rsid w:val="002702AF"/>
    <w:rsid w:val="00271A36"/>
    <w:rsid w:val="002727BD"/>
    <w:rsid w:val="0027294B"/>
    <w:rsid w:val="00272F0D"/>
    <w:rsid w:val="00273729"/>
    <w:rsid w:val="00273EB4"/>
    <w:rsid w:val="00274682"/>
    <w:rsid w:val="00275C5A"/>
    <w:rsid w:val="00276753"/>
    <w:rsid w:val="0028061B"/>
    <w:rsid w:val="00281014"/>
    <w:rsid w:val="00281291"/>
    <w:rsid w:val="00282C0B"/>
    <w:rsid w:val="00283A6B"/>
    <w:rsid w:val="00284A59"/>
    <w:rsid w:val="00284BD4"/>
    <w:rsid w:val="0028521D"/>
    <w:rsid w:val="0028665D"/>
    <w:rsid w:val="00287CDA"/>
    <w:rsid w:val="0029008E"/>
    <w:rsid w:val="00290FC0"/>
    <w:rsid w:val="00291629"/>
    <w:rsid w:val="0029223A"/>
    <w:rsid w:val="00293777"/>
    <w:rsid w:val="00294D55"/>
    <w:rsid w:val="002955A7"/>
    <w:rsid w:val="00295F61"/>
    <w:rsid w:val="0029732E"/>
    <w:rsid w:val="00297766"/>
    <w:rsid w:val="002A0351"/>
    <w:rsid w:val="002A03C4"/>
    <w:rsid w:val="002A0870"/>
    <w:rsid w:val="002A0C89"/>
    <w:rsid w:val="002A14AB"/>
    <w:rsid w:val="002A2ADE"/>
    <w:rsid w:val="002A2ADF"/>
    <w:rsid w:val="002A2F50"/>
    <w:rsid w:val="002A3633"/>
    <w:rsid w:val="002A7840"/>
    <w:rsid w:val="002B05A1"/>
    <w:rsid w:val="002B09A4"/>
    <w:rsid w:val="002B1C1F"/>
    <w:rsid w:val="002B29E9"/>
    <w:rsid w:val="002B2C4A"/>
    <w:rsid w:val="002B3257"/>
    <w:rsid w:val="002B432F"/>
    <w:rsid w:val="002B4F13"/>
    <w:rsid w:val="002B5553"/>
    <w:rsid w:val="002B62B3"/>
    <w:rsid w:val="002B6754"/>
    <w:rsid w:val="002B6CCE"/>
    <w:rsid w:val="002B77C3"/>
    <w:rsid w:val="002C1CB6"/>
    <w:rsid w:val="002C1E9B"/>
    <w:rsid w:val="002C2510"/>
    <w:rsid w:val="002C2775"/>
    <w:rsid w:val="002C27C1"/>
    <w:rsid w:val="002C3AC3"/>
    <w:rsid w:val="002C3F19"/>
    <w:rsid w:val="002C5099"/>
    <w:rsid w:val="002C5889"/>
    <w:rsid w:val="002C71CE"/>
    <w:rsid w:val="002C74BA"/>
    <w:rsid w:val="002D08F8"/>
    <w:rsid w:val="002D14A9"/>
    <w:rsid w:val="002D1AB6"/>
    <w:rsid w:val="002D2941"/>
    <w:rsid w:val="002D3FD3"/>
    <w:rsid w:val="002D564E"/>
    <w:rsid w:val="002D577C"/>
    <w:rsid w:val="002E1071"/>
    <w:rsid w:val="002E1238"/>
    <w:rsid w:val="002E15B9"/>
    <w:rsid w:val="002E19D4"/>
    <w:rsid w:val="002E1E04"/>
    <w:rsid w:val="002E2158"/>
    <w:rsid w:val="002E25F0"/>
    <w:rsid w:val="002E29AD"/>
    <w:rsid w:val="002E2EDF"/>
    <w:rsid w:val="002E31C1"/>
    <w:rsid w:val="002E321A"/>
    <w:rsid w:val="002E3F4B"/>
    <w:rsid w:val="002E443F"/>
    <w:rsid w:val="002E4F02"/>
    <w:rsid w:val="002E510C"/>
    <w:rsid w:val="002E6D35"/>
    <w:rsid w:val="002E7722"/>
    <w:rsid w:val="002F07BA"/>
    <w:rsid w:val="002F0859"/>
    <w:rsid w:val="002F0DA9"/>
    <w:rsid w:val="002F1014"/>
    <w:rsid w:val="002F1BCE"/>
    <w:rsid w:val="002F2141"/>
    <w:rsid w:val="002F2403"/>
    <w:rsid w:val="002F32C9"/>
    <w:rsid w:val="002F445F"/>
    <w:rsid w:val="002F5CBE"/>
    <w:rsid w:val="002F643C"/>
    <w:rsid w:val="002F71C0"/>
    <w:rsid w:val="002F722E"/>
    <w:rsid w:val="002F74F1"/>
    <w:rsid w:val="00300065"/>
    <w:rsid w:val="00300871"/>
    <w:rsid w:val="00300AB4"/>
    <w:rsid w:val="00301017"/>
    <w:rsid w:val="00301100"/>
    <w:rsid w:val="0030155F"/>
    <w:rsid w:val="00301641"/>
    <w:rsid w:val="0030219A"/>
    <w:rsid w:val="003023FB"/>
    <w:rsid w:val="00302986"/>
    <w:rsid w:val="0030465F"/>
    <w:rsid w:val="0030587B"/>
    <w:rsid w:val="00306D98"/>
    <w:rsid w:val="0030786C"/>
    <w:rsid w:val="0031031A"/>
    <w:rsid w:val="00310773"/>
    <w:rsid w:val="00310981"/>
    <w:rsid w:val="0031111D"/>
    <w:rsid w:val="003124D9"/>
    <w:rsid w:val="00312594"/>
    <w:rsid w:val="00312AD9"/>
    <w:rsid w:val="00314E44"/>
    <w:rsid w:val="00315498"/>
    <w:rsid w:val="003160B7"/>
    <w:rsid w:val="00316474"/>
    <w:rsid w:val="003166E8"/>
    <w:rsid w:val="003169A4"/>
    <w:rsid w:val="00316BE8"/>
    <w:rsid w:val="00317CAF"/>
    <w:rsid w:val="00320615"/>
    <w:rsid w:val="00320CE4"/>
    <w:rsid w:val="00322107"/>
    <w:rsid w:val="00322355"/>
    <w:rsid w:val="00322846"/>
    <w:rsid w:val="003234BD"/>
    <w:rsid w:val="00323684"/>
    <w:rsid w:val="003237CF"/>
    <w:rsid w:val="00324027"/>
    <w:rsid w:val="0032622F"/>
    <w:rsid w:val="00326DA7"/>
    <w:rsid w:val="003270E4"/>
    <w:rsid w:val="00327525"/>
    <w:rsid w:val="003277E0"/>
    <w:rsid w:val="0033083D"/>
    <w:rsid w:val="00330D7D"/>
    <w:rsid w:val="00330DAA"/>
    <w:rsid w:val="00330F5C"/>
    <w:rsid w:val="0033153C"/>
    <w:rsid w:val="0033153E"/>
    <w:rsid w:val="0033253D"/>
    <w:rsid w:val="00332BA0"/>
    <w:rsid w:val="003336F9"/>
    <w:rsid w:val="003366C9"/>
    <w:rsid w:val="00336F04"/>
    <w:rsid w:val="00336F5E"/>
    <w:rsid w:val="003371B0"/>
    <w:rsid w:val="003374D6"/>
    <w:rsid w:val="00337F16"/>
    <w:rsid w:val="00340749"/>
    <w:rsid w:val="00340DF1"/>
    <w:rsid w:val="003425AF"/>
    <w:rsid w:val="00342DFB"/>
    <w:rsid w:val="003437DE"/>
    <w:rsid w:val="00343E70"/>
    <w:rsid w:val="00344B19"/>
    <w:rsid w:val="00344E74"/>
    <w:rsid w:val="00345E9D"/>
    <w:rsid w:val="00345FCC"/>
    <w:rsid w:val="003517F9"/>
    <w:rsid w:val="00351BA9"/>
    <w:rsid w:val="003533E9"/>
    <w:rsid w:val="00354F0A"/>
    <w:rsid w:val="00354F64"/>
    <w:rsid w:val="0035511F"/>
    <w:rsid w:val="003553B5"/>
    <w:rsid w:val="003560F2"/>
    <w:rsid w:val="0035620E"/>
    <w:rsid w:val="0035741B"/>
    <w:rsid w:val="00357AE0"/>
    <w:rsid w:val="003601AD"/>
    <w:rsid w:val="00360345"/>
    <w:rsid w:val="003606BF"/>
    <w:rsid w:val="0036118E"/>
    <w:rsid w:val="00361A05"/>
    <w:rsid w:val="00361E69"/>
    <w:rsid w:val="0036220A"/>
    <w:rsid w:val="003624C4"/>
    <w:rsid w:val="0036277A"/>
    <w:rsid w:val="00363B00"/>
    <w:rsid w:val="003654AC"/>
    <w:rsid w:val="00365A77"/>
    <w:rsid w:val="003664D3"/>
    <w:rsid w:val="00366A8F"/>
    <w:rsid w:val="003710CF"/>
    <w:rsid w:val="003711C5"/>
    <w:rsid w:val="003720C1"/>
    <w:rsid w:val="00372ECE"/>
    <w:rsid w:val="0037358A"/>
    <w:rsid w:val="003750F6"/>
    <w:rsid w:val="003760FC"/>
    <w:rsid w:val="00376DD6"/>
    <w:rsid w:val="003777EE"/>
    <w:rsid w:val="003778CD"/>
    <w:rsid w:val="003805AF"/>
    <w:rsid w:val="00381241"/>
    <w:rsid w:val="00381373"/>
    <w:rsid w:val="00381CD1"/>
    <w:rsid w:val="00382212"/>
    <w:rsid w:val="00382C98"/>
    <w:rsid w:val="00382DA8"/>
    <w:rsid w:val="00383140"/>
    <w:rsid w:val="0038365C"/>
    <w:rsid w:val="0038369B"/>
    <w:rsid w:val="00383B78"/>
    <w:rsid w:val="0038412E"/>
    <w:rsid w:val="00384197"/>
    <w:rsid w:val="00384A92"/>
    <w:rsid w:val="00384EC7"/>
    <w:rsid w:val="003856E0"/>
    <w:rsid w:val="0038586C"/>
    <w:rsid w:val="00385A9D"/>
    <w:rsid w:val="00386B82"/>
    <w:rsid w:val="00387CE8"/>
    <w:rsid w:val="003902B1"/>
    <w:rsid w:val="00390622"/>
    <w:rsid w:val="003906A5"/>
    <w:rsid w:val="00390E76"/>
    <w:rsid w:val="0039179C"/>
    <w:rsid w:val="00391BDF"/>
    <w:rsid w:val="00392EA5"/>
    <w:rsid w:val="003947B7"/>
    <w:rsid w:val="003956AA"/>
    <w:rsid w:val="00396896"/>
    <w:rsid w:val="00396A4C"/>
    <w:rsid w:val="00396E1C"/>
    <w:rsid w:val="00396FD0"/>
    <w:rsid w:val="003977CE"/>
    <w:rsid w:val="00397930"/>
    <w:rsid w:val="003A1A7A"/>
    <w:rsid w:val="003A2392"/>
    <w:rsid w:val="003A2831"/>
    <w:rsid w:val="003A32B5"/>
    <w:rsid w:val="003A3CB6"/>
    <w:rsid w:val="003A3ED1"/>
    <w:rsid w:val="003A44DB"/>
    <w:rsid w:val="003A4E2B"/>
    <w:rsid w:val="003A57FE"/>
    <w:rsid w:val="003A5811"/>
    <w:rsid w:val="003A5C3D"/>
    <w:rsid w:val="003A6107"/>
    <w:rsid w:val="003A68BE"/>
    <w:rsid w:val="003A6BBC"/>
    <w:rsid w:val="003B0060"/>
    <w:rsid w:val="003B14D4"/>
    <w:rsid w:val="003B20A3"/>
    <w:rsid w:val="003B3971"/>
    <w:rsid w:val="003B540F"/>
    <w:rsid w:val="003B55D1"/>
    <w:rsid w:val="003B5B61"/>
    <w:rsid w:val="003B5EA9"/>
    <w:rsid w:val="003B6312"/>
    <w:rsid w:val="003C0E07"/>
    <w:rsid w:val="003C1654"/>
    <w:rsid w:val="003C167A"/>
    <w:rsid w:val="003C1AE9"/>
    <w:rsid w:val="003C48A6"/>
    <w:rsid w:val="003C5542"/>
    <w:rsid w:val="003C691F"/>
    <w:rsid w:val="003C7D19"/>
    <w:rsid w:val="003C7D2F"/>
    <w:rsid w:val="003D1828"/>
    <w:rsid w:val="003D1894"/>
    <w:rsid w:val="003D1DE4"/>
    <w:rsid w:val="003D1E9A"/>
    <w:rsid w:val="003D2422"/>
    <w:rsid w:val="003D39A1"/>
    <w:rsid w:val="003D3FBF"/>
    <w:rsid w:val="003D4A30"/>
    <w:rsid w:val="003D4F33"/>
    <w:rsid w:val="003D57A3"/>
    <w:rsid w:val="003D6E69"/>
    <w:rsid w:val="003D7452"/>
    <w:rsid w:val="003D79BB"/>
    <w:rsid w:val="003D7C98"/>
    <w:rsid w:val="003D7D9D"/>
    <w:rsid w:val="003E0543"/>
    <w:rsid w:val="003E0AFF"/>
    <w:rsid w:val="003E1A44"/>
    <w:rsid w:val="003E1E91"/>
    <w:rsid w:val="003E222B"/>
    <w:rsid w:val="003E25F7"/>
    <w:rsid w:val="003E2C2E"/>
    <w:rsid w:val="003E4591"/>
    <w:rsid w:val="003E54F4"/>
    <w:rsid w:val="003E5929"/>
    <w:rsid w:val="003E5EAF"/>
    <w:rsid w:val="003E6C21"/>
    <w:rsid w:val="003E749E"/>
    <w:rsid w:val="003E75AE"/>
    <w:rsid w:val="003F10FA"/>
    <w:rsid w:val="003F15A3"/>
    <w:rsid w:val="003F2106"/>
    <w:rsid w:val="003F22B7"/>
    <w:rsid w:val="003F4156"/>
    <w:rsid w:val="003F4381"/>
    <w:rsid w:val="003F519E"/>
    <w:rsid w:val="003F51A3"/>
    <w:rsid w:val="003F5ADF"/>
    <w:rsid w:val="003F64FD"/>
    <w:rsid w:val="004005B2"/>
    <w:rsid w:val="0040095E"/>
    <w:rsid w:val="00400B29"/>
    <w:rsid w:val="00400B61"/>
    <w:rsid w:val="00401956"/>
    <w:rsid w:val="00401D03"/>
    <w:rsid w:val="00403E09"/>
    <w:rsid w:val="0040504B"/>
    <w:rsid w:val="004059F4"/>
    <w:rsid w:val="00406708"/>
    <w:rsid w:val="00406BDB"/>
    <w:rsid w:val="00406DDC"/>
    <w:rsid w:val="0040716F"/>
    <w:rsid w:val="00407FE5"/>
    <w:rsid w:val="004101B0"/>
    <w:rsid w:val="00410326"/>
    <w:rsid w:val="00410708"/>
    <w:rsid w:val="00410E6A"/>
    <w:rsid w:val="00410EC7"/>
    <w:rsid w:val="004111C9"/>
    <w:rsid w:val="00411B39"/>
    <w:rsid w:val="00411DF2"/>
    <w:rsid w:val="004127A7"/>
    <w:rsid w:val="00412E4B"/>
    <w:rsid w:val="00412FD8"/>
    <w:rsid w:val="00413A1E"/>
    <w:rsid w:val="004142FA"/>
    <w:rsid w:val="00414476"/>
    <w:rsid w:val="00414847"/>
    <w:rsid w:val="00414C2E"/>
    <w:rsid w:val="004151CF"/>
    <w:rsid w:val="00415208"/>
    <w:rsid w:val="00416364"/>
    <w:rsid w:val="00416781"/>
    <w:rsid w:val="004167C0"/>
    <w:rsid w:val="00417510"/>
    <w:rsid w:val="0041785C"/>
    <w:rsid w:val="0042047F"/>
    <w:rsid w:val="00420AA6"/>
    <w:rsid w:val="00420B9F"/>
    <w:rsid w:val="0042192C"/>
    <w:rsid w:val="00422260"/>
    <w:rsid w:val="0042239D"/>
    <w:rsid w:val="0042413F"/>
    <w:rsid w:val="00425C20"/>
    <w:rsid w:val="004269E1"/>
    <w:rsid w:val="00426A74"/>
    <w:rsid w:val="004271C9"/>
    <w:rsid w:val="00431164"/>
    <w:rsid w:val="00431494"/>
    <w:rsid w:val="004319F8"/>
    <w:rsid w:val="00431E55"/>
    <w:rsid w:val="004321F6"/>
    <w:rsid w:val="004323A6"/>
    <w:rsid w:val="00432A10"/>
    <w:rsid w:val="00433044"/>
    <w:rsid w:val="00433071"/>
    <w:rsid w:val="00433263"/>
    <w:rsid w:val="004336CF"/>
    <w:rsid w:val="00433835"/>
    <w:rsid w:val="00433B8C"/>
    <w:rsid w:val="00434088"/>
    <w:rsid w:val="00434A5E"/>
    <w:rsid w:val="00434E2E"/>
    <w:rsid w:val="00434F2C"/>
    <w:rsid w:val="00435E2E"/>
    <w:rsid w:val="0043602D"/>
    <w:rsid w:val="00436314"/>
    <w:rsid w:val="004366BD"/>
    <w:rsid w:val="004375B9"/>
    <w:rsid w:val="00437992"/>
    <w:rsid w:val="004423A3"/>
    <w:rsid w:val="004426F1"/>
    <w:rsid w:val="004427CB"/>
    <w:rsid w:val="004428D0"/>
    <w:rsid w:val="00442A70"/>
    <w:rsid w:val="00442BAC"/>
    <w:rsid w:val="004440B8"/>
    <w:rsid w:val="00444185"/>
    <w:rsid w:val="004443A7"/>
    <w:rsid w:val="0044442C"/>
    <w:rsid w:val="00445113"/>
    <w:rsid w:val="00445941"/>
    <w:rsid w:val="00445AA7"/>
    <w:rsid w:val="004464EB"/>
    <w:rsid w:val="00446686"/>
    <w:rsid w:val="00446AEC"/>
    <w:rsid w:val="00446E4E"/>
    <w:rsid w:val="00447D26"/>
    <w:rsid w:val="00447DFC"/>
    <w:rsid w:val="00452FEA"/>
    <w:rsid w:val="00453295"/>
    <w:rsid w:val="00453C72"/>
    <w:rsid w:val="00454D2E"/>
    <w:rsid w:val="00455D45"/>
    <w:rsid w:val="00457DA7"/>
    <w:rsid w:val="004601D1"/>
    <w:rsid w:val="00462F86"/>
    <w:rsid w:val="00463843"/>
    <w:rsid w:val="00463E27"/>
    <w:rsid w:val="00464595"/>
    <w:rsid w:val="00464762"/>
    <w:rsid w:val="00465487"/>
    <w:rsid w:val="004658B5"/>
    <w:rsid w:val="00465DF3"/>
    <w:rsid w:val="00466E03"/>
    <w:rsid w:val="00466FCD"/>
    <w:rsid w:val="0046729B"/>
    <w:rsid w:val="00467EF4"/>
    <w:rsid w:val="004712E3"/>
    <w:rsid w:val="00471D6A"/>
    <w:rsid w:val="00471E42"/>
    <w:rsid w:val="00471EA5"/>
    <w:rsid w:val="00472A79"/>
    <w:rsid w:val="00473F19"/>
    <w:rsid w:val="00474D11"/>
    <w:rsid w:val="004751CB"/>
    <w:rsid w:val="00475E22"/>
    <w:rsid w:val="00477378"/>
    <w:rsid w:val="0048088E"/>
    <w:rsid w:val="00480F2B"/>
    <w:rsid w:val="0048143E"/>
    <w:rsid w:val="00482720"/>
    <w:rsid w:val="004835E7"/>
    <w:rsid w:val="00485F5C"/>
    <w:rsid w:val="004867E2"/>
    <w:rsid w:val="00487017"/>
    <w:rsid w:val="004876CE"/>
    <w:rsid w:val="004879F4"/>
    <w:rsid w:val="00490B17"/>
    <w:rsid w:val="00491B3A"/>
    <w:rsid w:val="00491FD6"/>
    <w:rsid w:val="00492CFD"/>
    <w:rsid w:val="00493AE4"/>
    <w:rsid w:val="00494207"/>
    <w:rsid w:val="00494328"/>
    <w:rsid w:val="004949C0"/>
    <w:rsid w:val="00494CBB"/>
    <w:rsid w:val="00494DD5"/>
    <w:rsid w:val="004962D2"/>
    <w:rsid w:val="00497101"/>
    <w:rsid w:val="004A0DA1"/>
    <w:rsid w:val="004A1171"/>
    <w:rsid w:val="004A12A3"/>
    <w:rsid w:val="004A13D6"/>
    <w:rsid w:val="004A1E0E"/>
    <w:rsid w:val="004A41D8"/>
    <w:rsid w:val="004A52E9"/>
    <w:rsid w:val="004A54AE"/>
    <w:rsid w:val="004A6040"/>
    <w:rsid w:val="004A6597"/>
    <w:rsid w:val="004A7848"/>
    <w:rsid w:val="004A7B75"/>
    <w:rsid w:val="004B0E9B"/>
    <w:rsid w:val="004B14A1"/>
    <w:rsid w:val="004B1B5F"/>
    <w:rsid w:val="004B1CB4"/>
    <w:rsid w:val="004B1CFF"/>
    <w:rsid w:val="004B2F18"/>
    <w:rsid w:val="004B3585"/>
    <w:rsid w:val="004B3C14"/>
    <w:rsid w:val="004B3DDB"/>
    <w:rsid w:val="004B44FD"/>
    <w:rsid w:val="004B4E26"/>
    <w:rsid w:val="004B5500"/>
    <w:rsid w:val="004B579C"/>
    <w:rsid w:val="004B5CFC"/>
    <w:rsid w:val="004B6F79"/>
    <w:rsid w:val="004B774D"/>
    <w:rsid w:val="004C1479"/>
    <w:rsid w:val="004C2E1F"/>
    <w:rsid w:val="004C2E33"/>
    <w:rsid w:val="004C35FF"/>
    <w:rsid w:val="004C39D3"/>
    <w:rsid w:val="004C496D"/>
    <w:rsid w:val="004C4AED"/>
    <w:rsid w:val="004C4B58"/>
    <w:rsid w:val="004C6A31"/>
    <w:rsid w:val="004D2C2D"/>
    <w:rsid w:val="004D3A04"/>
    <w:rsid w:val="004D3B24"/>
    <w:rsid w:val="004D409B"/>
    <w:rsid w:val="004D4189"/>
    <w:rsid w:val="004D4867"/>
    <w:rsid w:val="004D69B5"/>
    <w:rsid w:val="004D7227"/>
    <w:rsid w:val="004E0E7F"/>
    <w:rsid w:val="004E0EB8"/>
    <w:rsid w:val="004E18E9"/>
    <w:rsid w:val="004E27A3"/>
    <w:rsid w:val="004E2ADC"/>
    <w:rsid w:val="004E2BCF"/>
    <w:rsid w:val="004E2DC0"/>
    <w:rsid w:val="004E3042"/>
    <w:rsid w:val="004E34F8"/>
    <w:rsid w:val="004E3D2C"/>
    <w:rsid w:val="004E43B2"/>
    <w:rsid w:val="004E5221"/>
    <w:rsid w:val="004E5732"/>
    <w:rsid w:val="004E5DE9"/>
    <w:rsid w:val="004E6150"/>
    <w:rsid w:val="004E6766"/>
    <w:rsid w:val="004E6E19"/>
    <w:rsid w:val="004E797D"/>
    <w:rsid w:val="004F0CAD"/>
    <w:rsid w:val="004F11C9"/>
    <w:rsid w:val="004F1D02"/>
    <w:rsid w:val="004F2679"/>
    <w:rsid w:val="004F2E50"/>
    <w:rsid w:val="004F2F21"/>
    <w:rsid w:val="004F2FB2"/>
    <w:rsid w:val="004F3DE5"/>
    <w:rsid w:val="004F4F55"/>
    <w:rsid w:val="004F65DA"/>
    <w:rsid w:val="004F687F"/>
    <w:rsid w:val="004F6913"/>
    <w:rsid w:val="004F7058"/>
    <w:rsid w:val="004F7669"/>
    <w:rsid w:val="004F7865"/>
    <w:rsid w:val="005000EE"/>
    <w:rsid w:val="0050174E"/>
    <w:rsid w:val="00501854"/>
    <w:rsid w:val="0050219B"/>
    <w:rsid w:val="0050258A"/>
    <w:rsid w:val="005035AE"/>
    <w:rsid w:val="005039B4"/>
    <w:rsid w:val="00503F17"/>
    <w:rsid w:val="00505086"/>
    <w:rsid w:val="00506171"/>
    <w:rsid w:val="00506468"/>
    <w:rsid w:val="00506928"/>
    <w:rsid w:val="00506F90"/>
    <w:rsid w:val="005077EF"/>
    <w:rsid w:val="00511AD5"/>
    <w:rsid w:val="00511C0D"/>
    <w:rsid w:val="00511DC7"/>
    <w:rsid w:val="005126F4"/>
    <w:rsid w:val="0051386E"/>
    <w:rsid w:val="00513872"/>
    <w:rsid w:val="005142C5"/>
    <w:rsid w:val="0051501B"/>
    <w:rsid w:val="005152B5"/>
    <w:rsid w:val="0051533E"/>
    <w:rsid w:val="005154CA"/>
    <w:rsid w:val="0051568F"/>
    <w:rsid w:val="005157AB"/>
    <w:rsid w:val="0051777C"/>
    <w:rsid w:val="00520DCC"/>
    <w:rsid w:val="0052123C"/>
    <w:rsid w:val="00521319"/>
    <w:rsid w:val="00522897"/>
    <w:rsid w:val="00522BC8"/>
    <w:rsid w:val="00523C28"/>
    <w:rsid w:val="0052462F"/>
    <w:rsid w:val="0052521B"/>
    <w:rsid w:val="0052522E"/>
    <w:rsid w:val="00527EE0"/>
    <w:rsid w:val="0053014B"/>
    <w:rsid w:val="005308BB"/>
    <w:rsid w:val="00531272"/>
    <w:rsid w:val="0053176B"/>
    <w:rsid w:val="00531D54"/>
    <w:rsid w:val="005322A2"/>
    <w:rsid w:val="00532849"/>
    <w:rsid w:val="00532DD6"/>
    <w:rsid w:val="00533190"/>
    <w:rsid w:val="00535860"/>
    <w:rsid w:val="00536F42"/>
    <w:rsid w:val="00537182"/>
    <w:rsid w:val="00537562"/>
    <w:rsid w:val="005417D0"/>
    <w:rsid w:val="005417E4"/>
    <w:rsid w:val="00541EDD"/>
    <w:rsid w:val="00542743"/>
    <w:rsid w:val="00542C2D"/>
    <w:rsid w:val="00542D9E"/>
    <w:rsid w:val="00544436"/>
    <w:rsid w:val="005459B9"/>
    <w:rsid w:val="0054608D"/>
    <w:rsid w:val="0054698C"/>
    <w:rsid w:val="005478BD"/>
    <w:rsid w:val="005479E3"/>
    <w:rsid w:val="00547F40"/>
    <w:rsid w:val="0055008D"/>
    <w:rsid w:val="00551043"/>
    <w:rsid w:val="00551985"/>
    <w:rsid w:val="00552720"/>
    <w:rsid w:val="00552BD3"/>
    <w:rsid w:val="005532A0"/>
    <w:rsid w:val="00554940"/>
    <w:rsid w:val="00555109"/>
    <w:rsid w:val="005552E7"/>
    <w:rsid w:val="005556B3"/>
    <w:rsid w:val="0055642F"/>
    <w:rsid w:val="00556B35"/>
    <w:rsid w:val="0055741A"/>
    <w:rsid w:val="00557B05"/>
    <w:rsid w:val="00561075"/>
    <w:rsid w:val="005611B7"/>
    <w:rsid w:val="0056183D"/>
    <w:rsid w:val="005618D4"/>
    <w:rsid w:val="00561A69"/>
    <w:rsid w:val="00561B44"/>
    <w:rsid w:val="005633FE"/>
    <w:rsid w:val="00564A74"/>
    <w:rsid w:val="00564EA5"/>
    <w:rsid w:val="00565DF0"/>
    <w:rsid w:val="0056662C"/>
    <w:rsid w:val="00566808"/>
    <w:rsid w:val="0056696F"/>
    <w:rsid w:val="00566F13"/>
    <w:rsid w:val="00567855"/>
    <w:rsid w:val="00570331"/>
    <w:rsid w:val="00572269"/>
    <w:rsid w:val="0057244A"/>
    <w:rsid w:val="0057249F"/>
    <w:rsid w:val="00572F26"/>
    <w:rsid w:val="005731D1"/>
    <w:rsid w:val="00573670"/>
    <w:rsid w:val="00573947"/>
    <w:rsid w:val="00573AF6"/>
    <w:rsid w:val="00574119"/>
    <w:rsid w:val="005743D2"/>
    <w:rsid w:val="005750C5"/>
    <w:rsid w:val="00575267"/>
    <w:rsid w:val="005752DE"/>
    <w:rsid w:val="00575D8D"/>
    <w:rsid w:val="00576972"/>
    <w:rsid w:val="00577325"/>
    <w:rsid w:val="00580D7D"/>
    <w:rsid w:val="00582146"/>
    <w:rsid w:val="0058223C"/>
    <w:rsid w:val="005834B9"/>
    <w:rsid w:val="00583699"/>
    <w:rsid w:val="00583ECB"/>
    <w:rsid w:val="00584ABD"/>
    <w:rsid w:val="00585CDD"/>
    <w:rsid w:val="00587058"/>
    <w:rsid w:val="005877A5"/>
    <w:rsid w:val="00587D57"/>
    <w:rsid w:val="005911A0"/>
    <w:rsid w:val="00591957"/>
    <w:rsid w:val="00593214"/>
    <w:rsid w:val="005935A6"/>
    <w:rsid w:val="00594073"/>
    <w:rsid w:val="00595B6E"/>
    <w:rsid w:val="00595BCE"/>
    <w:rsid w:val="005967C4"/>
    <w:rsid w:val="00597627"/>
    <w:rsid w:val="00597BF9"/>
    <w:rsid w:val="00597E73"/>
    <w:rsid w:val="005A03FA"/>
    <w:rsid w:val="005A0B6A"/>
    <w:rsid w:val="005A1C5E"/>
    <w:rsid w:val="005A309A"/>
    <w:rsid w:val="005A373D"/>
    <w:rsid w:val="005A6880"/>
    <w:rsid w:val="005A7F1A"/>
    <w:rsid w:val="005B0B58"/>
    <w:rsid w:val="005B0F61"/>
    <w:rsid w:val="005B125F"/>
    <w:rsid w:val="005B1F19"/>
    <w:rsid w:val="005B2CB2"/>
    <w:rsid w:val="005B4E53"/>
    <w:rsid w:val="005B50A5"/>
    <w:rsid w:val="005B5857"/>
    <w:rsid w:val="005B5E16"/>
    <w:rsid w:val="005B637D"/>
    <w:rsid w:val="005B7537"/>
    <w:rsid w:val="005C0488"/>
    <w:rsid w:val="005C0823"/>
    <w:rsid w:val="005C1170"/>
    <w:rsid w:val="005C1B83"/>
    <w:rsid w:val="005C1FA0"/>
    <w:rsid w:val="005C25FF"/>
    <w:rsid w:val="005C2D55"/>
    <w:rsid w:val="005C346B"/>
    <w:rsid w:val="005C4245"/>
    <w:rsid w:val="005C685A"/>
    <w:rsid w:val="005C7566"/>
    <w:rsid w:val="005D044D"/>
    <w:rsid w:val="005D057F"/>
    <w:rsid w:val="005D0ABD"/>
    <w:rsid w:val="005D101D"/>
    <w:rsid w:val="005D18AD"/>
    <w:rsid w:val="005D242E"/>
    <w:rsid w:val="005D26B4"/>
    <w:rsid w:val="005D2FAC"/>
    <w:rsid w:val="005D3CC6"/>
    <w:rsid w:val="005D5F81"/>
    <w:rsid w:val="005D6313"/>
    <w:rsid w:val="005D6CE9"/>
    <w:rsid w:val="005D7C7F"/>
    <w:rsid w:val="005E1371"/>
    <w:rsid w:val="005E227C"/>
    <w:rsid w:val="005E2B78"/>
    <w:rsid w:val="005E37EB"/>
    <w:rsid w:val="005E468B"/>
    <w:rsid w:val="005E4829"/>
    <w:rsid w:val="005E4B32"/>
    <w:rsid w:val="005E52CA"/>
    <w:rsid w:val="005E60AE"/>
    <w:rsid w:val="005E6CBC"/>
    <w:rsid w:val="005E72FF"/>
    <w:rsid w:val="005E73C0"/>
    <w:rsid w:val="005F048E"/>
    <w:rsid w:val="005F2706"/>
    <w:rsid w:val="005F2C3C"/>
    <w:rsid w:val="005F4EA1"/>
    <w:rsid w:val="005F5FFF"/>
    <w:rsid w:val="005F6A8F"/>
    <w:rsid w:val="005F6BB7"/>
    <w:rsid w:val="005F7403"/>
    <w:rsid w:val="005F7588"/>
    <w:rsid w:val="005F7FD9"/>
    <w:rsid w:val="00603DB9"/>
    <w:rsid w:val="00606FBA"/>
    <w:rsid w:val="0060753C"/>
    <w:rsid w:val="00607669"/>
    <w:rsid w:val="006076F4"/>
    <w:rsid w:val="00607AFD"/>
    <w:rsid w:val="00611B19"/>
    <w:rsid w:val="00611EE4"/>
    <w:rsid w:val="0061244E"/>
    <w:rsid w:val="00612F97"/>
    <w:rsid w:val="0061345D"/>
    <w:rsid w:val="006137A0"/>
    <w:rsid w:val="00614287"/>
    <w:rsid w:val="006143F6"/>
    <w:rsid w:val="00614782"/>
    <w:rsid w:val="0061549B"/>
    <w:rsid w:val="00615575"/>
    <w:rsid w:val="00616390"/>
    <w:rsid w:val="00616802"/>
    <w:rsid w:val="00617E12"/>
    <w:rsid w:val="00620C25"/>
    <w:rsid w:val="00621477"/>
    <w:rsid w:val="00621ADA"/>
    <w:rsid w:val="006236AF"/>
    <w:rsid w:val="00623C47"/>
    <w:rsid w:val="00623F7B"/>
    <w:rsid w:val="00624958"/>
    <w:rsid w:val="00625167"/>
    <w:rsid w:val="00625AF0"/>
    <w:rsid w:val="00630B57"/>
    <w:rsid w:val="00630C55"/>
    <w:rsid w:val="00630DEF"/>
    <w:rsid w:val="0063158F"/>
    <w:rsid w:val="00631991"/>
    <w:rsid w:val="00631D6B"/>
    <w:rsid w:val="00632183"/>
    <w:rsid w:val="006330A1"/>
    <w:rsid w:val="006332A4"/>
    <w:rsid w:val="0063479F"/>
    <w:rsid w:val="006353F0"/>
    <w:rsid w:val="006357B5"/>
    <w:rsid w:val="006364A1"/>
    <w:rsid w:val="00636662"/>
    <w:rsid w:val="0063678E"/>
    <w:rsid w:val="0063727C"/>
    <w:rsid w:val="006372A1"/>
    <w:rsid w:val="00637ACE"/>
    <w:rsid w:val="00637BFD"/>
    <w:rsid w:val="00640496"/>
    <w:rsid w:val="00641861"/>
    <w:rsid w:val="00641C4E"/>
    <w:rsid w:val="00641FB3"/>
    <w:rsid w:val="00642E6E"/>
    <w:rsid w:val="00643E9E"/>
    <w:rsid w:val="0064434C"/>
    <w:rsid w:val="00644CFF"/>
    <w:rsid w:val="00646DD7"/>
    <w:rsid w:val="006471CC"/>
    <w:rsid w:val="006479B0"/>
    <w:rsid w:val="00647A29"/>
    <w:rsid w:val="0065079F"/>
    <w:rsid w:val="00650B09"/>
    <w:rsid w:val="00650CAD"/>
    <w:rsid w:val="00652A28"/>
    <w:rsid w:val="0065379F"/>
    <w:rsid w:val="00654B01"/>
    <w:rsid w:val="00656188"/>
    <w:rsid w:val="006567BE"/>
    <w:rsid w:val="006570E7"/>
    <w:rsid w:val="0065715A"/>
    <w:rsid w:val="006610F1"/>
    <w:rsid w:val="00661AB0"/>
    <w:rsid w:val="00661C6B"/>
    <w:rsid w:val="00662284"/>
    <w:rsid w:val="00663621"/>
    <w:rsid w:val="006663FF"/>
    <w:rsid w:val="00666EE5"/>
    <w:rsid w:val="00667A6F"/>
    <w:rsid w:val="00667DA7"/>
    <w:rsid w:val="00671004"/>
    <w:rsid w:val="00672646"/>
    <w:rsid w:val="0067400D"/>
    <w:rsid w:val="00674E42"/>
    <w:rsid w:val="00674F7C"/>
    <w:rsid w:val="00677543"/>
    <w:rsid w:val="00677981"/>
    <w:rsid w:val="0068006A"/>
    <w:rsid w:val="006808E0"/>
    <w:rsid w:val="006813F8"/>
    <w:rsid w:val="006814C3"/>
    <w:rsid w:val="00682112"/>
    <w:rsid w:val="00682BA6"/>
    <w:rsid w:val="00683BC0"/>
    <w:rsid w:val="006851A5"/>
    <w:rsid w:val="006861B1"/>
    <w:rsid w:val="00686957"/>
    <w:rsid w:val="006872BA"/>
    <w:rsid w:val="00687C39"/>
    <w:rsid w:val="00690795"/>
    <w:rsid w:val="00690851"/>
    <w:rsid w:val="00691648"/>
    <w:rsid w:val="006917D7"/>
    <w:rsid w:val="00692174"/>
    <w:rsid w:val="00692FE7"/>
    <w:rsid w:val="0069434C"/>
    <w:rsid w:val="00694F44"/>
    <w:rsid w:val="006950F8"/>
    <w:rsid w:val="0069530B"/>
    <w:rsid w:val="006954C9"/>
    <w:rsid w:val="00696588"/>
    <w:rsid w:val="00696F51"/>
    <w:rsid w:val="00697366"/>
    <w:rsid w:val="006979A5"/>
    <w:rsid w:val="00697B23"/>
    <w:rsid w:val="00697B8D"/>
    <w:rsid w:val="006A19E9"/>
    <w:rsid w:val="006A1AC5"/>
    <w:rsid w:val="006A2A44"/>
    <w:rsid w:val="006A392C"/>
    <w:rsid w:val="006A3C91"/>
    <w:rsid w:val="006A46F4"/>
    <w:rsid w:val="006A6B99"/>
    <w:rsid w:val="006A7980"/>
    <w:rsid w:val="006A7D3E"/>
    <w:rsid w:val="006A7E5F"/>
    <w:rsid w:val="006B2566"/>
    <w:rsid w:val="006B261B"/>
    <w:rsid w:val="006B2C90"/>
    <w:rsid w:val="006B2C9D"/>
    <w:rsid w:val="006B35E6"/>
    <w:rsid w:val="006B36A0"/>
    <w:rsid w:val="006B37A1"/>
    <w:rsid w:val="006B40AF"/>
    <w:rsid w:val="006B465A"/>
    <w:rsid w:val="006B4E7A"/>
    <w:rsid w:val="006B5431"/>
    <w:rsid w:val="006B6DD0"/>
    <w:rsid w:val="006C0399"/>
    <w:rsid w:val="006C2A8E"/>
    <w:rsid w:val="006C2CCC"/>
    <w:rsid w:val="006C3255"/>
    <w:rsid w:val="006C3606"/>
    <w:rsid w:val="006C3F26"/>
    <w:rsid w:val="006C42DE"/>
    <w:rsid w:val="006C4B81"/>
    <w:rsid w:val="006C52F1"/>
    <w:rsid w:val="006C6051"/>
    <w:rsid w:val="006C609B"/>
    <w:rsid w:val="006C658D"/>
    <w:rsid w:val="006C67EF"/>
    <w:rsid w:val="006C7117"/>
    <w:rsid w:val="006D04F3"/>
    <w:rsid w:val="006D082C"/>
    <w:rsid w:val="006D0D17"/>
    <w:rsid w:val="006D18D8"/>
    <w:rsid w:val="006D3097"/>
    <w:rsid w:val="006D3C7D"/>
    <w:rsid w:val="006D4659"/>
    <w:rsid w:val="006D4881"/>
    <w:rsid w:val="006D50D4"/>
    <w:rsid w:val="006D5D5F"/>
    <w:rsid w:val="006D68FB"/>
    <w:rsid w:val="006E09B0"/>
    <w:rsid w:val="006E0FA7"/>
    <w:rsid w:val="006E0FE6"/>
    <w:rsid w:val="006E141B"/>
    <w:rsid w:val="006E1A29"/>
    <w:rsid w:val="006E2868"/>
    <w:rsid w:val="006E38B9"/>
    <w:rsid w:val="006E5038"/>
    <w:rsid w:val="006E5436"/>
    <w:rsid w:val="006E5B60"/>
    <w:rsid w:val="006E77B6"/>
    <w:rsid w:val="006F17BD"/>
    <w:rsid w:val="006F1B9A"/>
    <w:rsid w:val="006F2182"/>
    <w:rsid w:val="006F24E0"/>
    <w:rsid w:val="006F306C"/>
    <w:rsid w:val="006F3DCB"/>
    <w:rsid w:val="006F4857"/>
    <w:rsid w:val="006F52DF"/>
    <w:rsid w:val="006F5711"/>
    <w:rsid w:val="006F63A5"/>
    <w:rsid w:val="006F7CFE"/>
    <w:rsid w:val="0070053C"/>
    <w:rsid w:val="0070142B"/>
    <w:rsid w:val="0070276E"/>
    <w:rsid w:val="007029F8"/>
    <w:rsid w:val="00702F8F"/>
    <w:rsid w:val="00703602"/>
    <w:rsid w:val="00705A4A"/>
    <w:rsid w:val="00705C42"/>
    <w:rsid w:val="00706176"/>
    <w:rsid w:val="0070761C"/>
    <w:rsid w:val="007079FC"/>
    <w:rsid w:val="00707C21"/>
    <w:rsid w:val="00707CF5"/>
    <w:rsid w:val="0071001E"/>
    <w:rsid w:val="007106FB"/>
    <w:rsid w:val="00711309"/>
    <w:rsid w:val="00711554"/>
    <w:rsid w:val="00711A36"/>
    <w:rsid w:val="00711C6F"/>
    <w:rsid w:val="00713646"/>
    <w:rsid w:val="00714336"/>
    <w:rsid w:val="00714C26"/>
    <w:rsid w:val="0071529C"/>
    <w:rsid w:val="007153BA"/>
    <w:rsid w:val="00715A29"/>
    <w:rsid w:val="00715E93"/>
    <w:rsid w:val="00716335"/>
    <w:rsid w:val="007170DA"/>
    <w:rsid w:val="007172AD"/>
    <w:rsid w:val="00717606"/>
    <w:rsid w:val="0071779E"/>
    <w:rsid w:val="00720725"/>
    <w:rsid w:val="00720801"/>
    <w:rsid w:val="00720FEF"/>
    <w:rsid w:val="0072215B"/>
    <w:rsid w:val="00722878"/>
    <w:rsid w:val="00722B1B"/>
    <w:rsid w:val="00722EFD"/>
    <w:rsid w:val="0072416F"/>
    <w:rsid w:val="00724A4B"/>
    <w:rsid w:val="00727C94"/>
    <w:rsid w:val="00730996"/>
    <w:rsid w:val="00731B0A"/>
    <w:rsid w:val="00731EAE"/>
    <w:rsid w:val="00732097"/>
    <w:rsid w:val="00732825"/>
    <w:rsid w:val="00733073"/>
    <w:rsid w:val="00733B41"/>
    <w:rsid w:val="00733DE6"/>
    <w:rsid w:val="00734715"/>
    <w:rsid w:val="00735033"/>
    <w:rsid w:val="00735328"/>
    <w:rsid w:val="0073685B"/>
    <w:rsid w:val="00736AB1"/>
    <w:rsid w:val="00736E62"/>
    <w:rsid w:val="0073784A"/>
    <w:rsid w:val="0074162C"/>
    <w:rsid w:val="007416ED"/>
    <w:rsid w:val="00741BA2"/>
    <w:rsid w:val="0074475B"/>
    <w:rsid w:val="007449BF"/>
    <w:rsid w:val="007452B7"/>
    <w:rsid w:val="0074682E"/>
    <w:rsid w:val="00746BC0"/>
    <w:rsid w:val="00746EBA"/>
    <w:rsid w:val="007470A6"/>
    <w:rsid w:val="00747306"/>
    <w:rsid w:val="00750535"/>
    <w:rsid w:val="0075088D"/>
    <w:rsid w:val="007510B4"/>
    <w:rsid w:val="00752142"/>
    <w:rsid w:val="007523F9"/>
    <w:rsid w:val="0075357E"/>
    <w:rsid w:val="007551F2"/>
    <w:rsid w:val="00755256"/>
    <w:rsid w:val="007554CE"/>
    <w:rsid w:val="0075712E"/>
    <w:rsid w:val="007573E8"/>
    <w:rsid w:val="00760C4E"/>
    <w:rsid w:val="00760F9E"/>
    <w:rsid w:val="00761254"/>
    <w:rsid w:val="007627BE"/>
    <w:rsid w:val="00764F03"/>
    <w:rsid w:val="00765B1A"/>
    <w:rsid w:val="00765F2A"/>
    <w:rsid w:val="00766CCB"/>
    <w:rsid w:val="00767206"/>
    <w:rsid w:val="007706DF"/>
    <w:rsid w:val="00771326"/>
    <w:rsid w:val="007721F2"/>
    <w:rsid w:val="00775C1F"/>
    <w:rsid w:val="00777335"/>
    <w:rsid w:val="00777FBB"/>
    <w:rsid w:val="00780C20"/>
    <w:rsid w:val="0078116D"/>
    <w:rsid w:val="0078427B"/>
    <w:rsid w:val="007843F2"/>
    <w:rsid w:val="0078505E"/>
    <w:rsid w:val="00785153"/>
    <w:rsid w:val="00785A9F"/>
    <w:rsid w:val="0078616C"/>
    <w:rsid w:val="00786461"/>
    <w:rsid w:val="0078715F"/>
    <w:rsid w:val="007903F8"/>
    <w:rsid w:val="00790928"/>
    <w:rsid w:val="00790BFD"/>
    <w:rsid w:val="00790FD8"/>
    <w:rsid w:val="007925DF"/>
    <w:rsid w:val="00793725"/>
    <w:rsid w:val="007938E8"/>
    <w:rsid w:val="00794E97"/>
    <w:rsid w:val="00795196"/>
    <w:rsid w:val="00795853"/>
    <w:rsid w:val="0079608C"/>
    <w:rsid w:val="007976AA"/>
    <w:rsid w:val="007A08AA"/>
    <w:rsid w:val="007A0921"/>
    <w:rsid w:val="007A0A12"/>
    <w:rsid w:val="007A132D"/>
    <w:rsid w:val="007A1345"/>
    <w:rsid w:val="007A2DDB"/>
    <w:rsid w:val="007A2E51"/>
    <w:rsid w:val="007A34CD"/>
    <w:rsid w:val="007A41A7"/>
    <w:rsid w:val="007A537A"/>
    <w:rsid w:val="007A5EF2"/>
    <w:rsid w:val="007A60AA"/>
    <w:rsid w:val="007A70BA"/>
    <w:rsid w:val="007A79E9"/>
    <w:rsid w:val="007B0D68"/>
    <w:rsid w:val="007B22F2"/>
    <w:rsid w:val="007B251D"/>
    <w:rsid w:val="007B3081"/>
    <w:rsid w:val="007B3572"/>
    <w:rsid w:val="007B4F58"/>
    <w:rsid w:val="007B51ED"/>
    <w:rsid w:val="007B528D"/>
    <w:rsid w:val="007B5329"/>
    <w:rsid w:val="007B57D9"/>
    <w:rsid w:val="007B5F5A"/>
    <w:rsid w:val="007B63CA"/>
    <w:rsid w:val="007B6621"/>
    <w:rsid w:val="007B6B6E"/>
    <w:rsid w:val="007B7015"/>
    <w:rsid w:val="007B77D1"/>
    <w:rsid w:val="007C07C7"/>
    <w:rsid w:val="007C1C18"/>
    <w:rsid w:val="007C1CD9"/>
    <w:rsid w:val="007C31FD"/>
    <w:rsid w:val="007C32EF"/>
    <w:rsid w:val="007C361D"/>
    <w:rsid w:val="007C3C9D"/>
    <w:rsid w:val="007C3D9A"/>
    <w:rsid w:val="007C4B84"/>
    <w:rsid w:val="007C53E0"/>
    <w:rsid w:val="007C56B8"/>
    <w:rsid w:val="007C64B8"/>
    <w:rsid w:val="007C68D4"/>
    <w:rsid w:val="007C69EB"/>
    <w:rsid w:val="007C70FF"/>
    <w:rsid w:val="007C7735"/>
    <w:rsid w:val="007C7A8D"/>
    <w:rsid w:val="007C7C25"/>
    <w:rsid w:val="007D004F"/>
    <w:rsid w:val="007D0A08"/>
    <w:rsid w:val="007D0B38"/>
    <w:rsid w:val="007D0DA6"/>
    <w:rsid w:val="007D1454"/>
    <w:rsid w:val="007D1705"/>
    <w:rsid w:val="007D2EF8"/>
    <w:rsid w:val="007D3E8A"/>
    <w:rsid w:val="007D42AD"/>
    <w:rsid w:val="007D5055"/>
    <w:rsid w:val="007D5440"/>
    <w:rsid w:val="007D5944"/>
    <w:rsid w:val="007D69EB"/>
    <w:rsid w:val="007D6E15"/>
    <w:rsid w:val="007D716B"/>
    <w:rsid w:val="007D788C"/>
    <w:rsid w:val="007E0370"/>
    <w:rsid w:val="007E069E"/>
    <w:rsid w:val="007E0911"/>
    <w:rsid w:val="007E128F"/>
    <w:rsid w:val="007E3988"/>
    <w:rsid w:val="007E3B82"/>
    <w:rsid w:val="007E4185"/>
    <w:rsid w:val="007E49CD"/>
    <w:rsid w:val="007E55E1"/>
    <w:rsid w:val="007E6696"/>
    <w:rsid w:val="007E7010"/>
    <w:rsid w:val="007E7D16"/>
    <w:rsid w:val="007F014B"/>
    <w:rsid w:val="007F1017"/>
    <w:rsid w:val="007F349A"/>
    <w:rsid w:val="007F3AE2"/>
    <w:rsid w:val="007F4A3F"/>
    <w:rsid w:val="007F4A61"/>
    <w:rsid w:val="007F4AB4"/>
    <w:rsid w:val="007F5255"/>
    <w:rsid w:val="007F56CC"/>
    <w:rsid w:val="007F61C2"/>
    <w:rsid w:val="0080036D"/>
    <w:rsid w:val="00800F76"/>
    <w:rsid w:val="00802A89"/>
    <w:rsid w:val="00802B4C"/>
    <w:rsid w:val="008037D1"/>
    <w:rsid w:val="00805142"/>
    <w:rsid w:val="00805FCE"/>
    <w:rsid w:val="00806705"/>
    <w:rsid w:val="00807A8B"/>
    <w:rsid w:val="0081112E"/>
    <w:rsid w:val="00811383"/>
    <w:rsid w:val="00811D49"/>
    <w:rsid w:val="00812149"/>
    <w:rsid w:val="00812249"/>
    <w:rsid w:val="00812445"/>
    <w:rsid w:val="00812ACA"/>
    <w:rsid w:val="00812CAC"/>
    <w:rsid w:val="00814814"/>
    <w:rsid w:val="00815966"/>
    <w:rsid w:val="00815C19"/>
    <w:rsid w:val="00816361"/>
    <w:rsid w:val="00816507"/>
    <w:rsid w:val="008166EF"/>
    <w:rsid w:val="00816FEF"/>
    <w:rsid w:val="008170EF"/>
    <w:rsid w:val="00820A8C"/>
    <w:rsid w:val="008215FB"/>
    <w:rsid w:val="008224D4"/>
    <w:rsid w:val="008227CE"/>
    <w:rsid w:val="00822B16"/>
    <w:rsid w:val="00823174"/>
    <w:rsid w:val="00823349"/>
    <w:rsid w:val="008233F3"/>
    <w:rsid w:val="008234C6"/>
    <w:rsid w:val="00824786"/>
    <w:rsid w:val="00825474"/>
    <w:rsid w:val="00825751"/>
    <w:rsid w:val="008264EB"/>
    <w:rsid w:val="00826A2E"/>
    <w:rsid w:val="00826A32"/>
    <w:rsid w:val="00826DDD"/>
    <w:rsid w:val="00830975"/>
    <w:rsid w:val="00830E14"/>
    <w:rsid w:val="00831D68"/>
    <w:rsid w:val="00833003"/>
    <w:rsid w:val="00833B05"/>
    <w:rsid w:val="0083449A"/>
    <w:rsid w:val="008360BB"/>
    <w:rsid w:val="008360F4"/>
    <w:rsid w:val="008361F4"/>
    <w:rsid w:val="008362B4"/>
    <w:rsid w:val="0083708F"/>
    <w:rsid w:val="008371E3"/>
    <w:rsid w:val="00837DCB"/>
    <w:rsid w:val="00840CA2"/>
    <w:rsid w:val="00841DD8"/>
    <w:rsid w:val="00842945"/>
    <w:rsid w:val="0084374F"/>
    <w:rsid w:val="00843B59"/>
    <w:rsid w:val="00844A22"/>
    <w:rsid w:val="00847094"/>
    <w:rsid w:val="00847703"/>
    <w:rsid w:val="00847717"/>
    <w:rsid w:val="00847DF5"/>
    <w:rsid w:val="0085141C"/>
    <w:rsid w:val="00852134"/>
    <w:rsid w:val="0085233E"/>
    <w:rsid w:val="00852B65"/>
    <w:rsid w:val="0085309D"/>
    <w:rsid w:val="00853CA3"/>
    <w:rsid w:val="00856897"/>
    <w:rsid w:val="00856E7B"/>
    <w:rsid w:val="00856E9A"/>
    <w:rsid w:val="008606D4"/>
    <w:rsid w:val="0086075D"/>
    <w:rsid w:val="00862502"/>
    <w:rsid w:val="00862CC1"/>
    <w:rsid w:val="00864337"/>
    <w:rsid w:val="00864372"/>
    <w:rsid w:val="00864CC1"/>
    <w:rsid w:val="00864E28"/>
    <w:rsid w:val="008660D4"/>
    <w:rsid w:val="0087022C"/>
    <w:rsid w:val="0087121C"/>
    <w:rsid w:val="00871FA9"/>
    <w:rsid w:val="0087274B"/>
    <w:rsid w:val="008728E9"/>
    <w:rsid w:val="008752F3"/>
    <w:rsid w:val="00880C34"/>
    <w:rsid w:val="00882357"/>
    <w:rsid w:val="008827A1"/>
    <w:rsid w:val="00882874"/>
    <w:rsid w:val="00882E3C"/>
    <w:rsid w:val="00883787"/>
    <w:rsid w:val="00883A37"/>
    <w:rsid w:val="00884496"/>
    <w:rsid w:val="008855E4"/>
    <w:rsid w:val="00885932"/>
    <w:rsid w:val="008859B4"/>
    <w:rsid w:val="00886BF9"/>
    <w:rsid w:val="00886CD2"/>
    <w:rsid w:val="00886ECF"/>
    <w:rsid w:val="00887186"/>
    <w:rsid w:val="00891E6F"/>
    <w:rsid w:val="0089203C"/>
    <w:rsid w:val="00892271"/>
    <w:rsid w:val="0089275D"/>
    <w:rsid w:val="00892866"/>
    <w:rsid w:val="00892A36"/>
    <w:rsid w:val="00893239"/>
    <w:rsid w:val="00893C60"/>
    <w:rsid w:val="00893E9D"/>
    <w:rsid w:val="00893F66"/>
    <w:rsid w:val="00894489"/>
    <w:rsid w:val="00895234"/>
    <w:rsid w:val="008963A5"/>
    <w:rsid w:val="00896857"/>
    <w:rsid w:val="00896D5D"/>
    <w:rsid w:val="00897E2D"/>
    <w:rsid w:val="008A0DBB"/>
    <w:rsid w:val="008A1896"/>
    <w:rsid w:val="008A3363"/>
    <w:rsid w:val="008A3371"/>
    <w:rsid w:val="008A3C3E"/>
    <w:rsid w:val="008A6238"/>
    <w:rsid w:val="008A6263"/>
    <w:rsid w:val="008A65DE"/>
    <w:rsid w:val="008A68A8"/>
    <w:rsid w:val="008A68F3"/>
    <w:rsid w:val="008A79DE"/>
    <w:rsid w:val="008B1757"/>
    <w:rsid w:val="008B7992"/>
    <w:rsid w:val="008B7D7E"/>
    <w:rsid w:val="008C0281"/>
    <w:rsid w:val="008C1132"/>
    <w:rsid w:val="008C12F3"/>
    <w:rsid w:val="008C312B"/>
    <w:rsid w:val="008C33FC"/>
    <w:rsid w:val="008C40B1"/>
    <w:rsid w:val="008C5610"/>
    <w:rsid w:val="008C5739"/>
    <w:rsid w:val="008C7555"/>
    <w:rsid w:val="008C7ECB"/>
    <w:rsid w:val="008D0BC1"/>
    <w:rsid w:val="008D0EE0"/>
    <w:rsid w:val="008D26EB"/>
    <w:rsid w:val="008D3B86"/>
    <w:rsid w:val="008D4755"/>
    <w:rsid w:val="008D4C3D"/>
    <w:rsid w:val="008D4CD1"/>
    <w:rsid w:val="008D6707"/>
    <w:rsid w:val="008D67B4"/>
    <w:rsid w:val="008D6C11"/>
    <w:rsid w:val="008D6D14"/>
    <w:rsid w:val="008D727A"/>
    <w:rsid w:val="008D743C"/>
    <w:rsid w:val="008E0D3C"/>
    <w:rsid w:val="008E1277"/>
    <w:rsid w:val="008E1B9E"/>
    <w:rsid w:val="008E35C4"/>
    <w:rsid w:val="008E377D"/>
    <w:rsid w:val="008E3CAB"/>
    <w:rsid w:val="008E41DD"/>
    <w:rsid w:val="008E55AB"/>
    <w:rsid w:val="008E5AC8"/>
    <w:rsid w:val="008E5C29"/>
    <w:rsid w:val="008E687F"/>
    <w:rsid w:val="008E6B41"/>
    <w:rsid w:val="008F0FFB"/>
    <w:rsid w:val="008F10D8"/>
    <w:rsid w:val="008F120A"/>
    <w:rsid w:val="008F191C"/>
    <w:rsid w:val="008F27E0"/>
    <w:rsid w:val="008F394F"/>
    <w:rsid w:val="008F48EB"/>
    <w:rsid w:val="008F4F0B"/>
    <w:rsid w:val="008F5A1B"/>
    <w:rsid w:val="008F5A48"/>
    <w:rsid w:val="008F6746"/>
    <w:rsid w:val="008F7741"/>
    <w:rsid w:val="0090129D"/>
    <w:rsid w:val="009046C4"/>
    <w:rsid w:val="0090483B"/>
    <w:rsid w:val="009062A5"/>
    <w:rsid w:val="009063C2"/>
    <w:rsid w:val="00906845"/>
    <w:rsid w:val="00910FA7"/>
    <w:rsid w:val="00911272"/>
    <w:rsid w:val="009135D6"/>
    <w:rsid w:val="0091383A"/>
    <w:rsid w:val="00913B34"/>
    <w:rsid w:val="00914C77"/>
    <w:rsid w:val="00915DD2"/>
    <w:rsid w:val="00916186"/>
    <w:rsid w:val="009166B8"/>
    <w:rsid w:val="00921ACB"/>
    <w:rsid w:val="0092369B"/>
    <w:rsid w:val="00923F14"/>
    <w:rsid w:val="0092521E"/>
    <w:rsid w:val="00925275"/>
    <w:rsid w:val="00925B77"/>
    <w:rsid w:val="00925C8E"/>
    <w:rsid w:val="00926765"/>
    <w:rsid w:val="00926BF4"/>
    <w:rsid w:val="00927DF5"/>
    <w:rsid w:val="009310DA"/>
    <w:rsid w:val="00932FD8"/>
    <w:rsid w:val="00933853"/>
    <w:rsid w:val="0093400E"/>
    <w:rsid w:val="00934116"/>
    <w:rsid w:val="00934988"/>
    <w:rsid w:val="00935D76"/>
    <w:rsid w:val="00937089"/>
    <w:rsid w:val="00937D6C"/>
    <w:rsid w:val="009412F4"/>
    <w:rsid w:val="0094393B"/>
    <w:rsid w:val="00943C73"/>
    <w:rsid w:val="00944F8A"/>
    <w:rsid w:val="0094524D"/>
    <w:rsid w:val="0094597F"/>
    <w:rsid w:val="009460A1"/>
    <w:rsid w:val="00947C2E"/>
    <w:rsid w:val="00950BBC"/>
    <w:rsid w:val="009510A2"/>
    <w:rsid w:val="0095287A"/>
    <w:rsid w:val="00953257"/>
    <w:rsid w:val="0095474C"/>
    <w:rsid w:val="00955224"/>
    <w:rsid w:val="00955B3D"/>
    <w:rsid w:val="009609DF"/>
    <w:rsid w:val="00962CB9"/>
    <w:rsid w:val="00964264"/>
    <w:rsid w:val="00964312"/>
    <w:rsid w:val="009650EC"/>
    <w:rsid w:val="009657DC"/>
    <w:rsid w:val="00965B8A"/>
    <w:rsid w:val="0096645C"/>
    <w:rsid w:val="0096770F"/>
    <w:rsid w:val="00967D47"/>
    <w:rsid w:val="0097071F"/>
    <w:rsid w:val="00970F0E"/>
    <w:rsid w:val="009717AC"/>
    <w:rsid w:val="00972625"/>
    <w:rsid w:val="0097331F"/>
    <w:rsid w:val="009751C1"/>
    <w:rsid w:val="00975E7D"/>
    <w:rsid w:val="009763CD"/>
    <w:rsid w:val="00976849"/>
    <w:rsid w:val="00976F41"/>
    <w:rsid w:val="009772BA"/>
    <w:rsid w:val="00980937"/>
    <w:rsid w:val="0098093A"/>
    <w:rsid w:val="0098108D"/>
    <w:rsid w:val="009811F1"/>
    <w:rsid w:val="00981C1E"/>
    <w:rsid w:val="00982667"/>
    <w:rsid w:val="009833ED"/>
    <w:rsid w:val="00983E57"/>
    <w:rsid w:val="00985A8E"/>
    <w:rsid w:val="00985DDC"/>
    <w:rsid w:val="00985DE2"/>
    <w:rsid w:val="0098675D"/>
    <w:rsid w:val="009870D2"/>
    <w:rsid w:val="009877FB"/>
    <w:rsid w:val="00987ABB"/>
    <w:rsid w:val="009901CD"/>
    <w:rsid w:val="009905F7"/>
    <w:rsid w:val="00991B6D"/>
    <w:rsid w:val="00992270"/>
    <w:rsid w:val="009923CD"/>
    <w:rsid w:val="009926E0"/>
    <w:rsid w:val="0099451E"/>
    <w:rsid w:val="0099493A"/>
    <w:rsid w:val="00994E5E"/>
    <w:rsid w:val="00996264"/>
    <w:rsid w:val="00996B1A"/>
    <w:rsid w:val="009970E5"/>
    <w:rsid w:val="0099765A"/>
    <w:rsid w:val="0099796D"/>
    <w:rsid w:val="009A2225"/>
    <w:rsid w:val="009A2D35"/>
    <w:rsid w:val="009A2DCC"/>
    <w:rsid w:val="009A3138"/>
    <w:rsid w:val="009A4A8F"/>
    <w:rsid w:val="009A506D"/>
    <w:rsid w:val="009A51F0"/>
    <w:rsid w:val="009A5ABC"/>
    <w:rsid w:val="009A7F10"/>
    <w:rsid w:val="009B096A"/>
    <w:rsid w:val="009B0F66"/>
    <w:rsid w:val="009B3E26"/>
    <w:rsid w:val="009B3EC1"/>
    <w:rsid w:val="009B6CA7"/>
    <w:rsid w:val="009C0F98"/>
    <w:rsid w:val="009C2719"/>
    <w:rsid w:val="009C277D"/>
    <w:rsid w:val="009C32B9"/>
    <w:rsid w:val="009C33E5"/>
    <w:rsid w:val="009C3706"/>
    <w:rsid w:val="009C37F9"/>
    <w:rsid w:val="009C3A3A"/>
    <w:rsid w:val="009C41E3"/>
    <w:rsid w:val="009C434B"/>
    <w:rsid w:val="009C4990"/>
    <w:rsid w:val="009C6CEA"/>
    <w:rsid w:val="009C7B85"/>
    <w:rsid w:val="009D0254"/>
    <w:rsid w:val="009D171D"/>
    <w:rsid w:val="009D1A64"/>
    <w:rsid w:val="009D1C72"/>
    <w:rsid w:val="009D2DE0"/>
    <w:rsid w:val="009D3528"/>
    <w:rsid w:val="009D39B2"/>
    <w:rsid w:val="009D4340"/>
    <w:rsid w:val="009D5B91"/>
    <w:rsid w:val="009D792E"/>
    <w:rsid w:val="009E0DFE"/>
    <w:rsid w:val="009E1653"/>
    <w:rsid w:val="009E2E93"/>
    <w:rsid w:val="009E31F6"/>
    <w:rsid w:val="009E4527"/>
    <w:rsid w:val="009E4C07"/>
    <w:rsid w:val="009E620F"/>
    <w:rsid w:val="009F0452"/>
    <w:rsid w:val="009F266B"/>
    <w:rsid w:val="009F366D"/>
    <w:rsid w:val="009F3B55"/>
    <w:rsid w:val="009F3EA4"/>
    <w:rsid w:val="009F475F"/>
    <w:rsid w:val="009F7A77"/>
    <w:rsid w:val="00A00823"/>
    <w:rsid w:val="00A00A54"/>
    <w:rsid w:val="00A01184"/>
    <w:rsid w:val="00A01F91"/>
    <w:rsid w:val="00A037C2"/>
    <w:rsid w:val="00A0380C"/>
    <w:rsid w:val="00A03BC9"/>
    <w:rsid w:val="00A03D43"/>
    <w:rsid w:val="00A03E9C"/>
    <w:rsid w:val="00A04380"/>
    <w:rsid w:val="00A046E1"/>
    <w:rsid w:val="00A04F39"/>
    <w:rsid w:val="00A04F5E"/>
    <w:rsid w:val="00A05472"/>
    <w:rsid w:val="00A05C32"/>
    <w:rsid w:val="00A0653F"/>
    <w:rsid w:val="00A06EE6"/>
    <w:rsid w:val="00A07555"/>
    <w:rsid w:val="00A11A68"/>
    <w:rsid w:val="00A11CD0"/>
    <w:rsid w:val="00A13948"/>
    <w:rsid w:val="00A13D7C"/>
    <w:rsid w:val="00A14C51"/>
    <w:rsid w:val="00A1555B"/>
    <w:rsid w:val="00A155C5"/>
    <w:rsid w:val="00A1570D"/>
    <w:rsid w:val="00A15D85"/>
    <w:rsid w:val="00A16AD8"/>
    <w:rsid w:val="00A217EF"/>
    <w:rsid w:val="00A21C95"/>
    <w:rsid w:val="00A21CF3"/>
    <w:rsid w:val="00A22C1B"/>
    <w:rsid w:val="00A24813"/>
    <w:rsid w:val="00A27AEC"/>
    <w:rsid w:val="00A303D2"/>
    <w:rsid w:val="00A3064E"/>
    <w:rsid w:val="00A3094E"/>
    <w:rsid w:val="00A320DB"/>
    <w:rsid w:val="00A32A19"/>
    <w:rsid w:val="00A33F05"/>
    <w:rsid w:val="00A3495B"/>
    <w:rsid w:val="00A35D16"/>
    <w:rsid w:val="00A379E5"/>
    <w:rsid w:val="00A37BCD"/>
    <w:rsid w:val="00A41689"/>
    <w:rsid w:val="00A41BC6"/>
    <w:rsid w:val="00A41D7B"/>
    <w:rsid w:val="00A42592"/>
    <w:rsid w:val="00A42703"/>
    <w:rsid w:val="00A43C59"/>
    <w:rsid w:val="00A464C4"/>
    <w:rsid w:val="00A4689A"/>
    <w:rsid w:val="00A47B2A"/>
    <w:rsid w:val="00A47B9D"/>
    <w:rsid w:val="00A50ECD"/>
    <w:rsid w:val="00A518F3"/>
    <w:rsid w:val="00A52729"/>
    <w:rsid w:val="00A53675"/>
    <w:rsid w:val="00A55F99"/>
    <w:rsid w:val="00A564D7"/>
    <w:rsid w:val="00A56B6A"/>
    <w:rsid w:val="00A57060"/>
    <w:rsid w:val="00A578DC"/>
    <w:rsid w:val="00A60FD4"/>
    <w:rsid w:val="00A61C43"/>
    <w:rsid w:val="00A62321"/>
    <w:rsid w:val="00A63C90"/>
    <w:rsid w:val="00A63D52"/>
    <w:rsid w:val="00A640E2"/>
    <w:rsid w:val="00A64B1E"/>
    <w:rsid w:val="00A64D65"/>
    <w:rsid w:val="00A6725B"/>
    <w:rsid w:val="00A67E55"/>
    <w:rsid w:val="00A70515"/>
    <w:rsid w:val="00A70595"/>
    <w:rsid w:val="00A70605"/>
    <w:rsid w:val="00A70B1B"/>
    <w:rsid w:val="00A71D1B"/>
    <w:rsid w:val="00A73134"/>
    <w:rsid w:val="00A73D4A"/>
    <w:rsid w:val="00A74C51"/>
    <w:rsid w:val="00A75EAB"/>
    <w:rsid w:val="00A76001"/>
    <w:rsid w:val="00A768D8"/>
    <w:rsid w:val="00A777B2"/>
    <w:rsid w:val="00A77C05"/>
    <w:rsid w:val="00A809F9"/>
    <w:rsid w:val="00A816A2"/>
    <w:rsid w:val="00A81FEC"/>
    <w:rsid w:val="00A8241B"/>
    <w:rsid w:val="00A825D4"/>
    <w:rsid w:val="00A8280D"/>
    <w:rsid w:val="00A828F6"/>
    <w:rsid w:val="00A82B73"/>
    <w:rsid w:val="00A82C89"/>
    <w:rsid w:val="00A8464F"/>
    <w:rsid w:val="00A85DE9"/>
    <w:rsid w:val="00A85FED"/>
    <w:rsid w:val="00A86694"/>
    <w:rsid w:val="00A86E8B"/>
    <w:rsid w:val="00A87164"/>
    <w:rsid w:val="00A9018B"/>
    <w:rsid w:val="00A90E2B"/>
    <w:rsid w:val="00A90E40"/>
    <w:rsid w:val="00A914B0"/>
    <w:rsid w:val="00A91904"/>
    <w:rsid w:val="00A91D67"/>
    <w:rsid w:val="00A925A4"/>
    <w:rsid w:val="00A92D2A"/>
    <w:rsid w:val="00A93072"/>
    <w:rsid w:val="00A938BD"/>
    <w:rsid w:val="00A93953"/>
    <w:rsid w:val="00A93EE9"/>
    <w:rsid w:val="00A959D8"/>
    <w:rsid w:val="00A95CE4"/>
    <w:rsid w:val="00A95D33"/>
    <w:rsid w:val="00A95FDC"/>
    <w:rsid w:val="00A9673D"/>
    <w:rsid w:val="00A96C52"/>
    <w:rsid w:val="00A96DAB"/>
    <w:rsid w:val="00AA071F"/>
    <w:rsid w:val="00AA113D"/>
    <w:rsid w:val="00AA1366"/>
    <w:rsid w:val="00AA24CC"/>
    <w:rsid w:val="00AA6BD5"/>
    <w:rsid w:val="00AA6BD8"/>
    <w:rsid w:val="00AA6C7D"/>
    <w:rsid w:val="00AA7FD6"/>
    <w:rsid w:val="00AB042A"/>
    <w:rsid w:val="00AB0740"/>
    <w:rsid w:val="00AB1767"/>
    <w:rsid w:val="00AB19EF"/>
    <w:rsid w:val="00AB1EA7"/>
    <w:rsid w:val="00AB2131"/>
    <w:rsid w:val="00AB2D34"/>
    <w:rsid w:val="00AB3430"/>
    <w:rsid w:val="00AB37B9"/>
    <w:rsid w:val="00AB3BEA"/>
    <w:rsid w:val="00AB4AD1"/>
    <w:rsid w:val="00AB5E07"/>
    <w:rsid w:val="00AB6791"/>
    <w:rsid w:val="00AB6E53"/>
    <w:rsid w:val="00AB7CFA"/>
    <w:rsid w:val="00AC0E4A"/>
    <w:rsid w:val="00AC16C9"/>
    <w:rsid w:val="00AC16DC"/>
    <w:rsid w:val="00AC3084"/>
    <w:rsid w:val="00AC3386"/>
    <w:rsid w:val="00AC4C3A"/>
    <w:rsid w:val="00AC5B48"/>
    <w:rsid w:val="00AC625E"/>
    <w:rsid w:val="00AD1450"/>
    <w:rsid w:val="00AD5DCE"/>
    <w:rsid w:val="00AD6502"/>
    <w:rsid w:val="00AD7C44"/>
    <w:rsid w:val="00AE0436"/>
    <w:rsid w:val="00AE0695"/>
    <w:rsid w:val="00AE07D2"/>
    <w:rsid w:val="00AE1958"/>
    <w:rsid w:val="00AE1B11"/>
    <w:rsid w:val="00AE1C68"/>
    <w:rsid w:val="00AE250A"/>
    <w:rsid w:val="00AE2E7C"/>
    <w:rsid w:val="00AE33ED"/>
    <w:rsid w:val="00AE387B"/>
    <w:rsid w:val="00AE3E7E"/>
    <w:rsid w:val="00AE4C5C"/>
    <w:rsid w:val="00AE5DA5"/>
    <w:rsid w:val="00AE6C59"/>
    <w:rsid w:val="00AF0480"/>
    <w:rsid w:val="00AF11B2"/>
    <w:rsid w:val="00AF1315"/>
    <w:rsid w:val="00AF19BF"/>
    <w:rsid w:val="00AF2DC3"/>
    <w:rsid w:val="00AF3171"/>
    <w:rsid w:val="00B00BFC"/>
    <w:rsid w:val="00B00EA8"/>
    <w:rsid w:val="00B01A44"/>
    <w:rsid w:val="00B02565"/>
    <w:rsid w:val="00B03337"/>
    <w:rsid w:val="00B033E5"/>
    <w:rsid w:val="00B03A63"/>
    <w:rsid w:val="00B044AB"/>
    <w:rsid w:val="00B0700C"/>
    <w:rsid w:val="00B0768D"/>
    <w:rsid w:val="00B10838"/>
    <w:rsid w:val="00B1105A"/>
    <w:rsid w:val="00B1170F"/>
    <w:rsid w:val="00B11872"/>
    <w:rsid w:val="00B127D7"/>
    <w:rsid w:val="00B13282"/>
    <w:rsid w:val="00B14209"/>
    <w:rsid w:val="00B1653E"/>
    <w:rsid w:val="00B1726A"/>
    <w:rsid w:val="00B172FC"/>
    <w:rsid w:val="00B201A4"/>
    <w:rsid w:val="00B201D1"/>
    <w:rsid w:val="00B213A6"/>
    <w:rsid w:val="00B21461"/>
    <w:rsid w:val="00B2242E"/>
    <w:rsid w:val="00B22AF7"/>
    <w:rsid w:val="00B22D3E"/>
    <w:rsid w:val="00B22EC0"/>
    <w:rsid w:val="00B23492"/>
    <w:rsid w:val="00B235B0"/>
    <w:rsid w:val="00B24B42"/>
    <w:rsid w:val="00B24C0F"/>
    <w:rsid w:val="00B24DF6"/>
    <w:rsid w:val="00B25A74"/>
    <w:rsid w:val="00B2752C"/>
    <w:rsid w:val="00B275EB"/>
    <w:rsid w:val="00B31E7D"/>
    <w:rsid w:val="00B325AB"/>
    <w:rsid w:val="00B33127"/>
    <w:rsid w:val="00B332A3"/>
    <w:rsid w:val="00B33B59"/>
    <w:rsid w:val="00B34185"/>
    <w:rsid w:val="00B34FE2"/>
    <w:rsid w:val="00B35166"/>
    <w:rsid w:val="00B35178"/>
    <w:rsid w:val="00B357D8"/>
    <w:rsid w:val="00B360F4"/>
    <w:rsid w:val="00B36A00"/>
    <w:rsid w:val="00B36CC7"/>
    <w:rsid w:val="00B37BFC"/>
    <w:rsid w:val="00B40358"/>
    <w:rsid w:val="00B4052C"/>
    <w:rsid w:val="00B41614"/>
    <w:rsid w:val="00B41A9A"/>
    <w:rsid w:val="00B42579"/>
    <w:rsid w:val="00B42851"/>
    <w:rsid w:val="00B4287E"/>
    <w:rsid w:val="00B42F80"/>
    <w:rsid w:val="00B435CB"/>
    <w:rsid w:val="00B43D2D"/>
    <w:rsid w:val="00B44148"/>
    <w:rsid w:val="00B44540"/>
    <w:rsid w:val="00B44E92"/>
    <w:rsid w:val="00B46E13"/>
    <w:rsid w:val="00B46F78"/>
    <w:rsid w:val="00B473FD"/>
    <w:rsid w:val="00B47623"/>
    <w:rsid w:val="00B505C8"/>
    <w:rsid w:val="00B50692"/>
    <w:rsid w:val="00B50DB8"/>
    <w:rsid w:val="00B51AEA"/>
    <w:rsid w:val="00B53188"/>
    <w:rsid w:val="00B53654"/>
    <w:rsid w:val="00B53905"/>
    <w:rsid w:val="00B54B5B"/>
    <w:rsid w:val="00B5562E"/>
    <w:rsid w:val="00B55D65"/>
    <w:rsid w:val="00B5698C"/>
    <w:rsid w:val="00B57000"/>
    <w:rsid w:val="00B602A2"/>
    <w:rsid w:val="00B60939"/>
    <w:rsid w:val="00B60AFD"/>
    <w:rsid w:val="00B61718"/>
    <w:rsid w:val="00B62715"/>
    <w:rsid w:val="00B64B13"/>
    <w:rsid w:val="00B65611"/>
    <w:rsid w:val="00B66CE2"/>
    <w:rsid w:val="00B6780C"/>
    <w:rsid w:val="00B70330"/>
    <w:rsid w:val="00B70E8E"/>
    <w:rsid w:val="00B71565"/>
    <w:rsid w:val="00B718AA"/>
    <w:rsid w:val="00B73642"/>
    <w:rsid w:val="00B73DD3"/>
    <w:rsid w:val="00B73F2A"/>
    <w:rsid w:val="00B74A5B"/>
    <w:rsid w:val="00B76C92"/>
    <w:rsid w:val="00B77ABF"/>
    <w:rsid w:val="00B8017F"/>
    <w:rsid w:val="00B818A4"/>
    <w:rsid w:val="00B820DC"/>
    <w:rsid w:val="00B82166"/>
    <w:rsid w:val="00B83D63"/>
    <w:rsid w:val="00B84117"/>
    <w:rsid w:val="00B8421F"/>
    <w:rsid w:val="00B84846"/>
    <w:rsid w:val="00B858F0"/>
    <w:rsid w:val="00B85AA2"/>
    <w:rsid w:val="00B85BED"/>
    <w:rsid w:val="00B8649C"/>
    <w:rsid w:val="00B86848"/>
    <w:rsid w:val="00B8695D"/>
    <w:rsid w:val="00B8772B"/>
    <w:rsid w:val="00B87F0A"/>
    <w:rsid w:val="00B9014A"/>
    <w:rsid w:val="00B90790"/>
    <w:rsid w:val="00B9083D"/>
    <w:rsid w:val="00B91BB2"/>
    <w:rsid w:val="00B91D09"/>
    <w:rsid w:val="00B92B42"/>
    <w:rsid w:val="00B92D0B"/>
    <w:rsid w:val="00B92FDE"/>
    <w:rsid w:val="00B9425B"/>
    <w:rsid w:val="00B94945"/>
    <w:rsid w:val="00B94DD6"/>
    <w:rsid w:val="00B96557"/>
    <w:rsid w:val="00B96A16"/>
    <w:rsid w:val="00B96CF7"/>
    <w:rsid w:val="00B9758F"/>
    <w:rsid w:val="00BA00B6"/>
    <w:rsid w:val="00BA05EA"/>
    <w:rsid w:val="00BA0E04"/>
    <w:rsid w:val="00BA110D"/>
    <w:rsid w:val="00BA1379"/>
    <w:rsid w:val="00BA1D2C"/>
    <w:rsid w:val="00BA20FC"/>
    <w:rsid w:val="00BA322D"/>
    <w:rsid w:val="00BA3440"/>
    <w:rsid w:val="00BA4CAE"/>
    <w:rsid w:val="00BA63FA"/>
    <w:rsid w:val="00BA6CF4"/>
    <w:rsid w:val="00BA7C5B"/>
    <w:rsid w:val="00BB00B3"/>
    <w:rsid w:val="00BB028D"/>
    <w:rsid w:val="00BB0BDD"/>
    <w:rsid w:val="00BB176C"/>
    <w:rsid w:val="00BB1A3B"/>
    <w:rsid w:val="00BB1C8D"/>
    <w:rsid w:val="00BB1FA0"/>
    <w:rsid w:val="00BB2A73"/>
    <w:rsid w:val="00BB2F2D"/>
    <w:rsid w:val="00BB3A45"/>
    <w:rsid w:val="00BB40BF"/>
    <w:rsid w:val="00BB4ACC"/>
    <w:rsid w:val="00BB5B50"/>
    <w:rsid w:val="00BB6E24"/>
    <w:rsid w:val="00BB703E"/>
    <w:rsid w:val="00BB732D"/>
    <w:rsid w:val="00BB7405"/>
    <w:rsid w:val="00BC235F"/>
    <w:rsid w:val="00BC3110"/>
    <w:rsid w:val="00BC343E"/>
    <w:rsid w:val="00BC3631"/>
    <w:rsid w:val="00BC4175"/>
    <w:rsid w:val="00BC447D"/>
    <w:rsid w:val="00BC48E0"/>
    <w:rsid w:val="00BC591F"/>
    <w:rsid w:val="00BC7D6D"/>
    <w:rsid w:val="00BD045D"/>
    <w:rsid w:val="00BD1D73"/>
    <w:rsid w:val="00BD2108"/>
    <w:rsid w:val="00BD2181"/>
    <w:rsid w:val="00BD33D0"/>
    <w:rsid w:val="00BD3711"/>
    <w:rsid w:val="00BD54F3"/>
    <w:rsid w:val="00BD64C1"/>
    <w:rsid w:val="00BD684B"/>
    <w:rsid w:val="00BD68A3"/>
    <w:rsid w:val="00BD6938"/>
    <w:rsid w:val="00BD6CF3"/>
    <w:rsid w:val="00BD7D5E"/>
    <w:rsid w:val="00BE017E"/>
    <w:rsid w:val="00BE0C27"/>
    <w:rsid w:val="00BE0ECA"/>
    <w:rsid w:val="00BE2180"/>
    <w:rsid w:val="00BE21F2"/>
    <w:rsid w:val="00BE2BAB"/>
    <w:rsid w:val="00BE38A2"/>
    <w:rsid w:val="00BE4275"/>
    <w:rsid w:val="00BE6808"/>
    <w:rsid w:val="00BF038A"/>
    <w:rsid w:val="00BF06AE"/>
    <w:rsid w:val="00BF0F95"/>
    <w:rsid w:val="00BF1F8C"/>
    <w:rsid w:val="00BF2433"/>
    <w:rsid w:val="00BF247B"/>
    <w:rsid w:val="00BF2F47"/>
    <w:rsid w:val="00BF3073"/>
    <w:rsid w:val="00BF40F3"/>
    <w:rsid w:val="00BF45DC"/>
    <w:rsid w:val="00BF5003"/>
    <w:rsid w:val="00BF61C9"/>
    <w:rsid w:val="00BF6C94"/>
    <w:rsid w:val="00C00248"/>
    <w:rsid w:val="00C00424"/>
    <w:rsid w:val="00C04B86"/>
    <w:rsid w:val="00C058E6"/>
    <w:rsid w:val="00C06D49"/>
    <w:rsid w:val="00C1006A"/>
    <w:rsid w:val="00C10E2A"/>
    <w:rsid w:val="00C1179F"/>
    <w:rsid w:val="00C12C14"/>
    <w:rsid w:val="00C12CF7"/>
    <w:rsid w:val="00C14B7C"/>
    <w:rsid w:val="00C1503A"/>
    <w:rsid w:val="00C15F04"/>
    <w:rsid w:val="00C176C0"/>
    <w:rsid w:val="00C179B3"/>
    <w:rsid w:val="00C17AC7"/>
    <w:rsid w:val="00C17C6F"/>
    <w:rsid w:val="00C17E3F"/>
    <w:rsid w:val="00C200AA"/>
    <w:rsid w:val="00C20620"/>
    <w:rsid w:val="00C234FD"/>
    <w:rsid w:val="00C23751"/>
    <w:rsid w:val="00C237ED"/>
    <w:rsid w:val="00C24632"/>
    <w:rsid w:val="00C25418"/>
    <w:rsid w:val="00C25D9C"/>
    <w:rsid w:val="00C2778B"/>
    <w:rsid w:val="00C27846"/>
    <w:rsid w:val="00C27C24"/>
    <w:rsid w:val="00C31017"/>
    <w:rsid w:val="00C31609"/>
    <w:rsid w:val="00C31649"/>
    <w:rsid w:val="00C340BC"/>
    <w:rsid w:val="00C3434C"/>
    <w:rsid w:val="00C35DC7"/>
    <w:rsid w:val="00C37AD8"/>
    <w:rsid w:val="00C40385"/>
    <w:rsid w:val="00C404FF"/>
    <w:rsid w:val="00C41768"/>
    <w:rsid w:val="00C41F2B"/>
    <w:rsid w:val="00C42906"/>
    <w:rsid w:val="00C43189"/>
    <w:rsid w:val="00C44023"/>
    <w:rsid w:val="00C44169"/>
    <w:rsid w:val="00C44E89"/>
    <w:rsid w:val="00C452FF"/>
    <w:rsid w:val="00C454EB"/>
    <w:rsid w:val="00C45DC8"/>
    <w:rsid w:val="00C4646B"/>
    <w:rsid w:val="00C475AA"/>
    <w:rsid w:val="00C475DA"/>
    <w:rsid w:val="00C47F41"/>
    <w:rsid w:val="00C50DA4"/>
    <w:rsid w:val="00C52ACD"/>
    <w:rsid w:val="00C52EEB"/>
    <w:rsid w:val="00C53C98"/>
    <w:rsid w:val="00C5581D"/>
    <w:rsid w:val="00C56E11"/>
    <w:rsid w:val="00C56FCF"/>
    <w:rsid w:val="00C572C4"/>
    <w:rsid w:val="00C57B6C"/>
    <w:rsid w:val="00C609B5"/>
    <w:rsid w:val="00C626E5"/>
    <w:rsid w:val="00C628A6"/>
    <w:rsid w:val="00C634C8"/>
    <w:rsid w:val="00C64344"/>
    <w:rsid w:val="00C64CB9"/>
    <w:rsid w:val="00C65108"/>
    <w:rsid w:val="00C6517A"/>
    <w:rsid w:val="00C65576"/>
    <w:rsid w:val="00C66136"/>
    <w:rsid w:val="00C66165"/>
    <w:rsid w:val="00C6729C"/>
    <w:rsid w:val="00C67F25"/>
    <w:rsid w:val="00C7060A"/>
    <w:rsid w:val="00C7151A"/>
    <w:rsid w:val="00C717E3"/>
    <w:rsid w:val="00C71F60"/>
    <w:rsid w:val="00C72241"/>
    <w:rsid w:val="00C74CF6"/>
    <w:rsid w:val="00C750C8"/>
    <w:rsid w:val="00C7535F"/>
    <w:rsid w:val="00C7560F"/>
    <w:rsid w:val="00C76C96"/>
    <w:rsid w:val="00C800FE"/>
    <w:rsid w:val="00C80106"/>
    <w:rsid w:val="00C8086B"/>
    <w:rsid w:val="00C80A0E"/>
    <w:rsid w:val="00C8213F"/>
    <w:rsid w:val="00C82AFC"/>
    <w:rsid w:val="00C838BA"/>
    <w:rsid w:val="00C85154"/>
    <w:rsid w:val="00C86123"/>
    <w:rsid w:val="00C86B6F"/>
    <w:rsid w:val="00C87067"/>
    <w:rsid w:val="00C8797A"/>
    <w:rsid w:val="00C900B8"/>
    <w:rsid w:val="00C90122"/>
    <w:rsid w:val="00C90C71"/>
    <w:rsid w:val="00C90C84"/>
    <w:rsid w:val="00C91FD1"/>
    <w:rsid w:val="00C92D6F"/>
    <w:rsid w:val="00C931CF"/>
    <w:rsid w:val="00C938CF"/>
    <w:rsid w:val="00C94053"/>
    <w:rsid w:val="00C94276"/>
    <w:rsid w:val="00C9624D"/>
    <w:rsid w:val="00C969DA"/>
    <w:rsid w:val="00CA0169"/>
    <w:rsid w:val="00CA2C77"/>
    <w:rsid w:val="00CA2EBC"/>
    <w:rsid w:val="00CA3EC5"/>
    <w:rsid w:val="00CA3ECA"/>
    <w:rsid w:val="00CA444F"/>
    <w:rsid w:val="00CA5245"/>
    <w:rsid w:val="00CA5C7A"/>
    <w:rsid w:val="00CA6C8E"/>
    <w:rsid w:val="00CA71F4"/>
    <w:rsid w:val="00CA753A"/>
    <w:rsid w:val="00CA78F0"/>
    <w:rsid w:val="00CA7B09"/>
    <w:rsid w:val="00CB0766"/>
    <w:rsid w:val="00CB0E22"/>
    <w:rsid w:val="00CB1036"/>
    <w:rsid w:val="00CB12A5"/>
    <w:rsid w:val="00CB1901"/>
    <w:rsid w:val="00CB1CAC"/>
    <w:rsid w:val="00CB2430"/>
    <w:rsid w:val="00CB2F2A"/>
    <w:rsid w:val="00CB3BD4"/>
    <w:rsid w:val="00CB567B"/>
    <w:rsid w:val="00CB5B1A"/>
    <w:rsid w:val="00CB6B22"/>
    <w:rsid w:val="00CB7608"/>
    <w:rsid w:val="00CB7CD3"/>
    <w:rsid w:val="00CB7F5F"/>
    <w:rsid w:val="00CC0182"/>
    <w:rsid w:val="00CC1B02"/>
    <w:rsid w:val="00CC1B39"/>
    <w:rsid w:val="00CC1B57"/>
    <w:rsid w:val="00CC2DE2"/>
    <w:rsid w:val="00CC3510"/>
    <w:rsid w:val="00CC35EA"/>
    <w:rsid w:val="00CC3848"/>
    <w:rsid w:val="00CC3861"/>
    <w:rsid w:val="00CC5673"/>
    <w:rsid w:val="00CC60F8"/>
    <w:rsid w:val="00CC76E0"/>
    <w:rsid w:val="00CD3CA2"/>
    <w:rsid w:val="00CD3F77"/>
    <w:rsid w:val="00CD6ADC"/>
    <w:rsid w:val="00CD7193"/>
    <w:rsid w:val="00CE0F5A"/>
    <w:rsid w:val="00CE1CE2"/>
    <w:rsid w:val="00CE2401"/>
    <w:rsid w:val="00CE2C9D"/>
    <w:rsid w:val="00CE2CB5"/>
    <w:rsid w:val="00CE38C8"/>
    <w:rsid w:val="00CE4809"/>
    <w:rsid w:val="00CE6274"/>
    <w:rsid w:val="00CE6D2D"/>
    <w:rsid w:val="00CE6E21"/>
    <w:rsid w:val="00CE73E9"/>
    <w:rsid w:val="00CE75DF"/>
    <w:rsid w:val="00CE77B6"/>
    <w:rsid w:val="00CF2A40"/>
    <w:rsid w:val="00CF2B8D"/>
    <w:rsid w:val="00CF456B"/>
    <w:rsid w:val="00CF5024"/>
    <w:rsid w:val="00CF5A22"/>
    <w:rsid w:val="00CF6050"/>
    <w:rsid w:val="00CF764C"/>
    <w:rsid w:val="00CF799A"/>
    <w:rsid w:val="00D00E60"/>
    <w:rsid w:val="00D01AAB"/>
    <w:rsid w:val="00D0262E"/>
    <w:rsid w:val="00D02949"/>
    <w:rsid w:val="00D03D51"/>
    <w:rsid w:val="00D03E8E"/>
    <w:rsid w:val="00D041FB"/>
    <w:rsid w:val="00D05618"/>
    <w:rsid w:val="00D05788"/>
    <w:rsid w:val="00D05E3D"/>
    <w:rsid w:val="00D06139"/>
    <w:rsid w:val="00D06AEC"/>
    <w:rsid w:val="00D0760F"/>
    <w:rsid w:val="00D10B5F"/>
    <w:rsid w:val="00D110BD"/>
    <w:rsid w:val="00D118B8"/>
    <w:rsid w:val="00D11F18"/>
    <w:rsid w:val="00D12BE7"/>
    <w:rsid w:val="00D13675"/>
    <w:rsid w:val="00D141E1"/>
    <w:rsid w:val="00D15314"/>
    <w:rsid w:val="00D16787"/>
    <w:rsid w:val="00D171BD"/>
    <w:rsid w:val="00D17D6C"/>
    <w:rsid w:val="00D2155B"/>
    <w:rsid w:val="00D22867"/>
    <w:rsid w:val="00D23D11"/>
    <w:rsid w:val="00D24036"/>
    <w:rsid w:val="00D2421F"/>
    <w:rsid w:val="00D244B6"/>
    <w:rsid w:val="00D25B80"/>
    <w:rsid w:val="00D2754D"/>
    <w:rsid w:val="00D27B27"/>
    <w:rsid w:val="00D30445"/>
    <w:rsid w:val="00D32DCC"/>
    <w:rsid w:val="00D33BE9"/>
    <w:rsid w:val="00D33F93"/>
    <w:rsid w:val="00D34E91"/>
    <w:rsid w:val="00D357FF"/>
    <w:rsid w:val="00D360E1"/>
    <w:rsid w:val="00D37CE1"/>
    <w:rsid w:val="00D406E3"/>
    <w:rsid w:val="00D4101F"/>
    <w:rsid w:val="00D42258"/>
    <w:rsid w:val="00D424C7"/>
    <w:rsid w:val="00D43B2A"/>
    <w:rsid w:val="00D43D83"/>
    <w:rsid w:val="00D43EB5"/>
    <w:rsid w:val="00D457A9"/>
    <w:rsid w:val="00D45BC2"/>
    <w:rsid w:val="00D46DCF"/>
    <w:rsid w:val="00D4749B"/>
    <w:rsid w:val="00D47575"/>
    <w:rsid w:val="00D47D50"/>
    <w:rsid w:val="00D507B4"/>
    <w:rsid w:val="00D508F0"/>
    <w:rsid w:val="00D516FD"/>
    <w:rsid w:val="00D51B4E"/>
    <w:rsid w:val="00D5243B"/>
    <w:rsid w:val="00D533EC"/>
    <w:rsid w:val="00D546F3"/>
    <w:rsid w:val="00D553C1"/>
    <w:rsid w:val="00D56A95"/>
    <w:rsid w:val="00D56DC5"/>
    <w:rsid w:val="00D579FF"/>
    <w:rsid w:val="00D609B1"/>
    <w:rsid w:val="00D613D6"/>
    <w:rsid w:val="00D6370B"/>
    <w:rsid w:val="00D64658"/>
    <w:rsid w:val="00D70BB4"/>
    <w:rsid w:val="00D70F16"/>
    <w:rsid w:val="00D72271"/>
    <w:rsid w:val="00D726CF"/>
    <w:rsid w:val="00D72F57"/>
    <w:rsid w:val="00D737CC"/>
    <w:rsid w:val="00D73A72"/>
    <w:rsid w:val="00D745E8"/>
    <w:rsid w:val="00D74866"/>
    <w:rsid w:val="00D756A2"/>
    <w:rsid w:val="00D76A44"/>
    <w:rsid w:val="00D80519"/>
    <w:rsid w:val="00D815EF"/>
    <w:rsid w:val="00D81F26"/>
    <w:rsid w:val="00D82F7F"/>
    <w:rsid w:val="00D83D36"/>
    <w:rsid w:val="00D854A0"/>
    <w:rsid w:val="00D86231"/>
    <w:rsid w:val="00D876BB"/>
    <w:rsid w:val="00D91923"/>
    <w:rsid w:val="00D93753"/>
    <w:rsid w:val="00D93C5B"/>
    <w:rsid w:val="00D94080"/>
    <w:rsid w:val="00D95CBD"/>
    <w:rsid w:val="00D96557"/>
    <w:rsid w:val="00D9663B"/>
    <w:rsid w:val="00D97B02"/>
    <w:rsid w:val="00D97B92"/>
    <w:rsid w:val="00D97D72"/>
    <w:rsid w:val="00DA2BE5"/>
    <w:rsid w:val="00DA3167"/>
    <w:rsid w:val="00DA4DC3"/>
    <w:rsid w:val="00DA6D79"/>
    <w:rsid w:val="00DA77A5"/>
    <w:rsid w:val="00DA7BFE"/>
    <w:rsid w:val="00DA7F57"/>
    <w:rsid w:val="00DB043A"/>
    <w:rsid w:val="00DB0DF3"/>
    <w:rsid w:val="00DB2CD4"/>
    <w:rsid w:val="00DB2EAB"/>
    <w:rsid w:val="00DB3916"/>
    <w:rsid w:val="00DB3DBF"/>
    <w:rsid w:val="00DB484F"/>
    <w:rsid w:val="00DB5319"/>
    <w:rsid w:val="00DB6043"/>
    <w:rsid w:val="00DB651A"/>
    <w:rsid w:val="00DB6B6A"/>
    <w:rsid w:val="00DB6EED"/>
    <w:rsid w:val="00DB71B0"/>
    <w:rsid w:val="00DB7BCF"/>
    <w:rsid w:val="00DB7C7C"/>
    <w:rsid w:val="00DC04F6"/>
    <w:rsid w:val="00DC0690"/>
    <w:rsid w:val="00DC0795"/>
    <w:rsid w:val="00DC162E"/>
    <w:rsid w:val="00DC1D65"/>
    <w:rsid w:val="00DC25DA"/>
    <w:rsid w:val="00DC300C"/>
    <w:rsid w:val="00DC389B"/>
    <w:rsid w:val="00DC3C57"/>
    <w:rsid w:val="00DC4D96"/>
    <w:rsid w:val="00DC4E5E"/>
    <w:rsid w:val="00DC51A5"/>
    <w:rsid w:val="00DC5468"/>
    <w:rsid w:val="00DC5501"/>
    <w:rsid w:val="00DC5A06"/>
    <w:rsid w:val="00DC6706"/>
    <w:rsid w:val="00DC7154"/>
    <w:rsid w:val="00DC7E8A"/>
    <w:rsid w:val="00DD0F78"/>
    <w:rsid w:val="00DD1872"/>
    <w:rsid w:val="00DD20AD"/>
    <w:rsid w:val="00DD273C"/>
    <w:rsid w:val="00DD3611"/>
    <w:rsid w:val="00DD3F28"/>
    <w:rsid w:val="00DD4537"/>
    <w:rsid w:val="00DD4E15"/>
    <w:rsid w:val="00DD506C"/>
    <w:rsid w:val="00DD5387"/>
    <w:rsid w:val="00DD595E"/>
    <w:rsid w:val="00DD5BE4"/>
    <w:rsid w:val="00DD6986"/>
    <w:rsid w:val="00DD69FB"/>
    <w:rsid w:val="00DD73C3"/>
    <w:rsid w:val="00DE1ABB"/>
    <w:rsid w:val="00DE2304"/>
    <w:rsid w:val="00DE3138"/>
    <w:rsid w:val="00DE37F8"/>
    <w:rsid w:val="00DE4FCB"/>
    <w:rsid w:val="00DE4FCD"/>
    <w:rsid w:val="00DE5667"/>
    <w:rsid w:val="00DE5A54"/>
    <w:rsid w:val="00DE5D07"/>
    <w:rsid w:val="00DE72A7"/>
    <w:rsid w:val="00DE72F1"/>
    <w:rsid w:val="00DE75BD"/>
    <w:rsid w:val="00DE7832"/>
    <w:rsid w:val="00DF1431"/>
    <w:rsid w:val="00DF167A"/>
    <w:rsid w:val="00DF18FC"/>
    <w:rsid w:val="00DF197E"/>
    <w:rsid w:val="00DF3DFE"/>
    <w:rsid w:val="00DF466E"/>
    <w:rsid w:val="00DF4863"/>
    <w:rsid w:val="00DF511B"/>
    <w:rsid w:val="00DF5519"/>
    <w:rsid w:val="00DF5D2B"/>
    <w:rsid w:val="00DF6120"/>
    <w:rsid w:val="00E00E8E"/>
    <w:rsid w:val="00E03C11"/>
    <w:rsid w:val="00E03F26"/>
    <w:rsid w:val="00E05630"/>
    <w:rsid w:val="00E06065"/>
    <w:rsid w:val="00E06DBB"/>
    <w:rsid w:val="00E072CF"/>
    <w:rsid w:val="00E10149"/>
    <w:rsid w:val="00E11340"/>
    <w:rsid w:val="00E12161"/>
    <w:rsid w:val="00E122A1"/>
    <w:rsid w:val="00E130E8"/>
    <w:rsid w:val="00E14213"/>
    <w:rsid w:val="00E14511"/>
    <w:rsid w:val="00E14612"/>
    <w:rsid w:val="00E15569"/>
    <w:rsid w:val="00E16372"/>
    <w:rsid w:val="00E165E5"/>
    <w:rsid w:val="00E16D31"/>
    <w:rsid w:val="00E176CA"/>
    <w:rsid w:val="00E177AF"/>
    <w:rsid w:val="00E206F0"/>
    <w:rsid w:val="00E20E4D"/>
    <w:rsid w:val="00E20ED6"/>
    <w:rsid w:val="00E21358"/>
    <w:rsid w:val="00E2249B"/>
    <w:rsid w:val="00E227A1"/>
    <w:rsid w:val="00E229A9"/>
    <w:rsid w:val="00E22A0D"/>
    <w:rsid w:val="00E23BA8"/>
    <w:rsid w:val="00E242BB"/>
    <w:rsid w:val="00E244F6"/>
    <w:rsid w:val="00E265F6"/>
    <w:rsid w:val="00E26DCA"/>
    <w:rsid w:val="00E2771E"/>
    <w:rsid w:val="00E311EF"/>
    <w:rsid w:val="00E31465"/>
    <w:rsid w:val="00E315C3"/>
    <w:rsid w:val="00E31A1C"/>
    <w:rsid w:val="00E31B53"/>
    <w:rsid w:val="00E31C7E"/>
    <w:rsid w:val="00E3215C"/>
    <w:rsid w:val="00E32180"/>
    <w:rsid w:val="00E3223C"/>
    <w:rsid w:val="00E32426"/>
    <w:rsid w:val="00E34602"/>
    <w:rsid w:val="00E34948"/>
    <w:rsid w:val="00E34B88"/>
    <w:rsid w:val="00E34DDA"/>
    <w:rsid w:val="00E35438"/>
    <w:rsid w:val="00E36C7F"/>
    <w:rsid w:val="00E37569"/>
    <w:rsid w:val="00E37F8E"/>
    <w:rsid w:val="00E401B2"/>
    <w:rsid w:val="00E4164D"/>
    <w:rsid w:val="00E41E30"/>
    <w:rsid w:val="00E4244E"/>
    <w:rsid w:val="00E42932"/>
    <w:rsid w:val="00E42F73"/>
    <w:rsid w:val="00E43D70"/>
    <w:rsid w:val="00E43DFA"/>
    <w:rsid w:val="00E44B79"/>
    <w:rsid w:val="00E45168"/>
    <w:rsid w:val="00E466F3"/>
    <w:rsid w:val="00E47304"/>
    <w:rsid w:val="00E47632"/>
    <w:rsid w:val="00E47B2C"/>
    <w:rsid w:val="00E5008C"/>
    <w:rsid w:val="00E50E8A"/>
    <w:rsid w:val="00E51560"/>
    <w:rsid w:val="00E51CC3"/>
    <w:rsid w:val="00E533A1"/>
    <w:rsid w:val="00E53FC8"/>
    <w:rsid w:val="00E54347"/>
    <w:rsid w:val="00E55083"/>
    <w:rsid w:val="00E55424"/>
    <w:rsid w:val="00E55915"/>
    <w:rsid w:val="00E55BB5"/>
    <w:rsid w:val="00E55BB9"/>
    <w:rsid w:val="00E561E8"/>
    <w:rsid w:val="00E57BF3"/>
    <w:rsid w:val="00E57F8B"/>
    <w:rsid w:val="00E61E10"/>
    <w:rsid w:val="00E6200E"/>
    <w:rsid w:val="00E62636"/>
    <w:rsid w:val="00E6287D"/>
    <w:rsid w:val="00E636C7"/>
    <w:rsid w:val="00E6389D"/>
    <w:rsid w:val="00E65B72"/>
    <w:rsid w:val="00E65E79"/>
    <w:rsid w:val="00E66463"/>
    <w:rsid w:val="00E66BA2"/>
    <w:rsid w:val="00E66BA3"/>
    <w:rsid w:val="00E67416"/>
    <w:rsid w:val="00E6759A"/>
    <w:rsid w:val="00E71227"/>
    <w:rsid w:val="00E718B6"/>
    <w:rsid w:val="00E723BA"/>
    <w:rsid w:val="00E734B8"/>
    <w:rsid w:val="00E73581"/>
    <w:rsid w:val="00E738F0"/>
    <w:rsid w:val="00E74674"/>
    <w:rsid w:val="00E75B55"/>
    <w:rsid w:val="00E75DC0"/>
    <w:rsid w:val="00E77436"/>
    <w:rsid w:val="00E7794D"/>
    <w:rsid w:val="00E77E73"/>
    <w:rsid w:val="00E77E7D"/>
    <w:rsid w:val="00E77E8F"/>
    <w:rsid w:val="00E80396"/>
    <w:rsid w:val="00E8113E"/>
    <w:rsid w:val="00E815E5"/>
    <w:rsid w:val="00E81EB3"/>
    <w:rsid w:val="00E82294"/>
    <w:rsid w:val="00E82CB1"/>
    <w:rsid w:val="00E833F7"/>
    <w:rsid w:val="00E83BDF"/>
    <w:rsid w:val="00E860D0"/>
    <w:rsid w:val="00E87A1D"/>
    <w:rsid w:val="00E906D0"/>
    <w:rsid w:val="00E9094A"/>
    <w:rsid w:val="00E90C92"/>
    <w:rsid w:val="00E91D35"/>
    <w:rsid w:val="00E926A5"/>
    <w:rsid w:val="00E9272C"/>
    <w:rsid w:val="00E93678"/>
    <w:rsid w:val="00E94A2D"/>
    <w:rsid w:val="00E95229"/>
    <w:rsid w:val="00E9675C"/>
    <w:rsid w:val="00E968A4"/>
    <w:rsid w:val="00E9713A"/>
    <w:rsid w:val="00EA17C3"/>
    <w:rsid w:val="00EA19F3"/>
    <w:rsid w:val="00EA2213"/>
    <w:rsid w:val="00EA2CAA"/>
    <w:rsid w:val="00EA2D76"/>
    <w:rsid w:val="00EA33AD"/>
    <w:rsid w:val="00EA3864"/>
    <w:rsid w:val="00EA4C5B"/>
    <w:rsid w:val="00EA7F1C"/>
    <w:rsid w:val="00EB141F"/>
    <w:rsid w:val="00EB1590"/>
    <w:rsid w:val="00EB15B6"/>
    <w:rsid w:val="00EB15F8"/>
    <w:rsid w:val="00EB3D06"/>
    <w:rsid w:val="00EB3F8B"/>
    <w:rsid w:val="00EB47B4"/>
    <w:rsid w:val="00EB4916"/>
    <w:rsid w:val="00EB5385"/>
    <w:rsid w:val="00EB6389"/>
    <w:rsid w:val="00EB6A59"/>
    <w:rsid w:val="00EB6A79"/>
    <w:rsid w:val="00EC00C9"/>
    <w:rsid w:val="00EC0DD9"/>
    <w:rsid w:val="00EC146C"/>
    <w:rsid w:val="00EC2649"/>
    <w:rsid w:val="00EC31ED"/>
    <w:rsid w:val="00EC4011"/>
    <w:rsid w:val="00EC51CF"/>
    <w:rsid w:val="00EC56A6"/>
    <w:rsid w:val="00EC5836"/>
    <w:rsid w:val="00EC5F20"/>
    <w:rsid w:val="00EC63CD"/>
    <w:rsid w:val="00EC688C"/>
    <w:rsid w:val="00EC73CA"/>
    <w:rsid w:val="00EC7ED4"/>
    <w:rsid w:val="00ED18DA"/>
    <w:rsid w:val="00ED224E"/>
    <w:rsid w:val="00ED2586"/>
    <w:rsid w:val="00ED2E93"/>
    <w:rsid w:val="00ED3379"/>
    <w:rsid w:val="00ED34AD"/>
    <w:rsid w:val="00ED37F0"/>
    <w:rsid w:val="00ED39E4"/>
    <w:rsid w:val="00ED3C04"/>
    <w:rsid w:val="00ED4487"/>
    <w:rsid w:val="00ED49DE"/>
    <w:rsid w:val="00ED57EA"/>
    <w:rsid w:val="00ED581C"/>
    <w:rsid w:val="00ED5BD4"/>
    <w:rsid w:val="00EE07D3"/>
    <w:rsid w:val="00EE1996"/>
    <w:rsid w:val="00EE1C01"/>
    <w:rsid w:val="00EE1F35"/>
    <w:rsid w:val="00EE21C0"/>
    <w:rsid w:val="00EE22AF"/>
    <w:rsid w:val="00EE3113"/>
    <w:rsid w:val="00EE4C00"/>
    <w:rsid w:val="00EE4E3C"/>
    <w:rsid w:val="00EE5062"/>
    <w:rsid w:val="00EE5FD8"/>
    <w:rsid w:val="00EE7B1B"/>
    <w:rsid w:val="00EF0171"/>
    <w:rsid w:val="00EF02A2"/>
    <w:rsid w:val="00EF0397"/>
    <w:rsid w:val="00EF1B25"/>
    <w:rsid w:val="00EF1DA0"/>
    <w:rsid w:val="00EF1F93"/>
    <w:rsid w:val="00EF2F31"/>
    <w:rsid w:val="00EF398C"/>
    <w:rsid w:val="00EF4077"/>
    <w:rsid w:val="00EF432F"/>
    <w:rsid w:val="00EF4747"/>
    <w:rsid w:val="00EF4B81"/>
    <w:rsid w:val="00EF4BF8"/>
    <w:rsid w:val="00EF5472"/>
    <w:rsid w:val="00EF5E4F"/>
    <w:rsid w:val="00EF5F71"/>
    <w:rsid w:val="00EF664B"/>
    <w:rsid w:val="00F00167"/>
    <w:rsid w:val="00F013CA"/>
    <w:rsid w:val="00F02253"/>
    <w:rsid w:val="00F03C2E"/>
    <w:rsid w:val="00F04A13"/>
    <w:rsid w:val="00F04A66"/>
    <w:rsid w:val="00F04B4B"/>
    <w:rsid w:val="00F04BAB"/>
    <w:rsid w:val="00F0516C"/>
    <w:rsid w:val="00F067A2"/>
    <w:rsid w:val="00F0690B"/>
    <w:rsid w:val="00F07010"/>
    <w:rsid w:val="00F070F7"/>
    <w:rsid w:val="00F07B9E"/>
    <w:rsid w:val="00F07BB4"/>
    <w:rsid w:val="00F1116F"/>
    <w:rsid w:val="00F11A1C"/>
    <w:rsid w:val="00F12060"/>
    <w:rsid w:val="00F1263A"/>
    <w:rsid w:val="00F15B77"/>
    <w:rsid w:val="00F15CA7"/>
    <w:rsid w:val="00F16547"/>
    <w:rsid w:val="00F16A89"/>
    <w:rsid w:val="00F17382"/>
    <w:rsid w:val="00F204DE"/>
    <w:rsid w:val="00F206EE"/>
    <w:rsid w:val="00F22443"/>
    <w:rsid w:val="00F24837"/>
    <w:rsid w:val="00F24F16"/>
    <w:rsid w:val="00F2575F"/>
    <w:rsid w:val="00F25A39"/>
    <w:rsid w:val="00F2644D"/>
    <w:rsid w:val="00F27565"/>
    <w:rsid w:val="00F310D4"/>
    <w:rsid w:val="00F31BDF"/>
    <w:rsid w:val="00F31C7D"/>
    <w:rsid w:val="00F31D5A"/>
    <w:rsid w:val="00F32356"/>
    <w:rsid w:val="00F32497"/>
    <w:rsid w:val="00F32669"/>
    <w:rsid w:val="00F33975"/>
    <w:rsid w:val="00F33DE9"/>
    <w:rsid w:val="00F343C6"/>
    <w:rsid w:val="00F346C4"/>
    <w:rsid w:val="00F34E1C"/>
    <w:rsid w:val="00F35134"/>
    <w:rsid w:val="00F35E6D"/>
    <w:rsid w:val="00F3619A"/>
    <w:rsid w:val="00F401FD"/>
    <w:rsid w:val="00F4068D"/>
    <w:rsid w:val="00F409ED"/>
    <w:rsid w:val="00F40AAA"/>
    <w:rsid w:val="00F40BA7"/>
    <w:rsid w:val="00F40D92"/>
    <w:rsid w:val="00F40F9D"/>
    <w:rsid w:val="00F4188D"/>
    <w:rsid w:val="00F41ACD"/>
    <w:rsid w:val="00F43927"/>
    <w:rsid w:val="00F44227"/>
    <w:rsid w:val="00F44E08"/>
    <w:rsid w:val="00F45A4E"/>
    <w:rsid w:val="00F45F02"/>
    <w:rsid w:val="00F46CB6"/>
    <w:rsid w:val="00F4736C"/>
    <w:rsid w:val="00F4756D"/>
    <w:rsid w:val="00F4797B"/>
    <w:rsid w:val="00F47DE8"/>
    <w:rsid w:val="00F5002B"/>
    <w:rsid w:val="00F53C9E"/>
    <w:rsid w:val="00F542C1"/>
    <w:rsid w:val="00F55E73"/>
    <w:rsid w:val="00F55EDA"/>
    <w:rsid w:val="00F56C80"/>
    <w:rsid w:val="00F60092"/>
    <w:rsid w:val="00F61C18"/>
    <w:rsid w:val="00F63E0F"/>
    <w:rsid w:val="00F641E4"/>
    <w:rsid w:val="00F64D92"/>
    <w:rsid w:val="00F655E6"/>
    <w:rsid w:val="00F65F4B"/>
    <w:rsid w:val="00F66D06"/>
    <w:rsid w:val="00F67122"/>
    <w:rsid w:val="00F67763"/>
    <w:rsid w:val="00F67A69"/>
    <w:rsid w:val="00F70651"/>
    <w:rsid w:val="00F70893"/>
    <w:rsid w:val="00F70BFF"/>
    <w:rsid w:val="00F70C9D"/>
    <w:rsid w:val="00F7136A"/>
    <w:rsid w:val="00F73677"/>
    <w:rsid w:val="00F73AA9"/>
    <w:rsid w:val="00F73B4E"/>
    <w:rsid w:val="00F74971"/>
    <w:rsid w:val="00F74CD9"/>
    <w:rsid w:val="00F76FA6"/>
    <w:rsid w:val="00F77308"/>
    <w:rsid w:val="00F800D7"/>
    <w:rsid w:val="00F802BA"/>
    <w:rsid w:val="00F80A7B"/>
    <w:rsid w:val="00F80E5D"/>
    <w:rsid w:val="00F81E78"/>
    <w:rsid w:val="00F83F03"/>
    <w:rsid w:val="00F851CE"/>
    <w:rsid w:val="00F85933"/>
    <w:rsid w:val="00F86DF8"/>
    <w:rsid w:val="00F87801"/>
    <w:rsid w:val="00F91219"/>
    <w:rsid w:val="00F92020"/>
    <w:rsid w:val="00F92444"/>
    <w:rsid w:val="00F936D1"/>
    <w:rsid w:val="00F9393E"/>
    <w:rsid w:val="00F93BC0"/>
    <w:rsid w:val="00F95A7F"/>
    <w:rsid w:val="00F96FD0"/>
    <w:rsid w:val="00F97A78"/>
    <w:rsid w:val="00FA0B20"/>
    <w:rsid w:val="00FA1449"/>
    <w:rsid w:val="00FA19C3"/>
    <w:rsid w:val="00FA24E7"/>
    <w:rsid w:val="00FA3DE2"/>
    <w:rsid w:val="00FA5D81"/>
    <w:rsid w:val="00FA5EE6"/>
    <w:rsid w:val="00FA6258"/>
    <w:rsid w:val="00FA6DF9"/>
    <w:rsid w:val="00FA78EC"/>
    <w:rsid w:val="00FA7956"/>
    <w:rsid w:val="00FB22FC"/>
    <w:rsid w:val="00FB2FCB"/>
    <w:rsid w:val="00FB428B"/>
    <w:rsid w:val="00FB44EE"/>
    <w:rsid w:val="00FB455D"/>
    <w:rsid w:val="00FB499C"/>
    <w:rsid w:val="00FB6117"/>
    <w:rsid w:val="00FB62F8"/>
    <w:rsid w:val="00FB6C0B"/>
    <w:rsid w:val="00FB6DB5"/>
    <w:rsid w:val="00FB746B"/>
    <w:rsid w:val="00FB77C9"/>
    <w:rsid w:val="00FB7C55"/>
    <w:rsid w:val="00FC031C"/>
    <w:rsid w:val="00FC1074"/>
    <w:rsid w:val="00FC10D0"/>
    <w:rsid w:val="00FC14CC"/>
    <w:rsid w:val="00FC1650"/>
    <w:rsid w:val="00FC1884"/>
    <w:rsid w:val="00FC287E"/>
    <w:rsid w:val="00FC371D"/>
    <w:rsid w:val="00FC3F2D"/>
    <w:rsid w:val="00FC42BE"/>
    <w:rsid w:val="00FC5F0B"/>
    <w:rsid w:val="00FC6282"/>
    <w:rsid w:val="00FC76E4"/>
    <w:rsid w:val="00FD071C"/>
    <w:rsid w:val="00FD2100"/>
    <w:rsid w:val="00FD22A7"/>
    <w:rsid w:val="00FD31C7"/>
    <w:rsid w:val="00FD3500"/>
    <w:rsid w:val="00FD3578"/>
    <w:rsid w:val="00FD436C"/>
    <w:rsid w:val="00FD446D"/>
    <w:rsid w:val="00FD48C9"/>
    <w:rsid w:val="00FD4E7F"/>
    <w:rsid w:val="00FD4F2C"/>
    <w:rsid w:val="00FD562B"/>
    <w:rsid w:val="00FD6394"/>
    <w:rsid w:val="00FD64FB"/>
    <w:rsid w:val="00FE0E6C"/>
    <w:rsid w:val="00FE1248"/>
    <w:rsid w:val="00FE1C74"/>
    <w:rsid w:val="00FE1CDC"/>
    <w:rsid w:val="00FE3948"/>
    <w:rsid w:val="00FE52D2"/>
    <w:rsid w:val="00FE66DE"/>
    <w:rsid w:val="00FE6D0E"/>
    <w:rsid w:val="00FE6F06"/>
    <w:rsid w:val="00FE70C3"/>
    <w:rsid w:val="00FF020B"/>
    <w:rsid w:val="00FF0BEA"/>
    <w:rsid w:val="00FF0F9B"/>
    <w:rsid w:val="00FF1789"/>
    <w:rsid w:val="00FF1AA1"/>
    <w:rsid w:val="00FF1F94"/>
    <w:rsid w:val="00FF2093"/>
    <w:rsid w:val="00FF2AD9"/>
    <w:rsid w:val="00FF2B0C"/>
    <w:rsid w:val="00FF2EC5"/>
    <w:rsid w:val="00FF359F"/>
    <w:rsid w:val="00FF3DCF"/>
    <w:rsid w:val="00FF492C"/>
    <w:rsid w:val="00FF4A21"/>
    <w:rsid w:val="00FF5AA3"/>
    <w:rsid w:val="00FF5AD8"/>
    <w:rsid w:val="00FF6D8D"/>
    <w:rsid w:val="00FF7641"/>
    <w:rsid w:val="00FF79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DDD"/>
    <w:pPr>
      <w:jc w:val="both"/>
    </w:pPr>
    <w:rPr>
      <w:rFonts w:asciiTheme="minorHAnsi" w:hAnsiTheme="minorHAnsi"/>
      <w:sz w:val="24"/>
      <w:szCs w:val="24"/>
      <w:lang w:eastAsia="en-GB"/>
    </w:rPr>
  </w:style>
  <w:style w:type="paragraph" w:styleId="Heading1">
    <w:name w:val="heading 1"/>
    <w:basedOn w:val="Normal"/>
    <w:next w:val="Normal"/>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uiPriority w:val="9"/>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har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 H16,Char1,Body Text PP,Body Text Char1 Char,Body Text Char3 Char Char,Body Text Char2 Char1 Char Char,Body Text Char1 Char Char1 Char Char,Body Text Char Char Char Char1 Char Char,Body Text Char1 Char Char Char Char1 Char Char"/>
    <w:basedOn w:val="Normal"/>
    <w:link w:val="BodyTextChar"/>
    <w:qFormat/>
    <w:rsid w:val="004B3DDB"/>
  </w:style>
  <w:style w:type="character" w:customStyle="1" w:styleId="BodyTextChar">
    <w:name w:val="Body Text Char"/>
    <w:aliases w:val="- H16 Char,Char1 Char,Body Text PP Char,Body Text Char1 Char Char,Body Text Char3 Char Char Char,Body Text Char2 Char1 Char Char Char,Body Text Char1 Char Char1 Char Char Char,Body Text Char Char Char Char1 Char Char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ES Paragraph,PBAC normal points,Bullet List,Bullet 1,Bullet1,Summary Bulle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5618D4"/>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rsid w:val="00FD2100"/>
    <w:rPr>
      <w:rFonts w:ascii="Times New Roman" w:hAnsi="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9970E5"/>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qFormat/>
    <w:rsid w:val="00EE1996"/>
    <w:pPr>
      <w:numPr>
        <w:numId w:val="4"/>
      </w:numPr>
      <w:contextualSpacing/>
    </w:pPr>
  </w:style>
  <w:style w:type="character" w:customStyle="1" w:styleId="TableTextChar0">
    <w:name w:val="Table Text Char"/>
    <w:basedOn w:val="DefaultParagraphFont"/>
    <w:link w:val="TableText0"/>
    <w:rsid w:val="009970E5"/>
    <w:rPr>
      <w:rFonts w:ascii="Arial Narrow" w:eastAsiaTheme="majorEastAsia" w:hAnsi="Arial Narrow" w:cstheme="majorBidi"/>
      <w:bCs/>
      <w:szCs w:val="24"/>
    </w:rPr>
  </w:style>
  <w:style w:type="paragraph" w:customStyle="1" w:styleId="TableHeading0">
    <w:name w:val="Table Heading"/>
    <w:basedOn w:val="TableText0"/>
    <w:link w:val="TableHeadingChar"/>
    <w:rsid w:val="002F722E"/>
    <w:pPr>
      <w:keepLines/>
      <w:spacing w:before="20" w:after="20" w:line="276" w:lineRule="auto"/>
    </w:pPr>
    <w:rPr>
      <w:rFonts w:cs="Arial"/>
      <w:b/>
      <w:bCs w:val="0"/>
      <w:szCs w:val="20"/>
      <w:lang w:bidi="en-US"/>
    </w:rPr>
  </w:style>
  <w:style w:type="table" w:customStyle="1" w:styleId="AZTable">
    <w:name w:val="AZ Table"/>
    <w:basedOn w:val="TableNormal"/>
    <w:uiPriority w:val="99"/>
    <w:rsid w:val="002F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locked/>
    <w:rsid w:val="002F722E"/>
    <w:rPr>
      <w:rFonts w:ascii="Arial Narrow" w:eastAsiaTheme="majorEastAsia" w:hAnsi="Arial Narrow" w:cs="Arial"/>
      <w:b/>
      <w:lang w:bidi="en-US"/>
    </w:rPr>
  </w:style>
  <w:style w:type="paragraph" w:styleId="FootnoteText">
    <w:name w:val="footnote text"/>
    <w:basedOn w:val="Normal"/>
    <w:link w:val="FootnoteTextChar"/>
    <w:uiPriority w:val="99"/>
    <w:semiHidden/>
    <w:rsid w:val="00802A89"/>
    <w:rPr>
      <w:rFonts w:eastAsiaTheme="minorHAnsi" w:cstheme="minorBidi"/>
      <w:sz w:val="18"/>
      <w:szCs w:val="20"/>
      <w:lang w:eastAsia="en-US"/>
    </w:rPr>
  </w:style>
  <w:style w:type="character" w:customStyle="1" w:styleId="FootnoteTextChar">
    <w:name w:val="Footnote Text Char"/>
    <w:basedOn w:val="DefaultParagraphFont"/>
    <w:link w:val="FootnoteText"/>
    <w:uiPriority w:val="99"/>
    <w:semiHidden/>
    <w:rsid w:val="00802A89"/>
    <w:rPr>
      <w:rFonts w:asciiTheme="minorHAnsi" w:eastAsiaTheme="minorHAnsi" w:hAnsiTheme="minorHAnsi" w:cstheme="minorBidi"/>
      <w:sz w:val="18"/>
      <w:lang w:eastAsia="en-US"/>
    </w:rPr>
  </w:style>
  <w:style w:type="character" w:styleId="FootnoteReference">
    <w:name w:val="footnote reference"/>
    <w:basedOn w:val="DefaultParagraphFont"/>
    <w:uiPriority w:val="99"/>
    <w:semiHidden/>
    <w:rsid w:val="00802A89"/>
    <w:rPr>
      <w:vertAlign w:val="superscript"/>
    </w:rPr>
  </w:style>
  <w:style w:type="table" w:customStyle="1" w:styleId="PBACTableStyle">
    <w:name w:val="PBAC Table Style"/>
    <w:basedOn w:val="TableGrid1"/>
    <w:uiPriority w:val="99"/>
    <w:rsid w:val="00F00167"/>
    <w:pPr>
      <w:widowControl w:val="0"/>
      <w:spacing w:before="120"/>
      <w:contextualSpacing/>
      <w:jc w:val="center"/>
    </w:pPr>
    <w:rPr>
      <w:rFonts w:ascii="Arial Narrow" w:eastAsiaTheme="minorHAnsi" w:hAnsi="Arial Narrow" w:cstheme="minorBidi"/>
      <w:color w:val="000000" w:themeColor="text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TableNumber">
    <w:name w:val="Table Number"/>
    <w:basedOn w:val="TableText0"/>
    <w:link w:val="TableNumberChar"/>
    <w:rsid w:val="00F00167"/>
    <w:pPr>
      <w:keepNext w:val="0"/>
      <w:widowControl w:val="0"/>
      <w:tabs>
        <w:tab w:val="decimal" w:pos="396"/>
      </w:tabs>
      <w:spacing w:before="40" w:after="40" w:line="256" w:lineRule="auto"/>
      <w:jc w:val="center"/>
    </w:pPr>
    <w:rPr>
      <w:rFonts w:eastAsiaTheme="minorHAnsi" w:cstheme="minorBidi"/>
      <w:bCs w:val="0"/>
      <w:szCs w:val="22"/>
      <w:lang w:eastAsia="en-US"/>
    </w:rPr>
  </w:style>
  <w:style w:type="character" w:customStyle="1" w:styleId="TableNumberChar">
    <w:name w:val="Table Number Char"/>
    <w:basedOn w:val="TableTextChar0"/>
    <w:link w:val="TableNumber"/>
    <w:rsid w:val="00F00167"/>
    <w:rPr>
      <w:rFonts w:ascii="Arial Narrow" w:eastAsiaTheme="minorHAnsi" w:hAnsi="Arial Narrow" w:cstheme="minorBidi"/>
      <w:bCs w:val="0"/>
      <w:szCs w:val="22"/>
      <w:lang w:eastAsia="en-US"/>
    </w:rPr>
  </w:style>
  <w:style w:type="table" w:styleId="TableGrid1">
    <w:name w:val="Table Grid 1"/>
    <w:basedOn w:val="TableNormal"/>
    <w:semiHidden/>
    <w:unhideWhenUsed/>
    <w:rsid w:val="00F0016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BACESParagraphBulletPoint">
    <w:name w:val="PBAC ES Paragraph Bullet Point"/>
    <w:basedOn w:val="ListParagraph"/>
    <w:link w:val="PBACESParagraphBulletPointChar"/>
    <w:uiPriority w:val="1"/>
    <w:rsid w:val="00406708"/>
    <w:pPr>
      <w:numPr>
        <w:numId w:val="7"/>
      </w:numPr>
      <w:spacing w:before="120"/>
    </w:pPr>
    <w:rPr>
      <w:rFonts w:eastAsiaTheme="minorHAnsi" w:cstheme="minorBidi"/>
      <w:snapToGrid/>
      <w:color w:val="000000" w:themeColor="text1"/>
      <w:szCs w:val="22"/>
      <w:lang w:eastAsia="en-US"/>
    </w:rPr>
  </w:style>
  <w:style w:type="character" w:customStyle="1" w:styleId="PBACESParagraphBulletPointChar">
    <w:name w:val="PBAC ES Paragraph Bullet Point Char"/>
    <w:basedOn w:val="DefaultParagraphFont"/>
    <w:link w:val="PBACESParagraphBulletPoint"/>
    <w:uiPriority w:val="1"/>
    <w:rsid w:val="00406708"/>
    <w:rPr>
      <w:rFonts w:asciiTheme="minorHAnsi" w:eastAsiaTheme="minorHAnsi" w:hAnsiTheme="minorHAnsi" w:cstheme="minorBidi"/>
      <w:color w:val="000000" w:themeColor="text1"/>
      <w:sz w:val="24"/>
      <w:szCs w:val="22"/>
      <w:lang w:eastAsia="en-US"/>
    </w:rPr>
  </w:style>
  <w:style w:type="paragraph" w:customStyle="1" w:styleId="InstructionalText">
    <w:name w:val="Instructional Text"/>
    <w:basedOn w:val="Normal"/>
    <w:link w:val="InstructionalTextChar"/>
    <w:uiPriority w:val="3"/>
    <w:qFormat/>
    <w:rsid w:val="001D503C"/>
    <w:pPr>
      <w:spacing w:before="120" w:after="160"/>
    </w:pPr>
    <w:rPr>
      <w:rFonts w:eastAsiaTheme="minorHAnsi" w:cstheme="minorBidi"/>
      <w:color w:val="0070C0"/>
      <w:szCs w:val="22"/>
      <w:lang w:eastAsia="en-US"/>
    </w:rPr>
  </w:style>
  <w:style w:type="character" w:customStyle="1" w:styleId="InstructionalTextChar">
    <w:name w:val="Instructional Text Char"/>
    <w:basedOn w:val="DefaultParagraphFont"/>
    <w:link w:val="InstructionalText"/>
    <w:uiPriority w:val="3"/>
    <w:rsid w:val="001D503C"/>
    <w:rPr>
      <w:rFonts w:asciiTheme="minorHAnsi" w:eastAsiaTheme="minorHAnsi" w:hAnsiTheme="minorHAnsi" w:cstheme="minorBidi"/>
      <w:color w:val="0070C0"/>
      <w:sz w:val="24"/>
      <w:szCs w:val="22"/>
      <w:lang w:eastAsia="en-US"/>
    </w:rPr>
  </w:style>
  <w:style w:type="table" w:customStyle="1" w:styleId="Table-HERONplain">
    <w:name w:val="Table - HERON plain"/>
    <w:basedOn w:val="TableNormal"/>
    <w:uiPriority w:val="99"/>
    <w:qFormat/>
    <w:rsid w:val="00EB15F8"/>
    <w:rPr>
      <w:rFonts w:ascii="Tahoma" w:eastAsia="Tahoma" w:hAnsi="Tahoma"/>
      <w:sz w:val="16"/>
      <w:lang w:val="en-GB" w:eastAsia="en-GB"/>
    </w:rPr>
    <w:tblPr>
      <w:tblStyleRowBandSize w:val="1"/>
      <w:tblInd w:w="113" w:type="dxa"/>
      <w:tblBorders>
        <w:top w:val="single" w:sz="8" w:space="0" w:color="002C77"/>
        <w:left w:val="single" w:sz="8" w:space="0" w:color="002C77"/>
        <w:bottom w:val="single" w:sz="8" w:space="0" w:color="002C77"/>
        <w:right w:val="single" w:sz="8" w:space="0" w:color="002C77"/>
        <w:insideH w:val="single" w:sz="8" w:space="0" w:color="002C77"/>
        <w:insideV w:val="single" w:sz="8" w:space="0" w:color="002C77"/>
      </w:tblBorders>
    </w:tblPr>
    <w:trPr>
      <w:cantSplit/>
    </w:trPr>
    <w:tcPr>
      <w:shd w:val="clear" w:color="auto" w:fill="auto"/>
      <w:vAlign w:val="center"/>
    </w:tcPr>
    <w:tblStylePr w:type="firstRow">
      <w:rPr>
        <w:rFonts w:ascii="Times" w:hAnsi="Times"/>
        <w:b w:val="0"/>
        <w:sz w:val="16"/>
      </w:rPr>
      <w:tblPr/>
      <w:trPr>
        <w:cantSplit w:val="0"/>
        <w:tblHeader/>
      </w:trPr>
      <w:tcPr>
        <w:shd w:val="clear" w:color="auto" w:fill="C7C7C7"/>
      </w:tcPr>
    </w:tblStylePr>
    <w:tblStylePr w:type="lastRow">
      <w:rPr>
        <w:rFonts w:ascii="Times" w:hAnsi="Times"/>
        <w:sz w:val="16"/>
      </w:rPr>
      <w:tblPr/>
      <w:tcPr>
        <w:shd w:val="clear" w:color="auto" w:fill="DEDEDE"/>
      </w:tcPr>
    </w:tblStylePr>
    <w:tblStylePr w:type="firstCol">
      <w:rPr>
        <w:b/>
      </w:rPr>
      <w:tblPr/>
      <w:tcPr>
        <w:shd w:val="clear" w:color="auto" w:fill="BFBFBF" w:themeFill="background1" w:themeFillShade="BF"/>
      </w:tcPr>
    </w:tblStylePr>
    <w:tblStylePr w:type="band2Horz">
      <w:rPr>
        <w:rFonts w:ascii="Times" w:hAnsi="Times"/>
        <w:sz w:val="16"/>
      </w:rPr>
    </w:tblStylePr>
  </w:style>
  <w:style w:type="paragraph" w:customStyle="1" w:styleId="1MainTitle">
    <w:name w:val="1. Main Title"/>
    <w:basedOn w:val="Title"/>
    <w:link w:val="1MainTitleChar"/>
    <w:qFormat/>
    <w:rsid w:val="00E94A2D"/>
    <w:pPr>
      <w:spacing w:before="120" w:after="160"/>
      <w:ind w:left="720" w:hanging="720"/>
      <w:contextualSpacing/>
      <w:jc w:val="left"/>
    </w:pPr>
    <w:rPr>
      <w:rFonts w:asciiTheme="majorHAnsi" w:eastAsiaTheme="majorEastAsia" w:hAnsiTheme="majorHAnsi" w:cstheme="majorBidi"/>
      <w:bCs w:val="0"/>
      <w:spacing w:val="5"/>
      <w:sz w:val="36"/>
      <w:szCs w:val="36"/>
      <w:lang w:eastAsia="en-US"/>
    </w:rPr>
  </w:style>
  <w:style w:type="character" w:customStyle="1" w:styleId="1MainTitleChar">
    <w:name w:val="1. Main Title Char"/>
    <w:basedOn w:val="TitleChar"/>
    <w:link w:val="1MainTitle"/>
    <w:rsid w:val="00E94A2D"/>
    <w:rPr>
      <w:rFonts w:asciiTheme="majorHAnsi" w:eastAsiaTheme="majorEastAsia" w:hAnsiTheme="majorHAnsi" w:cstheme="majorBidi"/>
      <w:b/>
      <w:bCs w:val="0"/>
      <w:snapToGrid/>
      <w:spacing w:val="5"/>
      <w:kern w:val="28"/>
      <w:sz w:val="36"/>
      <w:szCs w:val="36"/>
      <w:lang w:eastAsia="en-US"/>
    </w:rPr>
  </w:style>
  <w:style w:type="paragraph" w:customStyle="1" w:styleId="Numberedlevel2text">
    <w:name w:val="Numbered level 2 text"/>
    <w:basedOn w:val="Normal"/>
    <w:rsid w:val="00167FB6"/>
    <w:pPr>
      <w:numPr>
        <w:ilvl w:val="1"/>
        <w:numId w:val="10"/>
      </w:numPr>
      <w:spacing w:after="240" w:line="360" w:lineRule="auto"/>
      <w:outlineLvl w:val="1"/>
    </w:pPr>
    <w:rPr>
      <w:rFonts w:ascii="Arial" w:eastAsiaTheme="minorEastAsia" w:hAnsi="Arial" w:cstheme="minorBidi"/>
      <w:bCs/>
      <w:iCs/>
      <w:szCs w:val="28"/>
      <w:lang w:val="en-GB"/>
    </w:rPr>
  </w:style>
  <w:style w:type="table" w:customStyle="1" w:styleId="ASDTable1">
    <w:name w:val="ASD Table1"/>
    <w:basedOn w:val="TableNormal"/>
    <w:next w:val="TableGrid"/>
    <w:rsid w:val="00E533A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533A1"/>
    <w:pPr>
      <w:jc w:val="center"/>
    </w:pPr>
    <w:rPr>
      <w:rFonts w:ascii="Calibri" w:hAnsi="Calibri" w:cs="Calibri"/>
      <w:noProof/>
      <w:lang w:eastAsia="en-AU"/>
    </w:rPr>
  </w:style>
  <w:style w:type="character" w:customStyle="1" w:styleId="EndNoteBibliographyTitleChar">
    <w:name w:val="EndNote Bibliography Title Char"/>
    <w:basedOn w:val="ListParagraphChar"/>
    <w:link w:val="EndNoteBibliographyTitle"/>
    <w:rsid w:val="00E533A1"/>
    <w:rPr>
      <w:rFonts w:ascii="Calibri" w:hAnsi="Calibri" w:cs="Calibri"/>
      <w:noProof/>
      <w:snapToGrid/>
      <w:sz w:val="24"/>
      <w:szCs w:val="24"/>
    </w:rPr>
  </w:style>
  <w:style w:type="paragraph" w:customStyle="1" w:styleId="EndNoteBibliography">
    <w:name w:val="EndNote Bibliography"/>
    <w:basedOn w:val="Normal"/>
    <w:link w:val="EndNoteBibliographyChar"/>
    <w:rsid w:val="00E533A1"/>
    <w:rPr>
      <w:rFonts w:ascii="Calibri" w:hAnsi="Calibri" w:cs="Calibri"/>
      <w:noProof/>
      <w:lang w:eastAsia="en-AU"/>
    </w:rPr>
  </w:style>
  <w:style w:type="character" w:customStyle="1" w:styleId="EndNoteBibliographyChar">
    <w:name w:val="EndNote Bibliography Char"/>
    <w:basedOn w:val="ListParagraphChar"/>
    <w:link w:val="EndNoteBibliography"/>
    <w:rsid w:val="00E533A1"/>
    <w:rPr>
      <w:rFonts w:ascii="Calibri" w:hAnsi="Calibri" w:cs="Calibri"/>
      <w:noProof/>
      <w:snapToGrid/>
      <w:sz w:val="24"/>
      <w:szCs w:val="24"/>
    </w:rPr>
  </w:style>
  <w:style w:type="paragraph" w:customStyle="1" w:styleId="Paragraph">
    <w:name w:val="Paragraph"/>
    <w:link w:val="ParagraphChar"/>
    <w:rsid w:val="00E533A1"/>
    <w:pPr>
      <w:spacing w:after="240"/>
    </w:pPr>
    <w:rPr>
      <w:sz w:val="24"/>
      <w:szCs w:val="24"/>
      <w:lang w:val="en-GB" w:eastAsia="en-US"/>
    </w:rPr>
  </w:style>
  <w:style w:type="character" w:customStyle="1" w:styleId="ParagraphChar">
    <w:name w:val="Paragraph Char"/>
    <w:basedOn w:val="DefaultParagraphFont"/>
    <w:link w:val="Paragraph"/>
    <w:rsid w:val="00E533A1"/>
    <w:rPr>
      <w:sz w:val="24"/>
      <w:szCs w:val="24"/>
      <w:lang w:val="en-GB" w:eastAsia="en-US"/>
    </w:rPr>
  </w:style>
  <w:style w:type="paragraph" w:customStyle="1" w:styleId="PBACESHeading1">
    <w:name w:val="PBAC ES Heading 1"/>
    <w:basedOn w:val="Heading1"/>
    <w:next w:val="ListParagraph"/>
    <w:uiPriority w:val="1"/>
    <w:qFormat/>
    <w:rsid w:val="00E533A1"/>
    <w:pPr>
      <w:keepNext/>
      <w:keepLines/>
      <w:tabs>
        <w:tab w:val="left" w:pos="1077"/>
      </w:tabs>
      <w:spacing w:before="240" w:after="120"/>
    </w:pPr>
    <w:rPr>
      <w:rFonts w:cs="Arial"/>
      <w:caps w:val="0"/>
      <w:snapToGrid w:val="0"/>
      <w:szCs w:val="32"/>
      <w:lang w:eastAsia="en-US"/>
    </w:rPr>
  </w:style>
  <w:style w:type="paragraph" w:customStyle="1" w:styleId="PBACESHeading2">
    <w:name w:val="PBAC ES Heading 2"/>
    <w:basedOn w:val="Heading2"/>
    <w:link w:val="PBACESHeading2Char"/>
    <w:uiPriority w:val="1"/>
    <w:qFormat/>
    <w:rsid w:val="00E533A1"/>
    <w:pPr>
      <w:keepNext/>
      <w:keepLines/>
      <w:spacing w:before="360" w:after="120"/>
      <w:ind w:left="720" w:hanging="720"/>
    </w:pPr>
    <w:rPr>
      <w:rFonts w:asciiTheme="majorHAnsi" w:eastAsiaTheme="majorEastAsia" w:hAnsiTheme="majorHAnsi" w:cstheme="majorBidi"/>
      <w:snapToGrid w:val="0"/>
      <w:szCs w:val="28"/>
      <w:lang w:eastAsia="en-US"/>
    </w:rPr>
  </w:style>
  <w:style w:type="character" w:customStyle="1" w:styleId="PBACESHeading2Char">
    <w:name w:val="PBAC ES Heading 2 Char"/>
    <w:basedOn w:val="Heading2Char"/>
    <w:link w:val="PBACESHeading2"/>
    <w:uiPriority w:val="1"/>
    <w:rsid w:val="00E533A1"/>
    <w:rPr>
      <w:rFonts w:asciiTheme="majorHAnsi" w:eastAsiaTheme="majorEastAsia" w:hAnsiTheme="majorHAnsi" w:cstheme="majorBidi"/>
      <w:b/>
      <w:i/>
      <w:snapToGrid w:val="0"/>
      <w:sz w:val="28"/>
      <w:szCs w:val="28"/>
      <w:lang w:eastAsia="en-US"/>
    </w:rPr>
  </w:style>
  <w:style w:type="paragraph" w:customStyle="1" w:styleId="PBACESHeadingCAPS">
    <w:name w:val="PBAC ES Heading CAPS"/>
    <w:basedOn w:val="PBACESHeading2"/>
    <w:uiPriority w:val="1"/>
    <w:qFormat/>
    <w:rsid w:val="00E533A1"/>
    <w:pPr>
      <w:ind w:left="1440" w:hanging="360"/>
    </w:pPr>
    <w:rPr>
      <w:i w:val="0"/>
      <w:smallCaps/>
      <w:sz w:val="32"/>
    </w:rPr>
  </w:style>
  <w:style w:type="paragraph" w:customStyle="1" w:styleId="PBACESHeading3">
    <w:name w:val="PBAC ES Heading 3"/>
    <w:basedOn w:val="PBACESHeading2"/>
    <w:uiPriority w:val="1"/>
    <w:qFormat/>
    <w:rsid w:val="00E533A1"/>
    <w:pPr>
      <w:ind w:left="2880" w:hanging="360"/>
    </w:pPr>
    <w:rPr>
      <w:i w:val="0"/>
      <w:sz w:val="24"/>
    </w:rPr>
  </w:style>
  <w:style w:type="paragraph" w:customStyle="1" w:styleId="MSACHeading1">
    <w:name w:val="MSAC Heading 1"/>
    <w:basedOn w:val="Heading1"/>
    <w:next w:val="Normal"/>
    <w:uiPriority w:val="1"/>
    <w:qFormat/>
    <w:rsid w:val="00E533A1"/>
    <w:pPr>
      <w:keepNext/>
      <w:keepLines/>
      <w:spacing w:before="160" w:after="240" w:line="259" w:lineRule="auto"/>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E533A1"/>
    <w:pPr>
      <w:keepNext/>
      <w:keepLines/>
      <w:spacing w:before="360" w:after="120"/>
      <w:ind w:left="720" w:hanging="720"/>
    </w:pPr>
    <w:rPr>
      <w:rFonts w:ascii="Cambria" w:eastAsiaTheme="majorEastAsia" w:hAnsi="Cambria" w:cstheme="majorBidi"/>
      <w:i w:val="0"/>
      <w:snapToGrid w:val="0"/>
      <w:sz w:val="24"/>
      <w:szCs w:val="28"/>
      <w:lang w:eastAsia="en-US"/>
    </w:rPr>
  </w:style>
  <w:style w:type="paragraph" w:customStyle="1" w:styleId="Sources">
    <w:name w:val="Sources"/>
    <w:basedOn w:val="Normal"/>
    <w:link w:val="SourcesChar"/>
    <w:rsid w:val="00E533A1"/>
    <w:pPr>
      <w:spacing w:before="120" w:after="120"/>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E533A1"/>
    <w:rPr>
      <w:rFonts w:ascii="Arial" w:eastAsiaTheme="minorHAnsi" w:hAnsi="Arial" w:cstheme="minorBidi"/>
      <w:sz w:val="16"/>
      <w:szCs w:val="22"/>
      <w:lang w:eastAsia="en-US"/>
    </w:rPr>
  </w:style>
  <w:style w:type="paragraph" w:customStyle="1" w:styleId="TableText1">
    <w:name w:val="TableText"/>
    <w:basedOn w:val="Normal"/>
    <w:link w:val="TableTextChar1"/>
    <w:uiPriority w:val="3"/>
    <w:rsid w:val="00E533A1"/>
    <w:pPr>
      <w:keepNext/>
      <w:spacing w:before="60" w:after="60"/>
    </w:pPr>
    <w:rPr>
      <w:rFonts w:ascii="Times New Roman" w:hAnsi="Times New Roman"/>
      <w:color w:val="000000"/>
      <w:sz w:val="21"/>
      <w:szCs w:val="21"/>
      <w:lang w:eastAsia="en-AU"/>
    </w:rPr>
  </w:style>
  <w:style w:type="character" w:customStyle="1" w:styleId="TableTextChar1">
    <w:name w:val="TableText Char"/>
    <w:link w:val="TableText1"/>
    <w:uiPriority w:val="3"/>
    <w:rsid w:val="00E533A1"/>
    <w:rPr>
      <w:color w:val="000000"/>
      <w:sz w:val="21"/>
      <w:szCs w:val="21"/>
    </w:rPr>
  </w:style>
  <w:style w:type="table" w:customStyle="1" w:styleId="TableGrid10">
    <w:name w:val="Table Grid1"/>
    <w:basedOn w:val="TableNormal"/>
    <w:next w:val="TableGrid"/>
    <w:uiPriority w:val="59"/>
    <w:rsid w:val="00E533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Normal"/>
    <w:uiPriority w:val="17"/>
    <w:rsid w:val="00E533A1"/>
    <w:pPr>
      <w:spacing w:after="240"/>
      <w:jc w:val="center"/>
    </w:pPr>
    <w:rPr>
      <w:sz w:val="24"/>
      <w:lang w:val="en-GB" w:eastAsia="en-US"/>
    </w:rPr>
  </w:style>
  <w:style w:type="paragraph" w:customStyle="1" w:styleId="TableFootnoteInfo">
    <w:name w:val="Table Footnote Info"/>
    <w:basedOn w:val="Normal"/>
    <w:uiPriority w:val="14"/>
    <w:qFormat/>
    <w:rsid w:val="00E533A1"/>
    <w:pPr>
      <w:keepLines/>
      <w:spacing w:before="40" w:after="40" w:line="276" w:lineRule="auto"/>
    </w:pPr>
    <w:rPr>
      <w:rFonts w:ascii="Times New Roman" w:hAnsi="Times New Roman"/>
      <w:sz w:val="20"/>
      <w:szCs w:val="48"/>
      <w:lang w:val="en-GB" w:eastAsia="en-US"/>
    </w:rPr>
  </w:style>
  <w:style w:type="numbering" w:customStyle="1" w:styleId="HeadingListStyle">
    <w:name w:val="Heading List Style"/>
    <w:uiPriority w:val="99"/>
    <w:rsid w:val="00E533A1"/>
    <w:pPr>
      <w:numPr>
        <w:numId w:val="11"/>
      </w:numPr>
    </w:pPr>
  </w:style>
  <w:style w:type="paragraph" w:customStyle="1" w:styleId="Heading5Alt">
    <w:name w:val="Heading 5 Alt"/>
    <w:basedOn w:val="Normal"/>
    <w:autoRedefine/>
    <w:qFormat/>
    <w:rsid w:val="00E533A1"/>
    <w:pPr>
      <w:keepNext/>
      <w:spacing w:after="120" w:line="360" w:lineRule="auto"/>
      <w:outlineLvl w:val="5"/>
    </w:pPr>
    <w:rPr>
      <w:rFonts w:ascii="Arial" w:eastAsiaTheme="minorHAnsi" w:hAnsi="Arial" w:cstheme="minorBidi"/>
      <w:b/>
      <w:sz w:val="22"/>
      <w:szCs w:val="22"/>
      <w:lang w:eastAsia="en-US"/>
    </w:rPr>
  </w:style>
  <w:style w:type="paragraph" w:customStyle="1" w:styleId="TableCenter">
    <w:name w:val="Table Center"/>
    <w:basedOn w:val="Normal"/>
    <w:uiPriority w:val="12"/>
    <w:rsid w:val="00E533A1"/>
    <w:pPr>
      <w:spacing w:before="40" w:after="40" w:line="276" w:lineRule="auto"/>
      <w:jc w:val="center"/>
    </w:pPr>
    <w:rPr>
      <w:rFonts w:ascii="Times New Roman" w:hAnsi="Times New Roman"/>
      <w:sz w:val="20"/>
      <w:lang w:val="en-GB" w:eastAsia="en-US"/>
    </w:rPr>
  </w:style>
  <w:style w:type="paragraph" w:customStyle="1" w:styleId="TableHead">
    <w:name w:val="Table Head"/>
    <w:basedOn w:val="Normal"/>
    <w:uiPriority w:val="11"/>
    <w:rsid w:val="00E533A1"/>
    <w:pPr>
      <w:spacing w:before="40" w:after="40"/>
      <w:jc w:val="center"/>
    </w:pPr>
    <w:rPr>
      <w:rFonts w:ascii="Times New Roman" w:hAnsi="Times New Roman"/>
      <w:b/>
      <w:sz w:val="20"/>
      <w:szCs w:val="48"/>
      <w:lang w:val="en-GB" w:eastAsia="en-US"/>
    </w:rPr>
  </w:style>
  <w:style w:type="paragraph" w:customStyle="1" w:styleId="Heading1Alt">
    <w:name w:val="Heading 1 Alt"/>
    <w:basedOn w:val="Heading1"/>
    <w:rsid w:val="00E533A1"/>
    <w:pPr>
      <w:keepNext/>
      <w:keepLines/>
      <w:tabs>
        <w:tab w:val="left" w:pos="1134"/>
      </w:tabs>
      <w:spacing w:before="240" w:after="240" w:line="360" w:lineRule="auto"/>
      <w:ind w:left="2268" w:hanging="2268"/>
    </w:pPr>
    <w:rPr>
      <w:rFonts w:ascii="Arial" w:eastAsiaTheme="majorEastAsia" w:hAnsi="Arial" w:cstheme="majorBidi"/>
      <w:caps w:val="0"/>
      <w:smallCaps/>
      <w:color w:val="000000" w:themeColor="text1"/>
      <w:sz w:val="36"/>
      <w:szCs w:val="32"/>
      <w:lang w:eastAsia="en-US"/>
    </w:rPr>
  </w:style>
  <w:style w:type="paragraph" w:customStyle="1" w:styleId="Heading2Alt">
    <w:name w:val="Heading 2 Alt"/>
    <w:basedOn w:val="Heading2"/>
    <w:rsid w:val="00E533A1"/>
    <w:pPr>
      <w:keepNext/>
      <w:keepLines/>
      <w:spacing w:line="360" w:lineRule="auto"/>
      <w:ind w:left="1134" w:hanging="1134"/>
    </w:pPr>
    <w:rPr>
      <w:rFonts w:ascii="Arial" w:eastAsiaTheme="majorEastAsia" w:hAnsi="Arial" w:cstheme="majorBidi"/>
      <w:i w:val="0"/>
      <w:color w:val="000000" w:themeColor="text1"/>
      <w:sz w:val="32"/>
      <w:szCs w:val="26"/>
      <w:lang w:eastAsia="en-US"/>
    </w:rPr>
  </w:style>
  <w:style w:type="paragraph" w:customStyle="1" w:styleId="Heading3Alt">
    <w:name w:val="Heading 3 Alt"/>
    <w:basedOn w:val="Heading3"/>
    <w:rsid w:val="00E533A1"/>
    <w:pPr>
      <w:keepNext/>
      <w:keepLines/>
      <w:spacing w:before="40" w:line="360" w:lineRule="auto"/>
      <w:ind w:left="1134" w:hanging="1134"/>
    </w:pPr>
    <w:rPr>
      <w:rFonts w:ascii="Arial" w:eastAsiaTheme="majorEastAsia" w:hAnsi="Arial" w:cstheme="majorBidi"/>
      <w:b/>
      <w:color w:val="000000" w:themeColor="text1"/>
      <w:sz w:val="28"/>
      <w:u w:val="none"/>
      <w:lang w:eastAsia="en-US"/>
    </w:rPr>
  </w:style>
  <w:style w:type="character" w:customStyle="1" w:styleId="apple-converted-space">
    <w:name w:val="apple-converted-space"/>
    <w:basedOn w:val="DefaultParagraphFont"/>
    <w:rsid w:val="001B01D0"/>
  </w:style>
  <w:style w:type="character" w:styleId="PlaceholderText">
    <w:name w:val="Placeholder Text"/>
    <w:basedOn w:val="DefaultParagraphFont"/>
    <w:uiPriority w:val="99"/>
    <w:semiHidden/>
    <w:rsid w:val="00852B65"/>
    <w:rPr>
      <w:color w:val="808080"/>
    </w:rPr>
  </w:style>
  <w:style w:type="character" w:styleId="Emphasis">
    <w:name w:val="Emphasis"/>
    <w:basedOn w:val="DefaultParagraphFont"/>
    <w:uiPriority w:val="20"/>
    <w:qFormat/>
    <w:rsid w:val="00D737CC"/>
    <w:rPr>
      <w:i/>
      <w:iCs/>
    </w:rPr>
  </w:style>
  <w:style w:type="character" w:customStyle="1" w:styleId="UnresolvedMention1">
    <w:name w:val="Unresolved Mention1"/>
    <w:basedOn w:val="DefaultParagraphFont"/>
    <w:uiPriority w:val="99"/>
    <w:semiHidden/>
    <w:unhideWhenUsed/>
    <w:rsid w:val="00A55F99"/>
    <w:rPr>
      <w:color w:val="605E5C"/>
      <w:shd w:val="clear" w:color="auto" w:fill="E1DFDD"/>
    </w:rPr>
  </w:style>
  <w:style w:type="table" w:customStyle="1" w:styleId="Summarybox1">
    <w:name w:val="Summary box1"/>
    <w:basedOn w:val="TableNormal"/>
    <w:next w:val="TableGrid"/>
    <w:uiPriority w:val="59"/>
    <w:rsid w:val="004E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SumBodyText">
    <w:name w:val="Exec Sum Body Text"/>
    <w:basedOn w:val="Normal"/>
    <w:link w:val="ExecSumBodyTextChar"/>
    <w:qFormat/>
    <w:rsid w:val="00786461"/>
    <w:pPr>
      <w:spacing w:after="120"/>
      <w:ind w:left="720" w:hanging="720"/>
    </w:pPr>
    <w:rPr>
      <w:rFonts w:cs="Arial"/>
      <w:snapToGrid w:val="0"/>
      <w:lang w:eastAsia="en-AU"/>
    </w:rPr>
  </w:style>
  <w:style w:type="character" w:customStyle="1" w:styleId="ExecSumBodyTextChar">
    <w:name w:val="Exec Sum Body Text Char"/>
    <w:basedOn w:val="DefaultParagraphFont"/>
    <w:link w:val="ExecSumBodyText"/>
    <w:rsid w:val="00786461"/>
    <w:rPr>
      <w:rFonts w:asciiTheme="minorHAnsi" w:hAnsiTheme="minorHAnsi" w:cs="Arial"/>
      <w:snapToGrid w:val="0"/>
      <w:sz w:val="24"/>
      <w:szCs w:val="24"/>
    </w:rPr>
  </w:style>
  <w:style w:type="paragraph" w:customStyle="1" w:styleId="MSACESParagraph">
    <w:name w:val="MSAC ES Paragraph"/>
    <w:link w:val="MSACESParagraphChar"/>
    <w:uiPriority w:val="1"/>
    <w:qFormat/>
    <w:rsid w:val="007A0921"/>
    <w:pPr>
      <w:spacing w:after="240"/>
    </w:pPr>
    <w:rPr>
      <w:rFonts w:eastAsiaTheme="minorHAnsi" w:cstheme="minorBidi"/>
      <w:sz w:val="24"/>
      <w:szCs w:val="22"/>
      <w:lang w:eastAsia="en-US"/>
    </w:rPr>
  </w:style>
  <w:style w:type="character" w:customStyle="1" w:styleId="MSACESParagraphChar">
    <w:name w:val="MSAC ES Paragraph Char"/>
    <w:basedOn w:val="DefaultParagraphFont"/>
    <w:link w:val="MSACESParagraph"/>
    <w:uiPriority w:val="1"/>
    <w:rsid w:val="007A0921"/>
    <w:rPr>
      <w:rFonts w:eastAsiaTheme="minorHAnsi" w:cstheme="minorBidi"/>
      <w:sz w:val="24"/>
      <w:szCs w:val="22"/>
      <w:lang w:eastAsia="en-US"/>
    </w:rPr>
  </w:style>
  <w:style w:type="character" w:styleId="EndnoteReference">
    <w:name w:val="endnote reference"/>
    <w:basedOn w:val="DefaultParagraphFont"/>
    <w:uiPriority w:val="99"/>
    <w:semiHidden/>
    <w:unhideWhenUsed/>
    <w:rsid w:val="005C0488"/>
    <w:rPr>
      <w:vertAlign w:val="superscript"/>
    </w:rPr>
  </w:style>
  <w:style w:type="paragraph" w:customStyle="1" w:styleId="3Bodytext">
    <w:name w:val="3. Body text"/>
    <w:basedOn w:val="ListParagraph"/>
    <w:link w:val="3BodytextChar"/>
    <w:qFormat/>
    <w:rsid w:val="0081112E"/>
    <w:pPr>
      <w:numPr>
        <w:numId w:val="0"/>
      </w:numPr>
      <w:ind w:left="720" w:hanging="720"/>
      <w:jc w:val="left"/>
    </w:pPr>
    <w:rPr>
      <w:rFonts w:eastAsiaTheme="minorHAnsi" w:cstheme="minorBidi"/>
      <w:snapToGrid/>
      <w:szCs w:val="22"/>
    </w:rPr>
  </w:style>
  <w:style w:type="paragraph" w:customStyle="1" w:styleId="Bodytextitalics">
    <w:name w:val="Body text italics"/>
    <w:basedOn w:val="BodyText"/>
    <w:qFormat/>
    <w:rsid w:val="0081112E"/>
    <w:pPr>
      <w:spacing w:after="120"/>
    </w:pPr>
    <w:rPr>
      <w:rFonts w:eastAsiaTheme="minorHAnsi" w:cstheme="minorBidi"/>
      <w:i/>
      <w:szCs w:val="22"/>
      <w:lang w:eastAsia="en-AU"/>
    </w:rPr>
  </w:style>
  <w:style w:type="paragraph" w:customStyle="1" w:styleId="BodyText11">
    <w:name w:val="Body Text +11"/>
    <w:link w:val="BodyText11Char"/>
    <w:qFormat/>
    <w:rsid w:val="00D171BD"/>
    <w:pPr>
      <w:spacing w:after="200" w:line="264" w:lineRule="auto"/>
      <w:jc w:val="both"/>
    </w:pPr>
    <w:rPr>
      <w:rFonts w:asciiTheme="minorHAnsi" w:eastAsiaTheme="minorEastAsia" w:hAnsiTheme="minorHAnsi" w:cstheme="minorBidi"/>
      <w:sz w:val="22"/>
      <w:szCs w:val="22"/>
      <w:lang w:eastAsia="zh-CN"/>
    </w:rPr>
  </w:style>
  <w:style w:type="character" w:customStyle="1" w:styleId="BodyText11Char">
    <w:name w:val="Body Text +11 Char"/>
    <w:basedOn w:val="DefaultParagraphFont"/>
    <w:link w:val="BodyText11"/>
    <w:rsid w:val="00D171BD"/>
    <w:rPr>
      <w:rFonts w:asciiTheme="minorHAnsi" w:eastAsiaTheme="minorEastAsia" w:hAnsiTheme="minorHAnsi" w:cstheme="minorBidi"/>
      <w:sz w:val="22"/>
      <w:szCs w:val="22"/>
      <w:lang w:eastAsia="zh-CN"/>
    </w:rPr>
  </w:style>
  <w:style w:type="character" w:styleId="HTMLCite">
    <w:name w:val="HTML Cite"/>
    <w:basedOn w:val="DefaultParagraphFont"/>
    <w:uiPriority w:val="99"/>
    <w:semiHidden/>
    <w:unhideWhenUsed/>
    <w:rsid w:val="00B36CC7"/>
    <w:rPr>
      <w:i/>
      <w:iCs/>
    </w:rPr>
  </w:style>
  <w:style w:type="paragraph" w:customStyle="1" w:styleId="2Sections">
    <w:name w:val="2. Sections"/>
    <w:qFormat/>
    <w:rsid w:val="00A74C51"/>
    <w:pPr>
      <w:spacing w:before="240" w:after="120"/>
      <w:ind w:left="720" w:hanging="720"/>
      <w:outlineLvl w:val="0"/>
    </w:pPr>
    <w:rPr>
      <w:rFonts w:asciiTheme="minorHAnsi" w:hAnsiTheme="minorHAnsi" w:cs="Arial"/>
      <w:b/>
      <w:snapToGrid w:val="0"/>
      <w:sz w:val="32"/>
      <w:szCs w:val="32"/>
      <w:lang w:eastAsia="en-US"/>
    </w:rPr>
  </w:style>
  <w:style w:type="character" w:customStyle="1" w:styleId="3BodytextChar">
    <w:name w:val="3. Body text Char"/>
    <w:basedOn w:val="DefaultParagraphFont"/>
    <w:link w:val="3Bodytext"/>
    <w:rsid w:val="00A74C51"/>
    <w:rPr>
      <w:rFonts w:asciiTheme="minorHAnsi" w:eastAsiaTheme="minorHAnsi" w:hAnsiTheme="minorHAnsi" w:cstheme="minorBidi"/>
      <w:sz w:val="24"/>
      <w:szCs w:val="22"/>
    </w:rPr>
  </w:style>
  <w:style w:type="paragraph" w:styleId="PlainText">
    <w:name w:val="Plain Text"/>
    <w:basedOn w:val="Normal"/>
    <w:link w:val="PlainTextChar"/>
    <w:rsid w:val="00114EC3"/>
    <w:pPr>
      <w:jc w:val="left"/>
    </w:pPr>
    <w:rPr>
      <w:rFonts w:ascii="Courier New" w:hAnsi="Courier New"/>
      <w:sz w:val="20"/>
      <w:szCs w:val="20"/>
      <w:lang w:eastAsia="en-AU"/>
    </w:rPr>
  </w:style>
  <w:style w:type="character" w:customStyle="1" w:styleId="PlainTextChar">
    <w:name w:val="Plain Text Char"/>
    <w:basedOn w:val="DefaultParagraphFont"/>
    <w:link w:val="PlainText"/>
    <w:rsid w:val="00114EC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050">
      <w:bodyDiv w:val="1"/>
      <w:marLeft w:val="0"/>
      <w:marRight w:val="0"/>
      <w:marTop w:val="0"/>
      <w:marBottom w:val="0"/>
      <w:divBdr>
        <w:top w:val="none" w:sz="0" w:space="0" w:color="auto"/>
        <w:left w:val="none" w:sz="0" w:space="0" w:color="auto"/>
        <w:bottom w:val="none" w:sz="0" w:space="0" w:color="auto"/>
        <w:right w:val="none" w:sz="0" w:space="0" w:color="auto"/>
      </w:divBdr>
    </w:div>
    <w:div w:id="24404798">
      <w:bodyDiv w:val="1"/>
      <w:marLeft w:val="0"/>
      <w:marRight w:val="0"/>
      <w:marTop w:val="0"/>
      <w:marBottom w:val="0"/>
      <w:divBdr>
        <w:top w:val="none" w:sz="0" w:space="0" w:color="auto"/>
        <w:left w:val="none" w:sz="0" w:space="0" w:color="auto"/>
        <w:bottom w:val="none" w:sz="0" w:space="0" w:color="auto"/>
        <w:right w:val="none" w:sz="0" w:space="0" w:color="auto"/>
      </w:divBdr>
      <w:divsChild>
        <w:div w:id="850949822">
          <w:marLeft w:val="0"/>
          <w:marRight w:val="0"/>
          <w:marTop w:val="0"/>
          <w:marBottom w:val="0"/>
          <w:divBdr>
            <w:top w:val="none" w:sz="0" w:space="0" w:color="auto"/>
            <w:left w:val="none" w:sz="0" w:space="0" w:color="auto"/>
            <w:bottom w:val="none" w:sz="0" w:space="0" w:color="auto"/>
            <w:right w:val="none" w:sz="0" w:space="0" w:color="auto"/>
          </w:divBdr>
          <w:divsChild>
            <w:div w:id="106119788">
              <w:marLeft w:val="0"/>
              <w:marRight w:val="0"/>
              <w:marTop w:val="0"/>
              <w:marBottom w:val="0"/>
              <w:divBdr>
                <w:top w:val="none" w:sz="0" w:space="0" w:color="auto"/>
                <w:left w:val="none" w:sz="0" w:space="0" w:color="auto"/>
                <w:bottom w:val="none" w:sz="0" w:space="0" w:color="auto"/>
                <w:right w:val="none" w:sz="0" w:space="0" w:color="auto"/>
              </w:divBdr>
              <w:divsChild>
                <w:div w:id="193809256">
                  <w:marLeft w:val="0"/>
                  <w:marRight w:val="0"/>
                  <w:marTop w:val="0"/>
                  <w:marBottom w:val="0"/>
                  <w:divBdr>
                    <w:top w:val="none" w:sz="0" w:space="0" w:color="auto"/>
                    <w:left w:val="none" w:sz="0" w:space="0" w:color="auto"/>
                    <w:bottom w:val="none" w:sz="0" w:space="0" w:color="auto"/>
                    <w:right w:val="none" w:sz="0" w:space="0" w:color="auto"/>
                  </w:divBdr>
                  <w:divsChild>
                    <w:div w:id="10219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007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1744103">
      <w:bodyDiv w:val="1"/>
      <w:marLeft w:val="0"/>
      <w:marRight w:val="0"/>
      <w:marTop w:val="0"/>
      <w:marBottom w:val="0"/>
      <w:divBdr>
        <w:top w:val="none" w:sz="0" w:space="0" w:color="auto"/>
        <w:left w:val="none" w:sz="0" w:space="0" w:color="auto"/>
        <w:bottom w:val="none" w:sz="0" w:space="0" w:color="auto"/>
        <w:right w:val="none" w:sz="0" w:space="0" w:color="auto"/>
      </w:divBdr>
    </w:div>
    <w:div w:id="201138316">
      <w:bodyDiv w:val="1"/>
      <w:marLeft w:val="0"/>
      <w:marRight w:val="0"/>
      <w:marTop w:val="0"/>
      <w:marBottom w:val="0"/>
      <w:divBdr>
        <w:top w:val="none" w:sz="0" w:space="0" w:color="auto"/>
        <w:left w:val="none" w:sz="0" w:space="0" w:color="auto"/>
        <w:bottom w:val="none" w:sz="0" w:space="0" w:color="auto"/>
        <w:right w:val="none" w:sz="0" w:space="0" w:color="auto"/>
      </w:divBdr>
    </w:div>
    <w:div w:id="22094104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2268976">
      <w:bodyDiv w:val="1"/>
      <w:marLeft w:val="0"/>
      <w:marRight w:val="0"/>
      <w:marTop w:val="0"/>
      <w:marBottom w:val="0"/>
      <w:divBdr>
        <w:top w:val="none" w:sz="0" w:space="0" w:color="auto"/>
        <w:left w:val="none" w:sz="0" w:space="0" w:color="auto"/>
        <w:bottom w:val="none" w:sz="0" w:space="0" w:color="auto"/>
        <w:right w:val="none" w:sz="0" w:space="0" w:color="auto"/>
      </w:divBdr>
    </w:div>
    <w:div w:id="389350441">
      <w:bodyDiv w:val="1"/>
      <w:marLeft w:val="0"/>
      <w:marRight w:val="0"/>
      <w:marTop w:val="0"/>
      <w:marBottom w:val="0"/>
      <w:divBdr>
        <w:top w:val="none" w:sz="0" w:space="0" w:color="auto"/>
        <w:left w:val="none" w:sz="0" w:space="0" w:color="auto"/>
        <w:bottom w:val="none" w:sz="0" w:space="0" w:color="auto"/>
        <w:right w:val="none" w:sz="0" w:space="0" w:color="auto"/>
      </w:divBdr>
    </w:div>
    <w:div w:id="419761304">
      <w:bodyDiv w:val="1"/>
      <w:marLeft w:val="0"/>
      <w:marRight w:val="0"/>
      <w:marTop w:val="0"/>
      <w:marBottom w:val="0"/>
      <w:divBdr>
        <w:top w:val="none" w:sz="0" w:space="0" w:color="auto"/>
        <w:left w:val="none" w:sz="0" w:space="0" w:color="auto"/>
        <w:bottom w:val="none" w:sz="0" w:space="0" w:color="auto"/>
        <w:right w:val="none" w:sz="0" w:space="0" w:color="auto"/>
      </w:divBdr>
    </w:div>
    <w:div w:id="433939881">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6">
          <w:marLeft w:val="360"/>
          <w:marRight w:val="0"/>
          <w:marTop w:val="200"/>
          <w:marBottom w:val="0"/>
          <w:divBdr>
            <w:top w:val="none" w:sz="0" w:space="0" w:color="auto"/>
            <w:left w:val="none" w:sz="0" w:space="0" w:color="auto"/>
            <w:bottom w:val="none" w:sz="0" w:space="0" w:color="auto"/>
            <w:right w:val="none" w:sz="0" w:space="0" w:color="auto"/>
          </w:divBdr>
        </w:div>
      </w:divsChild>
    </w:div>
    <w:div w:id="583228987">
      <w:bodyDiv w:val="1"/>
      <w:marLeft w:val="0"/>
      <w:marRight w:val="0"/>
      <w:marTop w:val="0"/>
      <w:marBottom w:val="0"/>
      <w:divBdr>
        <w:top w:val="none" w:sz="0" w:space="0" w:color="auto"/>
        <w:left w:val="none" w:sz="0" w:space="0" w:color="auto"/>
        <w:bottom w:val="none" w:sz="0" w:space="0" w:color="auto"/>
        <w:right w:val="none" w:sz="0" w:space="0" w:color="auto"/>
      </w:divBdr>
    </w:div>
    <w:div w:id="640890045">
      <w:bodyDiv w:val="1"/>
      <w:marLeft w:val="0"/>
      <w:marRight w:val="0"/>
      <w:marTop w:val="0"/>
      <w:marBottom w:val="0"/>
      <w:divBdr>
        <w:top w:val="none" w:sz="0" w:space="0" w:color="auto"/>
        <w:left w:val="none" w:sz="0" w:space="0" w:color="auto"/>
        <w:bottom w:val="none" w:sz="0" w:space="0" w:color="auto"/>
        <w:right w:val="none" w:sz="0" w:space="0" w:color="auto"/>
      </w:divBdr>
    </w:div>
    <w:div w:id="666785557">
      <w:bodyDiv w:val="1"/>
      <w:marLeft w:val="0"/>
      <w:marRight w:val="0"/>
      <w:marTop w:val="0"/>
      <w:marBottom w:val="0"/>
      <w:divBdr>
        <w:top w:val="none" w:sz="0" w:space="0" w:color="auto"/>
        <w:left w:val="none" w:sz="0" w:space="0" w:color="auto"/>
        <w:bottom w:val="none" w:sz="0" w:space="0" w:color="auto"/>
        <w:right w:val="none" w:sz="0" w:space="0" w:color="auto"/>
      </w:divBdr>
    </w:div>
    <w:div w:id="698626327">
      <w:bodyDiv w:val="1"/>
      <w:marLeft w:val="0"/>
      <w:marRight w:val="0"/>
      <w:marTop w:val="0"/>
      <w:marBottom w:val="0"/>
      <w:divBdr>
        <w:top w:val="none" w:sz="0" w:space="0" w:color="auto"/>
        <w:left w:val="none" w:sz="0" w:space="0" w:color="auto"/>
        <w:bottom w:val="none" w:sz="0" w:space="0" w:color="auto"/>
        <w:right w:val="none" w:sz="0" w:space="0" w:color="auto"/>
      </w:divBdr>
      <w:divsChild>
        <w:div w:id="2053505038">
          <w:marLeft w:val="1080"/>
          <w:marRight w:val="0"/>
          <w:marTop w:val="100"/>
          <w:marBottom w:val="0"/>
          <w:divBdr>
            <w:top w:val="none" w:sz="0" w:space="0" w:color="auto"/>
            <w:left w:val="none" w:sz="0" w:space="0" w:color="auto"/>
            <w:bottom w:val="none" w:sz="0" w:space="0" w:color="auto"/>
            <w:right w:val="none" w:sz="0" w:space="0" w:color="auto"/>
          </w:divBdr>
        </w:div>
      </w:divsChild>
    </w:div>
    <w:div w:id="719283928">
      <w:bodyDiv w:val="1"/>
      <w:marLeft w:val="0"/>
      <w:marRight w:val="0"/>
      <w:marTop w:val="0"/>
      <w:marBottom w:val="0"/>
      <w:divBdr>
        <w:top w:val="none" w:sz="0" w:space="0" w:color="auto"/>
        <w:left w:val="none" w:sz="0" w:space="0" w:color="auto"/>
        <w:bottom w:val="none" w:sz="0" w:space="0" w:color="auto"/>
        <w:right w:val="none" w:sz="0" w:space="0" w:color="auto"/>
      </w:divBdr>
    </w:div>
    <w:div w:id="741637480">
      <w:bodyDiv w:val="1"/>
      <w:marLeft w:val="0"/>
      <w:marRight w:val="0"/>
      <w:marTop w:val="0"/>
      <w:marBottom w:val="0"/>
      <w:divBdr>
        <w:top w:val="none" w:sz="0" w:space="0" w:color="auto"/>
        <w:left w:val="none" w:sz="0" w:space="0" w:color="auto"/>
        <w:bottom w:val="none" w:sz="0" w:space="0" w:color="auto"/>
        <w:right w:val="none" w:sz="0" w:space="0" w:color="auto"/>
      </w:divBdr>
      <w:divsChild>
        <w:div w:id="233900010">
          <w:marLeft w:val="1080"/>
          <w:marRight w:val="0"/>
          <w:marTop w:val="100"/>
          <w:marBottom w:val="0"/>
          <w:divBdr>
            <w:top w:val="none" w:sz="0" w:space="0" w:color="auto"/>
            <w:left w:val="none" w:sz="0" w:space="0" w:color="auto"/>
            <w:bottom w:val="none" w:sz="0" w:space="0" w:color="auto"/>
            <w:right w:val="none" w:sz="0" w:space="0" w:color="auto"/>
          </w:divBdr>
        </w:div>
      </w:divsChild>
    </w:div>
    <w:div w:id="749621126">
      <w:bodyDiv w:val="1"/>
      <w:marLeft w:val="0"/>
      <w:marRight w:val="0"/>
      <w:marTop w:val="0"/>
      <w:marBottom w:val="0"/>
      <w:divBdr>
        <w:top w:val="none" w:sz="0" w:space="0" w:color="auto"/>
        <w:left w:val="none" w:sz="0" w:space="0" w:color="auto"/>
        <w:bottom w:val="none" w:sz="0" w:space="0" w:color="auto"/>
        <w:right w:val="none" w:sz="0" w:space="0" w:color="auto"/>
      </w:divBdr>
      <w:divsChild>
        <w:div w:id="418019081">
          <w:marLeft w:val="360"/>
          <w:marRight w:val="0"/>
          <w:marTop w:val="200"/>
          <w:marBottom w:val="0"/>
          <w:divBdr>
            <w:top w:val="none" w:sz="0" w:space="0" w:color="auto"/>
            <w:left w:val="none" w:sz="0" w:space="0" w:color="auto"/>
            <w:bottom w:val="none" w:sz="0" w:space="0" w:color="auto"/>
            <w:right w:val="none" w:sz="0" w:space="0" w:color="auto"/>
          </w:divBdr>
        </w:div>
      </w:divsChild>
    </w:div>
    <w:div w:id="774321967">
      <w:bodyDiv w:val="1"/>
      <w:marLeft w:val="0"/>
      <w:marRight w:val="0"/>
      <w:marTop w:val="0"/>
      <w:marBottom w:val="0"/>
      <w:divBdr>
        <w:top w:val="none" w:sz="0" w:space="0" w:color="auto"/>
        <w:left w:val="none" w:sz="0" w:space="0" w:color="auto"/>
        <w:bottom w:val="none" w:sz="0" w:space="0" w:color="auto"/>
        <w:right w:val="none" w:sz="0" w:space="0" w:color="auto"/>
      </w:divBdr>
    </w:div>
    <w:div w:id="778374787">
      <w:bodyDiv w:val="1"/>
      <w:marLeft w:val="0"/>
      <w:marRight w:val="0"/>
      <w:marTop w:val="0"/>
      <w:marBottom w:val="0"/>
      <w:divBdr>
        <w:top w:val="none" w:sz="0" w:space="0" w:color="auto"/>
        <w:left w:val="none" w:sz="0" w:space="0" w:color="auto"/>
        <w:bottom w:val="none" w:sz="0" w:space="0" w:color="auto"/>
        <w:right w:val="none" w:sz="0" w:space="0" w:color="auto"/>
      </w:divBdr>
      <w:divsChild>
        <w:div w:id="1885629926">
          <w:marLeft w:val="1080"/>
          <w:marRight w:val="0"/>
          <w:marTop w:val="100"/>
          <w:marBottom w:val="0"/>
          <w:divBdr>
            <w:top w:val="none" w:sz="0" w:space="0" w:color="auto"/>
            <w:left w:val="none" w:sz="0" w:space="0" w:color="auto"/>
            <w:bottom w:val="none" w:sz="0" w:space="0" w:color="auto"/>
            <w:right w:val="none" w:sz="0" w:space="0" w:color="auto"/>
          </w:divBdr>
        </w:div>
      </w:divsChild>
    </w:div>
    <w:div w:id="781455008">
      <w:bodyDiv w:val="1"/>
      <w:marLeft w:val="0"/>
      <w:marRight w:val="0"/>
      <w:marTop w:val="0"/>
      <w:marBottom w:val="0"/>
      <w:divBdr>
        <w:top w:val="none" w:sz="0" w:space="0" w:color="auto"/>
        <w:left w:val="none" w:sz="0" w:space="0" w:color="auto"/>
        <w:bottom w:val="none" w:sz="0" w:space="0" w:color="auto"/>
        <w:right w:val="none" w:sz="0" w:space="0" w:color="auto"/>
      </w:divBdr>
    </w:div>
    <w:div w:id="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447772920">
          <w:marLeft w:val="1080"/>
          <w:marRight w:val="0"/>
          <w:marTop w:val="100"/>
          <w:marBottom w:val="0"/>
          <w:divBdr>
            <w:top w:val="none" w:sz="0" w:space="0" w:color="auto"/>
            <w:left w:val="none" w:sz="0" w:space="0" w:color="auto"/>
            <w:bottom w:val="none" w:sz="0" w:space="0" w:color="auto"/>
            <w:right w:val="none" w:sz="0" w:space="0" w:color="auto"/>
          </w:divBdr>
        </w:div>
      </w:divsChild>
    </w:div>
    <w:div w:id="825440747">
      <w:bodyDiv w:val="1"/>
      <w:marLeft w:val="0"/>
      <w:marRight w:val="0"/>
      <w:marTop w:val="0"/>
      <w:marBottom w:val="0"/>
      <w:divBdr>
        <w:top w:val="none" w:sz="0" w:space="0" w:color="auto"/>
        <w:left w:val="none" w:sz="0" w:space="0" w:color="auto"/>
        <w:bottom w:val="none" w:sz="0" w:space="0" w:color="auto"/>
        <w:right w:val="none" w:sz="0" w:space="0" w:color="auto"/>
      </w:divBdr>
    </w:div>
    <w:div w:id="861668434">
      <w:bodyDiv w:val="1"/>
      <w:marLeft w:val="0"/>
      <w:marRight w:val="0"/>
      <w:marTop w:val="0"/>
      <w:marBottom w:val="0"/>
      <w:divBdr>
        <w:top w:val="none" w:sz="0" w:space="0" w:color="auto"/>
        <w:left w:val="none" w:sz="0" w:space="0" w:color="auto"/>
        <w:bottom w:val="none" w:sz="0" w:space="0" w:color="auto"/>
        <w:right w:val="none" w:sz="0" w:space="0" w:color="auto"/>
      </w:divBdr>
    </w:div>
    <w:div w:id="864444429">
      <w:bodyDiv w:val="1"/>
      <w:marLeft w:val="0"/>
      <w:marRight w:val="0"/>
      <w:marTop w:val="0"/>
      <w:marBottom w:val="0"/>
      <w:divBdr>
        <w:top w:val="none" w:sz="0" w:space="0" w:color="auto"/>
        <w:left w:val="none" w:sz="0" w:space="0" w:color="auto"/>
        <w:bottom w:val="none" w:sz="0" w:space="0" w:color="auto"/>
        <w:right w:val="none" w:sz="0" w:space="0" w:color="auto"/>
      </w:divBdr>
      <w:divsChild>
        <w:div w:id="279385998">
          <w:marLeft w:val="1080"/>
          <w:marRight w:val="0"/>
          <w:marTop w:val="100"/>
          <w:marBottom w:val="0"/>
          <w:divBdr>
            <w:top w:val="none" w:sz="0" w:space="0" w:color="auto"/>
            <w:left w:val="none" w:sz="0" w:space="0" w:color="auto"/>
            <w:bottom w:val="none" w:sz="0" w:space="0" w:color="auto"/>
            <w:right w:val="none" w:sz="0" w:space="0" w:color="auto"/>
          </w:divBdr>
        </w:div>
      </w:divsChild>
    </w:div>
    <w:div w:id="899630361">
      <w:bodyDiv w:val="1"/>
      <w:marLeft w:val="0"/>
      <w:marRight w:val="0"/>
      <w:marTop w:val="0"/>
      <w:marBottom w:val="0"/>
      <w:divBdr>
        <w:top w:val="none" w:sz="0" w:space="0" w:color="auto"/>
        <w:left w:val="none" w:sz="0" w:space="0" w:color="auto"/>
        <w:bottom w:val="none" w:sz="0" w:space="0" w:color="auto"/>
        <w:right w:val="none" w:sz="0" w:space="0" w:color="auto"/>
      </w:divBdr>
    </w:div>
    <w:div w:id="944314736">
      <w:bodyDiv w:val="1"/>
      <w:marLeft w:val="0"/>
      <w:marRight w:val="0"/>
      <w:marTop w:val="0"/>
      <w:marBottom w:val="0"/>
      <w:divBdr>
        <w:top w:val="none" w:sz="0" w:space="0" w:color="auto"/>
        <w:left w:val="none" w:sz="0" w:space="0" w:color="auto"/>
        <w:bottom w:val="none" w:sz="0" w:space="0" w:color="auto"/>
        <w:right w:val="none" w:sz="0" w:space="0" w:color="auto"/>
      </w:divBdr>
    </w:div>
    <w:div w:id="955140066">
      <w:bodyDiv w:val="1"/>
      <w:marLeft w:val="0"/>
      <w:marRight w:val="0"/>
      <w:marTop w:val="0"/>
      <w:marBottom w:val="0"/>
      <w:divBdr>
        <w:top w:val="none" w:sz="0" w:space="0" w:color="auto"/>
        <w:left w:val="none" w:sz="0" w:space="0" w:color="auto"/>
        <w:bottom w:val="none" w:sz="0" w:space="0" w:color="auto"/>
        <w:right w:val="none" w:sz="0" w:space="0" w:color="auto"/>
      </w:divBdr>
    </w:div>
    <w:div w:id="992292363">
      <w:bodyDiv w:val="1"/>
      <w:marLeft w:val="0"/>
      <w:marRight w:val="0"/>
      <w:marTop w:val="0"/>
      <w:marBottom w:val="0"/>
      <w:divBdr>
        <w:top w:val="none" w:sz="0" w:space="0" w:color="auto"/>
        <w:left w:val="none" w:sz="0" w:space="0" w:color="auto"/>
        <w:bottom w:val="none" w:sz="0" w:space="0" w:color="auto"/>
        <w:right w:val="none" w:sz="0" w:space="0" w:color="auto"/>
      </w:divBdr>
    </w:div>
    <w:div w:id="1022055844">
      <w:bodyDiv w:val="1"/>
      <w:marLeft w:val="0"/>
      <w:marRight w:val="0"/>
      <w:marTop w:val="0"/>
      <w:marBottom w:val="0"/>
      <w:divBdr>
        <w:top w:val="none" w:sz="0" w:space="0" w:color="auto"/>
        <w:left w:val="none" w:sz="0" w:space="0" w:color="auto"/>
        <w:bottom w:val="none" w:sz="0" w:space="0" w:color="auto"/>
        <w:right w:val="none" w:sz="0" w:space="0" w:color="auto"/>
      </w:divBdr>
      <w:divsChild>
        <w:div w:id="1422680179">
          <w:marLeft w:val="1080"/>
          <w:marRight w:val="0"/>
          <w:marTop w:val="100"/>
          <w:marBottom w:val="0"/>
          <w:divBdr>
            <w:top w:val="none" w:sz="0" w:space="0" w:color="auto"/>
            <w:left w:val="none" w:sz="0" w:space="0" w:color="auto"/>
            <w:bottom w:val="none" w:sz="0" w:space="0" w:color="auto"/>
            <w:right w:val="none" w:sz="0" w:space="0" w:color="auto"/>
          </w:divBdr>
        </w:div>
      </w:divsChild>
    </w:div>
    <w:div w:id="1040209789">
      <w:bodyDiv w:val="1"/>
      <w:marLeft w:val="0"/>
      <w:marRight w:val="0"/>
      <w:marTop w:val="0"/>
      <w:marBottom w:val="0"/>
      <w:divBdr>
        <w:top w:val="none" w:sz="0" w:space="0" w:color="auto"/>
        <w:left w:val="none" w:sz="0" w:space="0" w:color="auto"/>
        <w:bottom w:val="none" w:sz="0" w:space="0" w:color="auto"/>
        <w:right w:val="none" w:sz="0" w:space="0" w:color="auto"/>
      </w:divBdr>
    </w:div>
    <w:div w:id="105775177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8284">
      <w:bodyDiv w:val="1"/>
      <w:marLeft w:val="0"/>
      <w:marRight w:val="0"/>
      <w:marTop w:val="0"/>
      <w:marBottom w:val="0"/>
      <w:divBdr>
        <w:top w:val="none" w:sz="0" w:space="0" w:color="auto"/>
        <w:left w:val="none" w:sz="0" w:space="0" w:color="auto"/>
        <w:bottom w:val="none" w:sz="0" w:space="0" w:color="auto"/>
        <w:right w:val="none" w:sz="0" w:space="0" w:color="auto"/>
      </w:divBdr>
    </w:div>
    <w:div w:id="1246258838">
      <w:bodyDiv w:val="1"/>
      <w:marLeft w:val="0"/>
      <w:marRight w:val="0"/>
      <w:marTop w:val="0"/>
      <w:marBottom w:val="0"/>
      <w:divBdr>
        <w:top w:val="none" w:sz="0" w:space="0" w:color="auto"/>
        <w:left w:val="none" w:sz="0" w:space="0" w:color="auto"/>
        <w:bottom w:val="none" w:sz="0" w:space="0" w:color="auto"/>
        <w:right w:val="none" w:sz="0" w:space="0" w:color="auto"/>
      </w:divBdr>
    </w:div>
    <w:div w:id="1249385320">
      <w:bodyDiv w:val="1"/>
      <w:marLeft w:val="0"/>
      <w:marRight w:val="0"/>
      <w:marTop w:val="0"/>
      <w:marBottom w:val="0"/>
      <w:divBdr>
        <w:top w:val="none" w:sz="0" w:space="0" w:color="auto"/>
        <w:left w:val="none" w:sz="0" w:space="0" w:color="auto"/>
        <w:bottom w:val="none" w:sz="0" w:space="0" w:color="auto"/>
        <w:right w:val="none" w:sz="0" w:space="0" w:color="auto"/>
      </w:divBdr>
    </w:div>
    <w:div w:id="1287850741">
      <w:bodyDiv w:val="1"/>
      <w:marLeft w:val="0"/>
      <w:marRight w:val="0"/>
      <w:marTop w:val="0"/>
      <w:marBottom w:val="0"/>
      <w:divBdr>
        <w:top w:val="none" w:sz="0" w:space="0" w:color="auto"/>
        <w:left w:val="none" w:sz="0" w:space="0" w:color="auto"/>
        <w:bottom w:val="none" w:sz="0" w:space="0" w:color="auto"/>
        <w:right w:val="none" w:sz="0" w:space="0" w:color="auto"/>
      </w:divBdr>
    </w:div>
    <w:div w:id="1314063594">
      <w:bodyDiv w:val="1"/>
      <w:marLeft w:val="0"/>
      <w:marRight w:val="0"/>
      <w:marTop w:val="0"/>
      <w:marBottom w:val="0"/>
      <w:divBdr>
        <w:top w:val="none" w:sz="0" w:space="0" w:color="auto"/>
        <w:left w:val="none" w:sz="0" w:space="0" w:color="auto"/>
        <w:bottom w:val="none" w:sz="0" w:space="0" w:color="auto"/>
        <w:right w:val="none" w:sz="0" w:space="0" w:color="auto"/>
      </w:divBdr>
    </w:div>
    <w:div w:id="1345784531">
      <w:bodyDiv w:val="1"/>
      <w:marLeft w:val="0"/>
      <w:marRight w:val="0"/>
      <w:marTop w:val="0"/>
      <w:marBottom w:val="0"/>
      <w:divBdr>
        <w:top w:val="none" w:sz="0" w:space="0" w:color="auto"/>
        <w:left w:val="none" w:sz="0" w:space="0" w:color="auto"/>
        <w:bottom w:val="none" w:sz="0" w:space="0" w:color="auto"/>
        <w:right w:val="none" w:sz="0" w:space="0" w:color="auto"/>
      </w:divBdr>
    </w:div>
    <w:div w:id="1361315787">
      <w:bodyDiv w:val="1"/>
      <w:marLeft w:val="0"/>
      <w:marRight w:val="0"/>
      <w:marTop w:val="0"/>
      <w:marBottom w:val="0"/>
      <w:divBdr>
        <w:top w:val="none" w:sz="0" w:space="0" w:color="auto"/>
        <w:left w:val="none" w:sz="0" w:space="0" w:color="auto"/>
        <w:bottom w:val="none" w:sz="0" w:space="0" w:color="auto"/>
        <w:right w:val="none" w:sz="0" w:space="0" w:color="auto"/>
      </w:divBdr>
    </w:div>
    <w:div w:id="1384981789">
      <w:bodyDiv w:val="1"/>
      <w:marLeft w:val="0"/>
      <w:marRight w:val="0"/>
      <w:marTop w:val="0"/>
      <w:marBottom w:val="0"/>
      <w:divBdr>
        <w:top w:val="none" w:sz="0" w:space="0" w:color="auto"/>
        <w:left w:val="none" w:sz="0" w:space="0" w:color="auto"/>
        <w:bottom w:val="none" w:sz="0" w:space="0" w:color="auto"/>
        <w:right w:val="none" w:sz="0" w:space="0" w:color="auto"/>
      </w:divBdr>
    </w:div>
    <w:div w:id="1385057200">
      <w:bodyDiv w:val="1"/>
      <w:marLeft w:val="0"/>
      <w:marRight w:val="0"/>
      <w:marTop w:val="0"/>
      <w:marBottom w:val="0"/>
      <w:divBdr>
        <w:top w:val="none" w:sz="0" w:space="0" w:color="auto"/>
        <w:left w:val="none" w:sz="0" w:space="0" w:color="auto"/>
        <w:bottom w:val="none" w:sz="0" w:space="0" w:color="auto"/>
        <w:right w:val="none" w:sz="0" w:space="0" w:color="auto"/>
      </w:divBdr>
      <w:divsChild>
        <w:div w:id="288703345">
          <w:marLeft w:val="1080"/>
          <w:marRight w:val="0"/>
          <w:marTop w:val="100"/>
          <w:marBottom w:val="0"/>
          <w:divBdr>
            <w:top w:val="none" w:sz="0" w:space="0" w:color="auto"/>
            <w:left w:val="none" w:sz="0" w:space="0" w:color="auto"/>
            <w:bottom w:val="none" w:sz="0" w:space="0" w:color="auto"/>
            <w:right w:val="none" w:sz="0" w:space="0" w:color="auto"/>
          </w:divBdr>
        </w:div>
      </w:divsChild>
    </w:div>
    <w:div w:id="1465004856">
      <w:bodyDiv w:val="1"/>
      <w:marLeft w:val="0"/>
      <w:marRight w:val="0"/>
      <w:marTop w:val="0"/>
      <w:marBottom w:val="0"/>
      <w:divBdr>
        <w:top w:val="none" w:sz="0" w:space="0" w:color="auto"/>
        <w:left w:val="none" w:sz="0" w:space="0" w:color="auto"/>
        <w:bottom w:val="none" w:sz="0" w:space="0" w:color="auto"/>
        <w:right w:val="none" w:sz="0" w:space="0" w:color="auto"/>
      </w:divBdr>
    </w:div>
    <w:div w:id="1474635107">
      <w:bodyDiv w:val="1"/>
      <w:marLeft w:val="0"/>
      <w:marRight w:val="0"/>
      <w:marTop w:val="0"/>
      <w:marBottom w:val="0"/>
      <w:divBdr>
        <w:top w:val="none" w:sz="0" w:space="0" w:color="auto"/>
        <w:left w:val="none" w:sz="0" w:space="0" w:color="auto"/>
        <w:bottom w:val="none" w:sz="0" w:space="0" w:color="auto"/>
        <w:right w:val="none" w:sz="0" w:space="0" w:color="auto"/>
      </w:divBdr>
    </w:div>
    <w:div w:id="1496996392">
      <w:bodyDiv w:val="1"/>
      <w:marLeft w:val="0"/>
      <w:marRight w:val="0"/>
      <w:marTop w:val="0"/>
      <w:marBottom w:val="0"/>
      <w:divBdr>
        <w:top w:val="none" w:sz="0" w:space="0" w:color="auto"/>
        <w:left w:val="none" w:sz="0" w:space="0" w:color="auto"/>
        <w:bottom w:val="none" w:sz="0" w:space="0" w:color="auto"/>
        <w:right w:val="none" w:sz="0" w:space="0" w:color="auto"/>
      </w:divBdr>
    </w:div>
    <w:div w:id="1503543504">
      <w:bodyDiv w:val="1"/>
      <w:marLeft w:val="0"/>
      <w:marRight w:val="0"/>
      <w:marTop w:val="0"/>
      <w:marBottom w:val="0"/>
      <w:divBdr>
        <w:top w:val="none" w:sz="0" w:space="0" w:color="auto"/>
        <w:left w:val="none" w:sz="0" w:space="0" w:color="auto"/>
        <w:bottom w:val="none" w:sz="0" w:space="0" w:color="auto"/>
        <w:right w:val="none" w:sz="0" w:space="0" w:color="auto"/>
      </w:divBdr>
    </w:div>
    <w:div w:id="1520000622">
      <w:bodyDiv w:val="1"/>
      <w:marLeft w:val="0"/>
      <w:marRight w:val="0"/>
      <w:marTop w:val="0"/>
      <w:marBottom w:val="0"/>
      <w:divBdr>
        <w:top w:val="none" w:sz="0" w:space="0" w:color="auto"/>
        <w:left w:val="none" w:sz="0" w:space="0" w:color="auto"/>
        <w:bottom w:val="none" w:sz="0" w:space="0" w:color="auto"/>
        <w:right w:val="none" w:sz="0" w:space="0" w:color="auto"/>
      </w:divBdr>
    </w:div>
    <w:div w:id="1555652193">
      <w:bodyDiv w:val="1"/>
      <w:marLeft w:val="0"/>
      <w:marRight w:val="0"/>
      <w:marTop w:val="0"/>
      <w:marBottom w:val="0"/>
      <w:divBdr>
        <w:top w:val="none" w:sz="0" w:space="0" w:color="auto"/>
        <w:left w:val="none" w:sz="0" w:space="0" w:color="auto"/>
        <w:bottom w:val="none" w:sz="0" w:space="0" w:color="auto"/>
        <w:right w:val="none" w:sz="0" w:space="0" w:color="auto"/>
      </w:divBdr>
      <w:divsChild>
        <w:div w:id="840004488">
          <w:marLeft w:val="0"/>
          <w:marRight w:val="0"/>
          <w:marTop w:val="0"/>
          <w:marBottom w:val="0"/>
          <w:divBdr>
            <w:top w:val="none" w:sz="0" w:space="0" w:color="auto"/>
            <w:left w:val="none" w:sz="0" w:space="0" w:color="auto"/>
            <w:bottom w:val="none" w:sz="0" w:space="0" w:color="auto"/>
            <w:right w:val="none" w:sz="0" w:space="0" w:color="auto"/>
          </w:divBdr>
        </w:div>
      </w:divsChild>
    </w:div>
    <w:div w:id="1676154417">
      <w:bodyDiv w:val="1"/>
      <w:marLeft w:val="0"/>
      <w:marRight w:val="0"/>
      <w:marTop w:val="0"/>
      <w:marBottom w:val="0"/>
      <w:divBdr>
        <w:top w:val="none" w:sz="0" w:space="0" w:color="auto"/>
        <w:left w:val="none" w:sz="0" w:space="0" w:color="auto"/>
        <w:bottom w:val="none" w:sz="0" w:space="0" w:color="auto"/>
        <w:right w:val="none" w:sz="0" w:space="0" w:color="auto"/>
      </w:divBdr>
    </w:div>
    <w:div w:id="1692301226">
      <w:bodyDiv w:val="1"/>
      <w:marLeft w:val="0"/>
      <w:marRight w:val="0"/>
      <w:marTop w:val="0"/>
      <w:marBottom w:val="0"/>
      <w:divBdr>
        <w:top w:val="none" w:sz="0" w:space="0" w:color="auto"/>
        <w:left w:val="none" w:sz="0" w:space="0" w:color="auto"/>
        <w:bottom w:val="none" w:sz="0" w:space="0" w:color="auto"/>
        <w:right w:val="none" w:sz="0" w:space="0" w:color="auto"/>
      </w:divBdr>
    </w:div>
    <w:div w:id="1694040874">
      <w:bodyDiv w:val="1"/>
      <w:marLeft w:val="0"/>
      <w:marRight w:val="0"/>
      <w:marTop w:val="0"/>
      <w:marBottom w:val="0"/>
      <w:divBdr>
        <w:top w:val="none" w:sz="0" w:space="0" w:color="auto"/>
        <w:left w:val="none" w:sz="0" w:space="0" w:color="auto"/>
        <w:bottom w:val="none" w:sz="0" w:space="0" w:color="auto"/>
        <w:right w:val="none" w:sz="0" w:space="0" w:color="auto"/>
      </w:divBdr>
    </w:div>
    <w:div w:id="1749494074">
      <w:bodyDiv w:val="1"/>
      <w:marLeft w:val="0"/>
      <w:marRight w:val="0"/>
      <w:marTop w:val="0"/>
      <w:marBottom w:val="0"/>
      <w:divBdr>
        <w:top w:val="none" w:sz="0" w:space="0" w:color="auto"/>
        <w:left w:val="none" w:sz="0" w:space="0" w:color="auto"/>
        <w:bottom w:val="none" w:sz="0" w:space="0" w:color="auto"/>
        <w:right w:val="none" w:sz="0" w:space="0" w:color="auto"/>
      </w:divBdr>
    </w:div>
    <w:div w:id="1766730888">
      <w:bodyDiv w:val="1"/>
      <w:marLeft w:val="0"/>
      <w:marRight w:val="0"/>
      <w:marTop w:val="0"/>
      <w:marBottom w:val="0"/>
      <w:divBdr>
        <w:top w:val="none" w:sz="0" w:space="0" w:color="auto"/>
        <w:left w:val="none" w:sz="0" w:space="0" w:color="auto"/>
        <w:bottom w:val="none" w:sz="0" w:space="0" w:color="auto"/>
        <w:right w:val="none" w:sz="0" w:space="0" w:color="auto"/>
      </w:divBdr>
    </w:div>
    <w:div w:id="1777942450">
      <w:bodyDiv w:val="1"/>
      <w:marLeft w:val="0"/>
      <w:marRight w:val="0"/>
      <w:marTop w:val="0"/>
      <w:marBottom w:val="0"/>
      <w:divBdr>
        <w:top w:val="none" w:sz="0" w:space="0" w:color="auto"/>
        <w:left w:val="none" w:sz="0" w:space="0" w:color="auto"/>
        <w:bottom w:val="none" w:sz="0" w:space="0" w:color="auto"/>
        <w:right w:val="none" w:sz="0" w:space="0" w:color="auto"/>
      </w:divBdr>
    </w:div>
    <w:div w:id="1799839452">
      <w:bodyDiv w:val="1"/>
      <w:marLeft w:val="0"/>
      <w:marRight w:val="0"/>
      <w:marTop w:val="0"/>
      <w:marBottom w:val="0"/>
      <w:divBdr>
        <w:top w:val="none" w:sz="0" w:space="0" w:color="auto"/>
        <w:left w:val="none" w:sz="0" w:space="0" w:color="auto"/>
        <w:bottom w:val="none" w:sz="0" w:space="0" w:color="auto"/>
        <w:right w:val="none" w:sz="0" w:space="0" w:color="auto"/>
      </w:divBdr>
    </w:div>
    <w:div w:id="1828591899">
      <w:bodyDiv w:val="1"/>
      <w:marLeft w:val="0"/>
      <w:marRight w:val="0"/>
      <w:marTop w:val="0"/>
      <w:marBottom w:val="0"/>
      <w:divBdr>
        <w:top w:val="none" w:sz="0" w:space="0" w:color="auto"/>
        <w:left w:val="none" w:sz="0" w:space="0" w:color="auto"/>
        <w:bottom w:val="none" w:sz="0" w:space="0" w:color="auto"/>
        <w:right w:val="none" w:sz="0" w:space="0" w:color="auto"/>
      </w:divBdr>
    </w:div>
    <w:div w:id="1833062674">
      <w:bodyDiv w:val="1"/>
      <w:marLeft w:val="0"/>
      <w:marRight w:val="0"/>
      <w:marTop w:val="0"/>
      <w:marBottom w:val="0"/>
      <w:divBdr>
        <w:top w:val="none" w:sz="0" w:space="0" w:color="auto"/>
        <w:left w:val="none" w:sz="0" w:space="0" w:color="auto"/>
        <w:bottom w:val="none" w:sz="0" w:space="0" w:color="auto"/>
        <w:right w:val="none" w:sz="0" w:space="0" w:color="auto"/>
      </w:divBdr>
    </w:div>
    <w:div w:id="1842313856">
      <w:bodyDiv w:val="1"/>
      <w:marLeft w:val="0"/>
      <w:marRight w:val="0"/>
      <w:marTop w:val="0"/>
      <w:marBottom w:val="0"/>
      <w:divBdr>
        <w:top w:val="none" w:sz="0" w:space="0" w:color="auto"/>
        <w:left w:val="none" w:sz="0" w:space="0" w:color="auto"/>
        <w:bottom w:val="none" w:sz="0" w:space="0" w:color="auto"/>
        <w:right w:val="none" w:sz="0" w:space="0" w:color="auto"/>
      </w:divBdr>
    </w:div>
    <w:div w:id="1884518884">
      <w:bodyDiv w:val="1"/>
      <w:marLeft w:val="0"/>
      <w:marRight w:val="0"/>
      <w:marTop w:val="0"/>
      <w:marBottom w:val="0"/>
      <w:divBdr>
        <w:top w:val="none" w:sz="0" w:space="0" w:color="auto"/>
        <w:left w:val="none" w:sz="0" w:space="0" w:color="auto"/>
        <w:bottom w:val="none" w:sz="0" w:space="0" w:color="auto"/>
        <w:right w:val="none" w:sz="0" w:space="0" w:color="auto"/>
      </w:divBdr>
    </w:div>
    <w:div w:id="192741565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500499">
      <w:bodyDiv w:val="1"/>
      <w:marLeft w:val="0"/>
      <w:marRight w:val="0"/>
      <w:marTop w:val="0"/>
      <w:marBottom w:val="0"/>
      <w:divBdr>
        <w:top w:val="none" w:sz="0" w:space="0" w:color="auto"/>
        <w:left w:val="none" w:sz="0" w:space="0" w:color="auto"/>
        <w:bottom w:val="none" w:sz="0" w:space="0" w:color="auto"/>
        <w:right w:val="none" w:sz="0" w:space="0" w:color="auto"/>
      </w:divBdr>
    </w:div>
    <w:div w:id="2037540036">
      <w:bodyDiv w:val="1"/>
      <w:marLeft w:val="0"/>
      <w:marRight w:val="0"/>
      <w:marTop w:val="0"/>
      <w:marBottom w:val="0"/>
      <w:divBdr>
        <w:top w:val="none" w:sz="0" w:space="0" w:color="auto"/>
        <w:left w:val="none" w:sz="0" w:space="0" w:color="auto"/>
        <w:bottom w:val="none" w:sz="0" w:space="0" w:color="auto"/>
        <w:right w:val="none" w:sz="0" w:space="0" w:color="auto"/>
      </w:divBdr>
    </w:div>
    <w:div w:id="2139374208">
      <w:bodyDiv w:val="1"/>
      <w:marLeft w:val="0"/>
      <w:marRight w:val="0"/>
      <w:marTop w:val="0"/>
      <w:marBottom w:val="0"/>
      <w:divBdr>
        <w:top w:val="none" w:sz="0" w:space="0" w:color="auto"/>
        <w:left w:val="none" w:sz="0" w:space="0" w:color="auto"/>
        <w:bottom w:val="none" w:sz="0" w:space="0" w:color="auto"/>
        <w:right w:val="none" w:sz="0" w:space="0" w:color="auto"/>
      </w:divBdr>
    </w:div>
    <w:div w:id="2144031155">
      <w:bodyDiv w:val="1"/>
      <w:marLeft w:val="0"/>
      <w:marRight w:val="0"/>
      <w:marTop w:val="0"/>
      <w:marBottom w:val="0"/>
      <w:divBdr>
        <w:top w:val="none" w:sz="0" w:space="0" w:color="auto"/>
        <w:left w:val="none" w:sz="0" w:space="0" w:color="auto"/>
        <w:bottom w:val="none" w:sz="0" w:space="0" w:color="auto"/>
        <w:right w:val="none" w:sz="0" w:space="0" w:color="auto"/>
      </w:divBdr>
      <w:divsChild>
        <w:div w:id="40515664">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b:Tag>
    <b:SourceType>Report</b:SourceType>
    <b:Guid>{A90B6397-24A8-4DF2-8084-6A6EFBDA6FC2}</b:Guid>
    <b:Author>
      <b:Author>
        <b:Corporate>SOLO1 CSR</b:Corporate>
      </b:Author>
    </b:Author>
    <b:Title>Clinical Study Report: A Phase III, Randomised, Double Blind, Placebo Controlled, Multicentre Study of Olaparib Maintenance Monotherapy in Patients with BRCA Mutated Advanced (FIGO Stage III-IV) Ovarian Cancer following First Line Platinum Based Chemo</b:Title>
    <b:Year>2018</b:Year>
    <b:Publisher>AstraZeneca</b:Publisher>
    <b:RefOrder>1</b:RefOrder>
  </b:Source>
</b:Sources>
</file>

<file path=customXml/itemProps1.xml><?xml version="1.0" encoding="utf-8"?>
<ds:datastoreItem xmlns:ds="http://schemas.openxmlformats.org/officeDocument/2006/customXml" ds:itemID="{56224DB6-EE91-4FEC-8ACD-ADD998A9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16205</Words>
  <Characters>89835</Characters>
  <Application>Microsoft Office Word</Application>
  <DocSecurity>0</DocSecurity>
  <Lines>748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2020-10-22T06:08:00Z</dcterms:created>
  <dcterms:modified xsi:type="dcterms:W3CDTF">2020-10-22T06:10:00Z</dcterms:modified>
</cp:coreProperties>
</file>