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2C62BF" w:rsidRDefault="000F48FF" w:rsidP="004A6040">
      <w:pPr>
        <w:pStyle w:val="1-MainHeading"/>
      </w:pPr>
      <w:bookmarkStart w:id="0" w:name="_Toc40873636"/>
      <w:bookmarkStart w:id="1" w:name="_GoBack"/>
      <w:bookmarkEnd w:id="1"/>
      <w:r w:rsidRPr="002C62BF">
        <w:t>7.04</w:t>
      </w:r>
      <w:r w:rsidR="00163F66" w:rsidRPr="002C62BF">
        <w:tab/>
      </w:r>
      <w:r w:rsidR="00693C6F" w:rsidRPr="002C62BF">
        <w:t>O</w:t>
      </w:r>
      <w:r w:rsidRPr="002C62BF">
        <w:t>CRELIZUMAB</w:t>
      </w:r>
      <w:r w:rsidR="00163F66" w:rsidRPr="002C62BF">
        <w:t>,</w:t>
      </w:r>
      <w:r w:rsidR="00163F66" w:rsidRPr="002C62BF">
        <w:br/>
      </w:r>
      <w:r w:rsidR="0027076B" w:rsidRPr="002C62BF">
        <w:t>Solution concentrate for I.V. infusion</w:t>
      </w:r>
      <w:r w:rsidRPr="002C62BF">
        <w:t xml:space="preserve"> 300 mg in 10 </w:t>
      </w:r>
      <w:r w:rsidR="0027076B" w:rsidRPr="002C62BF">
        <w:t>mL</w:t>
      </w:r>
      <w:r w:rsidR="00163F66" w:rsidRPr="002C62BF">
        <w:t>,</w:t>
      </w:r>
      <w:r w:rsidR="00163F66" w:rsidRPr="002C62BF">
        <w:br/>
      </w:r>
      <w:r w:rsidR="00693C6F" w:rsidRPr="002C62BF">
        <w:t>Ocrevus</w:t>
      </w:r>
      <w:r w:rsidR="00B60939" w:rsidRPr="002C62BF">
        <w:rPr>
          <w:vertAlign w:val="superscript"/>
        </w:rPr>
        <w:t>®</w:t>
      </w:r>
      <w:r w:rsidR="004A6040" w:rsidRPr="002C62BF">
        <w:t>,</w:t>
      </w:r>
      <w:r w:rsidR="004A6040" w:rsidRPr="002C62BF">
        <w:br/>
      </w:r>
      <w:r w:rsidR="00693C6F" w:rsidRPr="002C62BF">
        <w:t>Roche</w:t>
      </w:r>
      <w:r w:rsidRPr="002C62BF">
        <w:t xml:space="preserve"> Products Pty Ltd</w:t>
      </w:r>
      <w:r w:rsidR="00693C6F" w:rsidRPr="002C62BF">
        <w:t>.</w:t>
      </w:r>
      <w:bookmarkEnd w:id="0"/>
    </w:p>
    <w:p w:rsidR="00B50DB8" w:rsidRPr="002C62BF" w:rsidRDefault="00B50DB8" w:rsidP="004A6040">
      <w:pPr>
        <w:pStyle w:val="2-SectionHeading"/>
      </w:pPr>
      <w:bookmarkStart w:id="2" w:name="_Toc40873638"/>
      <w:r w:rsidRPr="002C62BF">
        <w:t xml:space="preserve">Purpose of </w:t>
      </w:r>
      <w:r w:rsidR="0081054C" w:rsidRPr="002C62BF">
        <w:t>re</w:t>
      </w:r>
      <w:r w:rsidR="00CD7193" w:rsidRPr="002C62BF">
        <w:t>s</w:t>
      </w:r>
      <w:r w:rsidR="00BB3A45" w:rsidRPr="002C62BF">
        <w:t>ubmission</w:t>
      </w:r>
      <w:bookmarkEnd w:id="2"/>
    </w:p>
    <w:p w:rsidR="002C2775" w:rsidRPr="002C62BF" w:rsidRDefault="007170DA" w:rsidP="00DE00EA">
      <w:pPr>
        <w:pStyle w:val="3-BodyText"/>
      </w:pPr>
      <w:r w:rsidRPr="002C62BF">
        <w:t xml:space="preserve">The </w:t>
      </w:r>
      <w:r w:rsidR="0081054C" w:rsidRPr="002C62BF">
        <w:t>re</w:t>
      </w:r>
      <w:r w:rsidRPr="002C62BF">
        <w:t xml:space="preserve">submission requested </w:t>
      </w:r>
      <w:r w:rsidR="00122C40" w:rsidRPr="002C62BF">
        <w:t xml:space="preserve">a </w:t>
      </w:r>
      <w:r w:rsidR="008B1757" w:rsidRPr="002C62BF">
        <w:t>Section 100</w:t>
      </w:r>
      <w:r w:rsidR="009D3F57" w:rsidRPr="002C62BF">
        <w:t xml:space="preserve"> </w:t>
      </w:r>
      <w:r w:rsidR="008B1757" w:rsidRPr="002C62BF">
        <w:t xml:space="preserve">listing for </w:t>
      </w:r>
      <w:r w:rsidR="0081054C" w:rsidRPr="002C62BF">
        <w:t>ocrelizumab</w:t>
      </w:r>
      <w:r w:rsidR="008B1757" w:rsidRPr="002C62BF">
        <w:t xml:space="preserve"> for </w:t>
      </w:r>
      <w:r w:rsidR="0050174E" w:rsidRPr="002C62BF">
        <w:t xml:space="preserve">the </w:t>
      </w:r>
      <w:r w:rsidR="008B1757" w:rsidRPr="002C62BF">
        <w:t xml:space="preserve">treatment of </w:t>
      </w:r>
      <w:r w:rsidR="0081054C" w:rsidRPr="002C62BF">
        <w:t>early, active primary progressive multiple sclerosis (PPMS)</w:t>
      </w:r>
      <w:r w:rsidR="009D3F57" w:rsidRPr="002C62BF">
        <w:t xml:space="preserve">. </w:t>
      </w:r>
    </w:p>
    <w:p w:rsidR="004E0456" w:rsidRPr="002C62BF" w:rsidRDefault="005750C5" w:rsidP="004E0456">
      <w:pPr>
        <w:pStyle w:val="3-BodyText"/>
      </w:pPr>
      <w:r w:rsidRPr="002C62BF">
        <w:t xml:space="preserve">Listing was requested on the basis of a </w:t>
      </w:r>
      <w:r w:rsidR="009D3F57" w:rsidRPr="002C62BF">
        <w:t>cost-utility</w:t>
      </w:r>
      <w:r w:rsidRPr="002C62BF">
        <w:t xml:space="preserve"> analysis versus </w:t>
      </w:r>
      <w:r w:rsidR="009D3F57" w:rsidRPr="002C62BF">
        <w:t>best supportive care (BSC)</w:t>
      </w:r>
      <w:r w:rsidR="00F35E20" w:rsidRPr="002C62BF">
        <w:t>. Key components of the clinical issue addressed by the resubmission are presented in Table 1</w:t>
      </w:r>
      <w:r w:rsidR="00122C40" w:rsidRPr="002C62BF">
        <w:t>.</w:t>
      </w:r>
      <w:r w:rsidR="004E0456" w:rsidRPr="002C62BF">
        <w:t xml:space="preserve"> Underlined text refers to changes </w:t>
      </w:r>
      <w:r w:rsidR="00B7467D" w:rsidRPr="002C62BF">
        <w:t xml:space="preserve">compared with </w:t>
      </w:r>
      <w:r w:rsidR="004E0456" w:rsidRPr="002C62BF">
        <w:t>the previous submission.</w:t>
      </w:r>
    </w:p>
    <w:p w:rsidR="008B1757" w:rsidRPr="002C62BF" w:rsidRDefault="008B1757" w:rsidP="004A6040">
      <w:pPr>
        <w:pStyle w:val="TableFigureHeading"/>
        <w:rPr>
          <w:rStyle w:val="CommentReference"/>
          <w:b/>
          <w:szCs w:val="24"/>
        </w:rPr>
      </w:pPr>
      <w:bookmarkStart w:id="3" w:name="_Ref39763789"/>
      <w:r w:rsidRPr="002C62BF">
        <w:rPr>
          <w:rStyle w:val="CommentReference"/>
          <w:b/>
          <w:szCs w:val="24"/>
        </w:rPr>
        <w:t xml:space="preserve">Table </w:t>
      </w:r>
      <w:r w:rsidR="0089607C" w:rsidRPr="002C62BF">
        <w:rPr>
          <w:rStyle w:val="CommentReference"/>
          <w:b/>
          <w:szCs w:val="24"/>
        </w:rPr>
        <w:t>1</w:t>
      </w:r>
      <w:bookmarkEnd w:id="3"/>
      <w:r w:rsidRPr="002C62BF">
        <w:rPr>
          <w:rStyle w:val="CommentReference"/>
          <w:b/>
          <w:szCs w:val="24"/>
        </w:rPr>
        <w:t>:</w:t>
      </w:r>
      <w:r w:rsidR="00BC591F" w:rsidRPr="002C62BF">
        <w:rPr>
          <w:rStyle w:val="CommentReference"/>
          <w:b/>
          <w:szCs w:val="24"/>
        </w:rPr>
        <w:t xml:space="preserve"> </w:t>
      </w:r>
      <w:r w:rsidRPr="002C62BF">
        <w:rPr>
          <w:rStyle w:val="CommentReference"/>
          <w:b/>
          <w:szCs w:val="24"/>
        </w:rPr>
        <w:t xml:space="preserve">Key components of the clinical issue addressed by the </w:t>
      </w:r>
      <w:r w:rsidR="00122C40" w:rsidRPr="002C62BF">
        <w:rPr>
          <w:rStyle w:val="CommentReference"/>
          <w:b/>
          <w:szCs w:val="24"/>
        </w:rPr>
        <w:t>re</w:t>
      </w:r>
      <w:r w:rsidRPr="002C62BF">
        <w:rPr>
          <w:rStyle w:val="CommentReference"/>
          <w:b/>
          <w:szCs w:val="24"/>
        </w:rPr>
        <w:t>submission</w:t>
      </w:r>
      <w:r w:rsidR="007170DA" w:rsidRPr="002C62BF">
        <w:rPr>
          <w:rStyle w:val="CommentReference"/>
          <w:b/>
          <w:szCs w:val="24"/>
        </w:rPr>
        <w:t xml:space="preserve"> </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122C40" w:rsidRPr="002C62BF" w:rsidTr="006B4443">
        <w:tc>
          <w:tcPr>
            <w:tcW w:w="1668" w:type="dxa"/>
            <w:vAlign w:val="center"/>
          </w:tcPr>
          <w:p w:rsidR="00122C40" w:rsidRPr="002C62BF" w:rsidRDefault="00122C40" w:rsidP="006B4443">
            <w:pPr>
              <w:pStyle w:val="In-tableHeading"/>
              <w:rPr>
                <w:lang w:val="en-AU"/>
              </w:rPr>
            </w:pPr>
            <w:r w:rsidRPr="002C62BF">
              <w:rPr>
                <w:lang w:val="en-AU"/>
              </w:rPr>
              <w:t>Component</w:t>
            </w:r>
          </w:p>
        </w:tc>
        <w:tc>
          <w:tcPr>
            <w:tcW w:w="7488" w:type="dxa"/>
            <w:vAlign w:val="center"/>
          </w:tcPr>
          <w:p w:rsidR="00122C40" w:rsidRPr="002C62BF" w:rsidRDefault="00122C40" w:rsidP="006B4443">
            <w:pPr>
              <w:pStyle w:val="In-tableHeading"/>
              <w:rPr>
                <w:lang w:val="en-AU"/>
              </w:rPr>
            </w:pPr>
            <w:r w:rsidRPr="002C62BF">
              <w:rPr>
                <w:lang w:val="en-AU"/>
              </w:rPr>
              <w:t>Description</w:t>
            </w:r>
          </w:p>
        </w:tc>
      </w:tr>
      <w:tr w:rsidR="00122C40" w:rsidRPr="002C62BF" w:rsidTr="006B4443">
        <w:trPr>
          <w:trHeight w:val="287"/>
        </w:trPr>
        <w:tc>
          <w:tcPr>
            <w:tcW w:w="1668" w:type="dxa"/>
            <w:vAlign w:val="center"/>
          </w:tcPr>
          <w:p w:rsidR="00122C40" w:rsidRPr="002C62BF" w:rsidRDefault="00122C40" w:rsidP="006B4443">
            <w:pPr>
              <w:pStyle w:val="TableText0"/>
            </w:pPr>
            <w:r w:rsidRPr="002C62BF">
              <w:t>Population</w:t>
            </w:r>
          </w:p>
        </w:tc>
        <w:tc>
          <w:tcPr>
            <w:tcW w:w="7488" w:type="dxa"/>
            <w:vAlign w:val="center"/>
          </w:tcPr>
          <w:p w:rsidR="00122C40" w:rsidRPr="002C62BF" w:rsidRDefault="00122C40" w:rsidP="006B4443">
            <w:pPr>
              <w:pStyle w:val="TableText0"/>
            </w:pPr>
            <w:r w:rsidRPr="002C62BF">
              <w:rPr>
                <w:u w:val="single"/>
              </w:rPr>
              <w:t>Adult</w:t>
            </w:r>
            <w:r w:rsidRPr="002C62BF">
              <w:t xml:space="preserve"> patients with primary progressive multiple sclerosis (PPMS)</w:t>
            </w:r>
            <w:r w:rsidR="004A1DFE" w:rsidRPr="002C62BF">
              <w:t xml:space="preserve"> </w:t>
            </w:r>
            <w:r w:rsidR="004A1DFE" w:rsidRPr="002C62BF">
              <w:rPr>
                <w:u w:val="single"/>
              </w:rPr>
              <w:t>diagnosed in the previous 5 years and with active* inflammatory disease in the previous 12 months</w:t>
            </w:r>
            <w:r w:rsidR="004A1DFE" w:rsidRPr="002C62BF">
              <w:rPr>
                <w:u w:val="single"/>
                <w:vertAlign w:val="superscript"/>
              </w:rPr>
              <w:t>a</w:t>
            </w:r>
          </w:p>
        </w:tc>
      </w:tr>
      <w:tr w:rsidR="00122C40" w:rsidRPr="002C62BF" w:rsidTr="006B4443">
        <w:tc>
          <w:tcPr>
            <w:tcW w:w="1668" w:type="dxa"/>
            <w:vAlign w:val="center"/>
          </w:tcPr>
          <w:p w:rsidR="00122C40" w:rsidRPr="002C62BF" w:rsidRDefault="00122C40" w:rsidP="006B4443">
            <w:pPr>
              <w:pStyle w:val="TableText0"/>
            </w:pPr>
            <w:r w:rsidRPr="002C62BF">
              <w:t>Intervention</w:t>
            </w:r>
          </w:p>
        </w:tc>
        <w:tc>
          <w:tcPr>
            <w:tcW w:w="7488" w:type="dxa"/>
            <w:vAlign w:val="center"/>
          </w:tcPr>
          <w:p w:rsidR="00122C40" w:rsidRPr="002C62BF" w:rsidRDefault="00122C40" w:rsidP="006B4443">
            <w:pPr>
              <w:pStyle w:val="TableText0"/>
            </w:pPr>
            <w:r w:rsidRPr="002C62BF">
              <w:t>Ocrelizumab</w:t>
            </w:r>
            <w:r w:rsidR="004A1DFE" w:rsidRPr="002C62BF">
              <w:t xml:space="preserve"> (600mg IV infusion every 6 months)</w:t>
            </w:r>
          </w:p>
        </w:tc>
      </w:tr>
      <w:tr w:rsidR="00122C40" w:rsidRPr="002C62BF" w:rsidTr="006B4443">
        <w:tc>
          <w:tcPr>
            <w:tcW w:w="1668" w:type="dxa"/>
            <w:vAlign w:val="center"/>
          </w:tcPr>
          <w:p w:rsidR="00122C40" w:rsidRPr="002C62BF" w:rsidRDefault="00122C40" w:rsidP="006B4443">
            <w:pPr>
              <w:pStyle w:val="TableText0"/>
            </w:pPr>
            <w:r w:rsidRPr="002C62BF">
              <w:t>Comparator</w:t>
            </w:r>
          </w:p>
        </w:tc>
        <w:tc>
          <w:tcPr>
            <w:tcW w:w="7488" w:type="dxa"/>
            <w:vAlign w:val="center"/>
          </w:tcPr>
          <w:p w:rsidR="00122C40" w:rsidRPr="002C62BF" w:rsidRDefault="00122C40" w:rsidP="006B4443">
            <w:pPr>
              <w:pStyle w:val="TableText0"/>
            </w:pPr>
            <w:r w:rsidRPr="002C62BF">
              <w:t>Best Supportive Care (BSC).</w:t>
            </w:r>
          </w:p>
        </w:tc>
      </w:tr>
      <w:tr w:rsidR="00122C40" w:rsidRPr="002C62BF" w:rsidTr="006B4443">
        <w:tc>
          <w:tcPr>
            <w:tcW w:w="1668" w:type="dxa"/>
            <w:vAlign w:val="center"/>
          </w:tcPr>
          <w:p w:rsidR="00122C40" w:rsidRPr="002C62BF" w:rsidRDefault="00122C40" w:rsidP="006B4443">
            <w:pPr>
              <w:pStyle w:val="TableText0"/>
            </w:pPr>
            <w:r w:rsidRPr="002C62BF">
              <w:t>Outcomes</w:t>
            </w:r>
          </w:p>
        </w:tc>
        <w:tc>
          <w:tcPr>
            <w:tcW w:w="7488" w:type="dxa"/>
            <w:vAlign w:val="center"/>
          </w:tcPr>
          <w:p w:rsidR="00122C40" w:rsidRPr="002C62BF" w:rsidRDefault="00122C40" w:rsidP="006B4443">
            <w:pPr>
              <w:pStyle w:val="TableText0"/>
            </w:pPr>
            <w:r w:rsidRPr="002C62BF">
              <w:t>Reduction in disability progression</w:t>
            </w:r>
          </w:p>
          <w:p w:rsidR="00122C40" w:rsidRPr="002C62BF" w:rsidRDefault="00122C40" w:rsidP="006B4443">
            <w:pPr>
              <w:pStyle w:val="TableText0"/>
              <w:tabs>
                <w:tab w:val="left" w:pos="274"/>
              </w:tabs>
            </w:pPr>
            <w:r w:rsidRPr="002C62BF">
              <w:t>•</w:t>
            </w:r>
            <w:r w:rsidRPr="002C62BF">
              <w:tab/>
              <w:t>Time to onset of confirmed disability progression, using EDSS scores;</w:t>
            </w:r>
          </w:p>
          <w:p w:rsidR="00122C40" w:rsidRPr="002C62BF" w:rsidRDefault="00122C40" w:rsidP="006B4443">
            <w:pPr>
              <w:pStyle w:val="TableText0"/>
              <w:tabs>
                <w:tab w:val="left" w:pos="274"/>
              </w:tabs>
            </w:pPr>
            <w:r w:rsidRPr="002C62BF">
              <w:t>•</w:t>
            </w:r>
            <w:r w:rsidRPr="002C62BF">
              <w:tab/>
              <w:t>Change in walking speed, using timed 25-Foot Walk (T25FTW); and</w:t>
            </w:r>
          </w:p>
          <w:p w:rsidR="00122C40" w:rsidRPr="002C62BF" w:rsidRDefault="00122C40" w:rsidP="006B4443">
            <w:pPr>
              <w:pStyle w:val="TableText0"/>
              <w:tabs>
                <w:tab w:val="left" w:pos="274"/>
              </w:tabs>
            </w:pPr>
            <w:r w:rsidRPr="002C62BF">
              <w:t>•</w:t>
            </w:r>
            <w:r w:rsidRPr="002C62BF">
              <w:tab/>
              <w:t>Upper limb-dysfunction, using 9-hole peg test (9HPT).</w:t>
            </w:r>
          </w:p>
          <w:p w:rsidR="00122C40" w:rsidRPr="002C62BF" w:rsidRDefault="00122C40" w:rsidP="006B4443">
            <w:pPr>
              <w:pStyle w:val="TableText0"/>
              <w:tabs>
                <w:tab w:val="left" w:pos="274"/>
              </w:tabs>
            </w:pPr>
            <w:r w:rsidRPr="002C62BF">
              <w:t>Brain MRI</w:t>
            </w:r>
          </w:p>
          <w:p w:rsidR="00122C40" w:rsidRPr="002C62BF" w:rsidRDefault="00122C40" w:rsidP="006B4443">
            <w:pPr>
              <w:pStyle w:val="TableText0"/>
              <w:tabs>
                <w:tab w:val="left" w:pos="304"/>
              </w:tabs>
            </w:pPr>
            <w:r w:rsidRPr="002C62BF">
              <w:t>•</w:t>
            </w:r>
            <w:r w:rsidRPr="002C62BF">
              <w:tab/>
              <w:t>Change in T2 lesion volume; and</w:t>
            </w:r>
          </w:p>
          <w:p w:rsidR="00122C40" w:rsidRPr="002C62BF" w:rsidRDefault="00122C40" w:rsidP="006B4443">
            <w:pPr>
              <w:pStyle w:val="TableText0"/>
              <w:tabs>
                <w:tab w:val="left" w:pos="304"/>
              </w:tabs>
            </w:pPr>
            <w:r w:rsidRPr="002C62BF">
              <w:t>•</w:t>
            </w:r>
            <w:r w:rsidRPr="002C62BF">
              <w:tab/>
              <w:t>Change in total brain volume.</w:t>
            </w:r>
          </w:p>
          <w:p w:rsidR="00122C40" w:rsidRPr="002C62BF" w:rsidRDefault="00122C40" w:rsidP="006B4443">
            <w:pPr>
              <w:pStyle w:val="TableText0"/>
            </w:pPr>
            <w:r w:rsidRPr="002C62BF">
              <w:t>Quality of life</w:t>
            </w:r>
          </w:p>
          <w:p w:rsidR="00122C40" w:rsidRPr="002C62BF" w:rsidRDefault="00122C40" w:rsidP="006B4443">
            <w:pPr>
              <w:pStyle w:val="TableText0"/>
              <w:tabs>
                <w:tab w:val="left" w:pos="304"/>
              </w:tabs>
            </w:pPr>
            <w:r w:rsidRPr="002C62BF">
              <w:t>•</w:t>
            </w:r>
            <w:r w:rsidRPr="002C62BF">
              <w:tab/>
              <w:t>Utility of disability state, using EDSS scores; and</w:t>
            </w:r>
          </w:p>
          <w:p w:rsidR="00122C40" w:rsidRPr="002C62BF" w:rsidRDefault="00122C40" w:rsidP="006B4443">
            <w:pPr>
              <w:pStyle w:val="TableText0"/>
              <w:tabs>
                <w:tab w:val="left" w:pos="304"/>
              </w:tabs>
            </w:pPr>
            <w:r w:rsidRPr="002C62BF">
              <w:t>•</w:t>
            </w:r>
            <w:r w:rsidRPr="002C62BF">
              <w:tab/>
              <w:t>SF-36 scores.</w:t>
            </w:r>
          </w:p>
        </w:tc>
      </w:tr>
      <w:tr w:rsidR="00122C40" w:rsidRPr="002C62BF" w:rsidTr="006B4443">
        <w:tc>
          <w:tcPr>
            <w:tcW w:w="1668" w:type="dxa"/>
            <w:vAlign w:val="center"/>
          </w:tcPr>
          <w:p w:rsidR="00122C40" w:rsidRPr="002C62BF" w:rsidRDefault="00122C40" w:rsidP="006B4443">
            <w:pPr>
              <w:pStyle w:val="TableText0"/>
            </w:pPr>
            <w:r w:rsidRPr="002C62BF">
              <w:t>Clinical claim</w:t>
            </w:r>
          </w:p>
        </w:tc>
        <w:tc>
          <w:tcPr>
            <w:tcW w:w="7488" w:type="dxa"/>
            <w:vAlign w:val="center"/>
          </w:tcPr>
          <w:p w:rsidR="00122C40" w:rsidRPr="002C62BF" w:rsidRDefault="00122C40" w:rsidP="006B4443">
            <w:pPr>
              <w:pStyle w:val="TableText0"/>
              <w:rPr>
                <w:vertAlign w:val="superscript"/>
              </w:rPr>
            </w:pPr>
            <w:r w:rsidRPr="002C62BF">
              <w:rPr>
                <w:u w:val="single"/>
              </w:rPr>
              <w:t>In adults with PPMS,</w:t>
            </w:r>
            <w:r w:rsidRPr="002C62BF">
              <w:t xml:space="preserve"> ocrelizumab is more effective than best supportive care in </w:t>
            </w:r>
            <w:r w:rsidRPr="002C62BF">
              <w:rPr>
                <w:u w:val="single"/>
              </w:rPr>
              <w:t>delaying the accumulation of physical disability</w:t>
            </w:r>
            <w:r w:rsidRPr="002C62BF">
              <w:rPr>
                <w:u w:val="single"/>
                <w:vertAlign w:val="superscript"/>
              </w:rPr>
              <w:t>a</w:t>
            </w:r>
          </w:p>
        </w:tc>
      </w:tr>
    </w:tbl>
    <w:p w:rsidR="009D3F57" w:rsidRDefault="009D3F57" w:rsidP="009D3F57">
      <w:pPr>
        <w:pStyle w:val="TableFigureFooter"/>
      </w:pPr>
      <w:r w:rsidRPr="002C62BF">
        <w:t xml:space="preserve">Source: Table 1.2, p4 of the resubmission. </w:t>
      </w:r>
    </w:p>
    <w:p w:rsidR="00FE5B9C" w:rsidRPr="002C62BF" w:rsidRDefault="00FE5B9C" w:rsidP="009D3F57">
      <w:pPr>
        <w:pStyle w:val="TableFigureFooter"/>
      </w:pPr>
      <w:r w:rsidRPr="002C62BF">
        <w:t>EDSS = expanded disability status scale</w:t>
      </w:r>
    </w:p>
    <w:p w:rsidR="004A1DFE" w:rsidRPr="002C62BF" w:rsidRDefault="004A1DFE" w:rsidP="004A1DFE">
      <w:pPr>
        <w:pStyle w:val="TableFigureFooter"/>
        <w:ind w:left="280" w:hanging="280"/>
      </w:pPr>
      <w:r w:rsidRPr="002C62BF">
        <w:rPr>
          <w:vertAlign w:val="superscript"/>
        </w:rPr>
        <w:t>*</w:t>
      </w:r>
      <w:r w:rsidRPr="002C62BF">
        <w:tab/>
        <w:t xml:space="preserve">The restriction defined active </w:t>
      </w:r>
      <w:r w:rsidR="003A6913" w:rsidRPr="002C62BF">
        <w:t xml:space="preserve">disease as: ≥1 Gd-enhancing T1 </w:t>
      </w:r>
      <w:r w:rsidRPr="002C62BF">
        <w:t>lesions; OR Evidence for dissemination in space (DIS) based on ≥1 new or enlarging T2 lesions relative to the previous scan</w:t>
      </w:r>
    </w:p>
    <w:p w:rsidR="004E43B2" w:rsidRPr="002C62BF" w:rsidRDefault="009D3F57" w:rsidP="00122C40">
      <w:pPr>
        <w:pStyle w:val="TableFigureFooter"/>
        <w:tabs>
          <w:tab w:val="left" w:pos="284"/>
        </w:tabs>
        <w:ind w:left="284" w:hanging="284"/>
      </w:pPr>
      <w:r w:rsidRPr="002C62BF">
        <w:rPr>
          <w:vertAlign w:val="superscript"/>
        </w:rPr>
        <w:t>a</w:t>
      </w:r>
      <w:r w:rsidRPr="002C62BF">
        <w:tab/>
        <w:t xml:space="preserve">In comparison to the </w:t>
      </w:r>
      <w:r w:rsidR="00A82CAB" w:rsidRPr="002C62BF">
        <w:t>previous</w:t>
      </w:r>
      <w:r w:rsidRPr="002C62BF">
        <w:t xml:space="preserve"> submission, the resubmission has limited the restriction to adults with PPMS diagnosed in the previous 5 years and with active inflammatory disease in the previous 12 months. The resubmission has removed a safety claim and described the efficacy claim in terms of delaying accumulation of physical disability. </w:t>
      </w:r>
    </w:p>
    <w:p w:rsidR="005C25FF" w:rsidRPr="002C62BF" w:rsidRDefault="005C25FF" w:rsidP="004A6040">
      <w:pPr>
        <w:pStyle w:val="2-SectionHeading"/>
      </w:pPr>
      <w:bookmarkStart w:id="4" w:name="_Toc40873639"/>
      <w:r w:rsidRPr="002C62BF">
        <w:t>Background</w:t>
      </w:r>
      <w:bookmarkEnd w:id="4"/>
    </w:p>
    <w:p w:rsidR="005C25FF" w:rsidRPr="002C62BF" w:rsidRDefault="005C25FF" w:rsidP="004A6040">
      <w:pPr>
        <w:pStyle w:val="4-SubsectionHeading"/>
      </w:pPr>
      <w:bookmarkStart w:id="5" w:name="_Toc22897638"/>
      <w:bookmarkStart w:id="6" w:name="_Toc40873640"/>
      <w:r w:rsidRPr="002C62BF">
        <w:t>Registration status</w:t>
      </w:r>
      <w:bookmarkEnd w:id="5"/>
      <w:bookmarkEnd w:id="6"/>
    </w:p>
    <w:p w:rsidR="009D3F57" w:rsidRPr="002C62BF" w:rsidRDefault="009D3F57" w:rsidP="00122C40">
      <w:pPr>
        <w:pStyle w:val="3-BodyText"/>
        <w:spacing w:after="0"/>
      </w:pPr>
      <w:r w:rsidRPr="002C62BF">
        <w:t>Ocrelizumab</w:t>
      </w:r>
      <w:r w:rsidR="005C25FF" w:rsidRPr="002C62BF">
        <w:t xml:space="preserve"> was </w:t>
      </w:r>
      <w:r w:rsidRPr="002C62BF">
        <w:t xml:space="preserve">approved by the </w:t>
      </w:r>
      <w:r w:rsidR="005C25FF" w:rsidRPr="002C62BF">
        <w:t xml:space="preserve">TGA on </w:t>
      </w:r>
      <w:r w:rsidRPr="002C62BF">
        <w:t>July 13</w:t>
      </w:r>
      <w:r w:rsidR="008B2BBE" w:rsidRPr="002C62BF">
        <w:t>,</w:t>
      </w:r>
      <w:r w:rsidRPr="002C62BF">
        <w:t xml:space="preserve"> 2017</w:t>
      </w:r>
      <w:r w:rsidR="005C25FF" w:rsidRPr="002C62BF">
        <w:t xml:space="preserve"> for</w:t>
      </w:r>
      <w:r w:rsidRPr="002C62BF">
        <w:t>:</w:t>
      </w:r>
      <w:r w:rsidR="005C25FF" w:rsidRPr="002C62BF">
        <w:t xml:space="preserve"> </w:t>
      </w:r>
    </w:p>
    <w:p w:rsidR="009D3F57" w:rsidRPr="002C62BF" w:rsidRDefault="009D3F57" w:rsidP="00752B64">
      <w:pPr>
        <w:pStyle w:val="ListParagraph"/>
        <w:numPr>
          <w:ilvl w:val="0"/>
          <w:numId w:val="5"/>
        </w:numPr>
        <w:spacing w:after="0"/>
        <w:ind w:left="993" w:hanging="284"/>
      </w:pPr>
      <w:r w:rsidRPr="002C62BF">
        <w:lastRenderedPageBreak/>
        <w:t>The treatment of patients with primary progressive multiple sclerosis (PPMS) to delay the progression of physical disability.</w:t>
      </w:r>
    </w:p>
    <w:p w:rsidR="009D3F57" w:rsidRPr="002C62BF" w:rsidRDefault="009D3F57" w:rsidP="00752B64">
      <w:pPr>
        <w:pStyle w:val="ListParagraph"/>
        <w:numPr>
          <w:ilvl w:val="0"/>
          <w:numId w:val="5"/>
        </w:numPr>
        <w:ind w:left="993" w:hanging="284"/>
      </w:pPr>
      <w:r w:rsidRPr="002C62BF">
        <w:t xml:space="preserve">The treatment of patients with relapsing forms of multiple sclerosis (RMS) to delay the progression of physical disability and to reduce the frequency of relapse. </w:t>
      </w:r>
    </w:p>
    <w:p w:rsidR="00A320B7" w:rsidRPr="002C62BF" w:rsidRDefault="00A320B7" w:rsidP="00E05169">
      <w:pPr>
        <w:pStyle w:val="3-BodyText"/>
      </w:pPr>
      <w:r w:rsidRPr="002C62BF">
        <w:t xml:space="preserve">This resubmission was based on efficacy data from a </w:t>
      </w:r>
      <w:r w:rsidRPr="002C62BF">
        <w:rPr>
          <w:i/>
        </w:rPr>
        <w:t>post-hoc</w:t>
      </w:r>
      <w:r w:rsidRPr="002C62BF">
        <w:t xml:space="preserve"> analysis of a subgroup of patients in the ORATORIO trial who had ‘Magnetic Resonance Imaging (MRI) Activity’ and were ≤50 years of age. The resubmission stated that the subgroup was aligned with the proposed </w:t>
      </w:r>
      <w:r w:rsidR="007E6328" w:rsidRPr="002C62BF">
        <w:t>restriction</w:t>
      </w:r>
      <w:r w:rsidR="00560B99" w:rsidRPr="002C62BF">
        <w:t xml:space="preserve"> and </w:t>
      </w:r>
      <w:r w:rsidRPr="002C62BF">
        <w:t xml:space="preserve">the </w:t>
      </w:r>
      <w:r w:rsidR="001B2F16" w:rsidRPr="002C62BF">
        <w:t xml:space="preserve">European Medicines Agency (EMA) </w:t>
      </w:r>
      <w:r w:rsidRPr="002C62BF">
        <w:t>label.</w:t>
      </w:r>
    </w:p>
    <w:p w:rsidR="005C25FF" w:rsidRPr="002C62BF" w:rsidRDefault="005C25FF" w:rsidP="004E18E9">
      <w:pPr>
        <w:pStyle w:val="4-SubsectionHeading"/>
      </w:pPr>
      <w:bookmarkStart w:id="7" w:name="_Toc22897639"/>
      <w:bookmarkStart w:id="8" w:name="_Toc40873641"/>
      <w:r w:rsidRPr="002C62BF">
        <w:t>Previous PBAC consideration</w:t>
      </w:r>
      <w:bookmarkEnd w:id="7"/>
      <w:bookmarkEnd w:id="8"/>
    </w:p>
    <w:p w:rsidR="002E4F02" w:rsidRPr="002C62BF" w:rsidRDefault="0019121C" w:rsidP="002E4F02">
      <w:pPr>
        <w:pStyle w:val="3-BodyText"/>
      </w:pPr>
      <w:r w:rsidRPr="002C62BF">
        <w:rPr>
          <w:snapToGrid/>
        </w:rPr>
        <w:t>Ocrelizumab was previously considered by the PBAC for PPMS in November 2017</w:t>
      </w:r>
      <w:r w:rsidR="00F35E20" w:rsidRPr="002C62BF">
        <w:rPr>
          <w:snapToGrid/>
        </w:rPr>
        <w:t>. A summary of key matters of concerns in presented in</w:t>
      </w:r>
      <w:r w:rsidR="00F35E20" w:rsidRPr="002C62BF">
        <w:t xml:space="preserve"> Table 2</w:t>
      </w:r>
      <w:r w:rsidR="00122C40" w:rsidRPr="002C62BF">
        <w:t>.</w:t>
      </w:r>
    </w:p>
    <w:p w:rsidR="005C25FF" w:rsidRPr="002C62BF" w:rsidRDefault="005C25FF" w:rsidP="002E4F02">
      <w:pPr>
        <w:pStyle w:val="TableFigureHeading"/>
        <w:rPr>
          <w:rStyle w:val="CommentReference"/>
          <w:b/>
          <w:szCs w:val="24"/>
        </w:rPr>
      </w:pPr>
      <w:bookmarkStart w:id="9" w:name="_Ref39763830"/>
      <w:r w:rsidRPr="002C62BF">
        <w:rPr>
          <w:rStyle w:val="CommentReference"/>
          <w:b/>
          <w:szCs w:val="24"/>
        </w:rPr>
        <w:t xml:space="preserve">Table </w:t>
      </w:r>
      <w:r w:rsidR="0089607C" w:rsidRPr="002C62BF">
        <w:rPr>
          <w:rStyle w:val="CommentReference"/>
          <w:b/>
          <w:szCs w:val="24"/>
        </w:rPr>
        <w:t>2</w:t>
      </w:r>
      <w:bookmarkEnd w:id="9"/>
      <w:r w:rsidRPr="002C62BF">
        <w:rPr>
          <w:rStyle w:val="CommentReference"/>
          <w:b/>
          <w:szCs w:val="24"/>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4"/>
        <w:gridCol w:w="4178"/>
        <w:gridCol w:w="3665"/>
      </w:tblGrid>
      <w:tr w:rsidR="005C25FF" w:rsidRPr="002C62BF" w:rsidTr="00122C40">
        <w:trPr>
          <w:cantSplit/>
          <w:tblHeader/>
        </w:trPr>
        <w:tc>
          <w:tcPr>
            <w:tcW w:w="651" w:type="pct"/>
            <w:vAlign w:val="center"/>
          </w:tcPr>
          <w:p w:rsidR="005C25FF" w:rsidRPr="002C62BF" w:rsidRDefault="005C25FF" w:rsidP="00EA268B">
            <w:pPr>
              <w:pStyle w:val="In-tableHeading"/>
              <w:keepNext w:val="0"/>
              <w:rPr>
                <w:lang w:val="en-AU"/>
              </w:rPr>
            </w:pPr>
            <w:r w:rsidRPr="002C62BF">
              <w:rPr>
                <w:lang w:val="en-AU"/>
              </w:rPr>
              <w:t>Component</w:t>
            </w:r>
          </w:p>
        </w:tc>
        <w:tc>
          <w:tcPr>
            <w:tcW w:w="2317" w:type="pct"/>
            <w:vAlign w:val="center"/>
          </w:tcPr>
          <w:p w:rsidR="005C25FF" w:rsidRPr="002C62BF" w:rsidRDefault="005C25FF" w:rsidP="00122C40">
            <w:pPr>
              <w:pStyle w:val="In-tableHeading"/>
              <w:keepNext w:val="0"/>
              <w:jc w:val="center"/>
              <w:rPr>
                <w:lang w:val="en-AU"/>
              </w:rPr>
            </w:pPr>
            <w:r w:rsidRPr="002C62BF">
              <w:rPr>
                <w:lang w:val="en-AU"/>
              </w:rPr>
              <w:t>Matter of concern</w:t>
            </w:r>
          </w:p>
        </w:tc>
        <w:tc>
          <w:tcPr>
            <w:tcW w:w="2032" w:type="pct"/>
            <w:vAlign w:val="center"/>
          </w:tcPr>
          <w:p w:rsidR="005C25FF" w:rsidRPr="002C62BF" w:rsidRDefault="005C25FF" w:rsidP="00122C40">
            <w:pPr>
              <w:pStyle w:val="In-tableHeading"/>
              <w:keepNext w:val="0"/>
              <w:jc w:val="center"/>
              <w:rPr>
                <w:lang w:val="en-AU"/>
              </w:rPr>
            </w:pPr>
            <w:r w:rsidRPr="002C62BF">
              <w:rPr>
                <w:lang w:val="en-AU"/>
              </w:rPr>
              <w:t>How the resubmission addresses it</w:t>
            </w:r>
          </w:p>
        </w:tc>
      </w:tr>
      <w:tr w:rsidR="005C25FF" w:rsidRPr="002C62BF" w:rsidTr="00122C40">
        <w:trPr>
          <w:cantSplit/>
        </w:trPr>
        <w:tc>
          <w:tcPr>
            <w:tcW w:w="651" w:type="pct"/>
          </w:tcPr>
          <w:p w:rsidR="005C25FF" w:rsidRPr="002C62BF" w:rsidRDefault="0019121C" w:rsidP="00122C40">
            <w:pPr>
              <w:pStyle w:val="TableText0"/>
              <w:keepNext w:val="0"/>
            </w:pPr>
            <w:r w:rsidRPr="002C62BF">
              <w:t>Restriction</w:t>
            </w:r>
          </w:p>
        </w:tc>
        <w:tc>
          <w:tcPr>
            <w:tcW w:w="2317" w:type="pct"/>
          </w:tcPr>
          <w:p w:rsidR="005C25FF" w:rsidRPr="002C62BF" w:rsidRDefault="0019121C"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The ORATORIO trial included a narrower population than the likely Australian PPMS</w:t>
            </w:r>
            <w:r w:rsidR="00122C40" w:rsidRPr="002C62BF">
              <w:rPr>
                <w:rFonts w:eastAsia="Times New Roman" w:cs="Arial"/>
                <w:bCs w:val="0"/>
                <w:snapToGrid w:val="0"/>
                <w:color w:val="000000" w:themeColor="text1"/>
                <w:szCs w:val="20"/>
              </w:rPr>
              <w:t xml:space="preserve"> population</w:t>
            </w:r>
            <w:r w:rsidRPr="002C62BF">
              <w:rPr>
                <w:rFonts w:eastAsia="Times New Roman" w:cs="Arial"/>
                <w:bCs w:val="0"/>
                <w:snapToGrid w:val="0"/>
                <w:color w:val="000000" w:themeColor="text1"/>
                <w:szCs w:val="20"/>
              </w:rPr>
              <w:t>, in terms of age, EDSS, functional systems scale score, disease duration fr</w:t>
            </w:r>
            <w:r w:rsidR="00227418" w:rsidRPr="002C62BF">
              <w:rPr>
                <w:rFonts w:eastAsia="Times New Roman" w:cs="Arial"/>
                <w:bCs w:val="0"/>
                <w:snapToGrid w:val="0"/>
                <w:color w:val="000000" w:themeColor="text1"/>
                <w:szCs w:val="20"/>
              </w:rPr>
              <w:t>o</w:t>
            </w:r>
            <w:r w:rsidRPr="002C62BF">
              <w:rPr>
                <w:rFonts w:eastAsia="Times New Roman" w:cs="Arial"/>
                <w:bCs w:val="0"/>
                <w:snapToGrid w:val="0"/>
                <w:color w:val="000000" w:themeColor="text1"/>
                <w:szCs w:val="20"/>
              </w:rPr>
              <w:t xml:space="preserve">m onset of MS symptoms </w:t>
            </w:r>
            <w:r w:rsidR="00E36E96" w:rsidRPr="002C62BF">
              <w:rPr>
                <w:rFonts w:eastAsia="Times New Roman" w:cs="Arial"/>
                <w:bCs w:val="0"/>
                <w:snapToGrid w:val="0"/>
                <w:color w:val="000000" w:themeColor="text1"/>
                <w:szCs w:val="20"/>
              </w:rPr>
              <w:t>(paragraph 6.7, Ocrelizumab, Public Summary Document</w:t>
            </w:r>
            <w:r w:rsidR="0001190D">
              <w:rPr>
                <w:rFonts w:eastAsia="Times New Roman" w:cs="Arial"/>
                <w:bCs w:val="0"/>
                <w:snapToGrid w:val="0"/>
                <w:color w:val="000000" w:themeColor="text1"/>
                <w:szCs w:val="20"/>
              </w:rPr>
              <w:t xml:space="preserve"> (PSD)</w:t>
            </w:r>
            <w:r w:rsidR="00E36E96" w:rsidRPr="002C62BF">
              <w:rPr>
                <w:rFonts w:eastAsia="Times New Roman" w:cs="Arial"/>
                <w:bCs w:val="0"/>
                <w:snapToGrid w:val="0"/>
                <w:color w:val="000000" w:themeColor="text1"/>
                <w:szCs w:val="20"/>
              </w:rPr>
              <w:t>, November 2017 PBAC Meeting)</w:t>
            </w:r>
            <w:r w:rsidR="00122C40" w:rsidRPr="002C62BF">
              <w:rPr>
                <w:rFonts w:eastAsia="Times New Roman" w:cs="Arial"/>
                <w:bCs w:val="0"/>
                <w:snapToGrid w:val="0"/>
                <w:color w:val="000000" w:themeColor="text1"/>
                <w:szCs w:val="20"/>
              </w:rPr>
              <w:t>.</w:t>
            </w:r>
          </w:p>
          <w:p w:rsidR="00262296" w:rsidRPr="002C62BF" w:rsidRDefault="004A1DFE" w:rsidP="004A1DFE">
            <w:pPr>
              <w:pStyle w:val="TableText0"/>
              <w:rPr>
                <w:szCs w:val="20"/>
              </w:rPr>
            </w:pPr>
            <w:r w:rsidRPr="002C62BF">
              <w:rPr>
                <w:szCs w:val="20"/>
              </w:rPr>
              <w:t xml:space="preserve">The PBAC noted the sponsor’s assertion that a broad PBS restriction was proposed “in good faith, seeking to ensure equity of access and to facilitate clinical judgement” (pre-PBAC response). </w:t>
            </w:r>
          </w:p>
          <w:p w:rsidR="004A1DFE" w:rsidRPr="002C62BF" w:rsidRDefault="00262296" w:rsidP="004A1DFE">
            <w:pPr>
              <w:pStyle w:val="TableText0"/>
              <w:rPr>
                <w:szCs w:val="20"/>
              </w:rPr>
            </w:pPr>
            <w:r w:rsidRPr="002C62BF">
              <w:rPr>
                <w:szCs w:val="20"/>
              </w:rPr>
              <w:t xml:space="preserve">A </w:t>
            </w:r>
            <w:r w:rsidR="004A1DFE" w:rsidRPr="002C62BF">
              <w:rPr>
                <w:szCs w:val="20"/>
              </w:rPr>
              <w:t xml:space="preserve">PBS restriction consistent with the trial inclusion and exclusion criteria was important in identifying the appropriate PBS population, particularly in the context of the modest clinical benefit demonstrated in the ORATORIO trial </w:t>
            </w:r>
            <w:r w:rsidRPr="002C62BF">
              <w:rPr>
                <w:szCs w:val="20"/>
              </w:rPr>
              <w:t xml:space="preserve">(paragraph 7.3) </w:t>
            </w:r>
          </w:p>
        </w:tc>
        <w:tc>
          <w:tcPr>
            <w:tcW w:w="2032" w:type="pct"/>
          </w:tcPr>
          <w:p w:rsidR="005C25FF" w:rsidRPr="002C62BF" w:rsidRDefault="005C25FF" w:rsidP="00122C40">
            <w:pPr>
              <w:pStyle w:val="TableText0"/>
              <w:keepNext w:val="0"/>
            </w:pPr>
            <w:r w:rsidRPr="002C62BF">
              <w:t>Not adequately addressed</w:t>
            </w:r>
            <w:r w:rsidR="00122C40" w:rsidRPr="002C62BF">
              <w:t>.</w:t>
            </w:r>
            <w:r w:rsidR="0019121C" w:rsidRPr="002C62BF">
              <w:t xml:space="preserve"> The resubmission narrowed the requested restriction to patient</w:t>
            </w:r>
            <w:r w:rsidR="00122C40" w:rsidRPr="002C62BF">
              <w:t xml:space="preserve">s with active disease who have </w:t>
            </w:r>
            <w:r w:rsidR="0019121C" w:rsidRPr="002C62BF">
              <w:t>been diagnosed with PPMS in the past 5 years</w:t>
            </w:r>
            <w:r w:rsidR="005275B5" w:rsidRPr="002C62BF">
              <w:t xml:space="preserve"> and are ambulatory at initiation</w:t>
            </w:r>
            <w:r w:rsidR="0019121C" w:rsidRPr="002C62BF">
              <w:t>. This would address some of the issues, but the applicability of the trial population to the requested restriction remains a potential issue, as does the use of time since diagnosis as a proxy for age.</w:t>
            </w:r>
            <w:r w:rsidR="00E36E96" w:rsidRPr="002C62BF">
              <w:t xml:space="preserve"> Additionally, the requested restriction allows for continuation of ocrelizumab treatment indefinitely, beyond </w:t>
            </w:r>
            <w:r w:rsidR="004C7E96" w:rsidRPr="002C62BF">
              <w:t>a disability level for which there is</w:t>
            </w:r>
            <w:r w:rsidR="005275B5" w:rsidRPr="002C62BF">
              <w:t xml:space="preserve"> no</w:t>
            </w:r>
            <w:r w:rsidR="004C7E96" w:rsidRPr="002C62BF">
              <w:t xml:space="preserve"> evidence of benefit</w:t>
            </w:r>
            <w:r w:rsidR="002C62BF">
              <w:t xml:space="preserve">. </w:t>
            </w:r>
          </w:p>
        </w:tc>
      </w:tr>
      <w:tr w:rsidR="003C04F9" w:rsidRPr="002C62BF" w:rsidTr="00122C40">
        <w:trPr>
          <w:cantSplit/>
        </w:trPr>
        <w:tc>
          <w:tcPr>
            <w:tcW w:w="651" w:type="pct"/>
            <w:vMerge w:val="restart"/>
          </w:tcPr>
          <w:p w:rsidR="003C04F9" w:rsidRPr="002C62BF" w:rsidRDefault="003C04F9" w:rsidP="00122C40">
            <w:pPr>
              <w:pStyle w:val="TableText0"/>
              <w:keepNext w:val="0"/>
              <w:rPr>
                <w:color w:val="000000" w:themeColor="text1"/>
              </w:rPr>
            </w:pPr>
            <w:r w:rsidRPr="002C62BF">
              <w:rPr>
                <w:color w:val="000000" w:themeColor="text1"/>
              </w:rPr>
              <w:t>Clinical effectiveness</w:t>
            </w:r>
          </w:p>
        </w:tc>
        <w:tc>
          <w:tcPr>
            <w:tcW w:w="2317" w:type="pct"/>
            <w:tcBorders>
              <w:bottom w:val="nil"/>
            </w:tcBorders>
          </w:tcPr>
          <w:p w:rsidR="00262296" w:rsidRPr="002C62BF" w:rsidRDefault="00262296" w:rsidP="00262296">
            <w:pPr>
              <w:pStyle w:val="TableText0"/>
              <w:rPr>
                <w:szCs w:val="20"/>
              </w:rPr>
            </w:pPr>
            <w:r w:rsidRPr="002C62BF">
              <w:rPr>
                <w:szCs w:val="20"/>
              </w:rPr>
              <w:t>There was no evidence of clinical benefit of ocrelizumab in patients older than 55 years or with an EDSS &gt;6.5 points. The PBAC was therefore concerned that the applicability of the treatment effect observed in the ORATORIO trial to the requested PBS population was uncertain (paragraph 7.3)</w:t>
            </w:r>
            <w:r w:rsidR="00355173" w:rsidRPr="002C62BF">
              <w:rPr>
                <w:szCs w:val="20"/>
              </w:rPr>
              <w:t>.</w:t>
            </w:r>
          </w:p>
          <w:p w:rsidR="00262296" w:rsidRPr="002C62BF" w:rsidRDefault="00262296" w:rsidP="00262296">
            <w:pPr>
              <w:pStyle w:val="TableText0"/>
              <w:keepNext w:val="0"/>
              <w:rPr>
                <w:szCs w:val="20"/>
              </w:rPr>
            </w:pPr>
            <w:r w:rsidRPr="002C62BF">
              <w:rPr>
                <w:szCs w:val="20"/>
              </w:rPr>
              <w:t xml:space="preserve">Pre-specified </w:t>
            </w:r>
            <w:r w:rsidR="00355173" w:rsidRPr="002C62BF">
              <w:rPr>
                <w:szCs w:val="20"/>
              </w:rPr>
              <w:t>and post-</w:t>
            </w:r>
            <w:r w:rsidRPr="002C62BF">
              <w:rPr>
                <w:szCs w:val="20"/>
              </w:rPr>
              <w:t>hoc subgroup analyses indicated that patient characteristics such as age and inflammation determined by MRI may be treatment effect modifiers. Given the modest treatment effect observed in the trial, the PBAC was concerned that the treatment effect of ocrelizumab may be less (paragraph 7.3).</w:t>
            </w:r>
          </w:p>
          <w:p w:rsidR="003C04F9" w:rsidRPr="002C62BF" w:rsidRDefault="003C04F9" w:rsidP="003F3125">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The PBAC considered that the overall evidence base for the effectiveness of ocrelizumab in PPMS was not robust (paragraph 7.5)</w:t>
            </w:r>
            <w:r w:rsidR="003F3125" w:rsidRPr="002C62BF">
              <w:rPr>
                <w:rFonts w:eastAsia="Times New Roman" w:cs="Arial"/>
                <w:bCs w:val="0"/>
                <w:snapToGrid w:val="0"/>
                <w:color w:val="000000" w:themeColor="text1"/>
                <w:szCs w:val="20"/>
              </w:rPr>
              <w:t>.</w:t>
            </w:r>
          </w:p>
        </w:tc>
        <w:tc>
          <w:tcPr>
            <w:tcW w:w="2032" w:type="pct"/>
            <w:tcBorders>
              <w:bottom w:val="nil"/>
            </w:tcBorders>
          </w:tcPr>
          <w:p w:rsidR="003C04F9" w:rsidRPr="002C62BF" w:rsidRDefault="003C04F9" w:rsidP="00227418">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Not addressed: The resubmission base</w:t>
            </w:r>
            <w:r w:rsidR="00F12498" w:rsidRPr="002C62BF">
              <w:rPr>
                <w:rFonts w:eastAsia="Times New Roman" w:cs="Arial"/>
                <w:bCs w:val="0"/>
                <w:snapToGrid w:val="0"/>
                <w:color w:val="000000" w:themeColor="text1"/>
                <w:szCs w:val="20"/>
              </w:rPr>
              <w:t>d</w:t>
            </w:r>
            <w:r w:rsidRPr="002C62BF">
              <w:rPr>
                <w:rFonts w:eastAsia="Times New Roman" w:cs="Arial"/>
                <w:bCs w:val="0"/>
                <w:snapToGrid w:val="0"/>
                <w:color w:val="000000" w:themeColor="text1"/>
                <w:szCs w:val="20"/>
              </w:rPr>
              <w:t xml:space="preserve"> the clinical claim on post-hoc subgroup analysis of trial evidence which </w:t>
            </w:r>
            <w:r w:rsidR="00227418" w:rsidRPr="002C62BF">
              <w:rPr>
                <w:rFonts w:eastAsia="Times New Roman" w:cs="Arial"/>
                <w:bCs w:val="0"/>
                <w:snapToGrid w:val="0"/>
                <w:color w:val="000000" w:themeColor="text1"/>
                <w:szCs w:val="20"/>
              </w:rPr>
              <w:t xml:space="preserve">the evaluation considered was </w:t>
            </w:r>
            <w:r w:rsidRPr="002C62BF">
              <w:rPr>
                <w:rFonts w:eastAsia="Times New Roman" w:cs="Arial"/>
                <w:bCs w:val="0"/>
                <w:snapToGrid w:val="0"/>
                <w:color w:val="000000" w:themeColor="text1"/>
                <w:szCs w:val="20"/>
              </w:rPr>
              <w:t xml:space="preserve">not robust. </w:t>
            </w:r>
          </w:p>
        </w:tc>
      </w:tr>
      <w:tr w:rsidR="003C04F9" w:rsidRPr="002C62BF" w:rsidTr="00122C40">
        <w:trPr>
          <w:cantSplit/>
        </w:trPr>
        <w:tc>
          <w:tcPr>
            <w:tcW w:w="651" w:type="pct"/>
            <w:vMerge/>
          </w:tcPr>
          <w:p w:rsidR="003C04F9" w:rsidRPr="002C62BF" w:rsidRDefault="003C04F9" w:rsidP="00122C40">
            <w:pPr>
              <w:pStyle w:val="TableText0"/>
              <w:keepNext w:val="0"/>
              <w:rPr>
                <w:color w:val="000000" w:themeColor="text1"/>
              </w:rPr>
            </w:pPr>
          </w:p>
        </w:tc>
        <w:tc>
          <w:tcPr>
            <w:tcW w:w="2317" w:type="pct"/>
            <w:tcBorders>
              <w:top w:val="nil"/>
            </w:tcBorders>
          </w:tcPr>
          <w:p w:rsidR="003C04F9" w:rsidRPr="002C62BF" w:rsidRDefault="003C04F9"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Given the small absolute differences in efficacy demonstrated by ocrelizumab over placebo, the PBAC considered that the clinical significance of the trial outcomes was uncertain.</w:t>
            </w:r>
          </w:p>
        </w:tc>
        <w:tc>
          <w:tcPr>
            <w:tcW w:w="2032" w:type="pct"/>
            <w:tcBorders>
              <w:top w:val="nil"/>
            </w:tcBorders>
          </w:tcPr>
          <w:p w:rsidR="003C04F9" w:rsidRPr="002C62BF" w:rsidRDefault="003C04F9" w:rsidP="00122C40">
            <w:pPr>
              <w:pStyle w:val="TableText0"/>
              <w:keepNext w:val="0"/>
              <w:rPr>
                <w:rFonts w:eastAsia="Times New Roman" w:cs="Arial"/>
                <w:bCs w:val="0"/>
                <w:snapToGrid w:val="0"/>
                <w:color w:val="000000" w:themeColor="text1"/>
                <w:szCs w:val="20"/>
              </w:rPr>
            </w:pPr>
          </w:p>
        </w:tc>
      </w:tr>
      <w:tr w:rsidR="003C04F9" w:rsidRPr="002C62BF" w:rsidTr="00122C40">
        <w:trPr>
          <w:cantSplit/>
        </w:trPr>
        <w:tc>
          <w:tcPr>
            <w:tcW w:w="651" w:type="pct"/>
          </w:tcPr>
          <w:p w:rsidR="003C04F9" w:rsidRPr="002C62BF" w:rsidRDefault="003C04F9" w:rsidP="00122C40">
            <w:pPr>
              <w:pStyle w:val="TableText0"/>
              <w:keepNext w:val="0"/>
              <w:rPr>
                <w:color w:val="000000" w:themeColor="text1"/>
              </w:rPr>
            </w:pPr>
            <w:r w:rsidRPr="002C62BF">
              <w:rPr>
                <w:color w:val="000000" w:themeColor="text1"/>
              </w:rPr>
              <w:lastRenderedPageBreak/>
              <w:t>Safety</w:t>
            </w:r>
          </w:p>
        </w:tc>
        <w:tc>
          <w:tcPr>
            <w:tcW w:w="2317" w:type="pct"/>
            <w:tcBorders>
              <w:bottom w:val="single" w:sz="4" w:space="0" w:color="auto"/>
            </w:tcBorders>
          </w:tcPr>
          <w:p w:rsidR="003C04F9" w:rsidRPr="002C62BF" w:rsidRDefault="00122C40"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 xml:space="preserve">The </w:t>
            </w:r>
            <w:r w:rsidR="003C04F9" w:rsidRPr="002C62BF">
              <w:rPr>
                <w:rFonts w:eastAsia="Times New Roman" w:cs="Arial"/>
                <w:bCs w:val="0"/>
                <w:snapToGrid w:val="0"/>
                <w:color w:val="000000" w:themeColor="text1"/>
                <w:szCs w:val="20"/>
              </w:rPr>
              <w:t>claim of an acceptable safety profile that is comparable with placebo</w:t>
            </w:r>
            <w:r w:rsidRPr="002C62BF">
              <w:rPr>
                <w:rFonts w:eastAsia="Times New Roman" w:cs="Arial"/>
                <w:bCs w:val="0"/>
                <w:snapToGrid w:val="0"/>
                <w:color w:val="000000" w:themeColor="text1"/>
                <w:szCs w:val="20"/>
              </w:rPr>
              <w:t xml:space="preserve"> was not adequately supported. O</w:t>
            </w:r>
            <w:r w:rsidR="003C04F9" w:rsidRPr="002C62BF">
              <w:rPr>
                <w:rFonts w:eastAsia="Times New Roman" w:cs="Arial"/>
                <w:bCs w:val="0"/>
                <w:snapToGrid w:val="0"/>
                <w:color w:val="000000" w:themeColor="text1"/>
                <w:szCs w:val="20"/>
              </w:rPr>
              <w:t xml:space="preserve">crelizumab was associated with a greater rate of infusion related </w:t>
            </w:r>
            <w:r w:rsidR="009A6AF4" w:rsidRPr="002C62BF">
              <w:rPr>
                <w:rFonts w:eastAsia="Times New Roman" w:cs="Arial"/>
                <w:bCs w:val="0"/>
                <w:snapToGrid w:val="0"/>
                <w:color w:val="000000" w:themeColor="text1"/>
                <w:szCs w:val="20"/>
              </w:rPr>
              <w:t>r</w:t>
            </w:r>
            <w:r w:rsidR="003C04F9" w:rsidRPr="002C62BF">
              <w:rPr>
                <w:rFonts w:eastAsia="Times New Roman" w:cs="Arial"/>
                <w:bCs w:val="0"/>
                <w:snapToGrid w:val="0"/>
                <w:color w:val="000000" w:themeColor="text1"/>
                <w:szCs w:val="20"/>
              </w:rPr>
              <w:t>eactions and upper respiratory tract infections than placebo in the ORATORIO trial. Additionally, the potentially older PBS population with more severe disease may experience a higher risk of infections and/or other adverse events.</w:t>
            </w:r>
          </w:p>
        </w:tc>
        <w:tc>
          <w:tcPr>
            <w:tcW w:w="2032" w:type="pct"/>
            <w:tcBorders>
              <w:bottom w:val="single" w:sz="4" w:space="0" w:color="auto"/>
            </w:tcBorders>
          </w:tcPr>
          <w:p w:rsidR="003C04F9" w:rsidRPr="002C62BF" w:rsidRDefault="003C04F9" w:rsidP="00765DD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 xml:space="preserve">Not adequately addressed. The resubmission did not present additional comparative safety data. The resubmission updated extended harms data which indicated no new </w:t>
            </w:r>
            <w:r w:rsidR="00E67DC4" w:rsidRPr="002C62BF">
              <w:rPr>
                <w:rFonts w:eastAsia="Times New Roman" w:cs="Arial"/>
                <w:bCs w:val="0"/>
                <w:snapToGrid w:val="0"/>
                <w:color w:val="000000" w:themeColor="text1"/>
                <w:szCs w:val="20"/>
              </w:rPr>
              <w:t xml:space="preserve">safety signals. The resubmission’s modification of the restriction would restrict some older patients at initiation given the criteria of diagnosis within the past 5 years, but it was unclear to what extent this criteria was a proxy for age. </w:t>
            </w:r>
          </w:p>
        </w:tc>
      </w:tr>
      <w:tr w:rsidR="006E33D7" w:rsidRPr="002C62BF" w:rsidTr="00122C40">
        <w:trPr>
          <w:cantSplit/>
        </w:trPr>
        <w:tc>
          <w:tcPr>
            <w:tcW w:w="651" w:type="pct"/>
            <w:vMerge w:val="restart"/>
          </w:tcPr>
          <w:p w:rsidR="006E33D7" w:rsidRPr="002C62BF" w:rsidRDefault="006E33D7" w:rsidP="00122C40">
            <w:pPr>
              <w:pStyle w:val="TableText0"/>
              <w:keepNext w:val="0"/>
              <w:rPr>
                <w:color w:val="000000" w:themeColor="text1"/>
              </w:rPr>
            </w:pPr>
            <w:r w:rsidRPr="002C62BF">
              <w:rPr>
                <w:color w:val="000000" w:themeColor="text1"/>
              </w:rPr>
              <w:t>Economic analysis</w:t>
            </w:r>
          </w:p>
        </w:tc>
        <w:tc>
          <w:tcPr>
            <w:tcW w:w="2317" w:type="pct"/>
            <w:tcBorders>
              <w:bottom w:val="nil"/>
            </w:tcBorders>
          </w:tcPr>
          <w:p w:rsidR="006E33D7" w:rsidRPr="002C62BF" w:rsidRDefault="00EA268B"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There</w:t>
            </w:r>
            <w:r w:rsidR="006E33D7" w:rsidRPr="002C62BF">
              <w:rPr>
                <w:rFonts w:eastAsia="Times New Roman" w:cs="Arial"/>
                <w:bCs w:val="0"/>
                <w:snapToGrid w:val="0"/>
                <w:color w:val="000000" w:themeColor="text1"/>
                <w:szCs w:val="20"/>
              </w:rPr>
              <w:t xml:space="preserve"> was a high and uncertain ICER associated with ocrelizumab for PPMS, particularly in the context of concerns regarding the marginal clinical benefit demonstrated in </w:t>
            </w:r>
            <w:r w:rsidR="00227418" w:rsidRPr="002C62BF">
              <w:rPr>
                <w:rFonts w:eastAsia="Times New Roman" w:cs="Arial"/>
                <w:bCs w:val="0"/>
                <w:snapToGrid w:val="0"/>
                <w:color w:val="000000" w:themeColor="text1"/>
                <w:szCs w:val="20"/>
              </w:rPr>
              <w:t xml:space="preserve">the </w:t>
            </w:r>
            <w:r w:rsidR="006E33D7" w:rsidRPr="002C62BF">
              <w:rPr>
                <w:rFonts w:eastAsia="Times New Roman" w:cs="Arial"/>
                <w:bCs w:val="0"/>
                <w:snapToGrid w:val="0"/>
                <w:color w:val="000000" w:themeColor="text1"/>
                <w:szCs w:val="20"/>
              </w:rPr>
              <w:t>overall ORATORIO population and the potentially negligible treatment effect in some patient subgroups (paragraph 7.8).</w:t>
            </w:r>
          </w:p>
        </w:tc>
        <w:tc>
          <w:tcPr>
            <w:tcW w:w="2032" w:type="pct"/>
            <w:tcBorders>
              <w:bottom w:val="nil"/>
            </w:tcBorders>
          </w:tcPr>
          <w:p w:rsidR="00561CD3" w:rsidRPr="002C62BF" w:rsidRDefault="006E33D7"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The resubmission addresse</w:t>
            </w:r>
            <w:r w:rsidR="00122C40" w:rsidRPr="002C62BF">
              <w:rPr>
                <w:rFonts w:eastAsia="Times New Roman" w:cs="Arial"/>
                <w:bCs w:val="0"/>
                <w:snapToGrid w:val="0"/>
                <w:color w:val="000000" w:themeColor="text1"/>
                <w:szCs w:val="20"/>
              </w:rPr>
              <w:t>d</w:t>
            </w:r>
            <w:r w:rsidRPr="002C62BF">
              <w:rPr>
                <w:rFonts w:eastAsia="Times New Roman" w:cs="Arial"/>
                <w:bCs w:val="0"/>
                <w:snapToGrid w:val="0"/>
                <w:color w:val="000000" w:themeColor="text1"/>
                <w:szCs w:val="20"/>
              </w:rPr>
              <w:t xml:space="preserve"> this issue by narrowin</w:t>
            </w:r>
            <w:r w:rsidR="00122C40" w:rsidRPr="002C62BF">
              <w:rPr>
                <w:rFonts w:eastAsia="Times New Roman" w:cs="Arial"/>
                <w:bCs w:val="0"/>
                <w:snapToGrid w:val="0"/>
                <w:color w:val="000000" w:themeColor="text1"/>
                <w:szCs w:val="20"/>
              </w:rPr>
              <w:t xml:space="preserve">g the requested restriction to </w:t>
            </w:r>
            <w:r w:rsidRPr="002C62BF">
              <w:rPr>
                <w:rFonts w:eastAsia="Times New Roman" w:cs="Arial"/>
                <w:bCs w:val="0"/>
                <w:snapToGrid w:val="0"/>
                <w:color w:val="000000" w:themeColor="text1"/>
                <w:szCs w:val="20"/>
              </w:rPr>
              <w:t>patients more likely to benefit, but</w:t>
            </w:r>
            <w:r w:rsidR="00122C40" w:rsidRPr="002C62BF">
              <w:rPr>
                <w:rFonts w:eastAsia="Times New Roman" w:cs="Arial"/>
                <w:bCs w:val="0"/>
                <w:snapToGrid w:val="0"/>
                <w:color w:val="000000" w:themeColor="text1"/>
                <w:szCs w:val="20"/>
              </w:rPr>
              <w:t xml:space="preserve"> also revised</w:t>
            </w:r>
            <w:r w:rsidRPr="002C62BF">
              <w:rPr>
                <w:rFonts w:eastAsia="Times New Roman" w:cs="Arial"/>
                <w:bCs w:val="0"/>
                <w:snapToGrid w:val="0"/>
                <w:color w:val="000000" w:themeColor="text1"/>
                <w:szCs w:val="20"/>
              </w:rPr>
              <w:t xml:space="preserve"> the HR for clinical ef</w:t>
            </w:r>
            <w:r w:rsidR="00122C40" w:rsidRPr="002C62BF">
              <w:rPr>
                <w:rFonts w:eastAsia="Times New Roman" w:cs="Arial"/>
                <w:bCs w:val="0"/>
                <w:snapToGrid w:val="0"/>
                <w:color w:val="000000" w:themeColor="text1"/>
                <w:szCs w:val="20"/>
              </w:rPr>
              <w:t>fect (CDP24 from 0.7 to 0.53)</w:t>
            </w:r>
            <w:r w:rsidR="008E2241" w:rsidRPr="002C62BF">
              <w:rPr>
                <w:rFonts w:eastAsia="Times New Roman" w:cs="Arial"/>
                <w:bCs w:val="0"/>
                <w:snapToGrid w:val="0"/>
                <w:color w:val="000000" w:themeColor="text1"/>
                <w:szCs w:val="20"/>
              </w:rPr>
              <w:t xml:space="preserve"> by selecting a subpopulation that does not align with the proposed restriction</w:t>
            </w:r>
            <w:r w:rsidR="00122C40" w:rsidRPr="002C62BF">
              <w:rPr>
                <w:rFonts w:eastAsia="Times New Roman" w:cs="Arial"/>
                <w:bCs w:val="0"/>
                <w:snapToGrid w:val="0"/>
                <w:color w:val="000000" w:themeColor="text1"/>
                <w:szCs w:val="20"/>
              </w:rPr>
              <w:t>. T</w:t>
            </w:r>
            <w:r w:rsidRPr="002C62BF">
              <w:rPr>
                <w:rFonts w:eastAsia="Times New Roman" w:cs="Arial"/>
                <w:bCs w:val="0"/>
                <w:snapToGrid w:val="0"/>
                <w:color w:val="000000" w:themeColor="text1"/>
                <w:szCs w:val="20"/>
              </w:rPr>
              <w:t>he model remains highly sensitive to estimates of effect, and the base case es</w:t>
            </w:r>
            <w:r w:rsidR="00122C40" w:rsidRPr="002C62BF">
              <w:rPr>
                <w:rFonts w:eastAsia="Times New Roman" w:cs="Arial"/>
                <w:bCs w:val="0"/>
                <w:snapToGrid w:val="0"/>
                <w:color w:val="000000" w:themeColor="text1"/>
                <w:szCs w:val="20"/>
              </w:rPr>
              <w:t xml:space="preserve">timate of effect remains </w:t>
            </w:r>
            <w:r w:rsidRPr="002C62BF">
              <w:rPr>
                <w:rFonts w:eastAsia="Times New Roman" w:cs="Arial"/>
                <w:bCs w:val="0"/>
                <w:snapToGrid w:val="0"/>
                <w:color w:val="000000" w:themeColor="text1"/>
                <w:szCs w:val="20"/>
              </w:rPr>
              <w:t>optimistic.</w:t>
            </w:r>
          </w:p>
          <w:p w:rsidR="006E33D7" w:rsidRPr="002C62BF" w:rsidRDefault="006E33D7"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 xml:space="preserve"> </w:t>
            </w:r>
          </w:p>
        </w:tc>
      </w:tr>
      <w:tr w:rsidR="006E33D7" w:rsidRPr="002C62BF" w:rsidTr="00122C40">
        <w:trPr>
          <w:cantSplit/>
        </w:trPr>
        <w:tc>
          <w:tcPr>
            <w:tcW w:w="651" w:type="pct"/>
            <w:vMerge/>
          </w:tcPr>
          <w:p w:rsidR="006E33D7" w:rsidRPr="002C62BF" w:rsidRDefault="006E33D7" w:rsidP="00122C40">
            <w:pPr>
              <w:pStyle w:val="TableText0"/>
              <w:keepNext w:val="0"/>
              <w:rPr>
                <w:highlight w:val="cyan"/>
              </w:rPr>
            </w:pPr>
          </w:p>
        </w:tc>
        <w:tc>
          <w:tcPr>
            <w:tcW w:w="2317" w:type="pct"/>
            <w:tcBorders>
              <w:top w:val="nil"/>
              <w:bottom w:val="nil"/>
            </w:tcBorders>
          </w:tcPr>
          <w:p w:rsidR="006E33D7" w:rsidRPr="002C62BF" w:rsidRDefault="006E33D7"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T</w:t>
            </w:r>
            <w:r w:rsidR="00EA268B" w:rsidRPr="002C62BF">
              <w:rPr>
                <w:rFonts w:eastAsia="Times New Roman" w:cs="Arial"/>
                <w:bCs w:val="0"/>
                <w:snapToGrid w:val="0"/>
                <w:color w:val="000000" w:themeColor="text1"/>
                <w:szCs w:val="20"/>
              </w:rPr>
              <w:t>r</w:t>
            </w:r>
            <w:r w:rsidRPr="002C62BF">
              <w:rPr>
                <w:rFonts w:eastAsia="Times New Roman" w:cs="Arial"/>
                <w:bCs w:val="0"/>
                <w:snapToGrid w:val="0"/>
                <w:color w:val="000000" w:themeColor="text1"/>
                <w:szCs w:val="20"/>
              </w:rPr>
              <w:t>eatment effect was assumed to be constant over the model duration (56</w:t>
            </w:r>
            <w:r w:rsidR="00122C40" w:rsidRPr="002C62BF">
              <w:rPr>
                <w:rFonts w:eastAsia="Times New Roman" w:cs="Arial"/>
                <w:bCs w:val="0"/>
                <w:snapToGrid w:val="0"/>
                <w:color w:val="000000" w:themeColor="text1"/>
                <w:szCs w:val="20"/>
              </w:rPr>
              <w:t xml:space="preserve"> </w:t>
            </w:r>
            <w:r w:rsidRPr="002C62BF">
              <w:rPr>
                <w:rFonts w:eastAsia="Times New Roman" w:cs="Arial"/>
                <w:bCs w:val="0"/>
                <w:snapToGrid w:val="0"/>
                <w:color w:val="000000" w:themeColor="text1"/>
                <w:szCs w:val="20"/>
              </w:rPr>
              <w:t>years) (paragraph 7.9)</w:t>
            </w:r>
            <w:r w:rsidR="00122C40" w:rsidRPr="002C62BF">
              <w:rPr>
                <w:rFonts w:eastAsia="Times New Roman" w:cs="Arial"/>
                <w:bCs w:val="0"/>
                <w:snapToGrid w:val="0"/>
                <w:color w:val="000000" w:themeColor="text1"/>
                <w:szCs w:val="20"/>
              </w:rPr>
              <w:t>.</w:t>
            </w:r>
          </w:p>
        </w:tc>
        <w:tc>
          <w:tcPr>
            <w:tcW w:w="2032" w:type="pct"/>
            <w:tcBorders>
              <w:top w:val="nil"/>
              <w:bottom w:val="nil"/>
            </w:tcBorders>
          </w:tcPr>
          <w:p w:rsidR="006E33D7" w:rsidRPr="002C62BF" w:rsidRDefault="006E33D7"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Addressed</w:t>
            </w:r>
            <w:r w:rsidR="00667740" w:rsidRPr="002C62BF">
              <w:rPr>
                <w:rFonts w:eastAsia="Times New Roman" w:cs="Arial"/>
                <w:bCs w:val="0"/>
                <w:snapToGrid w:val="0"/>
                <w:color w:val="000000" w:themeColor="text1"/>
                <w:szCs w:val="20"/>
              </w:rPr>
              <w:t>,</w:t>
            </w:r>
            <w:r w:rsidRPr="002C62BF">
              <w:rPr>
                <w:rFonts w:eastAsia="Times New Roman" w:cs="Arial"/>
                <w:bCs w:val="0"/>
                <w:snapToGrid w:val="0"/>
                <w:color w:val="000000" w:themeColor="text1"/>
                <w:szCs w:val="20"/>
              </w:rPr>
              <w:t xml:space="preserve"> </w:t>
            </w:r>
            <w:r w:rsidR="00667740" w:rsidRPr="002C62BF">
              <w:rPr>
                <w:rFonts w:eastAsia="Times New Roman" w:cs="Arial"/>
                <w:bCs w:val="0"/>
                <w:snapToGrid w:val="0"/>
                <w:color w:val="000000" w:themeColor="text1"/>
                <w:szCs w:val="20"/>
              </w:rPr>
              <w:t xml:space="preserve">but only </w:t>
            </w:r>
            <w:r w:rsidRPr="002C62BF">
              <w:rPr>
                <w:rFonts w:eastAsia="Times New Roman" w:cs="Arial"/>
                <w:bCs w:val="0"/>
                <w:snapToGrid w:val="0"/>
                <w:color w:val="000000" w:themeColor="text1"/>
                <w:szCs w:val="20"/>
              </w:rPr>
              <w:t xml:space="preserve">in sensitivity analyses. The model now includes functionality for waning treatment effect. The model is sensitive </w:t>
            </w:r>
            <w:r w:rsidR="00122C40" w:rsidRPr="002C62BF">
              <w:rPr>
                <w:rFonts w:eastAsia="Times New Roman" w:cs="Arial"/>
                <w:bCs w:val="0"/>
                <w:snapToGrid w:val="0"/>
                <w:color w:val="000000" w:themeColor="text1"/>
                <w:szCs w:val="20"/>
              </w:rPr>
              <w:t xml:space="preserve">to </w:t>
            </w:r>
            <w:r w:rsidRPr="002C62BF">
              <w:rPr>
                <w:rFonts w:eastAsia="Times New Roman" w:cs="Arial"/>
                <w:bCs w:val="0"/>
                <w:snapToGrid w:val="0"/>
                <w:color w:val="000000" w:themeColor="text1"/>
                <w:szCs w:val="20"/>
              </w:rPr>
              <w:t>these estimates.</w:t>
            </w:r>
          </w:p>
          <w:p w:rsidR="00561CD3" w:rsidRPr="002C62BF" w:rsidRDefault="00561CD3" w:rsidP="00122C40">
            <w:pPr>
              <w:pStyle w:val="TableText0"/>
              <w:keepNext w:val="0"/>
              <w:rPr>
                <w:rFonts w:eastAsia="Times New Roman" w:cs="Arial"/>
                <w:bCs w:val="0"/>
                <w:snapToGrid w:val="0"/>
                <w:color w:val="000000" w:themeColor="text1"/>
                <w:szCs w:val="20"/>
              </w:rPr>
            </w:pPr>
          </w:p>
        </w:tc>
      </w:tr>
      <w:tr w:rsidR="006E33D7" w:rsidRPr="002C62BF" w:rsidTr="00122C40">
        <w:trPr>
          <w:cantSplit/>
        </w:trPr>
        <w:tc>
          <w:tcPr>
            <w:tcW w:w="651" w:type="pct"/>
            <w:vMerge/>
          </w:tcPr>
          <w:p w:rsidR="006E33D7" w:rsidRPr="002C62BF" w:rsidRDefault="006E33D7" w:rsidP="00122C40">
            <w:pPr>
              <w:pStyle w:val="TableText0"/>
              <w:keepNext w:val="0"/>
              <w:rPr>
                <w:highlight w:val="cyan"/>
              </w:rPr>
            </w:pPr>
          </w:p>
        </w:tc>
        <w:tc>
          <w:tcPr>
            <w:tcW w:w="2317" w:type="pct"/>
            <w:tcBorders>
              <w:top w:val="nil"/>
              <w:bottom w:val="nil"/>
            </w:tcBorders>
          </w:tcPr>
          <w:p w:rsidR="006E33D7" w:rsidRPr="002C62BF" w:rsidRDefault="006E33D7"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The model population was younger than the expected treatment populat</w:t>
            </w:r>
            <w:r w:rsidR="00122C40" w:rsidRPr="002C62BF">
              <w:rPr>
                <w:rFonts w:eastAsia="Times New Roman" w:cs="Arial"/>
                <w:bCs w:val="0"/>
                <w:snapToGrid w:val="0"/>
                <w:color w:val="000000" w:themeColor="text1"/>
                <w:szCs w:val="20"/>
              </w:rPr>
              <w:t>ion</w:t>
            </w:r>
            <w:r w:rsidRPr="002C62BF">
              <w:rPr>
                <w:rFonts w:eastAsia="Times New Roman" w:cs="Arial"/>
                <w:bCs w:val="0"/>
                <w:snapToGrid w:val="0"/>
                <w:color w:val="000000" w:themeColor="text1"/>
                <w:szCs w:val="20"/>
              </w:rPr>
              <w:t xml:space="preserve"> (paragraph 7.9)</w:t>
            </w:r>
            <w:r w:rsidR="00122C40" w:rsidRPr="002C62BF">
              <w:rPr>
                <w:rFonts w:eastAsia="Times New Roman" w:cs="Arial"/>
                <w:bCs w:val="0"/>
                <w:snapToGrid w:val="0"/>
                <w:color w:val="000000" w:themeColor="text1"/>
                <w:szCs w:val="20"/>
              </w:rPr>
              <w:t>.</w:t>
            </w:r>
          </w:p>
        </w:tc>
        <w:tc>
          <w:tcPr>
            <w:tcW w:w="2032" w:type="pct"/>
            <w:tcBorders>
              <w:top w:val="nil"/>
              <w:bottom w:val="nil"/>
            </w:tcBorders>
          </w:tcPr>
          <w:p w:rsidR="006E33D7" w:rsidRPr="002C62BF" w:rsidRDefault="006E33D7"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This is partially addressed by narrowing the restriction. However</w:t>
            </w:r>
            <w:r w:rsidR="00122C40" w:rsidRPr="002C62BF">
              <w:rPr>
                <w:rFonts w:eastAsia="Times New Roman" w:cs="Arial"/>
                <w:bCs w:val="0"/>
                <w:snapToGrid w:val="0"/>
                <w:color w:val="000000" w:themeColor="text1"/>
                <w:szCs w:val="20"/>
              </w:rPr>
              <w:t>,</w:t>
            </w:r>
            <w:r w:rsidRPr="002C62BF">
              <w:rPr>
                <w:rFonts w:eastAsia="Times New Roman" w:cs="Arial"/>
                <w:bCs w:val="0"/>
                <w:snapToGrid w:val="0"/>
                <w:color w:val="000000" w:themeColor="text1"/>
                <w:szCs w:val="20"/>
              </w:rPr>
              <w:t xml:space="preserve"> the restriction is not restricted by age, and the economic evaluation also further decrease</w:t>
            </w:r>
            <w:r w:rsidR="00227418" w:rsidRPr="002C62BF">
              <w:rPr>
                <w:rFonts w:eastAsia="Times New Roman" w:cs="Arial"/>
                <w:bCs w:val="0"/>
                <w:snapToGrid w:val="0"/>
                <w:color w:val="000000" w:themeColor="text1"/>
                <w:szCs w:val="20"/>
              </w:rPr>
              <w:t>d the</w:t>
            </w:r>
            <w:r w:rsidRPr="002C62BF">
              <w:rPr>
                <w:rFonts w:eastAsia="Times New Roman" w:cs="Arial"/>
                <w:bCs w:val="0"/>
                <w:snapToGrid w:val="0"/>
                <w:color w:val="000000" w:themeColor="text1"/>
                <w:szCs w:val="20"/>
              </w:rPr>
              <w:t xml:space="preserve"> starting age</w:t>
            </w:r>
            <w:r w:rsidR="00561CD3" w:rsidRPr="002C62BF">
              <w:rPr>
                <w:rFonts w:eastAsia="Times New Roman" w:cs="Arial"/>
                <w:bCs w:val="0"/>
                <w:snapToGrid w:val="0"/>
                <w:color w:val="000000" w:themeColor="text1"/>
                <w:szCs w:val="20"/>
              </w:rPr>
              <w:t xml:space="preserve"> from 44 to 40 (ITT population mean was 44)</w:t>
            </w:r>
            <w:r w:rsidRPr="002C62BF">
              <w:rPr>
                <w:rFonts w:eastAsia="Times New Roman" w:cs="Arial"/>
                <w:bCs w:val="0"/>
                <w:snapToGrid w:val="0"/>
                <w:color w:val="000000" w:themeColor="text1"/>
                <w:szCs w:val="20"/>
              </w:rPr>
              <w:t xml:space="preserve">. </w:t>
            </w:r>
          </w:p>
          <w:p w:rsidR="00561CD3" w:rsidRPr="002C62BF" w:rsidRDefault="00561CD3" w:rsidP="00122C40">
            <w:pPr>
              <w:pStyle w:val="TableText0"/>
              <w:keepNext w:val="0"/>
              <w:rPr>
                <w:rFonts w:eastAsia="Times New Roman" w:cs="Arial"/>
                <w:bCs w:val="0"/>
                <w:snapToGrid w:val="0"/>
                <w:color w:val="000000" w:themeColor="text1"/>
                <w:szCs w:val="20"/>
              </w:rPr>
            </w:pPr>
          </w:p>
        </w:tc>
      </w:tr>
      <w:tr w:rsidR="006E33D7" w:rsidRPr="002C62BF" w:rsidTr="00122C40">
        <w:trPr>
          <w:cantSplit/>
        </w:trPr>
        <w:tc>
          <w:tcPr>
            <w:tcW w:w="651" w:type="pct"/>
            <w:vMerge/>
          </w:tcPr>
          <w:p w:rsidR="006E33D7" w:rsidRPr="002C62BF" w:rsidRDefault="006E33D7" w:rsidP="00122C40">
            <w:pPr>
              <w:pStyle w:val="TableText0"/>
              <w:keepNext w:val="0"/>
              <w:rPr>
                <w:highlight w:val="cyan"/>
              </w:rPr>
            </w:pPr>
          </w:p>
        </w:tc>
        <w:tc>
          <w:tcPr>
            <w:tcW w:w="2317" w:type="pct"/>
            <w:tcBorders>
              <w:top w:val="nil"/>
              <w:bottom w:val="nil"/>
            </w:tcBorders>
          </w:tcPr>
          <w:p w:rsidR="006E33D7" w:rsidRPr="002C62BF" w:rsidRDefault="006E33D7"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The survival benefit generated by the model as a result of applying EDSS-specific mortality multipliers was not supported by the data from ORATORIO (paragraph 7.9)</w:t>
            </w:r>
            <w:r w:rsidR="00122C40" w:rsidRPr="002C62BF">
              <w:rPr>
                <w:rFonts w:eastAsia="Times New Roman" w:cs="Arial"/>
                <w:bCs w:val="0"/>
                <w:snapToGrid w:val="0"/>
                <w:color w:val="000000" w:themeColor="text1"/>
                <w:szCs w:val="20"/>
              </w:rPr>
              <w:t>.</w:t>
            </w:r>
          </w:p>
        </w:tc>
        <w:tc>
          <w:tcPr>
            <w:tcW w:w="2032" w:type="pct"/>
            <w:tcBorders>
              <w:top w:val="nil"/>
              <w:bottom w:val="nil"/>
            </w:tcBorders>
          </w:tcPr>
          <w:p w:rsidR="006E33D7" w:rsidRPr="002C62BF" w:rsidRDefault="006E33D7" w:rsidP="003F3125">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These have been retained. However</w:t>
            </w:r>
            <w:r w:rsidR="00122C40" w:rsidRPr="002C62BF">
              <w:rPr>
                <w:rFonts w:eastAsia="Times New Roman" w:cs="Arial"/>
                <w:bCs w:val="0"/>
                <w:snapToGrid w:val="0"/>
                <w:color w:val="000000" w:themeColor="text1"/>
                <w:szCs w:val="20"/>
              </w:rPr>
              <w:t>,</w:t>
            </w:r>
            <w:r w:rsidRPr="002C62BF">
              <w:rPr>
                <w:rFonts w:eastAsia="Times New Roman" w:cs="Arial"/>
                <w:bCs w:val="0"/>
                <w:snapToGrid w:val="0"/>
                <w:color w:val="000000" w:themeColor="text1"/>
                <w:szCs w:val="20"/>
              </w:rPr>
              <w:t xml:space="preserve"> re</w:t>
            </w:r>
            <w:r w:rsidR="00122C40" w:rsidRPr="002C62BF">
              <w:rPr>
                <w:rFonts w:eastAsia="Times New Roman" w:cs="Arial"/>
                <w:bCs w:val="0"/>
                <w:snapToGrid w:val="0"/>
                <w:color w:val="000000" w:themeColor="text1"/>
                <w:szCs w:val="20"/>
              </w:rPr>
              <w:t>vision of health state costs le</w:t>
            </w:r>
            <w:r w:rsidR="003F3125" w:rsidRPr="002C62BF">
              <w:rPr>
                <w:rFonts w:eastAsia="Times New Roman" w:cs="Arial"/>
                <w:bCs w:val="0"/>
                <w:snapToGrid w:val="0"/>
                <w:color w:val="000000" w:themeColor="text1"/>
                <w:szCs w:val="20"/>
              </w:rPr>
              <w:t xml:space="preserve">d to </w:t>
            </w:r>
            <w:r w:rsidRPr="002C62BF">
              <w:rPr>
                <w:rFonts w:eastAsia="Times New Roman" w:cs="Arial"/>
                <w:bCs w:val="0"/>
                <w:snapToGrid w:val="0"/>
                <w:color w:val="000000" w:themeColor="text1"/>
                <w:szCs w:val="20"/>
              </w:rPr>
              <w:t xml:space="preserve">the ICER decreasing with the removal of the multipliers. </w:t>
            </w:r>
          </w:p>
          <w:p w:rsidR="00561CD3" w:rsidRPr="002C62BF" w:rsidRDefault="00561CD3" w:rsidP="003F3125">
            <w:pPr>
              <w:pStyle w:val="TableText0"/>
              <w:keepNext w:val="0"/>
              <w:rPr>
                <w:rFonts w:eastAsia="Times New Roman" w:cs="Arial"/>
                <w:bCs w:val="0"/>
                <w:snapToGrid w:val="0"/>
                <w:color w:val="000000" w:themeColor="text1"/>
                <w:szCs w:val="20"/>
              </w:rPr>
            </w:pPr>
          </w:p>
        </w:tc>
      </w:tr>
      <w:tr w:rsidR="006E33D7" w:rsidRPr="002C62BF" w:rsidTr="00122C40">
        <w:trPr>
          <w:cantSplit/>
        </w:trPr>
        <w:tc>
          <w:tcPr>
            <w:tcW w:w="651" w:type="pct"/>
            <w:vMerge/>
            <w:tcBorders>
              <w:bottom w:val="single" w:sz="4" w:space="0" w:color="auto"/>
            </w:tcBorders>
          </w:tcPr>
          <w:p w:rsidR="006E33D7" w:rsidRPr="002C62BF" w:rsidRDefault="006E33D7" w:rsidP="00122C40">
            <w:pPr>
              <w:pStyle w:val="TableText0"/>
              <w:keepNext w:val="0"/>
              <w:rPr>
                <w:highlight w:val="cyan"/>
              </w:rPr>
            </w:pPr>
          </w:p>
        </w:tc>
        <w:tc>
          <w:tcPr>
            <w:tcW w:w="2317" w:type="pct"/>
            <w:tcBorders>
              <w:top w:val="nil"/>
              <w:bottom w:val="single" w:sz="4" w:space="0" w:color="auto"/>
            </w:tcBorders>
          </w:tcPr>
          <w:p w:rsidR="006E33D7" w:rsidRPr="002C62BF" w:rsidRDefault="006E33D7"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 xml:space="preserve">There is potential for double counting with the addition of disutility associated </w:t>
            </w:r>
            <w:r w:rsidR="00122C40" w:rsidRPr="002C62BF">
              <w:rPr>
                <w:rFonts w:eastAsia="Times New Roman" w:cs="Arial"/>
                <w:bCs w:val="0"/>
                <w:snapToGrid w:val="0"/>
                <w:color w:val="000000" w:themeColor="text1"/>
                <w:szCs w:val="20"/>
              </w:rPr>
              <w:t xml:space="preserve">with upper limb dysfunction </w:t>
            </w:r>
            <w:r w:rsidRPr="002C62BF">
              <w:rPr>
                <w:rFonts w:eastAsia="Times New Roman" w:cs="Arial"/>
                <w:bCs w:val="0"/>
                <w:snapToGrid w:val="0"/>
                <w:color w:val="000000" w:themeColor="text1"/>
                <w:szCs w:val="20"/>
              </w:rPr>
              <w:t>(paragraph 7.9)</w:t>
            </w:r>
            <w:r w:rsidR="00122C40" w:rsidRPr="002C62BF">
              <w:rPr>
                <w:rFonts w:eastAsia="Times New Roman" w:cs="Arial"/>
                <w:bCs w:val="0"/>
                <w:snapToGrid w:val="0"/>
                <w:color w:val="000000" w:themeColor="text1"/>
                <w:szCs w:val="20"/>
              </w:rPr>
              <w:t>.</w:t>
            </w:r>
          </w:p>
        </w:tc>
        <w:tc>
          <w:tcPr>
            <w:tcW w:w="2032" w:type="pct"/>
            <w:tcBorders>
              <w:top w:val="nil"/>
              <w:bottom w:val="single" w:sz="4" w:space="0" w:color="auto"/>
            </w:tcBorders>
          </w:tcPr>
          <w:p w:rsidR="006E33D7" w:rsidRPr="002C62BF" w:rsidRDefault="006E33D7"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Addressed. These have been removed.</w:t>
            </w:r>
          </w:p>
        </w:tc>
      </w:tr>
      <w:tr w:rsidR="00EA268B" w:rsidRPr="002C62BF" w:rsidTr="00122C40">
        <w:trPr>
          <w:cantSplit/>
        </w:trPr>
        <w:tc>
          <w:tcPr>
            <w:tcW w:w="651" w:type="pct"/>
            <w:vMerge w:val="restart"/>
          </w:tcPr>
          <w:p w:rsidR="00EA268B" w:rsidRPr="002C62BF" w:rsidRDefault="00EA268B" w:rsidP="00122C40">
            <w:pPr>
              <w:pStyle w:val="TableText0"/>
              <w:keepNext w:val="0"/>
              <w:rPr>
                <w:highlight w:val="cyan"/>
              </w:rPr>
            </w:pPr>
            <w:r w:rsidRPr="002C62BF">
              <w:t xml:space="preserve">Financial estimates </w:t>
            </w:r>
          </w:p>
        </w:tc>
        <w:tc>
          <w:tcPr>
            <w:tcW w:w="2317" w:type="pct"/>
            <w:tcBorders>
              <w:top w:val="nil"/>
              <w:bottom w:val="nil"/>
            </w:tcBorders>
          </w:tcPr>
          <w:p w:rsidR="00EA268B" w:rsidRPr="002C62BF" w:rsidRDefault="00EA268B" w:rsidP="003F3125">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The submission added the number of incident and prevalent patients to estimate use, which resulted in an overestimate of the projected number of treated patients (paragraph 7.11)</w:t>
            </w:r>
            <w:r w:rsidR="003F3125" w:rsidRPr="002C62BF">
              <w:rPr>
                <w:rFonts w:eastAsia="Times New Roman" w:cs="Arial"/>
                <w:bCs w:val="0"/>
                <w:snapToGrid w:val="0"/>
                <w:color w:val="000000" w:themeColor="text1"/>
                <w:szCs w:val="20"/>
              </w:rPr>
              <w:t>.</w:t>
            </w:r>
          </w:p>
        </w:tc>
        <w:tc>
          <w:tcPr>
            <w:tcW w:w="2032" w:type="pct"/>
            <w:tcBorders>
              <w:top w:val="nil"/>
              <w:bottom w:val="nil"/>
            </w:tcBorders>
          </w:tcPr>
          <w:p w:rsidR="00EA268B" w:rsidRPr="002C62BF" w:rsidRDefault="00EA268B"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 xml:space="preserve">The resubmission still adds incident and prevalent patients, but the requested restriction is defined by patients diagnosed within the previous 5 years, and the prevalent population is estimated in a manner consistent with this. </w:t>
            </w:r>
          </w:p>
        </w:tc>
      </w:tr>
      <w:tr w:rsidR="00EA268B" w:rsidRPr="002C62BF" w:rsidTr="00122C40">
        <w:trPr>
          <w:cantSplit/>
        </w:trPr>
        <w:tc>
          <w:tcPr>
            <w:tcW w:w="651" w:type="pct"/>
            <w:vMerge/>
          </w:tcPr>
          <w:p w:rsidR="00EA268B" w:rsidRPr="002C62BF" w:rsidRDefault="00EA268B" w:rsidP="00122C40">
            <w:pPr>
              <w:pStyle w:val="TableText0"/>
              <w:keepNext w:val="0"/>
              <w:rPr>
                <w:highlight w:val="cyan"/>
              </w:rPr>
            </w:pPr>
          </w:p>
        </w:tc>
        <w:tc>
          <w:tcPr>
            <w:tcW w:w="2317" w:type="pct"/>
            <w:tcBorders>
              <w:top w:val="nil"/>
              <w:bottom w:val="nil"/>
            </w:tcBorders>
          </w:tcPr>
          <w:p w:rsidR="00EA268B" w:rsidRPr="002C62BF" w:rsidRDefault="00EA268B" w:rsidP="00122C40">
            <w:pPr>
              <w:pStyle w:val="TableText0"/>
              <w:keepNext w:val="0"/>
              <w:rPr>
                <w:rFonts w:eastAsia="Times New Roman" w:cs="Arial"/>
                <w:bCs w:val="0"/>
                <w:snapToGrid w:val="0"/>
                <w:color w:val="000000" w:themeColor="text1"/>
                <w:szCs w:val="20"/>
              </w:rPr>
            </w:pPr>
            <w:r w:rsidRPr="002C62BF">
              <w:t>The model was sensitive to the estimates of uptake and eligibility in the prevalent population, which were based on expert opinion and likely underestimated.</w:t>
            </w:r>
          </w:p>
        </w:tc>
        <w:tc>
          <w:tcPr>
            <w:tcW w:w="2032" w:type="pct"/>
            <w:tcBorders>
              <w:top w:val="nil"/>
              <w:bottom w:val="nil"/>
            </w:tcBorders>
          </w:tcPr>
          <w:p w:rsidR="00EA268B" w:rsidRPr="002C62BF" w:rsidRDefault="00EA268B" w:rsidP="005A4EFE">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Uptake has not been changed. Eligibility is based on ORATORIO data</w:t>
            </w:r>
            <w:r w:rsidR="00227418" w:rsidRPr="002C62BF">
              <w:rPr>
                <w:rFonts w:eastAsia="Times New Roman" w:cs="Arial"/>
                <w:bCs w:val="0"/>
                <w:snapToGrid w:val="0"/>
                <w:color w:val="000000" w:themeColor="text1"/>
                <w:szCs w:val="20"/>
              </w:rPr>
              <w:t>, which was considered to have</w:t>
            </w:r>
            <w:r w:rsidRPr="002C62BF">
              <w:rPr>
                <w:rFonts w:eastAsia="Times New Roman" w:cs="Arial"/>
                <w:bCs w:val="0"/>
                <w:snapToGrid w:val="0"/>
                <w:color w:val="000000" w:themeColor="text1"/>
                <w:szCs w:val="20"/>
              </w:rPr>
              <w:t xml:space="preserve"> applicability issues. </w:t>
            </w:r>
          </w:p>
        </w:tc>
      </w:tr>
      <w:tr w:rsidR="00EA268B" w:rsidRPr="002C62BF" w:rsidTr="00227418">
        <w:trPr>
          <w:cantSplit/>
          <w:trHeight w:val="562"/>
        </w:trPr>
        <w:tc>
          <w:tcPr>
            <w:tcW w:w="651" w:type="pct"/>
            <w:vMerge/>
          </w:tcPr>
          <w:p w:rsidR="00EA268B" w:rsidRPr="002C62BF" w:rsidRDefault="00EA268B" w:rsidP="00122C40">
            <w:pPr>
              <w:pStyle w:val="TableText0"/>
              <w:keepNext w:val="0"/>
              <w:rPr>
                <w:highlight w:val="cyan"/>
              </w:rPr>
            </w:pPr>
          </w:p>
        </w:tc>
        <w:tc>
          <w:tcPr>
            <w:tcW w:w="2317" w:type="pct"/>
            <w:tcBorders>
              <w:top w:val="nil"/>
            </w:tcBorders>
          </w:tcPr>
          <w:p w:rsidR="00EA268B" w:rsidRPr="002C62BF" w:rsidRDefault="00EA268B" w:rsidP="00122C40">
            <w:pPr>
              <w:pStyle w:val="TableText0"/>
              <w:keepNext w:val="0"/>
            </w:pPr>
            <w:r w:rsidRPr="002C62BF">
              <w:t>The broad restriction wording would translate to higher uptake of ocrelizumab in subgroups of patients for whom there is little evidence of benefit</w:t>
            </w:r>
            <w:r w:rsidR="002C62BF">
              <w:t xml:space="preserve">. </w:t>
            </w:r>
            <w:r w:rsidRPr="002C62BF">
              <w:rPr>
                <w:rFonts w:eastAsia="Times New Roman" w:cs="Arial"/>
                <w:bCs w:val="0"/>
                <w:snapToGrid w:val="0"/>
                <w:color w:val="000000" w:themeColor="text1"/>
                <w:szCs w:val="20"/>
              </w:rPr>
              <w:t>(paragraph 7.11)</w:t>
            </w:r>
          </w:p>
        </w:tc>
        <w:tc>
          <w:tcPr>
            <w:tcW w:w="2032" w:type="pct"/>
            <w:tcBorders>
              <w:top w:val="nil"/>
            </w:tcBorders>
          </w:tcPr>
          <w:p w:rsidR="00EA268B" w:rsidRPr="002C62BF" w:rsidRDefault="00EA268B" w:rsidP="00122C40">
            <w:pPr>
              <w:pStyle w:val="TableText0"/>
              <w:keepNext w:val="0"/>
              <w:rPr>
                <w:rFonts w:eastAsia="Times New Roman" w:cs="Arial"/>
                <w:bCs w:val="0"/>
                <w:snapToGrid w:val="0"/>
                <w:color w:val="000000" w:themeColor="text1"/>
                <w:szCs w:val="20"/>
              </w:rPr>
            </w:pPr>
            <w:r w:rsidRPr="002C62BF">
              <w:rPr>
                <w:rFonts w:eastAsia="Times New Roman" w:cs="Arial"/>
                <w:bCs w:val="0"/>
                <w:snapToGrid w:val="0"/>
                <w:color w:val="000000" w:themeColor="text1"/>
                <w:szCs w:val="20"/>
              </w:rPr>
              <w:t xml:space="preserve">The restriction was narrowed in the resubmission. </w:t>
            </w:r>
          </w:p>
        </w:tc>
      </w:tr>
    </w:tbl>
    <w:p w:rsidR="003F3125" w:rsidRPr="002C62BF" w:rsidRDefault="005C25FF" w:rsidP="004E18E9">
      <w:pPr>
        <w:pStyle w:val="TableFigureFooter"/>
      </w:pPr>
      <w:r w:rsidRPr="002C62BF">
        <w:t xml:space="preserve">Source: </w:t>
      </w:r>
      <w:r w:rsidR="00C50B23">
        <w:rPr>
          <w:bCs/>
          <w:color w:val="000000" w:themeColor="text1"/>
          <w:szCs w:val="20"/>
        </w:rPr>
        <w:t>Ocrelizumab, PSD</w:t>
      </w:r>
      <w:r w:rsidR="00E36E96" w:rsidRPr="002C62BF">
        <w:rPr>
          <w:bCs/>
          <w:color w:val="000000" w:themeColor="text1"/>
          <w:szCs w:val="20"/>
        </w:rPr>
        <w:t>, November 2017 PBAC Meeting</w:t>
      </w:r>
      <w:r w:rsidR="003F3125" w:rsidRPr="002C62BF">
        <w:t xml:space="preserve"> </w:t>
      </w:r>
      <w:r w:rsidR="00E36E96" w:rsidRPr="002C62BF">
        <w:t xml:space="preserve">and pp1-99 of the resubmission. </w:t>
      </w:r>
    </w:p>
    <w:p w:rsidR="005C25FF" w:rsidRDefault="00EA268B" w:rsidP="004E18E9">
      <w:pPr>
        <w:pStyle w:val="TableFigureFooter"/>
      </w:pPr>
      <w:r w:rsidRPr="002C62BF">
        <w:t>CDP = confirmed disability progression; EDSS = expa</w:t>
      </w:r>
      <w:r w:rsidR="003F3125" w:rsidRPr="002C62BF">
        <w:t xml:space="preserve">nded disability status scale; HR = hazard ratio; </w:t>
      </w:r>
      <w:r w:rsidRPr="002C62BF">
        <w:t>ICER = incremental cost-effectiveness ratio</w:t>
      </w:r>
      <w:r w:rsidR="003F3125" w:rsidRPr="002C62BF">
        <w:t>;</w:t>
      </w:r>
      <w:r w:rsidRPr="002C62BF">
        <w:t xml:space="preserve"> PPMS = primary progressive multiple sclerosis.</w:t>
      </w:r>
    </w:p>
    <w:p w:rsidR="00466554" w:rsidRDefault="00466554" w:rsidP="004E18E9">
      <w:pPr>
        <w:pStyle w:val="TableFigureFooter"/>
      </w:pPr>
    </w:p>
    <w:p w:rsidR="00466554" w:rsidRPr="00466554" w:rsidRDefault="00466554" w:rsidP="00466554">
      <w:pPr>
        <w:pStyle w:val="ListParagraph"/>
        <w:ind w:left="709"/>
        <w:rPr>
          <w:i/>
        </w:rPr>
      </w:pPr>
      <w:r w:rsidRPr="002C62BF">
        <w:rPr>
          <w:i/>
        </w:rPr>
        <w:t>For more detail on PBAC’s view, see section 7 PBAC outcome.</w:t>
      </w:r>
    </w:p>
    <w:p w:rsidR="00B60939" w:rsidRPr="002C62BF" w:rsidRDefault="00B50DB8" w:rsidP="004E18E9">
      <w:pPr>
        <w:pStyle w:val="2-SectionHeading"/>
      </w:pPr>
      <w:bookmarkStart w:id="10" w:name="_Toc40873642"/>
      <w:r w:rsidRPr="002C62BF">
        <w:lastRenderedPageBreak/>
        <w:t>Requested listing</w:t>
      </w:r>
      <w:bookmarkEnd w:id="10"/>
    </w:p>
    <w:p w:rsidR="006C6836" w:rsidRPr="002C62BF" w:rsidRDefault="006C6836" w:rsidP="006C6836">
      <w:pPr>
        <w:pStyle w:val="3-BodyText"/>
      </w:pPr>
      <w:r w:rsidRPr="002C62BF">
        <w:t xml:space="preserve">The listing </w:t>
      </w:r>
      <w:r w:rsidR="00FE5B9C" w:rsidRPr="002C62BF">
        <w:t xml:space="preserve">requested </w:t>
      </w:r>
      <w:r w:rsidR="00FE5B9C">
        <w:t xml:space="preserve">in the submission </w:t>
      </w:r>
      <w:r w:rsidRPr="002C62BF">
        <w:t>is presented below. Underlined text indicates changes</w:t>
      </w:r>
      <w:r w:rsidR="00262296" w:rsidRPr="002C62BF">
        <w:t xml:space="preserve"> or additions made in relation to the previous submission. </w:t>
      </w:r>
      <w:r w:rsidR="005A4EFE" w:rsidRPr="002C62BF">
        <w:t>T</w:t>
      </w:r>
      <w:r w:rsidR="00262296" w:rsidRPr="002C62BF">
        <w:t xml:space="preserve">he </w:t>
      </w:r>
      <w:r w:rsidRPr="002C62BF">
        <w:t>condition was</w:t>
      </w:r>
      <w:r w:rsidR="00262296" w:rsidRPr="002C62BF">
        <w:t xml:space="preserve"> specified as</w:t>
      </w:r>
      <w:r w:rsidRPr="002C62BF">
        <w:t xml:space="preserve"> multiple sclerosis in the previous submission versus primary progressive multiple sclerosis in the resubmission</w:t>
      </w:r>
      <w:r w:rsidR="00262296" w:rsidRPr="002C62BF">
        <w:t xml:space="preserve">. </w:t>
      </w:r>
      <w:r w:rsidRPr="002C62BF">
        <w:t>A further change is that the previous submission request</w:t>
      </w:r>
      <w:r w:rsidR="005A4EFE" w:rsidRPr="002C62BF">
        <w:t>ed</w:t>
      </w:r>
      <w:r w:rsidRPr="002C62BF">
        <w:t xml:space="preserve"> a ‘Streamlined Public hospital Authority Required’ and ‘Private hospital Authority Required’ compared with ‘Authority Required – In Writing’ in the resubmission.</w:t>
      </w:r>
      <w:r w:rsidR="00262296" w:rsidRPr="002C62BF">
        <w:t xml:space="preserve"> </w:t>
      </w:r>
      <w:r w:rsidR="005A4EFE" w:rsidRPr="002C62BF">
        <w:t>U</w:t>
      </w:r>
      <w:r w:rsidRPr="002C62BF">
        <w:t>nlike the previous submission, the resubmission request</w:t>
      </w:r>
      <w:r w:rsidR="00227418" w:rsidRPr="002C62BF">
        <w:t>ed</w:t>
      </w:r>
      <w:r w:rsidRPr="002C62BF">
        <w:t xml:space="preserve"> a </w:t>
      </w:r>
      <w:r w:rsidR="00227418" w:rsidRPr="002C62BF">
        <w:t>g</w:t>
      </w:r>
      <w:r w:rsidRPr="002C62BF">
        <w:t>randfather restriction.</w:t>
      </w:r>
    </w:p>
    <w:p w:rsidR="00617E12" w:rsidRPr="002C62BF" w:rsidRDefault="00617E12" w:rsidP="00617E12"/>
    <w:tbl>
      <w:tblPr>
        <w:tblW w:w="9450" w:type="dxa"/>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2552"/>
        <w:gridCol w:w="1843"/>
        <w:gridCol w:w="1134"/>
        <w:gridCol w:w="2126"/>
        <w:gridCol w:w="1795"/>
      </w:tblGrid>
      <w:tr w:rsidR="006C6836" w:rsidRPr="002C62BF" w:rsidTr="00986389">
        <w:tc>
          <w:tcPr>
            <w:tcW w:w="2552" w:type="dxa"/>
          </w:tcPr>
          <w:p w:rsidR="006C6836" w:rsidRPr="002C62BF" w:rsidRDefault="006C6836" w:rsidP="003F3125">
            <w:pPr>
              <w:pStyle w:val="Tabletext"/>
              <w:keepNext/>
              <w:rPr>
                <w:b/>
                <w:bCs/>
              </w:rPr>
            </w:pPr>
            <w:r w:rsidRPr="002C62BF">
              <w:rPr>
                <w:b/>
              </w:rPr>
              <w:lastRenderedPageBreak/>
              <w:t>Name, restriction, manner of administration, form</w:t>
            </w:r>
          </w:p>
        </w:tc>
        <w:tc>
          <w:tcPr>
            <w:tcW w:w="1843" w:type="dxa"/>
            <w:vAlign w:val="center"/>
          </w:tcPr>
          <w:p w:rsidR="006C6836" w:rsidRPr="002C62BF" w:rsidRDefault="006C6836" w:rsidP="003F3125">
            <w:pPr>
              <w:pStyle w:val="Tabletext"/>
              <w:keepNext/>
              <w:jc w:val="center"/>
              <w:rPr>
                <w:b/>
                <w:bCs/>
              </w:rPr>
            </w:pPr>
            <w:r w:rsidRPr="002C62BF">
              <w:rPr>
                <w:b/>
              </w:rPr>
              <w:t>Maximum quantity (units)</w:t>
            </w:r>
          </w:p>
        </w:tc>
        <w:tc>
          <w:tcPr>
            <w:tcW w:w="1134" w:type="dxa"/>
            <w:vAlign w:val="center"/>
          </w:tcPr>
          <w:p w:rsidR="006C6836" w:rsidRPr="002C62BF" w:rsidRDefault="006C6836" w:rsidP="003F3125">
            <w:pPr>
              <w:pStyle w:val="Tabletext"/>
              <w:keepNext/>
              <w:jc w:val="center"/>
              <w:rPr>
                <w:b/>
                <w:bCs/>
              </w:rPr>
            </w:pPr>
            <w:r w:rsidRPr="002C62BF">
              <w:rPr>
                <w:b/>
              </w:rPr>
              <w:t>No. of repeats</w:t>
            </w:r>
          </w:p>
        </w:tc>
        <w:tc>
          <w:tcPr>
            <w:tcW w:w="2126" w:type="dxa"/>
            <w:vAlign w:val="center"/>
          </w:tcPr>
          <w:p w:rsidR="006C6836" w:rsidRPr="002C62BF" w:rsidRDefault="006C6836" w:rsidP="003F3125">
            <w:pPr>
              <w:pStyle w:val="Tabletext"/>
              <w:keepNext/>
              <w:jc w:val="center"/>
              <w:rPr>
                <w:b/>
                <w:bCs/>
              </w:rPr>
            </w:pPr>
            <w:r w:rsidRPr="002C62BF">
              <w:rPr>
                <w:b/>
              </w:rPr>
              <w:t>Dispensed price for maximum quantity</w:t>
            </w:r>
          </w:p>
        </w:tc>
        <w:tc>
          <w:tcPr>
            <w:tcW w:w="1795" w:type="dxa"/>
            <w:vAlign w:val="center"/>
          </w:tcPr>
          <w:p w:rsidR="006C6836" w:rsidRPr="002C62BF" w:rsidRDefault="006C6836" w:rsidP="003F3125">
            <w:pPr>
              <w:pStyle w:val="Tabletext"/>
              <w:keepNext/>
              <w:jc w:val="center"/>
              <w:rPr>
                <w:b/>
                <w:bCs/>
              </w:rPr>
            </w:pPr>
            <w:r w:rsidRPr="002C62BF">
              <w:rPr>
                <w:b/>
              </w:rPr>
              <w:t>Proprietary name and manufacturer</w:t>
            </w:r>
          </w:p>
        </w:tc>
      </w:tr>
      <w:tr w:rsidR="006C6836" w:rsidRPr="002C62BF" w:rsidTr="00986389">
        <w:tc>
          <w:tcPr>
            <w:tcW w:w="2552" w:type="dxa"/>
            <w:vAlign w:val="center"/>
          </w:tcPr>
          <w:p w:rsidR="006C6836" w:rsidRPr="002C62BF" w:rsidRDefault="006C6836" w:rsidP="003F3125">
            <w:pPr>
              <w:pStyle w:val="Tabletext"/>
              <w:keepNext/>
            </w:pPr>
            <w:r w:rsidRPr="002C62BF">
              <w:t>Ocrelizumab</w:t>
            </w:r>
          </w:p>
          <w:p w:rsidR="006C6836" w:rsidRPr="002C62BF" w:rsidRDefault="006C6836" w:rsidP="003F3125">
            <w:pPr>
              <w:pStyle w:val="Tabletext"/>
              <w:keepNext/>
            </w:pPr>
            <w:r w:rsidRPr="002C62BF">
              <w:t>Concentrate solution for infusion, 300 mg in 10mL, 1 vial (public)</w:t>
            </w:r>
          </w:p>
          <w:p w:rsidR="006C6836" w:rsidRPr="002C62BF" w:rsidRDefault="006C6836" w:rsidP="003F3125">
            <w:pPr>
              <w:pStyle w:val="Tabletext"/>
              <w:keepNext/>
            </w:pPr>
            <w:r w:rsidRPr="002C62BF">
              <w:t>Concentrate solution for infusion, 300 mg in 10mL, 1 vial (private)</w:t>
            </w:r>
          </w:p>
        </w:tc>
        <w:tc>
          <w:tcPr>
            <w:tcW w:w="1843" w:type="dxa"/>
          </w:tcPr>
          <w:p w:rsidR="006C6836" w:rsidRPr="002C62BF" w:rsidRDefault="006C6836" w:rsidP="003F3125">
            <w:pPr>
              <w:pStyle w:val="Tabletext"/>
              <w:keepNext/>
              <w:jc w:val="center"/>
              <w:rPr>
                <w:rFonts w:cs="Arial"/>
              </w:rPr>
            </w:pPr>
          </w:p>
          <w:p w:rsidR="006C6836" w:rsidRPr="002C62BF" w:rsidRDefault="006C6836" w:rsidP="003F3125">
            <w:pPr>
              <w:pStyle w:val="Tabletext"/>
              <w:keepNext/>
              <w:jc w:val="center"/>
              <w:rPr>
                <w:rFonts w:cs="Arial"/>
              </w:rPr>
            </w:pPr>
            <w:r w:rsidRPr="002C62BF">
              <w:rPr>
                <w:rFonts w:cs="Arial"/>
              </w:rPr>
              <w:t>2</w:t>
            </w:r>
          </w:p>
          <w:p w:rsidR="006C6836" w:rsidRPr="002C62BF" w:rsidRDefault="006C6836" w:rsidP="003F3125">
            <w:pPr>
              <w:pStyle w:val="Tabletext"/>
              <w:keepNext/>
              <w:jc w:val="center"/>
              <w:rPr>
                <w:rFonts w:cs="Arial"/>
              </w:rPr>
            </w:pPr>
          </w:p>
          <w:p w:rsidR="006C6836" w:rsidRPr="002C62BF" w:rsidRDefault="006C6836" w:rsidP="003F3125">
            <w:pPr>
              <w:pStyle w:val="Tabletext"/>
              <w:keepNext/>
              <w:jc w:val="center"/>
              <w:rPr>
                <w:rFonts w:cs="Arial"/>
              </w:rPr>
            </w:pPr>
            <w:r w:rsidRPr="002C62BF">
              <w:rPr>
                <w:rFonts w:cs="Arial"/>
              </w:rPr>
              <w:t>2</w:t>
            </w:r>
          </w:p>
        </w:tc>
        <w:tc>
          <w:tcPr>
            <w:tcW w:w="1134" w:type="dxa"/>
          </w:tcPr>
          <w:p w:rsidR="006C6836" w:rsidRPr="002C62BF" w:rsidRDefault="006C6836" w:rsidP="003F3125">
            <w:pPr>
              <w:pStyle w:val="Tabletext"/>
              <w:keepNext/>
              <w:jc w:val="center"/>
            </w:pPr>
          </w:p>
          <w:p w:rsidR="006C6836" w:rsidRPr="002C62BF" w:rsidRDefault="006C6836" w:rsidP="003F3125">
            <w:pPr>
              <w:pStyle w:val="Tabletext"/>
              <w:keepNext/>
              <w:jc w:val="center"/>
            </w:pPr>
            <w:r w:rsidRPr="002C62BF">
              <w:t>0</w:t>
            </w:r>
          </w:p>
          <w:p w:rsidR="006C6836" w:rsidRPr="002C62BF" w:rsidRDefault="006C6836" w:rsidP="003F3125">
            <w:pPr>
              <w:pStyle w:val="Tabletext"/>
              <w:keepNext/>
              <w:jc w:val="center"/>
            </w:pPr>
          </w:p>
          <w:p w:rsidR="006C6836" w:rsidRPr="002C62BF" w:rsidRDefault="006C6836" w:rsidP="003F3125">
            <w:pPr>
              <w:pStyle w:val="Tabletext"/>
              <w:keepNext/>
              <w:jc w:val="center"/>
            </w:pPr>
            <w:r w:rsidRPr="002C62BF">
              <w:t>0</w:t>
            </w:r>
          </w:p>
        </w:tc>
        <w:tc>
          <w:tcPr>
            <w:tcW w:w="2126" w:type="dxa"/>
          </w:tcPr>
          <w:p w:rsidR="006C6836" w:rsidRPr="002C62BF" w:rsidRDefault="006C6836" w:rsidP="003F3125">
            <w:pPr>
              <w:pStyle w:val="Tabletext"/>
              <w:keepNext/>
              <w:jc w:val="center"/>
            </w:pPr>
          </w:p>
          <w:p w:rsidR="006C6836" w:rsidRPr="002C62BF" w:rsidRDefault="006C6836" w:rsidP="003F3125">
            <w:pPr>
              <w:pStyle w:val="Tabletext"/>
              <w:keepNext/>
              <w:jc w:val="center"/>
            </w:pPr>
            <w:r w:rsidRPr="002C62BF">
              <w:t>$</w:t>
            </w:r>
            <w:r w:rsidRPr="008F426E">
              <w:t>17,533.00</w:t>
            </w:r>
            <w:r w:rsidRPr="002C62BF">
              <w:t xml:space="preserve"> published </w:t>
            </w:r>
          </w:p>
          <w:p w:rsidR="006C6836" w:rsidRPr="002C62BF" w:rsidRDefault="006C6836" w:rsidP="003F3125">
            <w:pPr>
              <w:pStyle w:val="Tabletext"/>
              <w:keepNext/>
              <w:jc w:val="center"/>
            </w:pPr>
            <w:r w:rsidRPr="002C62BF">
              <w:t>$</w:t>
            </w:r>
            <w:r w:rsidR="00177267">
              <w:rPr>
                <w:noProof/>
                <w:color w:val="000000"/>
                <w:highlight w:val="black"/>
              </w:rPr>
              <w:t>'''''''''''''''''''''''</w:t>
            </w:r>
            <w:r w:rsidRPr="002C62BF">
              <w:t xml:space="preserve"> effective </w:t>
            </w:r>
          </w:p>
          <w:p w:rsidR="006C6836" w:rsidRPr="002C62BF" w:rsidRDefault="006C6836" w:rsidP="003F3125">
            <w:pPr>
              <w:pStyle w:val="Tabletext"/>
              <w:keepNext/>
              <w:jc w:val="center"/>
            </w:pPr>
            <w:r w:rsidRPr="002C62BF">
              <w:t>$</w:t>
            </w:r>
            <w:r w:rsidRPr="008F426E">
              <w:t>17,580.39</w:t>
            </w:r>
            <w:r w:rsidRPr="002C62BF">
              <w:t xml:space="preserve"> published </w:t>
            </w:r>
          </w:p>
          <w:p w:rsidR="006C6836" w:rsidRPr="002C62BF" w:rsidRDefault="006C6836" w:rsidP="003F3125">
            <w:pPr>
              <w:pStyle w:val="Tabletext"/>
              <w:keepNext/>
              <w:jc w:val="center"/>
              <w:rPr>
                <w:rFonts w:ascii="Times" w:hAnsi="Times"/>
              </w:rPr>
            </w:pPr>
            <w:r w:rsidRPr="002C62BF">
              <w:t>$</w:t>
            </w:r>
            <w:r w:rsidR="00177267">
              <w:rPr>
                <w:noProof/>
                <w:color w:val="000000"/>
                <w:highlight w:val="black"/>
              </w:rPr>
              <w:t>'''''''''''''''''''''</w:t>
            </w:r>
            <w:r w:rsidRPr="002C62BF">
              <w:t xml:space="preserve"> effective </w:t>
            </w:r>
          </w:p>
        </w:tc>
        <w:tc>
          <w:tcPr>
            <w:tcW w:w="1795" w:type="dxa"/>
            <w:vAlign w:val="center"/>
          </w:tcPr>
          <w:p w:rsidR="006C6836" w:rsidRPr="002C62BF" w:rsidRDefault="006C6836" w:rsidP="003F3125">
            <w:pPr>
              <w:pStyle w:val="Tabletext"/>
              <w:keepNext/>
              <w:jc w:val="center"/>
              <w:rPr>
                <w:rFonts w:ascii="Times" w:hAnsi="Times"/>
              </w:rPr>
            </w:pPr>
            <w:r w:rsidRPr="002C62BF">
              <w:t>Ocrevus</w:t>
            </w:r>
            <w:r w:rsidR="0012684A" w:rsidRPr="002C62BF">
              <w:t>®</w:t>
            </w:r>
            <w:r w:rsidRPr="002C62BF">
              <w:t>, Roche</w:t>
            </w:r>
            <w:r w:rsidR="0012684A" w:rsidRPr="002C62BF">
              <w:t xml:space="preserve"> Products Pty Ltd</w:t>
            </w:r>
          </w:p>
        </w:tc>
      </w:tr>
      <w:tr w:rsidR="006C6836" w:rsidRPr="002C62BF" w:rsidTr="00986389">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Category / Program:</w:t>
            </w:r>
          </w:p>
        </w:tc>
        <w:tc>
          <w:tcPr>
            <w:tcW w:w="6898" w:type="dxa"/>
            <w:gridSpan w:val="4"/>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 xml:space="preserve">Section 100 – Highly Specialised Drugs Program </w:t>
            </w:r>
          </w:p>
        </w:tc>
      </w:tr>
      <w:tr w:rsidR="006C6836" w:rsidRPr="002C62BF" w:rsidTr="00986389">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Condition:</w:t>
            </w:r>
          </w:p>
        </w:tc>
        <w:tc>
          <w:tcPr>
            <w:tcW w:w="6898" w:type="dxa"/>
            <w:gridSpan w:val="4"/>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u w:val="single"/>
              </w:rPr>
            </w:pPr>
            <w:r w:rsidRPr="002C62BF">
              <w:rPr>
                <w:u w:val="single"/>
              </w:rPr>
              <w:t>Primary Progressive Multiple Sclerosis</w:t>
            </w:r>
          </w:p>
        </w:tc>
      </w:tr>
      <w:tr w:rsidR="006C6836" w:rsidRPr="002C62BF" w:rsidTr="00986389">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Treatment phase:</w:t>
            </w:r>
          </w:p>
        </w:tc>
        <w:tc>
          <w:tcPr>
            <w:tcW w:w="6898" w:type="dxa"/>
            <w:gridSpan w:val="4"/>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Initial</w:t>
            </w:r>
          </w:p>
        </w:tc>
      </w:tr>
      <w:tr w:rsidR="006C6836" w:rsidRPr="002C62BF" w:rsidTr="00986389">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i/>
              </w:rPr>
            </w:pPr>
            <w:r w:rsidRPr="002C62BF">
              <w:rPr>
                <w:b/>
              </w:rPr>
              <w:t>Restriction:</w:t>
            </w:r>
          </w:p>
        </w:tc>
        <w:tc>
          <w:tcPr>
            <w:tcW w:w="6898" w:type="dxa"/>
            <w:gridSpan w:val="4"/>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fldChar w:fldCharType="begin">
                <w:ffData>
                  <w:name w:val="Check1"/>
                  <w:enabled/>
                  <w:calcOnExit w:val="0"/>
                  <w:checkBox>
                    <w:sizeAuto/>
                    <w:default w:val="0"/>
                  </w:checkBox>
                </w:ffData>
              </w:fldChar>
            </w:r>
            <w:r w:rsidRPr="002C62BF">
              <w:instrText xml:space="preserve"> FORMCHECKBOX </w:instrText>
            </w:r>
            <w:r w:rsidR="00544BA3">
              <w:fldChar w:fldCharType="separate"/>
            </w:r>
            <w:r w:rsidRPr="002C62BF">
              <w:fldChar w:fldCharType="end"/>
            </w:r>
            <w:r w:rsidRPr="002C62BF">
              <w:t>Restricted benefit</w:t>
            </w:r>
          </w:p>
          <w:p w:rsidR="006C6836" w:rsidRPr="002C62BF" w:rsidRDefault="006C6836" w:rsidP="003F3125">
            <w:pPr>
              <w:pStyle w:val="TableText0"/>
            </w:pPr>
            <w:r w:rsidRPr="002C62BF">
              <w:fldChar w:fldCharType="begin">
                <w:ffData>
                  <w:name w:val=""/>
                  <w:enabled/>
                  <w:calcOnExit w:val="0"/>
                  <w:checkBox>
                    <w:sizeAuto/>
                    <w:default w:val="1"/>
                  </w:checkBox>
                </w:ffData>
              </w:fldChar>
            </w:r>
            <w:r w:rsidRPr="002C62BF">
              <w:instrText xml:space="preserve"> FORMCHECKBOX </w:instrText>
            </w:r>
            <w:r w:rsidR="00544BA3">
              <w:fldChar w:fldCharType="separate"/>
            </w:r>
            <w:r w:rsidRPr="002C62BF">
              <w:fldChar w:fldCharType="end"/>
            </w:r>
            <w:r w:rsidRPr="002C62BF">
              <w:t>Authority Required - In Writing</w:t>
            </w:r>
          </w:p>
          <w:p w:rsidR="006C6836" w:rsidRPr="002C62BF" w:rsidRDefault="006C6836" w:rsidP="003F3125">
            <w:pPr>
              <w:pStyle w:val="TableText0"/>
            </w:pPr>
            <w:r w:rsidRPr="002C62BF">
              <w:fldChar w:fldCharType="begin">
                <w:ffData>
                  <w:name w:val="Check3"/>
                  <w:enabled/>
                  <w:calcOnExit w:val="0"/>
                  <w:checkBox>
                    <w:sizeAuto/>
                    <w:default w:val="0"/>
                  </w:checkBox>
                </w:ffData>
              </w:fldChar>
            </w:r>
            <w:r w:rsidRPr="002C62BF">
              <w:instrText xml:space="preserve"> FORMCHECKBOX </w:instrText>
            </w:r>
            <w:r w:rsidR="00544BA3">
              <w:fldChar w:fldCharType="separate"/>
            </w:r>
            <w:r w:rsidRPr="002C62BF">
              <w:fldChar w:fldCharType="end"/>
            </w:r>
            <w:r w:rsidRPr="002C62BF">
              <w:t>Authority Required – Telephone, Electronic</w:t>
            </w:r>
          </w:p>
          <w:p w:rsidR="006C6836" w:rsidRPr="002C62BF" w:rsidRDefault="006C6836" w:rsidP="003F3125">
            <w:pPr>
              <w:pStyle w:val="TableText0"/>
            </w:pPr>
            <w:r w:rsidRPr="002C62BF">
              <w:fldChar w:fldCharType="begin">
                <w:ffData>
                  <w:name w:val="Check5"/>
                  <w:enabled/>
                  <w:calcOnExit w:val="0"/>
                  <w:checkBox>
                    <w:sizeAuto/>
                    <w:default w:val="0"/>
                  </w:checkBox>
                </w:ffData>
              </w:fldChar>
            </w:r>
            <w:r w:rsidRPr="002C62BF">
              <w:instrText xml:space="preserve"> FORMCHECKBOX </w:instrText>
            </w:r>
            <w:r w:rsidR="00544BA3">
              <w:fldChar w:fldCharType="separate"/>
            </w:r>
            <w:r w:rsidRPr="002C62BF">
              <w:fldChar w:fldCharType="end"/>
            </w:r>
            <w:r w:rsidRPr="002C62BF">
              <w:t>Streamlined</w:t>
            </w:r>
          </w:p>
        </w:tc>
      </w:tr>
      <w:tr w:rsidR="006C6836" w:rsidRPr="002C62BF" w:rsidTr="00986389">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Treatment criteria:</w:t>
            </w:r>
          </w:p>
        </w:tc>
        <w:tc>
          <w:tcPr>
            <w:tcW w:w="6898" w:type="dxa"/>
            <w:gridSpan w:val="4"/>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szCs w:val="20"/>
              </w:rPr>
            </w:pPr>
            <w:r w:rsidRPr="002C62BF">
              <w:rPr>
                <w:rFonts w:cstheme="minorHAnsi"/>
                <w:szCs w:val="20"/>
              </w:rPr>
              <w:t>Must be treated by a neurologist</w:t>
            </w:r>
          </w:p>
        </w:tc>
      </w:tr>
      <w:tr w:rsidR="006C6836" w:rsidRPr="002C62BF" w:rsidTr="00986389">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Clinical criteria:</w:t>
            </w:r>
          </w:p>
          <w:p w:rsidR="006C6836" w:rsidRPr="002C62BF" w:rsidRDefault="006C6836" w:rsidP="003F3125">
            <w:pPr>
              <w:pStyle w:val="TableText0"/>
              <w:rPr>
                <w:i/>
              </w:rPr>
            </w:pPr>
          </w:p>
        </w:tc>
        <w:tc>
          <w:tcPr>
            <w:tcW w:w="6898" w:type="dxa"/>
            <w:gridSpan w:val="4"/>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 xml:space="preserve">The condition must be diagnosed as clinically definite primary progressive multiple sclerosis, defined as having one year of disability progression (retrospective or prospectively determined) </w:t>
            </w:r>
            <w:r w:rsidRPr="002C62BF">
              <w:rPr>
                <w:u w:val="single"/>
              </w:rPr>
              <w:t>independent of clinical relapse</w:t>
            </w:r>
            <w:r w:rsidRPr="002C62BF">
              <w:t>;</w:t>
            </w:r>
          </w:p>
          <w:p w:rsidR="006C6836" w:rsidRPr="002C62BF" w:rsidRDefault="006C6836" w:rsidP="003F3125">
            <w:pPr>
              <w:pStyle w:val="TableText0"/>
              <w:rPr>
                <w:szCs w:val="20"/>
              </w:rPr>
            </w:pPr>
            <w:r w:rsidRPr="002C62BF">
              <w:rPr>
                <w:szCs w:val="20"/>
              </w:rPr>
              <w:t>AND</w:t>
            </w:r>
          </w:p>
          <w:p w:rsidR="006C6836" w:rsidRPr="002C62BF" w:rsidRDefault="006C6836" w:rsidP="003F3125">
            <w:pPr>
              <w:pStyle w:val="TableText0"/>
              <w:rPr>
                <w:szCs w:val="20"/>
              </w:rPr>
            </w:pPr>
            <w:r w:rsidRPr="002C62BF">
              <w:rPr>
                <w:szCs w:val="20"/>
              </w:rPr>
              <w:t>2 of the following 3 criteria:</w:t>
            </w:r>
          </w:p>
          <w:p w:rsidR="006C6836" w:rsidRPr="002C62BF" w:rsidRDefault="006C6836" w:rsidP="003F3125">
            <w:pPr>
              <w:pStyle w:val="TableText0"/>
            </w:pPr>
            <w:r w:rsidRPr="002C62BF">
              <w:t>≥1 T2-hyperintense lesion</w:t>
            </w:r>
            <w:r w:rsidR="00233577" w:rsidRPr="002C62BF">
              <w:t>(</w:t>
            </w:r>
            <w:r w:rsidRPr="002C62BF">
              <w:t>s</w:t>
            </w:r>
            <w:r w:rsidR="00233577" w:rsidRPr="002C62BF">
              <w:t>)</w:t>
            </w:r>
            <w:r w:rsidRPr="002C62BF">
              <w:t xml:space="preserve"> characteristic of MS in one or more of the following brain regions: periventricular, </w:t>
            </w:r>
            <w:r w:rsidRPr="002C62BF">
              <w:rPr>
                <w:u w:val="single"/>
              </w:rPr>
              <w:t>cortical</w:t>
            </w:r>
            <w:r w:rsidRPr="002C62BF">
              <w:t xml:space="preserve"> or juxtacortical, or infratentorial; </w:t>
            </w:r>
          </w:p>
          <w:p w:rsidR="006C6836" w:rsidRPr="002C62BF" w:rsidRDefault="006C6836" w:rsidP="003F3125">
            <w:pPr>
              <w:pStyle w:val="TableText0"/>
            </w:pPr>
            <w:r w:rsidRPr="002C62BF">
              <w:t>OR</w:t>
            </w:r>
          </w:p>
          <w:p w:rsidR="006C6836" w:rsidRPr="002C62BF" w:rsidRDefault="006C6836" w:rsidP="003F3125">
            <w:pPr>
              <w:pStyle w:val="TableText0"/>
            </w:pPr>
            <w:r w:rsidRPr="002C62BF">
              <w:t xml:space="preserve">≥2 T2-hyperintense lesions in the spinal cord; </w:t>
            </w:r>
          </w:p>
          <w:p w:rsidR="006C6836" w:rsidRPr="002C62BF" w:rsidRDefault="006C6836" w:rsidP="003F3125">
            <w:pPr>
              <w:pStyle w:val="TableText0"/>
            </w:pPr>
            <w:r w:rsidRPr="002C62BF">
              <w:t>OR</w:t>
            </w:r>
          </w:p>
          <w:p w:rsidR="006C6836" w:rsidRPr="002C62BF" w:rsidRDefault="006C6836" w:rsidP="003F3125">
            <w:pPr>
              <w:pStyle w:val="TableText0"/>
            </w:pPr>
            <w:r w:rsidRPr="002C62BF">
              <w:t xml:space="preserve">Presence of CSF-specific oligoclonal bands </w:t>
            </w:r>
          </w:p>
          <w:p w:rsidR="006C6836" w:rsidRPr="002C62BF" w:rsidRDefault="006C6836" w:rsidP="003F3125">
            <w:pPr>
              <w:pStyle w:val="TableText0"/>
              <w:rPr>
                <w:szCs w:val="20"/>
              </w:rPr>
            </w:pPr>
            <w:r w:rsidRPr="002C62BF">
              <w:rPr>
                <w:szCs w:val="20"/>
              </w:rPr>
              <w:t>AND</w:t>
            </w:r>
          </w:p>
          <w:p w:rsidR="006C6836" w:rsidRPr="002C62BF" w:rsidRDefault="006C6836" w:rsidP="003F3125">
            <w:pPr>
              <w:pStyle w:val="TableText0"/>
              <w:rPr>
                <w:szCs w:val="20"/>
              </w:rPr>
            </w:pPr>
            <w:r w:rsidRPr="002C62BF">
              <w:rPr>
                <w:szCs w:val="20"/>
              </w:rPr>
              <w:t>Patient must have been diagnosed with the condition within the previous 5 years;</w:t>
            </w:r>
          </w:p>
          <w:p w:rsidR="006C6836" w:rsidRPr="002C62BF" w:rsidRDefault="006C6836" w:rsidP="003F3125">
            <w:pPr>
              <w:pStyle w:val="TableText0"/>
              <w:rPr>
                <w:szCs w:val="20"/>
              </w:rPr>
            </w:pPr>
            <w:r w:rsidRPr="002C62BF">
              <w:rPr>
                <w:szCs w:val="20"/>
              </w:rPr>
              <w:t>AND</w:t>
            </w:r>
          </w:p>
          <w:p w:rsidR="006C6836" w:rsidRPr="002C62BF" w:rsidRDefault="006C6836" w:rsidP="003F3125">
            <w:pPr>
              <w:pStyle w:val="TableText0"/>
              <w:rPr>
                <w:szCs w:val="20"/>
                <w:u w:val="single"/>
              </w:rPr>
            </w:pPr>
            <w:r w:rsidRPr="002C62BF">
              <w:rPr>
                <w:szCs w:val="20"/>
                <w:u w:val="single"/>
              </w:rPr>
              <w:t>Patient must have evidence of active disease within the previous 12 months defined by the presence of:</w:t>
            </w:r>
          </w:p>
          <w:p w:rsidR="006C6836" w:rsidRPr="002C62BF" w:rsidRDefault="006C6836" w:rsidP="003F3125">
            <w:pPr>
              <w:pStyle w:val="TableText0"/>
              <w:rPr>
                <w:szCs w:val="20"/>
                <w:u w:val="single"/>
              </w:rPr>
            </w:pPr>
            <w:r w:rsidRPr="002C62BF">
              <w:rPr>
                <w:szCs w:val="20"/>
                <w:u w:val="single"/>
              </w:rPr>
              <w:t>≥1 Gd-enhancing T1</w:t>
            </w:r>
            <w:r w:rsidRPr="002C62BF">
              <w:rPr>
                <w:szCs w:val="20"/>
                <w:u w:val="single"/>
                <w:vertAlign w:val="superscript"/>
              </w:rPr>
              <w:t xml:space="preserve"> </w:t>
            </w:r>
            <w:r w:rsidRPr="002C62BF">
              <w:rPr>
                <w:szCs w:val="20"/>
                <w:u w:val="single"/>
              </w:rPr>
              <w:t xml:space="preserve"> lesions;</w:t>
            </w:r>
          </w:p>
          <w:p w:rsidR="006C6836" w:rsidRPr="002C62BF" w:rsidRDefault="006C6836" w:rsidP="003F3125">
            <w:pPr>
              <w:pStyle w:val="TableText0"/>
              <w:rPr>
                <w:szCs w:val="20"/>
                <w:u w:val="single"/>
              </w:rPr>
            </w:pPr>
            <w:r w:rsidRPr="002C62BF">
              <w:rPr>
                <w:szCs w:val="20"/>
                <w:u w:val="single"/>
              </w:rPr>
              <w:t>OR</w:t>
            </w:r>
          </w:p>
          <w:p w:rsidR="006C6836" w:rsidRPr="002C62BF" w:rsidRDefault="006C6836" w:rsidP="003F3125">
            <w:pPr>
              <w:pStyle w:val="TableText0"/>
              <w:rPr>
                <w:szCs w:val="20"/>
                <w:u w:val="single"/>
              </w:rPr>
            </w:pPr>
            <w:r w:rsidRPr="002C62BF">
              <w:rPr>
                <w:szCs w:val="20"/>
                <w:u w:val="single"/>
              </w:rPr>
              <w:t>Evidence for DIS based on ≥1 new or enlarging T2 lesions relative to the previous scan,</w:t>
            </w:r>
          </w:p>
          <w:p w:rsidR="006C6836" w:rsidRPr="002C62BF" w:rsidRDefault="006C6836" w:rsidP="003F3125">
            <w:pPr>
              <w:pStyle w:val="TableText0"/>
              <w:rPr>
                <w:szCs w:val="20"/>
                <w:u w:val="single"/>
              </w:rPr>
            </w:pPr>
            <w:r w:rsidRPr="002C62BF">
              <w:rPr>
                <w:szCs w:val="20"/>
                <w:u w:val="single"/>
              </w:rPr>
              <w:t>AND</w:t>
            </w:r>
          </w:p>
          <w:p w:rsidR="006C6836" w:rsidRPr="002C62BF" w:rsidRDefault="006C6836" w:rsidP="003F3125">
            <w:pPr>
              <w:pStyle w:val="TableText0"/>
              <w:rPr>
                <w:rFonts w:cs="Arial"/>
              </w:rPr>
            </w:pPr>
            <w:r w:rsidRPr="002C62BF">
              <w:rPr>
                <w:szCs w:val="20"/>
                <w:u w:val="single"/>
              </w:rPr>
              <w:t>Patient must be ambulatory (without assistance or support).</w:t>
            </w:r>
          </w:p>
        </w:tc>
      </w:tr>
      <w:tr w:rsidR="0012684A" w:rsidRPr="002C62BF" w:rsidTr="00986389">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52" w:type="dxa"/>
            <w:tcBorders>
              <w:top w:val="single" w:sz="4" w:space="0" w:color="auto"/>
              <w:left w:val="single" w:sz="4" w:space="0" w:color="auto"/>
              <w:bottom w:val="single" w:sz="4" w:space="0" w:color="auto"/>
              <w:right w:val="single" w:sz="4" w:space="0" w:color="auto"/>
            </w:tcBorders>
          </w:tcPr>
          <w:p w:rsidR="0012684A" w:rsidRPr="002C62BF" w:rsidRDefault="0012684A" w:rsidP="003F3125">
            <w:pPr>
              <w:pStyle w:val="TableText0"/>
              <w:rPr>
                <w:b/>
              </w:rPr>
            </w:pPr>
            <w:r w:rsidRPr="002C62BF">
              <w:rPr>
                <w:b/>
              </w:rPr>
              <w:t>Definitions</w:t>
            </w:r>
          </w:p>
        </w:tc>
        <w:tc>
          <w:tcPr>
            <w:tcW w:w="6898" w:type="dxa"/>
            <w:gridSpan w:val="4"/>
            <w:tcBorders>
              <w:top w:val="single" w:sz="4" w:space="0" w:color="auto"/>
              <w:left w:val="single" w:sz="4" w:space="0" w:color="auto"/>
              <w:bottom w:val="single" w:sz="4" w:space="0" w:color="auto"/>
              <w:right w:val="single" w:sz="4" w:space="0" w:color="auto"/>
            </w:tcBorders>
          </w:tcPr>
          <w:p w:rsidR="0012684A" w:rsidRPr="002C62BF" w:rsidRDefault="0012684A" w:rsidP="003F3125">
            <w:pPr>
              <w:pStyle w:val="TableText0"/>
            </w:pPr>
            <w:r w:rsidRPr="002C62BF">
              <w:rPr>
                <w:szCs w:val="20"/>
              </w:rPr>
              <w:t>MS, multiple sclerosis; CSF, cerebrospinal fluid</w:t>
            </w:r>
          </w:p>
        </w:tc>
      </w:tr>
      <w:tr w:rsidR="006C6836" w:rsidRPr="002C62BF" w:rsidTr="00986389">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Prescriber Instructions:</w:t>
            </w:r>
          </w:p>
        </w:tc>
        <w:tc>
          <w:tcPr>
            <w:tcW w:w="6898" w:type="dxa"/>
            <w:gridSpan w:val="4"/>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Where applicable, the date of the diagnosis, magnetic resonance imaging scans and treatment initiation date must be recorded in the patient’s medical records.</w:t>
            </w:r>
          </w:p>
        </w:tc>
      </w:tr>
      <w:tr w:rsidR="006C6836" w:rsidRPr="002C62BF" w:rsidTr="00986389">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Administrative Advice:</w:t>
            </w:r>
          </w:p>
        </w:tc>
        <w:tc>
          <w:tcPr>
            <w:tcW w:w="6898" w:type="dxa"/>
            <w:gridSpan w:val="4"/>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No increase in the maximum quantity or number of units may be authorised.</w:t>
            </w:r>
          </w:p>
          <w:p w:rsidR="006C6836" w:rsidRPr="002C62BF" w:rsidRDefault="006C6836" w:rsidP="003F3125">
            <w:pPr>
              <w:pStyle w:val="TableText0"/>
            </w:pPr>
            <w:r w:rsidRPr="002C62BF">
              <w:t>No increase in the maximum number of repeats may be authorised.</w:t>
            </w:r>
          </w:p>
        </w:tc>
      </w:tr>
    </w:tbl>
    <w:p w:rsidR="0012684A" w:rsidRPr="002C62BF" w:rsidRDefault="0012684A"/>
    <w:tbl>
      <w:tblPr>
        <w:tblW w:w="9450" w:type="dxa"/>
        <w:tblInd w:w="-5" w:type="dxa"/>
        <w:tblCellMar>
          <w:left w:w="28" w:type="dxa"/>
          <w:right w:w="28" w:type="dxa"/>
        </w:tblCellMar>
        <w:tblLook w:val="0000" w:firstRow="0" w:lastRow="0" w:firstColumn="0" w:lastColumn="0" w:noHBand="0" w:noVBand="0"/>
      </w:tblPr>
      <w:tblGrid>
        <w:gridCol w:w="2552"/>
        <w:gridCol w:w="6898"/>
      </w:tblGrid>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lastRenderedPageBreak/>
              <w:t>Category / Program:</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 xml:space="preserve">Section 100 – Highly Specialised Drugs Program </w:t>
            </w:r>
          </w:p>
        </w:tc>
      </w:tr>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Condition:</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u w:val="single"/>
              </w:rPr>
            </w:pPr>
            <w:r w:rsidRPr="002C62BF">
              <w:rPr>
                <w:u w:val="single"/>
              </w:rPr>
              <w:t>Primary Progressive Multiple Sclerosis</w:t>
            </w:r>
          </w:p>
        </w:tc>
      </w:tr>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Treatment phase:</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Continuing</w:t>
            </w:r>
          </w:p>
        </w:tc>
      </w:tr>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Restriction:</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fldChar w:fldCharType="begin">
                <w:ffData>
                  <w:name w:val="Check1"/>
                  <w:enabled/>
                  <w:calcOnExit w:val="0"/>
                  <w:checkBox>
                    <w:sizeAuto/>
                    <w:default w:val="0"/>
                  </w:checkBox>
                </w:ffData>
              </w:fldChar>
            </w:r>
            <w:r w:rsidRPr="002C62BF">
              <w:instrText xml:space="preserve"> FORMCHECKBOX </w:instrText>
            </w:r>
            <w:r w:rsidR="00544BA3">
              <w:fldChar w:fldCharType="separate"/>
            </w:r>
            <w:r w:rsidRPr="002C62BF">
              <w:fldChar w:fldCharType="end"/>
            </w:r>
            <w:r w:rsidRPr="002C62BF">
              <w:t>Restricted benefit</w:t>
            </w:r>
          </w:p>
          <w:p w:rsidR="006C6836" w:rsidRPr="002C62BF" w:rsidRDefault="006C6836" w:rsidP="003F3125">
            <w:pPr>
              <w:pStyle w:val="TableText0"/>
            </w:pPr>
            <w:r w:rsidRPr="002C62BF">
              <w:fldChar w:fldCharType="begin">
                <w:ffData>
                  <w:name w:val=""/>
                  <w:enabled/>
                  <w:calcOnExit w:val="0"/>
                  <w:checkBox>
                    <w:sizeAuto/>
                    <w:default w:val="1"/>
                  </w:checkBox>
                </w:ffData>
              </w:fldChar>
            </w:r>
            <w:r w:rsidRPr="002C62BF">
              <w:instrText xml:space="preserve"> FORMCHECKBOX </w:instrText>
            </w:r>
            <w:r w:rsidR="00544BA3">
              <w:fldChar w:fldCharType="separate"/>
            </w:r>
            <w:r w:rsidRPr="002C62BF">
              <w:fldChar w:fldCharType="end"/>
            </w:r>
            <w:r w:rsidRPr="002C62BF">
              <w:t>Authority Required - In Writing</w:t>
            </w:r>
          </w:p>
          <w:p w:rsidR="006C6836" w:rsidRPr="002C62BF" w:rsidRDefault="006C6836" w:rsidP="003F3125">
            <w:pPr>
              <w:pStyle w:val="TableText0"/>
            </w:pPr>
            <w:r w:rsidRPr="002C62BF">
              <w:fldChar w:fldCharType="begin">
                <w:ffData>
                  <w:name w:val="Check3"/>
                  <w:enabled/>
                  <w:calcOnExit w:val="0"/>
                  <w:checkBox>
                    <w:sizeAuto/>
                    <w:default w:val="0"/>
                  </w:checkBox>
                </w:ffData>
              </w:fldChar>
            </w:r>
            <w:r w:rsidRPr="002C62BF">
              <w:instrText xml:space="preserve"> FORMCHECKBOX </w:instrText>
            </w:r>
            <w:r w:rsidR="00544BA3">
              <w:fldChar w:fldCharType="separate"/>
            </w:r>
            <w:r w:rsidRPr="002C62BF">
              <w:fldChar w:fldCharType="end"/>
            </w:r>
            <w:r w:rsidRPr="002C62BF">
              <w:t>Authority Required – Telephone, Electronic</w:t>
            </w:r>
          </w:p>
          <w:p w:rsidR="006C6836" w:rsidRPr="002C62BF" w:rsidRDefault="006C6836" w:rsidP="003F3125">
            <w:pPr>
              <w:pStyle w:val="TableText0"/>
            </w:pPr>
            <w:r w:rsidRPr="002C62BF">
              <w:fldChar w:fldCharType="begin">
                <w:ffData>
                  <w:name w:val="Check5"/>
                  <w:enabled/>
                  <w:calcOnExit w:val="0"/>
                  <w:checkBox>
                    <w:sizeAuto/>
                    <w:default w:val="0"/>
                  </w:checkBox>
                </w:ffData>
              </w:fldChar>
            </w:r>
            <w:r w:rsidRPr="002C62BF">
              <w:instrText xml:space="preserve"> FORMCHECKBOX </w:instrText>
            </w:r>
            <w:r w:rsidR="00544BA3">
              <w:fldChar w:fldCharType="separate"/>
            </w:r>
            <w:r w:rsidRPr="002C62BF">
              <w:fldChar w:fldCharType="end"/>
            </w:r>
            <w:r w:rsidRPr="002C62BF">
              <w:t>Streamlined</w:t>
            </w:r>
          </w:p>
        </w:tc>
      </w:tr>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Treatment criteria:</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Must be treated by a neurologist</w:t>
            </w:r>
          </w:p>
        </w:tc>
      </w:tr>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Clinical criteria:</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Patient must have previously received treatment with this drug for primary progressive multiple sclerosis</w:t>
            </w:r>
          </w:p>
          <w:p w:rsidR="006C6836" w:rsidRPr="002C62BF" w:rsidRDefault="006C6836" w:rsidP="003F3125">
            <w:pPr>
              <w:pStyle w:val="TableText0"/>
            </w:pPr>
            <w:r w:rsidRPr="002C62BF">
              <w:t>AND</w:t>
            </w:r>
          </w:p>
          <w:p w:rsidR="006C6836" w:rsidRPr="002C62BF" w:rsidRDefault="006C6836" w:rsidP="003F3125">
            <w:pPr>
              <w:pStyle w:val="TableText0"/>
            </w:pPr>
            <w:r w:rsidRPr="002C62BF">
              <w:t>Patient must have demonstrated compliance with, and an ability to tolerate this therapy.</w:t>
            </w:r>
          </w:p>
        </w:tc>
      </w:tr>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Administrative Advice:</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No increase in the maximum quantity or number of units may be authorised.</w:t>
            </w:r>
          </w:p>
          <w:p w:rsidR="006C6836" w:rsidRPr="002C62BF" w:rsidRDefault="006C6836" w:rsidP="003F3125">
            <w:pPr>
              <w:pStyle w:val="TableText0"/>
            </w:pPr>
            <w:r w:rsidRPr="002C62BF">
              <w:t>No increase in the maximum number of repeats may be authorised.</w:t>
            </w:r>
          </w:p>
        </w:tc>
      </w:tr>
    </w:tbl>
    <w:p w:rsidR="0012684A" w:rsidRPr="002C62BF" w:rsidRDefault="0012684A"/>
    <w:tbl>
      <w:tblPr>
        <w:tblW w:w="9450" w:type="dxa"/>
        <w:tblInd w:w="-5" w:type="dxa"/>
        <w:tblCellMar>
          <w:left w:w="28" w:type="dxa"/>
          <w:right w:w="28" w:type="dxa"/>
        </w:tblCellMar>
        <w:tblLook w:val="0000" w:firstRow="0" w:lastRow="0" w:firstColumn="0" w:lastColumn="0" w:noHBand="0" w:noVBand="0"/>
      </w:tblPr>
      <w:tblGrid>
        <w:gridCol w:w="2552"/>
        <w:gridCol w:w="6898"/>
      </w:tblGrid>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Category / Program:</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 xml:space="preserve">Section 100 – Highly Specialised Drugs Program </w:t>
            </w:r>
          </w:p>
        </w:tc>
      </w:tr>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Condition:</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u w:val="single"/>
              </w:rPr>
            </w:pPr>
            <w:r w:rsidRPr="002C62BF">
              <w:rPr>
                <w:u w:val="single"/>
              </w:rPr>
              <w:t>Primary Progressive Multiple Sclerosis</w:t>
            </w:r>
          </w:p>
        </w:tc>
      </w:tr>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Treatment phase:</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u w:val="single"/>
              </w:rPr>
            </w:pPr>
            <w:r w:rsidRPr="002C62BF">
              <w:rPr>
                <w:u w:val="single"/>
              </w:rPr>
              <w:t>Grandfathering</w:t>
            </w:r>
          </w:p>
        </w:tc>
      </w:tr>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Restriction:</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fldChar w:fldCharType="begin">
                <w:ffData>
                  <w:name w:val="Check1"/>
                  <w:enabled/>
                  <w:calcOnExit w:val="0"/>
                  <w:checkBox>
                    <w:sizeAuto/>
                    <w:default w:val="0"/>
                  </w:checkBox>
                </w:ffData>
              </w:fldChar>
            </w:r>
            <w:r w:rsidRPr="002C62BF">
              <w:instrText xml:space="preserve"> FORMCHECKBOX </w:instrText>
            </w:r>
            <w:r w:rsidR="00544BA3">
              <w:fldChar w:fldCharType="separate"/>
            </w:r>
            <w:r w:rsidRPr="002C62BF">
              <w:fldChar w:fldCharType="end"/>
            </w:r>
            <w:r w:rsidRPr="002C62BF">
              <w:t>Restricted benefit</w:t>
            </w:r>
          </w:p>
          <w:p w:rsidR="006C6836" w:rsidRPr="002C62BF" w:rsidRDefault="006C6836" w:rsidP="003F3125">
            <w:pPr>
              <w:pStyle w:val="TableText0"/>
            </w:pPr>
            <w:r w:rsidRPr="002C62BF">
              <w:fldChar w:fldCharType="begin">
                <w:ffData>
                  <w:name w:val=""/>
                  <w:enabled/>
                  <w:calcOnExit w:val="0"/>
                  <w:checkBox>
                    <w:sizeAuto/>
                    <w:default w:val="1"/>
                  </w:checkBox>
                </w:ffData>
              </w:fldChar>
            </w:r>
            <w:r w:rsidRPr="002C62BF">
              <w:instrText xml:space="preserve"> FORMCHECKBOX </w:instrText>
            </w:r>
            <w:r w:rsidR="00544BA3">
              <w:fldChar w:fldCharType="separate"/>
            </w:r>
            <w:r w:rsidRPr="002C62BF">
              <w:fldChar w:fldCharType="end"/>
            </w:r>
            <w:r w:rsidRPr="002C62BF">
              <w:t>Authority Required - In Writing</w:t>
            </w:r>
          </w:p>
          <w:p w:rsidR="006C6836" w:rsidRPr="002C62BF" w:rsidRDefault="006C6836" w:rsidP="003F3125">
            <w:pPr>
              <w:pStyle w:val="TableText0"/>
            </w:pPr>
            <w:r w:rsidRPr="002C62BF">
              <w:fldChar w:fldCharType="begin">
                <w:ffData>
                  <w:name w:val="Check3"/>
                  <w:enabled/>
                  <w:calcOnExit w:val="0"/>
                  <w:checkBox>
                    <w:sizeAuto/>
                    <w:default w:val="0"/>
                  </w:checkBox>
                </w:ffData>
              </w:fldChar>
            </w:r>
            <w:r w:rsidRPr="002C62BF">
              <w:instrText xml:space="preserve"> FORMCHECKBOX </w:instrText>
            </w:r>
            <w:r w:rsidR="00544BA3">
              <w:fldChar w:fldCharType="separate"/>
            </w:r>
            <w:r w:rsidRPr="002C62BF">
              <w:fldChar w:fldCharType="end"/>
            </w:r>
            <w:r w:rsidRPr="002C62BF">
              <w:t>Authority Required – Telephone, Electronic</w:t>
            </w:r>
          </w:p>
          <w:p w:rsidR="006C6836" w:rsidRPr="002C62BF" w:rsidRDefault="006C6836" w:rsidP="003F3125">
            <w:pPr>
              <w:pStyle w:val="TableText0"/>
            </w:pPr>
            <w:r w:rsidRPr="002C62BF">
              <w:fldChar w:fldCharType="begin">
                <w:ffData>
                  <w:name w:val="Check5"/>
                  <w:enabled/>
                  <w:calcOnExit w:val="0"/>
                  <w:checkBox>
                    <w:sizeAuto/>
                    <w:default w:val="0"/>
                  </w:checkBox>
                </w:ffData>
              </w:fldChar>
            </w:r>
            <w:r w:rsidRPr="002C62BF">
              <w:instrText xml:space="preserve"> FORMCHECKBOX </w:instrText>
            </w:r>
            <w:r w:rsidR="00544BA3">
              <w:fldChar w:fldCharType="separate"/>
            </w:r>
            <w:r w:rsidRPr="002C62BF">
              <w:fldChar w:fldCharType="end"/>
            </w:r>
            <w:r w:rsidRPr="002C62BF">
              <w:t>Streamlined</w:t>
            </w:r>
          </w:p>
        </w:tc>
      </w:tr>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Treatment criteria:</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Must be treated by a neurologist</w:t>
            </w:r>
          </w:p>
        </w:tc>
      </w:tr>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Clinical criteria:</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Patient must have received treatment with this drug for this condition prior to the [PBS listing date];</w:t>
            </w:r>
          </w:p>
          <w:p w:rsidR="006C6836" w:rsidRPr="002C62BF" w:rsidRDefault="006C6836" w:rsidP="003F3125">
            <w:pPr>
              <w:pStyle w:val="TableText0"/>
            </w:pPr>
            <w:r w:rsidRPr="002C62BF">
              <w:t>AND</w:t>
            </w:r>
          </w:p>
          <w:p w:rsidR="006C6836" w:rsidRPr="002C62BF" w:rsidRDefault="006C6836" w:rsidP="003F3125">
            <w:pPr>
              <w:pStyle w:val="TableText0"/>
            </w:pPr>
            <w:r w:rsidRPr="002C62BF">
              <w:t>Patient must have demonstrated compliance with, and an ability to tolerate this therapy.</w:t>
            </w:r>
          </w:p>
        </w:tc>
      </w:tr>
      <w:tr w:rsidR="006C6836" w:rsidRPr="002C62BF" w:rsidTr="0012684A">
        <w:trPr>
          <w:cantSplit/>
        </w:trPr>
        <w:tc>
          <w:tcPr>
            <w:tcW w:w="2552"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rPr>
                <w:b/>
              </w:rPr>
            </w:pPr>
            <w:r w:rsidRPr="002C62BF">
              <w:rPr>
                <w:b/>
              </w:rPr>
              <w:t>Administrative Advice:</w:t>
            </w:r>
          </w:p>
        </w:tc>
        <w:tc>
          <w:tcPr>
            <w:tcW w:w="6898" w:type="dxa"/>
            <w:tcBorders>
              <w:top w:val="single" w:sz="4" w:space="0" w:color="auto"/>
              <w:left w:val="single" w:sz="4" w:space="0" w:color="auto"/>
              <w:bottom w:val="single" w:sz="4" w:space="0" w:color="auto"/>
              <w:right w:val="single" w:sz="4" w:space="0" w:color="auto"/>
            </w:tcBorders>
          </w:tcPr>
          <w:p w:rsidR="006C6836" w:rsidRPr="002C62BF" w:rsidRDefault="006C6836" w:rsidP="003F3125">
            <w:pPr>
              <w:pStyle w:val="TableText0"/>
            </w:pPr>
            <w:r w:rsidRPr="002C62BF">
              <w:t>No increase in the maximum quantity or number of units may be authorised.</w:t>
            </w:r>
          </w:p>
          <w:p w:rsidR="006C6836" w:rsidRPr="002C62BF" w:rsidRDefault="006C6836" w:rsidP="003F3125">
            <w:pPr>
              <w:pStyle w:val="TableText0"/>
            </w:pPr>
            <w:r w:rsidRPr="002C62BF">
              <w:t>No increase in the maximum number of repeats may be authorised.</w:t>
            </w:r>
          </w:p>
        </w:tc>
      </w:tr>
    </w:tbl>
    <w:p w:rsidR="006C6836" w:rsidRPr="002C62BF" w:rsidRDefault="006C6836" w:rsidP="005701E4">
      <w:pPr>
        <w:pStyle w:val="TableFooter"/>
        <w:spacing w:after="120"/>
      </w:pPr>
      <w:r w:rsidRPr="002C62BF">
        <w:t>Source: Tables 1.9 and 1.10, p16 of the resubmission.</w:t>
      </w:r>
    </w:p>
    <w:p w:rsidR="00AC6A34" w:rsidRPr="002C62BF" w:rsidRDefault="00AC6A34" w:rsidP="00B002B9">
      <w:pPr>
        <w:pStyle w:val="3-BodyText"/>
      </w:pPr>
      <w:r w:rsidRPr="002C62BF">
        <w:t xml:space="preserve">The requested effective </w:t>
      </w:r>
      <w:r w:rsidR="00BD03B3" w:rsidRPr="002C62BF">
        <w:t>ex-manufacturer price</w:t>
      </w:r>
      <w:r w:rsidR="00355173" w:rsidRPr="002C62BF">
        <w:t xml:space="preserve"> (AEMP)</w:t>
      </w:r>
      <w:r w:rsidRPr="002C62BF">
        <w:t xml:space="preserve"> decreased from $</w:t>
      </w:r>
      <w:r w:rsidR="00177267">
        <w:rPr>
          <w:noProof/>
          <w:color w:val="000000"/>
          <w:highlight w:val="black"/>
        </w:rPr>
        <w:t>'''''''''''''''''</w:t>
      </w:r>
      <w:r w:rsidR="00FA3F52" w:rsidRPr="002C62BF">
        <w:t xml:space="preserve"> </w:t>
      </w:r>
      <w:r w:rsidRPr="002C62BF">
        <w:t>in the November 2017 submission to $</w:t>
      </w:r>
      <w:r w:rsidR="00177267">
        <w:rPr>
          <w:noProof/>
          <w:color w:val="000000"/>
          <w:highlight w:val="black"/>
        </w:rPr>
        <w:t>'''''''''''''''''</w:t>
      </w:r>
      <w:r w:rsidR="00FA3F52" w:rsidRPr="002C62BF">
        <w:t xml:space="preserve"> </w:t>
      </w:r>
      <w:r w:rsidRPr="002C62BF">
        <w:t xml:space="preserve">in the resubmission. </w:t>
      </w:r>
      <w:r w:rsidR="00D95A5D" w:rsidRPr="002C62BF">
        <w:t>The requested effective price</w:t>
      </w:r>
      <w:r w:rsidR="00492C9C" w:rsidRPr="002C62BF">
        <w:t xml:space="preserve"> for PPMS</w:t>
      </w:r>
      <w:r w:rsidR="00D95A5D" w:rsidRPr="002C62BF">
        <w:t xml:space="preserve"> is equal to that of </w:t>
      </w:r>
      <w:r w:rsidR="00492C9C" w:rsidRPr="002C62BF">
        <w:t xml:space="preserve">the current effective price for </w:t>
      </w:r>
      <w:r w:rsidR="00D95A5D" w:rsidRPr="002C62BF">
        <w:t xml:space="preserve">ocrelizumab in </w:t>
      </w:r>
      <w:r w:rsidR="00BD03B3" w:rsidRPr="002C62BF">
        <w:t xml:space="preserve">the </w:t>
      </w:r>
      <w:r w:rsidR="00D95A5D" w:rsidRPr="002C62BF">
        <w:t>relapsing</w:t>
      </w:r>
      <w:r w:rsidR="00BD03B3" w:rsidRPr="002C62BF">
        <w:t>-</w:t>
      </w:r>
      <w:r w:rsidR="00D95A5D" w:rsidRPr="002C62BF">
        <w:t xml:space="preserve">remitting setting. </w:t>
      </w:r>
    </w:p>
    <w:p w:rsidR="008B2BBE" w:rsidRPr="002C62BF" w:rsidRDefault="008B2BBE" w:rsidP="00F80B9C">
      <w:pPr>
        <w:pStyle w:val="3-BodyText"/>
      </w:pPr>
      <w:r w:rsidRPr="002C62BF">
        <w:t xml:space="preserve">The PBAC </w:t>
      </w:r>
      <w:r w:rsidR="00112E95" w:rsidRPr="002C62BF">
        <w:t xml:space="preserve">previously </w:t>
      </w:r>
      <w:r w:rsidRPr="002C62BF">
        <w:t xml:space="preserve">noted </w:t>
      </w:r>
      <w:r w:rsidR="00112E95" w:rsidRPr="002C62BF">
        <w:t xml:space="preserve">that ocrelizumab was associated with </w:t>
      </w:r>
      <w:r w:rsidRPr="002C62BF">
        <w:t xml:space="preserve">a modest treatment effect in the broader ORATORIO trial population and </w:t>
      </w:r>
      <w:r w:rsidR="00112E95" w:rsidRPr="002C62BF">
        <w:t xml:space="preserve">considered </w:t>
      </w:r>
      <w:r w:rsidRPr="002C62BF">
        <w:t>that ‘ocrelizumab should be used in the population of PPMS patients for which there is evidence of clinical benefit’ (November 2017 PSD, paragraph 7.3). Th</w:t>
      </w:r>
      <w:r w:rsidR="00112E95" w:rsidRPr="002C62BF">
        <w:t>us, th</w:t>
      </w:r>
      <w:r w:rsidRPr="002C62BF">
        <w:t xml:space="preserve">e resubmission presented results from a </w:t>
      </w:r>
      <w:r w:rsidR="00EF2F28" w:rsidRPr="002C62BF">
        <w:t>post-</w:t>
      </w:r>
      <w:r w:rsidRPr="002C62BF">
        <w:t xml:space="preserve">hoc analysis of the pivotal ORATORIO trial to support a claim of superior efficacy in the patient subgroup most likely to benefit from treatment: patients </w:t>
      </w:r>
      <w:r w:rsidR="000738DD" w:rsidRPr="002C62BF">
        <w:t xml:space="preserve">aged </w:t>
      </w:r>
      <w:r w:rsidRPr="002C62BF">
        <w:t xml:space="preserve">50 years or </w:t>
      </w:r>
      <w:r w:rsidR="00112E95" w:rsidRPr="002C62BF">
        <w:t>less</w:t>
      </w:r>
      <w:r w:rsidRPr="002C62BF">
        <w:t xml:space="preserve"> with active inflammatory disease. </w:t>
      </w:r>
    </w:p>
    <w:p w:rsidR="008B2BBE" w:rsidRPr="002C62BF" w:rsidRDefault="008B2BBE" w:rsidP="007F5D4D">
      <w:pPr>
        <w:pStyle w:val="3-BodyText"/>
      </w:pPr>
      <w:r w:rsidRPr="002C62BF">
        <w:t xml:space="preserve">The resubmission </w:t>
      </w:r>
      <w:r w:rsidR="00112E95" w:rsidRPr="002C62BF">
        <w:t>considered</w:t>
      </w:r>
      <w:r w:rsidRPr="002C62BF">
        <w:t xml:space="preserve"> that the age cut-off </w:t>
      </w:r>
      <w:r w:rsidR="00047407" w:rsidRPr="002C62BF">
        <w:t xml:space="preserve">defined </w:t>
      </w:r>
      <w:r w:rsidRPr="002C62BF">
        <w:t xml:space="preserve">the patient population </w:t>
      </w:r>
      <w:r w:rsidR="00112E95" w:rsidRPr="002C62BF">
        <w:t>who</w:t>
      </w:r>
      <w:r w:rsidRPr="002C62BF">
        <w:t xml:space="preserve"> would derive the most benefit, but that it may </w:t>
      </w:r>
      <w:r w:rsidR="0050234C" w:rsidRPr="002C62BF">
        <w:t xml:space="preserve">unfairly exclude some older patients from access </w:t>
      </w:r>
      <w:r w:rsidRPr="002C62BF">
        <w:t>given PPMS may still present in patients</w:t>
      </w:r>
      <w:r w:rsidR="0050234C" w:rsidRPr="002C62BF">
        <w:t xml:space="preserve"> above 50 years of age</w:t>
      </w:r>
      <w:r w:rsidRPr="002C62BF">
        <w:t xml:space="preserve">. </w:t>
      </w:r>
      <w:r w:rsidR="0050234C" w:rsidRPr="002C62BF">
        <w:t>Consequently, in place of specific age eligibility criterion, t</w:t>
      </w:r>
      <w:r w:rsidRPr="002C62BF">
        <w:t xml:space="preserve">he resubmission </w:t>
      </w:r>
      <w:r w:rsidR="0050234C" w:rsidRPr="002C62BF">
        <w:t xml:space="preserve">suggested </w:t>
      </w:r>
      <w:r w:rsidRPr="002C62BF">
        <w:t xml:space="preserve">a diagnosis of PPMS within 5 years was </w:t>
      </w:r>
      <w:r w:rsidR="0050234C" w:rsidRPr="002C62BF">
        <w:t xml:space="preserve">a </w:t>
      </w:r>
      <w:r w:rsidRPr="002C62BF">
        <w:t>suitable proxy for patients 50 years or younger</w:t>
      </w:r>
      <w:r w:rsidR="0050234C" w:rsidRPr="002C62BF">
        <w:t>.</w:t>
      </w:r>
      <w:r w:rsidRPr="002C62BF">
        <w:t xml:space="preserve"> </w:t>
      </w:r>
    </w:p>
    <w:p w:rsidR="008B2BBE" w:rsidRPr="002C62BF" w:rsidRDefault="008B2BBE" w:rsidP="007F5D4D">
      <w:pPr>
        <w:pStyle w:val="3-BodyText"/>
      </w:pPr>
      <w:r w:rsidRPr="002C62BF">
        <w:lastRenderedPageBreak/>
        <w:t xml:space="preserve">Evidence for the suitability of time since diagnosis as a proxy for age </w:t>
      </w:r>
      <w:r w:rsidR="00EF2F28" w:rsidRPr="002C62BF">
        <w:t>was</w:t>
      </w:r>
      <w:r w:rsidRPr="002C62BF">
        <w:t xml:space="preserve"> not presented. </w:t>
      </w:r>
      <w:r w:rsidR="00112E95" w:rsidRPr="002C62BF">
        <w:t>The</w:t>
      </w:r>
      <w:r w:rsidRPr="002C62BF">
        <w:t xml:space="preserve"> </w:t>
      </w:r>
      <w:r w:rsidR="00112E95" w:rsidRPr="002C62BF">
        <w:t xml:space="preserve">commentary noted that there was a mismatch between the ORATORIO subgroup and the requested listing, with </w:t>
      </w:r>
      <w:r w:rsidRPr="002C62BF">
        <w:t>baseline characteristics of the ORATORIO trial indicat</w:t>
      </w:r>
      <w:r w:rsidR="00112E95" w:rsidRPr="002C62BF">
        <w:t>ing</w:t>
      </w:r>
      <w:r w:rsidRPr="002C62BF">
        <w:t xml:space="preserve"> that some patients in the ORATORIO subgroup would </w:t>
      </w:r>
      <w:r w:rsidR="00112E95" w:rsidRPr="002C62BF">
        <w:t>be</w:t>
      </w:r>
      <w:r w:rsidRPr="002C62BF">
        <w:t xml:space="preserve"> excluded with the </w:t>
      </w:r>
      <w:r w:rsidR="00112E95" w:rsidRPr="002C62BF">
        <w:t xml:space="preserve">requested </w:t>
      </w:r>
      <w:r w:rsidRPr="002C62BF">
        <w:t xml:space="preserve">restriction. </w:t>
      </w:r>
      <w:r w:rsidR="00431E48" w:rsidRPr="002C62BF">
        <w:t>The ESC</w:t>
      </w:r>
      <w:r w:rsidR="007A2365" w:rsidRPr="002C62BF">
        <w:t xml:space="preserve"> and PBAC</w:t>
      </w:r>
      <w:r w:rsidR="00431E48" w:rsidRPr="002C62BF">
        <w:t xml:space="preserve"> considered the rationale for using diagnosis within the last five years as a proxy for patient age of 50 years or less was not adequately justified</w:t>
      </w:r>
      <w:r w:rsidR="002C62BF">
        <w:t xml:space="preserve">. </w:t>
      </w:r>
    </w:p>
    <w:p w:rsidR="008B2BBE" w:rsidRPr="002C62BF" w:rsidRDefault="008B2BBE" w:rsidP="007F5D4D">
      <w:pPr>
        <w:pStyle w:val="3-BodyText"/>
      </w:pPr>
      <w:r w:rsidRPr="002C62BF">
        <w:t xml:space="preserve">The resubmission included </w:t>
      </w:r>
      <w:r w:rsidR="00112E95" w:rsidRPr="002C62BF">
        <w:t>an</w:t>
      </w:r>
      <w:r w:rsidRPr="002C62BF">
        <w:t xml:space="preserve"> initiation criteri</w:t>
      </w:r>
      <w:r w:rsidR="00112E95" w:rsidRPr="002C62BF">
        <w:t>on</w:t>
      </w:r>
      <w:r w:rsidRPr="002C62BF">
        <w:t xml:space="preserve"> that patients must be ambulatory with</w:t>
      </w:r>
      <w:r w:rsidR="00047407" w:rsidRPr="002C62BF">
        <w:t>out</w:t>
      </w:r>
      <w:r w:rsidRPr="002C62BF">
        <w:t xml:space="preserve"> support, but this was not included in the continuation criteria. The ORATORIO trial ex</w:t>
      </w:r>
      <w:r w:rsidR="00EF2F28" w:rsidRPr="002C62BF">
        <w:t xml:space="preserve">cluded patients </w:t>
      </w:r>
      <w:r w:rsidRPr="002C62BF">
        <w:t xml:space="preserve">who were not ambulatory at baseline, and there </w:t>
      </w:r>
      <w:r w:rsidR="00E70ACB" w:rsidRPr="002C62BF">
        <w:t>wa</w:t>
      </w:r>
      <w:r w:rsidRPr="002C62BF">
        <w:t xml:space="preserve">s no evidence </w:t>
      </w:r>
      <w:r w:rsidR="00E70ACB" w:rsidRPr="002C62BF">
        <w:t xml:space="preserve">presented </w:t>
      </w:r>
      <w:r w:rsidR="0047655C" w:rsidRPr="002C62BF">
        <w:t xml:space="preserve">specifically </w:t>
      </w:r>
      <w:r w:rsidR="00E70ACB" w:rsidRPr="002C62BF">
        <w:t>demonstrating the</w:t>
      </w:r>
      <w:r w:rsidRPr="002C62BF">
        <w:t xml:space="preserve"> effect </w:t>
      </w:r>
      <w:r w:rsidR="00E70ACB" w:rsidRPr="002C62BF">
        <w:t xml:space="preserve">of ocrelizumab </w:t>
      </w:r>
      <w:r w:rsidRPr="002C62BF">
        <w:t xml:space="preserve">in non-ambulatory patients. Though the ORATORIO trial did not suspend or discontinue ocrelizumab treatment due </w:t>
      </w:r>
      <w:r w:rsidR="00EF2F28" w:rsidRPr="002C62BF">
        <w:t>to progression, because no non-</w:t>
      </w:r>
      <w:r w:rsidRPr="002C62BF">
        <w:t>ambulatory patients were included at baseline, and becaus</w:t>
      </w:r>
      <w:r w:rsidR="00EF2F28" w:rsidRPr="002C62BF">
        <w:t>e the main outcome was time to c</w:t>
      </w:r>
      <w:r w:rsidRPr="002C62BF">
        <w:t xml:space="preserve">onfirmed disability progression, there was </w:t>
      </w:r>
      <w:r w:rsidR="00AE7FEB" w:rsidRPr="002C62BF">
        <w:t>only a limited</w:t>
      </w:r>
      <w:r w:rsidRPr="002C62BF">
        <w:t xml:space="preserve"> evidence base for patients who have progressed to non-ambulatory disability. </w:t>
      </w:r>
      <w:r w:rsidR="00D95A5D" w:rsidRPr="002C62BF">
        <w:t xml:space="preserve">Ambulatory patients </w:t>
      </w:r>
      <w:r w:rsidR="0050234C" w:rsidRPr="002C62BF">
        <w:t xml:space="preserve">reliant on </w:t>
      </w:r>
      <w:r w:rsidR="00D95A5D" w:rsidRPr="002C62BF">
        <w:t xml:space="preserve">support </w:t>
      </w:r>
      <w:r w:rsidR="006C4BDC" w:rsidRPr="002C62BF">
        <w:t xml:space="preserve">(EDSS 6.0 and 6.5) </w:t>
      </w:r>
      <w:r w:rsidR="00D95A5D" w:rsidRPr="002C62BF">
        <w:t>were included in the ORATORIO trial</w:t>
      </w:r>
      <w:r w:rsidR="006C4BDC" w:rsidRPr="002C62BF">
        <w:t>. However</w:t>
      </w:r>
      <w:r w:rsidR="0047655C" w:rsidRPr="002C62BF">
        <w:t>,</w:t>
      </w:r>
      <w:r w:rsidR="006C4BDC" w:rsidRPr="002C62BF">
        <w:t xml:space="preserve"> it would be expected that this portion </w:t>
      </w:r>
      <w:r w:rsidR="005701E4" w:rsidRPr="002C62BF">
        <w:t>of</w:t>
      </w:r>
      <w:r w:rsidR="006C4BDC" w:rsidRPr="002C62BF">
        <w:t xml:space="preserve"> the trial population would be less likely to achieve clinical benefit from treatment, and thus the resubmission’s addition of this criterion</w:t>
      </w:r>
      <w:r w:rsidR="0050234C" w:rsidRPr="002C62BF">
        <w:t xml:space="preserve"> (ambulation status)</w:t>
      </w:r>
      <w:r w:rsidR="006C4BDC" w:rsidRPr="002C62BF">
        <w:t xml:space="preserve"> may be reasonable. </w:t>
      </w:r>
    </w:p>
    <w:p w:rsidR="007839E3" w:rsidRPr="002C62BF" w:rsidRDefault="006F57E7" w:rsidP="007839E3">
      <w:pPr>
        <w:pStyle w:val="3-BodyText"/>
      </w:pPr>
      <w:r w:rsidRPr="002C62BF">
        <w:t>The Pre-Sub-Committee Response (PSCR</w:t>
      </w:r>
      <w:r w:rsidR="00191AC0" w:rsidRPr="002C62BF">
        <w:t>) argued that PPMS patients who progress to a non-ambulant state may still be benefiting from treatment, such as through preserved upper limb function and therefore it was not reasonable to exclude non-ambulatory patients from continuing treatment.</w:t>
      </w:r>
      <w:r w:rsidR="003E1D6C" w:rsidRPr="002C62BF">
        <w:t xml:space="preserve"> The ESC noted no evidence was presented to support this claim.</w:t>
      </w:r>
      <w:r w:rsidR="00AE7FEB" w:rsidRPr="002C62BF">
        <w:t xml:space="preserve"> The ESC considered that as ocrelizumab has been considered to be of inferior safety to best supportive care (Paragraph 7.7, November 2017 Ocr</w:t>
      </w:r>
      <w:r w:rsidR="0001190D">
        <w:t>elizumab PSD</w:t>
      </w:r>
      <w:r w:rsidR="00AE7FEB" w:rsidRPr="002C62BF">
        <w:t>), it would be appropriate to include clinical criteria for continuation</w:t>
      </w:r>
      <w:r w:rsidR="00633200" w:rsidRPr="002C62BF">
        <w:t>/discontinuation</w:t>
      </w:r>
      <w:r w:rsidR="00AE7FEB" w:rsidRPr="002C62BF">
        <w:t xml:space="preserve"> </w:t>
      </w:r>
      <w:r w:rsidR="00633200" w:rsidRPr="002C62BF">
        <w:t xml:space="preserve">(‘stopping rule’) </w:t>
      </w:r>
      <w:r w:rsidR="00AE7FEB" w:rsidRPr="002C62BF">
        <w:t>as otherwise ocrelizumab could be used indefinitely in patients with little or no clinical benefit who may also suffer from adverse events</w:t>
      </w:r>
      <w:r w:rsidR="002C62BF">
        <w:t xml:space="preserve">. </w:t>
      </w:r>
    </w:p>
    <w:p w:rsidR="007A2365" w:rsidRPr="002C62BF" w:rsidRDefault="00E70ACB" w:rsidP="008C5AF2">
      <w:pPr>
        <w:pStyle w:val="3-BodyText"/>
      </w:pPr>
      <w:r w:rsidRPr="002C62BF">
        <w:t>The pre-PBAC response</w:t>
      </w:r>
      <w:r w:rsidR="00C77721">
        <w:t xml:space="preserve"> re</w:t>
      </w:r>
      <w:r w:rsidR="0084207B" w:rsidRPr="002C62BF">
        <w:t>iterated</w:t>
      </w:r>
      <w:r w:rsidR="00BE678E" w:rsidRPr="002C62BF">
        <w:t xml:space="preserve"> that patients who are non-ambulatory may still be </w:t>
      </w:r>
      <w:r w:rsidR="00221E6B" w:rsidRPr="002C62BF">
        <w:t>experiencing</w:t>
      </w:r>
      <w:r w:rsidR="00BE678E" w:rsidRPr="002C62BF">
        <w:t xml:space="preserve"> benefit, such as through prolonged or improved upper limb function as observed in the 9-hole peg test outcomes in the ORATORIO trial. </w:t>
      </w:r>
      <w:r w:rsidR="008C5AF2" w:rsidRPr="002C62BF">
        <w:t xml:space="preserve">The pre-PBAC response stated that, based on advice from neurologists, a </w:t>
      </w:r>
      <w:r w:rsidR="00633200" w:rsidRPr="002C62BF">
        <w:t xml:space="preserve">stopping </w:t>
      </w:r>
      <w:r w:rsidR="008C5AF2" w:rsidRPr="002C62BF">
        <w:t>rule could be based on sustained loss of upper limb function.</w:t>
      </w:r>
      <w:r w:rsidR="004653F9" w:rsidRPr="002C62BF">
        <w:t xml:space="preserve"> T</w:t>
      </w:r>
      <w:r w:rsidR="008C5AF2" w:rsidRPr="002C62BF">
        <w:t xml:space="preserve">he 9-hole peg test outcomes from the ORATORIO trial that were presented in the resubmission were </w:t>
      </w:r>
      <w:r w:rsidR="0084207B" w:rsidRPr="002C62BF">
        <w:t>for</w:t>
      </w:r>
      <w:r w:rsidR="008C5AF2" w:rsidRPr="002C62BF">
        <w:t xml:space="preserve"> the outcome of a 20% increase in the 9-hole peg test sustained for 12 weeks, and thus </w:t>
      </w:r>
      <w:r w:rsidR="004653F9" w:rsidRPr="002C62BF">
        <w:t xml:space="preserve">the PBAC considered these results </w:t>
      </w:r>
      <w:r w:rsidR="008C5AF2" w:rsidRPr="002C62BF">
        <w:t xml:space="preserve">may not </w:t>
      </w:r>
      <w:r w:rsidR="005900B6" w:rsidRPr="002C62BF">
        <w:t xml:space="preserve">adequately indicate </w:t>
      </w:r>
      <w:r w:rsidR="008C5AF2" w:rsidRPr="002C62BF">
        <w:t>the long-term e</w:t>
      </w:r>
      <w:r w:rsidR="005900B6" w:rsidRPr="002C62BF">
        <w:t>ffect</w:t>
      </w:r>
      <w:r w:rsidR="008C5AF2" w:rsidRPr="002C62BF">
        <w:t xml:space="preserve"> of ocrelizumab at preserving limb function in non-ambulatory patients. </w:t>
      </w:r>
      <w:r w:rsidR="004653F9" w:rsidRPr="002C62BF">
        <w:rPr>
          <w:bCs/>
        </w:rPr>
        <w:t xml:space="preserve">The PBAC considered that the pre-PBAC response’s proposed </w:t>
      </w:r>
      <w:r w:rsidR="00633200" w:rsidRPr="002C62BF">
        <w:rPr>
          <w:bCs/>
        </w:rPr>
        <w:t xml:space="preserve">stopping rule </w:t>
      </w:r>
      <w:r w:rsidR="004653F9" w:rsidRPr="002C62BF">
        <w:rPr>
          <w:bCs/>
        </w:rPr>
        <w:t xml:space="preserve">could potentially allow use in patients with EDSS up to 8.5, while evidence had not been presented that clearly demonstrated the efficacy of ocrelizumab in patients with EDSS above 6.5 </w:t>
      </w:r>
      <w:r w:rsidR="004653F9" w:rsidRPr="002C62BF">
        <w:rPr>
          <w:bCs/>
        </w:rPr>
        <w:lastRenderedPageBreak/>
        <w:t>(patients with EDSS of up to 8.5 may experience sustained upper limb function</w:t>
      </w:r>
      <w:r w:rsidR="004653F9" w:rsidRPr="002C62BF" w:rsidDel="00685C52">
        <w:rPr>
          <w:bCs/>
        </w:rPr>
        <w:t xml:space="preserve"> </w:t>
      </w:r>
      <w:r w:rsidR="004653F9" w:rsidRPr="002C62BF">
        <w:rPr>
          <w:bCs/>
        </w:rPr>
        <w:t>noting that the EDSS scale, with which clinical evidence aligns,</w:t>
      </w:r>
      <w:r w:rsidR="004653F9" w:rsidRPr="002C62BF">
        <w:t xml:space="preserve"> </w:t>
      </w:r>
      <w:r w:rsidR="004653F9" w:rsidRPr="002C62BF">
        <w:rPr>
          <w:bCs/>
        </w:rPr>
        <w:t xml:space="preserve">does not adequately capture upper limb function). </w:t>
      </w:r>
      <w:r w:rsidR="006622AD" w:rsidRPr="002C62BF">
        <w:rPr>
          <w:bCs/>
        </w:rPr>
        <w:t>Overall, the PBAC considered that the magnitude of the clinical benefit with ocrelizumab was unclear once a patient’s disease progresses above EDSS 6.5.</w:t>
      </w:r>
    </w:p>
    <w:p w:rsidR="00C854A5" w:rsidRPr="002C62BF" w:rsidRDefault="00C854A5" w:rsidP="007839E3">
      <w:pPr>
        <w:pStyle w:val="3-BodyText"/>
      </w:pPr>
      <w:r w:rsidRPr="002C62BF">
        <w:t>The ESC considered it may be appropriate for the initiation criteria to specify no prior use of PBS-reimbursed DMT for RRMS. The pre-PBAC response agreed with this</w:t>
      </w:r>
      <w:r w:rsidR="00CD49CB" w:rsidRPr="002C62BF">
        <w:t xml:space="preserve"> </w:t>
      </w:r>
      <w:r w:rsidR="00633200" w:rsidRPr="002C62BF">
        <w:t>suggestion</w:t>
      </w:r>
      <w:r w:rsidRPr="002C62BF">
        <w:t>.</w:t>
      </w:r>
    </w:p>
    <w:p w:rsidR="00B7393E" w:rsidRPr="002C62BF" w:rsidRDefault="00B7393E" w:rsidP="00B7393E">
      <w:pPr>
        <w:pStyle w:val="ListParagraph"/>
        <w:ind w:left="709"/>
        <w:rPr>
          <w:i/>
        </w:rPr>
      </w:pPr>
      <w:r w:rsidRPr="002C62BF">
        <w:rPr>
          <w:i/>
        </w:rPr>
        <w:t>For more detail on PBAC’s view, see section 7 PBAC outcome.</w:t>
      </w:r>
    </w:p>
    <w:p w:rsidR="00B50DB8" w:rsidRPr="002C62BF" w:rsidRDefault="00203181" w:rsidP="004E18E9">
      <w:pPr>
        <w:pStyle w:val="2-SectionHeading"/>
      </w:pPr>
      <w:bookmarkStart w:id="11" w:name="_Toc40873643"/>
      <w:r w:rsidRPr="002C62BF">
        <w:t xml:space="preserve">Population and </w:t>
      </w:r>
      <w:r w:rsidR="008E0D3C" w:rsidRPr="002C62BF">
        <w:t>d</w:t>
      </w:r>
      <w:r w:rsidRPr="002C62BF">
        <w:t>isease</w:t>
      </w:r>
      <w:bookmarkEnd w:id="11"/>
    </w:p>
    <w:p w:rsidR="00894489" w:rsidRPr="002C62BF" w:rsidRDefault="00974554" w:rsidP="004E18E9">
      <w:pPr>
        <w:pStyle w:val="3-BodyText"/>
        <w:rPr>
          <w:color w:val="000000" w:themeColor="text1"/>
        </w:rPr>
      </w:pPr>
      <w:r w:rsidRPr="002C62BF">
        <w:rPr>
          <w:color w:val="000000" w:themeColor="text1"/>
        </w:rPr>
        <w:t xml:space="preserve">Multiple sclerosis (MS) is a progressive, chronic, autoimmune disease of the central nervous system in which the myelin sheath protecting axons is damaged, resulting in distorted nerve signals and pathways. Multiple sclerosis is associated with a complex range of symptoms including visual disturbance, fatigue, pain, reduced mobility and coordination, cognitive impairment and mood changes. Most patients are initially diagnosed with relapsing-remitting multiple sclerosis (RRMS), characterised by acute clinical attacks (relapses) followed by partial/full recovery and periods of clinical stability (remissions). Approximately 10% of MS patients are diagnosed with primary progressing MS (PPMS). PPMS is characterised by a more rapid course of progression than RRMS and an accumulation of disability from the onset of symptoms </w:t>
      </w:r>
      <w:r w:rsidR="006F65F8" w:rsidRPr="002C62BF">
        <w:rPr>
          <w:color w:val="000000" w:themeColor="text1"/>
        </w:rPr>
        <w:t xml:space="preserve">independent of </w:t>
      </w:r>
      <w:r w:rsidRPr="002C62BF">
        <w:rPr>
          <w:color w:val="000000" w:themeColor="text1"/>
        </w:rPr>
        <w:t>relapses or remissions.</w:t>
      </w:r>
      <w:r w:rsidR="006F65F8" w:rsidRPr="002C62BF">
        <w:rPr>
          <w:color w:val="000000" w:themeColor="text1"/>
        </w:rPr>
        <w:t xml:space="preserve"> Some PPMS patients have relapses or develop new lesions. A longitudinal MRI study (Ingle 2005)</w:t>
      </w:r>
      <w:r w:rsidR="0036020B" w:rsidRPr="002C62BF">
        <w:rPr>
          <w:rStyle w:val="FootnoteReference"/>
          <w:color w:val="000000" w:themeColor="text1"/>
        </w:rPr>
        <w:footnoteReference w:id="1"/>
      </w:r>
      <w:r w:rsidR="006F65F8" w:rsidRPr="002C62BF">
        <w:rPr>
          <w:color w:val="000000" w:themeColor="text1"/>
        </w:rPr>
        <w:t xml:space="preserve"> concluded that </w:t>
      </w:r>
      <w:r w:rsidR="00AA2532" w:rsidRPr="002C62BF">
        <w:rPr>
          <w:color w:val="000000" w:themeColor="text1"/>
        </w:rPr>
        <w:t>e</w:t>
      </w:r>
      <w:r w:rsidR="006F65F8" w:rsidRPr="002C62BF">
        <w:rPr>
          <w:color w:val="000000" w:themeColor="text1"/>
        </w:rPr>
        <w:t>nhancement is present in some cases of early PPMS and is associated with greater disease impact in terms of both clinical and MRI measures. PPMS</w:t>
      </w:r>
      <w:r w:rsidR="0036020B" w:rsidRPr="002C62BF">
        <w:rPr>
          <w:color w:val="000000" w:themeColor="text1"/>
        </w:rPr>
        <w:t xml:space="preserve"> (as opposed to RRMS) can be diagnosed from one year of disease progression (retrospectively or prospectively determined), and two of the following three criteria: </w:t>
      </w:r>
      <w:r w:rsidR="00095E0C" w:rsidRPr="002C62BF">
        <w:rPr>
          <w:color w:val="000000" w:themeColor="text1"/>
        </w:rPr>
        <w:t xml:space="preserve">(1) </w:t>
      </w:r>
      <w:r w:rsidR="0036020B" w:rsidRPr="002C62BF">
        <w:rPr>
          <w:color w:val="000000" w:themeColor="text1"/>
        </w:rPr>
        <w:t xml:space="preserve">At least </w:t>
      </w:r>
      <w:r w:rsidR="00095E0C" w:rsidRPr="002C62BF">
        <w:rPr>
          <w:color w:val="000000" w:themeColor="text1"/>
        </w:rPr>
        <w:t>one</w:t>
      </w:r>
      <w:r w:rsidR="0036020B" w:rsidRPr="002C62BF">
        <w:rPr>
          <w:color w:val="000000" w:themeColor="text1"/>
        </w:rPr>
        <w:t xml:space="preserve"> T2 lesion in at least </w:t>
      </w:r>
      <w:r w:rsidR="00095E0C" w:rsidRPr="002C62BF">
        <w:rPr>
          <w:color w:val="000000" w:themeColor="text1"/>
        </w:rPr>
        <w:t>one</w:t>
      </w:r>
      <w:r w:rsidR="0036020B" w:rsidRPr="002C62BF">
        <w:rPr>
          <w:color w:val="000000" w:themeColor="text1"/>
        </w:rPr>
        <w:t xml:space="preserve"> area characteristic of MS (periventricular, Juxtacortical, infratentorial); </w:t>
      </w:r>
      <w:r w:rsidR="00095E0C" w:rsidRPr="002C62BF">
        <w:rPr>
          <w:color w:val="000000" w:themeColor="text1"/>
        </w:rPr>
        <w:t xml:space="preserve">(2) </w:t>
      </w:r>
      <w:r w:rsidR="0036020B" w:rsidRPr="002C62BF">
        <w:rPr>
          <w:color w:val="000000" w:themeColor="text1"/>
        </w:rPr>
        <w:t xml:space="preserve">At least </w:t>
      </w:r>
      <w:r w:rsidR="00095E0C" w:rsidRPr="002C62BF">
        <w:rPr>
          <w:color w:val="000000" w:themeColor="text1"/>
        </w:rPr>
        <w:t>two</w:t>
      </w:r>
      <w:r w:rsidR="0036020B" w:rsidRPr="002C62BF">
        <w:rPr>
          <w:color w:val="000000" w:themeColor="text1"/>
        </w:rPr>
        <w:t xml:space="preserve"> T2 lesions in the spinal cord; isoelectric focusing evidence of oligoclonal bands and/or </w:t>
      </w:r>
      <w:r w:rsidR="00095E0C" w:rsidRPr="002C62BF">
        <w:rPr>
          <w:color w:val="000000" w:themeColor="text1"/>
        </w:rPr>
        <w:t xml:space="preserve">(3) </w:t>
      </w:r>
      <w:r w:rsidR="0036020B" w:rsidRPr="002C62BF">
        <w:rPr>
          <w:color w:val="000000" w:themeColor="text1"/>
        </w:rPr>
        <w:t>elevated IgG index (Tur 2015).</w:t>
      </w:r>
      <w:r w:rsidR="0036020B" w:rsidRPr="002C62BF">
        <w:rPr>
          <w:rStyle w:val="FootnoteReference"/>
          <w:color w:val="000000" w:themeColor="text1"/>
        </w:rPr>
        <w:footnoteReference w:id="2"/>
      </w:r>
    </w:p>
    <w:p w:rsidR="00974554" w:rsidRPr="002C62BF" w:rsidRDefault="00974554" w:rsidP="004E18E9">
      <w:pPr>
        <w:pStyle w:val="3-BodyText"/>
        <w:rPr>
          <w:color w:val="000000" w:themeColor="text1"/>
        </w:rPr>
      </w:pPr>
      <w:r w:rsidRPr="002C62BF">
        <w:rPr>
          <w:color w:val="000000" w:themeColor="text1"/>
        </w:rPr>
        <w:t xml:space="preserve">Data from the pivotal ORATORIO trial indicate that some patients with PPMS may be more likely to benefit from ocrelizumab treatment than others. </w:t>
      </w:r>
      <w:r w:rsidR="00EF2F28" w:rsidRPr="002C62BF">
        <w:rPr>
          <w:color w:val="000000" w:themeColor="text1"/>
        </w:rPr>
        <w:t>In response to concerns f</w:t>
      </w:r>
      <w:r w:rsidRPr="002C62BF">
        <w:rPr>
          <w:color w:val="000000" w:themeColor="text1"/>
        </w:rPr>
        <w:t>r</w:t>
      </w:r>
      <w:r w:rsidR="00EF2F28" w:rsidRPr="002C62BF">
        <w:rPr>
          <w:color w:val="000000" w:themeColor="text1"/>
        </w:rPr>
        <w:t>o</w:t>
      </w:r>
      <w:r w:rsidRPr="002C62BF">
        <w:rPr>
          <w:color w:val="000000" w:themeColor="text1"/>
        </w:rPr>
        <w:t>m the PBAC i</w:t>
      </w:r>
      <w:r w:rsidR="00EF2F28" w:rsidRPr="002C62BF">
        <w:rPr>
          <w:color w:val="000000" w:themeColor="text1"/>
        </w:rPr>
        <w:t>n regard to the November 2017 submission,</w:t>
      </w:r>
      <w:r w:rsidRPr="002C62BF">
        <w:rPr>
          <w:color w:val="000000" w:themeColor="text1"/>
        </w:rPr>
        <w:t xml:space="preserve"> the resubmission has narrowed the target population to patients with early, active PPMS. </w:t>
      </w:r>
    </w:p>
    <w:p w:rsidR="005275B5" w:rsidRPr="002C62BF" w:rsidRDefault="005275B5" w:rsidP="005275B5">
      <w:pPr>
        <w:pStyle w:val="3-BodyText"/>
        <w:rPr>
          <w:color w:val="000000" w:themeColor="text1"/>
        </w:rPr>
      </w:pPr>
      <w:r w:rsidRPr="002C62BF">
        <w:rPr>
          <w:color w:val="000000" w:themeColor="text1"/>
        </w:rPr>
        <w:t xml:space="preserve">The ESC noted that recommendations from clinical experts in the NICE guidance, suggested early disease is most appropriately defined as being within 5-years of </w:t>
      </w:r>
      <w:r w:rsidRPr="002C62BF">
        <w:rPr>
          <w:color w:val="000000" w:themeColor="text1"/>
        </w:rPr>
        <w:lastRenderedPageBreak/>
        <w:t>symptom onset. However, in the MSBase analysis presented in this submission, the mean time since diagnosis was 12.6 years but the mean time since onset of symptoms was longer, 17 years. Further, the ORATORIO trial included patients on the basis of disease duration from onset of sym</w:t>
      </w:r>
      <w:r w:rsidR="00561CD3" w:rsidRPr="002C62BF">
        <w:rPr>
          <w:color w:val="000000" w:themeColor="text1"/>
        </w:rPr>
        <w:t>ptoms.</w:t>
      </w:r>
      <w:r w:rsidR="006F57E7" w:rsidRPr="002C62BF">
        <w:rPr>
          <w:color w:val="000000" w:themeColor="text1"/>
        </w:rPr>
        <w:t xml:space="preserve"> The ESC therefore considered</w:t>
      </w:r>
      <w:r w:rsidR="00561CD3" w:rsidRPr="002C62BF">
        <w:rPr>
          <w:color w:val="000000" w:themeColor="text1"/>
        </w:rPr>
        <w:t xml:space="preserve"> </w:t>
      </w:r>
      <w:r w:rsidR="006F57E7" w:rsidRPr="002C62BF">
        <w:rPr>
          <w:color w:val="000000" w:themeColor="text1"/>
        </w:rPr>
        <w:t xml:space="preserve">it was </w:t>
      </w:r>
      <w:r w:rsidR="00561CD3" w:rsidRPr="002C62BF">
        <w:rPr>
          <w:color w:val="000000" w:themeColor="text1"/>
        </w:rPr>
        <w:t>possible</w:t>
      </w:r>
      <w:r w:rsidRPr="002C62BF">
        <w:rPr>
          <w:color w:val="000000" w:themeColor="text1"/>
        </w:rPr>
        <w:t xml:space="preserve"> that using time since diagnosis </w:t>
      </w:r>
      <w:r w:rsidR="00703962" w:rsidRPr="002C62BF">
        <w:rPr>
          <w:color w:val="000000" w:themeColor="text1"/>
        </w:rPr>
        <w:t xml:space="preserve">is likely to </w:t>
      </w:r>
      <w:r w:rsidRPr="002C62BF">
        <w:rPr>
          <w:color w:val="000000" w:themeColor="text1"/>
        </w:rPr>
        <w:t>include people with more advanced disease.</w:t>
      </w:r>
    </w:p>
    <w:p w:rsidR="00974554" w:rsidRPr="002C62BF" w:rsidRDefault="00974554" w:rsidP="00974554">
      <w:pPr>
        <w:pStyle w:val="3-BodyText"/>
      </w:pPr>
      <w:r w:rsidRPr="002C62BF">
        <w:t xml:space="preserve">Should ocrelizumab receive a positive recommendation, ocrelizumab would be the only PBS therapy </w:t>
      </w:r>
      <w:r w:rsidR="003F7EB8" w:rsidRPr="002C62BF">
        <w:t xml:space="preserve">specifically listed </w:t>
      </w:r>
      <w:r w:rsidRPr="002C62BF">
        <w:t>for PPMS</w:t>
      </w:r>
      <w:r w:rsidR="00EF2F28" w:rsidRPr="002C62BF">
        <w:t>.</w:t>
      </w:r>
      <w:r w:rsidRPr="002C62BF">
        <w:t xml:space="preserve"> </w:t>
      </w:r>
    </w:p>
    <w:p w:rsidR="007627BE" w:rsidRPr="002C62BF" w:rsidRDefault="00974554" w:rsidP="00974554">
      <w:pPr>
        <w:pStyle w:val="3-BodyText"/>
      </w:pPr>
      <w:r w:rsidRPr="002C62BF">
        <w:t>Ocrelizumab is a recombinant humanised monoclonal antibody that selectively targets CD20- expressing B-cells.</w:t>
      </w:r>
    </w:p>
    <w:p w:rsidR="00B50DB8" w:rsidRPr="002C62BF" w:rsidRDefault="00B50DB8" w:rsidP="004E18E9">
      <w:pPr>
        <w:pStyle w:val="2-SectionHeading"/>
      </w:pPr>
      <w:bookmarkStart w:id="12" w:name="_Toc40873644"/>
      <w:r w:rsidRPr="002C62BF">
        <w:t>Comparator</w:t>
      </w:r>
      <w:bookmarkEnd w:id="12"/>
    </w:p>
    <w:p w:rsidR="001870A2" w:rsidRPr="002C62BF" w:rsidRDefault="001870A2" w:rsidP="001870A2">
      <w:pPr>
        <w:pStyle w:val="3-BodyText"/>
        <w:rPr>
          <w:snapToGrid/>
        </w:rPr>
      </w:pPr>
      <w:r w:rsidRPr="002C62BF">
        <w:t xml:space="preserve">As in the </w:t>
      </w:r>
      <w:r w:rsidR="00A82CAB" w:rsidRPr="002C62BF">
        <w:t>previous</w:t>
      </w:r>
      <w:r w:rsidRPr="002C62BF">
        <w:t xml:space="preserve"> submission, the resubmission nominated </w:t>
      </w:r>
      <w:r w:rsidR="00CD49CB" w:rsidRPr="002C62BF">
        <w:t>best supportive care (</w:t>
      </w:r>
      <w:r w:rsidRPr="002C62BF">
        <w:t>BSC</w:t>
      </w:r>
      <w:r w:rsidR="00CD49CB" w:rsidRPr="002C62BF">
        <w:t>)</w:t>
      </w:r>
      <w:r w:rsidRPr="002C62BF">
        <w:t xml:space="preserve"> as the main comparator. </w:t>
      </w:r>
      <w:r w:rsidR="00EF2F28" w:rsidRPr="002C62BF">
        <w:t xml:space="preserve">BSC was </w:t>
      </w:r>
      <w:r w:rsidR="005E1EB0" w:rsidRPr="002C62BF">
        <w:t xml:space="preserve">previously </w:t>
      </w:r>
      <w:r w:rsidR="00EF2F28" w:rsidRPr="002C62BF">
        <w:t>accepted as the appropriate main comparator by the PBAC (paragraph 7.4, ocre</w:t>
      </w:r>
      <w:r w:rsidR="0001190D">
        <w:t>lizumab, PSD</w:t>
      </w:r>
      <w:r w:rsidR="00EF2F28" w:rsidRPr="002C62BF">
        <w:t xml:space="preserve">, November 2017 PBAC Meeting). </w:t>
      </w:r>
      <w:r w:rsidRPr="002C62BF">
        <w:t>The main arguments provided in support of this nomination were that despite the range of effective options available for RRMS, no other treatment has previously shown efficacy in PPMS.</w:t>
      </w:r>
    </w:p>
    <w:p w:rsidR="001870A2" w:rsidRPr="002C62BF" w:rsidRDefault="001870A2" w:rsidP="001870A2">
      <w:pPr>
        <w:pStyle w:val="3-BodyText"/>
        <w:rPr>
          <w:snapToGrid/>
        </w:rPr>
      </w:pPr>
      <w:r w:rsidRPr="002C62BF">
        <w:rPr>
          <w:snapToGrid/>
          <w:color w:val="000000" w:themeColor="text1"/>
        </w:rPr>
        <w:t>The resubmission stated that although there is no clear definition of BSC, the term is used broadly to describe the treatments directed at symptoms of multiple sclerosis, alongside physical rehabilitation strategies.</w:t>
      </w:r>
    </w:p>
    <w:p w:rsidR="0020708C" w:rsidRPr="002C62BF" w:rsidRDefault="0020708C" w:rsidP="001870A2">
      <w:pPr>
        <w:pStyle w:val="3-BodyText"/>
        <w:rPr>
          <w:snapToGrid/>
        </w:rPr>
      </w:pPr>
      <w:r w:rsidRPr="002C62BF">
        <w:rPr>
          <w:snapToGrid/>
          <w:color w:val="000000" w:themeColor="text1"/>
        </w:rPr>
        <w:t xml:space="preserve">The ESC noted PBS listed medicines for the treatment of RRMS are possibly being used in the treatment of PPMS and that the extent of use </w:t>
      </w:r>
      <w:r w:rsidR="0093136A" w:rsidRPr="002C62BF">
        <w:rPr>
          <w:snapToGrid/>
          <w:color w:val="000000" w:themeColor="text1"/>
        </w:rPr>
        <w:t>may</w:t>
      </w:r>
      <w:r w:rsidRPr="002C62BF">
        <w:rPr>
          <w:snapToGrid/>
          <w:color w:val="000000" w:themeColor="text1"/>
        </w:rPr>
        <w:t xml:space="preserve"> be informed by an analysis of the MSBase database.</w:t>
      </w:r>
      <w:r w:rsidR="0093136A" w:rsidRPr="002C62BF">
        <w:rPr>
          <w:snapToGrid/>
          <w:color w:val="000000" w:themeColor="text1"/>
        </w:rPr>
        <w:t xml:space="preserve"> The use of medicines in the treatment of PPMS would impact on the cost-effectiveness and the financial estimates in terms of the offsets.</w:t>
      </w:r>
    </w:p>
    <w:p w:rsidR="00B7393E" w:rsidRPr="002C62BF" w:rsidRDefault="00B7393E" w:rsidP="00B7393E">
      <w:pPr>
        <w:pStyle w:val="ListParagraph"/>
        <w:ind w:left="709"/>
        <w:rPr>
          <w:i/>
        </w:rPr>
      </w:pPr>
      <w:r w:rsidRPr="002C62BF">
        <w:rPr>
          <w:i/>
        </w:rPr>
        <w:t>For more detail on PBAC’s view, see section 7 PBAC outcome.</w:t>
      </w:r>
    </w:p>
    <w:p w:rsidR="00223D5A" w:rsidRPr="002C62BF" w:rsidRDefault="00223D5A" w:rsidP="00223D5A">
      <w:pPr>
        <w:pStyle w:val="2-SectionHeading"/>
        <w:numPr>
          <w:ilvl w:val="0"/>
          <w:numId w:val="1"/>
        </w:numPr>
      </w:pPr>
      <w:bookmarkStart w:id="13" w:name="_Toc40873645"/>
      <w:bookmarkStart w:id="14" w:name="_Toc22897640"/>
      <w:r w:rsidRPr="002C62BF">
        <w:t>Consideration of the evidence</w:t>
      </w:r>
      <w:bookmarkEnd w:id="13"/>
    </w:p>
    <w:p w:rsidR="00225792" w:rsidRPr="002C62BF" w:rsidRDefault="00225792" w:rsidP="00DB4A4B">
      <w:pPr>
        <w:widowControl w:val="0"/>
        <w:spacing w:before="240" w:line="276" w:lineRule="auto"/>
        <w:outlineLvl w:val="1"/>
        <w:rPr>
          <w:rFonts w:asciiTheme="minorHAnsi" w:hAnsiTheme="minorHAnsi"/>
          <w:b/>
          <w:bCs/>
          <w:i/>
          <w:snapToGrid w:val="0"/>
          <w:sz w:val="28"/>
          <w:szCs w:val="28"/>
        </w:rPr>
      </w:pPr>
      <w:bookmarkStart w:id="15" w:name="_Toc40873646"/>
      <w:r w:rsidRPr="002C62BF">
        <w:rPr>
          <w:rFonts w:asciiTheme="minorHAnsi" w:hAnsiTheme="minorHAnsi"/>
          <w:b/>
          <w:bCs/>
          <w:i/>
          <w:snapToGrid w:val="0"/>
          <w:sz w:val="28"/>
          <w:szCs w:val="28"/>
        </w:rPr>
        <w:t>Sponsor hearing</w:t>
      </w:r>
    </w:p>
    <w:p w:rsidR="00225792" w:rsidRPr="002C62BF" w:rsidRDefault="00225792" w:rsidP="00225792">
      <w:pPr>
        <w:widowControl w:val="0"/>
        <w:numPr>
          <w:ilvl w:val="1"/>
          <w:numId w:val="1"/>
        </w:numPr>
        <w:spacing w:after="120"/>
        <w:rPr>
          <w:rFonts w:asciiTheme="minorHAnsi" w:hAnsiTheme="minorHAnsi"/>
          <w:bCs/>
          <w:snapToGrid w:val="0"/>
        </w:rPr>
      </w:pPr>
      <w:r w:rsidRPr="002C62BF">
        <w:rPr>
          <w:rFonts w:asciiTheme="minorHAnsi" w:hAnsiTheme="minorHAnsi"/>
          <w:bCs/>
          <w:snapToGrid w:val="0"/>
        </w:rPr>
        <w:t>The</w:t>
      </w:r>
      <w:r w:rsidR="002E40D9" w:rsidRPr="002C62BF">
        <w:rPr>
          <w:rFonts w:asciiTheme="minorHAnsi" w:hAnsiTheme="minorHAnsi"/>
          <w:bCs/>
          <w:snapToGrid w:val="0"/>
        </w:rPr>
        <w:t>re was no hearing for this item</w:t>
      </w:r>
      <w:r w:rsidRPr="002C62BF">
        <w:rPr>
          <w:rFonts w:asciiTheme="minorHAnsi" w:hAnsiTheme="minorHAnsi"/>
          <w:bCs/>
          <w:snapToGrid w:val="0"/>
        </w:rPr>
        <w:t>.</w:t>
      </w:r>
    </w:p>
    <w:p w:rsidR="00225792" w:rsidRPr="002C62BF" w:rsidRDefault="00225792" w:rsidP="00DB4A4B">
      <w:pPr>
        <w:widowControl w:val="0"/>
        <w:spacing w:before="240" w:line="276" w:lineRule="auto"/>
        <w:outlineLvl w:val="1"/>
        <w:rPr>
          <w:rFonts w:asciiTheme="minorHAnsi" w:hAnsiTheme="minorHAnsi"/>
          <w:b/>
          <w:bCs/>
          <w:i/>
          <w:snapToGrid w:val="0"/>
          <w:sz w:val="28"/>
          <w:szCs w:val="28"/>
        </w:rPr>
      </w:pPr>
      <w:r w:rsidRPr="002C62BF">
        <w:rPr>
          <w:rFonts w:asciiTheme="minorHAnsi" w:hAnsiTheme="minorHAnsi"/>
          <w:b/>
          <w:bCs/>
          <w:i/>
          <w:snapToGrid w:val="0"/>
          <w:sz w:val="28"/>
          <w:szCs w:val="28"/>
        </w:rPr>
        <w:t>Consumer comments</w:t>
      </w:r>
    </w:p>
    <w:p w:rsidR="00225792" w:rsidRPr="002C62BF" w:rsidRDefault="00225792" w:rsidP="00225792">
      <w:pPr>
        <w:widowControl w:val="0"/>
        <w:numPr>
          <w:ilvl w:val="1"/>
          <w:numId w:val="1"/>
        </w:numPr>
        <w:spacing w:after="120"/>
        <w:rPr>
          <w:rFonts w:asciiTheme="minorHAnsi" w:hAnsiTheme="minorHAnsi"/>
          <w:bCs/>
          <w:snapToGrid w:val="0"/>
        </w:rPr>
      </w:pPr>
      <w:r w:rsidRPr="002C62BF">
        <w:rPr>
          <w:rFonts w:asciiTheme="minorHAnsi" w:hAnsiTheme="minorHAnsi"/>
          <w:bCs/>
          <w:snapToGrid w:val="0"/>
        </w:rPr>
        <w:t>The PBAC noted and welcom</w:t>
      </w:r>
      <w:r w:rsidR="00DB4A4B" w:rsidRPr="002C62BF">
        <w:rPr>
          <w:rFonts w:asciiTheme="minorHAnsi" w:hAnsiTheme="minorHAnsi"/>
          <w:bCs/>
          <w:snapToGrid w:val="0"/>
        </w:rPr>
        <w:t>ed the input from individuals (9), health care professionals (6) and organisations (3</w:t>
      </w:r>
      <w:r w:rsidRPr="002C62BF">
        <w:rPr>
          <w:rFonts w:asciiTheme="minorHAnsi" w:hAnsiTheme="minorHAnsi"/>
          <w:bCs/>
          <w:snapToGrid w:val="0"/>
        </w:rPr>
        <w:t xml:space="preserve">) via the Consumer Comments facility on the PBS website. </w:t>
      </w:r>
      <w:r w:rsidR="008A5115" w:rsidRPr="002C62BF">
        <w:rPr>
          <w:rFonts w:asciiTheme="minorHAnsi" w:hAnsiTheme="minorHAnsi"/>
          <w:bCs/>
          <w:snapToGrid w:val="0"/>
        </w:rPr>
        <w:t>The comments outlined the clinical need for effective treatments for PPMS and described the benefits patients have realised through private or compassionate access</w:t>
      </w:r>
      <w:r w:rsidR="00C676D7" w:rsidRPr="002C62BF">
        <w:rPr>
          <w:rFonts w:asciiTheme="minorHAnsi" w:hAnsiTheme="minorHAnsi"/>
          <w:bCs/>
          <w:snapToGrid w:val="0"/>
        </w:rPr>
        <w:t xml:space="preserve"> to ocrelizumab</w:t>
      </w:r>
      <w:r w:rsidR="008A5115" w:rsidRPr="002C62BF">
        <w:rPr>
          <w:rFonts w:asciiTheme="minorHAnsi" w:hAnsiTheme="minorHAnsi"/>
          <w:bCs/>
          <w:snapToGrid w:val="0"/>
        </w:rPr>
        <w:t xml:space="preserve">, such as </w:t>
      </w:r>
      <w:r w:rsidR="00C676D7" w:rsidRPr="002C62BF">
        <w:rPr>
          <w:rFonts w:asciiTheme="minorHAnsi" w:hAnsiTheme="minorHAnsi"/>
          <w:bCs/>
          <w:snapToGrid w:val="0"/>
        </w:rPr>
        <w:t xml:space="preserve">stopping </w:t>
      </w:r>
      <w:r w:rsidR="008A5115" w:rsidRPr="002C62BF">
        <w:rPr>
          <w:rFonts w:asciiTheme="minorHAnsi" w:hAnsiTheme="minorHAnsi"/>
          <w:bCs/>
          <w:snapToGrid w:val="0"/>
        </w:rPr>
        <w:t>or slowing the progression of disability and the lack of side effects experienced on treatment.</w:t>
      </w:r>
    </w:p>
    <w:p w:rsidR="00225792" w:rsidRPr="002C62BF" w:rsidRDefault="00225792" w:rsidP="00225792">
      <w:pPr>
        <w:widowControl w:val="0"/>
        <w:numPr>
          <w:ilvl w:val="1"/>
          <w:numId w:val="1"/>
        </w:numPr>
        <w:spacing w:after="120"/>
        <w:rPr>
          <w:rFonts w:asciiTheme="minorHAnsi" w:hAnsiTheme="minorHAnsi"/>
          <w:bCs/>
          <w:snapToGrid w:val="0"/>
        </w:rPr>
      </w:pPr>
      <w:r w:rsidRPr="002C62BF">
        <w:rPr>
          <w:rFonts w:asciiTheme="minorHAnsi" w:hAnsiTheme="minorHAnsi"/>
          <w:bCs/>
          <w:snapToGrid w:val="0"/>
        </w:rPr>
        <w:t xml:space="preserve">The PBAC noted the advice received from </w:t>
      </w:r>
      <w:r w:rsidR="00DB4A4B" w:rsidRPr="002C62BF">
        <w:rPr>
          <w:rFonts w:asciiTheme="minorHAnsi" w:hAnsiTheme="minorHAnsi"/>
          <w:bCs/>
          <w:snapToGrid w:val="0"/>
        </w:rPr>
        <w:t xml:space="preserve">MS Australia and MS Research Australia </w:t>
      </w:r>
      <w:r w:rsidR="00DB4A4B" w:rsidRPr="002C62BF">
        <w:rPr>
          <w:rFonts w:asciiTheme="minorHAnsi" w:hAnsiTheme="minorHAnsi"/>
          <w:bCs/>
          <w:snapToGrid w:val="0"/>
        </w:rPr>
        <w:lastRenderedPageBreak/>
        <w:t>which highlighted the clinical significance of the results of the ORATORIO trial in PPMS and outlined the importance of delayed disability progression in PPMS</w:t>
      </w:r>
      <w:r w:rsidR="008A5115" w:rsidRPr="002C62BF">
        <w:rPr>
          <w:rFonts w:asciiTheme="minorHAnsi" w:hAnsiTheme="minorHAnsi"/>
          <w:bCs/>
          <w:snapToGrid w:val="0"/>
        </w:rPr>
        <w:t xml:space="preserve"> to patients through retaining quality of life for longer and savings to other parts of the health system such as residential care and the National Disability Insurance Scheme. The PBAC also noted the advice received from the Australian and New Zealand Association of Neurologists which outlined that the greatest gains with ocrelizumab treatment were likely to be realised in patients with earlier, MRI-active disease and supported the listing of ocrelizumab for this cohort of PPMS patients. </w:t>
      </w:r>
    </w:p>
    <w:p w:rsidR="00B60939" w:rsidRPr="002C62BF" w:rsidRDefault="00B60939" w:rsidP="002E4F02">
      <w:pPr>
        <w:pStyle w:val="4-SubsectionHeading"/>
      </w:pPr>
      <w:r w:rsidRPr="002C62BF">
        <w:t>Clinical trial</w:t>
      </w:r>
      <w:bookmarkEnd w:id="14"/>
      <w:bookmarkEnd w:id="15"/>
    </w:p>
    <w:p w:rsidR="007720E1" w:rsidRPr="002C62BF" w:rsidRDefault="00A73134" w:rsidP="007720E1">
      <w:pPr>
        <w:pStyle w:val="3-BodyText"/>
      </w:pPr>
      <w:r w:rsidRPr="002C62BF">
        <w:rPr>
          <w:snapToGrid/>
        </w:rPr>
        <w:t xml:space="preserve">The </w:t>
      </w:r>
      <w:r w:rsidR="007720E1" w:rsidRPr="002C62BF">
        <w:rPr>
          <w:snapToGrid/>
        </w:rPr>
        <w:t xml:space="preserve">November 2017 submission </w:t>
      </w:r>
      <w:r w:rsidR="00D5243B" w:rsidRPr="002C62BF">
        <w:rPr>
          <w:snapToGrid/>
        </w:rPr>
        <w:t>wa</w:t>
      </w:r>
      <w:r w:rsidRPr="002C62BF">
        <w:rPr>
          <w:snapToGrid/>
        </w:rPr>
        <w:t xml:space="preserve">s based on </w:t>
      </w:r>
      <w:r w:rsidR="001870A2" w:rsidRPr="002C62BF">
        <w:rPr>
          <w:snapToGrid/>
        </w:rPr>
        <w:t>the ORATORIO trial</w:t>
      </w:r>
      <w:r w:rsidRPr="002C62BF">
        <w:rPr>
          <w:snapToGrid/>
        </w:rPr>
        <w:t xml:space="preserve"> comparing </w:t>
      </w:r>
      <w:r w:rsidR="001870A2" w:rsidRPr="002C62BF">
        <w:rPr>
          <w:snapToGrid/>
        </w:rPr>
        <w:t>ocrelizumab</w:t>
      </w:r>
      <w:r w:rsidRPr="002C62BF">
        <w:rPr>
          <w:snapToGrid/>
        </w:rPr>
        <w:t xml:space="preserve"> to </w:t>
      </w:r>
      <w:r w:rsidR="001870A2" w:rsidRPr="002C62BF">
        <w:rPr>
          <w:snapToGrid/>
        </w:rPr>
        <w:t>placebo</w:t>
      </w:r>
      <w:r w:rsidRPr="002C62BF">
        <w:rPr>
          <w:snapToGrid/>
        </w:rPr>
        <w:t xml:space="preserve"> (</w:t>
      </w:r>
      <w:r w:rsidR="001870A2" w:rsidRPr="002C62BF">
        <w:rPr>
          <w:snapToGrid/>
        </w:rPr>
        <w:t>ITT: n</w:t>
      </w:r>
      <w:r w:rsidRPr="002C62BF">
        <w:rPr>
          <w:snapToGrid/>
        </w:rPr>
        <w:t>=</w:t>
      </w:r>
      <w:r w:rsidR="001870A2" w:rsidRPr="002C62BF">
        <w:rPr>
          <w:snapToGrid/>
        </w:rPr>
        <w:t>732</w:t>
      </w:r>
      <w:r w:rsidR="00DF0059" w:rsidRPr="002C62BF">
        <w:rPr>
          <w:snapToGrid/>
        </w:rPr>
        <w:t>)</w:t>
      </w:r>
      <w:r w:rsidR="007720E1" w:rsidRPr="002C62BF">
        <w:rPr>
          <w:snapToGrid/>
        </w:rPr>
        <w:t xml:space="preserve">. </w:t>
      </w:r>
    </w:p>
    <w:p w:rsidR="007720E1" w:rsidRPr="002C62BF" w:rsidRDefault="007720E1" w:rsidP="007720E1">
      <w:pPr>
        <w:pStyle w:val="3-BodyText"/>
      </w:pPr>
      <w:r w:rsidRPr="002C62BF">
        <w:t xml:space="preserve">This resubmission was based on efficacy data from a </w:t>
      </w:r>
      <w:r w:rsidRPr="002C62BF">
        <w:rPr>
          <w:i/>
        </w:rPr>
        <w:t>post-hoc</w:t>
      </w:r>
      <w:r w:rsidRPr="002C62BF">
        <w:t xml:space="preserve"> analysis of a subgroup of patients in the ORATORIO trial who had ‘Magnetic Resonance Ima</w:t>
      </w:r>
      <w:r w:rsidR="00EF2F28" w:rsidRPr="002C62BF">
        <w:t>ging (MRI) Activity’ and were ≤50 y</w:t>
      </w:r>
      <w:r w:rsidRPr="002C62BF">
        <w:t>ears of age</w:t>
      </w:r>
      <w:r w:rsidR="001E4567" w:rsidRPr="002C62BF">
        <w:t xml:space="preserve"> (n=230)</w:t>
      </w:r>
      <w:r w:rsidRPr="002C62BF">
        <w:t xml:space="preserve">. </w:t>
      </w:r>
    </w:p>
    <w:p w:rsidR="00F35E20" w:rsidRPr="002C62BF" w:rsidRDefault="00A73134" w:rsidP="00F35E20">
      <w:pPr>
        <w:pStyle w:val="3-BodyText"/>
        <w:rPr>
          <w:rStyle w:val="CommentReference"/>
          <w:szCs w:val="24"/>
        </w:rPr>
      </w:pPr>
      <w:r w:rsidRPr="002C62BF">
        <w:rPr>
          <w:snapToGrid/>
        </w:rPr>
        <w:t xml:space="preserve">Details of the </w:t>
      </w:r>
      <w:r w:rsidR="007720E1" w:rsidRPr="002C62BF">
        <w:rPr>
          <w:snapToGrid/>
        </w:rPr>
        <w:t xml:space="preserve">ORATORIO trial are </w:t>
      </w:r>
      <w:r w:rsidRPr="002C62BF">
        <w:rPr>
          <w:snapToGrid/>
        </w:rPr>
        <w:t xml:space="preserve">presented in the </w:t>
      </w:r>
      <w:r w:rsidR="005F4F09" w:rsidRPr="002C62BF">
        <w:rPr>
          <w:snapToGrid/>
        </w:rPr>
        <w:t>re</w:t>
      </w:r>
      <w:r w:rsidRPr="002C62BF">
        <w:rPr>
          <w:snapToGrid/>
        </w:rPr>
        <w:t>submission are provided in</w:t>
      </w:r>
      <w:r w:rsidR="00F35E20" w:rsidRPr="002C62BF">
        <w:rPr>
          <w:snapToGrid/>
        </w:rPr>
        <w:t xml:space="preserve"> </w:t>
      </w:r>
      <w:r w:rsidR="00444C16" w:rsidRPr="002C62BF">
        <w:t>Table </w:t>
      </w:r>
      <w:r w:rsidR="00F35E20" w:rsidRPr="002C62BF">
        <w:t>3</w:t>
      </w:r>
      <w:r w:rsidR="00F35E20" w:rsidRPr="002C62BF">
        <w:rPr>
          <w:snapToGrid/>
        </w:rPr>
        <w:t>.</w:t>
      </w:r>
    </w:p>
    <w:p w:rsidR="008E0D3C" w:rsidRPr="002C62BF" w:rsidRDefault="008E0D3C" w:rsidP="00F35E20">
      <w:pPr>
        <w:pStyle w:val="TableFigureHeading"/>
        <w:rPr>
          <w:rStyle w:val="CommentReference"/>
          <w:b/>
          <w:szCs w:val="24"/>
        </w:rPr>
      </w:pPr>
      <w:bookmarkStart w:id="16" w:name="_Ref39763906"/>
      <w:r w:rsidRPr="002C62BF">
        <w:rPr>
          <w:rStyle w:val="CommentReference"/>
          <w:b/>
          <w:szCs w:val="24"/>
        </w:rPr>
        <w:t xml:space="preserve">Table </w:t>
      </w:r>
      <w:r w:rsidR="0089607C" w:rsidRPr="002C62BF">
        <w:rPr>
          <w:rStyle w:val="CommentReference"/>
          <w:b/>
          <w:szCs w:val="24"/>
        </w:rPr>
        <w:t>3</w:t>
      </w:r>
      <w:bookmarkEnd w:id="16"/>
      <w:r w:rsidRPr="002C62BF">
        <w:rPr>
          <w:rStyle w:val="CommentReference"/>
          <w:b/>
          <w:szCs w:val="24"/>
        </w:rPr>
        <w:t>:</w:t>
      </w:r>
      <w:r w:rsidR="00BC591F" w:rsidRPr="002C62BF">
        <w:rPr>
          <w:rStyle w:val="CommentReference"/>
          <w:b/>
          <w:szCs w:val="24"/>
        </w:rPr>
        <w:t xml:space="preserve"> </w:t>
      </w:r>
      <w:r w:rsidR="00102A2C" w:rsidRPr="002C62BF">
        <w:rPr>
          <w:rStyle w:val="CommentReference"/>
          <w:b/>
          <w:szCs w:val="24"/>
        </w:rPr>
        <w:t>Trial</w:t>
      </w:r>
      <w:r w:rsidRPr="002C62BF">
        <w:rPr>
          <w:rStyle w:val="CommentReference"/>
          <w:b/>
          <w:szCs w:val="24"/>
        </w:rPr>
        <w:t xml:space="preserve"> and associated reports presented in the </w:t>
      </w:r>
      <w:r w:rsidR="005F4F09" w:rsidRPr="002C62BF">
        <w:rPr>
          <w:rStyle w:val="CommentReference"/>
          <w:b/>
          <w:szCs w:val="24"/>
        </w:rPr>
        <w:t>re</w:t>
      </w:r>
      <w:r w:rsidRPr="002C62BF">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7720E1" w:rsidRPr="002C62BF" w:rsidTr="0010055C">
        <w:trPr>
          <w:tblHeader/>
        </w:trPr>
        <w:tc>
          <w:tcPr>
            <w:tcW w:w="796" w:type="pct"/>
            <w:tcBorders>
              <w:bottom w:val="single" w:sz="4" w:space="0" w:color="auto"/>
            </w:tcBorders>
            <w:vAlign w:val="center"/>
          </w:tcPr>
          <w:p w:rsidR="007720E1" w:rsidRPr="002C62BF" w:rsidRDefault="007720E1" w:rsidP="0010055C">
            <w:pPr>
              <w:pStyle w:val="In-tableHeading"/>
              <w:rPr>
                <w:lang w:val="en-AU"/>
              </w:rPr>
            </w:pPr>
            <w:r w:rsidRPr="002C62BF">
              <w:rPr>
                <w:lang w:val="en-AU"/>
              </w:rPr>
              <w:t>Trial ID</w:t>
            </w:r>
          </w:p>
        </w:tc>
        <w:tc>
          <w:tcPr>
            <w:tcW w:w="3027" w:type="pct"/>
            <w:tcBorders>
              <w:bottom w:val="single" w:sz="4" w:space="0" w:color="auto"/>
            </w:tcBorders>
            <w:vAlign w:val="center"/>
          </w:tcPr>
          <w:p w:rsidR="007720E1" w:rsidRPr="002C62BF" w:rsidRDefault="007720E1" w:rsidP="0010055C">
            <w:pPr>
              <w:pStyle w:val="In-tableHeading"/>
              <w:rPr>
                <w:lang w:val="en-AU"/>
              </w:rPr>
            </w:pPr>
            <w:r w:rsidRPr="002C62BF">
              <w:rPr>
                <w:lang w:val="en-AU"/>
              </w:rPr>
              <w:t>Protocol title/ Publication title</w:t>
            </w:r>
          </w:p>
        </w:tc>
        <w:tc>
          <w:tcPr>
            <w:tcW w:w="1177" w:type="pct"/>
            <w:tcBorders>
              <w:bottom w:val="single" w:sz="4" w:space="0" w:color="auto"/>
            </w:tcBorders>
            <w:vAlign w:val="center"/>
          </w:tcPr>
          <w:p w:rsidR="007720E1" w:rsidRPr="002C62BF" w:rsidRDefault="007720E1" w:rsidP="0010055C">
            <w:pPr>
              <w:pStyle w:val="In-tableHeading"/>
              <w:rPr>
                <w:lang w:val="en-AU"/>
              </w:rPr>
            </w:pPr>
            <w:r w:rsidRPr="002C62BF">
              <w:rPr>
                <w:lang w:val="en-AU"/>
              </w:rPr>
              <w:t>Publication citation</w:t>
            </w:r>
          </w:p>
        </w:tc>
      </w:tr>
      <w:tr w:rsidR="00EF2F28" w:rsidRPr="002C62BF" w:rsidTr="00EF2F28">
        <w:tc>
          <w:tcPr>
            <w:tcW w:w="796" w:type="pct"/>
            <w:vMerge w:val="restart"/>
          </w:tcPr>
          <w:p w:rsidR="00EF2F28" w:rsidRPr="002C62BF" w:rsidRDefault="00EF2F28" w:rsidP="00EF2F28">
            <w:pPr>
              <w:pStyle w:val="TableText0"/>
            </w:pPr>
            <w:r w:rsidRPr="002C62BF">
              <w:t>ORATORIO</w:t>
            </w:r>
          </w:p>
        </w:tc>
        <w:tc>
          <w:tcPr>
            <w:tcW w:w="3027" w:type="pct"/>
            <w:tcBorders>
              <w:bottom w:val="nil"/>
            </w:tcBorders>
            <w:vAlign w:val="center"/>
          </w:tcPr>
          <w:p w:rsidR="00EF2F28" w:rsidRPr="002C62BF" w:rsidRDefault="00EF2F28" w:rsidP="0010055C">
            <w:pPr>
              <w:pStyle w:val="TableText0"/>
              <w:rPr>
                <w:szCs w:val="18"/>
              </w:rPr>
            </w:pPr>
            <w:r w:rsidRPr="002C62BF">
              <w:rPr>
                <w:szCs w:val="18"/>
              </w:rPr>
              <w:t>A Phase III, Multicentre, Randomized, Parallel-group, Double-blind, Placebo Controlled Study to Evaluate the Efficacy and Safety of Ocrelizumab in Adults With Primary Progressive Multiple Sclerosis</w:t>
            </w:r>
            <w:r w:rsidR="002C62BF">
              <w:rPr>
                <w:szCs w:val="18"/>
              </w:rPr>
              <w:t xml:space="preserve">. </w:t>
            </w:r>
          </w:p>
        </w:tc>
        <w:tc>
          <w:tcPr>
            <w:tcW w:w="1177" w:type="pct"/>
            <w:tcBorders>
              <w:bottom w:val="nil"/>
            </w:tcBorders>
            <w:vAlign w:val="center"/>
          </w:tcPr>
          <w:p w:rsidR="00EF2F28" w:rsidRPr="002C62BF" w:rsidRDefault="00EF2F28" w:rsidP="0010055C">
            <w:pPr>
              <w:pStyle w:val="TableText0"/>
            </w:pPr>
            <w:r w:rsidRPr="002C62BF">
              <w:t>2016</w:t>
            </w:r>
          </w:p>
        </w:tc>
      </w:tr>
      <w:tr w:rsidR="00EF2F28" w:rsidRPr="002C62BF" w:rsidTr="006B4443">
        <w:tc>
          <w:tcPr>
            <w:tcW w:w="796" w:type="pct"/>
            <w:vMerge/>
            <w:tcBorders>
              <w:bottom w:val="single" w:sz="4" w:space="0" w:color="auto"/>
            </w:tcBorders>
            <w:vAlign w:val="center"/>
          </w:tcPr>
          <w:p w:rsidR="00EF2F28" w:rsidRPr="002C62BF" w:rsidRDefault="00EF2F28" w:rsidP="0010055C">
            <w:pPr>
              <w:pStyle w:val="TableText0"/>
            </w:pPr>
          </w:p>
        </w:tc>
        <w:tc>
          <w:tcPr>
            <w:tcW w:w="3027" w:type="pct"/>
            <w:tcBorders>
              <w:top w:val="nil"/>
              <w:bottom w:val="single" w:sz="4" w:space="0" w:color="auto"/>
            </w:tcBorders>
            <w:vAlign w:val="center"/>
          </w:tcPr>
          <w:p w:rsidR="00EF2F28" w:rsidRPr="002C62BF" w:rsidRDefault="00EF2F28" w:rsidP="0010055C">
            <w:pPr>
              <w:pStyle w:val="TableText0"/>
              <w:rPr>
                <w:szCs w:val="18"/>
              </w:rPr>
            </w:pPr>
            <w:r w:rsidRPr="002C62BF">
              <w:rPr>
                <w:szCs w:val="18"/>
              </w:rPr>
              <w:t xml:space="preserve">Montalban. Ocrelizumab versus placebo in primary progressive multiple sclerosis. </w:t>
            </w:r>
          </w:p>
        </w:tc>
        <w:tc>
          <w:tcPr>
            <w:tcW w:w="1177" w:type="pct"/>
            <w:tcBorders>
              <w:top w:val="nil"/>
              <w:bottom w:val="single" w:sz="4" w:space="0" w:color="auto"/>
            </w:tcBorders>
            <w:vAlign w:val="center"/>
          </w:tcPr>
          <w:p w:rsidR="00EF2F28" w:rsidRPr="002C62BF" w:rsidRDefault="00EF2F28" w:rsidP="0010055C">
            <w:pPr>
              <w:pStyle w:val="TableText0"/>
              <w:rPr>
                <w:szCs w:val="18"/>
              </w:rPr>
            </w:pPr>
            <w:r w:rsidRPr="002C62BF">
              <w:rPr>
                <w:i/>
                <w:szCs w:val="18"/>
              </w:rPr>
              <w:t>NEJM</w:t>
            </w:r>
            <w:r w:rsidRPr="002C62BF">
              <w:rPr>
                <w:szCs w:val="18"/>
              </w:rPr>
              <w:t xml:space="preserve"> 2017; 376 (3) 209-220</w:t>
            </w:r>
          </w:p>
        </w:tc>
      </w:tr>
    </w:tbl>
    <w:p w:rsidR="007720E1" w:rsidRPr="002C62BF" w:rsidRDefault="007720E1" w:rsidP="007720E1">
      <w:pPr>
        <w:pStyle w:val="TableFigureFooter"/>
        <w:rPr>
          <w:sz w:val="20"/>
        </w:rPr>
      </w:pPr>
      <w:r w:rsidRPr="002C62BF">
        <w:t>Source: Table 2.3, p27 of the resubmission.</w:t>
      </w:r>
    </w:p>
    <w:p w:rsidR="007F1017" w:rsidRPr="002C62BF" w:rsidRDefault="008F120A" w:rsidP="00EC5836">
      <w:pPr>
        <w:pStyle w:val="3-BodyText"/>
      </w:pPr>
      <w:r w:rsidRPr="002C62BF">
        <w:t xml:space="preserve">The key features of the </w:t>
      </w:r>
      <w:r w:rsidR="00F35E20" w:rsidRPr="002C62BF">
        <w:t xml:space="preserve">ORATORIO trial and the </w:t>
      </w:r>
      <w:r w:rsidR="00F35E20" w:rsidRPr="002C62BF">
        <w:rPr>
          <w:i/>
        </w:rPr>
        <w:t>post-hoc</w:t>
      </w:r>
      <w:r w:rsidR="00F35E20" w:rsidRPr="002C62BF">
        <w:t xml:space="preserve"> subgroup analysis</w:t>
      </w:r>
      <w:r w:rsidRPr="002C62BF">
        <w:t xml:space="preserve"> are summarised in </w:t>
      </w:r>
      <w:r w:rsidR="00F35E20" w:rsidRPr="002C62BF">
        <w:t>Table 4.</w:t>
      </w:r>
    </w:p>
    <w:p w:rsidR="00102A2C" w:rsidRPr="002C62BF" w:rsidRDefault="007F1017" w:rsidP="00181B07">
      <w:pPr>
        <w:pStyle w:val="TableFigureHeading"/>
        <w:keepLines/>
      </w:pPr>
      <w:bookmarkStart w:id="17" w:name="_Ref39763969"/>
      <w:r w:rsidRPr="002C62BF">
        <w:rPr>
          <w:rStyle w:val="CommentReference"/>
          <w:b/>
          <w:szCs w:val="24"/>
        </w:rPr>
        <w:lastRenderedPageBreak/>
        <w:t xml:space="preserve">Table </w:t>
      </w:r>
      <w:r w:rsidR="0089607C" w:rsidRPr="002C62BF">
        <w:rPr>
          <w:rStyle w:val="CommentReference"/>
          <w:b/>
          <w:szCs w:val="24"/>
        </w:rPr>
        <w:t>4</w:t>
      </w:r>
      <w:bookmarkEnd w:id="17"/>
      <w:r w:rsidRPr="002C62BF">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5"/>
        <w:gridCol w:w="711"/>
        <w:gridCol w:w="1417"/>
        <w:gridCol w:w="849"/>
        <w:gridCol w:w="1275"/>
        <w:gridCol w:w="1560"/>
        <w:gridCol w:w="1650"/>
      </w:tblGrid>
      <w:tr w:rsidR="00102A2C" w:rsidRPr="002C62BF" w:rsidTr="0010055C">
        <w:tc>
          <w:tcPr>
            <w:tcW w:w="862" w:type="pct"/>
            <w:shd w:val="clear" w:color="auto" w:fill="auto"/>
            <w:vAlign w:val="center"/>
          </w:tcPr>
          <w:p w:rsidR="00102A2C" w:rsidRPr="002C62BF" w:rsidRDefault="00102A2C" w:rsidP="00181B07">
            <w:pPr>
              <w:pStyle w:val="TableText0"/>
              <w:keepLines/>
              <w:rPr>
                <w:b/>
              </w:rPr>
            </w:pPr>
            <w:r w:rsidRPr="002C62BF">
              <w:rPr>
                <w:b/>
              </w:rPr>
              <w:t>Trial</w:t>
            </w:r>
          </w:p>
        </w:tc>
        <w:tc>
          <w:tcPr>
            <w:tcW w:w="394" w:type="pct"/>
            <w:shd w:val="clear" w:color="auto" w:fill="auto"/>
            <w:vAlign w:val="center"/>
          </w:tcPr>
          <w:p w:rsidR="00102A2C" w:rsidRPr="002C62BF" w:rsidRDefault="00102A2C" w:rsidP="00181B07">
            <w:pPr>
              <w:pStyle w:val="TableText0"/>
              <w:keepLines/>
              <w:jc w:val="center"/>
              <w:rPr>
                <w:b/>
              </w:rPr>
            </w:pPr>
            <w:r w:rsidRPr="002C62BF">
              <w:rPr>
                <w:b/>
              </w:rPr>
              <w:t>N</w:t>
            </w:r>
          </w:p>
        </w:tc>
        <w:tc>
          <w:tcPr>
            <w:tcW w:w="786" w:type="pct"/>
            <w:shd w:val="clear" w:color="auto" w:fill="auto"/>
            <w:vAlign w:val="center"/>
          </w:tcPr>
          <w:p w:rsidR="00102A2C" w:rsidRPr="002C62BF" w:rsidRDefault="00102A2C" w:rsidP="00181B07">
            <w:pPr>
              <w:pStyle w:val="TableText0"/>
              <w:keepLines/>
              <w:jc w:val="center"/>
              <w:rPr>
                <w:b/>
              </w:rPr>
            </w:pPr>
            <w:r w:rsidRPr="002C62BF">
              <w:rPr>
                <w:b/>
              </w:rPr>
              <w:t>Design/ duration of follow-up</w:t>
            </w:r>
          </w:p>
        </w:tc>
        <w:tc>
          <w:tcPr>
            <w:tcW w:w="471" w:type="pct"/>
            <w:shd w:val="clear" w:color="auto" w:fill="auto"/>
            <w:vAlign w:val="center"/>
          </w:tcPr>
          <w:p w:rsidR="00102A2C" w:rsidRPr="002C62BF" w:rsidRDefault="00102A2C" w:rsidP="00181B07">
            <w:pPr>
              <w:pStyle w:val="TableText0"/>
              <w:keepLines/>
              <w:jc w:val="center"/>
              <w:rPr>
                <w:b/>
              </w:rPr>
            </w:pPr>
            <w:r w:rsidRPr="002C62BF">
              <w:rPr>
                <w:b/>
              </w:rPr>
              <w:t>Risk of bias</w:t>
            </w:r>
          </w:p>
        </w:tc>
        <w:tc>
          <w:tcPr>
            <w:tcW w:w="707" w:type="pct"/>
            <w:shd w:val="clear" w:color="auto" w:fill="auto"/>
            <w:vAlign w:val="center"/>
          </w:tcPr>
          <w:p w:rsidR="00102A2C" w:rsidRPr="002C62BF" w:rsidRDefault="00102A2C" w:rsidP="00181B07">
            <w:pPr>
              <w:pStyle w:val="TableText0"/>
              <w:keepLines/>
              <w:jc w:val="center"/>
              <w:rPr>
                <w:b/>
              </w:rPr>
            </w:pPr>
            <w:r w:rsidRPr="002C62BF">
              <w:rPr>
                <w:b/>
              </w:rPr>
              <w:t>Patient population</w:t>
            </w:r>
          </w:p>
        </w:tc>
        <w:tc>
          <w:tcPr>
            <w:tcW w:w="865" w:type="pct"/>
            <w:shd w:val="clear" w:color="auto" w:fill="auto"/>
            <w:vAlign w:val="center"/>
          </w:tcPr>
          <w:p w:rsidR="00102A2C" w:rsidRPr="002C62BF" w:rsidRDefault="00102A2C" w:rsidP="00181B07">
            <w:pPr>
              <w:pStyle w:val="TableText0"/>
              <w:keepLines/>
              <w:jc w:val="center"/>
              <w:rPr>
                <w:b/>
              </w:rPr>
            </w:pPr>
            <w:r w:rsidRPr="002C62BF">
              <w:rPr>
                <w:b/>
              </w:rPr>
              <w:t>Outcomes</w:t>
            </w:r>
          </w:p>
        </w:tc>
        <w:tc>
          <w:tcPr>
            <w:tcW w:w="915" w:type="pct"/>
            <w:shd w:val="clear" w:color="auto" w:fill="auto"/>
            <w:vAlign w:val="center"/>
          </w:tcPr>
          <w:p w:rsidR="00102A2C" w:rsidRPr="002C62BF" w:rsidRDefault="00102A2C" w:rsidP="00181B07">
            <w:pPr>
              <w:pStyle w:val="TableText0"/>
              <w:keepLines/>
              <w:jc w:val="center"/>
              <w:rPr>
                <w:b/>
              </w:rPr>
            </w:pPr>
            <w:r w:rsidRPr="002C62BF">
              <w:rPr>
                <w:b/>
              </w:rPr>
              <w:t>Use in modelled evaluation</w:t>
            </w:r>
          </w:p>
        </w:tc>
      </w:tr>
      <w:tr w:rsidR="00102A2C" w:rsidRPr="002C62BF" w:rsidTr="0010055C">
        <w:tc>
          <w:tcPr>
            <w:tcW w:w="862" w:type="pct"/>
            <w:shd w:val="clear" w:color="auto" w:fill="auto"/>
            <w:vAlign w:val="center"/>
          </w:tcPr>
          <w:p w:rsidR="00102A2C" w:rsidRPr="002C62BF" w:rsidRDefault="00102A2C" w:rsidP="00181B07">
            <w:pPr>
              <w:pStyle w:val="TableText0"/>
              <w:keepLines/>
            </w:pPr>
            <w:r w:rsidRPr="002C62BF">
              <w:t>ORATORIO</w:t>
            </w:r>
          </w:p>
        </w:tc>
        <w:tc>
          <w:tcPr>
            <w:tcW w:w="394" w:type="pct"/>
            <w:vMerge w:val="restart"/>
            <w:shd w:val="clear" w:color="auto" w:fill="auto"/>
            <w:vAlign w:val="center"/>
          </w:tcPr>
          <w:p w:rsidR="00102A2C" w:rsidRPr="002C62BF" w:rsidRDefault="00102A2C" w:rsidP="00181B07">
            <w:pPr>
              <w:pStyle w:val="TableText0"/>
              <w:keepLines/>
              <w:jc w:val="center"/>
              <w:rPr>
                <w:rFonts w:eastAsia="Times New Roman" w:cs="Times New Roman"/>
              </w:rPr>
            </w:pPr>
            <w:r w:rsidRPr="002C62BF">
              <w:rPr>
                <w:rFonts w:eastAsia="Times New Roman" w:cs="Times New Roman"/>
              </w:rPr>
              <w:t>732</w:t>
            </w:r>
          </w:p>
        </w:tc>
        <w:tc>
          <w:tcPr>
            <w:tcW w:w="786" w:type="pct"/>
            <w:shd w:val="clear" w:color="auto" w:fill="auto"/>
            <w:vAlign w:val="center"/>
          </w:tcPr>
          <w:p w:rsidR="00102A2C" w:rsidRPr="002C62BF" w:rsidRDefault="00102A2C" w:rsidP="00181B07">
            <w:pPr>
              <w:pStyle w:val="TableText0"/>
              <w:keepLines/>
              <w:jc w:val="center"/>
              <w:rPr>
                <w:rFonts w:ascii="Times" w:eastAsia="Times New Roman" w:hAnsi="Times" w:cs="Times New Roman"/>
              </w:rPr>
            </w:pPr>
            <w:r w:rsidRPr="002C62BF">
              <w:t xml:space="preserve">R, DB, </w:t>
            </w:r>
            <w:r w:rsidRPr="002C62BF">
              <w:br/>
              <w:t>120 weeks</w:t>
            </w:r>
          </w:p>
        </w:tc>
        <w:tc>
          <w:tcPr>
            <w:tcW w:w="471" w:type="pct"/>
            <w:shd w:val="clear" w:color="auto" w:fill="auto"/>
            <w:vAlign w:val="center"/>
          </w:tcPr>
          <w:p w:rsidR="00102A2C" w:rsidRPr="002C62BF" w:rsidRDefault="00102A2C" w:rsidP="00181B07">
            <w:pPr>
              <w:pStyle w:val="TableText0"/>
              <w:keepLines/>
              <w:jc w:val="center"/>
              <w:rPr>
                <w:rFonts w:ascii="Times" w:eastAsia="Times New Roman" w:hAnsi="Times" w:cs="Times New Roman"/>
              </w:rPr>
            </w:pPr>
            <w:r w:rsidRPr="002C62BF">
              <w:t>Low</w:t>
            </w:r>
          </w:p>
        </w:tc>
        <w:tc>
          <w:tcPr>
            <w:tcW w:w="707" w:type="pct"/>
            <w:shd w:val="clear" w:color="auto" w:fill="auto"/>
            <w:vAlign w:val="center"/>
          </w:tcPr>
          <w:p w:rsidR="00102A2C" w:rsidRPr="002C62BF" w:rsidRDefault="00102A2C" w:rsidP="00181B07">
            <w:pPr>
              <w:pStyle w:val="TableText0"/>
              <w:keepLines/>
              <w:jc w:val="center"/>
              <w:rPr>
                <w:rFonts w:ascii="Times" w:eastAsia="Times New Roman" w:hAnsi="Times" w:cs="Times New Roman"/>
              </w:rPr>
            </w:pPr>
            <w:r w:rsidRPr="002C62BF">
              <w:t>PPMS</w:t>
            </w:r>
          </w:p>
        </w:tc>
        <w:tc>
          <w:tcPr>
            <w:tcW w:w="865" w:type="pct"/>
            <w:shd w:val="clear" w:color="auto" w:fill="auto"/>
            <w:vAlign w:val="center"/>
          </w:tcPr>
          <w:p w:rsidR="00102A2C" w:rsidRPr="002C62BF" w:rsidRDefault="00102A2C" w:rsidP="00181B07">
            <w:pPr>
              <w:pStyle w:val="TableText0"/>
              <w:keepLines/>
              <w:jc w:val="center"/>
              <w:rPr>
                <w:rFonts w:ascii="Times" w:eastAsia="Times New Roman" w:hAnsi="Times" w:cs="Times New Roman"/>
              </w:rPr>
            </w:pPr>
            <w:r w:rsidRPr="002C62BF">
              <w:t>CPD 12; CDP 24</w:t>
            </w:r>
          </w:p>
        </w:tc>
        <w:tc>
          <w:tcPr>
            <w:tcW w:w="915" w:type="pct"/>
            <w:shd w:val="clear" w:color="auto" w:fill="auto"/>
            <w:vAlign w:val="center"/>
          </w:tcPr>
          <w:p w:rsidR="00102A2C" w:rsidRPr="002C62BF" w:rsidRDefault="00102A2C" w:rsidP="00181B07">
            <w:pPr>
              <w:pStyle w:val="TableText0"/>
              <w:keepLines/>
              <w:jc w:val="center"/>
            </w:pPr>
            <w:r w:rsidRPr="002C62BF">
              <w:t xml:space="preserve">Yes </w:t>
            </w:r>
          </w:p>
          <w:p w:rsidR="00102A2C" w:rsidRPr="002C62BF" w:rsidRDefault="00102A2C" w:rsidP="00181B07">
            <w:pPr>
              <w:pStyle w:val="TableText0"/>
              <w:keepLines/>
              <w:jc w:val="center"/>
              <w:rPr>
                <w:rFonts w:ascii="Times" w:eastAsia="Times New Roman" w:hAnsi="Times" w:cs="Times New Roman"/>
              </w:rPr>
            </w:pPr>
            <w:r w:rsidRPr="002C62BF">
              <w:t>(sensitivity analyses)</w:t>
            </w:r>
          </w:p>
        </w:tc>
      </w:tr>
      <w:tr w:rsidR="00102A2C" w:rsidRPr="002C62BF" w:rsidTr="0010055C">
        <w:tc>
          <w:tcPr>
            <w:tcW w:w="862" w:type="pct"/>
            <w:shd w:val="clear" w:color="auto" w:fill="auto"/>
            <w:vAlign w:val="center"/>
          </w:tcPr>
          <w:p w:rsidR="00102A2C" w:rsidRPr="002C62BF" w:rsidRDefault="00102A2C" w:rsidP="00181B07">
            <w:pPr>
              <w:pStyle w:val="TableText0"/>
              <w:keepLines/>
              <w:rPr>
                <w:rFonts w:ascii="Times" w:eastAsia="Times New Roman" w:hAnsi="Times" w:cs="Times New Roman"/>
              </w:rPr>
            </w:pPr>
            <w:r w:rsidRPr="002C62BF">
              <w:t>ORATORIO open</w:t>
            </w:r>
            <w:r w:rsidR="00B53EA8" w:rsidRPr="002C62BF">
              <w:t>-</w:t>
            </w:r>
            <w:r w:rsidRPr="002C62BF">
              <w:t>label extension</w:t>
            </w:r>
          </w:p>
        </w:tc>
        <w:tc>
          <w:tcPr>
            <w:tcW w:w="394" w:type="pct"/>
            <w:vMerge/>
            <w:shd w:val="clear" w:color="auto" w:fill="auto"/>
            <w:vAlign w:val="center"/>
          </w:tcPr>
          <w:p w:rsidR="00102A2C" w:rsidRPr="002C62BF" w:rsidRDefault="00102A2C" w:rsidP="00181B07">
            <w:pPr>
              <w:pStyle w:val="TableText0"/>
              <w:keepLines/>
              <w:jc w:val="center"/>
              <w:rPr>
                <w:rFonts w:ascii="Times" w:eastAsia="Times New Roman" w:hAnsi="Times" w:cs="Times New Roman"/>
              </w:rPr>
            </w:pPr>
          </w:p>
        </w:tc>
        <w:tc>
          <w:tcPr>
            <w:tcW w:w="786" w:type="pct"/>
            <w:shd w:val="clear" w:color="auto" w:fill="auto"/>
            <w:vAlign w:val="center"/>
          </w:tcPr>
          <w:p w:rsidR="00102A2C" w:rsidRPr="002C62BF" w:rsidRDefault="00102A2C" w:rsidP="00181B07">
            <w:pPr>
              <w:pStyle w:val="TableText0"/>
              <w:keepLines/>
              <w:jc w:val="center"/>
              <w:rPr>
                <w:rFonts w:ascii="Times" w:eastAsia="Times New Roman" w:hAnsi="Times" w:cs="Times New Roman"/>
              </w:rPr>
            </w:pPr>
            <w:r w:rsidRPr="002C62BF">
              <w:t xml:space="preserve">R, OL, </w:t>
            </w:r>
            <w:r w:rsidRPr="002C62BF">
              <w:br/>
              <w:t>144 weeks*</w:t>
            </w:r>
          </w:p>
        </w:tc>
        <w:tc>
          <w:tcPr>
            <w:tcW w:w="471" w:type="pct"/>
            <w:shd w:val="clear" w:color="auto" w:fill="auto"/>
            <w:vAlign w:val="center"/>
          </w:tcPr>
          <w:p w:rsidR="00102A2C" w:rsidRPr="002C62BF" w:rsidRDefault="00102A2C" w:rsidP="00181B07">
            <w:pPr>
              <w:pStyle w:val="TableText0"/>
              <w:keepLines/>
              <w:jc w:val="center"/>
              <w:rPr>
                <w:rFonts w:ascii="Times" w:eastAsia="Times New Roman" w:hAnsi="Times" w:cs="Times New Roman"/>
              </w:rPr>
            </w:pPr>
            <w:r w:rsidRPr="002C62BF">
              <w:t>Low</w:t>
            </w:r>
          </w:p>
        </w:tc>
        <w:tc>
          <w:tcPr>
            <w:tcW w:w="707" w:type="pct"/>
            <w:shd w:val="clear" w:color="auto" w:fill="auto"/>
            <w:vAlign w:val="center"/>
          </w:tcPr>
          <w:p w:rsidR="00102A2C" w:rsidRPr="002C62BF" w:rsidRDefault="00102A2C" w:rsidP="00181B07">
            <w:pPr>
              <w:pStyle w:val="TableText0"/>
              <w:keepLines/>
              <w:jc w:val="center"/>
              <w:rPr>
                <w:rFonts w:ascii="Times" w:eastAsia="Times New Roman" w:hAnsi="Times" w:cs="Times New Roman"/>
              </w:rPr>
            </w:pPr>
            <w:r w:rsidRPr="002C62BF">
              <w:t>PPMS</w:t>
            </w:r>
          </w:p>
        </w:tc>
        <w:tc>
          <w:tcPr>
            <w:tcW w:w="865" w:type="pct"/>
            <w:shd w:val="clear" w:color="auto" w:fill="auto"/>
            <w:vAlign w:val="center"/>
          </w:tcPr>
          <w:p w:rsidR="00102A2C" w:rsidRPr="002C62BF" w:rsidRDefault="00EF2F28" w:rsidP="00181B07">
            <w:pPr>
              <w:pStyle w:val="TableText0"/>
              <w:keepLines/>
              <w:jc w:val="center"/>
              <w:rPr>
                <w:rFonts w:ascii="Times" w:eastAsia="Times New Roman" w:hAnsi="Times" w:cs="Times New Roman"/>
              </w:rPr>
            </w:pPr>
            <w:r w:rsidRPr="002C62BF">
              <w:t>CDP 1</w:t>
            </w:r>
            <w:r w:rsidR="00102A2C" w:rsidRPr="002C62BF">
              <w:t>2; CDP 24</w:t>
            </w:r>
          </w:p>
        </w:tc>
        <w:tc>
          <w:tcPr>
            <w:tcW w:w="915" w:type="pct"/>
            <w:shd w:val="clear" w:color="auto" w:fill="auto"/>
            <w:vAlign w:val="center"/>
          </w:tcPr>
          <w:p w:rsidR="00102A2C" w:rsidRPr="002C62BF" w:rsidRDefault="00102A2C" w:rsidP="00181B07">
            <w:pPr>
              <w:pStyle w:val="TableText0"/>
              <w:keepLines/>
              <w:jc w:val="center"/>
            </w:pPr>
            <w:r w:rsidRPr="002C62BF">
              <w:t xml:space="preserve">Yes </w:t>
            </w:r>
          </w:p>
          <w:p w:rsidR="00102A2C" w:rsidRPr="002C62BF" w:rsidRDefault="00102A2C" w:rsidP="00181B07">
            <w:pPr>
              <w:pStyle w:val="TableText0"/>
              <w:keepLines/>
              <w:jc w:val="center"/>
              <w:rPr>
                <w:rFonts w:ascii="Times" w:eastAsia="Times New Roman" w:hAnsi="Times" w:cs="Times New Roman"/>
              </w:rPr>
            </w:pPr>
            <w:r w:rsidRPr="002C62BF">
              <w:t>(sensitivity analysis)</w:t>
            </w:r>
          </w:p>
        </w:tc>
      </w:tr>
      <w:tr w:rsidR="00102A2C" w:rsidRPr="002C62BF" w:rsidTr="0010055C">
        <w:tc>
          <w:tcPr>
            <w:tcW w:w="862" w:type="pct"/>
            <w:shd w:val="clear" w:color="auto" w:fill="auto"/>
            <w:vAlign w:val="center"/>
          </w:tcPr>
          <w:p w:rsidR="00102A2C" w:rsidRPr="002C62BF" w:rsidRDefault="00102A2C" w:rsidP="00181B07">
            <w:pPr>
              <w:pStyle w:val="TableText0"/>
              <w:keepLines/>
            </w:pPr>
            <w:r w:rsidRPr="002C62BF">
              <w:t xml:space="preserve">ORATORIO MRI active, ≤50 years </w:t>
            </w:r>
          </w:p>
        </w:tc>
        <w:tc>
          <w:tcPr>
            <w:tcW w:w="394" w:type="pct"/>
            <w:vMerge w:val="restart"/>
            <w:shd w:val="clear" w:color="auto" w:fill="auto"/>
            <w:vAlign w:val="center"/>
          </w:tcPr>
          <w:p w:rsidR="00102A2C" w:rsidRPr="002C62BF" w:rsidRDefault="00102A2C" w:rsidP="00181B07">
            <w:pPr>
              <w:pStyle w:val="TableText0"/>
              <w:keepLines/>
              <w:jc w:val="center"/>
            </w:pPr>
            <w:r w:rsidRPr="002C62BF">
              <w:t>230**</w:t>
            </w:r>
          </w:p>
        </w:tc>
        <w:tc>
          <w:tcPr>
            <w:tcW w:w="786" w:type="pct"/>
            <w:vMerge w:val="restart"/>
            <w:shd w:val="clear" w:color="auto" w:fill="auto"/>
            <w:vAlign w:val="center"/>
          </w:tcPr>
          <w:p w:rsidR="00102A2C" w:rsidRPr="002C62BF" w:rsidRDefault="00102A2C" w:rsidP="00181B07">
            <w:pPr>
              <w:pStyle w:val="TableText0"/>
              <w:keepLines/>
              <w:jc w:val="center"/>
            </w:pPr>
            <w:r w:rsidRPr="002C62BF">
              <w:t>Post-hoc subgroup analysis</w:t>
            </w:r>
          </w:p>
        </w:tc>
        <w:tc>
          <w:tcPr>
            <w:tcW w:w="471" w:type="pct"/>
            <w:shd w:val="clear" w:color="auto" w:fill="auto"/>
            <w:vAlign w:val="center"/>
          </w:tcPr>
          <w:p w:rsidR="00102A2C" w:rsidRPr="002C62BF" w:rsidRDefault="00102A2C" w:rsidP="00181B07">
            <w:pPr>
              <w:pStyle w:val="TableText0"/>
              <w:keepLines/>
              <w:jc w:val="center"/>
            </w:pPr>
            <w:r w:rsidRPr="002C62BF">
              <w:t>High</w:t>
            </w:r>
          </w:p>
        </w:tc>
        <w:tc>
          <w:tcPr>
            <w:tcW w:w="707" w:type="pct"/>
            <w:vMerge w:val="restart"/>
            <w:shd w:val="clear" w:color="auto" w:fill="auto"/>
            <w:vAlign w:val="center"/>
          </w:tcPr>
          <w:p w:rsidR="00102A2C" w:rsidRPr="002C62BF" w:rsidRDefault="00102A2C" w:rsidP="00181B07">
            <w:pPr>
              <w:pStyle w:val="TableText0"/>
              <w:keepLines/>
              <w:jc w:val="center"/>
            </w:pPr>
            <w:r w:rsidRPr="002C62BF">
              <w:t>Active PPMS in patients ≤50 years</w:t>
            </w:r>
          </w:p>
        </w:tc>
        <w:tc>
          <w:tcPr>
            <w:tcW w:w="865" w:type="pct"/>
            <w:shd w:val="clear" w:color="auto" w:fill="auto"/>
            <w:vAlign w:val="center"/>
          </w:tcPr>
          <w:p w:rsidR="00102A2C" w:rsidRPr="002C62BF" w:rsidRDefault="00EF2F28" w:rsidP="00181B07">
            <w:pPr>
              <w:pStyle w:val="TableText0"/>
              <w:keepLines/>
              <w:jc w:val="center"/>
            </w:pPr>
            <w:r w:rsidRPr="002C62BF">
              <w:t>CDP 1</w:t>
            </w:r>
            <w:r w:rsidR="00102A2C" w:rsidRPr="002C62BF">
              <w:t>2; CDP 24</w:t>
            </w:r>
          </w:p>
        </w:tc>
        <w:tc>
          <w:tcPr>
            <w:tcW w:w="915" w:type="pct"/>
            <w:shd w:val="clear" w:color="auto" w:fill="auto"/>
            <w:vAlign w:val="center"/>
          </w:tcPr>
          <w:p w:rsidR="00102A2C" w:rsidRPr="002C62BF" w:rsidRDefault="00102A2C" w:rsidP="00181B07">
            <w:pPr>
              <w:pStyle w:val="TableText0"/>
              <w:keepLines/>
              <w:jc w:val="center"/>
            </w:pPr>
            <w:r w:rsidRPr="002C62BF">
              <w:t xml:space="preserve">Yes </w:t>
            </w:r>
          </w:p>
          <w:p w:rsidR="00102A2C" w:rsidRPr="002C62BF" w:rsidRDefault="00102A2C" w:rsidP="00181B07">
            <w:pPr>
              <w:pStyle w:val="TableText0"/>
              <w:keepLines/>
              <w:jc w:val="center"/>
            </w:pPr>
            <w:r w:rsidRPr="002C62BF">
              <w:t>(sensitivity analysis</w:t>
            </w:r>
          </w:p>
        </w:tc>
      </w:tr>
      <w:tr w:rsidR="00102A2C" w:rsidRPr="002C62BF" w:rsidTr="0010055C">
        <w:tc>
          <w:tcPr>
            <w:tcW w:w="862" w:type="pct"/>
            <w:shd w:val="clear" w:color="auto" w:fill="auto"/>
            <w:vAlign w:val="center"/>
          </w:tcPr>
          <w:p w:rsidR="00102A2C" w:rsidRPr="002C62BF" w:rsidRDefault="00102A2C" w:rsidP="00181B07">
            <w:pPr>
              <w:pStyle w:val="TableText0"/>
              <w:keepLines/>
            </w:pPr>
            <w:r w:rsidRPr="002C62BF">
              <w:t xml:space="preserve">ORATORIO MRI active, ≤50 years </w:t>
            </w:r>
            <w:r w:rsidR="007F5D4D" w:rsidRPr="002C62BF">
              <w:t>extended control period</w:t>
            </w:r>
            <w:r w:rsidRPr="002C62BF">
              <w:t xml:space="preserve"> </w:t>
            </w:r>
          </w:p>
        </w:tc>
        <w:tc>
          <w:tcPr>
            <w:tcW w:w="394" w:type="pct"/>
            <w:vMerge/>
            <w:shd w:val="clear" w:color="auto" w:fill="auto"/>
            <w:vAlign w:val="center"/>
          </w:tcPr>
          <w:p w:rsidR="00102A2C" w:rsidRPr="002C62BF" w:rsidRDefault="00102A2C" w:rsidP="00181B07">
            <w:pPr>
              <w:pStyle w:val="TableText0"/>
              <w:keepLines/>
              <w:jc w:val="center"/>
              <w:rPr>
                <w:rFonts w:ascii="Times" w:eastAsia="Times New Roman" w:hAnsi="Times" w:cs="Times New Roman"/>
              </w:rPr>
            </w:pPr>
          </w:p>
        </w:tc>
        <w:tc>
          <w:tcPr>
            <w:tcW w:w="786" w:type="pct"/>
            <w:vMerge/>
            <w:shd w:val="clear" w:color="auto" w:fill="auto"/>
            <w:vAlign w:val="center"/>
          </w:tcPr>
          <w:p w:rsidR="00102A2C" w:rsidRPr="002C62BF" w:rsidRDefault="00102A2C" w:rsidP="00181B07">
            <w:pPr>
              <w:pStyle w:val="TableText0"/>
              <w:keepLines/>
              <w:jc w:val="center"/>
            </w:pPr>
          </w:p>
        </w:tc>
        <w:tc>
          <w:tcPr>
            <w:tcW w:w="471" w:type="pct"/>
            <w:shd w:val="clear" w:color="auto" w:fill="auto"/>
            <w:vAlign w:val="center"/>
          </w:tcPr>
          <w:p w:rsidR="00102A2C" w:rsidRPr="002C62BF" w:rsidRDefault="00102A2C" w:rsidP="00181B07">
            <w:pPr>
              <w:pStyle w:val="TableText0"/>
              <w:keepLines/>
              <w:jc w:val="center"/>
            </w:pPr>
            <w:r w:rsidRPr="002C62BF">
              <w:t>High</w:t>
            </w:r>
          </w:p>
        </w:tc>
        <w:tc>
          <w:tcPr>
            <w:tcW w:w="707" w:type="pct"/>
            <w:vMerge/>
            <w:shd w:val="clear" w:color="auto" w:fill="auto"/>
            <w:vAlign w:val="center"/>
          </w:tcPr>
          <w:p w:rsidR="00102A2C" w:rsidRPr="002C62BF" w:rsidRDefault="00102A2C" w:rsidP="00181B07">
            <w:pPr>
              <w:pStyle w:val="TableText0"/>
              <w:keepLines/>
              <w:jc w:val="center"/>
            </w:pPr>
          </w:p>
        </w:tc>
        <w:tc>
          <w:tcPr>
            <w:tcW w:w="865" w:type="pct"/>
            <w:shd w:val="clear" w:color="auto" w:fill="auto"/>
            <w:vAlign w:val="center"/>
          </w:tcPr>
          <w:p w:rsidR="00102A2C" w:rsidRPr="002C62BF" w:rsidRDefault="00EF2F28" w:rsidP="00181B07">
            <w:pPr>
              <w:pStyle w:val="TableText0"/>
              <w:keepLines/>
              <w:jc w:val="center"/>
            </w:pPr>
            <w:r w:rsidRPr="002C62BF">
              <w:t>CDP 1</w:t>
            </w:r>
            <w:r w:rsidR="00102A2C" w:rsidRPr="002C62BF">
              <w:t>2; CDP 24</w:t>
            </w:r>
          </w:p>
        </w:tc>
        <w:tc>
          <w:tcPr>
            <w:tcW w:w="915" w:type="pct"/>
            <w:shd w:val="clear" w:color="auto" w:fill="auto"/>
            <w:vAlign w:val="center"/>
          </w:tcPr>
          <w:p w:rsidR="00102A2C" w:rsidRPr="002C62BF" w:rsidRDefault="00102A2C" w:rsidP="00181B07">
            <w:pPr>
              <w:pStyle w:val="TableText0"/>
              <w:keepLines/>
              <w:jc w:val="center"/>
            </w:pPr>
            <w:r w:rsidRPr="002C62BF">
              <w:t>Yes</w:t>
            </w:r>
          </w:p>
          <w:p w:rsidR="00102A2C" w:rsidRPr="002C62BF" w:rsidRDefault="00102A2C" w:rsidP="00181B07">
            <w:pPr>
              <w:pStyle w:val="TableText0"/>
              <w:keepLines/>
              <w:jc w:val="center"/>
            </w:pPr>
            <w:r w:rsidRPr="002C62BF">
              <w:t>(base case)</w:t>
            </w:r>
          </w:p>
        </w:tc>
      </w:tr>
    </w:tbl>
    <w:p w:rsidR="00102A2C" w:rsidRPr="002C62BF" w:rsidRDefault="00102A2C" w:rsidP="00181B07">
      <w:pPr>
        <w:pStyle w:val="TableFooter"/>
        <w:keepNext/>
        <w:keepLines/>
      </w:pPr>
      <w:r w:rsidRPr="002C62BF">
        <w:t>CDP=confirmed disability progression, defined as the time from baseline to the first disability progression, which is confirmed at the next regularly scheduled visit ≥12 weeks (or ≥24 weeks) after the initial disability progression (</w:t>
      </w:r>
      <w:r w:rsidR="003A6913" w:rsidRPr="002C62BF">
        <w:t>i.e.</w:t>
      </w:r>
      <w:r w:rsidRPr="002C62BF">
        <w:t>, that observed increase in disability was sustained for a period of 12 or 24 weeks); DB=double blind; MC=multi-centre; MRI = magnetic resonance imaging; OL=open</w:t>
      </w:r>
      <w:r w:rsidR="00B53EA8" w:rsidRPr="002C62BF">
        <w:t>-l</w:t>
      </w:r>
      <w:r w:rsidRPr="002C62BF">
        <w:t>abel; OS=overall survival; PFS=progression-free survival; R=randomised.</w:t>
      </w:r>
    </w:p>
    <w:p w:rsidR="00102A2C" w:rsidRPr="002C62BF" w:rsidRDefault="00102A2C" w:rsidP="00181B07">
      <w:pPr>
        <w:pStyle w:val="TableFooter"/>
        <w:keepNext/>
        <w:keepLines/>
      </w:pPr>
      <w:r w:rsidRPr="002C62BF">
        <w:t>Source: pp24-46 of the resubmission</w:t>
      </w:r>
    </w:p>
    <w:p w:rsidR="00102A2C" w:rsidRPr="002C62BF" w:rsidRDefault="00102A2C" w:rsidP="00181B07">
      <w:pPr>
        <w:pStyle w:val="TableFooter"/>
        <w:keepNext/>
        <w:keepLines/>
        <w:ind w:left="284" w:hanging="284"/>
      </w:pPr>
      <w:r w:rsidRPr="002C62BF">
        <w:t>*</w:t>
      </w:r>
      <w:r w:rsidRPr="002C62BF">
        <w:tab/>
        <w:t xml:space="preserve">The </w:t>
      </w:r>
      <w:r w:rsidR="005F4F09" w:rsidRPr="002C62BF">
        <w:t>re</w:t>
      </w:r>
      <w:r w:rsidRPr="002C62BF">
        <w:t>submission stated that after the primary cut-off of 120 weeks, the open</w:t>
      </w:r>
      <w:r w:rsidR="00B53EA8" w:rsidRPr="002C62BF">
        <w:t>-</w:t>
      </w:r>
      <w:r w:rsidRPr="002C62BF">
        <w:t>label study remained blinded and random controlled until 144 weeks.</w:t>
      </w:r>
    </w:p>
    <w:p w:rsidR="00102A2C" w:rsidRPr="002C62BF" w:rsidRDefault="00102A2C" w:rsidP="00181B07">
      <w:pPr>
        <w:pStyle w:val="TableFooter"/>
        <w:keepNext/>
        <w:keepLines/>
        <w:spacing w:after="120"/>
        <w:ind w:left="284" w:hanging="284"/>
      </w:pPr>
      <w:r w:rsidRPr="002C62BF">
        <w:t>**</w:t>
      </w:r>
      <w:r w:rsidRPr="002C62BF">
        <w:tab/>
        <w:t>Based on Figure 2.4, p37of the resubmission.</w:t>
      </w:r>
    </w:p>
    <w:p w:rsidR="00045017" w:rsidRPr="002C62BF" w:rsidRDefault="00102A2C" w:rsidP="00EC5836">
      <w:pPr>
        <w:pStyle w:val="3-BodyText"/>
        <w:rPr>
          <w:color w:val="000000" w:themeColor="text1"/>
        </w:rPr>
      </w:pPr>
      <w:r w:rsidRPr="002C62BF">
        <w:rPr>
          <w:color w:val="000000" w:themeColor="text1"/>
        </w:rPr>
        <w:t>As a post-hoc subgroup analysis</w:t>
      </w:r>
      <w:r w:rsidR="00EF2F28" w:rsidRPr="002C62BF">
        <w:rPr>
          <w:color w:val="000000" w:themeColor="text1"/>
        </w:rPr>
        <w:t>,</w:t>
      </w:r>
      <w:r w:rsidRPr="002C62BF">
        <w:rPr>
          <w:color w:val="000000" w:themeColor="text1"/>
        </w:rPr>
        <w:t xml:space="preserve"> selecting for multiple patient characteristics (age, MRI activity)</w:t>
      </w:r>
      <w:r w:rsidR="00DF0059" w:rsidRPr="002C62BF">
        <w:rPr>
          <w:color w:val="000000" w:themeColor="text1"/>
        </w:rPr>
        <w:t>,</w:t>
      </w:r>
      <w:r w:rsidRPr="002C62BF">
        <w:rPr>
          <w:color w:val="000000" w:themeColor="text1"/>
        </w:rPr>
        <w:t xml:space="preserve"> these estimates have a high risk of bias. </w:t>
      </w:r>
    </w:p>
    <w:p w:rsidR="00BF1254" w:rsidRPr="002C62BF" w:rsidRDefault="00BF1254" w:rsidP="00EC5836">
      <w:pPr>
        <w:pStyle w:val="3-BodyText"/>
        <w:rPr>
          <w:color w:val="000000" w:themeColor="text1"/>
        </w:rPr>
      </w:pPr>
      <w:r w:rsidRPr="002C62BF">
        <w:rPr>
          <w:color w:val="000000" w:themeColor="text1"/>
        </w:rPr>
        <w:t>The submission included minimal baseline characteristics of the ORATORIO 50 years or younger and MRI active subgroup, which only included baseline age</w:t>
      </w:r>
      <w:r w:rsidR="00095E0C" w:rsidRPr="002C62BF">
        <w:rPr>
          <w:color w:val="000000" w:themeColor="text1"/>
        </w:rPr>
        <w:t xml:space="preserve"> and</w:t>
      </w:r>
      <w:r w:rsidRPr="002C62BF">
        <w:rPr>
          <w:color w:val="000000" w:themeColor="text1"/>
        </w:rPr>
        <w:t xml:space="preserve"> sex</w:t>
      </w:r>
      <w:r w:rsidR="00095E0C" w:rsidRPr="002C62BF">
        <w:rPr>
          <w:color w:val="000000" w:themeColor="text1"/>
        </w:rPr>
        <w:t>.</w:t>
      </w:r>
      <w:r w:rsidRPr="002C62BF">
        <w:rPr>
          <w:color w:val="000000" w:themeColor="text1"/>
        </w:rPr>
        <w:t xml:space="preserve"> </w:t>
      </w:r>
    </w:p>
    <w:p w:rsidR="00B60939" w:rsidRPr="002C62BF" w:rsidRDefault="00B60939" w:rsidP="00EC5836">
      <w:pPr>
        <w:pStyle w:val="4-SubsectionHeading"/>
      </w:pPr>
      <w:bookmarkStart w:id="18" w:name="_Toc22897641"/>
      <w:bookmarkStart w:id="19" w:name="_Toc40873647"/>
      <w:r w:rsidRPr="002C62BF">
        <w:t>Comparative effectiveness</w:t>
      </w:r>
      <w:bookmarkEnd w:id="18"/>
      <w:bookmarkEnd w:id="19"/>
    </w:p>
    <w:p w:rsidR="00F361E1" w:rsidRPr="002C62BF" w:rsidRDefault="00F361E1" w:rsidP="00EC5836">
      <w:pPr>
        <w:pStyle w:val="3-BodyText"/>
        <w:rPr>
          <w:color w:val="000000" w:themeColor="text1"/>
        </w:rPr>
      </w:pPr>
      <w:r w:rsidRPr="002C62BF">
        <w:t>The resubmission acknowledged that no tests for interaction in any of the ORATORIO pre-defined subgroup analyses were statistically significant, and observed differences were potentially due to expected variation. Relevant subgroups for which there was no statistically significant interaction included age (45 or younger versus over 45 years) and presence of gadolinium-enhancing T1 lesions.</w:t>
      </w:r>
    </w:p>
    <w:p w:rsidR="002C2775" w:rsidRPr="002C62BF" w:rsidRDefault="008A6811" w:rsidP="00EC5836">
      <w:pPr>
        <w:pStyle w:val="3-BodyText"/>
        <w:rPr>
          <w:color w:val="000000" w:themeColor="text1"/>
        </w:rPr>
      </w:pPr>
      <w:r w:rsidRPr="002C62BF">
        <w:rPr>
          <w:snapToGrid/>
          <w:color w:val="000000" w:themeColor="text1"/>
        </w:rPr>
        <w:t xml:space="preserve">The resubmission presented results from the </w:t>
      </w:r>
      <w:r w:rsidRPr="002C62BF">
        <w:rPr>
          <w:i/>
          <w:snapToGrid/>
          <w:color w:val="000000" w:themeColor="text1"/>
        </w:rPr>
        <w:t>post-hoc</w:t>
      </w:r>
      <w:r w:rsidRPr="002C62BF">
        <w:rPr>
          <w:snapToGrid/>
          <w:color w:val="000000" w:themeColor="text1"/>
        </w:rPr>
        <w:t xml:space="preserve"> analyses of a subgroup of patients with disease activity defined by magnetic resonance imagin</w:t>
      </w:r>
      <w:r w:rsidR="00EF2F28" w:rsidRPr="002C62BF">
        <w:rPr>
          <w:snapToGrid/>
          <w:color w:val="000000" w:themeColor="text1"/>
        </w:rPr>
        <w:t xml:space="preserve">g (MRI) </w:t>
      </w:r>
      <w:r w:rsidRPr="002C62BF">
        <w:rPr>
          <w:snapToGrid/>
          <w:color w:val="000000" w:themeColor="text1"/>
        </w:rPr>
        <w:t>and the subgroup of patients age</w:t>
      </w:r>
      <w:r w:rsidR="00EF2F28" w:rsidRPr="002C62BF">
        <w:rPr>
          <w:snapToGrid/>
          <w:color w:val="000000" w:themeColor="text1"/>
        </w:rPr>
        <w:t>d</w:t>
      </w:r>
      <w:r w:rsidRPr="002C62BF">
        <w:rPr>
          <w:snapToGrid/>
          <w:color w:val="000000" w:themeColor="text1"/>
        </w:rPr>
        <w:t xml:space="preserve"> 50 or younger </w:t>
      </w:r>
      <w:r w:rsidR="00EF2F28" w:rsidRPr="002C62BF">
        <w:rPr>
          <w:snapToGrid/>
          <w:color w:val="000000" w:themeColor="text1"/>
        </w:rPr>
        <w:t>with</w:t>
      </w:r>
      <w:r w:rsidRPr="002C62BF">
        <w:rPr>
          <w:snapToGrid/>
          <w:color w:val="000000" w:themeColor="text1"/>
        </w:rPr>
        <w:t xml:space="preserve"> </w:t>
      </w:r>
      <w:r w:rsidR="009E49EC" w:rsidRPr="002C62BF">
        <w:rPr>
          <w:snapToGrid/>
          <w:color w:val="000000" w:themeColor="text1"/>
        </w:rPr>
        <w:t>MRI</w:t>
      </w:r>
      <w:r w:rsidRPr="002C62BF">
        <w:rPr>
          <w:snapToGrid/>
          <w:color w:val="000000" w:themeColor="text1"/>
        </w:rPr>
        <w:t xml:space="preserve"> activity</w:t>
      </w:r>
      <w:r w:rsidR="00EF2F28" w:rsidRPr="002C62BF">
        <w:rPr>
          <w:snapToGrid/>
          <w:color w:val="000000" w:themeColor="text1"/>
        </w:rPr>
        <w:t>.</w:t>
      </w:r>
      <w:r w:rsidRPr="002C62BF">
        <w:rPr>
          <w:snapToGrid/>
          <w:color w:val="000000" w:themeColor="text1"/>
        </w:rPr>
        <w:t xml:space="preserve"> The November 2017 submission </w:t>
      </w:r>
      <w:r w:rsidR="009E49EC" w:rsidRPr="002C62BF">
        <w:rPr>
          <w:snapToGrid/>
          <w:color w:val="000000" w:themeColor="text1"/>
        </w:rPr>
        <w:t>was</w:t>
      </w:r>
      <w:r w:rsidRPr="002C62BF">
        <w:rPr>
          <w:snapToGrid/>
          <w:color w:val="000000" w:themeColor="text1"/>
        </w:rPr>
        <w:t xml:space="preserve"> primarily based on the ITT analysis of the ORATORIO trial. The resubmission presented hazard</w:t>
      </w:r>
      <w:r w:rsidR="009E49EC" w:rsidRPr="002C62BF">
        <w:rPr>
          <w:snapToGrid/>
          <w:color w:val="000000" w:themeColor="text1"/>
        </w:rPr>
        <w:t xml:space="preserve"> ratios but not the proportion </w:t>
      </w:r>
      <w:r w:rsidRPr="002C62BF">
        <w:rPr>
          <w:snapToGrid/>
          <w:color w:val="000000" w:themeColor="text1"/>
        </w:rPr>
        <w:t xml:space="preserve">of patients with events, nor median time to confirmed disability progression for any of the outcomes. </w:t>
      </w:r>
    </w:p>
    <w:p w:rsidR="00546025" w:rsidRPr="002C62BF" w:rsidRDefault="00F35E20" w:rsidP="00F35E20">
      <w:pPr>
        <w:pStyle w:val="3-BodyText"/>
        <w:rPr>
          <w:color w:val="000000" w:themeColor="text1"/>
        </w:rPr>
      </w:pPr>
      <w:r w:rsidRPr="002C62BF">
        <w:rPr>
          <w:color w:val="000000" w:themeColor="text1"/>
        </w:rPr>
        <w:t>Key efficacy results are presented i</w:t>
      </w:r>
      <w:r w:rsidRPr="002C62BF">
        <w:t>n Table 5.</w:t>
      </w:r>
    </w:p>
    <w:p w:rsidR="0010055C" w:rsidRPr="002C62BF" w:rsidRDefault="0010055C" w:rsidP="00181B07">
      <w:pPr>
        <w:pStyle w:val="TableFigureHeading"/>
        <w:keepLines/>
      </w:pPr>
      <w:bookmarkStart w:id="20" w:name="_Ref39764093"/>
      <w:r w:rsidRPr="002C62BF">
        <w:lastRenderedPageBreak/>
        <w:t xml:space="preserve">Table </w:t>
      </w:r>
      <w:r w:rsidR="0089607C" w:rsidRPr="002C62BF">
        <w:rPr>
          <w:rStyle w:val="CommentReference"/>
          <w:b/>
          <w:szCs w:val="24"/>
        </w:rPr>
        <w:t>5</w:t>
      </w:r>
      <w:bookmarkEnd w:id="20"/>
      <w:r w:rsidRPr="002C62BF">
        <w:t xml:space="preserve">: </w:t>
      </w:r>
      <w:r w:rsidR="00F35E20" w:rsidRPr="002C62BF">
        <w:t xml:space="preserve">key results from the ITT analysis and post-hoc subgroup analyses of ORATORIO </w:t>
      </w:r>
    </w:p>
    <w:tbl>
      <w:tblPr>
        <w:tblStyle w:val="TableGrid"/>
        <w:tblW w:w="5000" w:type="pct"/>
        <w:tblCellMar>
          <w:left w:w="29" w:type="dxa"/>
          <w:right w:w="29" w:type="dxa"/>
        </w:tblCellMar>
        <w:tblLook w:val="04A0" w:firstRow="1" w:lastRow="0" w:firstColumn="1" w:lastColumn="0" w:noHBand="0" w:noVBand="1"/>
      </w:tblPr>
      <w:tblGrid>
        <w:gridCol w:w="2603"/>
        <w:gridCol w:w="1885"/>
        <w:gridCol w:w="1885"/>
        <w:gridCol w:w="1558"/>
        <w:gridCol w:w="1086"/>
      </w:tblGrid>
      <w:tr w:rsidR="0010055C" w:rsidRPr="002C62BF" w:rsidTr="009E49EC">
        <w:tc>
          <w:tcPr>
            <w:tcW w:w="1444" w:type="pct"/>
          </w:tcPr>
          <w:p w:rsidR="0010055C" w:rsidRPr="002C62BF" w:rsidRDefault="0010055C" w:rsidP="00181B07">
            <w:pPr>
              <w:pStyle w:val="Tabletext"/>
              <w:keepNext/>
              <w:keepLines/>
              <w:rPr>
                <w:b/>
              </w:rPr>
            </w:pPr>
          </w:p>
        </w:tc>
        <w:tc>
          <w:tcPr>
            <w:tcW w:w="1045" w:type="pct"/>
            <w:vAlign w:val="center"/>
          </w:tcPr>
          <w:p w:rsidR="0010055C" w:rsidRPr="002C62BF" w:rsidRDefault="0010055C" w:rsidP="00181B07">
            <w:pPr>
              <w:pStyle w:val="Tabletext"/>
              <w:keepNext/>
              <w:keepLines/>
              <w:jc w:val="center"/>
              <w:rPr>
                <w:b/>
              </w:rPr>
            </w:pPr>
            <w:r w:rsidRPr="002C62BF">
              <w:rPr>
                <w:b/>
              </w:rPr>
              <w:t>Placebo (N = 244)</w:t>
            </w:r>
          </w:p>
        </w:tc>
        <w:tc>
          <w:tcPr>
            <w:tcW w:w="1045" w:type="pct"/>
            <w:vAlign w:val="center"/>
          </w:tcPr>
          <w:p w:rsidR="0010055C" w:rsidRPr="002C62BF" w:rsidRDefault="0010055C" w:rsidP="00181B07">
            <w:pPr>
              <w:pStyle w:val="Tabletext"/>
              <w:keepNext/>
              <w:keepLines/>
              <w:jc w:val="center"/>
              <w:rPr>
                <w:b/>
              </w:rPr>
            </w:pPr>
            <w:r w:rsidRPr="002C62BF">
              <w:rPr>
                <w:b/>
              </w:rPr>
              <w:t>Ocrelizumab (N = 487)</w:t>
            </w:r>
          </w:p>
        </w:tc>
        <w:tc>
          <w:tcPr>
            <w:tcW w:w="864" w:type="pct"/>
            <w:vMerge w:val="restart"/>
            <w:vAlign w:val="center"/>
          </w:tcPr>
          <w:p w:rsidR="0010055C" w:rsidRPr="002C62BF" w:rsidRDefault="0010055C" w:rsidP="00181B07">
            <w:pPr>
              <w:pStyle w:val="Tabletext"/>
              <w:keepNext/>
              <w:keepLines/>
              <w:jc w:val="center"/>
              <w:rPr>
                <w:b/>
              </w:rPr>
            </w:pPr>
            <w:r w:rsidRPr="002C62BF">
              <w:rPr>
                <w:b/>
              </w:rPr>
              <w:t>HR (95% CI)</w:t>
            </w:r>
          </w:p>
        </w:tc>
        <w:tc>
          <w:tcPr>
            <w:tcW w:w="602" w:type="pct"/>
            <w:vMerge w:val="restart"/>
            <w:vAlign w:val="center"/>
          </w:tcPr>
          <w:p w:rsidR="0010055C" w:rsidRPr="002C62BF" w:rsidRDefault="001B2F16" w:rsidP="00181B07">
            <w:pPr>
              <w:pStyle w:val="Tabletext"/>
              <w:keepNext/>
              <w:keepLines/>
              <w:jc w:val="center"/>
              <w:rPr>
                <w:b/>
              </w:rPr>
            </w:pPr>
            <w:r w:rsidRPr="002C62BF">
              <w:rPr>
                <w:b/>
                <w:i/>
              </w:rPr>
              <w:t xml:space="preserve">Test for interaction </w:t>
            </w:r>
            <w:r w:rsidR="0010055C" w:rsidRPr="002C62BF">
              <w:rPr>
                <w:b/>
                <w:i/>
              </w:rPr>
              <w:t>p</w:t>
            </w:r>
            <w:r w:rsidRPr="002C62BF">
              <w:rPr>
                <w:b/>
              </w:rPr>
              <w:noBreakHyphen/>
            </w:r>
            <w:r w:rsidR="0010055C" w:rsidRPr="002C62BF">
              <w:rPr>
                <w:b/>
              </w:rPr>
              <w:t>value</w:t>
            </w:r>
          </w:p>
        </w:tc>
      </w:tr>
      <w:tr w:rsidR="0010055C" w:rsidRPr="002C62BF" w:rsidTr="009E49EC">
        <w:tc>
          <w:tcPr>
            <w:tcW w:w="1444" w:type="pct"/>
          </w:tcPr>
          <w:p w:rsidR="0010055C" w:rsidRPr="002C62BF" w:rsidRDefault="0010055C" w:rsidP="00181B07">
            <w:pPr>
              <w:pStyle w:val="Tabletext"/>
              <w:keepNext/>
              <w:keepLines/>
              <w:rPr>
                <w:b/>
              </w:rPr>
            </w:pPr>
            <w:r w:rsidRPr="002C62BF">
              <w:rPr>
                <w:b/>
              </w:rPr>
              <w:t>Population</w:t>
            </w:r>
          </w:p>
        </w:tc>
        <w:tc>
          <w:tcPr>
            <w:tcW w:w="1045" w:type="pct"/>
          </w:tcPr>
          <w:p w:rsidR="0010055C" w:rsidRPr="002C62BF" w:rsidRDefault="0010055C" w:rsidP="00181B07">
            <w:pPr>
              <w:pStyle w:val="Tabletext"/>
              <w:keepNext/>
              <w:keepLines/>
              <w:jc w:val="center"/>
              <w:rPr>
                <w:b/>
              </w:rPr>
            </w:pPr>
            <w:r w:rsidRPr="002C62BF">
              <w:rPr>
                <w:b/>
              </w:rPr>
              <w:t>n (%)</w:t>
            </w:r>
          </w:p>
        </w:tc>
        <w:tc>
          <w:tcPr>
            <w:tcW w:w="1045" w:type="pct"/>
          </w:tcPr>
          <w:p w:rsidR="0010055C" w:rsidRPr="002C62BF" w:rsidRDefault="0010055C" w:rsidP="00181B07">
            <w:pPr>
              <w:pStyle w:val="Tabletext"/>
              <w:keepNext/>
              <w:keepLines/>
              <w:jc w:val="center"/>
              <w:rPr>
                <w:b/>
              </w:rPr>
            </w:pPr>
            <w:r w:rsidRPr="002C62BF">
              <w:rPr>
                <w:b/>
              </w:rPr>
              <w:t>n (%)</w:t>
            </w:r>
          </w:p>
        </w:tc>
        <w:tc>
          <w:tcPr>
            <w:tcW w:w="864" w:type="pct"/>
            <w:vMerge/>
          </w:tcPr>
          <w:p w:rsidR="0010055C" w:rsidRPr="002C62BF" w:rsidRDefault="0010055C" w:rsidP="00181B07">
            <w:pPr>
              <w:pStyle w:val="Tabletext"/>
              <w:keepNext/>
              <w:keepLines/>
              <w:jc w:val="center"/>
              <w:rPr>
                <w:b/>
              </w:rPr>
            </w:pPr>
          </w:p>
        </w:tc>
        <w:tc>
          <w:tcPr>
            <w:tcW w:w="602" w:type="pct"/>
            <w:vMerge/>
          </w:tcPr>
          <w:p w:rsidR="0010055C" w:rsidRPr="002C62BF" w:rsidRDefault="0010055C" w:rsidP="00181B07">
            <w:pPr>
              <w:pStyle w:val="Tabletext"/>
              <w:keepNext/>
              <w:keepLines/>
              <w:jc w:val="center"/>
              <w:rPr>
                <w:b/>
              </w:rPr>
            </w:pPr>
          </w:p>
        </w:tc>
      </w:tr>
      <w:tr w:rsidR="009E49EC" w:rsidRPr="002C62BF" w:rsidTr="009E49EC">
        <w:tc>
          <w:tcPr>
            <w:tcW w:w="5000" w:type="pct"/>
            <w:gridSpan w:val="5"/>
            <w:vAlign w:val="center"/>
          </w:tcPr>
          <w:p w:rsidR="009E49EC" w:rsidRPr="002C62BF" w:rsidRDefault="009E49EC" w:rsidP="00181B07">
            <w:pPr>
              <w:pStyle w:val="Tabletext"/>
              <w:keepNext/>
              <w:keepLines/>
              <w:rPr>
                <w:b/>
              </w:rPr>
            </w:pPr>
            <w:r w:rsidRPr="002C62BF">
              <w:rPr>
                <w:b/>
              </w:rPr>
              <w:t>CDP 12</w:t>
            </w:r>
          </w:p>
        </w:tc>
      </w:tr>
      <w:tr w:rsidR="0010055C" w:rsidRPr="002C62BF" w:rsidTr="00717270">
        <w:tc>
          <w:tcPr>
            <w:tcW w:w="1444" w:type="pct"/>
            <w:tcBorders>
              <w:bottom w:val="single" w:sz="4" w:space="0" w:color="auto"/>
            </w:tcBorders>
          </w:tcPr>
          <w:p w:rsidR="0010055C" w:rsidRPr="002C62BF" w:rsidRDefault="0010055C" w:rsidP="00181B07">
            <w:pPr>
              <w:pStyle w:val="Tabletext"/>
              <w:keepNext/>
              <w:keepLines/>
            </w:pPr>
            <w:r w:rsidRPr="002C62BF">
              <w:t>ITT</w:t>
            </w:r>
          </w:p>
        </w:tc>
        <w:tc>
          <w:tcPr>
            <w:tcW w:w="1045" w:type="pct"/>
            <w:tcBorders>
              <w:bottom w:val="single" w:sz="4" w:space="0" w:color="auto"/>
            </w:tcBorders>
          </w:tcPr>
          <w:p w:rsidR="0010055C" w:rsidRPr="002C62BF" w:rsidRDefault="0010055C" w:rsidP="00181B07">
            <w:pPr>
              <w:pStyle w:val="Tabletext"/>
              <w:keepNext/>
              <w:keepLines/>
              <w:jc w:val="center"/>
            </w:pPr>
            <w:r w:rsidRPr="002C62BF">
              <w:t>244 (100)</w:t>
            </w:r>
          </w:p>
        </w:tc>
        <w:tc>
          <w:tcPr>
            <w:tcW w:w="1045" w:type="pct"/>
            <w:tcBorders>
              <w:bottom w:val="single" w:sz="4" w:space="0" w:color="auto"/>
            </w:tcBorders>
          </w:tcPr>
          <w:p w:rsidR="0010055C" w:rsidRPr="002C62BF" w:rsidRDefault="0010055C" w:rsidP="00181B07">
            <w:pPr>
              <w:pStyle w:val="Tabletext"/>
              <w:keepNext/>
              <w:keepLines/>
              <w:jc w:val="center"/>
            </w:pPr>
            <w:r w:rsidRPr="002C62BF">
              <w:t>487 (100)</w:t>
            </w:r>
          </w:p>
        </w:tc>
        <w:tc>
          <w:tcPr>
            <w:tcW w:w="864" w:type="pct"/>
            <w:tcBorders>
              <w:bottom w:val="single" w:sz="4" w:space="0" w:color="auto"/>
            </w:tcBorders>
          </w:tcPr>
          <w:p w:rsidR="0010055C" w:rsidRPr="002C62BF" w:rsidRDefault="0010055C" w:rsidP="00181B07">
            <w:pPr>
              <w:pStyle w:val="Tabletext"/>
              <w:keepNext/>
              <w:keepLines/>
              <w:jc w:val="center"/>
            </w:pPr>
            <w:r w:rsidRPr="002C62BF">
              <w:t>0.76 (0.59–0.98)</w:t>
            </w:r>
          </w:p>
        </w:tc>
        <w:tc>
          <w:tcPr>
            <w:tcW w:w="602" w:type="pct"/>
            <w:tcBorders>
              <w:bottom w:val="single" w:sz="4" w:space="0" w:color="auto"/>
            </w:tcBorders>
          </w:tcPr>
          <w:p w:rsidR="0010055C" w:rsidRPr="002C62BF" w:rsidRDefault="007F5D4D" w:rsidP="00181B07">
            <w:pPr>
              <w:pStyle w:val="Tabletext"/>
              <w:keepNext/>
              <w:keepLines/>
              <w:jc w:val="center"/>
            </w:pPr>
            <w:r w:rsidRPr="002C62BF">
              <w:t>-</w:t>
            </w:r>
          </w:p>
        </w:tc>
      </w:tr>
      <w:tr w:rsidR="0010055C" w:rsidRPr="002C62BF" w:rsidTr="00717270">
        <w:tc>
          <w:tcPr>
            <w:tcW w:w="1444" w:type="pct"/>
            <w:tcBorders>
              <w:bottom w:val="nil"/>
            </w:tcBorders>
          </w:tcPr>
          <w:p w:rsidR="0010055C" w:rsidRPr="002C62BF" w:rsidRDefault="0010055C" w:rsidP="00181B07">
            <w:pPr>
              <w:pStyle w:val="Tabletext"/>
              <w:keepNext/>
              <w:keepLines/>
            </w:pPr>
            <w:r w:rsidRPr="002C62BF">
              <w:t>‘MRI activity’ subgroup</w:t>
            </w:r>
          </w:p>
        </w:tc>
        <w:tc>
          <w:tcPr>
            <w:tcW w:w="1045" w:type="pct"/>
            <w:tcBorders>
              <w:bottom w:val="nil"/>
            </w:tcBorders>
          </w:tcPr>
          <w:p w:rsidR="0010055C" w:rsidRPr="002C62BF" w:rsidRDefault="0010055C" w:rsidP="00181B07">
            <w:pPr>
              <w:pStyle w:val="Tabletext"/>
              <w:keepNext/>
              <w:keepLines/>
              <w:jc w:val="center"/>
            </w:pPr>
            <w:r w:rsidRPr="002C62BF">
              <w:t>104 (42.6)</w:t>
            </w:r>
          </w:p>
        </w:tc>
        <w:tc>
          <w:tcPr>
            <w:tcW w:w="1045" w:type="pct"/>
            <w:tcBorders>
              <w:bottom w:val="nil"/>
            </w:tcBorders>
          </w:tcPr>
          <w:p w:rsidR="0010055C" w:rsidRPr="002C62BF" w:rsidRDefault="0010055C" w:rsidP="00181B07">
            <w:pPr>
              <w:pStyle w:val="Tabletext"/>
              <w:keepNext/>
              <w:keepLines/>
              <w:jc w:val="center"/>
            </w:pPr>
            <w:r w:rsidRPr="002C62BF">
              <w:t>189 (38.8)</w:t>
            </w:r>
          </w:p>
        </w:tc>
        <w:tc>
          <w:tcPr>
            <w:tcW w:w="864" w:type="pct"/>
            <w:tcBorders>
              <w:bottom w:val="nil"/>
            </w:tcBorders>
          </w:tcPr>
          <w:p w:rsidR="0010055C" w:rsidRPr="002C62BF" w:rsidRDefault="0010055C" w:rsidP="00181B07">
            <w:pPr>
              <w:pStyle w:val="Tabletext"/>
              <w:keepNext/>
              <w:keepLines/>
              <w:jc w:val="center"/>
            </w:pPr>
            <w:r w:rsidRPr="002C62BF">
              <w:t>0.68 (0.46–0.99)</w:t>
            </w:r>
          </w:p>
        </w:tc>
        <w:tc>
          <w:tcPr>
            <w:tcW w:w="602" w:type="pct"/>
            <w:tcBorders>
              <w:bottom w:val="nil"/>
            </w:tcBorders>
          </w:tcPr>
          <w:p w:rsidR="0010055C" w:rsidRPr="002C62BF" w:rsidRDefault="0010055C" w:rsidP="00181B07">
            <w:pPr>
              <w:pStyle w:val="Tabletext"/>
              <w:keepNext/>
              <w:keepLines/>
              <w:jc w:val="center"/>
            </w:pPr>
            <w:r w:rsidRPr="002C62BF">
              <w:t>0.03631</w:t>
            </w:r>
          </w:p>
        </w:tc>
      </w:tr>
      <w:tr w:rsidR="0010055C" w:rsidRPr="002C62BF" w:rsidTr="00717270">
        <w:tc>
          <w:tcPr>
            <w:tcW w:w="1444" w:type="pct"/>
            <w:tcBorders>
              <w:top w:val="nil"/>
              <w:bottom w:val="single" w:sz="4" w:space="0" w:color="auto"/>
            </w:tcBorders>
          </w:tcPr>
          <w:p w:rsidR="0010055C" w:rsidRPr="002C62BF" w:rsidRDefault="0010055C" w:rsidP="00181B07">
            <w:pPr>
              <w:pStyle w:val="Tabletext"/>
              <w:keepNext/>
              <w:keepLines/>
            </w:pPr>
            <w:r w:rsidRPr="002C62BF">
              <w:t>Complement subgroup</w:t>
            </w:r>
          </w:p>
        </w:tc>
        <w:tc>
          <w:tcPr>
            <w:tcW w:w="1045" w:type="pct"/>
            <w:tcBorders>
              <w:top w:val="nil"/>
              <w:bottom w:val="single" w:sz="4" w:space="0" w:color="auto"/>
            </w:tcBorders>
          </w:tcPr>
          <w:p w:rsidR="0010055C" w:rsidRPr="002C62BF" w:rsidRDefault="0010055C" w:rsidP="00181B07">
            <w:pPr>
              <w:pStyle w:val="Tabletext"/>
              <w:keepNext/>
              <w:keepLines/>
              <w:jc w:val="center"/>
            </w:pPr>
            <w:r w:rsidRPr="002C62BF">
              <w:t>140 (57.4)</w:t>
            </w:r>
          </w:p>
        </w:tc>
        <w:tc>
          <w:tcPr>
            <w:tcW w:w="1045" w:type="pct"/>
            <w:tcBorders>
              <w:top w:val="nil"/>
              <w:bottom w:val="single" w:sz="4" w:space="0" w:color="auto"/>
            </w:tcBorders>
          </w:tcPr>
          <w:p w:rsidR="0010055C" w:rsidRPr="002C62BF" w:rsidRDefault="0010055C" w:rsidP="00181B07">
            <w:pPr>
              <w:pStyle w:val="Tabletext"/>
              <w:keepNext/>
              <w:keepLines/>
              <w:jc w:val="center"/>
            </w:pPr>
            <w:r w:rsidRPr="002C62BF">
              <w:t>298 (61.2)</w:t>
            </w:r>
          </w:p>
        </w:tc>
        <w:tc>
          <w:tcPr>
            <w:tcW w:w="864" w:type="pct"/>
            <w:tcBorders>
              <w:top w:val="nil"/>
              <w:bottom w:val="single" w:sz="4" w:space="0" w:color="auto"/>
            </w:tcBorders>
          </w:tcPr>
          <w:p w:rsidR="0010055C" w:rsidRPr="002C62BF" w:rsidRDefault="0010055C" w:rsidP="00181B07">
            <w:pPr>
              <w:pStyle w:val="Tabletext"/>
              <w:keepNext/>
              <w:keepLines/>
              <w:jc w:val="center"/>
            </w:pPr>
            <w:r w:rsidRPr="002C62BF">
              <w:t>0.84 (0.60–1.18)</w:t>
            </w:r>
          </w:p>
        </w:tc>
        <w:tc>
          <w:tcPr>
            <w:tcW w:w="602" w:type="pct"/>
            <w:tcBorders>
              <w:top w:val="nil"/>
              <w:bottom w:val="single" w:sz="4" w:space="0" w:color="auto"/>
            </w:tcBorders>
          </w:tcPr>
          <w:p w:rsidR="0010055C" w:rsidRPr="002C62BF" w:rsidRDefault="007F5D4D" w:rsidP="00181B07">
            <w:pPr>
              <w:pStyle w:val="Tabletext"/>
              <w:keepNext/>
              <w:keepLines/>
              <w:jc w:val="center"/>
            </w:pPr>
            <w:r w:rsidRPr="002C62BF">
              <w:t>-</w:t>
            </w:r>
          </w:p>
        </w:tc>
      </w:tr>
      <w:tr w:rsidR="0010055C" w:rsidRPr="002C62BF" w:rsidTr="00717270">
        <w:tc>
          <w:tcPr>
            <w:tcW w:w="1444" w:type="pct"/>
            <w:tcBorders>
              <w:bottom w:val="nil"/>
            </w:tcBorders>
          </w:tcPr>
          <w:p w:rsidR="0010055C" w:rsidRPr="002C62BF" w:rsidRDefault="0010055C" w:rsidP="00181B07">
            <w:pPr>
              <w:pStyle w:val="Tabletext"/>
              <w:keepNext/>
              <w:keepLines/>
            </w:pPr>
            <w:r w:rsidRPr="002C62BF">
              <w:t>‘MRI active ≤50 Years’ subgroup</w:t>
            </w:r>
          </w:p>
        </w:tc>
        <w:tc>
          <w:tcPr>
            <w:tcW w:w="1045" w:type="pct"/>
            <w:tcBorders>
              <w:bottom w:val="nil"/>
            </w:tcBorders>
          </w:tcPr>
          <w:p w:rsidR="0010055C" w:rsidRPr="002C62BF" w:rsidRDefault="0010055C" w:rsidP="00181B07">
            <w:pPr>
              <w:pStyle w:val="Tabletext"/>
              <w:keepNext/>
              <w:keepLines/>
              <w:jc w:val="center"/>
            </w:pPr>
            <w:r w:rsidRPr="002C62BF">
              <w:t>79 (32.4)</w:t>
            </w:r>
          </w:p>
        </w:tc>
        <w:tc>
          <w:tcPr>
            <w:tcW w:w="1045" w:type="pct"/>
            <w:tcBorders>
              <w:bottom w:val="nil"/>
            </w:tcBorders>
          </w:tcPr>
          <w:p w:rsidR="0010055C" w:rsidRPr="002C62BF" w:rsidRDefault="0010055C" w:rsidP="00181B07">
            <w:pPr>
              <w:pStyle w:val="Tabletext"/>
              <w:keepNext/>
              <w:keepLines/>
              <w:jc w:val="center"/>
            </w:pPr>
            <w:r w:rsidRPr="002C62BF">
              <w:t>151 (31.0)</w:t>
            </w:r>
          </w:p>
        </w:tc>
        <w:tc>
          <w:tcPr>
            <w:tcW w:w="864" w:type="pct"/>
            <w:tcBorders>
              <w:bottom w:val="nil"/>
            </w:tcBorders>
          </w:tcPr>
          <w:p w:rsidR="0010055C" w:rsidRPr="002C62BF" w:rsidRDefault="0010055C" w:rsidP="00181B07">
            <w:pPr>
              <w:pStyle w:val="Tabletext"/>
              <w:keepNext/>
              <w:keepLines/>
              <w:jc w:val="center"/>
            </w:pPr>
            <w:r w:rsidRPr="002C62BF">
              <w:t>0.55 (0.36–0.85)</w:t>
            </w:r>
          </w:p>
        </w:tc>
        <w:tc>
          <w:tcPr>
            <w:tcW w:w="602" w:type="pct"/>
            <w:tcBorders>
              <w:bottom w:val="nil"/>
            </w:tcBorders>
          </w:tcPr>
          <w:p w:rsidR="0010055C" w:rsidRPr="002C62BF" w:rsidRDefault="0010055C" w:rsidP="00181B07">
            <w:pPr>
              <w:pStyle w:val="Tabletext"/>
              <w:keepNext/>
              <w:keepLines/>
              <w:jc w:val="center"/>
            </w:pPr>
            <w:r w:rsidRPr="002C62BF">
              <w:t>0.0654</w:t>
            </w:r>
          </w:p>
        </w:tc>
      </w:tr>
      <w:tr w:rsidR="0010055C" w:rsidRPr="002C62BF" w:rsidTr="00717270">
        <w:tc>
          <w:tcPr>
            <w:tcW w:w="1444" w:type="pct"/>
            <w:tcBorders>
              <w:top w:val="nil"/>
            </w:tcBorders>
          </w:tcPr>
          <w:p w:rsidR="0010055C" w:rsidRPr="002C62BF" w:rsidRDefault="0010055C" w:rsidP="00181B07">
            <w:pPr>
              <w:pStyle w:val="Tabletext"/>
              <w:keepNext/>
              <w:keepLines/>
            </w:pPr>
            <w:r w:rsidRPr="002C62BF">
              <w:t>Complement subgroup</w:t>
            </w:r>
          </w:p>
        </w:tc>
        <w:tc>
          <w:tcPr>
            <w:tcW w:w="1045" w:type="pct"/>
            <w:tcBorders>
              <w:top w:val="nil"/>
            </w:tcBorders>
          </w:tcPr>
          <w:p w:rsidR="0010055C" w:rsidRPr="002C62BF" w:rsidRDefault="0010055C" w:rsidP="00181B07">
            <w:pPr>
              <w:pStyle w:val="Tabletext"/>
              <w:keepNext/>
              <w:keepLines/>
              <w:jc w:val="center"/>
            </w:pPr>
            <w:r w:rsidRPr="002C62BF">
              <w:t>165 (67.6)</w:t>
            </w:r>
          </w:p>
        </w:tc>
        <w:tc>
          <w:tcPr>
            <w:tcW w:w="1045" w:type="pct"/>
            <w:tcBorders>
              <w:top w:val="nil"/>
            </w:tcBorders>
          </w:tcPr>
          <w:p w:rsidR="0010055C" w:rsidRPr="002C62BF" w:rsidRDefault="0010055C" w:rsidP="00181B07">
            <w:pPr>
              <w:pStyle w:val="Tabletext"/>
              <w:keepNext/>
              <w:keepLines/>
              <w:jc w:val="center"/>
            </w:pPr>
            <w:r w:rsidRPr="002C62BF">
              <w:t>336 (69.0)</w:t>
            </w:r>
          </w:p>
        </w:tc>
        <w:tc>
          <w:tcPr>
            <w:tcW w:w="864" w:type="pct"/>
            <w:tcBorders>
              <w:top w:val="nil"/>
            </w:tcBorders>
          </w:tcPr>
          <w:p w:rsidR="0010055C" w:rsidRPr="002C62BF" w:rsidRDefault="0010055C" w:rsidP="00181B07">
            <w:pPr>
              <w:pStyle w:val="Tabletext"/>
              <w:keepNext/>
              <w:keepLines/>
              <w:jc w:val="center"/>
            </w:pPr>
            <w:r w:rsidRPr="002C62BF">
              <w:t>0.91 (0.66–1.24)</w:t>
            </w:r>
          </w:p>
        </w:tc>
        <w:tc>
          <w:tcPr>
            <w:tcW w:w="602" w:type="pct"/>
            <w:tcBorders>
              <w:top w:val="nil"/>
            </w:tcBorders>
          </w:tcPr>
          <w:p w:rsidR="0010055C" w:rsidRPr="002C62BF" w:rsidRDefault="007F5D4D" w:rsidP="00181B07">
            <w:pPr>
              <w:pStyle w:val="Tabletext"/>
              <w:keepNext/>
              <w:keepLines/>
              <w:jc w:val="center"/>
            </w:pPr>
            <w:r w:rsidRPr="002C62BF">
              <w:t>-</w:t>
            </w:r>
          </w:p>
        </w:tc>
      </w:tr>
      <w:tr w:rsidR="009E49EC" w:rsidRPr="002C62BF" w:rsidTr="009E49EC">
        <w:tc>
          <w:tcPr>
            <w:tcW w:w="5000" w:type="pct"/>
            <w:gridSpan w:val="5"/>
            <w:vAlign w:val="center"/>
          </w:tcPr>
          <w:p w:rsidR="009E49EC" w:rsidRPr="002C62BF" w:rsidRDefault="009E49EC" w:rsidP="00181B07">
            <w:pPr>
              <w:pStyle w:val="Tabletext"/>
              <w:keepNext/>
              <w:keepLines/>
              <w:rPr>
                <w:b/>
              </w:rPr>
            </w:pPr>
            <w:r w:rsidRPr="002C62BF">
              <w:rPr>
                <w:b/>
              </w:rPr>
              <w:t>CDP-24</w:t>
            </w:r>
          </w:p>
        </w:tc>
      </w:tr>
      <w:tr w:rsidR="0010055C" w:rsidRPr="002C62BF" w:rsidTr="00717270">
        <w:tc>
          <w:tcPr>
            <w:tcW w:w="1444" w:type="pct"/>
            <w:tcBorders>
              <w:bottom w:val="single" w:sz="4" w:space="0" w:color="auto"/>
            </w:tcBorders>
          </w:tcPr>
          <w:p w:rsidR="0010055C" w:rsidRPr="002C62BF" w:rsidRDefault="0010055C" w:rsidP="00181B07">
            <w:pPr>
              <w:pStyle w:val="Tabletext"/>
              <w:keepNext/>
              <w:keepLines/>
            </w:pPr>
            <w:r w:rsidRPr="002C62BF">
              <w:t>ITT</w:t>
            </w:r>
          </w:p>
        </w:tc>
        <w:tc>
          <w:tcPr>
            <w:tcW w:w="1045" w:type="pct"/>
            <w:tcBorders>
              <w:bottom w:val="single" w:sz="4" w:space="0" w:color="auto"/>
            </w:tcBorders>
          </w:tcPr>
          <w:p w:rsidR="0010055C" w:rsidRPr="002C62BF" w:rsidRDefault="0010055C" w:rsidP="00181B07">
            <w:pPr>
              <w:pStyle w:val="Tabletext"/>
              <w:keepNext/>
              <w:keepLines/>
              <w:jc w:val="center"/>
            </w:pPr>
            <w:r w:rsidRPr="002C62BF">
              <w:t>244 (100)</w:t>
            </w:r>
          </w:p>
        </w:tc>
        <w:tc>
          <w:tcPr>
            <w:tcW w:w="1045" w:type="pct"/>
            <w:tcBorders>
              <w:bottom w:val="single" w:sz="4" w:space="0" w:color="auto"/>
            </w:tcBorders>
          </w:tcPr>
          <w:p w:rsidR="0010055C" w:rsidRPr="002C62BF" w:rsidRDefault="0010055C" w:rsidP="00181B07">
            <w:pPr>
              <w:pStyle w:val="Tabletext"/>
              <w:keepNext/>
              <w:keepLines/>
              <w:jc w:val="center"/>
            </w:pPr>
            <w:r w:rsidRPr="002C62BF">
              <w:t>487 (100)</w:t>
            </w:r>
          </w:p>
        </w:tc>
        <w:tc>
          <w:tcPr>
            <w:tcW w:w="864" w:type="pct"/>
            <w:tcBorders>
              <w:bottom w:val="single" w:sz="4" w:space="0" w:color="auto"/>
            </w:tcBorders>
          </w:tcPr>
          <w:p w:rsidR="0010055C" w:rsidRPr="002C62BF" w:rsidRDefault="0010055C" w:rsidP="00181B07">
            <w:pPr>
              <w:pStyle w:val="Tabletext"/>
              <w:keepNext/>
              <w:keepLines/>
              <w:jc w:val="center"/>
            </w:pPr>
            <w:r w:rsidRPr="002C62BF">
              <w:t>0.75 (0.58–0.98)</w:t>
            </w:r>
          </w:p>
        </w:tc>
        <w:tc>
          <w:tcPr>
            <w:tcW w:w="602" w:type="pct"/>
            <w:tcBorders>
              <w:bottom w:val="single" w:sz="4" w:space="0" w:color="auto"/>
            </w:tcBorders>
          </w:tcPr>
          <w:p w:rsidR="0010055C" w:rsidRPr="002C62BF" w:rsidRDefault="007F5D4D" w:rsidP="00181B07">
            <w:pPr>
              <w:pStyle w:val="Tabletext"/>
              <w:keepNext/>
              <w:keepLines/>
              <w:jc w:val="center"/>
            </w:pPr>
            <w:r w:rsidRPr="002C62BF">
              <w:t>-</w:t>
            </w:r>
          </w:p>
        </w:tc>
      </w:tr>
      <w:tr w:rsidR="0010055C" w:rsidRPr="002C62BF" w:rsidTr="00717270">
        <w:tc>
          <w:tcPr>
            <w:tcW w:w="1444" w:type="pct"/>
            <w:tcBorders>
              <w:bottom w:val="nil"/>
            </w:tcBorders>
          </w:tcPr>
          <w:p w:rsidR="0010055C" w:rsidRPr="002C62BF" w:rsidRDefault="0010055C" w:rsidP="00181B07">
            <w:pPr>
              <w:pStyle w:val="Tabletext"/>
              <w:keepNext/>
              <w:keepLines/>
            </w:pPr>
            <w:r w:rsidRPr="002C62BF">
              <w:t>‘MRI activity’ subgroup</w:t>
            </w:r>
          </w:p>
        </w:tc>
        <w:tc>
          <w:tcPr>
            <w:tcW w:w="1045" w:type="pct"/>
            <w:tcBorders>
              <w:bottom w:val="nil"/>
            </w:tcBorders>
          </w:tcPr>
          <w:p w:rsidR="0010055C" w:rsidRPr="002C62BF" w:rsidRDefault="0010055C" w:rsidP="00181B07">
            <w:pPr>
              <w:pStyle w:val="Tabletext"/>
              <w:keepNext/>
              <w:keepLines/>
              <w:jc w:val="center"/>
            </w:pPr>
            <w:r w:rsidRPr="002C62BF">
              <w:t>104 (42.6)</w:t>
            </w:r>
          </w:p>
        </w:tc>
        <w:tc>
          <w:tcPr>
            <w:tcW w:w="1045" w:type="pct"/>
            <w:tcBorders>
              <w:bottom w:val="nil"/>
            </w:tcBorders>
          </w:tcPr>
          <w:p w:rsidR="0010055C" w:rsidRPr="002C62BF" w:rsidRDefault="0010055C" w:rsidP="00181B07">
            <w:pPr>
              <w:pStyle w:val="Tabletext"/>
              <w:keepNext/>
              <w:keepLines/>
              <w:jc w:val="center"/>
            </w:pPr>
            <w:r w:rsidRPr="002C62BF">
              <w:t>189 (38.8)</w:t>
            </w:r>
          </w:p>
        </w:tc>
        <w:tc>
          <w:tcPr>
            <w:tcW w:w="864" w:type="pct"/>
            <w:tcBorders>
              <w:bottom w:val="nil"/>
            </w:tcBorders>
          </w:tcPr>
          <w:p w:rsidR="0010055C" w:rsidRPr="002C62BF" w:rsidRDefault="0010055C" w:rsidP="00181B07">
            <w:pPr>
              <w:pStyle w:val="Tabletext"/>
              <w:keepNext/>
              <w:keepLines/>
              <w:jc w:val="center"/>
            </w:pPr>
            <w:r w:rsidRPr="002C62BF">
              <w:t>0.71 (0.47–1.06)</w:t>
            </w:r>
          </w:p>
        </w:tc>
        <w:tc>
          <w:tcPr>
            <w:tcW w:w="602" w:type="pct"/>
            <w:tcBorders>
              <w:bottom w:val="nil"/>
            </w:tcBorders>
          </w:tcPr>
          <w:p w:rsidR="0010055C" w:rsidRPr="002C62BF" w:rsidRDefault="0010055C" w:rsidP="00181B07">
            <w:pPr>
              <w:pStyle w:val="Tabletext"/>
              <w:keepNext/>
              <w:keepLines/>
              <w:jc w:val="center"/>
            </w:pPr>
            <w:r w:rsidRPr="002C62BF">
              <w:t>0.5839</w:t>
            </w:r>
          </w:p>
        </w:tc>
      </w:tr>
      <w:tr w:rsidR="0010055C" w:rsidRPr="002C62BF" w:rsidTr="00717270">
        <w:tc>
          <w:tcPr>
            <w:tcW w:w="1444" w:type="pct"/>
            <w:tcBorders>
              <w:top w:val="nil"/>
              <w:bottom w:val="single" w:sz="4" w:space="0" w:color="auto"/>
            </w:tcBorders>
          </w:tcPr>
          <w:p w:rsidR="0010055C" w:rsidRPr="002C62BF" w:rsidRDefault="0010055C" w:rsidP="00181B07">
            <w:pPr>
              <w:pStyle w:val="Tabletext"/>
              <w:keepNext/>
              <w:keepLines/>
            </w:pPr>
            <w:r w:rsidRPr="002C62BF">
              <w:t>Complement subgroup</w:t>
            </w:r>
          </w:p>
        </w:tc>
        <w:tc>
          <w:tcPr>
            <w:tcW w:w="1045" w:type="pct"/>
            <w:tcBorders>
              <w:top w:val="nil"/>
              <w:bottom w:val="single" w:sz="4" w:space="0" w:color="auto"/>
            </w:tcBorders>
          </w:tcPr>
          <w:p w:rsidR="0010055C" w:rsidRPr="002C62BF" w:rsidRDefault="0010055C" w:rsidP="00181B07">
            <w:pPr>
              <w:pStyle w:val="Tabletext"/>
              <w:keepNext/>
              <w:keepLines/>
              <w:jc w:val="center"/>
            </w:pPr>
            <w:r w:rsidRPr="002C62BF">
              <w:t>140 (57.4)</w:t>
            </w:r>
          </w:p>
        </w:tc>
        <w:tc>
          <w:tcPr>
            <w:tcW w:w="1045" w:type="pct"/>
            <w:tcBorders>
              <w:top w:val="nil"/>
              <w:bottom w:val="single" w:sz="4" w:space="0" w:color="auto"/>
            </w:tcBorders>
          </w:tcPr>
          <w:p w:rsidR="0010055C" w:rsidRPr="002C62BF" w:rsidRDefault="0010055C" w:rsidP="00181B07">
            <w:pPr>
              <w:pStyle w:val="Tabletext"/>
              <w:keepNext/>
              <w:keepLines/>
              <w:jc w:val="center"/>
            </w:pPr>
            <w:r w:rsidRPr="002C62BF">
              <w:t>298 (61.2)</w:t>
            </w:r>
          </w:p>
        </w:tc>
        <w:tc>
          <w:tcPr>
            <w:tcW w:w="864" w:type="pct"/>
            <w:tcBorders>
              <w:top w:val="nil"/>
              <w:bottom w:val="single" w:sz="4" w:space="0" w:color="auto"/>
            </w:tcBorders>
          </w:tcPr>
          <w:p w:rsidR="0010055C" w:rsidRPr="002C62BF" w:rsidRDefault="0010055C" w:rsidP="00181B07">
            <w:pPr>
              <w:pStyle w:val="Tabletext"/>
              <w:keepNext/>
              <w:keepLines/>
              <w:jc w:val="center"/>
            </w:pPr>
            <w:r w:rsidRPr="002C62BF">
              <w:t>0.79 (0.55–1.13)</w:t>
            </w:r>
          </w:p>
        </w:tc>
        <w:tc>
          <w:tcPr>
            <w:tcW w:w="602" w:type="pct"/>
            <w:tcBorders>
              <w:top w:val="nil"/>
              <w:bottom w:val="single" w:sz="4" w:space="0" w:color="auto"/>
            </w:tcBorders>
          </w:tcPr>
          <w:p w:rsidR="0010055C" w:rsidRPr="002C62BF" w:rsidRDefault="007F5D4D" w:rsidP="00181B07">
            <w:pPr>
              <w:pStyle w:val="Tabletext"/>
              <w:keepNext/>
              <w:keepLines/>
              <w:jc w:val="center"/>
            </w:pPr>
            <w:r w:rsidRPr="002C62BF">
              <w:t>--</w:t>
            </w:r>
          </w:p>
        </w:tc>
      </w:tr>
      <w:tr w:rsidR="0010055C" w:rsidRPr="002C62BF" w:rsidTr="00717270">
        <w:tc>
          <w:tcPr>
            <w:tcW w:w="1444" w:type="pct"/>
            <w:tcBorders>
              <w:bottom w:val="nil"/>
            </w:tcBorders>
          </w:tcPr>
          <w:p w:rsidR="0010055C" w:rsidRPr="002C62BF" w:rsidRDefault="0010055C" w:rsidP="00181B07">
            <w:pPr>
              <w:pStyle w:val="Tabletext"/>
              <w:keepNext/>
              <w:keepLines/>
            </w:pPr>
            <w:r w:rsidRPr="002C62BF">
              <w:t>‘MRI active ≤50 Years’ subgroup</w:t>
            </w:r>
          </w:p>
        </w:tc>
        <w:tc>
          <w:tcPr>
            <w:tcW w:w="1045" w:type="pct"/>
            <w:tcBorders>
              <w:bottom w:val="nil"/>
            </w:tcBorders>
          </w:tcPr>
          <w:p w:rsidR="0010055C" w:rsidRPr="002C62BF" w:rsidRDefault="0010055C" w:rsidP="00181B07">
            <w:pPr>
              <w:pStyle w:val="Tabletext"/>
              <w:keepNext/>
              <w:keepLines/>
              <w:jc w:val="center"/>
            </w:pPr>
            <w:r w:rsidRPr="002C62BF">
              <w:t>79 (32.4)</w:t>
            </w:r>
          </w:p>
        </w:tc>
        <w:tc>
          <w:tcPr>
            <w:tcW w:w="1045" w:type="pct"/>
            <w:tcBorders>
              <w:bottom w:val="nil"/>
            </w:tcBorders>
          </w:tcPr>
          <w:p w:rsidR="0010055C" w:rsidRPr="002C62BF" w:rsidRDefault="0010055C" w:rsidP="00181B07">
            <w:pPr>
              <w:pStyle w:val="Tabletext"/>
              <w:keepNext/>
              <w:keepLines/>
              <w:jc w:val="center"/>
            </w:pPr>
            <w:r w:rsidRPr="002C62BF">
              <w:t>151 (31.0)</w:t>
            </w:r>
          </w:p>
        </w:tc>
        <w:tc>
          <w:tcPr>
            <w:tcW w:w="864" w:type="pct"/>
            <w:tcBorders>
              <w:bottom w:val="nil"/>
            </w:tcBorders>
          </w:tcPr>
          <w:p w:rsidR="0010055C" w:rsidRPr="002C62BF" w:rsidRDefault="0010055C" w:rsidP="00181B07">
            <w:pPr>
              <w:pStyle w:val="Tabletext"/>
              <w:keepNext/>
              <w:keepLines/>
              <w:jc w:val="center"/>
            </w:pPr>
            <w:r w:rsidRPr="002C62BF">
              <w:t>0.54 (0.35–0.85)</w:t>
            </w:r>
          </w:p>
        </w:tc>
        <w:tc>
          <w:tcPr>
            <w:tcW w:w="602" w:type="pct"/>
            <w:tcBorders>
              <w:bottom w:val="nil"/>
            </w:tcBorders>
          </w:tcPr>
          <w:p w:rsidR="0010055C" w:rsidRPr="002C62BF" w:rsidRDefault="0010055C" w:rsidP="00181B07">
            <w:pPr>
              <w:pStyle w:val="Tabletext"/>
              <w:keepNext/>
              <w:keepLines/>
              <w:jc w:val="center"/>
            </w:pPr>
            <w:r w:rsidRPr="002C62BF">
              <w:t>0.0677</w:t>
            </w:r>
          </w:p>
        </w:tc>
      </w:tr>
      <w:tr w:rsidR="0010055C" w:rsidRPr="002C62BF" w:rsidTr="00717270">
        <w:tc>
          <w:tcPr>
            <w:tcW w:w="1444" w:type="pct"/>
            <w:tcBorders>
              <w:top w:val="nil"/>
            </w:tcBorders>
          </w:tcPr>
          <w:p w:rsidR="0010055C" w:rsidRPr="002C62BF" w:rsidRDefault="0010055C" w:rsidP="00181B07">
            <w:pPr>
              <w:pStyle w:val="Tabletext"/>
              <w:keepNext/>
              <w:keepLines/>
            </w:pPr>
            <w:r w:rsidRPr="002C62BF">
              <w:t>Complement subgroup</w:t>
            </w:r>
          </w:p>
        </w:tc>
        <w:tc>
          <w:tcPr>
            <w:tcW w:w="1045" w:type="pct"/>
            <w:tcBorders>
              <w:top w:val="nil"/>
            </w:tcBorders>
          </w:tcPr>
          <w:p w:rsidR="0010055C" w:rsidRPr="002C62BF" w:rsidRDefault="0010055C" w:rsidP="00181B07">
            <w:pPr>
              <w:pStyle w:val="Tabletext"/>
              <w:keepNext/>
              <w:keepLines/>
              <w:jc w:val="center"/>
            </w:pPr>
            <w:r w:rsidRPr="002C62BF">
              <w:t>165 (67.6)</w:t>
            </w:r>
          </w:p>
        </w:tc>
        <w:tc>
          <w:tcPr>
            <w:tcW w:w="1045" w:type="pct"/>
            <w:tcBorders>
              <w:top w:val="nil"/>
            </w:tcBorders>
          </w:tcPr>
          <w:p w:rsidR="0010055C" w:rsidRPr="002C62BF" w:rsidRDefault="0010055C" w:rsidP="00181B07">
            <w:pPr>
              <w:pStyle w:val="Tabletext"/>
              <w:keepNext/>
              <w:keepLines/>
              <w:jc w:val="center"/>
            </w:pPr>
            <w:r w:rsidRPr="002C62BF">
              <w:t>336 (69.0)</w:t>
            </w:r>
          </w:p>
        </w:tc>
        <w:tc>
          <w:tcPr>
            <w:tcW w:w="864" w:type="pct"/>
            <w:tcBorders>
              <w:top w:val="nil"/>
            </w:tcBorders>
          </w:tcPr>
          <w:p w:rsidR="0010055C" w:rsidRPr="002C62BF" w:rsidRDefault="0010055C" w:rsidP="00181B07">
            <w:pPr>
              <w:pStyle w:val="Tabletext"/>
              <w:keepNext/>
              <w:keepLines/>
              <w:jc w:val="center"/>
            </w:pPr>
            <w:r w:rsidRPr="002C62BF">
              <w:t>0.91 (0.65–1.27)</w:t>
            </w:r>
          </w:p>
        </w:tc>
        <w:tc>
          <w:tcPr>
            <w:tcW w:w="602" w:type="pct"/>
            <w:tcBorders>
              <w:top w:val="nil"/>
            </w:tcBorders>
          </w:tcPr>
          <w:p w:rsidR="0010055C" w:rsidRPr="002C62BF" w:rsidRDefault="0010055C" w:rsidP="00181B07">
            <w:pPr>
              <w:pStyle w:val="Tabletext"/>
              <w:keepNext/>
              <w:keepLines/>
              <w:jc w:val="center"/>
            </w:pPr>
          </w:p>
        </w:tc>
      </w:tr>
    </w:tbl>
    <w:p w:rsidR="0010055C" w:rsidRPr="002C62BF" w:rsidRDefault="009E49EC" w:rsidP="00181B07">
      <w:pPr>
        <w:pStyle w:val="TableFigureFooter"/>
        <w:keepNext/>
        <w:keepLines/>
      </w:pPr>
      <w:r w:rsidRPr="002C62BF">
        <w:t>Source: Table 2.11, p38</w:t>
      </w:r>
      <w:r w:rsidR="0010055C" w:rsidRPr="002C62BF">
        <w:t xml:space="preserve">, Table 2.8, p38, Table 2.9, p38 and Table 2.12, p39 of the resubmission. </w:t>
      </w:r>
    </w:p>
    <w:p w:rsidR="0010055C" w:rsidRPr="002C62BF" w:rsidRDefault="0010055C" w:rsidP="00181B07">
      <w:pPr>
        <w:pStyle w:val="TableFigureFooter"/>
        <w:keepNext/>
        <w:keepLines/>
      </w:pPr>
      <w:r w:rsidRPr="002C62BF">
        <w:t xml:space="preserve">CDP=confirmed disability progression; CI=confidence interval; HR=hazard ratio; MRI=magnetic resonance imaging; </w:t>
      </w:r>
    </w:p>
    <w:p w:rsidR="0010055C" w:rsidRPr="002C62BF" w:rsidRDefault="0010055C" w:rsidP="00181B07">
      <w:pPr>
        <w:pStyle w:val="TableFigureFooter"/>
        <w:keepNext/>
        <w:keepLines/>
      </w:pPr>
      <w:r w:rsidRPr="002C62BF">
        <w:t>Note:  ‘MRI activity’ defined as gadolinium-enhancing T1 lesions at screening or baseline, or new T2 lesions between screening and baseline.</w:t>
      </w:r>
    </w:p>
    <w:p w:rsidR="007F5D4D" w:rsidRPr="002C62BF" w:rsidRDefault="007F5D4D" w:rsidP="00181B07">
      <w:pPr>
        <w:pStyle w:val="TableFigureFooter"/>
        <w:keepNext/>
        <w:keepLines/>
      </w:pPr>
      <w:r w:rsidRPr="002C62BF">
        <w:t xml:space="preserve">Note: the “n” in these analyses does not refer to number of events, but rather the number of patients analysed in the relevant subgroup. Number of events was not presented. </w:t>
      </w:r>
    </w:p>
    <w:p w:rsidR="00546025" w:rsidRPr="002C62BF" w:rsidRDefault="00F35E20" w:rsidP="00B2484C">
      <w:pPr>
        <w:pStyle w:val="3-BodyText"/>
      </w:pPr>
      <w:r w:rsidRPr="002C62BF">
        <w:t>Key efficacy results from the ITT analysis and subgroup analyses of the open</w:t>
      </w:r>
      <w:r w:rsidR="00B53EA8" w:rsidRPr="002C62BF">
        <w:t>-</w:t>
      </w:r>
      <w:r w:rsidR="009E49EC" w:rsidRPr="002C62BF">
        <w:t xml:space="preserve">label extended control period </w:t>
      </w:r>
      <w:r w:rsidRPr="002C62BF">
        <w:t>are presented in Table 6.</w:t>
      </w:r>
      <w:r w:rsidR="009E49EC" w:rsidRPr="002C62BF">
        <w:t xml:space="preserve"> The MRI active, 50 years or younger subgroup results of the open-label extension (HR = 0.53; shaded cells) </w:t>
      </w:r>
      <w:r w:rsidR="003C49A4" w:rsidRPr="002C62BF">
        <w:t>was applied</w:t>
      </w:r>
      <w:r w:rsidR="009E49EC" w:rsidRPr="002C62BF">
        <w:t xml:space="preserve"> in the economic evaluation, despite the test for interaction not indicating that these baseline characteristics are a treatment effect modifier for ocrelizumab.</w:t>
      </w:r>
      <w:r w:rsidR="00B2484C" w:rsidRPr="002C62BF">
        <w:t xml:space="preserve"> </w:t>
      </w:r>
    </w:p>
    <w:p w:rsidR="007F5D4D" w:rsidRPr="002C62BF" w:rsidRDefault="00546025" w:rsidP="007F5D4D">
      <w:pPr>
        <w:pStyle w:val="TableFigureHeading"/>
      </w:pPr>
      <w:bookmarkStart w:id="21" w:name="_Ref39764176"/>
      <w:r w:rsidRPr="002C62BF">
        <w:t xml:space="preserve">Table </w:t>
      </w:r>
      <w:r w:rsidR="0089607C" w:rsidRPr="002C62BF">
        <w:rPr>
          <w:rStyle w:val="CommentReference"/>
          <w:b/>
          <w:szCs w:val="24"/>
        </w:rPr>
        <w:t>6</w:t>
      </w:r>
      <w:bookmarkEnd w:id="21"/>
      <w:r w:rsidRPr="002C62BF">
        <w:t xml:space="preserve">:  </w:t>
      </w:r>
      <w:r w:rsidR="007F5D4D" w:rsidRPr="002C62BF">
        <w:t>Subgroup analysis in extended control period – CDP-12 and CDP-24</w:t>
      </w:r>
    </w:p>
    <w:tbl>
      <w:tblPr>
        <w:tblStyle w:val="TableGrid"/>
        <w:tblW w:w="4950" w:type="pct"/>
        <w:tblCellMar>
          <w:left w:w="29" w:type="dxa"/>
          <w:right w:w="29" w:type="dxa"/>
        </w:tblCellMar>
        <w:tblLook w:val="04A0" w:firstRow="1" w:lastRow="0" w:firstColumn="1" w:lastColumn="0" w:noHBand="0" w:noVBand="1"/>
      </w:tblPr>
      <w:tblGrid>
        <w:gridCol w:w="2734"/>
        <w:gridCol w:w="1637"/>
        <w:gridCol w:w="1637"/>
        <w:gridCol w:w="1639"/>
        <w:gridCol w:w="1280"/>
      </w:tblGrid>
      <w:tr w:rsidR="007F5D4D" w:rsidRPr="002C62BF" w:rsidTr="00DD0832">
        <w:trPr>
          <w:trHeight w:val="73"/>
        </w:trPr>
        <w:tc>
          <w:tcPr>
            <w:tcW w:w="1531" w:type="pct"/>
            <w:vAlign w:val="center"/>
          </w:tcPr>
          <w:p w:rsidR="007F5D4D" w:rsidRPr="002C62BF" w:rsidRDefault="007F5D4D" w:rsidP="00DD0832">
            <w:pPr>
              <w:pStyle w:val="TableFigureHeading"/>
              <w:rPr>
                <w:lang w:eastAsia="en-GB"/>
              </w:rPr>
            </w:pPr>
            <w:r w:rsidRPr="002C62BF">
              <w:rPr>
                <w:lang w:eastAsia="en-GB"/>
              </w:rPr>
              <w:t>Population</w:t>
            </w:r>
          </w:p>
        </w:tc>
        <w:tc>
          <w:tcPr>
            <w:tcW w:w="917" w:type="pct"/>
          </w:tcPr>
          <w:p w:rsidR="007F5D4D" w:rsidRPr="002C62BF" w:rsidRDefault="007F5D4D" w:rsidP="00DD0832">
            <w:pPr>
              <w:pStyle w:val="TableFigureHeading"/>
              <w:jc w:val="center"/>
              <w:rPr>
                <w:lang w:eastAsia="en-GB"/>
              </w:rPr>
            </w:pPr>
            <w:r w:rsidRPr="002C62BF">
              <w:rPr>
                <w:lang w:eastAsia="en-GB"/>
              </w:rPr>
              <w:t>Placebo</w:t>
            </w:r>
          </w:p>
          <w:p w:rsidR="007F5D4D" w:rsidRPr="002C62BF" w:rsidRDefault="007F5D4D" w:rsidP="00DD0832">
            <w:pPr>
              <w:pStyle w:val="TableFigureHeading"/>
              <w:jc w:val="center"/>
              <w:rPr>
                <w:lang w:eastAsia="en-GB"/>
              </w:rPr>
            </w:pPr>
            <w:r w:rsidRPr="002C62BF">
              <w:rPr>
                <w:lang w:eastAsia="en-GB"/>
              </w:rPr>
              <w:t>N=243; n (%)</w:t>
            </w:r>
          </w:p>
        </w:tc>
        <w:tc>
          <w:tcPr>
            <w:tcW w:w="917" w:type="pct"/>
          </w:tcPr>
          <w:p w:rsidR="007F5D4D" w:rsidRPr="002C62BF" w:rsidRDefault="007F5D4D" w:rsidP="00DD0832">
            <w:pPr>
              <w:pStyle w:val="TableFigureHeading"/>
              <w:jc w:val="center"/>
              <w:rPr>
                <w:lang w:eastAsia="en-GB"/>
              </w:rPr>
            </w:pPr>
            <w:r w:rsidRPr="002C62BF">
              <w:rPr>
                <w:lang w:eastAsia="en-GB"/>
              </w:rPr>
              <w:t xml:space="preserve">Ocrelizumab </w:t>
            </w:r>
          </w:p>
          <w:p w:rsidR="007F5D4D" w:rsidRPr="002C62BF" w:rsidRDefault="007F5D4D" w:rsidP="00DD0832">
            <w:pPr>
              <w:pStyle w:val="TableFigureHeading"/>
              <w:jc w:val="center"/>
              <w:rPr>
                <w:lang w:eastAsia="en-GB"/>
              </w:rPr>
            </w:pPr>
            <w:r w:rsidRPr="002C62BF">
              <w:rPr>
                <w:lang w:eastAsia="en-GB"/>
              </w:rPr>
              <w:t>N=486; n (%)</w:t>
            </w:r>
          </w:p>
        </w:tc>
        <w:tc>
          <w:tcPr>
            <w:tcW w:w="918" w:type="pct"/>
            <w:vAlign w:val="center"/>
          </w:tcPr>
          <w:p w:rsidR="007F5D4D" w:rsidRPr="002C62BF" w:rsidRDefault="007F5D4D" w:rsidP="00DD0832">
            <w:pPr>
              <w:pStyle w:val="TableFigureHeading"/>
              <w:jc w:val="center"/>
              <w:rPr>
                <w:lang w:eastAsia="en-GB"/>
              </w:rPr>
            </w:pPr>
            <w:r w:rsidRPr="002C62BF">
              <w:t>HR (95% CI)</w:t>
            </w:r>
          </w:p>
        </w:tc>
        <w:tc>
          <w:tcPr>
            <w:tcW w:w="716" w:type="pct"/>
          </w:tcPr>
          <w:p w:rsidR="007F5D4D" w:rsidRPr="002C62BF" w:rsidRDefault="007F5D4D" w:rsidP="001E4567">
            <w:pPr>
              <w:pStyle w:val="TableFigureHeading"/>
              <w:jc w:val="center"/>
              <w:rPr>
                <w:lang w:eastAsia="en-GB"/>
              </w:rPr>
            </w:pPr>
            <w:r w:rsidRPr="002C62BF">
              <w:rPr>
                <w:lang w:eastAsia="en-GB"/>
              </w:rPr>
              <w:t>Interaction test (p-value)</w:t>
            </w:r>
          </w:p>
        </w:tc>
      </w:tr>
      <w:tr w:rsidR="007F5D4D" w:rsidRPr="002C62BF" w:rsidTr="00DD0832">
        <w:trPr>
          <w:trHeight w:val="73"/>
        </w:trPr>
        <w:tc>
          <w:tcPr>
            <w:tcW w:w="5000" w:type="pct"/>
            <w:gridSpan w:val="5"/>
          </w:tcPr>
          <w:p w:rsidR="007F5D4D" w:rsidRPr="002C62BF" w:rsidRDefault="007F5D4D" w:rsidP="00DD0832">
            <w:pPr>
              <w:pStyle w:val="Tabletext"/>
              <w:keepNext/>
              <w:rPr>
                <w:b/>
                <w:lang w:eastAsia="en-GB"/>
              </w:rPr>
            </w:pPr>
            <w:r w:rsidRPr="002C62BF">
              <w:rPr>
                <w:b/>
                <w:lang w:eastAsia="en-GB"/>
              </w:rPr>
              <w:t>CDP-12</w:t>
            </w:r>
          </w:p>
        </w:tc>
      </w:tr>
      <w:tr w:rsidR="007F5D4D" w:rsidRPr="002C62BF" w:rsidTr="00717270">
        <w:trPr>
          <w:trHeight w:val="73"/>
        </w:trPr>
        <w:tc>
          <w:tcPr>
            <w:tcW w:w="1531" w:type="pct"/>
            <w:tcBorders>
              <w:bottom w:val="single" w:sz="4" w:space="0" w:color="auto"/>
            </w:tcBorders>
            <w:hideMark/>
          </w:tcPr>
          <w:p w:rsidR="007F5D4D" w:rsidRPr="002C62BF" w:rsidRDefault="007F5D4D" w:rsidP="00DD0832">
            <w:pPr>
              <w:pStyle w:val="Tabletext"/>
              <w:keepNext/>
              <w:rPr>
                <w:lang w:eastAsia="en-GB"/>
              </w:rPr>
            </w:pPr>
            <w:r w:rsidRPr="002C62BF">
              <w:rPr>
                <w:lang w:eastAsia="en-GB"/>
              </w:rPr>
              <w:t>ITT</w:t>
            </w:r>
          </w:p>
        </w:tc>
        <w:tc>
          <w:tcPr>
            <w:tcW w:w="917" w:type="pct"/>
            <w:tcBorders>
              <w:bottom w:val="single" w:sz="4" w:space="0" w:color="auto"/>
            </w:tcBorders>
            <w:hideMark/>
          </w:tcPr>
          <w:p w:rsidR="007F5D4D" w:rsidRPr="002C62BF" w:rsidRDefault="007F5D4D" w:rsidP="00DD0832">
            <w:pPr>
              <w:pStyle w:val="Tabletext"/>
              <w:keepNext/>
              <w:jc w:val="center"/>
              <w:rPr>
                <w:lang w:eastAsia="en-GB"/>
              </w:rPr>
            </w:pPr>
            <w:r w:rsidRPr="002C62BF">
              <w:rPr>
                <w:lang w:eastAsia="en-GB"/>
              </w:rPr>
              <w:t>243 (100%)</w:t>
            </w:r>
          </w:p>
        </w:tc>
        <w:tc>
          <w:tcPr>
            <w:tcW w:w="917" w:type="pct"/>
            <w:tcBorders>
              <w:bottom w:val="single" w:sz="4" w:space="0" w:color="auto"/>
            </w:tcBorders>
            <w:hideMark/>
          </w:tcPr>
          <w:p w:rsidR="007F5D4D" w:rsidRPr="002C62BF" w:rsidRDefault="007F5D4D" w:rsidP="00DD0832">
            <w:pPr>
              <w:pStyle w:val="Tabletext"/>
              <w:keepNext/>
              <w:jc w:val="center"/>
              <w:rPr>
                <w:lang w:eastAsia="en-GB"/>
              </w:rPr>
            </w:pPr>
            <w:r w:rsidRPr="002C62BF">
              <w:rPr>
                <w:lang w:eastAsia="en-GB"/>
              </w:rPr>
              <w:t>486 (100%)</w:t>
            </w:r>
          </w:p>
        </w:tc>
        <w:tc>
          <w:tcPr>
            <w:tcW w:w="918" w:type="pct"/>
            <w:tcBorders>
              <w:bottom w:val="single" w:sz="4" w:space="0" w:color="auto"/>
            </w:tcBorders>
            <w:hideMark/>
          </w:tcPr>
          <w:p w:rsidR="007F5D4D" w:rsidRPr="002C62BF" w:rsidRDefault="007F5D4D" w:rsidP="00DD0832">
            <w:pPr>
              <w:pStyle w:val="Tabletext"/>
              <w:keepNext/>
              <w:jc w:val="center"/>
              <w:rPr>
                <w:lang w:eastAsia="en-GB"/>
              </w:rPr>
            </w:pPr>
            <w:r w:rsidRPr="002C62BF">
              <w:rPr>
                <w:lang w:eastAsia="en-GB"/>
              </w:rPr>
              <w:t>0.75 (0.59, 0.96)</w:t>
            </w:r>
          </w:p>
        </w:tc>
        <w:tc>
          <w:tcPr>
            <w:tcW w:w="716" w:type="pct"/>
            <w:tcBorders>
              <w:bottom w:val="single" w:sz="4" w:space="0" w:color="auto"/>
            </w:tcBorders>
            <w:hideMark/>
          </w:tcPr>
          <w:p w:rsidR="007F5D4D" w:rsidRPr="002C62BF" w:rsidRDefault="007F5D4D" w:rsidP="00DD0832">
            <w:pPr>
              <w:pStyle w:val="Tabletext"/>
              <w:keepNext/>
              <w:jc w:val="center"/>
              <w:rPr>
                <w:lang w:eastAsia="en-GB"/>
              </w:rPr>
            </w:pPr>
            <w:r w:rsidRPr="002C62BF">
              <w:rPr>
                <w:lang w:eastAsia="en-GB"/>
              </w:rPr>
              <w:t>-</w:t>
            </w:r>
          </w:p>
        </w:tc>
      </w:tr>
      <w:tr w:rsidR="007F5D4D" w:rsidRPr="002C62BF" w:rsidTr="00717270">
        <w:trPr>
          <w:trHeight w:val="73"/>
        </w:trPr>
        <w:tc>
          <w:tcPr>
            <w:tcW w:w="1531" w:type="pct"/>
            <w:tcBorders>
              <w:bottom w:val="nil"/>
            </w:tcBorders>
          </w:tcPr>
          <w:p w:rsidR="007F5D4D" w:rsidRPr="002C62BF" w:rsidRDefault="007F5D4D" w:rsidP="00DD0832">
            <w:pPr>
              <w:pStyle w:val="Tabletext"/>
              <w:keepNext/>
              <w:tabs>
                <w:tab w:val="left" w:pos="161"/>
              </w:tabs>
              <w:rPr>
                <w:lang w:eastAsia="en-GB"/>
              </w:rPr>
            </w:pPr>
            <w:r w:rsidRPr="002C62BF">
              <w:tab/>
              <w:t>‘MRI activity’ subgroup</w:t>
            </w:r>
          </w:p>
        </w:tc>
        <w:tc>
          <w:tcPr>
            <w:tcW w:w="917" w:type="pct"/>
            <w:tcBorders>
              <w:bottom w:val="nil"/>
            </w:tcBorders>
          </w:tcPr>
          <w:p w:rsidR="007F5D4D" w:rsidRPr="002C62BF" w:rsidRDefault="007F5D4D" w:rsidP="00DD0832">
            <w:pPr>
              <w:pStyle w:val="Tabletext"/>
              <w:keepNext/>
              <w:jc w:val="center"/>
              <w:rPr>
                <w:lang w:eastAsia="en-GB"/>
              </w:rPr>
            </w:pPr>
            <w:r w:rsidRPr="002C62BF">
              <w:rPr>
                <w:lang w:eastAsia="en-GB"/>
              </w:rPr>
              <w:t>104 (42.8%)</w:t>
            </w:r>
          </w:p>
        </w:tc>
        <w:tc>
          <w:tcPr>
            <w:tcW w:w="917" w:type="pct"/>
            <w:tcBorders>
              <w:bottom w:val="nil"/>
            </w:tcBorders>
          </w:tcPr>
          <w:p w:rsidR="007F5D4D" w:rsidRPr="002C62BF" w:rsidRDefault="007F5D4D" w:rsidP="00DD0832">
            <w:pPr>
              <w:pStyle w:val="Tabletext"/>
              <w:keepNext/>
              <w:jc w:val="center"/>
              <w:rPr>
                <w:lang w:eastAsia="en-GB"/>
              </w:rPr>
            </w:pPr>
            <w:r w:rsidRPr="002C62BF">
              <w:rPr>
                <w:lang w:eastAsia="en-GB"/>
              </w:rPr>
              <w:t>189 (38.9%)</w:t>
            </w:r>
          </w:p>
        </w:tc>
        <w:tc>
          <w:tcPr>
            <w:tcW w:w="918" w:type="pct"/>
            <w:tcBorders>
              <w:bottom w:val="nil"/>
            </w:tcBorders>
          </w:tcPr>
          <w:p w:rsidR="007F5D4D" w:rsidRPr="002C62BF" w:rsidRDefault="007F5D4D" w:rsidP="00DD0832">
            <w:pPr>
              <w:pStyle w:val="Tabletext"/>
              <w:keepNext/>
              <w:jc w:val="center"/>
              <w:rPr>
                <w:lang w:eastAsia="en-GB"/>
              </w:rPr>
            </w:pPr>
            <w:r w:rsidRPr="002C62BF">
              <w:rPr>
                <w:lang w:eastAsia="en-GB"/>
              </w:rPr>
              <w:t>0.69 (0.47, 1.00)</w:t>
            </w:r>
          </w:p>
        </w:tc>
        <w:tc>
          <w:tcPr>
            <w:tcW w:w="716" w:type="pct"/>
            <w:vMerge w:val="restart"/>
            <w:tcBorders>
              <w:bottom w:val="nil"/>
            </w:tcBorders>
            <w:vAlign w:val="center"/>
          </w:tcPr>
          <w:p w:rsidR="007F5D4D" w:rsidRPr="002C62BF" w:rsidRDefault="007F5D4D" w:rsidP="00DD0832">
            <w:pPr>
              <w:pStyle w:val="Tabletext"/>
              <w:keepNext/>
              <w:jc w:val="center"/>
              <w:rPr>
                <w:lang w:eastAsia="en-GB"/>
              </w:rPr>
            </w:pPr>
            <w:r w:rsidRPr="002C62BF">
              <w:rPr>
                <w:lang w:eastAsia="en-GB"/>
              </w:rPr>
              <w:t>0.4101</w:t>
            </w:r>
          </w:p>
        </w:tc>
      </w:tr>
      <w:tr w:rsidR="007F5D4D" w:rsidRPr="002C62BF" w:rsidTr="00717270">
        <w:trPr>
          <w:trHeight w:val="73"/>
        </w:trPr>
        <w:tc>
          <w:tcPr>
            <w:tcW w:w="1531" w:type="pct"/>
            <w:tcBorders>
              <w:top w:val="nil"/>
              <w:bottom w:val="single" w:sz="4" w:space="0" w:color="auto"/>
            </w:tcBorders>
          </w:tcPr>
          <w:p w:rsidR="007F5D4D" w:rsidRPr="002C62BF" w:rsidRDefault="007F5D4D" w:rsidP="00DD0832">
            <w:pPr>
              <w:pStyle w:val="Tabletext"/>
              <w:keepNext/>
              <w:tabs>
                <w:tab w:val="left" w:pos="161"/>
              </w:tabs>
              <w:rPr>
                <w:lang w:eastAsia="en-GB"/>
              </w:rPr>
            </w:pPr>
            <w:r w:rsidRPr="002C62BF">
              <w:tab/>
              <w:t>Complement subgroup</w:t>
            </w:r>
          </w:p>
        </w:tc>
        <w:tc>
          <w:tcPr>
            <w:tcW w:w="917" w:type="pct"/>
            <w:tcBorders>
              <w:top w:val="nil"/>
              <w:bottom w:val="single" w:sz="4" w:space="0" w:color="auto"/>
            </w:tcBorders>
          </w:tcPr>
          <w:p w:rsidR="007F5D4D" w:rsidRPr="002C62BF" w:rsidRDefault="007F5D4D" w:rsidP="00DD0832">
            <w:pPr>
              <w:pStyle w:val="Tabletext"/>
              <w:keepNext/>
              <w:jc w:val="center"/>
              <w:rPr>
                <w:lang w:eastAsia="en-GB"/>
              </w:rPr>
            </w:pPr>
            <w:r w:rsidRPr="002C62BF">
              <w:rPr>
                <w:lang w:eastAsia="en-GB"/>
              </w:rPr>
              <w:t>139 (57.2%)</w:t>
            </w:r>
          </w:p>
        </w:tc>
        <w:tc>
          <w:tcPr>
            <w:tcW w:w="917" w:type="pct"/>
            <w:tcBorders>
              <w:top w:val="nil"/>
              <w:bottom w:val="single" w:sz="4" w:space="0" w:color="auto"/>
            </w:tcBorders>
          </w:tcPr>
          <w:p w:rsidR="007F5D4D" w:rsidRPr="002C62BF" w:rsidRDefault="007F5D4D" w:rsidP="00DD0832">
            <w:pPr>
              <w:pStyle w:val="Tabletext"/>
              <w:keepNext/>
              <w:jc w:val="center"/>
              <w:rPr>
                <w:lang w:eastAsia="en-GB"/>
              </w:rPr>
            </w:pPr>
            <w:r w:rsidRPr="002C62BF">
              <w:rPr>
                <w:lang w:eastAsia="en-GB"/>
              </w:rPr>
              <w:t>297 (61.1%)</w:t>
            </w:r>
          </w:p>
        </w:tc>
        <w:tc>
          <w:tcPr>
            <w:tcW w:w="918" w:type="pct"/>
            <w:tcBorders>
              <w:top w:val="nil"/>
              <w:bottom w:val="single" w:sz="4" w:space="0" w:color="auto"/>
            </w:tcBorders>
          </w:tcPr>
          <w:p w:rsidR="007F5D4D" w:rsidRPr="002C62BF" w:rsidRDefault="007F5D4D" w:rsidP="00DD0832">
            <w:pPr>
              <w:pStyle w:val="Tabletext"/>
              <w:keepNext/>
              <w:jc w:val="center"/>
              <w:rPr>
                <w:lang w:eastAsia="en-GB"/>
              </w:rPr>
            </w:pPr>
            <w:r w:rsidRPr="002C62BF">
              <w:rPr>
                <w:lang w:eastAsia="en-GB"/>
              </w:rPr>
              <w:t>0.81 (0.59, 1.10)</w:t>
            </w:r>
          </w:p>
        </w:tc>
        <w:tc>
          <w:tcPr>
            <w:tcW w:w="716" w:type="pct"/>
            <w:vMerge/>
            <w:tcBorders>
              <w:top w:val="nil"/>
              <w:bottom w:val="single" w:sz="4" w:space="0" w:color="auto"/>
            </w:tcBorders>
          </w:tcPr>
          <w:p w:rsidR="007F5D4D" w:rsidRPr="002C62BF" w:rsidRDefault="007F5D4D" w:rsidP="00DD0832">
            <w:pPr>
              <w:pStyle w:val="Tabletext"/>
              <w:keepNext/>
              <w:jc w:val="center"/>
              <w:rPr>
                <w:lang w:eastAsia="en-GB"/>
              </w:rPr>
            </w:pPr>
          </w:p>
        </w:tc>
      </w:tr>
      <w:tr w:rsidR="007F5D4D" w:rsidRPr="002C62BF" w:rsidTr="00717270">
        <w:trPr>
          <w:trHeight w:val="73"/>
        </w:trPr>
        <w:tc>
          <w:tcPr>
            <w:tcW w:w="1531" w:type="pct"/>
            <w:tcBorders>
              <w:bottom w:val="nil"/>
            </w:tcBorders>
          </w:tcPr>
          <w:p w:rsidR="007F5D4D" w:rsidRPr="002C62BF" w:rsidRDefault="007F5D4D" w:rsidP="00DD0832">
            <w:pPr>
              <w:pStyle w:val="Tabletext"/>
              <w:keepNext/>
              <w:tabs>
                <w:tab w:val="left" w:pos="161"/>
              </w:tabs>
              <w:rPr>
                <w:lang w:eastAsia="en-GB"/>
              </w:rPr>
            </w:pPr>
            <w:r w:rsidRPr="002C62BF">
              <w:tab/>
              <w:t>‘MRI active ≤50 Years’ subgroup</w:t>
            </w:r>
          </w:p>
        </w:tc>
        <w:tc>
          <w:tcPr>
            <w:tcW w:w="917" w:type="pct"/>
            <w:tcBorders>
              <w:bottom w:val="nil"/>
            </w:tcBorders>
            <w:hideMark/>
          </w:tcPr>
          <w:p w:rsidR="007F5D4D" w:rsidRPr="002C62BF" w:rsidRDefault="007F5D4D" w:rsidP="00DD0832">
            <w:pPr>
              <w:pStyle w:val="Tabletext"/>
              <w:keepNext/>
              <w:jc w:val="center"/>
              <w:rPr>
                <w:lang w:eastAsia="en-GB"/>
              </w:rPr>
            </w:pPr>
            <w:r w:rsidRPr="002C62BF">
              <w:rPr>
                <w:lang w:eastAsia="en-GB"/>
              </w:rPr>
              <w:t>79 (32.5%)</w:t>
            </w:r>
          </w:p>
        </w:tc>
        <w:tc>
          <w:tcPr>
            <w:tcW w:w="917" w:type="pct"/>
            <w:tcBorders>
              <w:bottom w:val="nil"/>
            </w:tcBorders>
            <w:hideMark/>
          </w:tcPr>
          <w:p w:rsidR="007F5D4D" w:rsidRPr="002C62BF" w:rsidRDefault="007F5D4D" w:rsidP="00DD0832">
            <w:pPr>
              <w:pStyle w:val="Tabletext"/>
              <w:keepNext/>
              <w:jc w:val="center"/>
              <w:rPr>
                <w:lang w:eastAsia="en-GB"/>
              </w:rPr>
            </w:pPr>
            <w:r w:rsidRPr="002C62BF">
              <w:rPr>
                <w:lang w:eastAsia="en-GB"/>
              </w:rPr>
              <w:t>151 (31.1%)</w:t>
            </w:r>
          </w:p>
        </w:tc>
        <w:tc>
          <w:tcPr>
            <w:tcW w:w="918" w:type="pct"/>
            <w:tcBorders>
              <w:bottom w:val="nil"/>
            </w:tcBorders>
            <w:hideMark/>
          </w:tcPr>
          <w:p w:rsidR="007F5D4D" w:rsidRPr="002C62BF" w:rsidRDefault="007F5D4D" w:rsidP="00DD0832">
            <w:pPr>
              <w:pStyle w:val="Tabletext"/>
              <w:keepNext/>
              <w:jc w:val="center"/>
              <w:rPr>
                <w:lang w:eastAsia="en-GB"/>
              </w:rPr>
            </w:pPr>
            <w:r w:rsidRPr="002C62BF">
              <w:rPr>
                <w:lang w:eastAsia="en-GB"/>
              </w:rPr>
              <w:t>0.56 (0.37, 0.85)</w:t>
            </w:r>
          </w:p>
        </w:tc>
        <w:tc>
          <w:tcPr>
            <w:tcW w:w="716" w:type="pct"/>
            <w:vMerge w:val="restart"/>
            <w:tcBorders>
              <w:bottom w:val="nil"/>
            </w:tcBorders>
            <w:vAlign w:val="center"/>
            <w:hideMark/>
          </w:tcPr>
          <w:p w:rsidR="007F5D4D" w:rsidRPr="002C62BF" w:rsidRDefault="007F5D4D" w:rsidP="00DD0832">
            <w:pPr>
              <w:pStyle w:val="Tabletext"/>
              <w:keepNext/>
              <w:jc w:val="center"/>
              <w:rPr>
                <w:lang w:eastAsia="en-GB"/>
              </w:rPr>
            </w:pPr>
            <w:r w:rsidRPr="002C62BF">
              <w:rPr>
                <w:lang w:eastAsia="en-GB"/>
              </w:rPr>
              <w:t>0.0793</w:t>
            </w:r>
          </w:p>
        </w:tc>
      </w:tr>
      <w:tr w:rsidR="007F5D4D" w:rsidRPr="002C62BF" w:rsidTr="00717270">
        <w:trPr>
          <w:trHeight w:val="73"/>
        </w:trPr>
        <w:tc>
          <w:tcPr>
            <w:tcW w:w="1531" w:type="pct"/>
            <w:tcBorders>
              <w:top w:val="nil"/>
            </w:tcBorders>
          </w:tcPr>
          <w:p w:rsidR="007F5D4D" w:rsidRPr="002C62BF" w:rsidRDefault="007F5D4D" w:rsidP="00DD0832">
            <w:pPr>
              <w:pStyle w:val="Tabletext"/>
              <w:keepNext/>
              <w:tabs>
                <w:tab w:val="left" w:pos="161"/>
              </w:tabs>
              <w:rPr>
                <w:lang w:eastAsia="en-GB"/>
              </w:rPr>
            </w:pPr>
            <w:r w:rsidRPr="002C62BF">
              <w:tab/>
              <w:t>Complement subgroup</w:t>
            </w:r>
          </w:p>
        </w:tc>
        <w:tc>
          <w:tcPr>
            <w:tcW w:w="917" w:type="pct"/>
            <w:tcBorders>
              <w:top w:val="nil"/>
            </w:tcBorders>
            <w:hideMark/>
          </w:tcPr>
          <w:p w:rsidR="007F5D4D" w:rsidRPr="002C62BF" w:rsidRDefault="007F5D4D" w:rsidP="00DD0832">
            <w:pPr>
              <w:pStyle w:val="Tabletext"/>
              <w:keepNext/>
              <w:jc w:val="center"/>
              <w:rPr>
                <w:lang w:eastAsia="en-GB"/>
              </w:rPr>
            </w:pPr>
            <w:r w:rsidRPr="002C62BF">
              <w:rPr>
                <w:lang w:eastAsia="en-GB"/>
              </w:rPr>
              <w:t>164 (67.5%)</w:t>
            </w:r>
          </w:p>
        </w:tc>
        <w:tc>
          <w:tcPr>
            <w:tcW w:w="917" w:type="pct"/>
            <w:tcBorders>
              <w:top w:val="nil"/>
            </w:tcBorders>
            <w:hideMark/>
          </w:tcPr>
          <w:p w:rsidR="007F5D4D" w:rsidRPr="002C62BF" w:rsidRDefault="007F5D4D" w:rsidP="00DD0832">
            <w:pPr>
              <w:pStyle w:val="Tabletext"/>
              <w:keepNext/>
              <w:jc w:val="center"/>
              <w:rPr>
                <w:lang w:eastAsia="en-GB"/>
              </w:rPr>
            </w:pPr>
            <w:r w:rsidRPr="002C62BF">
              <w:rPr>
                <w:lang w:eastAsia="en-GB"/>
              </w:rPr>
              <w:t>335 (68.9%)</w:t>
            </w:r>
          </w:p>
        </w:tc>
        <w:tc>
          <w:tcPr>
            <w:tcW w:w="918" w:type="pct"/>
            <w:tcBorders>
              <w:top w:val="nil"/>
            </w:tcBorders>
            <w:hideMark/>
          </w:tcPr>
          <w:p w:rsidR="007F5D4D" w:rsidRPr="002C62BF" w:rsidRDefault="007F5D4D" w:rsidP="00DD0832">
            <w:pPr>
              <w:pStyle w:val="Tabletext"/>
              <w:keepNext/>
              <w:jc w:val="center"/>
              <w:rPr>
                <w:lang w:eastAsia="en-GB"/>
              </w:rPr>
            </w:pPr>
            <w:r w:rsidRPr="002C62BF">
              <w:rPr>
                <w:lang w:eastAsia="en-GB"/>
              </w:rPr>
              <w:t>0.88 (0.65, 1.18)</w:t>
            </w:r>
          </w:p>
        </w:tc>
        <w:tc>
          <w:tcPr>
            <w:tcW w:w="716" w:type="pct"/>
            <w:vMerge/>
            <w:tcBorders>
              <w:top w:val="nil"/>
            </w:tcBorders>
            <w:hideMark/>
          </w:tcPr>
          <w:p w:rsidR="007F5D4D" w:rsidRPr="002C62BF" w:rsidRDefault="007F5D4D" w:rsidP="00DD0832">
            <w:pPr>
              <w:pStyle w:val="Tabletext"/>
              <w:keepNext/>
              <w:jc w:val="center"/>
              <w:rPr>
                <w:lang w:eastAsia="en-GB"/>
              </w:rPr>
            </w:pPr>
          </w:p>
        </w:tc>
      </w:tr>
      <w:tr w:rsidR="007F5D4D" w:rsidRPr="002C62BF" w:rsidTr="00DD0832">
        <w:trPr>
          <w:trHeight w:val="73"/>
        </w:trPr>
        <w:tc>
          <w:tcPr>
            <w:tcW w:w="5000" w:type="pct"/>
            <w:gridSpan w:val="5"/>
            <w:vAlign w:val="center"/>
          </w:tcPr>
          <w:p w:rsidR="007F5D4D" w:rsidRPr="002C62BF" w:rsidRDefault="007F5D4D" w:rsidP="00DD0832">
            <w:pPr>
              <w:pStyle w:val="Tabletext"/>
              <w:keepNext/>
              <w:rPr>
                <w:b/>
                <w:lang w:eastAsia="en-GB"/>
              </w:rPr>
            </w:pPr>
            <w:r w:rsidRPr="002C62BF">
              <w:rPr>
                <w:b/>
                <w:lang w:eastAsia="en-GB"/>
              </w:rPr>
              <w:t>CDP-24</w:t>
            </w:r>
          </w:p>
        </w:tc>
      </w:tr>
      <w:tr w:rsidR="007F5D4D" w:rsidRPr="002C62BF" w:rsidTr="00717270">
        <w:trPr>
          <w:trHeight w:val="73"/>
        </w:trPr>
        <w:tc>
          <w:tcPr>
            <w:tcW w:w="1531" w:type="pct"/>
            <w:tcBorders>
              <w:bottom w:val="single" w:sz="4" w:space="0" w:color="auto"/>
            </w:tcBorders>
          </w:tcPr>
          <w:p w:rsidR="007F5D4D" w:rsidRPr="002C62BF" w:rsidRDefault="007F5D4D" w:rsidP="00DD0832">
            <w:pPr>
              <w:pStyle w:val="Tabletext"/>
              <w:keepNext/>
              <w:tabs>
                <w:tab w:val="left" w:pos="161"/>
              </w:tabs>
            </w:pPr>
            <w:r w:rsidRPr="002C62BF">
              <w:rPr>
                <w:lang w:eastAsia="en-GB"/>
              </w:rPr>
              <w:t>ITT</w:t>
            </w:r>
          </w:p>
        </w:tc>
        <w:tc>
          <w:tcPr>
            <w:tcW w:w="917" w:type="pct"/>
            <w:tcBorders>
              <w:bottom w:val="single" w:sz="4" w:space="0" w:color="auto"/>
            </w:tcBorders>
            <w:vAlign w:val="center"/>
          </w:tcPr>
          <w:p w:rsidR="007F5D4D" w:rsidRPr="002C62BF" w:rsidRDefault="007F5D4D" w:rsidP="00DD0832">
            <w:pPr>
              <w:pStyle w:val="Tabletext"/>
              <w:keepNext/>
              <w:jc w:val="center"/>
              <w:rPr>
                <w:lang w:eastAsia="en-GB"/>
              </w:rPr>
            </w:pPr>
            <w:r w:rsidRPr="002C62BF">
              <w:rPr>
                <w:color w:val="000000"/>
                <w:kern w:val="24"/>
              </w:rPr>
              <w:t>243 (100%)</w:t>
            </w:r>
          </w:p>
        </w:tc>
        <w:tc>
          <w:tcPr>
            <w:tcW w:w="917" w:type="pct"/>
            <w:tcBorders>
              <w:bottom w:val="single" w:sz="4" w:space="0" w:color="auto"/>
            </w:tcBorders>
            <w:vAlign w:val="center"/>
          </w:tcPr>
          <w:p w:rsidR="007F5D4D" w:rsidRPr="002C62BF" w:rsidRDefault="007F5D4D" w:rsidP="00DD0832">
            <w:pPr>
              <w:pStyle w:val="Tabletext"/>
              <w:keepNext/>
              <w:jc w:val="center"/>
              <w:rPr>
                <w:lang w:eastAsia="en-GB"/>
              </w:rPr>
            </w:pPr>
            <w:r w:rsidRPr="002C62BF">
              <w:rPr>
                <w:color w:val="000000"/>
                <w:kern w:val="24"/>
              </w:rPr>
              <w:t>486 (100%)</w:t>
            </w:r>
          </w:p>
        </w:tc>
        <w:tc>
          <w:tcPr>
            <w:tcW w:w="918" w:type="pct"/>
            <w:tcBorders>
              <w:bottom w:val="single" w:sz="4" w:space="0" w:color="auto"/>
            </w:tcBorders>
            <w:vAlign w:val="center"/>
          </w:tcPr>
          <w:p w:rsidR="007F5D4D" w:rsidRPr="002C62BF" w:rsidRDefault="007F5D4D" w:rsidP="00DD0832">
            <w:pPr>
              <w:pStyle w:val="Tabletext"/>
              <w:keepNext/>
              <w:jc w:val="center"/>
              <w:rPr>
                <w:lang w:eastAsia="en-GB"/>
              </w:rPr>
            </w:pPr>
            <w:r w:rsidRPr="002C62BF">
              <w:rPr>
                <w:color w:val="000000"/>
                <w:kern w:val="24"/>
              </w:rPr>
              <w:t>0.70 (0.55, 0.90)</w:t>
            </w:r>
          </w:p>
        </w:tc>
        <w:tc>
          <w:tcPr>
            <w:tcW w:w="716" w:type="pct"/>
            <w:tcBorders>
              <w:bottom w:val="single" w:sz="4" w:space="0" w:color="auto"/>
            </w:tcBorders>
            <w:vAlign w:val="center"/>
          </w:tcPr>
          <w:p w:rsidR="007F5D4D" w:rsidRPr="002C62BF" w:rsidRDefault="007F5D4D" w:rsidP="00DD0832">
            <w:pPr>
              <w:pStyle w:val="Tabletext"/>
              <w:keepNext/>
              <w:jc w:val="center"/>
              <w:rPr>
                <w:lang w:eastAsia="en-GB"/>
              </w:rPr>
            </w:pPr>
            <w:r w:rsidRPr="002C62BF">
              <w:rPr>
                <w:lang w:eastAsia="en-GB"/>
              </w:rPr>
              <w:t>-</w:t>
            </w:r>
          </w:p>
        </w:tc>
      </w:tr>
      <w:tr w:rsidR="007F5D4D" w:rsidRPr="002C62BF" w:rsidTr="00717270">
        <w:trPr>
          <w:trHeight w:val="73"/>
        </w:trPr>
        <w:tc>
          <w:tcPr>
            <w:tcW w:w="1531" w:type="pct"/>
            <w:tcBorders>
              <w:bottom w:val="nil"/>
            </w:tcBorders>
          </w:tcPr>
          <w:p w:rsidR="007F5D4D" w:rsidRPr="002C62BF" w:rsidRDefault="007F5D4D" w:rsidP="00DD0832">
            <w:pPr>
              <w:pStyle w:val="Tabletext"/>
              <w:keepNext/>
              <w:tabs>
                <w:tab w:val="left" w:pos="161"/>
              </w:tabs>
            </w:pPr>
            <w:r w:rsidRPr="002C62BF">
              <w:tab/>
              <w:t>‘MRI activity’ subgroup</w:t>
            </w:r>
          </w:p>
        </w:tc>
        <w:tc>
          <w:tcPr>
            <w:tcW w:w="917" w:type="pct"/>
            <w:tcBorders>
              <w:bottom w:val="nil"/>
            </w:tcBorders>
            <w:vAlign w:val="center"/>
          </w:tcPr>
          <w:p w:rsidR="007F5D4D" w:rsidRPr="002C62BF" w:rsidRDefault="007F5D4D" w:rsidP="00DD0832">
            <w:pPr>
              <w:pStyle w:val="Tabletext"/>
              <w:keepNext/>
              <w:jc w:val="center"/>
              <w:rPr>
                <w:lang w:eastAsia="en-GB"/>
              </w:rPr>
            </w:pPr>
            <w:r w:rsidRPr="002C62BF">
              <w:rPr>
                <w:color w:val="000000"/>
                <w:kern w:val="24"/>
              </w:rPr>
              <w:t>104 (42.8%)</w:t>
            </w:r>
          </w:p>
        </w:tc>
        <w:tc>
          <w:tcPr>
            <w:tcW w:w="917" w:type="pct"/>
            <w:tcBorders>
              <w:bottom w:val="nil"/>
            </w:tcBorders>
            <w:vAlign w:val="center"/>
          </w:tcPr>
          <w:p w:rsidR="007F5D4D" w:rsidRPr="002C62BF" w:rsidRDefault="007F5D4D" w:rsidP="00DD0832">
            <w:pPr>
              <w:pStyle w:val="Tabletext"/>
              <w:keepNext/>
              <w:jc w:val="center"/>
              <w:rPr>
                <w:lang w:eastAsia="en-GB"/>
              </w:rPr>
            </w:pPr>
            <w:r w:rsidRPr="002C62BF">
              <w:rPr>
                <w:color w:val="000000"/>
                <w:kern w:val="24"/>
              </w:rPr>
              <w:t>189 (38.9%)</w:t>
            </w:r>
          </w:p>
        </w:tc>
        <w:tc>
          <w:tcPr>
            <w:tcW w:w="918" w:type="pct"/>
            <w:tcBorders>
              <w:bottom w:val="nil"/>
            </w:tcBorders>
            <w:vAlign w:val="center"/>
          </w:tcPr>
          <w:p w:rsidR="007F5D4D" w:rsidRPr="002C62BF" w:rsidRDefault="007F5D4D" w:rsidP="00DD0832">
            <w:pPr>
              <w:pStyle w:val="Tabletext"/>
              <w:keepNext/>
              <w:jc w:val="center"/>
              <w:rPr>
                <w:lang w:eastAsia="en-GB"/>
              </w:rPr>
            </w:pPr>
            <w:r w:rsidRPr="002C62BF">
              <w:rPr>
                <w:color w:val="000000"/>
                <w:kern w:val="24"/>
              </w:rPr>
              <w:t>0.68 (0.46, 0.99)</w:t>
            </w:r>
          </w:p>
        </w:tc>
        <w:tc>
          <w:tcPr>
            <w:tcW w:w="716" w:type="pct"/>
            <w:vMerge w:val="restart"/>
            <w:tcBorders>
              <w:bottom w:val="nil"/>
            </w:tcBorders>
            <w:vAlign w:val="center"/>
          </w:tcPr>
          <w:p w:rsidR="007F5D4D" w:rsidRPr="002C62BF" w:rsidRDefault="007F5D4D" w:rsidP="00DD0832">
            <w:pPr>
              <w:pStyle w:val="Tabletext"/>
              <w:keepNext/>
              <w:jc w:val="center"/>
              <w:rPr>
                <w:lang w:eastAsia="en-GB"/>
              </w:rPr>
            </w:pPr>
            <w:r w:rsidRPr="002C62BF">
              <w:rPr>
                <w:lang w:eastAsia="en-GB"/>
              </w:rPr>
              <w:t>0.6880</w:t>
            </w:r>
          </w:p>
        </w:tc>
      </w:tr>
      <w:tr w:rsidR="007F5D4D" w:rsidRPr="002C62BF" w:rsidTr="00717270">
        <w:trPr>
          <w:trHeight w:val="73"/>
        </w:trPr>
        <w:tc>
          <w:tcPr>
            <w:tcW w:w="1531" w:type="pct"/>
            <w:tcBorders>
              <w:top w:val="nil"/>
              <w:bottom w:val="single" w:sz="4" w:space="0" w:color="auto"/>
            </w:tcBorders>
          </w:tcPr>
          <w:p w:rsidR="007F5D4D" w:rsidRPr="002C62BF" w:rsidRDefault="007F5D4D" w:rsidP="00DD0832">
            <w:pPr>
              <w:pStyle w:val="Tabletext"/>
              <w:keepNext/>
              <w:tabs>
                <w:tab w:val="left" w:pos="161"/>
              </w:tabs>
            </w:pPr>
            <w:r w:rsidRPr="002C62BF">
              <w:tab/>
              <w:t>Complement subgroup</w:t>
            </w:r>
          </w:p>
        </w:tc>
        <w:tc>
          <w:tcPr>
            <w:tcW w:w="917" w:type="pct"/>
            <w:tcBorders>
              <w:top w:val="nil"/>
              <w:bottom w:val="single" w:sz="4" w:space="0" w:color="auto"/>
            </w:tcBorders>
            <w:vAlign w:val="center"/>
          </w:tcPr>
          <w:p w:rsidR="007F5D4D" w:rsidRPr="002C62BF" w:rsidRDefault="007F5D4D" w:rsidP="00DD0832">
            <w:pPr>
              <w:pStyle w:val="Tabletext"/>
              <w:keepNext/>
              <w:jc w:val="center"/>
              <w:rPr>
                <w:lang w:eastAsia="en-GB"/>
              </w:rPr>
            </w:pPr>
            <w:r w:rsidRPr="002C62BF">
              <w:rPr>
                <w:color w:val="000000"/>
                <w:kern w:val="24"/>
              </w:rPr>
              <w:t>139 (57.2%)</w:t>
            </w:r>
          </w:p>
        </w:tc>
        <w:tc>
          <w:tcPr>
            <w:tcW w:w="917" w:type="pct"/>
            <w:tcBorders>
              <w:top w:val="nil"/>
              <w:bottom w:val="single" w:sz="4" w:space="0" w:color="auto"/>
            </w:tcBorders>
            <w:vAlign w:val="center"/>
          </w:tcPr>
          <w:p w:rsidR="007F5D4D" w:rsidRPr="002C62BF" w:rsidRDefault="007F5D4D" w:rsidP="00DD0832">
            <w:pPr>
              <w:pStyle w:val="Tabletext"/>
              <w:keepNext/>
              <w:jc w:val="center"/>
              <w:rPr>
                <w:lang w:eastAsia="en-GB"/>
              </w:rPr>
            </w:pPr>
            <w:r w:rsidRPr="002C62BF">
              <w:rPr>
                <w:color w:val="000000"/>
                <w:kern w:val="24"/>
              </w:rPr>
              <w:t>297 (61.1%)</w:t>
            </w:r>
          </w:p>
        </w:tc>
        <w:tc>
          <w:tcPr>
            <w:tcW w:w="918" w:type="pct"/>
            <w:tcBorders>
              <w:top w:val="nil"/>
              <w:bottom w:val="single" w:sz="4" w:space="0" w:color="auto"/>
            </w:tcBorders>
            <w:vAlign w:val="center"/>
          </w:tcPr>
          <w:p w:rsidR="007F5D4D" w:rsidRPr="002C62BF" w:rsidRDefault="007F5D4D" w:rsidP="00DD0832">
            <w:pPr>
              <w:pStyle w:val="Tabletext"/>
              <w:keepNext/>
              <w:jc w:val="center"/>
              <w:rPr>
                <w:lang w:eastAsia="en-GB"/>
              </w:rPr>
            </w:pPr>
            <w:r w:rsidRPr="002C62BF">
              <w:rPr>
                <w:color w:val="000000"/>
                <w:kern w:val="24"/>
              </w:rPr>
              <w:t>0.72 (0.52, 1.00)</w:t>
            </w:r>
          </w:p>
        </w:tc>
        <w:tc>
          <w:tcPr>
            <w:tcW w:w="716" w:type="pct"/>
            <w:vMerge/>
            <w:tcBorders>
              <w:top w:val="nil"/>
              <w:bottom w:val="single" w:sz="4" w:space="0" w:color="auto"/>
            </w:tcBorders>
            <w:vAlign w:val="center"/>
          </w:tcPr>
          <w:p w:rsidR="007F5D4D" w:rsidRPr="002C62BF" w:rsidRDefault="007F5D4D" w:rsidP="00DD0832">
            <w:pPr>
              <w:pStyle w:val="Tabletext"/>
              <w:keepNext/>
              <w:jc w:val="center"/>
              <w:rPr>
                <w:lang w:eastAsia="en-GB"/>
              </w:rPr>
            </w:pPr>
          </w:p>
        </w:tc>
      </w:tr>
      <w:tr w:rsidR="007F5D4D" w:rsidRPr="002C62BF" w:rsidTr="00717270">
        <w:trPr>
          <w:trHeight w:val="73"/>
        </w:trPr>
        <w:tc>
          <w:tcPr>
            <w:tcW w:w="1531" w:type="pct"/>
            <w:tcBorders>
              <w:bottom w:val="nil"/>
            </w:tcBorders>
            <w:shd w:val="clear" w:color="auto" w:fill="D9D9D9" w:themeFill="background1" w:themeFillShade="D9"/>
          </w:tcPr>
          <w:p w:rsidR="007F5D4D" w:rsidRPr="002C62BF" w:rsidRDefault="007F5D4D" w:rsidP="00DD0832">
            <w:pPr>
              <w:pStyle w:val="Tabletext"/>
              <w:keepNext/>
              <w:tabs>
                <w:tab w:val="left" w:pos="161"/>
              </w:tabs>
            </w:pPr>
            <w:r w:rsidRPr="002C62BF">
              <w:tab/>
              <w:t>‘MRI active ≤50 Years’ subgroup</w:t>
            </w:r>
          </w:p>
        </w:tc>
        <w:tc>
          <w:tcPr>
            <w:tcW w:w="917" w:type="pct"/>
            <w:tcBorders>
              <w:bottom w:val="nil"/>
            </w:tcBorders>
            <w:shd w:val="clear" w:color="auto" w:fill="D9D9D9" w:themeFill="background1" w:themeFillShade="D9"/>
            <w:vAlign w:val="center"/>
          </w:tcPr>
          <w:p w:rsidR="007F5D4D" w:rsidRPr="002C62BF" w:rsidRDefault="007F5D4D" w:rsidP="00DD0832">
            <w:pPr>
              <w:pStyle w:val="Tabletext"/>
              <w:keepNext/>
              <w:jc w:val="center"/>
              <w:rPr>
                <w:lang w:eastAsia="en-GB"/>
              </w:rPr>
            </w:pPr>
            <w:r w:rsidRPr="002C62BF">
              <w:rPr>
                <w:color w:val="000000"/>
                <w:kern w:val="24"/>
              </w:rPr>
              <w:t>79 (32.5%)</w:t>
            </w:r>
          </w:p>
        </w:tc>
        <w:tc>
          <w:tcPr>
            <w:tcW w:w="917" w:type="pct"/>
            <w:tcBorders>
              <w:bottom w:val="nil"/>
            </w:tcBorders>
            <w:shd w:val="clear" w:color="auto" w:fill="D9D9D9" w:themeFill="background1" w:themeFillShade="D9"/>
            <w:vAlign w:val="center"/>
          </w:tcPr>
          <w:p w:rsidR="007F5D4D" w:rsidRPr="002C62BF" w:rsidRDefault="007F5D4D" w:rsidP="00DD0832">
            <w:pPr>
              <w:pStyle w:val="Tabletext"/>
              <w:keepNext/>
              <w:jc w:val="center"/>
              <w:rPr>
                <w:lang w:eastAsia="en-GB"/>
              </w:rPr>
            </w:pPr>
            <w:r w:rsidRPr="002C62BF">
              <w:rPr>
                <w:color w:val="000000"/>
                <w:kern w:val="24"/>
              </w:rPr>
              <w:t>151 (31.1%)</w:t>
            </w:r>
          </w:p>
        </w:tc>
        <w:tc>
          <w:tcPr>
            <w:tcW w:w="918" w:type="pct"/>
            <w:tcBorders>
              <w:bottom w:val="nil"/>
            </w:tcBorders>
            <w:shd w:val="clear" w:color="auto" w:fill="D9D9D9" w:themeFill="background1" w:themeFillShade="D9"/>
            <w:vAlign w:val="center"/>
          </w:tcPr>
          <w:p w:rsidR="007F5D4D" w:rsidRPr="002C62BF" w:rsidRDefault="007F5D4D" w:rsidP="00DD0832">
            <w:pPr>
              <w:pStyle w:val="Tabletext"/>
              <w:keepNext/>
              <w:jc w:val="center"/>
              <w:rPr>
                <w:lang w:eastAsia="en-GB"/>
              </w:rPr>
            </w:pPr>
            <w:r w:rsidRPr="002C62BF">
              <w:rPr>
                <w:color w:val="000000"/>
                <w:kern w:val="24"/>
              </w:rPr>
              <w:t>0.53 (0.35, 0.81)</w:t>
            </w:r>
          </w:p>
        </w:tc>
        <w:tc>
          <w:tcPr>
            <w:tcW w:w="716" w:type="pct"/>
            <w:vMerge w:val="restart"/>
            <w:tcBorders>
              <w:bottom w:val="nil"/>
            </w:tcBorders>
            <w:vAlign w:val="center"/>
          </w:tcPr>
          <w:p w:rsidR="007F5D4D" w:rsidRPr="002C62BF" w:rsidRDefault="007F5D4D" w:rsidP="00DD0832">
            <w:pPr>
              <w:pStyle w:val="Tabletext"/>
              <w:keepNext/>
              <w:jc w:val="center"/>
              <w:rPr>
                <w:lang w:eastAsia="en-GB"/>
              </w:rPr>
            </w:pPr>
            <w:r w:rsidRPr="002C62BF">
              <w:rPr>
                <w:color w:val="000000"/>
                <w:kern w:val="24"/>
              </w:rPr>
              <w:t>0.1097</w:t>
            </w:r>
          </w:p>
        </w:tc>
      </w:tr>
      <w:tr w:rsidR="007F5D4D" w:rsidRPr="002C62BF" w:rsidTr="00717270">
        <w:trPr>
          <w:trHeight w:val="73"/>
        </w:trPr>
        <w:tc>
          <w:tcPr>
            <w:tcW w:w="1531" w:type="pct"/>
            <w:tcBorders>
              <w:top w:val="nil"/>
            </w:tcBorders>
          </w:tcPr>
          <w:p w:rsidR="007F5D4D" w:rsidRPr="002C62BF" w:rsidRDefault="007F5D4D" w:rsidP="00DD0832">
            <w:pPr>
              <w:pStyle w:val="Tabletext"/>
              <w:keepNext/>
              <w:tabs>
                <w:tab w:val="left" w:pos="161"/>
              </w:tabs>
            </w:pPr>
            <w:r w:rsidRPr="002C62BF">
              <w:tab/>
              <w:t>Complement subgroup</w:t>
            </w:r>
          </w:p>
        </w:tc>
        <w:tc>
          <w:tcPr>
            <w:tcW w:w="917" w:type="pct"/>
            <w:tcBorders>
              <w:top w:val="nil"/>
            </w:tcBorders>
            <w:vAlign w:val="center"/>
          </w:tcPr>
          <w:p w:rsidR="007F5D4D" w:rsidRPr="002C62BF" w:rsidRDefault="007F5D4D" w:rsidP="00DD0832">
            <w:pPr>
              <w:pStyle w:val="Tabletext"/>
              <w:keepNext/>
              <w:jc w:val="center"/>
              <w:rPr>
                <w:lang w:eastAsia="en-GB"/>
              </w:rPr>
            </w:pPr>
            <w:r w:rsidRPr="002C62BF">
              <w:rPr>
                <w:color w:val="000000"/>
                <w:kern w:val="24"/>
              </w:rPr>
              <w:t>164 (67.5%)</w:t>
            </w:r>
          </w:p>
        </w:tc>
        <w:tc>
          <w:tcPr>
            <w:tcW w:w="917" w:type="pct"/>
            <w:tcBorders>
              <w:top w:val="nil"/>
            </w:tcBorders>
            <w:vAlign w:val="center"/>
          </w:tcPr>
          <w:p w:rsidR="007F5D4D" w:rsidRPr="002C62BF" w:rsidRDefault="007F5D4D" w:rsidP="00DD0832">
            <w:pPr>
              <w:pStyle w:val="Tabletext"/>
              <w:keepNext/>
              <w:jc w:val="center"/>
              <w:rPr>
                <w:lang w:eastAsia="en-GB"/>
              </w:rPr>
            </w:pPr>
            <w:r w:rsidRPr="002C62BF">
              <w:rPr>
                <w:color w:val="000000"/>
                <w:kern w:val="24"/>
              </w:rPr>
              <w:t>335 (68.9%)</w:t>
            </w:r>
          </w:p>
        </w:tc>
        <w:tc>
          <w:tcPr>
            <w:tcW w:w="918" w:type="pct"/>
            <w:tcBorders>
              <w:top w:val="nil"/>
            </w:tcBorders>
            <w:vAlign w:val="center"/>
          </w:tcPr>
          <w:p w:rsidR="007F5D4D" w:rsidRPr="002C62BF" w:rsidRDefault="007F5D4D" w:rsidP="00DD0832">
            <w:pPr>
              <w:pStyle w:val="Tabletext"/>
              <w:keepNext/>
              <w:jc w:val="center"/>
              <w:rPr>
                <w:lang w:eastAsia="en-GB"/>
              </w:rPr>
            </w:pPr>
            <w:r w:rsidRPr="002C62BF">
              <w:rPr>
                <w:color w:val="000000"/>
                <w:kern w:val="24"/>
              </w:rPr>
              <w:t>0.81 (0.60, 1.10)</w:t>
            </w:r>
          </w:p>
        </w:tc>
        <w:tc>
          <w:tcPr>
            <w:tcW w:w="716" w:type="pct"/>
            <w:vMerge/>
            <w:tcBorders>
              <w:top w:val="nil"/>
            </w:tcBorders>
            <w:vAlign w:val="center"/>
          </w:tcPr>
          <w:p w:rsidR="007F5D4D" w:rsidRPr="002C62BF" w:rsidRDefault="007F5D4D" w:rsidP="00DD0832">
            <w:pPr>
              <w:pStyle w:val="Tabletext"/>
              <w:keepNext/>
              <w:jc w:val="center"/>
              <w:rPr>
                <w:lang w:eastAsia="en-GB"/>
              </w:rPr>
            </w:pPr>
          </w:p>
        </w:tc>
      </w:tr>
    </w:tbl>
    <w:p w:rsidR="007F5D4D" w:rsidRPr="002C62BF" w:rsidRDefault="007F5D4D" w:rsidP="007F5D4D">
      <w:pPr>
        <w:pStyle w:val="TableFigureFooter"/>
        <w:keepNext/>
      </w:pPr>
      <w:r w:rsidRPr="002C62BF">
        <w:t>Source: Table 2.14, p41; Table 2.15, p41 of the resubmission.</w:t>
      </w:r>
    </w:p>
    <w:p w:rsidR="007F5D4D" w:rsidRPr="002C62BF" w:rsidRDefault="007F5D4D" w:rsidP="007F5D4D">
      <w:pPr>
        <w:pStyle w:val="TableFigureFooter"/>
        <w:keepNext/>
      </w:pPr>
      <w:r w:rsidRPr="002C62BF">
        <w:t xml:space="preserve">CDP=confirmed disability progression; CI=confidence interval; HR=hazard ratio; MRI=magnetic resonance imaging; </w:t>
      </w:r>
    </w:p>
    <w:p w:rsidR="007F5D4D" w:rsidRPr="002C62BF" w:rsidRDefault="007F5D4D" w:rsidP="007F5D4D">
      <w:pPr>
        <w:pStyle w:val="TableFigureFooter"/>
        <w:keepNext/>
        <w:spacing w:after="0"/>
      </w:pPr>
      <w:r w:rsidRPr="002C62BF">
        <w:t>‘MRI activity’ defined as gadolinium-enhancing T1 lesions at screening or baseline, or new T2 lesions between screening and baseline.</w:t>
      </w:r>
    </w:p>
    <w:p w:rsidR="007F5D4D" w:rsidRPr="002C62BF" w:rsidRDefault="007F5D4D" w:rsidP="000A7614">
      <w:pPr>
        <w:pStyle w:val="TableFigureFooter"/>
        <w:keepNext/>
      </w:pPr>
      <w:r w:rsidRPr="002C62BF">
        <w:t xml:space="preserve">Note: the “n” in these analyses does not refer to number of events, but rather the number of patients analysed in the relevant subgroup. Number of events was not presented. </w:t>
      </w:r>
    </w:p>
    <w:p w:rsidR="00CC74C2" w:rsidRPr="002C62BF" w:rsidRDefault="00CC74C2" w:rsidP="00A8796A">
      <w:pPr>
        <w:pStyle w:val="3-BodyText"/>
      </w:pPr>
      <w:r w:rsidRPr="002C62BF">
        <w:t xml:space="preserve">The difference between the CDP hazard ratios for the MRI active, 50 years or younger subgroup, the MRI active subgroup and the ITT subgroup indicate that age or an unknown variable associated with age could be the more important treatment effect modifier, which would have implications in the designation of years since diagnosis as a proxy for age. Relative differences between the hazard ratios could be a result of </w:t>
      </w:r>
      <w:r w:rsidRPr="002C62BF">
        <w:lastRenderedPageBreak/>
        <w:t>expected heterogeneity and thus these differences should be interpreted with caution.</w:t>
      </w:r>
      <w:r w:rsidR="00A8796A" w:rsidRPr="002C62BF">
        <w:t xml:space="preserve"> </w:t>
      </w:r>
    </w:p>
    <w:p w:rsidR="001D28C0" w:rsidRPr="002C62BF" w:rsidRDefault="001D28C0" w:rsidP="00F80B9C">
      <w:pPr>
        <w:pStyle w:val="3-BodyText"/>
      </w:pPr>
      <w:r w:rsidRPr="002C62BF">
        <w:t>The ESC noted there was no clear evidence presented to establish time since diagnosis as a proxy for patients aged 50 or less and therefore considered there was substantial uncertainty in the clinical effectiveness as the presented analyses were not likely to be representative of the requested population. The ESC considered it would be appropriate for the Sponsor to present an analysis of time since diagnosis by age from the ORATORIO dataset to provide further clarity on the exchangeability of these variables.</w:t>
      </w:r>
      <w:r w:rsidR="001C3560" w:rsidRPr="002C62BF">
        <w:t xml:space="preserve"> The </w:t>
      </w:r>
      <w:r w:rsidR="00FD4B74" w:rsidRPr="002C62BF">
        <w:t>p</w:t>
      </w:r>
      <w:r w:rsidR="001C3560" w:rsidRPr="002C62BF">
        <w:t xml:space="preserve">re-PBAC </w:t>
      </w:r>
      <w:r w:rsidR="00FD4B74" w:rsidRPr="002C62BF">
        <w:t>r</w:t>
      </w:r>
      <w:r w:rsidR="001C3560" w:rsidRPr="002C62BF">
        <w:t>esponse argued such an analysis would likely be assessing efficacy in younger patients, consistent with the subgroup analyses included in the resubmission</w:t>
      </w:r>
      <w:r w:rsidR="00F80B9C" w:rsidRPr="002C62BF">
        <w:t>. The pre-PBAC response also argued that younger patients benefited most from treatment in ORATORIO, which was ‘likely related to the underlying pathology and disease course of PPMS; the optimal treatment window is in patients with early disease in terms of disease duration, level of disability, and active inflammation’</w:t>
      </w:r>
      <w:r w:rsidR="006F1B0D" w:rsidRPr="002C62BF">
        <w:t xml:space="preserve">. </w:t>
      </w:r>
      <w:r w:rsidR="00F80B9C" w:rsidRPr="002C62BF">
        <w:t>The pre-PBAC response</w:t>
      </w:r>
      <w:r w:rsidR="001C3560" w:rsidRPr="002C62BF">
        <w:t xml:space="preserve"> noted that </w:t>
      </w:r>
      <w:r w:rsidR="003C49A4" w:rsidRPr="002C62BF">
        <w:t>including an age restriction in the listing may</w:t>
      </w:r>
      <w:r w:rsidR="001C3560" w:rsidRPr="002C62BF">
        <w:t xml:space="preserve"> introduce equity concerns</w:t>
      </w:r>
      <w:r w:rsidR="00DF121F" w:rsidRPr="002C62BF">
        <w:t xml:space="preserve">. The PBAC agreed with the ESC </w:t>
      </w:r>
      <w:r w:rsidR="00F80B9C" w:rsidRPr="002C62BF">
        <w:t>that</w:t>
      </w:r>
      <w:r w:rsidR="00DF121F" w:rsidRPr="002C62BF">
        <w:t xml:space="preserve"> the submission had not adequately justified that time since diagnosis was a reasonable proxy for age and therefore considered the </w:t>
      </w:r>
      <w:r w:rsidR="00F80B9C" w:rsidRPr="002C62BF">
        <w:t>subgroup</w:t>
      </w:r>
      <w:r w:rsidR="00DF121F" w:rsidRPr="002C62BF">
        <w:t xml:space="preserve"> analyses </w:t>
      </w:r>
      <w:r w:rsidR="003C49A4" w:rsidRPr="002C62BF">
        <w:t>may not reliably</w:t>
      </w:r>
      <w:r w:rsidR="00DF121F" w:rsidRPr="002C62BF">
        <w:t xml:space="preserve"> represent the requested PBS population. However, the PBAC also agreed with the </w:t>
      </w:r>
      <w:r w:rsidR="00FD4B74" w:rsidRPr="002C62BF">
        <w:t>p</w:t>
      </w:r>
      <w:r w:rsidR="00DF121F" w:rsidRPr="002C62BF">
        <w:t xml:space="preserve">re-PBAC </w:t>
      </w:r>
      <w:r w:rsidR="00FD4B74" w:rsidRPr="002C62BF">
        <w:t>r</w:t>
      </w:r>
      <w:r w:rsidR="00DF121F" w:rsidRPr="002C62BF">
        <w:t xml:space="preserve">esponse that defining a PBS population around patient age </w:t>
      </w:r>
      <w:r w:rsidR="003C49A4" w:rsidRPr="002C62BF">
        <w:t xml:space="preserve">may be </w:t>
      </w:r>
      <w:r w:rsidR="00DF121F" w:rsidRPr="002C62BF">
        <w:t>inequitable</w:t>
      </w:r>
      <w:r w:rsidR="006F1B0D" w:rsidRPr="002C62BF">
        <w:t xml:space="preserve">. </w:t>
      </w:r>
      <w:r w:rsidR="00F80B9C" w:rsidRPr="002C62BF">
        <w:t xml:space="preserve">The PBAC acknowledged the pre-PBAC response’s claims that age may be associated with the underlying pathology and disease course of PPMS which supported use in early disease, but also </w:t>
      </w:r>
      <w:r w:rsidR="00DF121F" w:rsidRPr="002C62BF">
        <w:t>considered that age itself as a treatment effect modifier was of questionable biological plausibility and that other factors related to age</w:t>
      </w:r>
      <w:r w:rsidR="00EF6A92" w:rsidRPr="002C62BF">
        <w:t xml:space="preserve"> were possible drivers of the </w:t>
      </w:r>
      <w:r w:rsidR="003C49A4" w:rsidRPr="002C62BF">
        <w:t xml:space="preserve">potential </w:t>
      </w:r>
      <w:r w:rsidR="00EF6A92" w:rsidRPr="002C62BF">
        <w:t xml:space="preserve">treatment effect modification identified </w:t>
      </w:r>
      <w:r w:rsidR="003C49A4" w:rsidRPr="002C62BF">
        <w:t>in</w:t>
      </w:r>
      <w:r w:rsidR="00EF6A92" w:rsidRPr="002C62BF">
        <w:t xml:space="preserve"> the patient age </w:t>
      </w:r>
      <w:r w:rsidR="00686FBC" w:rsidRPr="002C62BF">
        <w:rPr>
          <w:rFonts w:cstheme="minorHAnsi"/>
        </w:rPr>
        <w:t>≤</w:t>
      </w:r>
      <w:r w:rsidR="00EF6A92" w:rsidRPr="002C62BF">
        <w:t xml:space="preserve">50 years old subgroup. </w:t>
      </w:r>
    </w:p>
    <w:p w:rsidR="00B60939" w:rsidRPr="002C62BF" w:rsidRDefault="00B60939" w:rsidP="00D86231">
      <w:pPr>
        <w:pStyle w:val="4-SubsectionHeading"/>
      </w:pPr>
      <w:bookmarkStart w:id="22" w:name="_Toc22897642"/>
      <w:bookmarkStart w:id="23" w:name="_Toc40873648"/>
      <w:r w:rsidRPr="002C62BF">
        <w:t>Comparative harms</w:t>
      </w:r>
      <w:bookmarkEnd w:id="22"/>
      <w:bookmarkEnd w:id="23"/>
    </w:p>
    <w:p w:rsidR="00F67498" w:rsidRPr="002C62BF" w:rsidRDefault="00F67498" w:rsidP="00F67498">
      <w:pPr>
        <w:pStyle w:val="3-BodyText"/>
        <w:rPr>
          <w:color w:val="000000" w:themeColor="text1"/>
        </w:rPr>
      </w:pPr>
      <w:r w:rsidRPr="002C62BF">
        <w:t>The PBAC previously accepted the claim of inferior comparative safety of ocrelizumab over BSC. However, the PBAC considered that the previous submission’s claim that ocrelizumab has an acceptable safety profile that is comparable with placebo was not adequately supported. The PBAC noted ocrelizumab was associated with a greater rate of infusion related reactions and upper respiratory tract infections than placebo in the ORATORIO trial. Additionally, the potentially older PBS population with more severe disease may experience a higher risk of infections and/or other adverse events (Paragraph 7.7, ocr</w:t>
      </w:r>
      <w:r w:rsidR="0001190D">
        <w:t>elizumab PSD</w:t>
      </w:r>
      <w:r w:rsidRPr="002C62BF">
        <w:t>, November 2017 PBAC Meeting).</w:t>
      </w:r>
      <w:r w:rsidR="0001190D">
        <w:t xml:space="preserve"> The pre-PBAC r</w:t>
      </w:r>
      <w:r w:rsidR="00A0039C" w:rsidRPr="002C62BF">
        <w:t>esponse argued that as the narrower population requested in the resubmission was likely to be younger than the original submission that the PBAC’s previous view regarding risks for older patients were less relevant in the resubmission, and reiterated that ocrelizumab maintains a positive risk/benefit ratio in the requested population.</w:t>
      </w:r>
    </w:p>
    <w:p w:rsidR="00B60939" w:rsidRPr="002C62BF" w:rsidRDefault="008A6811" w:rsidP="00D86231">
      <w:pPr>
        <w:pStyle w:val="3-BodyText"/>
        <w:rPr>
          <w:color w:val="000000" w:themeColor="text1"/>
        </w:rPr>
      </w:pPr>
      <w:r w:rsidRPr="002C62BF">
        <w:rPr>
          <w:color w:val="000000" w:themeColor="text1"/>
        </w:rPr>
        <w:lastRenderedPageBreak/>
        <w:t xml:space="preserve">The resubmission did not present comparative harms data. A summary of adverse events from the ORATORIO ITT population is reproduced from the November 2017 </w:t>
      </w:r>
      <w:r w:rsidR="009A6AF4" w:rsidRPr="002C62BF">
        <w:rPr>
          <w:color w:val="000000" w:themeColor="text1"/>
        </w:rPr>
        <w:t>submission</w:t>
      </w:r>
      <w:r w:rsidR="00AE6252" w:rsidRPr="002C62BF">
        <w:rPr>
          <w:color w:val="000000" w:themeColor="text1"/>
        </w:rPr>
        <w:t xml:space="preserve"> i</w:t>
      </w:r>
      <w:r w:rsidR="00AE6252" w:rsidRPr="002C62BF">
        <w:t>n Table 7</w:t>
      </w:r>
      <w:r w:rsidR="009E49EC" w:rsidRPr="002C62BF">
        <w:t>.</w:t>
      </w:r>
    </w:p>
    <w:p w:rsidR="008A6811" w:rsidRPr="002C62BF" w:rsidRDefault="00173565" w:rsidP="008A6811">
      <w:pPr>
        <w:pStyle w:val="TableFigureHeading"/>
      </w:pPr>
      <w:bookmarkStart w:id="24" w:name="_Ref39764634"/>
      <w:r w:rsidRPr="002C62BF">
        <w:rPr>
          <w:rStyle w:val="CommentReference"/>
          <w:b/>
          <w:szCs w:val="24"/>
        </w:rPr>
        <w:t xml:space="preserve">Table </w:t>
      </w:r>
      <w:r w:rsidR="0089607C" w:rsidRPr="002C62BF">
        <w:rPr>
          <w:rStyle w:val="CommentReference"/>
          <w:b/>
          <w:szCs w:val="24"/>
        </w:rPr>
        <w:t>7</w:t>
      </w:r>
      <w:bookmarkEnd w:id="24"/>
      <w:r w:rsidR="005D26B4" w:rsidRPr="002C62BF">
        <w:rPr>
          <w:rStyle w:val="CommentReference"/>
          <w:b/>
          <w:szCs w:val="24"/>
        </w:rPr>
        <w:t>:</w:t>
      </w:r>
      <w:r w:rsidR="00BC591F" w:rsidRPr="002C62BF">
        <w:rPr>
          <w:rStyle w:val="CommentReference"/>
          <w:b/>
          <w:szCs w:val="24"/>
        </w:rPr>
        <w:t xml:space="preserve"> </w:t>
      </w:r>
      <w:bookmarkStart w:id="25" w:name="_Toc22897643"/>
      <w:r w:rsidR="008A6811" w:rsidRPr="002C62BF">
        <w:t>Summary of key adverse events in ORATORIO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80"/>
        <w:gridCol w:w="1165"/>
        <w:gridCol w:w="1252"/>
        <w:gridCol w:w="1430"/>
        <w:gridCol w:w="1390"/>
      </w:tblGrid>
      <w:tr w:rsidR="008A6811" w:rsidRPr="002C62BF" w:rsidTr="00F35E20">
        <w:tc>
          <w:tcPr>
            <w:tcW w:w="2096" w:type="pct"/>
            <w:tcBorders>
              <w:bottom w:val="single" w:sz="4" w:space="0" w:color="auto"/>
            </w:tcBorders>
            <w:vAlign w:val="center"/>
          </w:tcPr>
          <w:p w:rsidR="008A6811" w:rsidRPr="002C62BF" w:rsidRDefault="008A6811" w:rsidP="00F35E20">
            <w:pPr>
              <w:pStyle w:val="TableText0"/>
              <w:rPr>
                <w:b/>
              </w:rPr>
            </w:pPr>
            <w:r w:rsidRPr="002C62BF">
              <w:rPr>
                <w:b/>
              </w:rPr>
              <w:t>AE</w:t>
            </w:r>
          </w:p>
        </w:tc>
        <w:tc>
          <w:tcPr>
            <w:tcW w:w="646" w:type="pct"/>
            <w:tcBorders>
              <w:bottom w:val="single" w:sz="4" w:space="0" w:color="auto"/>
            </w:tcBorders>
            <w:vAlign w:val="center"/>
          </w:tcPr>
          <w:p w:rsidR="008A6811" w:rsidRPr="002C62BF" w:rsidRDefault="008A6811" w:rsidP="00F35E20">
            <w:pPr>
              <w:pStyle w:val="TableText0"/>
              <w:jc w:val="center"/>
              <w:rPr>
                <w:b/>
              </w:rPr>
            </w:pPr>
            <w:r w:rsidRPr="002C62BF">
              <w:rPr>
                <w:b/>
              </w:rPr>
              <w:t>Ocrelizumab</w:t>
            </w:r>
          </w:p>
          <w:p w:rsidR="008A6811" w:rsidRPr="002C62BF" w:rsidRDefault="008A6811" w:rsidP="00F35E20">
            <w:pPr>
              <w:pStyle w:val="TableText0"/>
              <w:jc w:val="center"/>
              <w:rPr>
                <w:b/>
              </w:rPr>
            </w:pPr>
            <w:r w:rsidRPr="002C62BF">
              <w:rPr>
                <w:b/>
              </w:rPr>
              <w:t>n/N (%)</w:t>
            </w:r>
          </w:p>
        </w:tc>
        <w:tc>
          <w:tcPr>
            <w:tcW w:w="694" w:type="pct"/>
            <w:tcBorders>
              <w:bottom w:val="single" w:sz="4" w:space="0" w:color="auto"/>
            </w:tcBorders>
            <w:vAlign w:val="center"/>
          </w:tcPr>
          <w:p w:rsidR="008A6811" w:rsidRPr="002C62BF" w:rsidRDefault="008A6811" w:rsidP="00F35E20">
            <w:pPr>
              <w:pStyle w:val="TableText0"/>
              <w:jc w:val="center"/>
              <w:rPr>
                <w:b/>
              </w:rPr>
            </w:pPr>
            <w:r w:rsidRPr="002C62BF">
              <w:rPr>
                <w:b/>
              </w:rPr>
              <w:t>Placebo</w:t>
            </w:r>
          </w:p>
          <w:p w:rsidR="008A6811" w:rsidRPr="002C62BF" w:rsidRDefault="008A6811" w:rsidP="00F35E20">
            <w:pPr>
              <w:pStyle w:val="TableText0"/>
              <w:jc w:val="center"/>
              <w:rPr>
                <w:b/>
              </w:rPr>
            </w:pPr>
            <w:r w:rsidRPr="002C62BF">
              <w:rPr>
                <w:b/>
              </w:rPr>
              <w:t>n/N (%)</w:t>
            </w:r>
          </w:p>
        </w:tc>
        <w:tc>
          <w:tcPr>
            <w:tcW w:w="793" w:type="pct"/>
            <w:tcBorders>
              <w:bottom w:val="single" w:sz="4" w:space="0" w:color="auto"/>
            </w:tcBorders>
            <w:vAlign w:val="center"/>
          </w:tcPr>
          <w:p w:rsidR="008A6811" w:rsidRPr="002C62BF" w:rsidRDefault="008A6811" w:rsidP="00F35E20">
            <w:pPr>
              <w:pStyle w:val="TableText0"/>
              <w:jc w:val="center"/>
              <w:rPr>
                <w:b/>
              </w:rPr>
            </w:pPr>
            <w:r w:rsidRPr="002C62BF">
              <w:rPr>
                <w:b/>
              </w:rPr>
              <w:t>RR</w:t>
            </w:r>
          </w:p>
          <w:p w:rsidR="008A6811" w:rsidRPr="002C62BF" w:rsidRDefault="008A6811" w:rsidP="00F35E20">
            <w:pPr>
              <w:pStyle w:val="TableText0"/>
              <w:jc w:val="center"/>
              <w:rPr>
                <w:b/>
              </w:rPr>
            </w:pPr>
            <w:r w:rsidRPr="002C62BF">
              <w:rPr>
                <w:b/>
              </w:rPr>
              <w:t>(95% CI)</w:t>
            </w:r>
          </w:p>
        </w:tc>
        <w:tc>
          <w:tcPr>
            <w:tcW w:w="770" w:type="pct"/>
            <w:tcBorders>
              <w:bottom w:val="single" w:sz="4" w:space="0" w:color="auto"/>
            </w:tcBorders>
          </w:tcPr>
          <w:p w:rsidR="008A6811" w:rsidRPr="002C62BF" w:rsidRDefault="008A6811" w:rsidP="00F35E20">
            <w:pPr>
              <w:pStyle w:val="TableText0"/>
              <w:jc w:val="center"/>
              <w:rPr>
                <w:b/>
              </w:rPr>
            </w:pPr>
            <w:r w:rsidRPr="002C62BF">
              <w:rPr>
                <w:b/>
              </w:rPr>
              <w:t>RD</w:t>
            </w:r>
          </w:p>
          <w:p w:rsidR="008A6811" w:rsidRPr="002C62BF" w:rsidRDefault="008A6811" w:rsidP="00F35E20">
            <w:pPr>
              <w:pStyle w:val="TableText0"/>
              <w:jc w:val="center"/>
              <w:rPr>
                <w:b/>
              </w:rPr>
            </w:pPr>
            <w:r w:rsidRPr="002C62BF">
              <w:rPr>
                <w:b/>
              </w:rPr>
              <w:t>(95% CI)</w:t>
            </w:r>
          </w:p>
        </w:tc>
      </w:tr>
      <w:tr w:rsidR="008A6811" w:rsidRPr="002C62BF" w:rsidTr="00F35E20">
        <w:tc>
          <w:tcPr>
            <w:tcW w:w="2096" w:type="pct"/>
            <w:tcBorders>
              <w:top w:val="single" w:sz="4" w:space="0" w:color="auto"/>
              <w:bottom w:val="single" w:sz="4" w:space="0" w:color="auto"/>
            </w:tcBorders>
            <w:vAlign w:val="center"/>
          </w:tcPr>
          <w:p w:rsidR="008A6811" w:rsidRPr="002C62BF" w:rsidRDefault="008A6811" w:rsidP="00F35E20">
            <w:pPr>
              <w:pStyle w:val="TableText0"/>
            </w:pPr>
            <w:r w:rsidRPr="002C62BF">
              <w:t>Patients with at least one AE</w:t>
            </w:r>
          </w:p>
        </w:tc>
        <w:tc>
          <w:tcPr>
            <w:tcW w:w="646"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462/486 (95.1)</w:t>
            </w:r>
          </w:p>
        </w:tc>
        <w:tc>
          <w:tcPr>
            <w:tcW w:w="694"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215/239 (90.0)</w:t>
            </w:r>
          </w:p>
        </w:tc>
        <w:tc>
          <w:tcPr>
            <w:tcW w:w="793" w:type="pct"/>
            <w:tcBorders>
              <w:top w:val="single" w:sz="4" w:space="0" w:color="auto"/>
              <w:bottom w:val="single" w:sz="4" w:space="0" w:color="auto"/>
            </w:tcBorders>
            <w:vAlign w:val="center"/>
          </w:tcPr>
          <w:p w:rsidR="008A6811" w:rsidRPr="002C62BF" w:rsidRDefault="008A6811" w:rsidP="00F35E20">
            <w:pPr>
              <w:pStyle w:val="TableText0"/>
              <w:keepLines/>
              <w:outlineLvl w:val="3"/>
              <w:rPr>
                <w:b/>
              </w:rPr>
            </w:pPr>
            <w:r w:rsidRPr="002C62BF">
              <w:rPr>
                <w:b/>
              </w:rPr>
              <w:t>1.06 (1.01, 1.11)</w:t>
            </w:r>
          </w:p>
        </w:tc>
        <w:tc>
          <w:tcPr>
            <w:tcW w:w="770" w:type="pct"/>
            <w:tcBorders>
              <w:top w:val="single" w:sz="4" w:space="0" w:color="auto"/>
              <w:bottom w:val="single" w:sz="4" w:space="0" w:color="auto"/>
            </w:tcBorders>
            <w:vAlign w:val="bottom"/>
          </w:tcPr>
          <w:p w:rsidR="008A6811" w:rsidRPr="002C62BF" w:rsidRDefault="008A6811" w:rsidP="00F35E20">
            <w:pPr>
              <w:pStyle w:val="TableText0"/>
              <w:jc w:val="center"/>
              <w:rPr>
                <w:b/>
                <w:szCs w:val="20"/>
              </w:rPr>
            </w:pPr>
            <w:r w:rsidRPr="002C62BF">
              <w:rPr>
                <w:rFonts w:eastAsia="Times New Roman" w:cs="Times New Roman"/>
                <w:b/>
                <w:color w:val="000000"/>
                <w:szCs w:val="20"/>
              </w:rPr>
              <w:t>0.05 (0.01, 0.09)</w:t>
            </w:r>
          </w:p>
        </w:tc>
      </w:tr>
      <w:tr w:rsidR="008A6811" w:rsidRPr="002C62BF" w:rsidTr="00F35E20">
        <w:trPr>
          <w:trHeight w:val="189"/>
        </w:trPr>
        <w:tc>
          <w:tcPr>
            <w:tcW w:w="2096" w:type="pct"/>
            <w:tcBorders>
              <w:top w:val="single" w:sz="4" w:space="0" w:color="auto"/>
              <w:bottom w:val="single" w:sz="4" w:space="0" w:color="auto"/>
            </w:tcBorders>
            <w:vAlign w:val="center"/>
          </w:tcPr>
          <w:p w:rsidR="008A6811" w:rsidRPr="002C62BF" w:rsidRDefault="008A6811" w:rsidP="00F35E20">
            <w:pPr>
              <w:pStyle w:val="TableText0"/>
            </w:pPr>
            <w:r w:rsidRPr="002C62BF">
              <w:t>AEs leading to dose modification or interruption</w:t>
            </w:r>
          </w:p>
        </w:tc>
        <w:tc>
          <w:tcPr>
            <w:tcW w:w="646"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47/486 (9.7%)</w:t>
            </w:r>
          </w:p>
        </w:tc>
        <w:tc>
          <w:tcPr>
            <w:tcW w:w="694"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12/239 (5.0)</w:t>
            </w:r>
          </w:p>
        </w:tc>
        <w:tc>
          <w:tcPr>
            <w:tcW w:w="793" w:type="pct"/>
            <w:tcBorders>
              <w:top w:val="single" w:sz="4" w:space="0" w:color="auto"/>
              <w:bottom w:val="single" w:sz="4" w:space="0" w:color="auto"/>
            </w:tcBorders>
            <w:vAlign w:val="center"/>
          </w:tcPr>
          <w:p w:rsidR="008A6811" w:rsidRPr="002C62BF" w:rsidRDefault="008A6811" w:rsidP="00F35E20">
            <w:pPr>
              <w:pStyle w:val="TableText0"/>
              <w:keepLines/>
              <w:outlineLvl w:val="3"/>
              <w:rPr>
                <w:b/>
              </w:rPr>
            </w:pPr>
            <w:r w:rsidRPr="002C62BF">
              <w:rPr>
                <w:b/>
              </w:rPr>
              <w:t>1.93 (1.04, 3.56)</w:t>
            </w:r>
          </w:p>
        </w:tc>
        <w:tc>
          <w:tcPr>
            <w:tcW w:w="770" w:type="pct"/>
            <w:tcBorders>
              <w:top w:val="single" w:sz="4" w:space="0" w:color="auto"/>
              <w:bottom w:val="single" w:sz="4" w:space="0" w:color="auto"/>
            </w:tcBorders>
            <w:vAlign w:val="bottom"/>
          </w:tcPr>
          <w:p w:rsidR="008A6811" w:rsidRPr="002C62BF" w:rsidRDefault="008A6811" w:rsidP="00F35E20">
            <w:pPr>
              <w:pStyle w:val="TableText0"/>
              <w:jc w:val="center"/>
              <w:rPr>
                <w:b/>
                <w:szCs w:val="20"/>
              </w:rPr>
            </w:pPr>
            <w:r w:rsidRPr="002C62BF">
              <w:rPr>
                <w:rFonts w:eastAsia="Times New Roman" w:cs="Times New Roman"/>
                <w:b/>
                <w:color w:val="000000"/>
                <w:szCs w:val="20"/>
              </w:rPr>
              <w:t>0.05 (0.01, 0.09)</w:t>
            </w:r>
          </w:p>
        </w:tc>
      </w:tr>
      <w:tr w:rsidR="008A6811" w:rsidRPr="002C62BF" w:rsidTr="00F35E20">
        <w:trPr>
          <w:trHeight w:val="123"/>
        </w:trPr>
        <w:tc>
          <w:tcPr>
            <w:tcW w:w="2096" w:type="pct"/>
            <w:tcBorders>
              <w:top w:val="single" w:sz="4" w:space="0" w:color="auto"/>
              <w:bottom w:val="single" w:sz="4" w:space="0" w:color="auto"/>
            </w:tcBorders>
            <w:vAlign w:val="center"/>
          </w:tcPr>
          <w:p w:rsidR="008A6811" w:rsidRPr="002C62BF" w:rsidRDefault="008A6811" w:rsidP="00F35E20">
            <w:pPr>
              <w:pStyle w:val="TableText0"/>
            </w:pPr>
            <w:r w:rsidRPr="002C62BF">
              <w:t>Infusion related reaction</w:t>
            </w:r>
          </w:p>
        </w:tc>
        <w:tc>
          <w:tcPr>
            <w:tcW w:w="646"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194/486 (39.9)</w:t>
            </w:r>
          </w:p>
        </w:tc>
        <w:tc>
          <w:tcPr>
            <w:tcW w:w="694"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61 /239 (25.5)</w:t>
            </w:r>
          </w:p>
        </w:tc>
        <w:tc>
          <w:tcPr>
            <w:tcW w:w="793" w:type="pct"/>
            <w:tcBorders>
              <w:top w:val="single" w:sz="4" w:space="0" w:color="auto"/>
              <w:bottom w:val="single" w:sz="4" w:space="0" w:color="auto"/>
            </w:tcBorders>
            <w:vAlign w:val="center"/>
          </w:tcPr>
          <w:p w:rsidR="008A6811" w:rsidRPr="002C62BF" w:rsidRDefault="008A6811" w:rsidP="00F35E20">
            <w:pPr>
              <w:pStyle w:val="TableText0"/>
              <w:keepLines/>
              <w:outlineLvl w:val="3"/>
              <w:rPr>
                <w:b/>
              </w:rPr>
            </w:pPr>
            <w:r w:rsidRPr="002C62BF">
              <w:rPr>
                <w:b/>
              </w:rPr>
              <w:t>1.56 (1.23, 1.99)</w:t>
            </w:r>
          </w:p>
        </w:tc>
        <w:tc>
          <w:tcPr>
            <w:tcW w:w="770" w:type="pct"/>
            <w:tcBorders>
              <w:top w:val="single" w:sz="4" w:space="0" w:color="auto"/>
              <w:bottom w:val="single" w:sz="4" w:space="0" w:color="auto"/>
            </w:tcBorders>
            <w:vAlign w:val="bottom"/>
          </w:tcPr>
          <w:p w:rsidR="008A6811" w:rsidRPr="002C62BF" w:rsidRDefault="008A6811" w:rsidP="00F35E20">
            <w:pPr>
              <w:pStyle w:val="TableText0"/>
              <w:jc w:val="center"/>
              <w:rPr>
                <w:b/>
                <w:szCs w:val="20"/>
              </w:rPr>
            </w:pPr>
            <w:r w:rsidRPr="002C62BF">
              <w:rPr>
                <w:rFonts w:eastAsia="Times New Roman" w:cs="Times New Roman"/>
                <w:b/>
                <w:color w:val="000000"/>
                <w:szCs w:val="20"/>
              </w:rPr>
              <w:t>0.14 (0.07, 0.21)</w:t>
            </w:r>
          </w:p>
        </w:tc>
      </w:tr>
      <w:tr w:rsidR="008A6811" w:rsidRPr="002C62BF" w:rsidTr="00F35E20">
        <w:tc>
          <w:tcPr>
            <w:tcW w:w="2096" w:type="pct"/>
            <w:tcBorders>
              <w:top w:val="single" w:sz="4" w:space="0" w:color="auto"/>
              <w:bottom w:val="single" w:sz="4" w:space="0" w:color="auto"/>
            </w:tcBorders>
            <w:vAlign w:val="center"/>
          </w:tcPr>
          <w:p w:rsidR="008A6811" w:rsidRPr="002C62BF" w:rsidRDefault="008A6811" w:rsidP="00F35E20">
            <w:pPr>
              <w:pStyle w:val="TableText0"/>
            </w:pPr>
            <w:r w:rsidRPr="002C62BF">
              <w:t>Upper respiratory tract infection</w:t>
            </w:r>
          </w:p>
        </w:tc>
        <w:tc>
          <w:tcPr>
            <w:tcW w:w="646"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53/486 (10.9)</w:t>
            </w:r>
          </w:p>
        </w:tc>
        <w:tc>
          <w:tcPr>
            <w:tcW w:w="694"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14/239 (5.9)</w:t>
            </w:r>
          </w:p>
        </w:tc>
        <w:tc>
          <w:tcPr>
            <w:tcW w:w="793" w:type="pct"/>
            <w:tcBorders>
              <w:top w:val="single" w:sz="4" w:space="0" w:color="auto"/>
              <w:bottom w:val="single" w:sz="4" w:space="0" w:color="auto"/>
            </w:tcBorders>
            <w:vAlign w:val="center"/>
          </w:tcPr>
          <w:p w:rsidR="008A6811" w:rsidRPr="002C62BF" w:rsidRDefault="008A6811" w:rsidP="00F35E20">
            <w:pPr>
              <w:pStyle w:val="TableText0"/>
              <w:keepLines/>
              <w:outlineLvl w:val="3"/>
              <w:rPr>
                <w:b/>
              </w:rPr>
            </w:pPr>
            <w:r w:rsidRPr="002C62BF">
              <w:rPr>
                <w:b/>
              </w:rPr>
              <w:t>1.86 (1.05, 3.29)</w:t>
            </w:r>
          </w:p>
        </w:tc>
        <w:tc>
          <w:tcPr>
            <w:tcW w:w="770" w:type="pct"/>
            <w:tcBorders>
              <w:top w:val="single" w:sz="4" w:space="0" w:color="auto"/>
              <w:bottom w:val="single" w:sz="4" w:space="0" w:color="auto"/>
            </w:tcBorders>
            <w:vAlign w:val="bottom"/>
          </w:tcPr>
          <w:p w:rsidR="008A6811" w:rsidRPr="002C62BF" w:rsidRDefault="008A6811" w:rsidP="00F35E20">
            <w:pPr>
              <w:pStyle w:val="TableText0"/>
              <w:jc w:val="center"/>
              <w:rPr>
                <w:b/>
                <w:szCs w:val="20"/>
              </w:rPr>
            </w:pPr>
            <w:r w:rsidRPr="002C62BF">
              <w:rPr>
                <w:rFonts w:eastAsia="Times New Roman" w:cs="Times New Roman"/>
                <w:b/>
                <w:color w:val="000000"/>
                <w:szCs w:val="20"/>
              </w:rPr>
              <w:t>0.05 (0.01, 0.09)</w:t>
            </w:r>
          </w:p>
        </w:tc>
      </w:tr>
      <w:tr w:rsidR="008A6811" w:rsidRPr="002C62BF" w:rsidTr="00F35E20">
        <w:tc>
          <w:tcPr>
            <w:tcW w:w="2096" w:type="pct"/>
            <w:tcBorders>
              <w:top w:val="single" w:sz="4" w:space="0" w:color="auto"/>
              <w:bottom w:val="single" w:sz="4" w:space="0" w:color="auto"/>
            </w:tcBorders>
            <w:vAlign w:val="center"/>
          </w:tcPr>
          <w:p w:rsidR="008A6811" w:rsidRPr="002C62BF" w:rsidRDefault="008A6811" w:rsidP="00F35E20">
            <w:pPr>
              <w:pStyle w:val="TableText0"/>
            </w:pPr>
            <w:r w:rsidRPr="002C62BF">
              <w:t>Nasopharyngitis</w:t>
            </w:r>
          </w:p>
        </w:tc>
        <w:tc>
          <w:tcPr>
            <w:tcW w:w="646"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110/486 (22.6)</w:t>
            </w:r>
          </w:p>
        </w:tc>
        <w:tc>
          <w:tcPr>
            <w:tcW w:w="694"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65/239 (27.2)</w:t>
            </w:r>
          </w:p>
        </w:tc>
        <w:tc>
          <w:tcPr>
            <w:tcW w:w="793"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0.83 (0.64, 1.08)</w:t>
            </w:r>
          </w:p>
        </w:tc>
        <w:tc>
          <w:tcPr>
            <w:tcW w:w="770" w:type="pct"/>
            <w:tcBorders>
              <w:top w:val="single" w:sz="4" w:space="0" w:color="auto"/>
              <w:bottom w:val="single" w:sz="4" w:space="0" w:color="auto"/>
            </w:tcBorders>
            <w:vAlign w:val="bottom"/>
          </w:tcPr>
          <w:p w:rsidR="008A6811" w:rsidRPr="002C62BF" w:rsidRDefault="008A6811" w:rsidP="00F35E20">
            <w:pPr>
              <w:pStyle w:val="TableText0"/>
              <w:jc w:val="center"/>
              <w:rPr>
                <w:szCs w:val="20"/>
              </w:rPr>
            </w:pPr>
            <w:r w:rsidRPr="002C62BF">
              <w:rPr>
                <w:rFonts w:eastAsia="Times New Roman" w:cs="Times New Roman"/>
                <w:color w:val="000000"/>
                <w:szCs w:val="20"/>
              </w:rPr>
              <w:t>-0.05 (-0.12, 0.02)</w:t>
            </w:r>
          </w:p>
        </w:tc>
      </w:tr>
      <w:tr w:rsidR="008A6811" w:rsidRPr="002C62BF" w:rsidTr="00F35E20">
        <w:tc>
          <w:tcPr>
            <w:tcW w:w="5000" w:type="pct"/>
            <w:gridSpan w:val="5"/>
            <w:tcBorders>
              <w:top w:val="single" w:sz="4" w:space="0" w:color="auto"/>
              <w:bottom w:val="single" w:sz="4" w:space="0" w:color="auto"/>
            </w:tcBorders>
            <w:vAlign w:val="center"/>
          </w:tcPr>
          <w:p w:rsidR="008A6811" w:rsidRPr="002C62BF" w:rsidRDefault="008A6811" w:rsidP="00F35E20">
            <w:pPr>
              <w:pStyle w:val="TableText0"/>
              <w:rPr>
                <w:rFonts w:eastAsia="Times New Roman" w:cs="Times New Roman"/>
                <w:b/>
                <w:color w:val="000000"/>
                <w:szCs w:val="20"/>
              </w:rPr>
            </w:pPr>
            <w:r w:rsidRPr="002C62BF">
              <w:rPr>
                <w:b/>
              </w:rPr>
              <w:t>AEs included in the economic evaluation.</w:t>
            </w:r>
          </w:p>
        </w:tc>
      </w:tr>
      <w:tr w:rsidR="008A6811" w:rsidRPr="002C62BF" w:rsidTr="00F35E20">
        <w:tc>
          <w:tcPr>
            <w:tcW w:w="2096" w:type="pct"/>
            <w:tcBorders>
              <w:top w:val="single" w:sz="4" w:space="0" w:color="auto"/>
              <w:bottom w:val="single" w:sz="4" w:space="0" w:color="auto"/>
            </w:tcBorders>
            <w:vAlign w:val="center"/>
          </w:tcPr>
          <w:p w:rsidR="008A6811" w:rsidRPr="002C62BF" w:rsidRDefault="008A6811" w:rsidP="00F35E20">
            <w:pPr>
              <w:pStyle w:val="TableText0"/>
            </w:pPr>
            <w:r w:rsidRPr="002C62BF">
              <w:t>Serious infusion related reaction</w:t>
            </w:r>
          </w:p>
        </w:tc>
        <w:tc>
          <w:tcPr>
            <w:tcW w:w="646"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5/486 (1.0)</w:t>
            </w:r>
          </w:p>
        </w:tc>
        <w:tc>
          <w:tcPr>
            <w:tcW w:w="694"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0/239</w:t>
            </w:r>
          </w:p>
        </w:tc>
        <w:tc>
          <w:tcPr>
            <w:tcW w:w="793"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w:t>
            </w:r>
          </w:p>
        </w:tc>
        <w:tc>
          <w:tcPr>
            <w:tcW w:w="770" w:type="pct"/>
            <w:tcBorders>
              <w:top w:val="single" w:sz="4" w:space="0" w:color="auto"/>
              <w:bottom w:val="single" w:sz="4" w:space="0" w:color="auto"/>
            </w:tcBorders>
            <w:vAlign w:val="bottom"/>
          </w:tcPr>
          <w:p w:rsidR="008A6811" w:rsidRPr="002C62BF" w:rsidRDefault="008A6811" w:rsidP="00F35E20">
            <w:pPr>
              <w:pStyle w:val="TableText0"/>
              <w:jc w:val="center"/>
              <w:rPr>
                <w:rFonts w:eastAsia="Times New Roman" w:cs="Times New Roman"/>
                <w:color w:val="000000"/>
                <w:szCs w:val="20"/>
              </w:rPr>
            </w:pPr>
            <w:r w:rsidRPr="002C62BF">
              <w:rPr>
                <w:rFonts w:eastAsia="Times New Roman" w:cs="Times New Roman"/>
                <w:color w:val="000000"/>
                <w:szCs w:val="20"/>
              </w:rPr>
              <w:t>0.01 (0.00,0.02)</w:t>
            </w:r>
          </w:p>
        </w:tc>
      </w:tr>
      <w:tr w:rsidR="008A6811" w:rsidRPr="002C62BF" w:rsidTr="00F35E20">
        <w:tc>
          <w:tcPr>
            <w:tcW w:w="2096" w:type="pct"/>
            <w:tcBorders>
              <w:top w:val="single" w:sz="4" w:space="0" w:color="auto"/>
              <w:bottom w:val="single" w:sz="4" w:space="0" w:color="auto"/>
            </w:tcBorders>
            <w:vAlign w:val="center"/>
          </w:tcPr>
          <w:p w:rsidR="008A6811" w:rsidRPr="002C62BF" w:rsidRDefault="008A6811" w:rsidP="00F35E20">
            <w:pPr>
              <w:pStyle w:val="TableText0"/>
            </w:pPr>
            <w:r w:rsidRPr="002C62BF">
              <w:t>Serious pneumonia</w:t>
            </w:r>
          </w:p>
        </w:tc>
        <w:tc>
          <w:tcPr>
            <w:tcW w:w="646"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6/486 (1.2)</w:t>
            </w:r>
          </w:p>
        </w:tc>
        <w:tc>
          <w:tcPr>
            <w:tcW w:w="694"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2/239 (0.8)</w:t>
            </w:r>
          </w:p>
        </w:tc>
        <w:tc>
          <w:tcPr>
            <w:tcW w:w="793"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1.46 (0.30, 7.25)</w:t>
            </w:r>
          </w:p>
        </w:tc>
        <w:tc>
          <w:tcPr>
            <w:tcW w:w="770" w:type="pct"/>
            <w:tcBorders>
              <w:top w:val="single" w:sz="4" w:space="0" w:color="auto"/>
              <w:bottom w:val="single" w:sz="4" w:space="0" w:color="auto"/>
            </w:tcBorders>
            <w:vAlign w:val="bottom"/>
          </w:tcPr>
          <w:p w:rsidR="008A6811" w:rsidRPr="002C62BF" w:rsidRDefault="008A6811" w:rsidP="00F35E20">
            <w:pPr>
              <w:pStyle w:val="TableText0"/>
              <w:jc w:val="center"/>
              <w:rPr>
                <w:rFonts w:eastAsia="Times New Roman" w:cs="Times New Roman"/>
                <w:color w:val="000000"/>
                <w:szCs w:val="20"/>
              </w:rPr>
            </w:pPr>
            <w:r w:rsidRPr="002C62BF">
              <w:rPr>
                <w:rFonts w:eastAsia="Times New Roman" w:cs="Times New Roman"/>
                <w:color w:val="000000"/>
                <w:szCs w:val="20"/>
              </w:rPr>
              <w:t>0.02 (-0.02, 0.02)</w:t>
            </w:r>
          </w:p>
        </w:tc>
      </w:tr>
      <w:tr w:rsidR="008A6811" w:rsidRPr="002C62BF" w:rsidTr="00F35E20">
        <w:tc>
          <w:tcPr>
            <w:tcW w:w="2096" w:type="pct"/>
            <w:tcBorders>
              <w:top w:val="single" w:sz="4" w:space="0" w:color="auto"/>
              <w:bottom w:val="single" w:sz="4" w:space="0" w:color="auto"/>
            </w:tcBorders>
            <w:vAlign w:val="center"/>
          </w:tcPr>
          <w:p w:rsidR="008A6811" w:rsidRPr="002C62BF" w:rsidRDefault="008A6811" w:rsidP="00F35E20">
            <w:pPr>
              <w:pStyle w:val="TableText0"/>
            </w:pPr>
            <w:r w:rsidRPr="002C62BF">
              <w:t>Serious urinary tract infection</w:t>
            </w:r>
          </w:p>
        </w:tc>
        <w:tc>
          <w:tcPr>
            <w:tcW w:w="646"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5/486 (1.0)</w:t>
            </w:r>
          </w:p>
        </w:tc>
        <w:tc>
          <w:tcPr>
            <w:tcW w:w="694"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2/ 239(0.8)</w:t>
            </w:r>
          </w:p>
        </w:tc>
        <w:tc>
          <w:tcPr>
            <w:tcW w:w="793"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1.23 (0.24, 6.30)</w:t>
            </w:r>
          </w:p>
        </w:tc>
        <w:tc>
          <w:tcPr>
            <w:tcW w:w="770" w:type="pct"/>
            <w:tcBorders>
              <w:top w:val="single" w:sz="4" w:space="0" w:color="auto"/>
              <w:bottom w:val="single" w:sz="4" w:space="0" w:color="auto"/>
            </w:tcBorders>
            <w:vAlign w:val="bottom"/>
          </w:tcPr>
          <w:p w:rsidR="008A6811" w:rsidRPr="002C62BF" w:rsidRDefault="008A6811" w:rsidP="00F35E20">
            <w:pPr>
              <w:pStyle w:val="TableText0"/>
              <w:jc w:val="center"/>
              <w:rPr>
                <w:rFonts w:eastAsia="Times New Roman" w:cs="Times New Roman"/>
                <w:color w:val="000000"/>
                <w:szCs w:val="20"/>
              </w:rPr>
            </w:pPr>
            <w:r w:rsidRPr="002C62BF">
              <w:rPr>
                <w:rFonts w:eastAsia="Times New Roman" w:cs="Times New Roman"/>
                <w:color w:val="000000"/>
                <w:szCs w:val="20"/>
              </w:rPr>
              <w:t>0.00 (-0.01,0.01)</w:t>
            </w:r>
          </w:p>
        </w:tc>
      </w:tr>
      <w:tr w:rsidR="008A6811" w:rsidRPr="002C62BF" w:rsidTr="00F35E20">
        <w:tc>
          <w:tcPr>
            <w:tcW w:w="2096" w:type="pct"/>
            <w:tcBorders>
              <w:top w:val="single" w:sz="4" w:space="0" w:color="auto"/>
              <w:bottom w:val="single" w:sz="4" w:space="0" w:color="auto"/>
            </w:tcBorders>
            <w:vAlign w:val="center"/>
          </w:tcPr>
          <w:p w:rsidR="008A6811" w:rsidRPr="002C62BF" w:rsidRDefault="008A6811" w:rsidP="00F35E20">
            <w:pPr>
              <w:pStyle w:val="TableText0"/>
            </w:pPr>
            <w:r w:rsidRPr="002C62BF">
              <w:t>Urosepsis</w:t>
            </w:r>
          </w:p>
        </w:tc>
        <w:tc>
          <w:tcPr>
            <w:tcW w:w="646"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2/486 (0.4)</w:t>
            </w:r>
          </w:p>
        </w:tc>
        <w:tc>
          <w:tcPr>
            <w:tcW w:w="694"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3/239 (1.3)</w:t>
            </w:r>
          </w:p>
        </w:tc>
        <w:tc>
          <w:tcPr>
            <w:tcW w:w="793" w:type="pct"/>
            <w:tcBorders>
              <w:top w:val="single" w:sz="4" w:space="0" w:color="auto"/>
              <w:bottom w:val="single" w:sz="4" w:space="0" w:color="auto"/>
            </w:tcBorders>
            <w:vAlign w:val="center"/>
          </w:tcPr>
          <w:p w:rsidR="008A6811" w:rsidRPr="002C62BF" w:rsidRDefault="008A6811" w:rsidP="00F35E20">
            <w:pPr>
              <w:pStyle w:val="TableText0"/>
              <w:jc w:val="center"/>
            </w:pPr>
            <w:r w:rsidRPr="002C62BF">
              <w:t>0.33 (0.06, 1.95)</w:t>
            </w:r>
          </w:p>
        </w:tc>
        <w:tc>
          <w:tcPr>
            <w:tcW w:w="770" w:type="pct"/>
            <w:tcBorders>
              <w:top w:val="single" w:sz="4" w:space="0" w:color="auto"/>
              <w:bottom w:val="single" w:sz="4" w:space="0" w:color="auto"/>
            </w:tcBorders>
            <w:vAlign w:val="bottom"/>
          </w:tcPr>
          <w:p w:rsidR="008A6811" w:rsidRPr="002C62BF" w:rsidRDefault="008A6811" w:rsidP="00F35E20">
            <w:pPr>
              <w:pStyle w:val="TableText0"/>
              <w:jc w:val="center"/>
              <w:rPr>
                <w:rFonts w:eastAsia="Times New Roman" w:cs="Times New Roman"/>
                <w:color w:val="000000"/>
                <w:szCs w:val="20"/>
              </w:rPr>
            </w:pPr>
            <w:r w:rsidRPr="002C62BF">
              <w:rPr>
                <w:rFonts w:eastAsia="Times New Roman" w:cs="Times New Roman"/>
                <w:color w:val="000000"/>
                <w:szCs w:val="20"/>
              </w:rPr>
              <w:t>-0.01 (-0.03, 0.01)</w:t>
            </w:r>
          </w:p>
        </w:tc>
      </w:tr>
    </w:tbl>
    <w:p w:rsidR="008A6811" w:rsidRPr="002C62BF" w:rsidRDefault="008A6811" w:rsidP="008A6811">
      <w:pPr>
        <w:pStyle w:val="TableFigureFooter"/>
      </w:pPr>
      <w:r w:rsidRPr="002C62BF">
        <w:t>Source: Tables 2.5.11 and 2.5.12, pp66-67 of</w:t>
      </w:r>
      <w:r w:rsidR="005F4F09" w:rsidRPr="002C62BF">
        <w:t xml:space="preserve"> the November 2017 submission.</w:t>
      </w:r>
    </w:p>
    <w:p w:rsidR="008A6811" w:rsidRPr="002C62BF" w:rsidRDefault="008A6811" w:rsidP="008A6811">
      <w:pPr>
        <w:pStyle w:val="TableFigureFooter"/>
      </w:pPr>
      <w:r w:rsidRPr="002C62BF">
        <w:t>AE = adverse event; CI = confidence interval; RD = risk difference; RR = risk ratio</w:t>
      </w:r>
    </w:p>
    <w:p w:rsidR="007F1017" w:rsidRPr="002C62BF" w:rsidRDefault="007F1017" w:rsidP="008A6811">
      <w:pPr>
        <w:pStyle w:val="4-SubsectionHeading"/>
      </w:pPr>
      <w:bookmarkStart w:id="26" w:name="_Toc40873649"/>
      <w:r w:rsidRPr="002C62BF">
        <w:t>Benefits/harms</w:t>
      </w:r>
      <w:bookmarkEnd w:id="25"/>
      <w:bookmarkEnd w:id="26"/>
    </w:p>
    <w:p w:rsidR="007F1017" w:rsidRPr="002C62BF" w:rsidRDefault="00E926A5" w:rsidP="00D2155B">
      <w:pPr>
        <w:pStyle w:val="3-BodyText"/>
      </w:pPr>
      <w:r w:rsidRPr="002C62BF">
        <w:rPr>
          <w:snapToGrid/>
        </w:rPr>
        <w:t xml:space="preserve">The </w:t>
      </w:r>
      <w:r w:rsidR="00F727D3" w:rsidRPr="002C62BF">
        <w:rPr>
          <w:snapToGrid/>
        </w:rPr>
        <w:t xml:space="preserve">results of the efficacy subgroup analysis, which did not include number of patients with events, </w:t>
      </w:r>
      <w:r w:rsidR="00321735" w:rsidRPr="002C62BF">
        <w:rPr>
          <w:snapToGrid/>
        </w:rPr>
        <w:t xml:space="preserve">prevented </w:t>
      </w:r>
      <w:r w:rsidR="00F727D3" w:rsidRPr="002C62BF">
        <w:rPr>
          <w:snapToGrid/>
        </w:rPr>
        <w:t xml:space="preserve">a comparison of benefits, and the lack of comparative safety evidence presented for the subgroup in question </w:t>
      </w:r>
      <w:r w:rsidR="00F80B9C" w:rsidRPr="002C62BF">
        <w:rPr>
          <w:snapToGrid/>
        </w:rPr>
        <w:t>meant it was not possible</w:t>
      </w:r>
      <w:r w:rsidR="00F727D3" w:rsidRPr="002C62BF">
        <w:rPr>
          <w:snapToGrid/>
        </w:rPr>
        <w:t xml:space="preserve"> </w:t>
      </w:r>
      <w:r w:rsidR="00900287" w:rsidRPr="002C62BF">
        <w:rPr>
          <w:snapToGrid/>
        </w:rPr>
        <w:t xml:space="preserve">to update comparative harms for the </w:t>
      </w:r>
      <w:r w:rsidR="00F727D3" w:rsidRPr="002C62BF">
        <w:rPr>
          <w:snapToGrid/>
        </w:rPr>
        <w:t>subgroup</w:t>
      </w:r>
      <w:r w:rsidR="00900287" w:rsidRPr="002C62BF">
        <w:rPr>
          <w:snapToGrid/>
        </w:rPr>
        <w:t xml:space="preserve"> discussed in the resubmission. </w:t>
      </w:r>
      <w:r w:rsidR="00F727D3" w:rsidRPr="002C62BF">
        <w:rPr>
          <w:snapToGrid/>
        </w:rPr>
        <w:t xml:space="preserve">Given the high risk of bias in the post-hoc analyses, </w:t>
      </w:r>
      <w:r w:rsidR="00321735" w:rsidRPr="002C62BF">
        <w:rPr>
          <w:snapToGrid/>
        </w:rPr>
        <w:t xml:space="preserve">an estimate </w:t>
      </w:r>
      <w:r w:rsidR="00F727D3" w:rsidRPr="002C62BF">
        <w:rPr>
          <w:snapToGrid/>
        </w:rPr>
        <w:t xml:space="preserve">of the comparative benefits from the subgroup analyses would </w:t>
      </w:r>
      <w:r w:rsidR="00321735" w:rsidRPr="002C62BF">
        <w:rPr>
          <w:snapToGrid/>
        </w:rPr>
        <w:t xml:space="preserve">be expected to be better than in the ITT population, but the accuracy of such </w:t>
      </w:r>
      <w:r w:rsidR="000A7614" w:rsidRPr="002C62BF">
        <w:rPr>
          <w:snapToGrid/>
        </w:rPr>
        <w:t xml:space="preserve">an </w:t>
      </w:r>
      <w:r w:rsidR="00321735" w:rsidRPr="002C62BF">
        <w:rPr>
          <w:snapToGrid/>
        </w:rPr>
        <w:t>estimate may be difficult to assess</w:t>
      </w:r>
      <w:r w:rsidR="00F727D3" w:rsidRPr="002C62BF">
        <w:rPr>
          <w:snapToGrid/>
        </w:rPr>
        <w:t xml:space="preserve">. </w:t>
      </w:r>
    </w:p>
    <w:p w:rsidR="00AE6252" w:rsidRPr="002C62BF" w:rsidRDefault="00AE6252" w:rsidP="009E49EC">
      <w:pPr>
        <w:pStyle w:val="3-BodyText"/>
        <w:spacing w:after="0"/>
      </w:pPr>
      <w:r w:rsidRPr="002C62BF">
        <w:t>T</w:t>
      </w:r>
      <w:r w:rsidR="00900287" w:rsidRPr="002C62BF">
        <w:t>h</w:t>
      </w:r>
      <w:r w:rsidRPr="002C62BF">
        <w:t>e PBAC considered in November 2017 (Paragraph 6.21, Ocre</w:t>
      </w:r>
      <w:r w:rsidR="0001190D">
        <w:t>lizumab, PSD</w:t>
      </w:r>
      <w:r w:rsidRPr="002C62BF">
        <w:t xml:space="preserve">, November 2017 PBAC Meeting) that </w:t>
      </w:r>
      <w:r w:rsidR="009E49EC" w:rsidRPr="002C62BF">
        <w:t>o</w:t>
      </w:r>
      <w:r w:rsidR="002441D2" w:rsidRPr="002C62BF">
        <w:t>n the basis of</w:t>
      </w:r>
      <w:r w:rsidRPr="002C62BF">
        <w:t xml:space="preserve"> the ORATORIO trial [ITT analysis]</w:t>
      </w:r>
      <w:r w:rsidR="00900287" w:rsidRPr="002C62BF">
        <w:t>:</w:t>
      </w:r>
    </w:p>
    <w:p w:rsidR="002441D2" w:rsidRPr="002C62BF" w:rsidRDefault="00AE6252" w:rsidP="00752B64">
      <w:pPr>
        <w:pStyle w:val="ListParagraph"/>
        <w:numPr>
          <w:ilvl w:val="0"/>
          <w:numId w:val="7"/>
        </w:numPr>
        <w:autoSpaceDE w:val="0"/>
        <w:autoSpaceDN w:val="0"/>
        <w:adjustRightInd w:val="0"/>
        <w:spacing w:after="0"/>
        <w:ind w:left="1134" w:hanging="425"/>
      </w:pPr>
      <w:r w:rsidRPr="002C62BF">
        <w:rPr>
          <w:rFonts w:ascii="/Vˇ" w:hAnsi="/Vˇ" w:cs="/Vˇ"/>
        </w:rPr>
        <w:t>For every 100 patients treated with ocrelizumab approximately five fewer patients would progress over a duration of 120 weeks</w:t>
      </w:r>
    </w:p>
    <w:p w:rsidR="00900287" w:rsidRPr="002C62BF" w:rsidRDefault="00900287" w:rsidP="00752B64">
      <w:pPr>
        <w:pStyle w:val="ListParagraph"/>
        <w:numPr>
          <w:ilvl w:val="0"/>
          <w:numId w:val="7"/>
        </w:numPr>
        <w:autoSpaceDE w:val="0"/>
        <w:autoSpaceDN w:val="0"/>
        <w:adjustRightInd w:val="0"/>
        <w:spacing w:after="0"/>
        <w:ind w:left="1134" w:hanging="425"/>
        <w:rPr>
          <w:rFonts w:ascii="/Vˇ" w:hAnsi="/Vˇ" w:cs="/Vˇ"/>
        </w:rPr>
      </w:pPr>
      <w:r w:rsidRPr="002C62BF">
        <w:rPr>
          <w:rFonts w:ascii="/Vˇ" w:hAnsi="/Vˇ" w:cs="/Vˇ"/>
        </w:rPr>
        <w:t>For every 100 patients treated with ocrelizumab, approximately 40 patients would have an infusion related reaction compared to best supportive care (as there would be no placebo sham injections in practice); and</w:t>
      </w:r>
    </w:p>
    <w:p w:rsidR="00900287" w:rsidRPr="002C62BF" w:rsidRDefault="00900287" w:rsidP="00752B64">
      <w:pPr>
        <w:pStyle w:val="ListParagraph"/>
        <w:numPr>
          <w:ilvl w:val="0"/>
          <w:numId w:val="7"/>
        </w:numPr>
        <w:autoSpaceDE w:val="0"/>
        <w:autoSpaceDN w:val="0"/>
        <w:adjustRightInd w:val="0"/>
        <w:ind w:left="1134" w:hanging="425"/>
        <w:rPr>
          <w:rFonts w:ascii="/Vˇ" w:hAnsi="/Vˇ" w:cs="/Vˇ"/>
        </w:rPr>
      </w:pPr>
      <w:r w:rsidRPr="002C62BF">
        <w:rPr>
          <w:rFonts w:ascii="/Vˇ" w:hAnsi="/Vˇ" w:cs="/Vˇ"/>
        </w:rPr>
        <w:t>For every 100 patients treated with ocrelizumab, approximately five additional patients would suffer a respiratory tract infection compared to placebo.</w:t>
      </w:r>
    </w:p>
    <w:p w:rsidR="00B60939" w:rsidRPr="002C62BF" w:rsidRDefault="00B60939" w:rsidP="00E9094A">
      <w:pPr>
        <w:pStyle w:val="4-SubsectionHeading"/>
      </w:pPr>
      <w:bookmarkStart w:id="27" w:name="_Toc22897644"/>
      <w:bookmarkStart w:id="28" w:name="_Toc40873650"/>
      <w:r w:rsidRPr="002C62BF">
        <w:t>Clinical claim</w:t>
      </w:r>
      <w:bookmarkEnd w:id="27"/>
      <w:bookmarkEnd w:id="28"/>
    </w:p>
    <w:p w:rsidR="007841F9" w:rsidRPr="002C62BF" w:rsidRDefault="007841F9" w:rsidP="009E49EC">
      <w:pPr>
        <w:pStyle w:val="3-BodyText"/>
        <w:spacing w:after="0"/>
      </w:pPr>
      <w:r w:rsidRPr="002C62BF">
        <w:t>The resubmission stated that for adult PPMS patients with early and active inflammatory disease (based on MRI imaging):</w:t>
      </w:r>
    </w:p>
    <w:p w:rsidR="007841F9" w:rsidRPr="002C62BF" w:rsidRDefault="007841F9" w:rsidP="00752B64">
      <w:pPr>
        <w:pStyle w:val="ListParagraph"/>
        <w:numPr>
          <w:ilvl w:val="0"/>
          <w:numId w:val="6"/>
        </w:numPr>
        <w:spacing w:after="0"/>
        <w:ind w:left="1134" w:hanging="425"/>
      </w:pPr>
      <w:r w:rsidRPr="002C62BF">
        <w:t>Ocrelizumab is superior in terms of effectiveness compared with placebo</w:t>
      </w:r>
      <w:r w:rsidR="009E49EC" w:rsidRPr="002C62BF">
        <w:t>.</w:t>
      </w:r>
    </w:p>
    <w:p w:rsidR="007841F9" w:rsidRPr="002C62BF" w:rsidRDefault="007841F9" w:rsidP="00752B64">
      <w:pPr>
        <w:pStyle w:val="ListParagraph"/>
        <w:numPr>
          <w:ilvl w:val="0"/>
          <w:numId w:val="6"/>
        </w:numPr>
        <w:ind w:left="1134" w:hanging="425"/>
      </w:pPr>
      <w:r w:rsidRPr="002C62BF">
        <w:t>Ocrelizumab is inferior in terms of safety compared with placebo, but the adverse event profile is established and manageable with minimal impact on quality of life, and a positive risk/benefit ratio is maintained.</w:t>
      </w:r>
    </w:p>
    <w:p w:rsidR="007841F9" w:rsidRPr="002C62BF" w:rsidRDefault="009E49EC" w:rsidP="007841F9">
      <w:pPr>
        <w:pStyle w:val="3-BodyText"/>
      </w:pPr>
      <w:r w:rsidRPr="002C62BF">
        <w:lastRenderedPageBreak/>
        <w:t xml:space="preserve">The PBAC </w:t>
      </w:r>
      <w:r w:rsidR="007841F9" w:rsidRPr="002C62BF">
        <w:t xml:space="preserve">previously noted that the treatment effect of ocrelizumab in the ITT population was “modest” and that in certain subgroups, the treatment effect was </w:t>
      </w:r>
      <w:r w:rsidR="00B62BD0" w:rsidRPr="002C62BF">
        <w:t>n</w:t>
      </w:r>
      <w:r w:rsidR="007841F9" w:rsidRPr="002C62BF">
        <w:t xml:space="preserve">egligible, and that given the small absolute differences in efficacy demonstrated by ocrelizumab over placebo, the clinical significance </w:t>
      </w:r>
      <w:r w:rsidRPr="002C62BF">
        <w:t>of trial outcomes was uncertain</w:t>
      </w:r>
      <w:r w:rsidR="007841F9" w:rsidRPr="002C62BF">
        <w:t xml:space="preserve"> (paragraph 7.6 ocre</w:t>
      </w:r>
      <w:r w:rsidR="0001190D">
        <w:t>lizumab, PSD</w:t>
      </w:r>
      <w:r w:rsidR="007841F9" w:rsidRPr="002C62BF">
        <w:t>, November 2017 PBAC Meeting).</w:t>
      </w:r>
    </w:p>
    <w:p w:rsidR="009E49EC" w:rsidRPr="002C62BF" w:rsidRDefault="007841F9" w:rsidP="009E49EC">
      <w:pPr>
        <w:pStyle w:val="3-BodyText"/>
        <w:spacing w:after="0"/>
        <w:rPr>
          <w:color w:val="000000" w:themeColor="text1"/>
        </w:rPr>
      </w:pPr>
      <w:r w:rsidRPr="002C62BF">
        <w:t>T</w:t>
      </w:r>
      <w:r w:rsidR="00203DD8" w:rsidRPr="002C62BF">
        <w:t>h</w:t>
      </w:r>
      <w:r w:rsidRPr="002C62BF">
        <w:t>e resubmission attempted to address these issues by restricting the population to a subpopulation most likely to derive benefit. Given that the PBAC assessed that there was a modest treatment effec</w:t>
      </w:r>
      <w:r w:rsidR="009E49EC" w:rsidRPr="002C62BF">
        <w:t xml:space="preserve">t in the ITT population, after </w:t>
      </w:r>
      <w:r w:rsidRPr="002C62BF">
        <w:t xml:space="preserve">excluding subpopulations where the effect </w:t>
      </w:r>
      <w:r w:rsidR="006717B6" w:rsidRPr="002C62BF">
        <w:t>may be</w:t>
      </w:r>
      <w:r w:rsidRPr="002C62BF">
        <w:t xml:space="preserve"> negligible, it can reasonably be inferred that the treatment effect in remaining patients would at least </w:t>
      </w:r>
      <w:r w:rsidR="009E49EC" w:rsidRPr="002C62BF">
        <w:t xml:space="preserve">be maintained if not improved. </w:t>
      </w:r>
      <w:r w:rsidRPr="002C62BF">
        <w:t xml:space="preserve">However, the post-hoc subgroup analyses </w:t>
      </w:r>
      <w:r w:rsidR="009E49EC" w:rsidRPr="002C62BF">
        <w:t>are</w:t>
      </w:r>
      <w:r w:rsidRPr="002C62BF">
        <w:t xml:space="preserve"> susceptible to bias, and the resulti</w:t>
      </w:r>
      <w:r w:rsidR="009E49EC" w:rsidRPr="002C62BF">
        <w:t xml:space="preserve">ng hazard ratio of estimate CDP-24, </w:t>
      </w:r>
      <w:r w:rsidRPr="002C62BF">
        <w:t xml:space="preserve">on which the economic analysis is based </w:t>
      </w:r>
      <w:r w:rsidR="009E49EC" w:rsidRPr="002C62BF">
        <w:t>(despite the test for interaction not indicating that these baseline characteristics were a treatment effect modifier), was likely to substantially overestimate</w:t>
      </w:r>
      <w:r w:rsidR="00D07E34" w:rsidRPr="002C62BF">
        <w:t xml:space="preserve"> the</w:t>
      </w:r>
      <w:r w:rsidR="009E49EC" w:rsidRPr="002C62BF">
        <w:t xml:space="preserve"> treatment effect</w:t>
      </w:r>
      <w:r w:rsidR="009E49EC" w:rsidRPr="002C62BF">
        <w:rPr>
          <w:color w:val="000000" w:themeColor="text1"/>
        </w:rPr>
        <w:t>:</w:t>
      </w:r>
    </w:p>
    <w:p w:rsidR="009E49EC" w:rsidRPr="002C62BF" w:rsidRDefault="009E49EC" w:rsidP="00752B64">
      <w:pPr>
        <w:pStyle w:val="ListParagraph"/>
        <w:numPr>
          <w:ilvl w:val="0"/>
          <w:numId w:val="8"/>
        </w:numPr>
        <w:spacing w:after="0"/>
        <w:ind w:left="993" w:hanging="284"/>
        <w:rPr>
          <w:color w:val="000000" w:themeColor="text1"/>
        </w:rPr>
      </w:pPr>
      <w:r w:rsidRPr="002C62BF">
        <w:rPr>
          <w:color w:val="000000" w:themeColor="text1"/>
        </w:rPr>
        <w:t>The analyses should be considered exploratory - hypothesis-generating and not confirmatory;</w:t>
      </w:r>
    </w:p>
    <w:p w:rsidR="009E49EC" w:rsidRPr="002C62BF" w:rsidRDefault="009E49EC" w:rsidP="00752B64">
      <w:pPr>
        <w:pStyle w:val="ListParagraph"/>
        <w:numPr>
          <w:ilvl w:val="0"/>
          <w:numId w:val="8"/>
        </w:numPr>
        <w:spacing w:after="0"/>
        <w:ind w:left="993" w:hanging="284"/>
        <w:rPr>
          <w:color w:val="000000" w:themeColor="text1"/>
        </w:rPr>
      </w:pPr>
      <w:r w:rsidRPr="002C62BF">
        <w:t>The subgroup of interest (those with MRI activity and aged ≤50 years at baseline) represented approximately a third of the ORATORIO trial population (possibility that the analyses were underpowered cannot be excluded); and</w:t>
      </w:r>
    </w:p>
    <w:p w:rsidR="009E49EC" w:rsidRPr="002C62BF" w:rsidRDefault="009E49EC" w:rsidP="00752B64">
      <w:pPr>
        <w:pStyle w:val="ListParagraph"/>
        <w:numPr>
          <w:ilvl w:val="0"/>
          <w:numId w:val="8"/>
        </w:numPr>
        <w:ind w:left="993" w:hanging="284"/>
        <w:rPr>
          <w:color w:val="000000" w:themeColor="text1"/>
        </w:rPr>
      </w:pPr>
      <w:r w:rsidRPr="002C62BF">
        <w:t>There was no indication that any statistical analyses were adjusted for multiple looks at the data.</w:t>
      </w:r>
    </w:p>
    <w:p w:rsidR="007841F9" w:rsidRPr="002C62BF" w:rsidRDefault="007841F9" w:rsidP="00203DD8">
      <w:pPr>
        <w:pStyle w:val="3-BodyText"/>
      </w:pPr>
      <w:r w:rsidRPr="002C62BF">
        <w:t xml:space="preserve">Furthermore, the post-hoc analysis </w:t>
      </w:r>
      <w:r w:rsidR="006B7FA1" w:rsidRPr="002C62BF">
        <w:t>was not consistent with</w:t>
      </w:r>
      <w:r w:rsidRPr="002C62BF">
        <w:t xml:space="preserve"> the requested restriction, which instead of restricting by age (50 or younger)</w:t>
      </w:r>
      <w:r w:rsidR="00C53F9D" w:rsidRPr="002C62BF">
        <w:t>,</w:t>
      </w:r>
      <w:r w:rsidRPr="002C62BF">
        <w:t xml:space="preserve"> restrict</w:t>
      </w:r>
      <w:r w:rsidR="009E49EC" w:rsidRPr="002C62BF">
        <w:t>ed</w:t>
      </w:r>
      <w:r w:rsidRPr="002C62BF">
        <w:t xml:space="preserve"> by time since diagnosis (the past 5 years). </w:t>
      </w:r>
      <w:r w:rsidR="00F24F08" w:rsidRPr="002C62BF">
        <w:t>The ESC considered the applicability of the results for this subgroup to the requested listing was not adequately justified. I</w:t>
      </w:r>
      <w:r w:rsidRPr="002C62BF">
        <w:t xml:space="preserve">t is possible that the requested restriction </w:t>
      </w:r>
      <w:r w:rsidR="0014692A" w:rsidRPr="002C62BF">
        <w:t>may encompass a population that is</w:t>
      </w:r>
      <w:r w:rsidRPr="002C62BF">
        <w:t xml:space="preserve"> more consistent with the MRI</w:t>
      </w:r>
      <w:r w:rsidR="00F24F08" w:rsidRPr="002C62BF">
        <w:t>-</w:t>
      </w:r>
      <w:r w:rsidRPr="002C62BF">
        <w:t>active subgroup of the ORATORIO trial</w:t>
      </w:r>
      <w:r w:rsidR="00F24F08" w:rsidRPr="002C62BF">
        <w:t xml:space="preserve">, which </w:t>
      </w:r>
      <w:r w:rsidR="0014692A" w:rsidRPr="002C62BF">
        <w:t>the subgroups analyses indicated wa</w:t>
      </w:r>
      <w:r w:rsidR="00F24F08" w:rsidRPr="002C62BF">
        <w:t>s associated with a</w:t>
      </w:r>
      <w:r w:rsidR="0014692A" w:rsidRPr="002C62BF">
        <w:t xml:space="preserve"> </w:t>
      </w:r>
      <w:r w:rsidR="00FD4B74" w:rsidRPr="002C62BF">
        <w:t>lesser</w:t>
      </w:r>
      <w:r w:rsidR="0014692A" w:rsidRPr="002C62BF">
        <w:t xml:space="preserve"> treatment effect than the ‘MRI-active plus age 50 years or younger’ subgroup (HR for CDP-24 in the extended control period of 0.68 versus 0.53, respectively)</w:t>
      </w:r>
      <w:r w:rsidRPr="002C62BF">
        <w:t xml:space="preserve">. </w:t>
      </w:r>
    </w:p>
    <w:p w:rsidR="007841F9" w:rsidRPr="002C62BF" w:rsidRDefault="009E49EC" w:rsidP="00203DD8">
      <w:pPr>
        <w:pStyle w:val="3-BodyText"/>
      </w:pPr>
      <w:r w:rsidRPr="002C62BF">
        <w:t xml:space="preserve">The PBAC </w:t>
      </w:r>
      <w:r w:rsidR="003A3143" w:rsidRPr="002C62BF">
        <w:t xml:space="preserve">previously </w:t>
      </w:r>
      <w:r w:rsidR="007841F9" w:rsidRPr="002C62BF">
        <w:t xml:space="preserve">considered that the claim that ocrelizumab has an acceptable safety profile that is comparable with placebo </w:t>
      </w:r>
      <w:r w:rsidR="006B7FA1" w:rsidRPr="002C62BF">
        <w:t xml:space="preserve">in the previous submission </w:t>
      </w:r>
      <w:r w:rsidR="007841F9" w:rsidRPr="002C62BF">
        <w:t>was not adequately supported. The PBAC noted ocrelizumab was associated with a greater rate of infusion related reactions and upper respiratory tract infections than placebo in the ORATORIO trial. Additionally, the potentially older PBS population with more severe disease may experience a higher risk of infecti</w:t>
      </w:r>
      <w:r w:rsidRPr="002C62BF">
        <w:t>ons and/or other adverse events</w:t>
      </w:r>
      <w:r w:rsidR="007841F9" w:rsidRPr="002C62BF">
        <w:t xml:space="preserve"> (paragraph 7.7</w:t>
      </w:r>
      <w:r w:rsidR="001B2F16" w:rsidRPr="002C62BF">
        <w:t>, November 2017 ocr</w:t>
      </w:r>
      <w:r w:rsidR="0001190D">
        <w:t>elizumab PSD</w:t>
      </w:r>
      <w:r w:rsidR="007841F9" w:rsidRPr="002C62BF">
        <w:t>)</w:t>
      </w:r>
      <w:r w:rsidRPr="002C62BF">
        <w:t>.</w:t>
      </w:r>
    </w:p>
    <w:p w:rsidR="007841F9" w:rsidRPr="002C62BF" w:rsidRDefault="007841F9" w:rsidP="00203DD8">
      <w:pPr>
        <w:pStyle w:val="3-BodyText"/>
      </w:pPr>
      <w:r w:rsidRPr="002C62BF">
        <w:t>With the exception of updated extended harms</w:t>
      </w:r>
      <w:r w:rsidR="009E49EC" w:rsidRPr="002C62BF">
        <w:t xml:space="preserve"> data, </w:t>
      </w:r>
      <w:r w:rsidRPr="002C62BF">
        <w:t>and limiting use to patients with active disease who have been diagnosed within 5 years, the resubmission did not present any new discussion of safety.</w:t>
      </w:r>
      <w:r w:rsidR="00D0224E" w:rsidRPr="002C62BF">
        <w:t xml:space="preserve"> The ESC considered it would have been informative to present the safety data for the </w:t>
      </w:r>
      <w:r w:rsidR="00176A1E" w:rsidRPr="002C62BF">
        <w:t>proposed PBS population.</w:t>
      </w:r>
    </w:p>
    <w:p w:rsidR="00225792" w:rsidRPr="002C62BF" w:rsidRDefault="00225792" w:rsidP="00311FC0">
      <w:pPr>
        <w:pStyle w:val="3-BodyText"/>
        <w:rPr>
          <w:lang w:eastAsia="en-US"/>
        </w:rPr>
      </w:pPr>
      <w:r w:rsidRPr="002C62BF">
        <w:rPr>
          <w:lang w:eastAsia="en-US"/>
        </w:rPr>
        <w:lastRenderedPageBreak/>
        <w:t xml:space="preserve">The PBAC considered that the claim of superior comparative effectiveness </w:t>
      </w:r>
      <w:r w:rsidR="00DA3572" w:rsidRPr="002C62BF">
        <w:rPr>
          <w:lang w:eastAsia="en-US"/>
        </w:rPr>
        <w:t>in the</w:t>
      </w:r>
      <w:r w:rsidR="002B3559" w:rsidRPr="002C62BF">
        <w:rPr>
          <w:lang w:eastAsia="en-US"/>
        </w:rPr>
        <w:t xml:space="preserve"> early and MRI-active population was adequately supported, </w:t>
      </w:r>
      <w:r w:rsidR="00E270DF" w:rsidRPr="002C62BF">
        <w:rPr>
          <w:lang w:eastAsia="en-US"/>
        </w:rPr>
        <w:t xml:space="preserve">but that subgroup results relied on in the economic model likely overestimated the magnitude of the benefit in the requested PBS population (due to limitations of the subgroup data and the potential lack of </w:t>
      </w:r>
      <w:r w:rsidR="00E270DF" w:rsidRPr="002C62BF">
        <w:rPr>
          <w:szCs w:val="20"/>
          <w:lang w:eastAsia="en-US"/>
        </w:rPr>
        <w:t>applicability of the subgroup results to the requested listing, as outlined above)</w:t>
      </w:r>
      <w:r w:rsidR="00352632" w:rsidRPr="002C62BF">
        <w:rPr>
          <w:lang w:eastAsia="en-US"/>
        </w:rPr>
        <w:t>.</w:t>
      </w:r>
    </w:p>
    <w:p w:rsidR="00225792" w:rsidRPr="002C62BF" w:rsidRDefault="00225792" w:rsidP="00225792">
      <w:pPr>
        <w:pStyle w:val="3-BodyText"/>
      </w:pPr>
      <w:r w:rsidRPr="002C62BF">
        <w:rPr>
          <w:szCs w:val="20"/>
          <w:lang w:eastAsia="en-US"/>
        </w:rPr>
        <w:t xml:space="preserve">The PBAC </w:t>
      </w:r>
      <w:r w:rsidR="00DA5748" w:rsidRPr="002C62BF">
        <w:rPr>
          <w:szCs w:val="20"/>
          <w:lang w:eastAsia="en-US"/>
        </w:rPr>
        <w:t>noted no new data on clinical safety w</w:t>
      </w:r>
      <w:r w:rsidR="00FD4B74" w:rsidRPr="002C62BF">
        <w:rPr>
          <w:szCs w:val="20"/>
          <w:lang w:eastAsia="en-US"/>
        </w:rPr>
        <w:t>ere</w:t>
      </w:r>
      <w:r w:rsidR="00DA5748" w:rsidRPr="002C62BF">
        <w:rPr>
          <w:szCs w:val="20"/>
          <w:lang w:eastAsia="en-US"/>
        </w:rPr>
        <w:t xml:space="preserve"> presented and considered the clinical claim of inferior comparative safety to placebo was reasonable, consistent with its view expressed in its November 2017 consideration of ocrelizumab.</w:t>
      </w:r>
    </w:p>
    <w:p w:rsidR="00B60939" w:rsidRDefault="00B60939" w:rsidP="00E9094A">
      <w:pPr>
        <w:pStyle w:val="4-SubsectionHeading"/>
      </w:pPr>
      <w:bookmarkStart w:id="29" w:name="_Toc22897645"/>
      <w:bookmarkStart w:id="30" w:name="_Toc40873651"/>
      <w:r w:rsidRPr="002C62BF">
        <w:t>Economic analysis</w:t>
      </w:r>
      <w:bookmarkEnd w:id="29"/>
      <w:bookmarkEnd w:id="30"/>
      <w:r w:rsidR="00491B3A" w:rsidRPr="002C62BF">
        <w:t xml:space="preserve"> </w:t>
      </w:r>
    </w:p>
    <w:p w:rsidR="00495619" w:rsidRPr="00D81199" w:rsidRDefault="00495619" w:rsidP="00495619">
      <w:pPr>
        <w:pStyle w:val="3-BodyText"/>
        <w:rPr>
          <w:b/>
          <w:bCs/>
          <w:color w:val="000000" w:themeColor="text1"/>
        </w:rPr>
      </w:pPr>
      <w:r w:rsidRPr="00203DD8">
        <w:rPr>
          <w:color w:val="000000" w:themeColor="text1"/>
        </w:rPr>
        <w:t>As in the November 2017 submission, the resubmission presented a cost-utility analysis.</w:t>
      </w:r>
    </w:p>
    <w:p w:rsidR="00495619" w:rsidRPr="009A6AF4" w:rsidRDefault="00495619" w:rsidP="00495619">
      <w:pPr>
        <w:pStyle w:val="3-BodyText"/>
        <w:rPr>
          <w:b/>
          <w:bCs/>
          <w:color w:val="000000" w:themeColor="text1"/>
        </w:rPr>
      </w:pPr>
      <w:r w:rsidRPr="009A6AF4">
        <w:t>Table 8</w:t>
      </w:r>
      <w:r>
        <w:t xml:space="preserve"> </w:t>
      </w:r>
      <w:r w:rsidRPr="00DB37C0">
        <w:t xml:space="preserve">presents a summary of the key components of the economic evaluation. </w:t>
      </w:r>
    </w:p>
    <w:p w:rsidR="00495619" w:rsidRPr="00DB37C0" w:rsidRDefault="00495619" w:rsidP="00495619">
      <w:pPr>
        <w:pStyle w:val="TableFigureHeading"/>
        <w:rPr>
          <w:rStyle w:val="CommentReference"/>
          <w:b/>
        </w:rPr>
      </w:pPr>
      <w:r w:rsidRPr="00DB37C0">
        <w:rPr>
          <w:rStyle w:val="CommentReference"/>
          <w:b/>
        </w:rPr>
        <w:t xml:space="preserve">Table </w:t>
      </w:r>
      <w:r>
        <w:rPr>
          <w:rStyle w:val="CommentReference"/>
          <w:b/>
          <w:noProof/>
        </w:rPr>
        <w:t>8</w:t>
      </w:r>
      <w:r>
        <w:rPr>
          <w:rStyle w:val="CommentReference"/>
          <w:b/>
        </w:rPr>
        <w:t xml:space="preserve">: </w:t>
      </w:r>
      <w:r w:rsidRPr="00DB37C0">
        <w:rPr>
          <w:rStyle w:val="CommentReference"/>
          <w:b/>
        </w:rPr>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8"/>
        <w:gridCol w:w="7069"/>
      </w:tblGrid>
      <w:tr w:rsidR="00495619" w:rsidRPr="00DB37C0" w:rsidTr="00934917">
        <w:tc>
          <w:tcPr>
            <w:tcW w:w="1080" w:type="pct"/>
            <w:vAlign w:val="center"/>
          </w:tcPr>
          <w:p w:rsidR="00495619" w:rsidRPr="00DB37C0" w:rsidRDefault="00495619" w:rsidP="00934917">
            <w:pPr>
              <w:pStyle w:val="In-tableHeading"/>
              <w:rPr>
                <w:lang w:val="en-AU"/>
              </w:rPr>
            </w:pPr>
            <w:r w:rsidRPr="00DB37C0">
              <w:rPr>
                <w:lang w:val="en-AU"/>
              </w:rPr>
              <w:t>Component</w:t>
            </w:r>
          </w:p>
        </w:tc>
        <w:tc>
          <w:tcPr>
            <w:tcW w:w="3920" w:type="pct"/>
          </w:tcPr>
          <w:p w:rsidR="00495619" w:rsidRPr="00DB37C0" w:rsidRDefault="00495619" w:rsidP="00934917">
            <w:pPr>
              <w:pStyle w:val="In-tableHeading"/>
              <w:rPr>
                <w:lang w:val="en-AU"/>
              </w:rPr>
            </w:pPr>
            <w:r w:rsidRPr="00DB37C0">
              <w:rPr>
                <w:lang w:val="en-AU"/>
              </w:rPr>
              <w:t>Description</w:t>
            </w:r>
          </w:p>
        </w:tc>
      </w:tr>
      <w:tr w:rsidR="00495619" w:rsidRPr="00DB37C0" w:rsidTr="00934917">
        <w:tc>
          <w:tcPr>
            <w:tcW w:w="1080" w:type="pct"/>
            <w:vAlign w:val="center"/>
          </w:tcPr>
          <w:p w:rsidR="00495619" w:rsidRPr="00DB37C0" w:rsidRDefault="00495619" w:rsidP="00934917">
            <w:pPr>
              <w:pStyle w:val="TableText0"/>
            </w:pPr>
            <w:r w:rsidRPr="00DB37C0">
              <w:t>Type of analysis</w:t>
            </w:r>
          </w:p>
        </w:tc>
        <w:tc>
          <w:tcPr>
            <w:tcW w:w="3920" w:type="pct"/>
          </w:tcPr>
          <w:p w:rsidR="00495619" w:rsidRPr="00DB37C0" w:rsidRDefault="00495619" w:rsidP="00934917">
            <w:pPr>
              <w:pStyle w:val="TableText0"/>
            </w:pPr>
            <w:r w:rsidRPr="00DB37C0">
              <w:t>Cost utility analysis</w:t>
            </w:r>
          </w:p>
        </w:tc>
      </w:tr>
      <w:tr w:rsidR="00495619" w:rsidRPr="00DB37C0" w:rsidTr="00934917">
        <w:tc>
          <w:tcPr>
            <w:tcW w:w="1080" w:type="pct"/>
            <w:vAlign w:val="center"/>
          </w:tcPr>
          <w:p w:rsidR="00495619" w:rsidRPr="00DB37C0" w:rsidRDefault="00495619" w:rsidP="00934917">
            <w:pPr>
              <w:pStyle w:val="TableText0"/>
            </w:pPr>
            <w:r w:rsidRPr="00DB37C0">
              <w:t>Outcomes</w:t>
            </w:r>
          </w:p>
        </w:tc>
        <w:tc>
          <w:tcPr>
            <w:tcW w:w="3920" w:type="pct"/>
          </w:tcPr>
          <w:p w:rsidR="00495619" w:rsidRPr="00DB37C0" w:rsidRDefault="00495619" w:rsidP="00934917">
            <w:pPr>
              <w:pStyle w:val="TableText0"/>
            </w:pPr>
            <w:r w:rsidRPr="00DB37C0">
              <w:t>Life-years gained, quality-adjusted life years gained</w:t>
            </w:r>
          </w:p>
        </w:tc>
      </w:tr>
      <w:tr w:rsidR="00495619" w:rsidRPr="00DB37C0" w:rsidTr="00934917">
        <w:tc>
          <w:tcPr>
            <w:tcW w:w="1080" w:type="pct"/>
            <w:vAlign w:val="center"/>
          </w:tcPr>
          <w:p w:rsidR="00495619" w:rsidRPr="00DB37C0" w:rsidRDefault="00495619" w:rsidP="00934917">
            <w:pPr>
              <w:pStyle w:val="TableText0"/>
            </w:pPr>
            <w:r w:rsidRPr="00DB37C0">
              <w:t>Time horizon</w:t>
            </w:r>
          </w:p>
        </w:tc>
        <w:tc>
          <w:tcPr>
            <w:tcW w:w="3920" w:type="pct"/>
          </w:tcPr>
          <w:p w:rsidR="00495619" w:rsidRPr="00DB37C0" w:rsidRDefault="00495619" w:rsidP="00934917">
            <w:pPr>
              <w:pStyle w:val="TableText0"/>
            </w:pPr>
            <w:r w:rsidRPr="00DB37C0">
              <w:t>Lifetime in the model base case</w:t>
            </w:r>
            <w:r>
              <w:t xml:space="preserve"> </w:t>
            </w:r>
            <w:r w:rsidRPr="00DB37C0">
              <w:t xml:space="preserve">(60 years) versus 3 years </w:t>
            </w:r>
            <w:r>
              <w:t>i</w:t>
            </w:r>
            <w:r w:rsidRPr="00DB37C0">
              <w:t xml:space="preserve">n ORATORIO trial </w:t>
            </w:r>
          </w:p>
        </w:tc>
      </w:tr>
      <w:tr w:rsidR="00495619" w:rsidRPr="00DB37C0" w:rsidTr="00934917">
        <w:tc>
          <w:tcPr>
            <w:tcW w:w="1080" w:type="pct"/>
            <w:vAlign w:val="center"/>
          </w:tcPr>
          <w:p w:rsidR="00495619" w:rsidRPr="00DB37C0" w:rsidRDefault="00495619" w:rsidP="00934917">
            <w:pPr>
              <w:pStyle w:val="TableText0"/>
            </w:pPr>
            <w:r w:rsidRPr="00DB37C0">
              <w:t>Methods used to generate results</w:t>
            </w:r>
          </w:p>
        </w:tc>
        <w:tc>
          <w:tcPr>
            <w:tcW w:w="3920" w:type="pct"/>
          </w:tcPr>
          <w:p w:rsidR="00495619" w:rsidRPr="00DB37C0" w:rsidRDefault="00495619" w:rsidP="00934917">
            <w:pPr>
              <w:pStyle w:val="TableText0"/>
            </w:pPr>
            <w:r w:rsidRPr="00DB37C0">
              <w:t>Markov model</w:t>
            </w:r>
          </w:p>
        </w:tc>
      </w:tr>
      <w:tr w:rsidR="00495619" w:rsidRPr="00DB37C0" w:rsidTr="00934917">
        <w:trPr>
          <w:trHeight w:val="269"/>
        </w:trPr>
        <w:tc>
          <w:tcPr>
            <w:tcW w:w="1080" w:type="pct"/>
            <w:vAlign w:val="center"/>
          </w:tcPr>
          <w:p w:rsidR="00495619" w:rsidRPr="00DB37C0" w:rsidRDefault="00495619" w:rsidP="00934917">
            <w:pPr>
              <w:pStyle w:val="TableText0"/>
            </w:pPr>
            <w:r w:rsidRPr="00DB37C0">
              <w:t>Health states</w:t>
            </w:r>
          </w:p>
        </w:tc>
        <w:tc>
          <w:tcPr>
            <w:tcW w:w="3920" w:type="pct"/>
          </w:tcPr>
          <w:p w:rsidR="00495619" w:rsidRPr="00DB37C0" w:rsidRDefault="00495619" w:rsidP="00934917">
            <w:pPr>
              <w:pStyle w:val="TableText0"/>
            </w:pPr>
            <w:r w:rsidRPr="00DB37C0">
              <w:t>EDSS 0-9</w:t>
            </w:r>
          </w:p>
        </w:tc>
      </w:tr>
      <w:tr w:rsidR="00495619" w:rsidRPr="00DB37C0" w:rsidTr="00934917">
        <w:tc>
          <w:tcPr>
            <w:tcW w:w="1080" w:type="pct"/>
            <w:vAlign w:val="center"/>
          </w:tcPr>
          <w:p w:rsidR="00495619" w:rsidRPr="00DB37C0" w:rsidRDefault="00495619" w:rsidP="00934917">
            <w:pPr>
              <w:pStyle w:val="TableText0"/>
            </w:pPr>
            <w:r w:rsidRPr="00DB37C0">
              <w:t>Cycle length</w:t>
            </w:r>
          </w:p>
        </w:tc>
        <w:tc>
          <w:tcPr>
            <w:tcW w:w="3920" w:type="pct"/>
          </w:tcPr>
          <w:p w:rsidR="00495619" w:rsidRPr="00DB37C0" w:rsidRDefault="00495619" w:rsidP="00934917">
            <w:pPr>
              <w:pStyle w:val="TableText0"/>
            </w:pPr>
            <w:r w:rsidRPr="00DB37C0">
              <w:t>1 year</w:t>
            </w:r>
          </w:p>
        </w:tc>
      </w:tr>
      <w:tr w:rsidR="00495619" w:rsidRPr="00DB37C0" w:rsidTr="00934917">
        <w:tc>
          <w:tcPr>
            <w:tcW w:w="1080" w:type="pct"/>
            <w:vAlign w:val="center"/>
          </w:tcPr>
          <w:p w:rsidR="00495619" w:rsidRPr="00DB37C0" w:rsidRDefault="00495619" w:rsidP="00934917">
            <w:pPr>
              <w:pStyle w:val="TableText0"/>
            </w:pPr>
            <w:r w:rsidRPr="00DB37C0">
              <w:t>Transition probabilities</w:t>
            </w:r>
          </w:p>
        </w:tc>
        <w:tc>
          <w:tcPr>
            <w:tcW w:w="3920" w:type="pct"/>
          </w:tcPr>
          <w:p w:rsidR="00495619" w:rsidRPr="00DB37C0" w:rsidRDefault="00495619" w:rsidP="00934917">
            <w:pPr>
              <w:pStyle w:val="TableText0"/>
            </w:pPr>
            <w:r w:rsidRPr="00DB37C0">
              <w:t>EDSS transition matrix based on natural history of PPMS matching restriction criteria, treatment effect hazard ratio from ORATORIO subgroup matching restriction criteria applied to ocrelizumab arm</w:t>
            </w:r>
          </w:p>
        </w:tc>
      </w:tr>
      <w:tr w:rsidR="00495619" w:rsidRPr="00DB37C0" w:rsidTr="00934917">
        <w:tc>
          <w:tcPr>
            <w:tcW w:w="1080" w:type="pct"/>
            <w:vAlign w:val="center"/>
          </w:tcPr>
          <w:p w:rsidR="00495619" w:rsidRPr="00DB37C0" w:rsidRDefault="00495619" w:rsidP="00934917">
            <w:pPr>
              <w:pStyle w:val="TableText0"/>
            </w:pPr>
            <w:r w:rsidRPr="00DB37C0">
              <w:t>Software package</w:t>
            </w:r>
          </w:p>
        </w:tc>
        <w:tc>
          <w:tcPr>
            <w:tcW w:w="3920" w:type="pct"/>
          </w:tcPr>
          <w:p w:rsidR="00495619" w:rsidRPr="00DB37C0" w:rsidRDefault="00495619" w:rsidP="00934917">
            <w:pPr>
              <w:pStyle w:val="TableText0"/>
            </w:pPr>
            <w:r w:rsidRPr="00DB37C0">
              <w:t>Excel 2016</w:t>
            </w:r>
          </w:p>
        </w:tc>
      </w:tr>
    </w:tbl>
    <w:p w:rsidR="00495619" w:rsidRDefault="00495619" w:rsidP="00495619">
      <w:pPr>
        <w:pStyle w:val="TableFigureFooter"/>
      </w:pPr>
      <w:r w:rsidRPr="00DB37C0">
        <w:t xml:space="preserve">Source: Table 3.3, p48 of the resubmission  </w:t>
      </w:r>
    </w:p>
    <w:p w:rsidR="00495619" w:rsidRPr="009A6AF4" w:rsidRDefault="00495619" w:rsidP="00495619">
      <w:pPr>
        <w:pStyle w:val="TableFigureFooter"/>
        <w:rPr>
          <w:sz w:val="20"/>
        </w:rPr>
      </w:pPr>
      <w:r w:rsidRPr="00DB37C0">
        <w:t xml:space="preserve">EDSS = expanded disability status scale; PPMS = primary progressive multiple sclerosis. </w:t>
      </w:r>
    </w:p>
    <w:p w:rsidR="00495619" w:rsidRPr="009A6AF4" w:rsidRDefault="00495619" w:rsidP="00495619">
      <w:pPr>
        <w:pStyle w:val="3-BodyText"/>
      </w:pPr>
      <w:r w:rsidRPr="009A6AF4">
        <w:t>Table 9</w:t>
      </w:r>
      <w:r>
        <w:t xml:space="preserve"> presents the key revisions to the November 2017 economic evaluation made in the resubmission. </w:t>
      </w:r>
    </w:p>
    <w:p w:rsidR="00495619" w:rsidRDefault="00495619" w:rsidP="00495619">
      <w:pPr>
        <w:pStyle w:val="In-tableHeading"/>
        <w:rPr>
          <w:bCs/>
          <w:color w:val="000000" w:themeColor="text1"/>
        </w:rPr>
      </w:pPr>
      <w:r>
        <w:rPr>
          <w:rStyle w:val="CommentReference"/>
          <w:b/>
        </w:rPr>
        <w:lastRenderedPageBreak/>
        <w:t xml:space="preserve">Table </w:t>
      </w:r>
      <w:r>
        <w:rPr>
          <w:rStyle w:val="CommentReference"/>
          <w:b/>
          <w:noProof/>
        </w:rPr>
        <w:t>9</w:t>
      </w:r>
      <w:r>
        <w:rPr>
          <w:rStyle w:val="CommentReference"/>
          <w:b/>
        </w:rPr>
        <w:t xml:space="preserve">: </w:t>
      </w:r>
      <w:r w:rsidRPr="00DB37C0">
        <w:rPr>
          <w:rStyle w:val="CommentReference"/>
          <w:b/>
        </w:rPr>
        <w:t xml:space="preserve">Key </w:t>
      </w:r>
      <w:r>
        <w:rPr>
          <w:rStyle w:val="CommentReference"/>
          <w:b/>
        </w:rPr>
        <w:t>revisions from the November 2017 economic evaluation</w:t>
      </w:r>
    </w:p>
    <w:tbl>
      <w:tblPr>
        <w:tblStyle w:val="TableGrid"/>
        <w:tblW w:w="5237" w:type="pct"/>
        <w:tblCellMar>
          <w:left w:w="28" w:type="dxa"/>
          <w:right w:w="28" w:type="dxa"/>
        </w:tblCellMar>
        <w:tblLook w:val="04A0" w:firstRow="1" w:lastRow="0" w:firstColumn="1" w:lastColumn="0" w:noHBand="0" w:noVBand="1"/>
      </w:tblPr>
      <w:tblGrid>
        <w:gridCol w:w="2266"/>
        <w:gridCol w:w="4764"/>
        <w:gridCol w:w="2414"/>
      </w:tblGrid>
      <w:tr w:rsidR="00495619" w:rsidRPr="00DB37C0" w:rsidTr="00934917">
        <w:tc>
          <w:tcPr>
            <w:tcW w:w="1200" w:type="pct"/>
          </w:tcPr>
          <w:p w:rsidR="00495619" w:rsidRPr="00DB37C0" w:rsidRDefault="00495619" w:rsidP="00934917">
            <w:pPr>
              <w:pStyle w:val="TableFigureHeading"/>
            </w:pPr>
            <w:r w:rsidRPr="00DB37C0">
              <w:t>Component</w:t>
            </w:r>
          </w:p>
        </w:tc>
        <w:tc>
          <w:tcPr>
            <w:tcW w:w="2522" w:type="pct"/>
          </w:tcPr>
          <w:p w:rsidR="00495619" w:rsidRPr="00DB37C0" w:rsidRDefault="00495619" w:rsidP="00934917">
            <w:pPr>
              <w:pStyle w:val="TableFigureHeading"/>
            </w:pPr>
            <w:r w:rsidRPr="00DB37C0">
              <w:t>Revision</w:t>
            </w:r>
          </w:p>
        </w:tc>
        <w:tc>
          <w:tcPr>
            <w:tcW w:w="1278" w:type="pct"/>
          </w:tcPr>
          <w:p w:rsidR="00495619" w:rsidRPr="00DB37C0" w:rsidRDefault="00495619" w:rsidP="00934917">
            <w:pPr>
              <w:pStyle w:val="TableFigureHeading"/>
            </w:pPr>
            <w:r w:rsidRPr="00DB37C0">
              <w:t>Comment</w:t>
            </w:r>
          </w:p>
        </w:tc>
      </w:tr>
      <w:tr w:rsidR="00495619" w:rsidRPr="00DB37C0" w:rsidTr="00934917">
        <w:tc>
          <w:tcPr>
            <w:tcW w:w="1200" w:type="pct"/>
          </w:tcPr>
          <w:p w:rsidR="00495619" w:rsidRPr="00DB37C0" w:rsidRDefault="00495619" w:rsidP="00934917">
            <w:pPr>
              <w:pStyle w:val="Tabletext"/>
              <w:keepNext/>
            </w:pPr>
            <w:r w:rsidRPr="00DB37C0">
              <w:t>Start age</w:t>
            </w:r>
          </w:p>
        </w:tc>
        <w:tc>
          <w:tcPr>
            <w:tcW w:w="2522" w:type="pct"/>
          </w:tcPr>
          <w:p w:rsidR="00495619" w:rsidRPr="00DB37C0" w:rsidRDefault="00495619" w:rsidP="00934917">
            <w:pPr>
              <w:pStyle w:val="Tabletext"/>
              <w:keepNext/>
            </w:pPr>
            <w:r w:rsidRPr="00DB37C0">
              <w:t>Adjusted to average start age of ORATORIO subgroup</w:t>
            </w:r>
            <w:r>
              <w:t xml:space="preserve"> (40 years, down from 44 years in the ITT population)</w:t>
            </w:r>
          </w:p>
        </w:tc>
        <w:tc>
          <w:tcPr>
            <w:tcW w:w="1278" w:type="pct"/>
          </w:tcPr>
          <w:p w:rsidR="00495619" w:rsidRPr="00E95C55" w:rsidRDefault="00495619" w:rsidP="00934917">
            <w:pPr>
              <w:pStyle w:val="Tabletext"/>
              <w:keepNext/>
            </w:pPr>
            <w:r w:rsidRPr="00E95C55">
              <w:t>May not be aligned with requested restriction</w:t>
            </w:r>
          </w:p>
        </w:tc>
      </w:tr>
      <w:tr w:rsidR="00495619" w:rsidRPr="00DB37C0" w:rsidTr="00934917">
        <w:tc>
          <w:tcPr>
            <w:tcW w:w="1200" w:type="pct"/>
          </w:tcPr>
          <w:p w:rsidR="00495619" w:rsidRPr="00DB37C0" w:rsidRDefault="00495619" w:rsidP="00934917">
            <w:pPr>
              <w:pStyle w:val="Tabletext"/>
              <w:keepNext/>
            </w:pPr>
            <w:r w:rsidRPr="00DB37C0">
              <w:t>EDSS baseline distribution</w:t>
            </w:r>
          </w:p>
        </w:tc>
        <w:tc>
          <w:tcPr>
            <w:tcW w:w="2522" w:type="pct"/>
          </w:tcPr>
          <w:p w:rsidR="00495619" w:rsidRPr="00DB37C0" w:rsidRDefault="00495619" w:rsidP="00934917">
            <w:pPr>
              <w:pStyle w:val="Tabletext"/>
              <w:keepNext/>
            </w:pPr>
            <w:r w:rsidRPr="00DB37C0">
              <w:t>Adjusted to EDSS baseline distribution of ORATORIO subgroup</w:t>
            </w:r>
          </w:p>
        </w:tc>
        <w:tc>
          <w:tcPr>
            <w:tcW w:w="1278" w:type="pct"/>
          </w:tcPr>
          <w:p w:rsidR="00495619" w:rsidRPr="00E95C55" w:rsidRDefault="00495619" w:rsidP="00934917">
            <w:pPr>
              <w:pStyle w:val="Tabletext"/>
              <w:keepNext/>
            </w:pPr>
            <w:r w:rsidRPr="00E95C55">
              <w:t>Reasonable</w:t>
            </w:r>
          </w:p>
        </w:tc>
      </w:tr>
      <w:tr w:rsidR="00495619" w:rsidRPr="00DB37C0" w:rsidTr="00934917">
        <w:tc>
          <w:tcPr>
            <w:tcW w:w="1200" w:type="pct"/>
          </w:tcPr>
          <w:p w:rsidR="00495619" w:rsidRPr="00DB37C0" w:rsidRDefault="00495619" w:rsidP="00934917">
            <w:pPr>
              <w:pStyle w:val="Tabletext"/>
              <w:keepNext/>
            </w:pPr>
            <w:r w:rsidRPr="00DB37C0">
              <w:t>Natural history EDSS transition matrix</w:t>
            </w:r>
          </w:p>
        </w:tc>
        <w:tc>
          <w:tcPr>
            <w:tcW w:w="2522" w:type="pct"/>
          </w:tcPr>
          <w:p w:rsidR="00495619" w:rsidRPr="00DB37C0" w:rsidRDefault="00495619" w:rsidP="00934917">
            <w:pPr>
              <w:pStyle w:val="Tabletext"/>
              <w:keepNext/>
            </w:pPr>
            <w:r w:rsidRPr="00DB37C0">
              <w:t>Adjusted to EDSS transition matrix of MSBase population matching proposed restriction criteria</w:t>
            </w:r>
          </w:p>
        </w:tc>
        <w:tc>
          <w:tcPr>
            <w:tcW w:w="1278" w:type="pct"/>
          </w:tcPr>
          <w:p w:rsidR="00495619" w:rsidRPr="00E95C55" w:rsidRDefault="00495619" w:rsidP="00934917">
            <w:pPr>
              <w:pStyle w:val="Tabletext"/>
              <w:keepNext/>
            </w:pPr>
            <w:r w:rsidRPr="00E95C55">
              <w:t>Reasonable</w:t>
            </w:r>
          </w:p>
        </w:tc>
      </w:tr>
      <w:tr w:rsidR="00495619" w:rsidRPr="00DB37C0" w:rsidTr="00934917">
        <w:tc>
          <w:tcPr>
            <w:tcW w:w="1200" w:type="pct"/>
          </w:tcPr>
          <w:p w:rsidR="00495619" w:rsidRPr="00DB37C0" w:rsidRDefault="00495619" w:rsidP="00934917">
            <w:pPr>
              <w:pStyle w:val="Tabletext"/>
              <w:keepNext/>
            </w:pPr>
            <w:r w:rsidRPr="00DB37C0">
              <w:t>Hazard ratio for CDP</w:t>
            </w:r>
          </w:p>
        </w:tc>
        <w:tc>
          <w:tcPr>
            <w:tcW w:w="2522" w:type="pct"/>
          </w:tcPr>
          <w:p w:rsidR="00495619" w:rsidRPr="00DB37C0" w:rsidRDefault="00495619" w:rsidP="00934917">
            <w:pPr>
              <w:pStyle w:val="Tabletext"/>
              <w:keepNext/>
            </w:pPr>
            <w:r>
              <w:t xml:space="preserve">CDP 24 for </w:t>
            </w:r>
            <w:r w:rsidRPr="00DB37C0">
              <w:t xml:space="preserve">ORATORIO </w:t>
            </w:r>
            <w:r>
              <w:t>ECP</w:t>
            </w:r>
            <w:r w:rsidRPr="00DB37C0">
              <w:t xml:space="preserve"> subgroup (</w:t>
            </w:r>
            <w:r>
              <w:t xml:space="preserve">HR = </w:t>
            </w:r>
            <w:r w:rsidRPr="00DB37C0">
              <w:t xml:space="preserve">0.53) compared to 0.7 of the ITT </w:t>
            </w:r>
            <w:r>
              <w:t>ECP</w:t>
            </w:r>
            <w:r w:rsidRPr="00DB37C0">
              <w:t xml:space="preserve"> </w:t>
            </w:r>
            <w:r>
              <w:t>previous</w:t>
            </w:r>
            <w:r w:rsidRPr="00DB37C0">
              <w:t xml:space="preserve"> submission.</w:t>
            </w:r>
          </w:p>
        </w:tc>
        <w:tc>
          <w:tcPr>
            <w:tcW w:w="1278" w:type="pct"/>
          </w:tcPr>
          <w:p w:rsidR="00495619" w:rsidRPr="00E95C55" w:rsidRDefault="00495619" w:rsidP="00934917">
            <w:pPr>
              <w:pStyle w:val="Tabletext"/>
              <w:keepNext/>
            </w:pPr>
            <w:r w:rsidRPr="00E95C55">
              <w:t xml:space="preserve">Favoured ocrelizumab substantially. Unlikely to reflect treatment effect in target population. </w:t>
            </w:r>
          </w:p>
        </w:tc>
      </w:tr>
      <w:tr w:rsidR="00495619" w:rsidRPr="00DB37C0" w:rsidTr="00934917">
        <w:tc>
          <w:tcPr>
            <w:tcW w:w="1200" w:type="pct"/>
          </w:tcPr>
          <w:p w:rsidR="00495619" w:rsidRPr="00DB37C0" w:rsidRDefault="00495619" w:rsidP="00934917">
            <w:pPr>
              <w:pStyle w:val="Tabletext"/>
              <w:keepNext/>
            </w:pPr>
            <w:r w:rsidRPr="00DB37C0">
              <w:t>HRQoL utilities</w:t>
            </w:r>
          </w:p>
        </w:tc>
        <w:tc>
          <w:tcPr>
            <w:tcW w:w="2522" w:type="pct"/>
          </w:tcPr>
          <w:p w:rsidR="00495619" w:rsidRPr="00DB37C0" w:rsidRDefault="00495619" w:rsidP="00934917">
            <w:pPr>
              <w:pStyle w:val="Tabletext"/>
              <w:keepNext/>
            </w:pPr>
            <w:r w:rsidRPr="00DB37C0">
              <w:t>Updated to published Australian utilities obtained from ORATOR</w:t>
            </w:r>
            <w:r>
              <w:t>IO (Diagi 2017).</w:t>
            </w:r>
            <w:r w:rsidRPr="00DB37C0">
              <w:t xml:space="preserve"> Disutility associated with upper limb dysfunction excluded from base case analysis</w:t>
            </w:r>
          </w:p>
        </w:tc>
        <w:tc>
          <w:tcPr>
            <w:tcW w:w="1278" w:type="pct"/>
          </w:tcPr>
          <w:p w:rsidR="00495619" w:rsidRPr="00E95C55" w:rsidRDefault="00495619" w:rsidP="00934917">
            <w:pPr>
              <w:pStyle w:val="Tabletext"/>
              <w:keepNext/>
            </w:pPr>
            <w:r w:rsidRPr="00E95C55">
              <w:t xml:space="preserve">This did not have a large effect on the ICER. </w:t>
            </w:r>
          </w:p>
        </w:tc>
      </w:tr>
      <w:tr w:rsidR="00495619" w:rsidRPr="00DB37C0" w:rsidTr="00934917">
        <w:tc>
          <w:tcPr>
            <w:tcW w:w="1200" w:type="pct"/>
          </w:tcPr>
          <w:p w:rsidR="00495619" w:rsidRPr="00DB37C0" w:rsidRDefault="00495619" w:rsidP="00934917">
            <w:pPr>
              <w:pStyle w:val="Tabletext"/>
              <w:keepNext/>
            </w:pPr>
            <w:r w:rsidRPr="00DB37C0">
              <w:t>Mortality</w:t>
            </w:r>
          </w:p>
        </w:tc>
        <w:tc>
          <w:tcPr>
            <w:tcW w:w="2522" w:type="pct"/>
          </w:tcPr>
          <w:p w:rsidR="00495619" w:rsidRPr="00DB37C0" w:rsidRDefault="00495619" w:rsidP="00934917">
            <w:pPr>
              <w:pStyle w:val="Tabletext"/>
              <w:keepNext/>
            </w:pPr>
            <w:r w:rsidRPr="00DB37C0">
              <w:t>Background mortality updated to reflect latest ABS Life Tables (version released 30 Oct 2019). Mortality effect multipliers applied by EDSS state</w:t>
            </w:r>
          </w:p>
        </w:tc>
        <w:tc>
          <w:tcPr>
            <w:tcW w:w="1278" w:type="pct"/>
          </w:tcPr>
          <w:p w:rsidR="00495619" w:rsidRPr="00E95C55" w:rsidRDefault="00495619" w:rsidP="00934917">
            <w:pPr>
              <w:pStyle w:val="Tabletext"/>
              <w:keepNext/>
            </w:pPr>
            <w:r w:rsidRPr="00E95C55">
              <w:t>The use of mortality multipliers was previously not considered appropriate by the PBAC.</w:t>
            </w:r>
          </w:p>
        </w:tc>
      </w:tr>
      <w:tr w:rsidR="00495619" w:rsidRPr="00DB37C0" w:rsidTr="00934917">
        <w:tc>
          <w:tcPr>
            <w:tcW w:w="1200" w:type="pct"/>
          </w:tcPr>
          <w:p w:rsidR="00495619" w:rsidRPr="00DB37C0" w:rsidRDefault="00495619" w:rsidP="00934917">
            <w:pPr>
              <w:pStyle w:val="Tabletext"/>
              <w:keepNext/>
            </w:pPr>
            <w:r w:rsidRPr="00DB37C0">
              <w:t>Treatment efficacy waning</w:t>
            </w:r>
          </w:p>
        </w:tc>
        <w:tc>
          <w:tcPr>
            <w:tcW w:w="2522" w:type="pct"/>
          </w:tcPr>
          <w:p w:rsidR="00495619" w:rsidRPr="00DB37C0" w:rsidRDefault="00495619" w:rsidP="00934917">
            <w:pPr>
              <w:pStyle w:val="Tabletext"/>
              <w:keepNext/>
            </w:pPr>
            <w:r w:rsidRPr="00DB37C0">
              <w:t xml:space="preserve">Structural model change to allow sensitivity analyses of waning treatment effect </w:t>
            </w:r>
          </w:p>
        </w:tc>
        <w:tc>
          <w:tcPr>
            <w:tcW w:w="1278" w:type="pct"/>
          </w:tcPr>
          <w:p w:rsidR="00495619" w:rsidRPr="00E95C55" w:rsidRDefault="00495619" w:rsidP="00934917">
            <w:pPr>
              <w:pStyle w:val="Tabletext"/>
              <w:keepNext/>
            </w:pPr>
            <w:r w:rsidRPr="00E95C55">
              <w:t>The model was sensitive to assumptions on treatment efficacy waning.</w:t>
            </w:r>
          </w:p>
        </w:tc>
      </w:tr>
      <w:tr w:rsidR="00495619" w:rsidRPr="00DB37C0" w:rsidTr="00934917">
        <w:tc>
          <w:tcPr>
            <w:tcW w:w="1200" w:type="pct"/>
          </w:tcPr>
          <w:p w:rsidR="00495619" w:rsidRPr="00DB37C0" w:rsidRDefault="00495619" w:rsidP="00934917">
            <w:pPr>
              <w:pStyle w:val="Tabletext"/>
              <w:keepNext/>
            </w:pPr>
            <w:r w:rsidRPr="00DB37C0">
              <w:t>Cost of health care resources utilised</w:t>
            </w:r>
          </w:p>
        </w:tc>
        <w:tc>
          <w:tcPr>
            <w:tcW w:w="2522" w:type="pct"/>
          </w:tcPr>
          <w:p w:rsidR="00495619" w:rsidRPr="00DB37C0" w:rsidRDefault="00495619" w:rsidP="00934917">
            <w:pPr>
              <w:pStyle w:val="Tabletext"/>
              <w:keepNext/>
            </w:pPr>
            <w:r w:rsidRPr="00DB37C0">
              <w:t>Updated to current cost values, included residential care cost</w:t>
            </w:r>
          </w:p>
        </w:tc>
        <w:tc>
          <w:tcPr>
            <w:tcW w:w="1278" w:type="pct"/>
          </w:tcPr>
          <w:p w:rsidR="00495619" w:rsidRPr="00C81DD5" w:rsidRDefault="00495619" w:rsidP="00934917">
            <w:pPr>
              <w:pStyle w:val="Tabletext"/>
              <w:keepNext/>
            </w:pPr>
            <w:r>
              <w:rPr>
                <w:i/>
              </w:rPr>
              <w:t xml:space="preserve"> </w:t>
            </w:r>
            <w:r w:rsidRPr="00C81DD5">
              <w:t xml:space="preserve">The ESC considered the included health care resource costs associated with residential care were highly uncertain and the updated health state costs favoured ocrelizumab unreasonably. </w:t>
            </w:r>
          </w:p>
        </w:tc>
      </w:tr>
    </w:tbl>
    <w:p w:rsidR="00495619" w:rsidRDefault="00495619" w:rsidP="00495619">
      <w:pPr>
        <w:pStyle w:val="TableFigureFooter"/>
        <w:keepNext/>
      </w:pPr>
      <w:r w:rsidRPr="00DB37C0">
        <w:t xml:space="preserve">Source: Table 3.1, p47 of the resubmission. </w:t>
      </w:r>
    </w:p>
    <w:p w:rsidR="00495619" w:rsidRPr="00DB37C0" w:rsidRDefault="00495619" w:rsidP="00495619">
      <w:pPr>
        <w:pStyle w:val="TableFigureFooter"/>
        <w:keepNext/>
      </w:pPr>
      <w:r w:rsidRPr="00DB37C0">
        <w:t>ABS = Australian Bureau of Statistics CDP = confirmed disability progression;</w:t>
      </w:r>
      <w:r>
        <w:t xml:space="preserve"> ECP = extended control period;</w:t>
      </w:r>
      <w:r w:rsidRPr="00DB37C0">
        <w:t xml:space="preserve"> EDSS = expanded disability status scale; HRQoL = Health related quality of l</w:t>
      </w:r>
      <w:r>
        <w:t xml:space="preserve">ife; ITT = intention to treat; </w:t>
      </w:r>
      <w:r w:rsidR="00C77721">
        <w:t>O</w:t>
      </w:r>
      <w:r w:rsidRPr="00DB37C0">
        <w:t>ct = October;</w:t>
      </w:r>
      <w:r>
        <w:t xml:space="preserve"> SPA = special pricing arrangement;</w:t>
      </w:r>
      <w:r w:rsidRPr="00DB37C0">
        <w:t xml:space="preserve"> RSA = Risk sharing arrangement</w:t>
      </w:r>
    </w:p>
    <w:p w:rsidR="00495619" w:rsidRDefault="009C171A" w:rsidP="00495619">
      <w:pPr>
        <w:pStyle w:val="3-BodyText"/>
      </w:pPr>
      <w:r>
        <w:t>Table 10</w:t>
      </w:r>
      <w:r w:rsidR="00495619">
        <w:t xml:space="preserve"> presents a summary of key drivers of the model. </w:t>
      </w:r>
      <w:r w:rsidR="00495619" w:rsidRPr="00DB37C0">
        <w:t xml:space="preserve">The </w:t>
      </w:r>
      <w:r w:rsidR="00495619">
        <w:t xml:space="preserve">model results were </w:t>
      </w:r>
      <w:r w:rsidR="00495619" w:rsidRPr="00DB37C0">
        <w:t>most sensitive to</w:t>
      </w:r>
      <w:r w:rsidR="00495619">
        <w:t xml:space="preserve"> the selected ORATORIO population (ITT, active disease subgroup, or active disease and 50 years or younger subgroup); the inclusion or exclusion of nursing home costs, and the specification of waning treatment effect. </w:t>
      </w:r>
    </w:p>
    <w:p w:rsidR="00495619" w:rsidRPr="00DB37C0" w:rsidRDefault="00495619" w:rsidP="00495619">
      <w:pPr>
        <w:pStyle w:val="TableFigureHeading"/>
        <w:rPr>
          <w:rStyle w:val="CommentReference"/>
          <w:b/>
        </w:rPr>
      </w:pPr>
      <w:r w:rsidRPr="00DB37C0">
        <w:rPr>
          <w:rStyle w:val="CommentReference"/>
          <w:b/>
        </w:rPr>
        <w:t xml:space="preserve">Table </w:t>
      </w:r>
      <w:r w:rsidR="009C171A">
        <w:rPr>
          <w:rStyle w:val="CommentReference"/>
          <w:b/>
        </w:rPr>
        <w:t>10</w:t>
      </w:r>
      <w:r>
        <w:rPr>
          <w:rStyle w:val="CommentReference"/>
          <w:b/>
        </w:rPr>
        <w:t>:</w:t>
      </w:r>
      <w:r w:rsidRPr="00DB37C0">
        <w:rPr>
          <w:rStyle w:val="CommentReference"/>
          <w:b/>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5244"/>
        <w:gridCol w:w="2218"/>
      </w:tblGrid>
      <w:tr w:rsidR="00495619" w:rsidRPr="00344C4F" w:rsidTr="00934917">
        <w:trPr>
          <w:tblHeader/>
        </w:trPr>
        <w:tc>
          <w:tcPr>
            <w:tcW w:w="862" w:type="pct"/>
            <w:shd w:val="clear" w:color="auto" w:fill="auto"/>
            <w:vAlign w:val="center"/>
          </w:tcPr>
          <w:p w:rsidR="00495619" w:rsidRPr="00344C4F" w:rsidRDefault="00495619" w:rsidP="00934917">
            <w:pPr>
              <w:pStyle w:val="In-tableHeading"/>
              <w:rPr>
                <w:lang w:val="en-AU"/>
              </w:rPr>
            </w:pPr>
            <w:r w:rsidRPr="00344C4F">
              <w:rPr>
                <w:lang w:val="en-AU"/>
              </w:rPr>
              <w:t>Description</w:t>
            </w:r>
          </w:p>
        </w:tc>
        <w:tc>
          <w:tcPr>
            <w:tcW w:w="2908" w:type="pct"/>
            <w:shd w:val="clear" w:color="auto" w:fill="auto"/>
            <w:vAlign w:val="center"/>
          </w:tcPr>
          <w:p w:rsidR="00495619" w:rsidRPr="00344C4F" w:rsidRDefault="00495619" w:rsidP="00934917">
            <w:pPr>
              <w:pStyle w:val="In-tableHeading"/>
              <w:jc w:val="center"/>
              <w:rPr>
                <w:lang w:val="en-AU"/>
              </w:rPr>
            </w:pPr>
            <w:r w:rsidRPr="00344C4F">
              <w:rPr>
                <w:lang w:val="en-AU"/>
              </w:rPr>
              <w:t>Method/Value</w:t>
            </w:r>
          </w:p>
        </w:tc>
        <w:tc>
          <w:tcPr>
            <w:tcW w:w="1230" w:type="pct"/>
            <w:shd w:val="clear" w:color="auto" w:fill="auto"/>
            <w:vAlign w:val="center"/>
          </w:tcPr>
          <w:p w:rsidR="00495619" w:rsidRPr="00344C4F" w:rsidRDefault="00495619" w:rsidP="00934917">
            <w:pPr>
              <w:pStyle w:val="In-tableHeading"/>
              <w:jc w:val="center"/>
              <w:rPr>
                <w:lang w:val="en-AU"/>
              </w:rPr>
            </w:pPr>
            <w:r w:rsidRPr="00344C4F">
              <w:rPr>
                <w:lang w:val="en-AU"/>
              </w:rPr>
              <w:t>Impact</w:t>
            </w:r>
          </w:p>
        </w:tc>
      </w:tr>
      <w:tr w:rsidR="00495619" w:rsidRPr="00344C4F" w:rsidTr="00934917">
        <w:tc>
          <w:tcPr>
            <w:tcW w:w="862" w:type="pct"/>
            <w:shd w:val="clear" w:color="auto" w:fill="auto"/>
            <w:vAlign w:val="center"/>
          </w:tcPr>
          <w:p w:rsidR="00495619" w:rsidRPr="00344C4F" w:rsidRDefault="00495619" w:rsidP="00934917">
            <w:pPr>
              <w:pStyle w:val="TableText0"/>
            </w:pPr>
            <w:r w:rsidRPr="00344C4F">
              <w:t xml:space="preserve">Treatment effect  </w:t>
            </w:r>
          </w:p>
        </w:tc>
        <w:tc>
          <w:tcPr>
            <w:tcW w:w="2908" w:type="pct"/>
            <w:shd w:val="clear" w:color="auto" w:fill="auto"/>
            <w:vAlign w:val="center"/>
          </w:tcPr>
          <w:p w:rsidR="00495619" w:rsidRPr="00344C4F" w:rsidRDefault="00495619" w:rsidP="00934917">
            <w:pPr>
              <w:pStyle w:val="TableText0"/>
              <w:rPr>
                <w:lang w:val="en-GB"/>
              </w:rPr>
            </w:pPr>
            <w:r w:rsidRPr="00344C4F">
              <w:t xml:space="preserve">The hazard ratio (for 24-month CDP) between ocrelizumab and placebo was for the post-hoc subgroup of MRI activity and age 50 years or younger was selected (HR = 0.53). </w:t>
            </w:r>
            <w:r w:rsidRPr="00344C4F">
              <w:rPr>
                <w:lang w:val="en-GB"/>
              </w:rPr>
              <w:t>The ESC</w:t>
            </w:r>
            <w:r>
              <w:rPr>
                <w:lang w:val="en-GB"/>
              </w:rPr>
              <w:t xml:space="preserve"> and PBAC</w:t>
            </w:r>
            <w:r w:rsidRPr="00344C4F">
              <w:rPr>
                <w:lang w:val="en-GB"/>
              </w:rPr>
              <w:t xml:space="preserve"> noted the subgroup does not align with the requested restriction and was not satisfied time since diagnosis was a suitable proxy for the population used in the model.</w:t>
            </w:r>
          </w:p>
        </w:tc>
        <w:tc>
          <w:tcPr>
            <w:tcW w:w="1230" w:type="pct"/>
            <w:shd w:val="clear" w:color="auto" w:fill="auto"/>
            <w:vAlign w:val="center"/>
          </w:tcPr>
          <w:p w:rsidR="00495619" w:rsidRPr="00344C4F" w:rsidRDefault="00495619" w:rsidP="00934917">
            <w:pPr>
              <w:pStyle w:val="TableText0"/>
            </w:pPr>
            <w:r w:rsidRPr="00344C4F">
              <w:t>High, favours ocrelizumab</w:t>
            </w:r>
          </w:p>
        </w:tc>
      </w:tr>
      <w:tr w:rsidR="00495619" w:rsidRPr="00344C4F" w:rsidTr="00934917">
        <w:tc>
          <w:tcPr>
            <w:tcW w:w="862" w:type="pct"/>
            <w:shd w:val="clear" w:color="auto" w:fill="auto"/>
            <w:vAlign w:val="center"/>
          </w:tcPr>
          <w:p w:rsidR="00495619" w:rsidRPr="00344C4F" w:rsidRDefault="00495619" w:rsidP="00934917">
            <w:pPr>
              <w:pStyle w:val="TableText0"/>
            </w:pPr>
            <w:r w:rsidRPr="00344C4F">
              <w:t xml:space="preserve">Health state costs </w:t>
            </w:r>
          </w:p>
        </w:tc>
        <w:tc>
          <w:tcPr>
            <w:tcW w:w="2908" w:type="pct"/>
            <w:shd w:val="clear" w:color="auto" w:fill="auto"/>
            <w:vAlign w:val="center"/>
          </w:tcPr>
          <w:p w:rsidR="00495619" w:rsidRPr="00344C4F" w:rsidRDefault="00495619" w:rsidP="00934917">
            <w:pPr>
              <w:pStyle w:val="TableText0"/>
            </w:pPr>
            <w:r w:rsidRPr="00344C4F">
              <w:t>The resubmission included high costs associated with nursing home care in EDSS health states 7, 8 and 9. The ESC also noted the ORATORIO trial did not include any patients in the EDSS 7-9 range at baseline, and therefore considered the clinical effectiveness in this population was highly uncertain.</w:t>
            </w:r>
          </w:p>
        </w:tc>
        <w:tc>
          <w:tcPr>
            <w:tcW w:w="1230" w:type="pct"/>
            <w:shd w:val="clear" w:color="auto" w:fill="auto"/>
            <w:vAlign w:val="center"/>
          </w:tcPr>
          <w:p w:rsidR="00495619" w:rsidRPr="00344C4F" w:rsidRDefault="00495619" w:rsidP="00934917">
            <w:pPr>
              <w:pStyle w:val="TableText0"/>
            </w:pPr>
            <w:r w:rsidRPr="00344C4F">
              <w:t>High, favours ocrelizumab</w:t>
            </w:r>
          </w:p>
        </w:tc>
      </w:tr>
      <w:tr w:rsidR="00495619" w:rsidRPr="00344C4F" w:rsidTr="00934917">
        <w:tc>
          <w:tcPr>
            <w:tcW w:w="862" w:type="pct"/>
            <w:shd w:val="clear" w:color="auto" w:fill="auto"/>
            <w:vAlign w:val="center"/>
          </w:tcPr>
          <w:p w:rsidR="00495619" w:rsidRPr="00344C4F" w:rsidRDefault="00495619" w:rsidP="00934917">
            <w:pPr>
              <w:pStyle w:val="TableText0"/>
            </w:pPr>
            <w:r w:rsidRPr="00344C4F">
              <w:t>Waning treatment effect</w:t>
            </w:r>
          </w:p>
        </w:tc>
        <w:tc>
          <w:tcPr>
            <w:tcW w:w="2908" w:type="pct"/>
            <w:shd w:val="clear" w:color="auto" w:fill="auto"/>
            <w:vAlign w:val="center"/>
          </w:tcPr>
          <w:p w:rsidR="00495619" w:rsidRPr="00344C4F" w:rsidRDefault="00495619" w:rsidP="00934917">
            <w:pPr>
              <w:pStyle w:val="TableText0"/>
            </w:pPr>
            <w:r w:rsidRPr="00344C4F">
              <w:t xml:space="preserve">The base case did not include any treatment effect waning. </w:t>
            </w:r>
          </w:p>
        </w:tc>
        <w:tc>
          <w:tcPr>
            <w:tcW w:w="1230" w:type="pct"/>
            <w:shd w:val="clear" w:color="auto" w:fill="auto"/>
            <w:vAlign w:val="center"/>
          </w:tcPr>
          <w:p w:rsidR="00495619" w:rsidRPr="00344C4F" w:rsidRDefault="00495619" w:rsidP="00934917">
            <w:pPr>
              <w:pStyle w:val="TableText0"/>
            </w:pPr>
            <w:r w:rsidRPr="00344C4F">
              <w:t xml:space="preserve">High, favours ocrelizumab. </w:t>
            </w:r>
          </w:p>
        </w:tc>
      </w:tr>
    </w:tbl>
    <w:p w:rsidR="00495619" w:rsidRDefault="00495619" w:rsidP="00495619">
      <w:pPr>
        <w:pStyle w:val="TableFigureFooter"/>
      </w:pPr>
      <w:r w:rsidRPr="00DB37C0">
        <w:t>Source: Tables 3.22 – 3.28, pp71 – 76 of the resubmission.</w:t>
      </w:r>
      <w:r>
        <w:t xml:space="preserve"> </w:t>
      </w:r>
    </w:p>
    <w:p w:rsidR="00495619" w:rsidRPr="00DB37C0" w:rsidRDefault="00495619" w:rsidP="00495619">
      <w:pPr>
        <w:pStyle w:val="TableFigureFooter"/>
      </w:pPr>
      <w:r>
        <w:t>CDP = confirmed disability progression; EDSS = expanded disability status scale.</w:t>
      </w:r>
    </w:p>
    <w:p w:rsidR="00495619" w:rsidRDefault="00495619" w:rsidP="00495619">
      <w:pPr>
        <w:pStyle w:val="3-BodyText"/>
      </w:pPr>
      <w:r>
        <w:lastRenderedPageBreak/>
        <w:t>T</w:t>
      </w:r>
      <w:r w:rsidRPr="00FE5A87">
        <w:t xml:space="preserve">he estimate of treatment effect had </w:t>
      </w:r>
      <w:r w:rsidR="009C171A">
        <w:t xml:space="preserve">a </w:t>
      </w:r>
      <w:r w:rsidRPr="00FE5A87">
        <w:t>substantial impact on QALYs accrued as well as health state costs</w:t>
      </w:r>
      <w:r w:rsidR="009C171A">
        <w:t>. H</w:t>
      </w:r>
      <w:r>
        <w:t>ence the result was</w:t>
      </w:r>
      <w:r w:rsidRPr="00FE5A87">
        <w:t xml:space="preserve"> sensitiv</w:t>
      </w:r>
      <w:r w:rsidR="009C171A">
        <w:t>e</w:t>
      </w:r>
      <w:r w:rsidRPr="00FE5A87">
        <w:t xml:space="preserve"> to the high </w:t>
      </w:r>
      <w:r w:rsidR="009C171A">
        <w:t>treatment</w:t>
      </w:r>
      <w:r w:rsidRPr="00FE5A87">
        <w:t xml:space="preserve"> effect</w:t>
      </w:r>
      <w:r w:rsidR="009C171A">
        <w:t xml:space="preserve"> estimate</w:t>
      </w:r>
      <w:r>
        <w:t xml:space="preserve"> </w:t>
      </w:r>
      <w:r w:rsidR="009C171A" w:rsidRPr="00FE5A87">
        <w:t>applied in the base case</w:t>
      </w:r>
      <w:r w:rsidR="009C171A">
        <w:t>, which was based on</w:t>
      </w:r>
      <w:r w:rsidRPr="00344C4F">
        <w:t xml:space="preserve"> the </w:t>
      </w:r>
      <w:r w:rsidRPr="009C171A">
        <w:rPr>
          <w:i/>
        </w:rPr>
        <w:t>post-hoc</w:t>
      </w:r>
      <w:r w:rsidRPr="00344C4F">
        <w:t xml:space="preserve"> subgroup of MRI activity and age 50 years or younger</w:t>
      </w:r>
      <w:r w:rsidRPr="00FE5A87">
        <w:t xml:space="preserve"> (CDP-24 HR</w:t>
      </w:r>
      <w:r w:rsidR="009C171A">
        <w:t xml:space="preserve"> </w:t>
      </w:r>
      <w:r w:rsidRPr="00FE5A87">
        <w:t>=</w:t>
      </w:r>
      <w:r w:rsidR="009C171A">
        <w:t xml:space="preserve"> </w:t>
      </w:r>
      <w:r w:rsidRPr="00FE5A87">
        <w:t>0.53). Given the impact of the active disease subgroup on the ICER (see sensitivity analyses below), the age subgroup may be a driver of the ICER but this subgroup result was only reported combined with the MRI activity subgroup and therefore could not be analysed.</w:t>
      </w:r>
      <w:r>
        <w:t xml:space="preserve"> </w:t>
      </w:r>
    </w:p>
    <w:p w:rsidR="00495619" w:rsidRDefault="00495619" w:rsidP="00495619">
      <w:pPr>
        <w:pStyle w:val="3-BodyText"/>
      </w:pPr>
      <w:r>
        <w:t>The PSCR stated that</w:t>
      </w:r>
      <w:r w:rsidRPr="008C26E0">
        <w:t xml:space="preserve"> </w:t>
      </w:r>
      <w:r>
        <w:t>s</w:t>
      </w:r>
      <w:r w:rsidRPr="008C26E0">
        <w:t>ubs</w:t>
      </w:r>
      <w:r>
        <w:t>idy for the combined subgroup was</w:t>
      </w:r>
      <w:r w:rsidRPr="008C26E0">
        <w:t xml:space="preserve"> sought in the resubmission to address the PBAC’s </w:t>
      </w:r>
      <w:r w:rsidR="005E3DF4">
        <w:t xml:space="preserve">previous </w:t>
      </w:r>
      <w:r w:rsidRPr="008C26E0">
        <w:t xml:space="preserve">request </w:t>
      </w:r>
      <w:r w:rsidR="005E3DF4">
        <w:t>(</w:t>
      </w:r>
      <w:r w:rsidRPr="008C26E0">
        <w:t xml:space="preserve">in </w:t>
      </w:r>
      <w:r w:rsidR="005E3DF4">
        <w:t>its consideration of</w:t>
      </w:r>
      <w:r w:rsidRPr="008C26E0">
        <w:t xml:space="preserve"> the initial submission</w:t>
      </w:r>
      <w:r w:rsidR="005E3DF4">
        <w:t>)</w:t>
      </w:r>
      <w:r w:rsidRPr="008C26E0">
        <w:t xml:space="preserve"> to demonstrate a greater absolute benefit in CD</w:t>
      </w:r>
      <w:r>
        <w:t>P for PPMS in a resubmission and that</w:t>
      </w:r>
      <w:r w:rsidRPr="008C26E0">
        <w:t xml:space="preserve"> greater absolute benefit in delaying disease progression cannot be addressed by a subgroup analysis for MRI activity </w:t>
      </w:r>
      <w:r>
        <w:t xml:space="preserve">alone. </w:t>
      </w:r>
      <w:r w:rsidRPr="0000562D">
        <w:t xml:space="preserve">The ESC considered the hazard ratio used in the economic model to be uncertain and reiterated its concerns </w:t>
      </w:r>
      <w:r w:rsidR="005E3DF4">
        <w:t xml:space="preserve">that </w:t>
      </w:r>
      <w:r w:rsidRPr="0000562D">
        <w:t>there was insufficient evidence presented to consider time since diagnosis to be a reasonable proxy for age</w:t>
      </w:r>
      <w:r w:rsidR="005E3DF4">
        <w:t>,</w:t>
      </w:r>
      <w:r w:rsidRPr="0000562D">
        <w:t xml:space="preserve"> and that the modelled population was therefore likely not reflective of the requested listing.</w:t>
      </w:r>
    </w:p>
    <w:p w:rsidR="00495619" w:rsidRPr="006C2C40" w:rsidRDefault="00495619" w:rsidP="00495619">
      <w:pPr>
        <w:pStyle w:val="3-BodyText"/>
      </w:pPr>
      <w:r>
        <w:t>T</w:t>
      </w:r>
      <w:r w:rsidRPr="00FE5A87">
        <w:t xml:space="preserve">he model applied the same hazard ratio to </w:t>
      </w:r>
      <w:r>
        <w:t>high</w:t>
      </w:r>
      <w:r w:rsidRPr="00FE5A87">
        <w:t xml:space="preserve"> EDSS states</w:t>
      </w:r>
      <w:r>
        <w:t xml:space="preserve"> (7, 8, 9)</w:t>
      </w:r>
      <w:r w:rsidRPr="00FE5A87">
        <w:t>, as it did to lower EDSS states.</w:t>
      </w:r>
      <w:r>
        <w:t xml:space="preserve"> </w:t>
      </w:r>
      <w:r w:rsidRPr="00FE5A87">
        <w:t>Though the application of a hazard ratio to these high disability states was consistent with the resubmission’s rationale that ocrelizumab would delay disability progression, there was no evidence that ocrelizumab would delay progression in higher states to the same extent as in the lower states included in the pivotal evidence. As noted previously by the PBAC, there was no evidence of clinical benefit at EDSS above 6.5 (paragraph 7.3, Ocr</w:t>
      </w:r>
      <w:r w:rsidR="0001190D">
        <w:t>elizumab PSD</w:t>
      </w:r>
      <w:r w:rsidRPr="00FE5A87">
        <w:t>, November 2017 PBAC Meeting). Th</w:t>
      </w:r>
      <w:r>
        <w:t>e approach</w:t>
      </w:r>
      <w:r w:rsidRPr="00FE5A87">
        <w:t xml:space="preserve"> also led to large differences in time spent at high EDSS states between ocrelizumab and BSC, which favoured ocrelizumab. </w:t>
      </w:r>
      <w:r w:rsidRPr="005F151D">
        <w:rPr>
          <w:color w:val="000000" w:themeColor="text1"/>
        </w:rPr>
        <w:t xml:space="preserve">A summary of the utility values and costs by EDSS health state and the model outputs for mean time spent in each EDSS state are presented in </w:t>
      </w:r>
      <w:r w:rsidR="00B57453">
        <w:rPr>
          <w:color w:val="000000" w:themeColor="text1"/>
        </w:rPr>
        <w:t>Table 11</w:t>
      </w:r>
      <w:r w:rsidRPr="005F151D">
        <w:rPr>
          <w:color w:val="000000" w:themeColor="text1"/>
        </w:rPr>
        <w:t>.</w:t>
      </w:r>
    </w:p>
    <w:p w:rsidR="00495619" w:rsidRDefault="00495619" w:rsidP="00495619">
      <w:pPr>
        <w:pStyle w:val="3-BodyText"/>
      </w:pPr>
      <w:r>
        <w:t>The pre-PBAC response  argued that, while the same HR was applied to transitions across all EDSS health states, the large differences in time spent in high EDSS states were mainly due to delayed disability progression in lower EDSS health states. The pre-PBAC response noted that most patients in the ocrelizumab arm of the model had ceased treatment in the higher EDSS states, with 77%, 85% and 93% of the mean time spent in EDSS 7, 8 and 9 (respectively) being accrued in patients who were off-treatment. The pre-PBAC response also argued the impact of the HR applied to transitions from higher EDSS health states could be examined by removing the HR (treatment effect modifier) for all transitions from EDSS 7 and above, which increased the ICER from $</w:t>
      </w:r>
      <w:r w:rsidR="00A776BE">
        <w:t>45,000 to &lt; $55,000</w:t>
      </w:r>
      <w:r>
        <w:t xml:space="preserve"> per QALY (base case) to $</w:t>
      </w:r>
      <w:r w:rsidR="00A776BE">
        <w:t>55,000 to &lt; $75,000</w:t>
      </w:r>
      <w:r>
        <w:t xml:space="preserve"> per QALY.</w:t>
      </w:r>
    </w:p>
    <w:p w:rsidR="00495619" w:rsidRPr="006C2C40" w:rsidRDefault="00495619" w:rsidP="00495619">
      <w:pPr>
        <w:pStyle w:val="2-SectionHeading"/>
        <w:numPr>
          <w:ilvl w:val="0"/>
          <w:numId w:val="0"/>
        </w:numPr>
        <w:spacing w:after="0"/>
        <w:outlineLvl w:val="9"/>
        <w:rPr>
          <w:rStyle w:val="CommentReference"/>
          <w:b/>
          <w:szCs w:val="24"/>
        </w:rPr>
      </w:pPr>
      <w:r w:rsidRPr="006C2C40">
        <w:rPr>
          <w:rStyle w:val="CommentReference"/>
          <w:b/>
          <w:szCs w:val="24"/>
        </w:rPr>
        <w:lastRenderedPageBreak/>
        <w:t xml:space="preserve">Table </w:t>
      </w:r>
      <w:r w:rsidR="005E3DF4">
        <w:rPr>
          <w:rStyle w:val="CommentReference"/>
          <w:b/>
          <w:szCs w:val="24"/>
        </w:rPr>
        <w:t>11</w:t>
      </w:r>
      <w:r w:rsidRPr="006C2C40">
        <w:rPr>
          <w:rStyle w:val="CommentReference"/>
          <w:b/>
          <w:szCs w:val="24"/>
        </w:rPr>
        <w:t xml:space="preserve">: </w:t>
      </w:r>
      <w:r>
        <w:rPr>
          <w:rStyle w:val="CommentReference"/>
          <w:b/>
          <w:szCs w:val="24"/>
        </w:rPr>
        <w:t>Key elements of model outputs in EDSS states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55"/>
        <w:gridCol w:w="660"/>
        <w:gridCol w:w="660"/>
        <w:gridCol w:w="660"/>
        <w:gridCol w:w="662"/>
        <w:gridCol w:w="660"/>
        <w:gridCol w:w="660"/>
        <w:gridCol w:w="660"/>
        <w:gridCol w:w="662"/>
        <w:gridCol w:w="660"/>
        <w:gridCol w:w="660"/>
        <w:gridCol w:w="658"/>
      </w:tblGrid>
      <w:tr w:rsidR="00495619" w:rsidRPr="00DB37C0" w:rsidTr="00934917">
        <w:trPr>
          <w:trHeight w:val="229"/>
        </w:trPr>
        <w:tc>
          <w:tcPr>
            <w:tcW w:w="973" w:type="pct"/>
            <w:shd w:val="clear" w:color="auto" w:fill="auto"/>
            <w:vAlign w:val="center"/>
          </w:tcPr>
          <w:p w:rsidR="00495619" w:rsidRPr="00C30061" w:rsidRDefault="00495619" w:rsidP="00934917">
            <w:pPr>
              <w:pStyle w:val="TableText0"/>
              <w:rPr>
                <w:b/>
              </w:rPr>
            </w:pPr>
            <w:r w:rsidRPr="00C30061">
              <w:rPr>
                <w:b/>
              </w:rPr>
              <w:t>EDSS state</w:t>
            </w:r>
          </w:p>
        </w:tc>
        <w:tc>
          <w:tcPr>
            <w:tcW w:w="366" w:type="pct"/>
            <w:shd w:val="clear" w:color="auto" w:fill="auto"/>
            <w:vAlign w:val="center"/>
          </w:tcPr>
          <w:p w:rsidR="00495619" w:rsidRPr="00C30061" w:rsidRDefault="00495619" w:rsidP="00934917">
            <w:pPr>
              <w:pStyle w:val="In-tableHeading"/>
              <w:jc w:val="center"/>
            </w:pPr>
            <w:r w:rsidRPr="00C30061">
              <w:t>0</w:t>
            </w:r>
          </w:p>
        </w:tc>
        <w:tc>
          <w:tcPr>
            <w:tcW w:w="366" w:type="pct"/>
            <w:shd w:val="clear" w:color="auto" w:fill="auto"/>
            <w:vAlign w:val="center"/>
          </w:tcPr>
          <w:p w:rsidR="00495619" w:rsidRPr="00C30061" w:rsidRDefault="00495619" w:rsidP="00934917">
            <w:pPr>
              <w:pStyle w:val="In-tableHeading"/>
              <w:jc w:val="center"/>
            </w:pPr>
            <w:r w:rsidRPr="00C30061">
              <w:t>1</w:t>
            </w:r>
          </w:p>
        </w:tc>
        <w:tc>
          <w:tcPr>
            <w:tcW w:w="366" w:type="pct"/>
            <w:vAlign w:val="center"/>
          </w:tcPr>
          <w:p w:rsidR="00495619" w:rsidRPr="00C30061" w:rsidRDefault="00495619" w:rsidP="00934917">
            <w:pPr>
              <w:pStyle w:val="In-tableHeading"/>
              <w:jc w:val="center"/>
            </w:pPr>
            <w:r w:rsidRPr="00C30061">
              <w:t>2</w:t>
            </w:r>
          </w:p>
        </w:tc>
        <w:tc>
          <w:tcPr>
            <w:tcW w:w="367" w:type="pct"/>
            <w:vAlign w:val="center"/>
          </w:tcPr>
          <w:p w:rsidR="00495619" w:rsidRPr="00C30061" w:rsidRDefault="00495619" w:rsidP="00934917">
            <w:pPr>
              <w:pStyle w:val="In-tableHeading"/>
              <w:jc w:val="center"/>
            </w:pPr>
            <w:r w:rsidRPr="00C30061">
              <w:t>3</w:t>
            </w:r>
          </w:p>
        </w:tc>
        <w:tc>
          <w:tcPr>
            <w:tcW w:w="366" w:type="pct"/>
            <w:vAlign w:val="center"/>
          </w:tcPr>
          <w:p w:rsidR="00495619" w:rsidRPr="00C30061" w:rsidRDefault="00495619" w:rsidP="00934917">
            <w:pPr>
              <w:pStyle w:val="In-tableHeading"/>
              <w:jc w:val="center"/>
            </w:pPr>
            <w:r w:rsidRPr="00C30061">
              <w:t>4</w:t>
            </w:r>
          </w:p>
        </w:tc>
        <w:tc>
          <w:tcPr>
            <w:tcW w:w="366" w:type="pct"/>
            <w:vAlign w:val="center"/>
          </w:tcPr>
          <w:p w:rsidR="00495619" w:rsidRPr="00C30061" w:rsidRDefault="00495619" w:rsidP="00934917">
            <w:pPr>
              <w:pStyle w:val="In-tableHeading"/>
              <w:jc w:val="center"/>
            </w:pPr>
            <w:r w:rsidRPr="00C30061">
              <w:t>5</w:t>
            </w:r>
          </w:p>
        </w:tc>
        <w:tc>
          <w:tcPr>
            <w:tcW w:w="366" w:type="pct"/>
            <w:vAlign w:val="center"/>
          </w:tcPr>
          <w:p w:rsidR="00495619" w:rsidRPr="00C30061" w:rsidRDefault="00495619" w:rsidP="00934917">
            <w:pPr>
              <w:pStyle w:val="In-tableHeading"/>
              <w:jc w:val="center"/>
            </w:pPr>
            <w:r w:rsidRPr="00C30061">
              <w:t>6</w:t>
            </w:r>
          </w:p>
        </w:tc>
        <w:tc>
          <w:tcPr>
            <w:tcW w:w="367" w:type="pct"/>
            <w:vAlign w:val="center"/>
          </w:tcPr>
          <w:p w:rsidR="00495619" w:rsidRPr="00C30061" w:rsidRDefault="00495619" w:rsidP="00934917">
            <w:pPr>
              <w:pStyle w:val="In-tableHeading"/>
              <w:jc w:val="center"/>
            </w:pPr>
            <w:r w:rsidRPr="00C30061">
              <w:t>7</w:t>
            </w:r>
          </w:p>
        </w:tc>
        <w:tc>
          <w:tcPr>
            <w:tcW w:w="366" w:type="pct"/>
            <w:vAlign w:val="center"/>
          </w:tcPr>
          <w:p w:rsidR="00495619" w:rsidRPr="00C30061" w:rsidRDefault="00495619" w:rsidP="00934917">
            <w:pPr>
              <w:pStyle w:val="In-tableHeading"/>
              <w:jc w:val="center"/>
            </w:pPr>
            <w:r w:rsidRPr="00C30061">
              <w:t>8</w:t>
            </w:r>
          </w:p>
        </w:tc>
        <w:tc>
          <w:tcPr>
            <w:tcW w:w="366" w:type="pct"/>
            <w:vAlign w:val="center"/>
          </w:tcPr>
          <w:p w:rsidR="00495619" w:rsidRPr="00C30061" w:rsidRDefault="00495619" w:rsidP="00934917">
            <w:pPr>
              <w:pStyle w:val="In-tableHeading"/>
              <w:jc w:val="center"/>
            </w:pPr>
            <w:r w:rsidRPr="00C30061">
              <w:t>9</w:t>
            </w:r>
          </w:p>
        </w:tc>
        <w:tc>
          <w:tcPr>
            <w:tcW w:w="365" w:type="pct"/>
            <w:vAlign w:val="center"/>
          </w:tcPr>
          <w:p w:rsidR="00495619" w:rsidRPr="00C30061" w:rsidRDefault="00495619" w:rsidP="00934917">
            <w:pPr>
              <w:pStyle w:val="In-tableHeading"/>
              <w:jc w:val="center"/>
            </w:pPr>
            <w:r w:rsidRPr="00C30061">
              <w:t>Total</w:t>
            </w:r>
          </w:p>
        </w:tc>
      </w:tr>
      <w:tr w:rsidR="00495619" w:rsidRPr="00DB37C0" w:rsidTr="00934917">
        <w:trPr>
          <w:trHeight w:val="230"/>
        </w:trPr>
        <w:tc>
          <w:tcPr>
            <w:tcW w:w="973" w:type="pct"/>
            <w:shd w:val="clear" w:color="auto" w:fill="auto"/>
            <w:vAlign w:val="center"/>
          </w:tcPr>
          <w:p w:rsidR="00495619" w:rsidRPr="00C30061" w:rsidRDefault="00495619" w:rsidP="00934917">
            <w:pPr>
              <w:pStyle w:val="TableText0"/>
            </w:pPr>
            <w:r w:rsidRPr="00C30061">
              <w:t>Mean utility value</w:t>
            </w:r>
          </w:p>
        </w:tc>
        <w:tc>
          <w:tcPr>
            <w:tcW w:w="366" w:type="pct"/>
            <w:shd w:val="clear" w:color="auto" w:fill="auto"/>
            <w:vAlign w:val="center"/>
          </w:tcPr>
          <w:p w:rsidR="00495619" w:rsidRPr="00C30061" w:rsidRDefault="00495619" w:rsidP="00934917">
            <w:pPr>
              <w:pStyle w:val="TableText0"/>
              <w:jc w:val="center"/>
            </w:pPr>
            <w:r w:rsidRPr="00C30061">
              <w:t>0.837</w:t>
            </w:r>
          </w:p>
        </w:tc>
        <w:tc>
          <w:tcPr>
            <w:tcW w:w="366" w:type="pct"/>
            <w:shd w:val="clear" w:color="auto" w:fill="auto"/>
            <w:vAlign w:val="center"/>
          </w:tcPr>
          <w:p w:rsidR="00495619" w:rsidRPr="00C30061" w:rsidRDefault="00495619" w:rsidP="00934917">
            <w:pPr>
              <w:pStyle w:val="TableText0"/>
              <w:jc w:val="center"/>
            </w:pPr>
            <w:r w:rsidRPr="00C30061">
              <w:t>0.766</w:t>
            </w:r>
          </w:p>
        </w:tc>
        <w:tc>
          <w:tcPr>
            <w:tcW w:w="366" w:type="pct"/>
            <w:vAlign w:val="center"/>
          </w:tcPr>
          <w:p w:rsidR="00495619" w:rsidRPr="00C30061" w:rsidRDefault="00495619" w:rsidP="00934917">
            <w:pPr>
              <w:pStyle w:val="TableText0"/>
              <w:jc w:val="center"/>
            </w:pPr>
            <w:r w:rsidRPr="00C30061">
              <w:t>0.78</w:t>
            </w:r>
          </w:p>
        </w:tc>
        <w:tc>
          <w:tcPr>
            <w:tcW w:w="367" w:type="pct"/>
            <w:vAlign w:val="center"/>
          </w:tcPr>
          <w:p w:rsidR="00495619" w:rsidRPr="00C30061" w:rsidRDefault="00495619" w:rsidP="00934917">
            <w:pPr>
              <w:pStyle w:val="TableText0"/>
              <w:jc w:val="center"/>
            </w:pPr>
            <w:r w:rsidRPr="00C30061">
              <w:t>0.73</w:t>
            </w:r>
          </w:p>
        </w:tc>
        <w:tc>
          <w:tcPr>
            <w:tcW w:w="366" w:type="pct"/>
            <w:vAlign w:val="center"/>
          </w:tcPr>
          <w:p w:rsidR="00495619" w:rsidRPr="00C30061" w:rsidRDefault="00495619" w:rsidP="00934917">
            <w:pPr>
              <w:pStyle w:val="TableText0"/>
              <w:jc w:val="center"/>
            </w:pPr>
            <w:r w:rsidRPr="00C30061">
              <w:t>0.68</w:t>
            </w:r>
          </w:p>
        </w:tc>
        <w:tc>
          <w:tcPr>
            <w:tcW w:w="366" w:type="pct"/>
            <w:vAlign w:val="center"/>
          </w:tcPr>
          <w:p w:rsidR="00495619" w:rsidRPr="00C30061" w:rsidRDefault="00495619" w:rsidP="00934917">
            <w:pPr>
              <w:pStyle w:val="TableText0"/>
              <w:jc w:val="center"/>
            </w:pPr>
            <w:r w:rsidRPr="00C30061">
              <w:t>0.68</w:t>
            </w:r>
          </w:p>
        </w:tc>
        <w:tc>
          <w:tcPr>
            <w:tcW w:w="366" w:type="pct"/>
            <w:vAlign w:val="center"/>
          </w:tcPr>
          <w:p w:rsidR="00495619" w:rsidRPr="00C30061" w:rsidRDefault="00495619" w:rsidP="00934917">
            <w:pPr>
              <w:pStyle w:val="TableText0"/>
              <w:jc w:val="center"/>
            </w:pPr>
            <w:r w:rsidRPr="00C30061">
              <w:t>0.63</w:t>
            </w:r>
          </w:p>
        </w:tc>
        <w:tc>
          <w:tcPr>
            <w:tcW w:w="367" w:type="pct"/>
            <w:vAlign w:val="center"/>
          </w:tcPr>
          <w:p w:rsidR="00495619" w:rsidRPr="00C30061" w:rsidRDefault="00495619" w:rsidP="00934917">
            <w:pPr>
              <w:pStyle w:val="TableText0"/>
              <w:jc w:val="center"/>
            </w:pPr>
            <w:r w:rsidRPr="00C30061">
              <w:t>0.48</w:t>
            </w:r>
          </w:p>
        </w:tc>
        <w:tc>
          <w:tcPr>
            <w:tcW w:w="366" w:type="pct"/>
            <w:vAlign w:val="center"/>
          </w:tcPr>
          <w:p w:rsidR="00495619" w:rsidRPr="00C30061" w:rsidRDefault="00495619" w:rsidP="00934917">
            <w:pPr>
              <w:pStyle w:val="TableText0"/>
              <w:jc w:val="center"/>
            </w:pPr>
            <w:r w:rsidRPr="00C30061">
              <w:t>-0.082</w:t>
            </w:r>
          </w:p>
        </w:tc>
        <w:tc>
          <w:tcPr>
            <w:tcW w:w="366" w:type="pct"/>
            <w:vAlign w:val="center"/>
          </w:tcPr>
          <w:p w:rsidR="00495619" w:rsidRPr="00C30061" w:rsidRDefault="00495619" w:rsidP="00934917">
            <w:pPr>
              <w:pStyle w:val="TableText0"/>
              <w:jc w:val="center"/>
            </w:pPr>
            <w:r w:rsidRPr="00C30061">
              <w:t>-0.228</w:t>
            </w:r>
          </w:p>
        </w:tc>
        <w:tc>
          <w:tcPr>
            <w:tcW w:w="365" w:type="pct"/>
            <w:vAlign w:val="center"/>
          </w:tcPr>
          <w:p w:rsidR="00495619" w:rsidRPr="00C30061" w:rsidRDefault="00495619" w:rsidP="00934917">
            <w:pPr>
              <w:pStyle w:val="TableText0"/>
              <w:jc w:val="center"/>
            </w:pPr>
          </w:p>
        </w:tc>
      </w:tr>
      <w:tr w:rsidR="00495619" w:rsidRPr="00DB37C0" w:rsidTr="00934917">
        <w:trPr>
          <w:trHeight w:val="229"/>
        </w:trPr>
        <w:tc>
          <w:tcPr>
            <w:tcW w:w="973" w:type="pct"/>
            <w:shd w:val="clear" w:color="auto" w:fill="auto"/>
            <w:vAlign w:val="center"/>
          </w:tcPr>
          <w:p w:rsidR="00495619" w:rsidRPr="00C30061" w:rsidRDefault="00495619" w:rsidP="00934917">
            <w:pPr>
              <w:pStyle w:val="TableText0"/>
            </w:pPr>
            <w:r w:rsidRPr="00C30061">
              <w:t>Direct medical resource costs per year in each state</w:t>
            </w:r>
          </w:p>
        </w:tc>
        <w:tc>
          <w:tcPr>
            <w:tcW w:w="1465" w:type="pct"/>
            <w:gridSpan w:val="4"/>
            <w:shd w:val="clear" w:color="auto" w:fill="auto"/>
            <w:vAlign w:val="center"/>
          </w:tcPr>
          <w:p w:rsidR="00495619" w:rsidRPr="00C30061" w:rsidRDefault="00495619" w:rsidP="00934917">
            <w:pPr>
              <w:pStyle w:val="TableText0"/>
              <w:jc w:val="center"/>
            </w:pPr>
            <w:r w:rsidRPr="00C30061">
              <w:t>$</w:t>
            </w:r>
            <w:r w:rsidRPr="00B96D97">
              <w:t>8,455</w:t>
            </w:r>
          </w:p>
        </w:tc>
        <w:tc>
          <w:tcPr>
            <w:tcW w:w="1098" w:type="pct"/>
            <w:gridSpan w:val="3"/>
            <w:vAlign w:val="center"/>
          </w:tcPr>
          <w:p w:rsidR="00495619" w:rsidRPr="00C30061" w:rsidRDefault="00495619" w:rsidP="00934917">
            <w:pPr>
              <w:pStyle w:val="TableText0"/>
              <w:jc w:val="center"/>
            </w:pPr>
            <w:r w:rsidRPr="00C30061">
              <w:t>$</w:t>
            </w:r>
            <w:r w:rsidRPr="00B96D97">
              <w:t>8,766</w:t>
            </w:r>
          </w:p>
        </w:tc>
        <w:tc>
          <w:tcPr>
            <w:tcW w:w="1099" w:type="pct"/>
            <w:gridSpan w:val="3"/>
            <w:vAlign w:val="center"/>
          </w:tcPr>
          <w:p w:rsidR="00495619" w:rsidRPr="00C30061" w:rsidRDefault="00495619" w:rsidP="00934917">
            <w:pPr>
              <w:pStyle w:val="TableText0"/>
              <w:jc w:val="center"/>
            </w:pPr>
            <w:r w:rsidRPr="00C30061">
              <w:t>$</w:t>
            </w:r>
            <w:r w:rsidRPr="00B96D97">
              <w:t>49,954</w:t>
            </w:r>
          </w:p>
        </w:tc>
        <w:tc>
          <w:tcPr>
            <w:tcW w:w="365" w:type="pct"/>
            <w:vAlign w:val="center"/>
          </w:tcPr>
          <w:p w:rsidR="00495619" w:rsidRPr="00C30061" w:rsidRDefault="00495619" w:rsidP="00934917">
            <w:pPr>
              <w:pStyle w:val="TableText0"/>
              <w:jc w:val="center"/>
            </w:pPr>
          </w:p>
        </w:tc>
      </w:tr>
      <w:tr w:rsidR="00495619" w:rsidRPr="00DB37C0" w:rsidTr="00934917">
        <w:trPr>
          <w:trHeight w:val="229"/>
        </w:trPr>
        <w:tc>
          <w:tcPr>
            <w:tcW w:w="5000" w:type="pct"/>
            <w:gridSpan w:val="12"/>
            <w:shd w:val="clear" w:color="auto" w:fill="auto"/>
            <w:vAlign w:val="center"/>
          </w:tcPr>
          <w:p w:rsidR="00495619" w:rsidRPr="00C30061" w:rsidRDefault="00495619" w:rsidP="00934917">
            <w:pPr>
              <w:pStyle w:val="TableText0"/>
            </w:pPr>
            <w:r w:rsidRPr="00C30061">
              <w:t>Mean time in EDSS health state (years)</w:t>
            </w:r>
          </w:p>
        </w:tc>
      </w:tr>
      <w:tr w:rsidR="00495619" w:rsidRPr="00DB37C0" w:rsidTr="00934917">
        <w:trPr>
          <w:trHeight w:val="230"/>
        </w:trPr>
        <w:tc>
          <w:tcPr>
            <w:tcW w:w="973" w:type="pct"/>
            <w:shd w:val="clear" w:color="auto" w:fill="auto"/>
            <w:vAlign w:val="center"/>
          </w:tcPr>
          <w:p w:rsidR="00495619" w:rsidRPr="00C30061" w:rsidRDefault="00495619" w:rsidP="00934917">
            <w:pPr>
              <w:pStyle w:val="TableText0"/>
            </w:pPr>
            <w:r w:rsidRPr="00C30061">
              <w:t>Ocrelizumab on treatment</w:t>
            </w:r>
          </w:p>
        </w:tc>
        <w:tc>
          <w:tcPr>
            <w:tcW w:w="366" w:type="pct"/>
            <w:shd w:val="clear" w:color="auto" w:fill="auto"/>
            <w:vAlign w:val="center"/>
          </w:tcPr>
          <w:p w:rsidR="00495619" w:rsidRPr="00C30061" w:rsidRDefault="00495619" w:rsidP="00934917">
            <w:pPr>
              <w:pStyle w:val="TableText0"/>
              <w:jc w:val="center"/>
            </w:pPr>
            <w:r w:rsidRPr="00C30061">
              <w:t>0.080</w:t>
            </w:r>
          </w:p>
        </w:tc>
        <w:tc>
          <w:tcPr>
            <w:tcW w:w="366" w:type="pct"/>
            <w:shd w:val="clear" w:color="auto" w:fill="auto"/>
            <w:vAlign w:val="center"/>
          </w:tcPr>
          <w:p w:rsidR="00495619" w:rsidRPr="00C30061" w:rsidRDefault="00495619" w:rsidP="00934917">
            <w:pPr>
              <w:pStyle w:val="TableText0"/>
              <w:jc w:val="center"/>
            </w:pPr>
            <w:r w:rsidRPr="00C30061">
              <w:t>0.159</w:t>
            </w:r>
          </w:p>
        </w:tc>
        <w:tc>
          <w:tcPr>
            <w:tcW w:w="366" w:type="pct"/>
            <w:vAlign w:val="center"/>
          </w:tcPr>
          <w:p w:rsidR="00495619" w:rsidRPr="00C30061" w:rsidRDefault="00495619" w:rsidP="00934917">
            <w:pPr>
              <w:pStyle w:val="TableText0"/>
              <w:jc w:val="center"/>
            </w:pPr>
            <w:r w:rsidRPr="00C30061">
              <w:t>0.724</w:t>
            </w:r>
          </w:p>
        </w:tc>
        <w:tc>
          <w:tcPr>
            <w:tcW w:w="367" w:type="pct"/>
            <w:vAlign w:val="center"/>
          </w:tcPr>
          <w:p w:rsidR="00495619" w:rsidRPr="00C30061" w:rsidRDefault="00495619" w:rsidP="00934917">
            <w:pPr>
              <w:pStyle w:val="TableText0"/>
              <w:jc w:val="center"/>
            </w:pPr>
            <w:r w:rsidRPr="00C30061">
              <w:t>1.428</w:t>
            </w:r>
          </w:p>
        </w:tc>
        <w:tc>
          <w:tcPr>
            <w:tcW w:w="366" w:type="pct"/>
            <w:vAlign w:val="center"/>
          </w:tcPr>
          <w:p w:rsidR="00495619" w:rsidRPr="00C30061" w:rsidRDefault="00495619" w:rsidP="00934917">
            <w:pPr>
              <w:pStyle w:val="TableText0"/>
              <w:jc w:val="center"/>
            </w:pPr>
            <w:r w:rsidRPr="00C30061">
              <w:t>2.571</w:t>
            </w:r>
          </w:p>
        </w:tc>
        <w:tc>
          <w:tcPr>
            <w:tcW w:w="366" w:type="pct"/>
            <w:vAlign w:val="center"/>
          </w:tcPr>
          <w:p w:rsidR="00495619" w:rsidRPr="00C30061" w:rsidRDefault="00495619" w:rsidP="00934917">
            <w:pPr>
              <w:pStyle w:val="TableText0"/>
              <w:jc w:val="center"/>
            </w:pPr>
            <w:r w:rsidRPr="00C30061">
              <w:t>1.785</w:t>
            </w:r>
          </w:p>
        </w:tc>
        <w:tc>
          <w:tcPr>
            <w:tcW w:w="366" w:type="pct"/>
            <w:vAlign w:val="center"/>
          </w:tcPr>
          <w:p w:rsidR="00495619" w:rsidRPr="00C30061" w:rsidRDefault="00495619" w:rsidP="00934917">
            <w:pPr>
              <w:pStyle w:val="TableText0"/>
              <w:jc w:val="center"/>
            </w:pPr>
            <w:r w:rsidRPr="00C30061">
              <w:t>3.882</w:t>
            </w:r>
          </w:p>
        </w:tc>
        <w:tc>
          <w:tcPr>
            <w:tcW w:w="367" w:type="pct"/>
            <w:vAlign w:val="center"/>
          </w:tcPr>
          <w:p w:rsidR="00495619" w:rsidRPr="00C30061" w:rsidRDefault="00495619" w:rsidP="00934917">
            <w:pPr>
              <w:pStyle w:val="TableText0"/>
              <w:jc w:val="center"/>
            </w:pPr>
            <w:r w:rsidRPr="00C30061">
              <w:t>1.401</w:t>
            </w:r>
          </w:p>
        </w:tc>
        <w:tc>
          <w:tcPr>
            <w:tcW w:w="366" w:type="pct"/>
            <w:vAlign w:val="center"/>
          </w:tcPr>
          <w:p w:rsidR="00495619" w:rsidRPr="00C30061" w:rsidRDefault="00495619" w:rsidP="00934917">
            <w:pPr>
              <w:pStyle w:val="TableText0"/>
              <w:jc w:val="center"/>
            </w:pPr>
            <w:r w:rsidRPr="00C30061">
              <w:t>0.623</w:t>
            </w:r>
          </w:p>
        </w:tc>
        <w:tc>
          <w:tcPr>
            <w:tcW w:w="366" w:type="pct"/>
            <w:vAlign w:val="center"/>
          </w:tcPr>
          <w:p w:rsidR="00495619" w:rsidRPr="00C30061" w:rsidRDefault="00495619" w:rsidP="00934917">
            <w:pPr>
              <w:pStyle w:val="TableText0"/>
              <w:jc w:val="center"/>
            </w:pPr>
            <w:r w:rsidRPr="00C30061">
              <w:t>0.147</w:t>
            </w:r>
          </w:p>
        </w:tc>
        <w:tc>
          <w:tcPr>
            <w:tcW w:w="365" w:type="pct"/>
            <w:vAlign w:val="center"/>
          </w:tcPr>
          <w:p w:rsidR="00495619" w:rsidRPr="00C30061" w:rsidRDefault="00495619" w:rsidP="00934917">
            <w:pPr>
              <w:pStyle w:val="TableText0"/>
              <w:jc w:val="center"/>
            </w:pPr>
            <w:r w:rsidRPr="00C30061">
              <w:t>12.800</w:t>
            </w:r>
          </w:p>
        </w:tc>
      </w:tr>
      <w:tr w:rsidR="00495619" w:rsidRPr="00DB37C0" w:rsidTr="00934917">
        <w:trPr>
          <w:trHeight w:val="229"/>
        </w:trPr>
        <w:tc>
          <w:tcPr>
            <w:tcW w:w="973" w:type="pct"/>
            <w:shd w:val="clear" w:color="auto" w:fill="auto"/>
            <w:vAlign w:val="center"/>
          </w:tcPr>
          <w:p w:rsidR="00495619" w:rsidRPr="00C30061" w:rsidRDefault="00495619" w:rsidP="00934917">
            <w:pPr>
              <w:pStyle w:val="TableText0"/>
            </w:pPr>
            <w:r w:rsidRPr="00C30061">
              <w:t>Ocrelizumab off treatment</w:t>
            </w:r>
          </w:p>
        </w:tc>
        <w:tc>
          <w:tcPr>
            <w:tcW w:w="366" w:type="pct"/>
            <w:shd w:val="clear" w:color="auto" w:fill="auto"/>
            <w:vAlign w:val="center"/>
          </w:tcPr>
          <w:p w:rsidR="00495619" w:rsidRPr="00C30061" w:rsidRDefault="00495619" w:rsidP="00934917">
            <w:pPr>
              <w:pStyle w:val="TableText0"/>
              <w:jc w:val="center"/>
            </w:pPr>
            <w:r w:rsidRPr="00C30061">
              <w:t>0.042</w:t>
            </w:r>
          </w:p>
        </w:tc>
        <w:tc>
          <w:tcPr>
            <w:tcW w:w="366" w:type="pct"/>
            <w:shd w:val="clear" w:color="auto" w:fill="auto"/>
            <w:vAlign w:val="center"/>
          </w:tcPr>
          <w:p w:rsidR="00495619" w:rsidRPr="00C30061" w:rsidRDefault="00495619" w:rsidP="00934917">
            <w:pPr>
              <w:pStyle w:val="TableText0"/>
              <w:jc w:val="center"/>
            </w:pPr>
            <w:r w:rsidRPr="00C30061">
              <w:t>0.092</w:t>
            </w:r>
          </w:p>
        </w:tc>
        <w:tc>
          <w:tcPr>
            <w:tcW w:w="366" w:type="pct"/>
            <w:vAlign w:val="center"/>
          </w:tcPr>
          <w:p w:rsidR="00495619" w:rsidRPr="00C30061" w:rsidRDefault="00495619" w:rsidP="00934917">
            <w:pPr>
              <w:pStyle w:val="TableText0"/>
              <w:jc w:val="center"/>
            </w:pPr>
            <w:r w:rsidRPr="00C30061">
              <w:t>0.430</w:t>
            </w:r>
          </w:p>
        </w:tc>
        <w:tc>
          <w:tcPr>
            <w:tcW w:w="367" w:type="pct"/>
            <w:vAlign w:val="center"/>
          </w:tcPr>
          <w:p w:rsidR="00495619" w:rsidRPr="00C30061" w:rsidRDefault="00495619" w:rsidP="00934917">
            <w:pPr>
              <w:pStyle w:val="TableText0"/>
              <w:jc w:val="center"/>
            </w:pPr>
            <w:r w:rsidRPr="00C30061">
              <w:t>0.698</w:t>
            </w:r>
          </w:p>
        </w:tc>
        <w:tc>
          <w:tcPr>
            <w:tcW w:w="366" w:type="pct"/>
            <w:vAlign w:val="center"/>
          </w:tcPr>
          <w:p w:rsidR="00495619" w:rsidRPr="00C30061" w:rsidRDefault="00495619" w:rsidP="00934917">
            <w:pPr>
              <w:pStyle w:val="TableText0"/>
              <w:jc w:val="center"/>
            </w:pPr>
            <w:r w:rsidRPr="00C30061">
              <w:t>1.772</w:t>
            </w:r>
          </w:p>
        </w:tc>
        <w:tc>
          <w:tcPr>
            <w:tcW w:w="366" w:type="pct"/>
            <w:vAlign w:val="center"/>
          </w:tcPr>
          <w:p w:rsidR="00495619" w:rsidRPr="00C30061" w:rsidRDefault="00495619" w:rsidP="00934917">
            <w:pPr>
              <w:pStyle w:val="TableText0"/>
              <w:jc w:val="center"/>
            </w:pPr>
            <w:r w:rsidRPr="00C30061">
              <w:t>1.765</w:t>
            </w:r>
          </w:p>
        </w:tc>
        <w:tc>
          <w:tcPr>
            <w:tcW w:w="366" w:type="pct"/>
            <w:vAlign w:val="center"/>
          </w:tcPr>
          <w:p w:rsidR="00495619" w:rsidRPr="00C30061" w:rsidRDefault="00495619" w:rsidP="00934917">
            <w:pPr>
              <w:pStyle w:val="TableText0"/>
              <w:jc w:val="center"/>
            </w:pPr>
            <w:r w:rsidRPr="00C30061">
              <w:t>6.091</w:t>
            </w:r>
          </w:p>
        </w:tc>
        <w:tc>
          <w:tcPr>
            <w:tcW w:w="367" w:type="pct"/>
            <w:vAlign w:val="center"/>
          </w:tcPr>
          <w:p w:rsidR="00495619" w:rsidRPr="00C30061" w:rsidRDefault="00495619" w:rsidP="00934917">
            <w:pPr>
              <w:pStyle w:val="TableText0"/>
              <w:jc w:val="center"/>
            </w:pPr>
            <w:r w:rsidRPr="00C30061">
              <w:t>4.660</w:t>
            </w:r>
          </w:p>
        </w:tc>
        <w:tc>
          <w:tcPr>
            <w:tcW w:w="366" w:type="pct"/>
            <w:vAlign w:val="center"/>
          </w:tcPr>
          <w:p w:rsidR="00495619" w:rsidRPr="00C30061" w:rsidRDefault="00495619" w:rsidP="00934917">
            <w:pPr>
              <w:pStyle w:val="TableText0"/>
              <w:jc w:val="center"/>
            </w:pPr>
            <w:r w:rsidRPr="00C30061">
              <w:t>3.950</w:t>
            </w:r>
          </w:p>
        </w:tc>
        <w:tc>
          <w:tcPr>
            <w:tcW w:w="366" w:type="pct"/>
            <w:vAlign w:val="center"/>
          </w:tcPr>
          <w:p w:rsidR="00495619" w:rsidRPr="00C30061" w:rsidRDefault="00495619" w:rsidP="00934917">
            <w:pPr>
              <w:pStyle w:val="TableText0"/>
              <w:jc w:val="center"/>
            </w:pPr>
            <w:r w:rsidRPr="00C30061">
              <w:t>1.936</w:t>
            </w:r>
          </w:p>
        </w:tc>
        <w:tc>
          <w:tcPr>
            <w:tcW w:w="365" w:type="pct"/>
            <w:vAlign w:val="center"/>
          </w:tcPr>
          <w:p w:rsidR="00495619" w:rsidRPr="00C30061" w:rsidRDefault="00495619" w:rsidP="00934917">
            <w:pPr>
              <w:pStyle w:val="TableText0"/>
              <w:jc w:val="center"/>
            </w:pPr>
            <w:r w:rsidRPr="00C30061">
              <w:t>21.437</w:t>
            </w:r>
          </w:p>
        </w:tc>
      </w:tr>
      <w:tr w:rsidR="00495619" w:rsidRPr="00DB37C0" w:rsidTr="00934917">
        <w:trPr>
          <w:trHeight w:val="229"/>
        </w:trPr>
        <w:tc>
          <w:tcPr>
            <w:tcW w:w="973" w:type="pct"/>
            <w:shd w:val="clear" w:color="auto" w:fill="auto"/>
            <w:vAlign w:val="center"/>
          </w:tcPr>
          <w:p w:rsidR="00495619" w:rsidRPr="00C30061" w:rsidRDefault="00495619" w:rsidP="00934917">
            <w:pPr>
              <w:pStyle w:val="TableText0"/>
            </w:pPr>
            <w:r w:rsidRPr="00C30061">
              <w:t>Ocrelizumab (total)</w:t>
            </w:r>
          </w:p>
        </w:tc>
        <w:tc>
          <w:tcPr>
            <w:tcW w:w="366" w:type="pct"/>
            <w:shd w:val="clear" w:color="auto" w:fill="auto"/>
            <w:vAlign w:val="bottom"/>
          </w:tcPr>
          <w:p w:rsidR="00495619" w:rsidRPr="00C30061" w:rsidRDefault="00495619" w:rsidP="00934917">
            <w:pPr>
              <w:pStyle w:val="TableText0"/>
              <w:jc w:val="center"/>
            </w:pPr>
            <w:r w:rsidRPr="00C30061">
              <w:t>0.122</w:t>
            </w:r>
          </w:p>
        </w:tc>
        <w:tc>
          <w:tcPr>
            <w:tcW w:w="366" w:type="pct"/>
            <w:shd w:val="clear" w:color="auto" w:fill="auto"/>
            <w:vAlign w:val="bottom"/>
          </w:tcPr>
          <w:p w:rsidR="00495619" w:rsidRPr="00C30061" w:rsidRDefault="00495619" w:rsidP="00934917">
            <w:pPr>
              <w:pStyle w:val="TableText0"/>
              <w:jc w:val="center"/>
            </w:pPr>
            <w:r w:rsidRPr="00C30061">
              <w:t>0.251</w:t>
            </w:r>
          </w:p>
        </w:tc>
        <w:tc>
          <w:tcPr>
            <w:tcW w:w="366" w:type="pct"/>
            <w:vAlign w:val="bottom"/>
          </w:tcPr>
          <w:p w:rsidR="00495619" w:rsidRPr="00C30061" w:rsidRDefault="00495619" w:rsidP="00934917">
            <w:pPr>
              <w:pStyle w:val="TableText0"/>
              <w:jc w:val="center"/>
            </w:pPr>
            <w:r w:rsidRPr="00C30061">
              <w:t>1.154</w:t>
            </w:r>
          </w:p>
        </w:tc>
        <w:tc>
          <w:tcPr>
            <w:tcW w:w="367" w:type="pct"/>
            <w:vAlign w:val="bottom"/>
          </w:tcPr>
          <w:p w:rsidR="00495619" w:rsidRPr="00C30061" w:rsidRDefault="00495619" w:rsidP="00934917">
            <w:pPr>
              <w:pStyle w:val="TableText0"/>
              <w:jc w:val="center"/>
            </w:pPr>
            <w:r w:rsidRPr="00C30061">
              <w:t>2.126</w:t>
            </w:r>
          </w:p>
        </w:tc>
        <w:tc>
          <w:tcPr>
            <w:tcW w:w="366" w:type="pct"/>
            <w:vAlign w:val="bottom"/>
          </w:tcPr>
          <w:p w:rsidR="00495619" w:rsidRPr="00C30061" w:rsidRDefault="00495619" w:rsidP="00934917">
            <w:pPr>
              <w:pStyle w:val="TableText0"/>
              <w:jc w:val="center"/>
            </w:pPr>
            <w:r w:rsidRPr="00C30061">
              <w:t>4.343</w:t>
            </w:r>
          </w:p>
        </w:tc>
        <w:tc>
          <w:tcPr>
            <w:tcW w:w="366" w:type="pct"/>
            <w:vAlign w:val="bottom"/>
          </w:tcPr>
          <w:p w:rsidR="00495619" w:rsidRPr="00C30061" w:rsidRDefault="00495619" w:rsidP="00934917">
            <w:pPr>
              <w:pStyle w:val="TableText0"/>
              <w:jc w:val="center"/>
            </w:pPr>
            <w:r w:rsidRPr="00C30061">
              <w:t>3.55</w:t>
            </w:r>
          </w:p>
        </w:tc>
        <w:tc>
          <w:tcPr>
            <w:tcW w:w="366" w:type="pct"/>
            <w:vAlign w:val="bottom"/>
          </w:tcPr>
          <w:p w:rsidR="00495619" w:rsidRPr="00C30061" w:rsidRDefault="00495619" w:rsidP="00934917">
            <w:pPr>
              <w:pStyle w:val="TableText0"/>
              <w:jc w:val="center"/>
            </w:pPr>
            <w:r w:rsidRPr="00C30061">
              <w:t>9.973</w:t>
            </w:r>
          </w:p>
        </w:tc>
        <w:tc>
          <w:tcPr>
            <w:tcW w:w="367" w:type="pct"/>
            <w:vAlign w:val="bottom"/>
          </w:tcPr>
          <w:p w:rsidR="00495619" w:rsidRPr="00C30061" w:rsidRDefault="00495619" w:rsidP="00934917">
            <w:pPr>
              <w:pStyle w:val="TableText0"/>
              <w:jc w:val="center"/>
            </w:pPr>
            <w:r w:rsidRPr="00C30061">
              <w:t>6.061</w:t>
            </w:r>
          </w:p>
        </w:tc>
        <w:tc>
          <w:tcPr>
            <w:tcW w:w="366" w:type="pct"/>
            <w:vAlign w:val="bottom"/>
          </w:tcPr>
          <w:p w:rsidR="00495619" w:rsidRPr="00C30061" w:rsidRDefault="00495619" w:rsidP="00934917">
            <w:pPr>
              <w:pStyle w:val="TableText0"/>
              <w:jc w:val="center"/>
            </w:pPr>
            <w:r w:rsidRPr="00C30061">
              <w:t>4.573</w:t>
            </w:r>
          </w:p>
        </w:tc>
        <w:tc>
          <w:tcPr>
            <w:tcW w:w="366" w:type="pct"/>
            <w:vAlign w:val="bottom"/>
          </w:tcPr>
          <w:p w:rsidR="00495619" w:rsidRPr="00C30061" w:rsidRDefault="00495619" w:rsidP="00934917">
            <w:pPr>
              <w:pStyle w:val="TableText0"/>
              <w:jc w:val="center"/>
            </w:pPr>
            <w:r w:rsidRPr="00C30061">
              <w:t>2.083</w:t>
            </w:r>
          </w:p>
        </w:tc>
        <w:tc>
          <w:tcPr>
            <w:tcW w:w="365" w:type="pct"/>
            <w:vAlign w:val="bottom"/>
          </w:tcPr>
          <w:p w:rsidR="00495619" w:rsidRPr="00C30061" w:rsidRDefault="00495619" w:rsidP="00934917">
            <w:pPr>
              <w:pStyle w:val="TableText0"/>
              <w:jc w:val="center"/>
            </w:pPr>
            <w:r w:rsidRPr="00C30061">
              <w:t>34.237</w:t>
            </w:r>
          </w:p>
        </w:tc>
      </w:tr>
      <w:tr w:rsidR="00495619" w:rsidTr="00934917">
        <w:trPr>
          <w:trHeight w:val="230"/>
        </w:trPr>
        <w:tc>
          <w:tcPr>
            <w:tcW w:w="973" w:type="pct"/>
            <w:shd w:val="clear" w:color="auto" w:fill="auto"/>
            <w:vAlign w:val="center"/>
          </w:tcPr>
          <w:p w:rsidR="00495619" w:rsidRPr="00C30061" w:rsidRDefault="00495619" w:rsidP="00934917">
            <w:pPr>
              <w:pStyle w:val="TableText0"/>
            </w:pPr>
            <w:r w:rsidRPr="00C30061">
              <w:t>BSC</w:t>
            </w:r>
          </w:p>
        </w:tc>
        <w:tc>
          <w:tcPr>
            <w:tcW w:w="366" w:type="pct"/>
            <w:shd w:val="clear" w:color="auto" w:fill="auto"/>
            <w:vAlign w:val="center"/>
          </w:tcPr>
          <w:p w:rsidR="00495619" w:rsidRPr="00C30061" w:rsidRDefault="00495619" w:rsidP="00934917">
            <w:pPr>
              <w:pStyle w:val="TableText0"/>
              <w:jc w:val="center"/>
            </w:pPr>
            <w:r w:rsidRPr="00C30061">
              <w:t>0.038</w:t>
            </w:r>
          </w:p>
        </w:tc>
        <w:tc>
          <w:tcPr>
            <w:tcW w:w="366" w:type="pct"/>
            <w:shd w:val="clear" w:color="auto" w:fill="auto"/>
            <w:vAlign w:val="center"/>
          </w:tcPr>
          <w:p w:rsidR="00495619" w:rsidRPr="00C30061" w:rsidRDefault="00495619" w:rsidP="00934917">
            <w:pPr>
              <w:pStyle w:val="TableText0"/>
              <w:jc w:val="center"/>
            </w:pPr>
            <w:r w:rsidRPr="00C30061">
              <w:t>0.096</w:t>
            </w:r>
          </w:p>
        </w:tc>
        <w:tc>
          <w:tcPr>
            <w:tcW w:w="366" w:type="pct"/>
            <w:vAlign w:val="center"/>
          </w:tcPr>
          <w:p w:rsidR="00495619" w:rsidRPr="00C30061" w:rsidRDefault="00495619" w:rsidP="00934917">
            <w:pPr>
              <w:pStyle w:val="TableText0"/>
              <w:jc w:val="center"/>
            </w:pPr>
            <w:r w:rsidRPr="00C30061">
              <w:t>0.536</w:t>
            </w:r>
          </w:p>
        </w:tc>
        <w:tc>
          <w:tcPr>
            <w:tcW w:w="367" w:type="pct"/>
            <w:vAlign w:val="center"/>
          </w:tcPr>
          <w:p w:rsidR="00495619" w:rsidRPr="00C30061" w:rsidRDefault="00495619" w:rsidP="00934917">
            <w:pPr>
              <w:pStyle w:val="TableText0"/>
              <w:jc w:val="center"/>
            </w:pPr>
            <w:r w:rsidRPr="00C30061">
              <w:t>1.265</w:t>
            </w:r>
          </w:p>
        </w:tc>
        <w:tc>
          <w:tcPr>
            <w:tcW w:w="366" w:type="pct"/>
            <w:vAlign w:val="center"/>
          </w:tcPr>
          <w:p w:rsidR="00495619" w:rsidRPr="00C30061" w:rsidRDefault="00495619" w:rsidP="00934917">
            <w:pPr>
              <w:pStyle w:val="TableText0"/>
              <w:jc w:val="center"/>
            </w:pPr>
            <w:r w:rsidRPr="00C30061">
              <w:t>2.987</w:t>
            </w:r>
          </w:p>
        </w:tc>
        <w:tc>
          <w:tcPr>
            <w:tcW w:w="366" w:type="pct"/>
            <w:vAlign w:val="center"/>
          </w:tcPr>
          <w:p w:rsidR="00495619" w:rsidRPr="00C30061" w:rsidRDefault="00495619" w:rsidP="00934917">
            <w:pPr>
              <w:pStyle w:val="TableText0"/>
              <w:jc w:val="center"/>
            </w:pPr>
            <w:r w:rsidRPr="00C30061">
              <w:t>2.841</w:t>
            </w:r>
          </w:p>
        </w:tc>
        <w:tc>
          <w:tcPr>
            <w:tcW w:w="366" w:type="pct"/>
            <w:vAlign w:val="center"/>
          </w:tcPr>
          <w:p w:rsidR="00495619" w:rsidRPr="00C30061" w:rsidRDefault="00495619" w:rsidP="00934917">
            <w:pPr>
              <w:pStyle w:val="TableText0"/>
              <w:jc w:val="center"/>
            </w:pPr>
            <w:r w:rsidRPr="00C30061">
              <w:t>9.325</w:t>
            </w:r>
          </w:p>
        </w:tc>
        <w:tc>
          <w:tcPr>
            <w:tcW w:w="367" w:type="pct"/>
            <w:vAlign w:val="center"/>
          </w:tcPr>
          <w:p w:rsidR="00495619" w:rsidRPr="00C30061" w:rsidRDefault="00495619" w:rsidP="00934917">
            <w:pPr>
              <w:pStyle w:val="TableText0"/>
              <w:jc w:val="center"/>
            </w:pPr>
            <w:r w:rsidRPr="00C30061">
              <w:t>6.871</w:t>
            </w:r>
          </w:p>
        </w:tc>
        <w:tc>
          <w:tcPr>
            <w:tcW w:w="366" w:type="pct"/>
            <w:vAlign w:val="center"/>
          </w:tcPr>
          <w:p w:rsidR="00495619" w:rsidRPr="00C30061" w:rsidRDefault="00495619" w:rsidP="00934917">
            <w:pPr>
              <w:pStyle w:val="TableText0"/>
              <w:jc w:val="center"/>
            </w:pPr>
            <w:r w:rsidRPr="00C30061">
              <w:t>6.001</w:t>
            </w:r>
          </w:p>
        </w:tc>
        <w:tc>
          <w:tcPr>
            <w:tcW w:w="366" w:type="pct"/>
            <w:vAlign w:val="center"/>
          </w:tcPr>
          <w:p w:rsidR="00495619" w:rsidRPr="00C30061" w:rsidRDefault="00495619" w:rsidP="00934917">
            <w:pPr>
              <w:pStyle w:val="TableText0"/>
              <w:jc w:val="center"/>
            </w:pPr>
            <w:r w:rsidRPr="00C30061">
              <w:t>3.235</w:t>
            </w:r>
          </w:p>
        </w:tc>
        <w:tc>
          <w:tcPr>
            <w:tcW w:w="365" w:type="pct"/>
            <w:vAlign w:val="center"/>
          </w:tcPr>
          <w:p w:rsidR="00495619" w:rsidRPr="00C30061" w:rsidRDefault="00495619" w:rsidP="00934917">
            <w:pPr>
              <w:pStyle w:val="TableText0"/>
              <w:jc w:val="center"/>
            </w:pPr>
            <w:r w:rsidRPr="00C30061">
              <w:t>33.196</w:t>
            </w:r>
          </w:p>
        </w:tc>
      </w:tr>
      <w:tr w:rsidR="00495619" w:rsidRPr="00D908D1" w:rsidTr="00934917">
        <w:trPr>
          <w:trHeight w:val="230"/>
        </w:trPr>
        <w:tc>
          <w:tcPr>
            <w:tcW w:w="973" w:type="pct"/>
            <w:shd w:val="clear" w:color="auto" w:fill="auto"/>
            <w:vAlign w:val="center"/>
          </w:tcPr>
          <w:p w:rsidR="00495619" w:rsidRPr="00C30061" w:rsidRDefault="00495619" w:rsidP="00934917">
            <w:pPr>
              <w:pStyle w:val="TableText0"/>
              <w:rPr>
                <w:b/>
              </w:rPr>
            </w:pPr>
            <w:r w:rsidRPr="00C30061">
              <w:rPr>
                <w:b/>
              </w:rPr>
              <w:t>Increment</w:t>
            </w:r>
          </w:p>
        </w:tc>
        <w:tc>
          <w:tcPr>
            <w:tcW w:w="366" w:type="pct"/>
            <w:shd w:val="clear" w:color="auto" w:fill="auto"/>
            <w:vAlign w:val="bottom"/>
          </w:tcPr>
          <w:p w:rsidR="00495619" w:rsidRPr="00C30061" w:rsidRDefault="00495619" w:rsidP="00934917">
            <w:pPr>
              <w:pStyle w:val="TableText0"/>
              <w:jc w:val="center"/>
              <w:rPr>
                <w:b/>
              </w:rPr>
            </w:pPr>
            <w:r w:rsidRPr="00C30061">
              <w:rPr>
                <w:b/>
              </w:rPr>
              <w:t>0.084</w:t>
            </w:r>
          </w:p>
        </w:tc>
        <w:tc>
          <w:tcPr>
            <w:tcW w:w="366" w:type="pct"/>
            <w:shd w:val="clear" w:color="auto" w:fill="auto"/>
            <w:vAlign w:val="bottom"/>
          </w:tcPr>
          <w:p w:rsidR="00495619" w:rsidRPr="00C30061" w:rsidRDefault="00495619" w:rsidP="00934917">
            <w:pPr>
              <w:pStyle w:val="TableText0"/>
              <w:jc w:val="center"/>
              <w:rPr>
                <w:b/>
              </w:rPr>
            </w:pPr>
            <w:r w:rsidRPr="00C30061">
              <w:rPr>
                <w:b/>
              </w:rPr>
              <w:t>0.155</w:t>
            </w:r>
          </w:p>
        </w:tc>
        <w:tc>
          <w:tcPr>
            <w:tcW w:w="366" w:type="pct"/>
            <w:vAlign w:val="bottom"/>
          </w:tcPr>
          <w:p w:rsidR="00495619" w:rsidRPr="00C30061" w:rsidRDefault="00495619" w:rsidP="00934917">
            <w:pPr>
              <w:pStyle w:val="TableText0"/>
              <w:jc w:val="center"/>
              <w:rPr>
                <w:b/>
              </w:rPr>
            </w:pPr>
            <w:r w:rsidRPr="00C30061">
              <w:rPr>
                <w:b/>
              </w:rPr>
              <w:t>0.618</w:t>
            </w:r>
          </w:p>
        </w:tc>
        <w:tc>
          <w:tcPr>
            <w:tcW w:w="367" w:type="pct"/>
            <w:vAlign w:val="bottom"/>
          </w:tcPr>
          <w:p w:rsidR="00495619" w:rsidRPr="00C30061" w:rsidRDefault="00495619" w:rsidP="00934917">
            <w:pPr>
              <w:pStyle w:val="TableText0"/>
              <w:jc w:val="center"/>
              <w:rPr>
                <w:b/>
              </w:rPr>
            </w:pPr>
            <w:r w:rsidRPr="00C30061">
              <w:rPr>
                <w:b/>
              </w:rPr>
              <w:t>0.861</w:t>
            </w:r>
          </w:p>
        </w:tc>
        <w:tc>
          <w:tcPr>
            <w:tcW w:w="366" w:type="pct"/>
            <w:vAlign w:val="bottom"/>
          </w:tcPr>
          <w:p w:rsidR="00495619" w:rsidRPr="00C30061" w:rsidRDefault="00495619" w:rsidP="00934917">
            <w:pPr>
              <w:pStyle w:val="TableText0"/>
              <w:jc w:val="center"/>
              <w:rPr>
                <w:b/>
              </w:rPr>
            </w:pPr>
            <w:r w:rsidRPr="00C30061">
              <w:rPr>
                <w:b/>
              </w:rPr>
              <w:t>1.356</w:t>
            </w:r>
          </w:p>
        </w:tc>
        <w:tc>
          <w:tcPr>
            <w:tcW w:w="366" w:type="pct"/>
            <w:vAlign w:val="bottom"/>
          </w:tcPr>
          <w:p w:rsidR="00495619" w:rsidRPr="00C30061" w:rsidRDefault="00495619" w:rsidP="00934917">
            <w:pPr>
              <w:pStyle w:val="TableText0"/>
              <w:jc w:val="center"/>
              <w:rPr>
                <w:b/>
              </w:rPr>
            </w:pPr>
            <w:r w:rsidRPr="00C30061">
              <w:rPr>
                <w:b/>
              </w:rPr>
              <w:t>0.709</w:t>
            </w:r>
          </w:p>
        </w:tc>
        <w:tc>
          <w:tcPr>
            <w:tcW w:w="366" w:type="pct"/>
            <w:vAlign w:val="bottom"/>
          </w:tcPr>
          <w:p w:rsidR="00495619" w:rsidRPr="00C30061" w:rsidRDefault="00495619" w:rsidP="00934917">
            <w:pPr>
              <w:pStyle w:val="TableText0"/>
              <w:jc w:val="center"/>
              <w:rPr>
                <w:b/>
              </w:rPr>
            </w:pPr>
            <w:r w:rsidRPr="00C30061">
              <w:rPr>
                <w:b/>
              </w:rPr>
              <w:t>0.648</w:t>
            </w:r>
          </w:p>
        </w:tc>
        <w:tc>
          <w:tcPr>
            <w:tcW w:w="367" w:type="pct"/>
            <w:vAlign w:val="bottom"/>
          </w:tcPr>
          <w:p w:rsidR="00495619" w:rsidRPr="00C30061" w:rsidRDefault="00495619" w:rsidP="00934917">
            <w:pPr>
              <w:pStyle w:val="TableText0"/>
              <w:jc w:val="center"/>
              <w:rPr>
                <w:b/>
              </w:rPr>
            </w:pPr>
            <w:r w:rsidRPr="00C30061">
              <w:rPr>
                <w:b/>
              </w:rPr>
              <w:t>-0.81</w:t>
            </w:r>
          </w:p>
        </w:tc>
        <w:tc>
          <w:tcPr>
            <w:tcW w:w="366" w:type="pct"/>
            <w:vAlign w:val="bottom"/>
          </w:tcPr>
          <w:p w:rsidR="00495619" w:rsidRPr="00C30061" w:rsidRDefault="00495619" w:rsidP="00934917">
            <w:pPr>
              <w:pStyle w:val="TableText0"/>
              <w:jc w:val="center"/>
              <w:rPr>
                <w:b/>
              </w:rPr>
            </w:pPr>
            <w:r w:rsidRPr="00C30061">
              <w:rPr>
                <w:b/>
              </w:rPr>
              <w:t>-1.428</w:t>
            </w:r>
          </w:p>
        </w:tc>
        <w:tc>
          <w:tcPr>
            <w:tcW w:w="366" w:type="pct"/>
            <w:vAlign w:val="bottom"/>
          </w:tcPr>
          <w:p w:rsidR="00495619" w:rsidRPr="00C30061" w:rsidRDefault="00495619" w:rsidP="00934917">
            <w:pPr>
              <w:pStyle w:val="TableText0"/>
              <w:jc w:val="center"/>
              <w:rPr>
                <w:b/>
              </w:rPr>
            </w:pPr>
            <w:r w:rsidRPr="00C30061">
              <w:rPr>
                <w:b/>
              </w:rPr>
              <w:t>-1.152</w:t>
            </w:r>
          </w:p>
        </w:tc>
        <w:tc>
          <w:tcPr>
            <w:tcW w:w="365" w:type="pct"/>
            <w:vAlign w:val="bottom"/>
          </w:tcPr>
          <w:p w:rsidR="00495619" w:rsidRPr="00C30061" w:rsidRDefault="00495619" w:rsidP="00934917">
            <w:pPr>
              <w:pStyle w:val="TableText0"/>
              <w:jc w:val="center"/>
              <w:rPr>
                <w:b/>
              </w:rPr>
            </w:pPr>
            <w:r w:rsidRPr="00C30061">
              <w:rPr>
                <w:b/>
              </w:rPr>
              <w:t>1.041</w:t>
            </w:r>
          </w:p>
        </w:tc>
      </w:tr>
    </w:tbl>
    <w:p w:rsidR="00495619" w:rsidRPr="00495619" w:rsidRDefault="00495619" w:rsidP="00495619">
      <w:pPr>
        <w:pStyle w:val="2-SectionHeading"/>
        <w:numPr>
          <w:ilvl w:val="0"/>
          <w:numId w:val="0"/>
        </w:numPr>
        <w:spacing w:before="0" w:after="240"/>
        <w:ind w:left="720" w:hanging="720"/>
        <w:contextualSpacing/>
        <w:outlineLvl w:val="9"/>
        <w:rPr>
          <w:rStyle w:val="CommentReference"/>
          <w:sz w:val="18"/>
          <w:szCs w:val="22"/>
        </w:rPr>
      </w:pPr>
      <w:r w:rsidRPr="00495619">
        <w:rPr>
          <w:rStyle w:val="CommentReference"/>
          <w:sz w:val="18"/>
          <w:szCs w:val="22"/>
        </w:rPr>
        <w:t>Source: ‘Ocrelizumab’ and ‘comparator’ sheets of ‘Economic Evaluation PPMS Resub.xls’</w:t>
      </w:r>
    </w:p>
    <w:p w:rsidR="00495619" w:rsidRPr="00495619" w:rsidRDefault="00495619" w:rsidP="00495619">
      <w:pPr>
        <w:pStyle w:val="2-SectionHeading"/>
        <w:numPr>
          <w:ilvl w:val="0"/>
          <w:numId w:val="0"/>
        </w:numPr>
        <w:spacing w:before="0" w:after="240"/>
        <w:ind w:left="720" w:hanging="720"/>
        <w:contextualSpacing/>
        <w:outlineLvl w:val="9"/>
        <w:rPr>
          <w:rStyle w:val="CommentReference"/>
          <w:sz w:val="18"/>
          <w:szCs w:val="22"/>
        </w:rPr>
      </w:pPr>
      <w:r w:rsidRPr="00495619">
        <w:rPr>
          <w:rStyle w:val="CommentReference"/>
          <w:sz w:val="18"/>
          <w:szCs w:val="22"/>
        </w:rPr>
        <w:t>BSC = best supportive care; EDSS = Expanded Disability Status Scale.</w:t>
      </w:r>
    </w:p>
    <w:p w:rsidR="00495619" w:rsidRDefault="00495619" w:rsidP="00495619">
      <w:pPr>
        <w:pStyle w:val="3-BodyText"/>
      </w:pPr>
      <w:r w:rsidRPr="00DB37C0">
        <w:t>The resubmission estimated costs in a ma</w:t>
      </w:r>
      <w:r>
        <w:t xml:space="preserve">nner mostly consistent </w:t>
      </w:r>
      <w:r w:rsidRPr="00DB37C0">
        <w:t xml:space="preserve">with the </w:t>
      </w:r>
      <w:r>
        <w:t>previous</w:t>
      </w:r>
      <w:r w:rsidRPr="00DB37C0">
        <w:t xml:space="preserve"> submission. </w:t>
      </w:r>
      <w:r>
        <w:t xml:space="preserve">The resubmission additionally updated the cost of ocrelizumab, administration costs, costs of clinician visits and monitoring, costs of adverse events, and direct costs per year associated with EDSS level (the resubmission also updated indirect costs which were not included in the base case). </w:t>
      </w:r>
    </w:p>
    <w:p w:rsidR="00495619" w:rsidRPr="00FE5A87" w:rsidRDefault="00495619" w:rsidP="00495619">
      <w:pPr>
        <w:pStyle w:val="3-BodyText"/>
      </w:pPr>
      <w:r w:rsidRPr="00FE5A87">
        <w:t xml:space="preserve">Of the revised costs inputs, the only revisions that had a noticeable impact on the ICER were </w:t>
      </w:r>
      <w:r>
        <w:t>the</w:t>
      </w:r>
      <w:r w:rsidRPr="00FE5A87">
        <w:t xml:space="preserve"> direct </w:t>
      </w:r>
      <w:r>
        <w:t xml:space="preserve">medical resource </w:t>
      </w:r>
      <w:r w:rsidRPr="00FE5A87">
        <w:t xml:space="preserve">costs by EDSS level; the resubmission updated costing data for the EDSS states from Palmer (2011) in the previous submission to Ahmad (2018) in the resubmission. The resubmission noted that in contrast to Palmer (2011), the Ahmad (2018) costing study reported </w:t>
      </w:r>
      <w:r>
        <w:t xml:space="preserve">the </w:t>
      </w:r>
      <w:r w:rsidRPr="00FE5A87">
        <w:t>cost of residential care per severity</w:t>
      </w:r>
      <w:r>
        <w:t xml:space="preserve"> level</w:t>
      </w:r>
      <w:r w:rsidRPr="00FE5A87">
        <w:t xml:space="preserve"> and thus allowed inclusion of nursing home and equivalent costs in the economic evaluation. The inclusion of substantial nursing home costs associated with EDSS 7-9 health states favoured ocrelizumab. The direct costs of EDSS states 7, 8 and 9 increased from $</w:t>
      </w:r>
      <w:r w:rsidRPr="00B96D97">
        <w:t>7,958</w:t>
      </w:r>
      <w:r w:rsidRPr="00FE5A87">
        <w:t xml:space="preserve"> in the previous submission to $</w:t>
      </w:r>
      <w:r w:rsidRPr="00B96D97">
        <w:t>49,954</w:t>
      </w:r>
      <w:r w:rsidRPr="00FE5A87">
        <w:t xml:space="preserve"> in the resubmission, primarily due to an inclusion of nursing home costs of $</w:t>
      </w:r>
      <w:r w:rsidRPr="00EB7FF5">
        <w:t>35,175 per</w:t>
      </w:r>
      <w:r w:rsidRPr="00FE5A87">
        <w:t xml:space="preserve"> year. </w:t>
      </w:r>
    </w:p>
    <w:p w:rsidR="00495619" w:rsidRPr="003156B5" w:rsidRDefault="00495619" w:rsidP="00495619">
      <w:pPr>
        <w:pStyle w:val="3-BodyText"/>
      </w:pPr>
      <w:r w:rsidRPr="003156B5">
        <w:t>The model is sensitive to EDSS costs, specifically in EDSS states of 7-9 where the nursing home costs are applied, because the model estimated a large difference in mean time in high EDSS states</w:t>
      </w:r>
      <w:r>
        <w:t xml:space="preserve"> (Table </w:t>
      </w:r>
      <w:r w:rsidR="005E3DF4">
        <w:t>11</w:t>
      </w:r>
      <w:r>
        <w:t>)</w:t>
      </w:r>
      <w:r w:rsidRPr="003156B5">
        <w:t xml:space="preserve">. These differences in mean time spent in high EDSS states are mainly due to the application of a low CDP-24 hazard ratio across all CDP EDSS states. Consequently, BSC patients were estimated to accrue substantially more time in high EDSS health states than ocrelizumab. </w:t>
      </w:r>
    </w:p>
    <w:p w:rsidR="00495619" w:rsidRPr="0000562D" w:rsidRDefault="00495619" w:rsidP="00495619">
      <w:pPr>
        <w:pStyle w:val="3-BodyText"/>
      </w:pPr>
      <w:r w:rsidRPr="0000562D">
        <w:t xml:space="preserve">The PSCR argued </w:t>
      </w:r>
      <w:r>
        <w:t xml:space="preserve">that </w:t>
      </w:r>
      <w:r w:rsidRPr="0000562D">
        <w:t>a reduction in the accrual of residential care costs due to delays in treatment progression associated with ocrelizumab treatment was reasonable, as a treatment which delays disease progression can only result in a shift in absolute time spent in different health states, including those where the model accumulates nursing home costs.</w:t>
      </w:r>
      <w:r w:rsidRPr="00D46D18">
        <w:t xml:space="preserve"> </w:t>
      </w:r>
      <w:r>
        <w:t>O</w:t>
      </w:r>
      <w:r w:rsidRPr="00895251">
        <w:t xml:space="preserve">ver </w:t>
      </w:r>
      <w:r w:rsidR="00177267">
        <w:rPr>
          <w:noProof/>
          <w:color w:val="000000"/>
          <w:highlight w:val="black"/>
        </w:rPr>
        <w:t>'''''</w:t>
      </w:r>
      <w:r w:rsidRPr="00895251">
        <w:t xml:space="preserve">% of the ocrelizumab drug cost </w:t>
      </w:r>
      <w:r>
        <w:t>(</w:t>
      </w:r>
      <w:r w:rsidRPr="00895251">
        <w:t>$</w:t>
      </w:r>
      <w:r w:rsidR="00177267">
        <w:rPr>
          <w:noProof/>
          <w:color w:val="000000"/>
          <w:highlight w:val="black"/>
        </w:rPr>
        <w:t>''''''''''''''</w:t>
      </w:r>
      <w:r>
        <w:t>) w</w:t>
      </w:r>
      <w:r w:rsidR="005E3DF4">
        <w:t>ere</w:t>
      </w:r>
      <w:r>
        <w:t xml:space="preserve"> </w:t>
      </w:r>
      <w:r w:rsidRPr="00895251">
        <w:t>offset</w:t>
      </w:r>
      <w:r>
        <w:t xml:space="preserve"> by reduced</w:t>
      </w:r>
      <w:r w:rsidRPr="00895251">
        <w:t xml:space="preserve"> medical resource use </w:t>
      </w:r>
      <w:r>
        <w:t>(</w:t>
      </w:r>
      <w:r w:rsidRPr="00895251">
        <w:t>$</w:t>
      </w:r>
      <w:r w:rsidRPr="00B96D97">
        <w:t>69,880</w:t>
      </w:r>
      <w:r>
        <w:t>)</w:t>
      </w:r>
      <w:r w:rsidRPr="00895251">
        <w:t>.</w:t>
      </w:r>
      <w:r>
        <w:t xml:space="preserve"> </w:t>
      </w:r>
      <w:r w:rsidRPr="0000562D">
        <w:t xml:space="preserve">The ESC noted the offsets in medical resource use </w:t>
      </w:r>
      <w:r w:rsidRPr="0000562D">
        <w:lastRenderedPageBreak/>
        <w:t xml:space="preserve">were largely driven by differences in nursing home costs between the ocrelizumab and BSC </w:t>
      </w:r>
      <w:r w:rsidR="005E3DF4">
        <w:t>arms</w:t>
      </w:r>
      <w:r w:rsidRPr="0000562D">
        <w:t>, which were introduced in the resubmission.</w:t>
      </w:r>
    </w:p>
    <w:p w:rsidR="00495619" w:rsidRPr="0000562D" w:rsidRDefault="00495619" w:rsidP="00495619">
      <w:pPr>
        <w:pStyle w:val="3-BodyText"/>
      </w:pPr>
      <w:r w:rsidRPr="0000562D">
        <w:t>The ESC considered that while including relevant residential care costs (such as nursing</w:t>
      </w:r>
      <w:r w:rsidR="005E3DF4">
        <w:t xml:space="preserve"> home costs) were reasonable in-</w:t>
      </w:r>
      <w:r w:rsidRPr="0000562D">
        <w:t>principle, the costs included in the economic model were highly uncertain as:</w:t>
      </w:r>
    </w:p>
    <w:p w:rsidR="00495619" w:rsidRPr="0000562D" w:rsidRDefault="00495619" w:rsidP="00495619">
      <w:pPr>
        <w:pStyle w:val="3-BodyText"/>
        <w:numPr>
          <w:ilvl w:val="0"/>
          <w:numId w:val="17"/>
        </w:numPr>
      </w:pPr>
      <w:r w:rsidRPr="0000562D">
        <w:t>The submission did not include clinical evidence that treatment with ocrelizumab delays patients requiring residential/nursing home care; and</w:t>
      </w:r>
    </w:p>
    <w:p w:rsidR="00495619" w:rsidRPr="0000562D" w:rsidRDefault="00495619" w:rsidP="00495619">
      <w:pPr>
        <w:pStyle w:val="3-BodyText"/>
        <w:numPr>
          <w:ilvl w:val="0"/>
          <w:numId w:val="16"/>
        </w:numPr>
      </w:pPr>
      <w:r w:rsidRPr="0000562D">
        <w:t>Ahmad 2018 reported the results of an Australian longitudinal MS study which was sponsored by MS Australia and not subject to peer review. The reported costs were informed by 15% (488/3163) of the study participants completing a cost diary over a period of 6 months. However, as only 2 of the participants resided in a nursing home, the nursing home costs were estimated indirectly using a variety of sources:</w:t>
      </w:r>
    </w:p>
    <w:p w:rsidR="00495619" w:rsidRPr="0000562D" w:rsidRDefault="00495619" w:rsidP="00495619">
      <w:pPr>
        <w:pStyle w:val="3-BodyText"/>
        <w:numPr>
          <w:ilvl w:val="1"/>
          <w:numId w:val="17"/>
        </w:numPr>
      </w:pPr>
      <w:r w:rsidRPr="0000562D">
        <w:t>The Australian Bureau of Statistics Survey of Disability, Aging and Carers 2009 (4430.0) in which it was estimated that 5.66% of people with MS reside in a nursing home. The ESC noted more recent reports for this survey dated 2012, 2015 and 2018 are available.</w:t>
      </w:r>
    </w:p>
    <w:p w:rsidR="00495619" w:rsidRPr="0000562D" w:rsidRDefault="00495619" w:rsidP="00495619">
      <w:pPr>
        <w:pStyle w:val="3-BodyText"/>
        <w:numPr>
          <w:ilvl w:val="1"/>
          <w:numId w:val="17"/>
        </w:numPr>
      </w:pPr>
      <w:r w:rsidRPr="0000562D">
        <w:t xml:space="preserve">The Australian Institute of Health and Welfare (AIHW) estimate of accommodation support which was $109,715 per person for 2015-16. This cost was inflated to 2017 levels. The ESC considered the AIHW estimate was unlikely to accurately reflect nursing home costs for MS patients as it is the mean amount paid under the NDIS for all people on the NDIS (not just those with MS) for ‘accommodation support’ (not just nursing home care; accommodation support is defined as services that provide accommodation to people with disability, and services that provide support to enable a person with disability to remain in their existing accommodation or to move to more suitable or appropriate accommodation). </w:t>
      </w:r>
    </w:p>
    <w:p w:rsidR="00495619" w:rsidRPr="0000562D" w:rsidRDefault="00495619" w:rsidP="00495619">
      <w:pPr>
        <w:pStyle w:val="3-BodyText"/>
        <w:numPr>
          <w:ilvl w:val="1"/>
          <w:numId w:val="17"/>
        </w:numPr>
      </w:pPr>
      <w:r w:rsidRPr="0000562D">
        <w:t xml:space="preserve">Based on the above, an estimated mean annual nursing home cost of </w:t>
      </w:r>
      <w:r w:rsidRPr="000C2725">
        <w:t>$</w:t>
      </w:r>
      <w:r w:rsidRPr="00EB7FF5">
        <w:t>6,343</w:t>
      </w:r>
      <w:r w:rsidRPr="000C2725">
        <w:t xml:space="preserve"> (= </w:t>
      </w:r>
      <w:r w:rsidRPr="00EB7FF5">
        <w:t>0.0566</w:t>
      </w:r>
      <w:r w:rsidRPr="000C2725">
        <w:t xml:space="preserve"> x 109,715 x </w:t>
      </w:r>
      <w:r w:rsidRPr="00EB7FF5">
        <w:t>1.0215</w:t>
      </w:r>
      <w:r w:rsidRPr="000C2725">
        <w:t>) was calculated. This cost was applied to the 18% (88/488) of the participants completing the cost diary classified as having ‘severe disability’ (defined as an EDSS score of 7 or more) to estimate an average nursing home</w:t>
      </w:r>
      <w:r w:rsidRPr="0000562D">
        <w:t xml:space="preserve"> cost of $</w:t>
      </w:r>
      <w:r w:rsidRPr="00EB7FF5">
        <w:t>35,175</w:t>
      </w:r>
      <w:r w:rsidRPr="0000562D">
        <w:t xml:space="preserve"> ($</w:t>
      </w:r>
      <w:r w:rsidRPr="00EB7FF5">
        <w:t>6,343</w:t>
      </w:r>
      <w:r w:rsidRPr="0000562D">
        <w:t>/0.18). The ESC noted applying the cost to the proportion with an EDSS ≥ 7 who responded to cost diary introduced further uncertainty.</w:t>
      </w:r>
    </w:p>
    <w:p w:rsidR="00495619" w:rsidRPr="0000562D" w:rsidRDefault="00495619" w:rsidP="00181B07">
      <w:pPr>
        <w:pStyle w:val="3-BodyText"/>
        <w:keepNext/>
        <w:keepLines/>
        <w:numPr>
          <w:ilvl w:val="0"/>
          <w:numId w:val="17"/>
        </w:numPr>
        <w:ind w:left="1434" w:hanging="357"/>
      </w:pPr>
      <w:r w:rsidRPr="0000562D">
        <w:lastRenderedPageBreak/>
        <w:t xml:space="preserve">Overall the ESC considered the estimated nursing home cost </w:t>
      </w:r>
      <w:r w:rsidRPr="000C2725">
        <w:t>of $</w:t>
      </w:r>
      <w:r w:rsidRPr="00EB7FF5">
        <w:t>35,175</w:t>
      </w:r>
      <w:r w:rsidRPr="000C2725">
        <w:t xml:space="preserve"> to</w:t>
      </w:r>
      <w:r w:rsidRPr="0000562D">
        <w:t xml:space="preserve"> be unreliable and not suitable for use in the economic model due to high uncertainty of the reliability of </w:t>
      </w:r>
      <w:r w:rsidRPr="00F10622">
        <w:t>this estimate. The ESC further noted that excluding this cost increased the ICER from $</w:t>
      </w:r>
      <w:r w:rsidR="00F10622">
        <w:t>45,000 to &lt; $55,000 per QALY</w:t>
      </w:r>
      <w:r w:rsidRPr="00F10622">
        <w:t xml:space="preserve"> to $</w:t>
      </w:r>
      <w:r w:rsidR="00F10622">
        <w:t>95,000 to &lt; $115,000 per QALY</w:t>
      </w:r>
      <w:r w:rsidRPr="00F10622">
        <w:t>.</w:t>
      </w:r>
      <w:r w:rsidRPr="0000562D">
        <w:t xml:space="preserve"> The ESC considered, in the absence of a reliable estimate of the nursing home cost or the reduction in the extent of nursing home care, the ICER excluding nursing home costs was more reliable.</w:t>
      </w:r>
    </w:p>
    <w:p w:rsidR="00495619" w:rsidRPr="00DB4E5A" w:rsidRDefault="00495619" w:rsidP="00495619">
      <w:pPr>
        <w:pStyle w:val="3-BodyText"/>
      </w:pPr>
      <w:r>
        <w:t xml:space="preserve">The </w:t>
      </w:r>
      <w:r w:rsidR="005E3DF4">
        <w:t>p</w:t>
      </w:r>
      <w:r>
        <w:t xml:space="preserve">re-PBAC </w:t>
      </w:r>
      <w:r w:rsidR="005E3DF4">
        <w:t>r</w:t>
      </w:r>
      <w:r>
        <w:t xml:space="preserve">esponse acknowledged the uncertainty regarding the true cost of residential care for patients with PPMS, however argued an assumption of no costs related to residential care, especially in EDSS 8.0 and above health states disregards the severity of disability patients face at later stages of their disease. The PBAC agreed in principle, however agreed with the ESC that the estimate in Ahmad 2018 was unreliable and further, considered the model assumption that all patients accrued these costs from EDSS 7.0 onwards in the model was unrealistic given many patients who are wheelchair-bound may be able to and would prefer to remain in the home setting. </w:t>
      </w:r>
    </w:p>
    <w:p w:rsidR="00495619" w:rsidRPr="00FE5A87" w:rsidRDefault="00495619" w:rsidP="00495619">
      <w:pPr>
        <w:pStyle w:val="3-BodyText"/>
      </w:pPr>
      <w:r w:rsidRPr="00FE5A87">
        <w:rPr>
          <w:color w:val="000000" w:themeColor="text1"/>
        </w:rPr>
        <w:t>Removing the mortality effect multipliers, as preferred by the PBAC</w:t>
      </w:r>
      <w:r>
        <w:rPr>
          <w:color w:val="000000" w:themeColor="text1"/>
        </w:rPr>
        <w:t xml:space="preserve"> previously</w:t>
      </w:r>
      <w:r w:rsidR="004307B9">
        <w:rPr>
          <w:color w:val="000000" w:themeColor="text1"/>
        </w:rPr>
        <w:t>,</w:t>
      </w:r>
      <w:r w:rsidRPr="00FE5A87">
        <w:rPr>
          <w:color w:val="000000" w:themeColor="text1"/>
        </w:rPr>
        <w:t xml:space="preserve"> </w:t>
      </w:r>
      <w:r>
        <w:rPr>
          <w:color w:val="000000" w:themeColor="text1"/>
        </w:rPr>
        <w:t>decreased</w:t>
      </w:r>
      <w:r w:rsidRPr="00FE5A87">
        <w:rPr>
          <w:color w:val="000000" w:themeColor="text1"/>
        </w:rPr>
        <w:t xml:space="preserve"> the ICER. This was largely driven by the high incremental costs accrued in the later EDSS health states for which the mortality effect multipliers are the highest, as well the use of negative utility values at high EDSS health states (i.e. patients in the comparator arm die sooner due to the mortality multiplier and hence spend less time in the higher EDSS states with a lower utility value and higher cost).</w:t>
      </w:r>
      <w:r>
        <w:rPr>
          <w:color w:val="000000" w:themeColor="text1"/>
        </w:rPr>
        <w:t xml:space="preserve"> </w:t>
      </w:r>
    </w:p>
    <w:p w:rsidR="00495619" w:rsidRPr="00FE5A87" w:rsidRDefault="00495619" w:rsidP="00495619">
      <w:pPr>
        <w:pStyle w:val="3-BodyText"/>
      </w:pPr>
      <w:r w:rsidRPr="00FE5A87">
        <w:t xml:space="preserve">While informative, the added functionality for treatment effect waning was applied as sudden reductions of treatment effect (the hazard ratio was multiplied by the waning percentage) starting at 10 years. This approach consequently underestimated the ICER for each scenario applying no efficacy decrement until the end of the waning effect period. </w:t>
      </w:r>
    </w:p>
    <w:p w:rsidR="00495619" w:rsidRPr="005E3DF4" w:rsidRDefault="00495619" w:rsidP="00495619">
      <w:pPr>
        <w:pStyle w:val="3-BodyText"/>
      </w:pPr>
      <w:r w:rsidRPr="005E3DF4">
        <w:t xml:space="preserve">Table 12 presents the results of the stepped economic analysis. </w:t>
      </w:r>
    </w:p>
    <w:p w:rsidR="00495619" w:rsidRPr="00F26748" w:rsidRDefault="00495619" w:rsidP="00495619">
      <w:pPr>
        <w:pStyle w:val="3-BodyText"/>
        <w:rPr>
          <w:rStyle w:val="CommentReference"/>
          <w:b w:val="0"/>
        </w:rPr>
      </w:pPr>
      <w:r w:rsidRPr="00DB37C0">
        <w:t xml:space="preserve">The results of key sensitivity analyses are summarised </w:t>
      </w:r>
      <w:r>
        <w:t>in</w:t>
      </w:r>
      <w:r w:rsidRPr="00412BEC">
        <w:t xml:space="preserve"> Table 1</w:t>
      </w:r>
      <w:r>
        <w:t xml:space="preserve">3. </w:t>
      </w:r>
    </w:p>
    <w:p w:rsidR="00495619" w:rsidRPr="00DB37C0" w:rsidRDefault="00495619" w:rsidP="00495619">
      <w:pPr>
        <w:pStyle w:val="TableFigureHeading"/>
      </w:pPr>
      <w:r w:rsidRPr="00DB37C0">
        <w:rPr>
          <w:rStyle w:val="CommentReference"/>
          <w:b/>
        </w:rPr>
        <w:lastRenderedPageBreak/>
        <w:t xml:space="preserve">Table </w:t>
      </w:r>
      <w:r>
        <w:rPr>
          <w:rStyle w:val="CommentReference"/>
          <w:b/>
          <w:noProof/>
        </w:rPr>
        <w:t>12</w:t>
      </w:r>
      <w:r w:rsidRPr="00DB37C0">
        <w:rPr>
          <w:rStyle w:val="CommentReference"/>
          <w:b/>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9"/>
        <w:gridCol w:w="2087"/>
        <w:gridCol w:w="2088"/>
        <w:gridCol w:w="2083"/>
      </w:tblGrid>
      <w:tr w:rsidR="00495619" w:rsidRPr="00DB37C0" w:rsidTr="00934917">
        <w:trPr>
          <w:tblHeader/>
        </w:trPr>
        <w:tc>
          <w:tcPr>
            <w:tcW w:w="1530" w:type="pct"/>
            <w:vAlign w:val="center"/>
          </w:tcPr>
          <w:p w:rsidR="00495619" w:rsidRPr="00DB37C0" w:rsidRDefault="00495619" w:rsidP="00934917">
            <w:pPr>
              <w:pStyle w:val="In-tableHeading"/>
              <w:rPr>
                <w:lang w:val="en-AU"/>
              </w:rPr>
            </w:pPr>
            <w:r w:rsidRPr="00DB37C0">
              <w:rPr>
                <w:lang w:val="en-AU"/>
              </w:rPr>
              <w:t>Step and component</w:t>
            </w:r>
          </w:p>
        </w:tc>
        <w:tc>
          <w:tcPr>
            <w:tcW w:w="1157" w:type="pct"/>
            <w:vAlign w:val="center"/>
          </w:tcPr>
          <w:p w:rsidR="00495619" w:rsidRPr="00DB37C0" w:rsidRDefault="00495619" w:rsidP="00934917">
            <w:pPr>
              <w:pStyle w:val="In-tableHeading"/>
              <w:jc w:val="center"/>
              <w:rPr>
                <w:lang w:val="en-AU"/>
              </w:rPr>
            </w:pPr>
            <w:r w:rsidRPr="00DB37C0">
              <w:rPr>
                <w:lang w:val="en-AU"/>
              </w:rPr>
              <w:t>Ocrelizumab</w:t>
            </w:r>
          </w:p>
        </w:tc>
        <w:tc>
          <w:tcPr>
            <w:tcW w:w="1158" w:type="pct"/>
            <w:vAlign w:val="center"/>
          </w:tcPr>
          <w:p w:rsidR="00495619" w:rsidRPr="00DB37C0" w:rsidRDefault="00495619" w:rsidP="00934917">
            <w:pPr>
              <w:pStyle w:val="In-tableHeading"/>
              <w:jc w:val="center"/>
              <w:rPr>
                <w:lang w:val="en-AU"/>
              </w:rPr>
            </w:pPr>
            <w:r w:rsidRPr="00DB37C0">
              <w:rPr>
                <w:lang w:val="en-AU"/>
              </w:rPr>
              <w:t>BSC</w:t>
            </w:r>
          </w:p>
        </w:tc>
        <w:tc>
          <w:tcPr>
            <w:tcW w:w="1155" w:type="pct"/>
            <w:vAlign w:val="center"/>
          </w:tcPr>
          <w:p w:rsidR="00495619" w:rsidRPr="00DB37C0" w:rsidRDefault="00495619" w:rsidP="00934917">
            <w:pPr>
              <w:pStyle w:val="In-tableHeading"/>
              <w:jc w:val="center"/>
              <w:rPr>
                <w:lang w:val="en-AU"/>
              </w:rPr>
            </w:pPr>
            <w:r w:rsidRPr="00DB37C0">
              <w:rPr>
                <w:lang w:val="en-AU"/>
              </w:rPr>
              <w:t>Increment</w:t>
            </w:r>
          </w:p>
        </w:tc>
      </w:tr>
      <w:tr w:rsidR="00495619" w:rsidRPr="00DB37C0" w:rsidTr="00934917">
        <w:tc>
          <w:tcPr>
            <w:tcW w:w="5000" w:type="pct"/>
            <w:gridSpan w:val="4"/>
            <w:vAlign w:val="center"/>
          </w:tcPr>
          <w:p w:rsidR="00495619" w:rsidRPr="00DB37C0" w:rsidRDefault="00495619" w:rsidP="00934917">
            <w:pPr>
              <w:pStyle w:val="TableText0"/>
              <w:rPr>
                <w:b/>
                <w:snapToGrid w:val="0"/>
              </w:rPr>
            </w:pPr>
            <w:r w:rsidRPr="00DB37C0">
              <w:rPr>
                <w:b/>
                <w:snapToGrid w:val="0"/>
              </w:rPr>
              <w:t>Step 1: trial-based costs and outcomes</w:t>
            </w:r>
          </w:p>
        </w:tc>
      </w:tr>
      <w:tr w:rsidR="00495619" w:rsidRPr="00DB37C0" w:rsidTr="00934917">
        <w:tc>
          <w:tcPr>
            <w:tcW w:w="1530" w:type="pct"/>
            <w:vAlign w:val="center"/>
          </w:tcPr>
          <w:p w:rsidR="00495619" w:rsidRPr="00DB37C0" w:rsidRDefault="00495619" w:rsidP="00934917">
            <w:pPr>
              <w:pStyle w:val="TableText0"/>
              <w:rPr>
                <w:rFonts w:eastAsia="Times New Roman" w:cs="Times New Roman"/>
              </w:rPr>
            </w:pPr>
            <w:r w:rsidRPr="00DB37C0">
              <w:t>Costs</w:t>
            </w:r>
          </w:p>
        </w:tc>
        <w:tc>
          <w:tcPr>
            <w:tcW w:w="1157"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w:t>
            </w:r>
            <w:r w:rsidR="00177267">
              <w:rPr>
                <w:rFonts w:eastAsia="Times New Roman" w:cs="Times New Roman"/>
                <w:noProof/>
                <w:color w:val="000000"/>
                <w:highlight w:val="black"/>
              </w:rPr>
              <w:t>''''''''''''''''</w:t>
            </w:r>
          </w:p>
        </w:tc>
        <w:tc>
          <w:tcPr>
            <w:tcW w:w="1158"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$0</w:t>
            </w:r>
          </w:p>
        </w:tc>
        <w:tc>
          <w:tcPr>
            <w:tcW w:w="1155"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w:t>
            </w:r>
            <w:r w:rsidR="00177267">
              <w:rPr>
                <w:rFonts w:eastAsia="Times New Roman" w:cs="Times New Roman"/>
                <w:noProof/>
                <w:color w:val="000000"/>
                <w:highlight w:val="black"/>
              </w:rPr>
              <w:t>''''''''''''''''</w:t>
            </w:r>
          </w:p>
        </w:tc>
      </w:tr>
      <w:tr w:rsidR="00495619" w:rsidRPr="00DB37C0" w:rsidTr="00934917">
        <w:tc>
          <w:tcPr>
            <w:tcW w:w="1530" w:type="pct"/>
            <w:vAlign w:val="center"/>
          </w:tcPr>
          <w:p w:rsidR="00495619" w:rsidRPr="00DB37C0" w:rsidRDefault="00495619" w:rsidP="00934917">
            <w:pPr>
              <w:pStyle w:val="TableText0"/>
              <w:rPr>
                <w:rFonts w:eastAsia="Times New Roman" w:cs="Times New Roman"/>
              </w:rPr>
            </w:pPr>
            <w:r w:rsidRPr="00DB37C0">
              <w:t>LY</w:t>
            </w:r>
          </w:p>
        </w:tc>
        <w:tc>
          <w:tcPr>
            <w:tcW w:w="1157" w:type="pct"/>
          </w:tcPr>
          <w:p w:rsidR="00495619" w:rsidRPr="00DB37C0" w:rsidRDefault="00495619" w:rsidP="00934917">
            <w:pPr>
              <w:pStyle w:val="TableText0"/>
              <w:jc w:val="center"/>
            </w:pPr>
            <w:r w:rsidRPr="00DB37C0">
              <w:t>2.850</w:t>
            </w:r>
          </w:p>
        </w:tc>
        <w:tc>
          <w:tcPr>
            <w:tcW w:w="1158" w:type="pct"/>
          </w:tcPr>
          <w:p w:rsidR="00495619" w:rsidRPr="00DB37C0" w:rsidRDefault="00495619" w:rsidP="00934917">
            <w:pPr>
              <w:pStyle w:val="TableText0"/>
              <w:jc w:val="center"/>
            </w:pPr>
            <w:r w:rsidRPr="00DB37C0">
              <w:t>2.850</w:t>
            </w:r>
          </w:p>
        </w:tc>
        <w:tc>
          <w:tcPr>
            <w:tcW w:w="1155" w:type="pct"/>
          </w:tcPr>
          <w:p w:rsidR="00495619" w:rsidRPr="00DB37C0" w:rsidRDefault="00495619" w:rsidP="00934917">
            <w:pPr>
              <w:pStyle w:val="TableText0"/>
              <w:jc w:val="center"/>
            </w:pPr>
            <w:r w:rsidRPr="00DB37C0">
              <w:t>0.000</w:t>
            </w:r>
          </w:p>
        </w:tc>
      </w:tr>
      <w:tr w:rsidR="00495619" w:rsidRPr="00DB37C0" w:rsidTr="00934917">
        <w:tc>
          <w:tcPr>
            <w:tcW w:w="1530" w:type="pct"/>
            <w:vAlign w:val="center"/>
          </w:tcPr>
          <w:p w:rsidR="00495619" w:rsidRPr="00DB37C0" w:rsidRDefault="00495619" w:rsidP="00934917">
            <w:pPr>
              <w:pStyle w:val="TableText0"/>
            </w:pPr>
            <w:r w:rsidRPr="00DB37C0">
              <w:t>QALY</w:t>
            </w:r>
          </w:p>
        </w:tc>
        <w:tc>
          <w:tcPr>
            <w:tcW w:w="1157" w:type="pct"/>
            <w:vAlign w:val="center"/>
          </w:tcPr>
          <w:p w:rsidR="00495619" w:rsidRPr="00DB37C0" w:rsidRDefault="00495619" w:rsidP="00934917">
            <w:pPr>
              <w:pStyle w:val="TableText0"/>
              <w:jc w:val="center"/>
            </w:pPr>
            <w:r w:rsidRPr="00DB37C0">
              <w:t>1.907</w:t>
            </w:r>
          </w:p>
        </w:tc>
        <w:tc>
          <w:tcPr>
            <w:tcW w:w="1158" w:type="pct"/>
            <w:vAlign w:val="center"/>
          </w:tcPr>
          <w:p w:rsidR="00495619" w:rsidRPr="00DB37C0" w:rsidRDefault="00495619" w:rsidP="00934917">
            <w:pPr>
              <w:pStyle w:val="TableText0"/>
              <w:jc w:val="center"/>
            </w:pPr>
            <w:r w:rsidRPr="00DB37C0">
              <w:t>1.866</w:t>
            </w:r>
          </w:p>
        </w:tc>
        <w:tc>
          <w:tcPr>
            <w:tcW w:w="1155" w:type="pct"/>
            <w:vAlign w:val="center"/>
          </w:tcPr>
          <w:p w:rsidR="00495619" w:rsidRPr="00DB37C0" w:rsidRDefault="00495619" w:rsidP="00934917">
            <w:pPr>
              <w:pStyle w:val="TableText0"/>
              <w:jc w:val="center"/>
            </w:pPr>
            <w:r w:rsidRPr="00DB37C0">
              <w:t>0.042</w:t>
            </w:r>
          </w:p>
        </w:tc>
      </w:tr>
      <w:tr w:rsidR="00495619" w:rsidRPr="00DB37C0" w:rsidTr="00934917">
        <w:tc>
          <w:tcPr>
            <w:tcW w:w="3845" w:type="pct"/>
            <w:gridSpan w:val="3"/>
            <w:vAlign w:val="center"/>
          </w:tcPr>
          <w:p w:rsidR="00495619" w:rsidRPr="00DB37C0" w:rsidRDefault="00495619" w:rsidP="00934917">
            <w:pPr>
              <w:pStyle w:val="TableText0"/>
              <w:rPr>
                <w:rFonts w:eastAsia="Times New Roman" w:cs="Times New Roman"/>
                <w:b/>
                <w:snapToGrid w:val="0"/>
              </w:rPr>
            </w:pPr>
            <w:r w:rsidRPr="00DB37C0">
              <w:rPr>
                <w:b/>
              </w:rPr>
              <w:t>Incremental cost/QALY gained</w:t>
            </w:r>
          </w:p>
        </w:tc>
        <w:tc>
          <w:tcPr>
            <w:tcW w:w="1155" w:type="pct"/>
            <w:vAlign w:val="center"/>
          </w:tcPr>
          <w:p w:rsidR="00495619" w:rsidRPr="00DB37C0" w:rsidRDefault="00495619" w:rsidP="00934917">
            <w:pPr>
              <w:pStyle w:val="TableText0"/>
              <w:jc w:val="center"/>
              <w:rPr>
                <w:rFonts w:eastAsia="Times New Roman" w:cs="Times New Roman"/>
                <w:b/>
              </w:rPr>
            </w:pPr>
            <w:r w:rsidRPr="00DB37C0">
              <w:rPr>
                <w:rFonts w:eastAsia="Times New Roman" w:cs="Times New Roman"/>
                <w:b/>
              </w:rPr>
              <w:t>$</w:t>
            </w:r>
            <w:r w:rsidR="00177267">
              <w:rPr>
                <w:rFonts w:eastAsia="Times New Roman" w:cs="Times New Roman"/>
                <w:b/>
                <w:noProof/>
                <w:color w:val="000000"/>
                <w:highlight w:val="black"/>
              </w:rPr>
              <w:t>'''''''''''''''''''</w:t>
            </w:r>
          </w:p>
        </w:tc>
      </w:tr>
      <w:tr w:rsidR="00495619" w:rsidRPr="00DB37C0" w:rsidTr="00934917">
        <w:tc>
          <w:tcPr>
            <w:tcW w:w="5000" w:type="pct"/>
            <w:gridSpan w:val="4"/>
            <w:vAlign w:val="center"/>
          </w:tcPr>
          <w:p w:rsidR="00495619" w:rsidRPr="00DB37C0" w:rsidRDefault="00495619" w:rsidP="00934917">
            <w:pPr>
              <w:pStyle w:val="TableText0"/>
              <w:rPr>
                <w:b/>
                <w:snapToGrid w:val="0"/>
              </w:rPr>
            </w:pPr>
            <w:r w:rsidRPr="00DB37C0">
              <w:rPr>
                <w:b/>
                <w:snapToGrid w:val="0"/>
              </w:rPr>
              <w:t xml:space="preserve">Step 2: </w:t>
            </w:r>
            <w:r w:rsidRPr="00DB37C0">
              <w:rPr>
                <w:b/>
              </w:rPr>
              <w:t>extrapolation over lifetime horizon</w:t>
            </w:r>
          </w:p>
        </w:tc>
      </w:tr>
      <w:tr w:rsidR="00495619" w:rsidRPr="00DB37C0" w:rsidTr="00934917">
        <w:tc>
          <w:tcPr>
            <w:tcW w:w="1530" w:type="pct"/>
            <w:vAlign w:val="center"/>
          </w:tcPr>
          <w:p w:rsidR="00495619" w:rsidRPr="00DB37C0" w:rsidRDefault="00495619" w:rsidP="00934917">
            <w:pPr>
              <w:pStyle w:val="TableText0"/>
              <w:rPr>
                <w:rFonts w:eastAsia="Times New Roman" w:cs="Times New Roman"/>
              </w:rPr>
            </w:pPr>
            <w:r w:rsidRPr="00DB37C0">
              <w:t>Costs</w:t>
            </w:r>
          </w:p>
        </w:tc>
        <w:tc>
          <w:tcPr>
            <w:tcW w:w="1157"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w:t>
            </w:r>
            <w:r w:rsidR="00177267">
              <w:rPr>
                <w:rFonts w:eastAsia="Times New Roman" w:cs="Times New Roman"/>
                <w:noProof/>
                <w:color w:val="000000"/>
                <w:highlight w:val="black"/>
              </w:rPr>
              <w:t>''''''''''''''''''''</w:t>
            </w:r>
          </w:p>
        </w:tc>
        <w:tc>
          <w:tcPr>
            <w:tcW w:w="1158"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$0</w:t>
            </w:r>
          </w:p>
        </w:tc>
        <w:tc>
          <w:tcPr>
            <w:tcW w:w="1155"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w:t>
            </w:r>
            <w:r w:rsidR="00177267">
              <w:rPr>
                <w:rFonts w:eastAsia="Times New Roman" w:cs="Times New Roman"/>
                <w:noProof/>
                <w:color w:val="000000"/>
                <w:highlight w:val="black"/>
              </w:rPr>
              <w:t>''''''''''''''''''''''</w:t>
            </w:r>
          </w:p>
        </w:tc>
      </w:tr>
      <w:tr w:rsidR="00495619" w:rsidRPr="00DB37C0" w:rsidTr="00934917">
        <w:tc>
          <w:tcPr>
            <w:tcW w:w="1530" w:type="pct"/>
            <w:vAlign w:val="center"/>
          </w:tcPr>
          <w:p w:rsidR="00495619" w:rsidRPr="00DB37C0" w:rsidRDefault="00495619" w:rsidP="00934917">
            <w:pPr>
              <w:pStyle w:val="TableText0"/>
              <w:rPr>
                <w:rFonts w:eastAsia="Times New Roman" w:cs="Times New Roman"/>
              </w:rPr>
            </w:pPr>
            <w:r w:rsidRPr="00DB37C0">
              <w:t>LY</w:t>
            </w:r>
          </w:p>
        </w:tc>
        <w:tc>
          <w:tcPr>
            <w:tcW w:w="1157"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16.260</w:t>
            </w:r>
          </w:p>
        </w:tc>
        <w:tc>
          <w:tcPr>
            <w:tcW w:w="1158"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16.014</w:t>
            </w:r>
          </w:p>
        </w:tc>
        <w:tc>
          <w:tcPr>
            <w:tcW w:w="1155"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0.245</w:t>
            </w:r>
          </w:p>
        </w:tc>
      </w:tr>
      <w:tr w:rsidR="00495619" w:rsidRPr="00DB37C0" w:rsidTr="00934917">
        <w:tc>
          <w:tcPr>
            <w:tcW w:w="1530" w:type="pct"/>
            <w:vAlign w:val="center"/>
          </w:tcPr>
          <w:p w:rsidR="00495619" w:rsidRPr="00DB37C0" w:rsidRDefault="00495619" w:rsidP="00934917">
            <w:pPr>
              <w:pStyle w:val="TableText0"/>
            </w:pPr>
            <w:r w:rsidRPr="00DB37C0">
              <w:t>QALY</w:t>
            </w:r>
          </w:p>
        </w:tc>
        <w:tc>
          <w:tcPr>
            <w:tcW w:w="1157" w:type="pct"/>
            <w:vAlign w:val="center"/>
          </w:tcPr>
          <w:p w:rsidR="00495619" w:rsidRPr="00DB37C0" w:rsidRDefault="00495619" w:rsidP="00934917">
            <w:pPr>
              <w:pStyle w:val="TableText0"/>
              <w:jc w:val="center"/>
            </w:pPr>
            <w:r w:rsidRPr="00DB37C0">
              <w:t>8.749</w:t>
            </w:r>
          </w:p>
        </w:tc>
        <w:tc>
          <w:tcPr>
            <w:tcW w:w="1158" w:type="pct"/>
            <w:vAlign w:val="center"/>
          </w:tcPr>
          <w:p w:rsidR="00495619" w:rsidRPr="00DB37C0" w:rsidRDefault="00495619" w:rsidP="00934917">
            <w:pPr>
              <w:pStyle w:val="TableText0"/>
              <w:jc w:val="center"/>
            </w:pPr>
            <w:r w:rsidRPr="00DB37C0">
              <w:t>7.453</w:t>
            </w:r>
          </w:p>
        </w:tc>
        <w:tc>
          <w:tcPr>
            <w:tcW w:w="1155" w:type="pct"/>
            <w:vAlign w:val="center"/>
          </w:tcPr>
          <w:p w:rsidR="00495619" w:rsidRPr="00DB37C0" w:rsidRDefault="00495619" w:rsidP="00934917">
            <w:pPr>
              <w:pStyle w:val="TableText0"/>
              <w:jc w:val="center"/>
            </w:pPr>
            <w:r w:rsidRPr="00DB37C0">
              <w:t>1.296</w:t>
            </w:r>
          </w:p>
        </w:tc>
      </w:tr>
      <w:tr w:rsidR="00495619" w:rsidRPr="00DB37C0" w:rsidTr="00934917">
        <w:tc>
          <w:tcPr>
            <w:tcW w:w="3845" w:type="pct"/>
            <w:gridSpan w:val="3"/>
            <w:vAlign w:val="center"/>
          </w:tcPr>
          <w:p w:rsidR="00495619" w:rsidRPr="00DB37C0" w:rsidRDefault="00495619" w:rsidP="00934917">
            <w:pPr>
              <w:pStyle w:val="TableText0"/>
              <w:rPr>
                <w:rFonts w:eastAsia="Times New Roman" w:cs="Times New Roman"/>
                <w:b/>
                <w:snapToGrid w:val="0"/>
              </w:rPr>
            </w:pPr>
            <w:r w:rsidRPr="00DB37C0">
              <w:rPr>
                <w:b/>
              </w:rPr>
              <w:t>Incremental cost/QALY gained</w:t>
            </w:r>
          </w:p>
        </w:tc>
        <w:tc>
          <w:tcPr>
            <w:tcW w:w="1155" w:type="pct"/>
            <w:vAlign w:val="center"/>
          </w:tcPr>
          <w:p w:rsidR="00495619" w:rsidRPr="00DB37C0" w:rsidRDefault="00495619" w:rsidP="00934917">
            <w:pPr>
              <w:pStyle w:val="TableText0"/>
              <w:jc w:val="center"/>
              <w:rPr>
                <w:rFonts w:eastAsia="Times New Roman" w:cs="Times New Roman"/>
                <w:b/>
              </w:rPr>
            </w:pPr>
            <w:r w:rsidRPr="00DB37C0">
              <w:rPr>
                <w:rFonts w:eastAsia="Times New Roman" w:cs="Times New Roman"/>
                <w:b/>
              </w:rPr>
              <w:t>$</w:t>
            </w:r>
            <w:r w:rsidR="00177267">
              <w:rPr>
                <w:rFonts w:eastAsia="Times New Roman" w:cs="Times New Roman"/>
                <w:b/>
                <w:noProof/>
                <w:color w:val="000000"/>
                <w:highlight w:val="black"/>
              </w:rPr>
              <w:t>''''''''''''''</w:t>
            </w:r>
          </w:p>
        </w:tc>
      </w:tr>
      <w:tr w:rsidR="00495619" w:rsidRPr="00DB37C0" w:rsidTr="00934917">
        <w:tc>
          <w:tcPr>
            <w:tcW w:w="5000" w:type="pct"/>
            <w:gridSpan w:val="4"/>
            <w:vAlign w:val="center"/>
          </w:tcPr>
          <w:p w:rsidR="00495619" w:rsidRPr="00DB37C0" w:rsidRDefault="00FF070E" w:rsidP="00934917">
            <w:pPr>
              <w:pStyle w:val="TableText0"/>
              <w:rPr>
                <w:b/>
                <w:snapToGrid w:val="0"/>
              </w:rPr>
            </w:pPr>
            <w:r>
              <w:rPr>
                <w:b/>
                <w:snapToGrid w:val="0"/>
              </w:rPr>
              <w:t xml:space="preserve">Step 3: incorporation </w:t>
            </w:r>
            <w:r w:rsidR="00495619" w:rsidRPr="00DB37C0">
              <w:rPr>
                <w:b/>
                <w:snapToGrid w:val="0"/>
              </w:rPr>
              <w:t>of medical resource utilisation costs</w:t>
            </w:r>
          </w:p>
        </w:tc>
      </w:tr>
      <w:tr w:rsidR="00495619" w:rsidRPr="00DB37C0" w:rsidTr="00934917">
        <w:tc>
          <w:tcPr>
            <w:tcW w:w="1530" w:type="pct"/>
            <w:vAlign w:val="center"/>
          </w:tcPr>
          <w:p w:rsidR="00495619" w:rsidRPr="00DB37C0" w:rsidRDefault="00495619" w:rsidP="00934917">
            <w:pPr>
              <w:pStyle w:val="TableText0"/>
              <w:rPr>
                <w:rFonts w:eastAsia="Times New Roman" w:cs="Times New Roman"/>
              </w:rPr>
            </w:pPr>
            <w:r w:rsidRPr="00DB37C0">
              <w:t>Costs</w:t>
            </w:r>
          </w:p>
        </w:tc>
        <w:tc>
          <w:tcPr>
            <w:tcW w:w="1157"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w:t>
            </w:r>
            <w:r w:rsidR="00177267">
              <w:rPr>
                <w:rFonts w:eastAsia="Times New Roman" w:cs="Times New Roman"/>
                <w:noProof/>
                <w:color w:val="000000"/>
                <w:highlight w:val="black"/>
              </w:rPr>
              <w:t>''''''''''''''''''''</w:t>
            </w:r>
          </w:p>
        </w:tc>
        <w:tc>
          <w:tcPr>
            <w:tcW w:w="1158"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w:t>
            </w:r>
            <w:r w:rsidRPr="00111D50">
              <w:rPr>
                <w:rFonts w:eastAsia="Times New Roman" w:cs="Times New Roman"/>
              </w:rPr>
              <w:t>399,632</w:t>
            </w:r>
          </w:p>
        </w:tc>
        <w:tc>
          <w:tcPr>
            <w:tcW w:w="1155"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w:t>
            </w:r>
            <w:r w:rsidR="00177267">
              <w:rPr>
                <w:rFonts w:eastAsia="Times New Roman" w:cs="Times New Roman"/>
                <w:noProof/>
                <w:color w:val="000000"/>
                <w:highlight w:val="black"/>
              </w:rPr>
              <w:t>''''''''''''''''''''</w:t>
            </w:r>
          </w:p>
        </w:tc>
      </w:tr>
      <w:tr w:rsidR="00495619" w:rsidRPr="00DB37C0" w:rsidTr="00934917">
        <w:tc>
          <w:tcPr>
            <w:tcW w:w="1530" w:type="pct"/>
            <w:vAlign w:val="center"/>
          </w:tcPr>
          <w:p w:rsidR="00495619" w:rsidRPr="00DB37C0" w:rsidRDefault="00495619" w:rsidP="00934917">
            <w:pPr>
              <w:pStyle w:val="TableText0"/>
              <w:rPr>
                <w:rFonts w:eastAsia="Times New Roman" w:cs="Times New Roman"/>
              </w:rPr>
            </w:pPr>
            <w:r w:rsidRPr="00DB37C0">
              <w:t>LY</w:t>
            </w:r>
          </w:p>
        </w:tc>
        <w:tc>
          <w:tcPr>
            <w:tcW w:w="1157"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16.260</w:t>
            </w:r>
          </w:p>
        </w:tc>
        <w:tc>
          <w:tcPr>
            <w:tcW w:w="1158"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16.014</w:t>
            </w:r>
          </w:p>
        </w:tc>
        <w:tc>
          <w:tcPr>
            <w:tcW w:w="1155"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0.245</w:t>
            </w:r>
          </w:p>
        </w:tc>
      </w:tr>
      <w:tr w:rsidR="00495619" w:rsidRPr="00DB37C0" w:rsidTr="00934917">
        <w:tc>
          <w:tcPr>
            <w:tcW w:w="1530" w:type="pct"/>
            <w:vAlign w:val="center"/>
          </w:tcPr>
          <w:p w:rsidR="00495619" w:rsidRPr="00DB37C0" w:rsidRDefault="00495619" w:rsidP="00934917">
            <w:pPr>
              <w:pStyle w:val="TableText0"/>
            </w:pPr>
            <w:r w:rsidRPr="00DB37C0">
              <w:t>QALY</w:t>
            </w:r>
          </w:p>
        </w:tc>
        <w:tc>
          <w:tcPr>
            <w:tcW w:w="1157" w:type="pct"/>
            <w:vAlign w:val="center"/>
          </w:tcPr>
          <w:p w:rsidR="00495619" w:rsidRPr="00DB37C0" w:rsidRDefault="00495619" w:rsidP="00934917">
            <w:pPr>
              <w:pStyle w:val="TableText0"/>
              <w:jc w:val="center"/>
            </w:pPr>
            <w:r w:rsidRPr="00DB37C0">
              <w:t>8.749</w:t>
            </w:r>
          </w:p>
        </w:tc>
        <w:tc>
          <w:tcPr>
            <w:tcW w:w="1158" w:type="pct"/>
            <w:vAlign w:val="center"/>
          </w:tcPr>
          <w:p w:rsidR="00495619" w:rsidRPr="00DB37C0" w:rsidRDefault="00495619" w:rsidP="00934917">
            <w:pPr>
              <w:pStyle w:val="TableText0"/>
              <w:jc w:val="center"/>
            </w:pPr>
            <w:r w:rsidRPr="00DB37C0">
              <w:t>7.453</w:t>
            </w:r>
          </w:p>
        </w:tc>
        <w:tc>
          <w:tcPr>
            <w:tcW w:w="1155" w:type="pct"/>
            <w:vAlign w:val="center"/>
          </w:tcPr>
          <w:p w:rsidR="00495619" w:rsidRPr="00DB37C0" w:rsidRDefault="00495619" w:rsidP="00934917">
            <w:pPr>
              <w:pStyle w:val="TableText0"/>
              <w:jc w:val="center"/>
            </w:pPr>
            <w:r w:rsidRPr="00DB37C0">
              <w:t>1.296</w:t>
            </w:r>
          </w:p>
        </w:tc>
      </w:tr>
      <w:tr w:rsidR="00495619" w:rsidRPr="00DB37C0" w:rsidTr="00934917">
        <w:tc>
          <w:tcPr>
            <w:tcW w:w="3845" w:type="pct"/>
            <w:gridSpan w:val="3"/>
            <w:vAlign w:val="center"/>
          </w:tcPr>
          <w:p w:rsidR="00495619" w:rsidRPr="00DB37C0" w:rsidRDefault="00495619" w:rsidP="00934917">
            <w:pPr>
              <w:pStyle w:val="TableText0"/>
              <w:rPr>
                <w:rFonts w:eastAsia="Times New Roman" w:cs="Times New Roman"/>
                <w:b/>
              </w:rPr>
            </w:pPr>
            <w:r w:rsidRPr="00DB37C0">
              <w:rPr>
                <w:b/>
              </w:rPr>
              <w:t>Incremental cost/QALY gained</w:t>
            </w:r>
          </w:p>
        </w:tc>
        <w:tc>
          <w:tcPr>
            <w:tcW w:w="1155" w:type="pct"/>
            <w:vAlign w:val="center"/>
          </w:tcPr>
          <w:p w:rsidR="00495619" w:rsidRPr="00DB37C0" w:rsidRDefault="00495619" w:rsidP="00934917">
            <w:pPr>
              <w:pStyle w:val="TableText0"/>
              <w:jc w:val="center"/>
              <w:rPr>
                <w:rFonts w:eastAsia="Times New Roman" w:cs="Times New Roman"/>
                <w:b/>
              </w:rPr>
            </w:pPr>
            <w:r w:rsidRPr="00DB37C0">
              <w:rPr>
                <w:rFonts w:eastAsia="Times New Roman" w:cs="Times New Roman"/>
                <w:b/>
              </w:rPr>
              <w:t>$</w:t>
            </w:r>
            <w:r w:rsidR="00177267">
              <w:rPr>
                <w:rFonts w:eastAsia="Times New Roman" w:cs="Times New Roman"/>
                <w:b/>
                <w:noProof/>
                <w:color w:val="000000"/>
                <w:highlight w:val="black"/>
              </w:rPr>
              <w:t>''''''''''''''''</w:t>
            </w:r>
          </w:p>
        </w:tc>
      </w:tr>
      <w:tr w:rsidR="00495619" w:rsidRPr="00DB37C0" w:rsidTr="00934917">
        <w:tc>
          <w:tcPr>
            <w:tcW w:w="5000" w:type="pct"/>
            <w:gridSpan w:val="4"/>
            <w:vAlign w:val="center"/>
          </w:tcPr>
          <w:p w:rsidR="00495619" w:rsidRPr="00DB37C0" w:rsidRDefault="00495619" w:rsidP="00934917">
            <w:pPr>
              <w:pStyle w:val="TableText0"/>
              <w:rPr>
                <w:b/>
                <w:snapToGrid w:val="0"/>
              </w:rPr>
            </w:pPr>
            <w:r w:rsidRPr="00DB37C0">
              <w:rPr>
                <w:b/>
                <w:snapToGrid w:val="0"/>
              </w:rPr>
              <w:t>Step 4: incorporation of AE costs</w:t>
            </w:r>
          </w:p>
        </w:tc>
      </w:tr>
      <w:tr w:rsidR="00495619" w:rsidRPr="00DB37C0" w:rsidTr="00934917">
        <w:tc>
          <w:tcPr>
            <w:tcW w:w="1530" w:type="pct"/>
            <w:vAlign w:val="center"/>
          </w:tcPr>
          <w:p w:rsidR="00495619" w:rsidRPr="00DB37C0" w:rsidRDefault="00495619" w:rsidP="00934917">
            <w:pPr>
              <w:pStyle w:val="TableText0"/>
              <w:rPr>
                <w:rFonts w:eastAsia="Times New Roman" w:cs="Times New Roman"/>
              </w:rPr>
            </w:pPr>
            <w:r w:rsidRPr="00DB37C0">
              <w:t>Costs</w:t>
            </w:r>
          </w:p>
        </w:tc>
        <w:tc>
          <w:tcPr>
            <w:tcW w:w="1157"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w:t>
            </w:r>
            <w:r w:rsidR="00177267">
              <w:rPr>
                <w:rFonts w:eastAsia="Times New Roman" w:cs="Times New Roman"/>
                <w:noProof/>
                <w:color w:val="000000"/>
                <w:highlight w:val="black"/>
              </w:rPr>
              <w:t>''''''''''''''''''</w:t>
            </w:r>
          </w:p>
        </w:tc>
        <w:tc>
          <w:tcPr>
            <w:tcW w:w="1158"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w:t>
            </w:r>
            <w:r w:rsidRPr="00111D50">
              <w:rPr>
                <w:rFonts w:eastAsia="Times New Roman" w:cs="Times New Roman"/>
              </w:rPr>
              <w:t>399,632</w:t>
            </w:r>
          </w:p>
        </w:tc>
        <w:tc>
          <w:tcPr>
            <w:tcW w:w="1155" w:type="pct"/>
          </w:tcPr>
          <w:p w:rsidR="00495619" w:rsidRPr="00DB37C0" w:rsidRDefault="00F10622" w:rsidP="00934917">
            <w:pPr>
              <w:pStyle w:val="TableText0"/>
              <w:jc w:val="center"/>
              <w:rPr>
                <w:rFonts w:eastAsia="Times New Roman" w:cs="Times New Roman"/>
              </w:rPr>
            </w:pPr>
            <w:r>
              <w:rPr>
                <w:rFonts w:eastAsia="Times New Roman" w:cs="Times New Roman"/>
              </w:rPr>
              <w:t>$</w:t>
            </w:r>
            <w:r w:rsidR="00177267">
              <w:rPr>
                <w:rFonts w:eastAsia="Times New Roman" w:cs="Times New Roman"/>
                <w:noProof/>
                <w:color w:val="000000"/>
                <w:highlight w:val="black"/>
              </w:rPr>
              <w:t>''''''''''''''''''''</w:t>
            </w:r>
          </w:p>
        </w:tc>
      </w:tr>
      <w:tr w:rsidR="00495619" w:rsidRPr="00DB37C0" w:rsidTr="00934917">
        <w:tc>
          <w:tcPr>
            <w:tcW w:w="1530" w:type="pct"/>
            <w:vAlign w:val="center"/>
          </w:tcPr>
          <w:p w:rsidR="00495619" w:rsidRPr="00DB37C0" w:rsidRDefault="00495619" w:rsidP="00934917">
            <w:pPr>
              <w:pStyle w:val="TableText0"/>
              <w:rPr>
                <w:rFonts w:eastAsia="Times New Roman" w:cs="Times New Roman"/>
              </w:rPr>
            </w:pPr>
            <w:r w:rsidRPr="00DB37C0">
              <w:t>LY</w:t>
            </w:r>
          </w:p>
        </w:tc>
        <w:tc>
          <w:tcPr>
            <w:tcW w:w="1157"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16.260</w:t>
            </w:r>
          </w:p>
        </w:tc>
        <w:tc>
          <w:tcPr>
            <w:tcW w:w="1158"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16.014</w:t>
            </w:r>
          </w:p>
        </w:tc>
        <w:tc>
          <w:tcPr>
            <w:tcW w:w="1155"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0.245</w:t>
            </w:r>
          </w:p>
        </w:tc>
      </w:tr>
      <w:tr w:rsidR="00495619" w:rsidRPr="00DB37C0" w:rsidTr="00934917">
        <w:tc>
          <w:tcPr>
            <w:tcW w:w="1530" w:type="pct"/>
            <w:vAlign w:val="center"/>
          </w:tcPr>
          <w:p w:rsidR="00495619" w:rsidRPr="00DB37C0" w:rsidRDefault="00495619" w:rsidP="00934917">
            <w:pPr>
              <w:pStyle w:val="TableText0"/>
            </w:pPr>
            <w:r w:rsidRPr="00DB37C0">
              <w:t>QALY</w:t>
            </w:r>
          </w:p>
        </w:tc>
        <w:tc>
          <w:tcPr>
            <w:tcW w:w="1157" w:type="pct"/>
            <w:vAlign w:val="center"/>
          </w:tcPr>
          <w:p w:rsidR="00495619" w:rsidRPr="00DB37C0" w:rsidRDefault="00495619" w:rsidP="00934917">
            <w:pPr>
              <w:pStyle w:val="TableText0"/>
              <w:jc w:val="center"/>
            </w:pPr>
            <w:r w:rsidRPr="00DB37C0">
              <w:t>8.749</w:t>
            </w:r>
          </w:p>
        </w:tc>
        <w:tc>
          <w:tcPr>
            <w:tcW w:w="1158" w:type="pct"/>
            <w:vAlign w:val="center"/>
          </w:tcPr>
          <w:p w:rsidR="00495619" w:rsidRPr="00DB37C0" w:rsidRDefault="00495619" w:rsidP="00934917">
            <w:pPr>
              <w:pStyle w:val="TableText0"/>
              <w:jc w:val="center"/>
            </w:pPr>
            <w:r w:rsidRPr="00DB37C0">
              <w:t>7.453</w:t>
            </w:r>
          </w:p>
        </w:tc>
        <w:tc>
          <w:tcPr>
            <w:tcW w:w="1155" w:type="pct"/>
            <w:vAlign w:val="center"/>
          </w:tcPr>
          <w:p w:rsidR="00495619" w:rsidRPr="00DB37C0" w:rsidRDefault="00495619" w:rsidP="00934917">
            <w:pPr>
              <w:pStyle w:val="TableText0"/>
              <w:jc w:val="center"/>
            </w:pPr>
            <w:r w:rsidRPr="00DB37C0">
              <w:t>1.296</w:t>
            </w:r>
          </w:p>
        </w:tc>
      </w:tr>
      <w:tr w:rsidR="00495619" w:rsidRPr="00DB37C0" w:rsidTr="00934917">
        <w:tc>
          <w:tcPr>
            <w:tcW w:w="3845" w:type="pct"/>
            <w:gridSpan w:val="3"/>
            <w:vAlign w:val="center"/>
          </w:tcPr>
          <w:p w:rsidR="00495619" w:rsidRPr="00DB37C0" w:rsidRDefault="00495619" w:rsidP="00934917">
            <w:pPr>
              <w:pStyle w:val="TableText0"/>
              <w:rPr>
                <w:rFonts w:eastAsia="Times New Roman" w:cs="Times New Roman"/>
                <w:b/>
              </w:rPr>
            </w:pPr>
            <w:r w:rsidRPr="00DB37C0">
              <w:rPr>
                <w:b/>
              </w:rPr>
              <w:t>Incremental cost/QALY gained</w:t>
            </w:r>
          </w:p>
        </w:tc>
        <w:tc>
          <w:tcPr>
            <w:tcW w:w="1155" w:type="pct"/>
          </w:tcPr>
          <w:p w:rsidR="00495619" w:rsidRPr="00DB37C0" w:rsidRDefault="00495619" w:rsidP="00934917">
            <w:pPr>
              <w:pStyle w:val="TableText0"/>
              <w:jc w:val="center"/>
              <w:rPr>
                <w:rFonts w:eastAsia="Times New Roman" w:cs="Times New Roman"/>
                <w:b/>
              </w:rPr>
            </w:pPr>
            <w:r w:rsidRPr="00DB37C0">
              <w:rPr>
                <w:rFonts w:eastAsia="Times New Roman" w:cs="Times New Roman"/>
                <w:b/>
              </w:rPr>
              <w:t>$</w:t>
            </w:r>
            <w:r w:rsidR="00177267">
              <w:rPr>
                <w:rFonts w:eastAsia="Times New Roman" w:cs="Times New Roman"/>
                <w:b/>
                <w:noProof/>
                <w:color w:val="000000"/>
                <w:highlight w:val="black"/>
              </w:rPr>
              <w:t>''''''''''''''''</w:t>
            </w:r>
          </w:p>
        </w:tc>
      </w:tr>
      <w:tr w:rsidR="00495619" w:rsidRPr="00DB37C0" w:rsidTr="00934917">
        <w:tc>
          <w:tcPr>
            <w:tcW w:w="5000" w:type="pct"/>
            <w:gridSpan w:val="4"/>
            <w:vAlign w:val="center"/>
          </w:tcPr>
          <w:p w:rsidR="00495619" w:rsidRPr="00DB37C0" w:rsidRDefault="00495619" w:rsidP="00934917">
            <w:pPr>
              <w:pStyle w:val="TableText0"/>
              <w:rPr>
                <w:b/>
                <w:snapToGrid w:val="0"/>
              </w:rPr>
            </w:pPr>
            <w:r w:rsidRPr="00DB37C0">
              <w:rPr>
                <w:b/>
                <w:snapToGrid w:val="0"/>
              </w:rPr>
              <w:t>Step 5: application of utility values (included in all previous and subsequent steps)</w:t>
            </w:r>
          </w:p>
        </w:tc>
      </w:tr>
      <w:tr w:rsidR="00495619" w:rsidRPr="00DB37C0" w:rsidTr="00934917">
        <w:tc>
          <w:tcPr>
            <w:tcW w:w="5000" w:type="pct"/>
            <w:gridSpan w:val="4"/>
            <w:vAlign w:val="center"/>
          </w:tcPr>
          <w:p w:rsidR="00495619" w:rsidRPr="00DB37C0" w:rsidRDefault="00495619" w:rsidP="00934917">
            <w:pPr>
              <w:pStyle w:val="TableText0"/>
              <w:rPr>
                <w:b/>
                <w:snapToGrid w:val="0"/>
              </w:rPr>
            </w:pPr>
            <w:r w:rsidRPr="00DB37C0">
              <w:rPr>
                <w:b/>
                <w:snapToGrid w:val="0"/>
              </w:rPr>
              <w:t>Ste</w:t>
            </w:r>
            <w:r>
              <w:rPr>
                <w:b/>
                <w:snapToGrid w:val="0"/>
              </w:rPr>
              <w:t>p 6: incorporation of SP</w:t>
            </w:r>
            <w:r w:rsidRPr="00DB37C0">
              <w:rPr>
                <w:b/>
                <w:snapToGrid w:val="0"/>
              </w:rPr>
              <w:t>A</w:t>
            </w:r>
          </w:p>
        </w:tc>
      </w:tr>
      <w:tr w:rsidR="00495619" w:rsidRPr="00DB37C0" w:rsidTr="00934917">
        <w:tc>
          <w:tcPr>
            <w:tcW w:w="1530" w:type="pct"/>
            <w:vAlign w:val="center"/>
          </w:tcPr>
          <w:p w:rsidR="00495619" w:rsidRPr="00DB37C0" w:rsidRDefault="00495619" w:rsidP="00934917">
            <w:pPr>
              <w:pStyle w:val="TableText0"/>
              <w:rPr>
                <w:rFonts w:eastAsia="Times New Roman" w:cs="Times New Roman"/>
              </w:rPr>
            </w:pPr>
            <w:r w:rsidRPr="00DB37C0">
              <w:t>Costs</w:t>
            </w:r>
          </w:p>
        </w:tc>
        <w:tc>
          <w:tcPr>
            <w:tcW w:w="1157"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w:t>
            </w:r>
            <w:r w:rsidR="00177267">
              <w:rPr>
                <w:rFonts w:eastAsia="Times New Roman" w:cs="Times New Roman"/>
                <w:noProof/>
                <w:color w:val="000000"/>
                <w:highlight w:val="black"/>
              </w:rPr>
              <w:t>'''''''''''''''''''</w:t>
            </w:r>
          </w:p>
        </w:tc>
        <w:tc>
          <w:tcPr>
            <w:tcW w:w="1158"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w:t>
            </w:r>
            <w:r w:rsidRPr="00111D50">
              <w:rPr>
                <w:rFonts w:eastAsia="Times New Roman" w:cs="Times New Roman"/>
              </w:rPr>
              <w:t>399,632</w:t>
            </w:r>
          </w:p>
        </w:tc>
        <w:tc>
          <w:tcPr>
            <w:tcW w:w="1155" w:type="pct"/>
          </w:tcPr>
          <w:p w:rsidR="00495619" w:rsidRPr="00DB37C0" w:rsidRDefault="00495619" w:rsidP="00934917">
            <w:pPr>
              <w:pStyle w:val="TableText0"/>
              <w:jc w:val="center"/>
              <w:rPr>
                <w:rFonts w:eastAsia="Times New Roman" w:cs="Times New Roman"/>
              </w:rPr>
            </w:pPr>
            <w:r w:rsidRPr="00DD0832">
              <w:rPr>
                <w:rFonts w:eastAsia="Times New Roman" w:cs="Times New Roman"/>
              </w:rPr>
              <w:t>$</w:t>
            </w:r>
            <w:r w:rsidR="00177267">
              <w:rPr>
                <w:rFonts w:eastAsia="Times New Roman" w:cs="Times New Roman"/>
                <w:noProof/>
                <w:color w:val="000000"/>
                <w:highlight w:val="black"/>
              </w:rPr>
              <w:t>''''''''''''''''''</w:t>
            </w:r>
          </w:p>
        </w:tc>
      </w:tr>
      <w:tr w:rsidR="00495619" w:rsidRPr="00DB37C0" w:rsidTr="00934917">
        <w:tc>
          <w:tcPr>
            <w:tcW w:w="1530" w:type="pct"/>
            <w:vAlign w:val="center"/>
          </w:tcPr>
          <w:p w:rsidR="00495619" w:rsidRPr="00DB37C0" w:rsidRDefault="00495619" w:rsidP="00934917">
            <w:pPr>
              <w:pStyle w:val="TableText0"/>
              <w:rPr>
                <w:rFonts w:eastAsia="Times New Roman" w:cs="Times New Roman"/>
              </w:rPr>
            </w:pPr>
            <w:r w:rsidRPr="00DB37C0">
              <w:t>LY</w:t>
            </w:r>
          </w:p>
        </w:tc>
        <w:tc>
          <w:tcPr>
            <w:tcW w:w="1157"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16.260</w:t>
            </w:r>
          </w:p>
        </w:tc>
        <w:tc>
          <w:tcPr>
            <w:tcW w:w="1158"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16.014</w:t>
            </w:r>
          </w:p>
        </w:tc>
        <w:tc>
          <w:tcPr>
            <w:tcW w:w="1155" w:type="pct"/>
          </w:tcPr>
          <w:p w:rsidR="00495619" w:rsidRPr="00DB37C0" w:rsidRDefault="00495619" w:rsidP="00934917">
            <w:pPr>
              <w:pStyle w:val="TableText0"/>
              <w:jc w:val="center"/>
              <w:rPr>
                <w:rFonts w:eastAsia="Times New Roman" w:cs="Times New Roman"/>
              </w:rPr>
            </w:pPr>
            <w:r w:rsidRPr="00DB37C0">
              <w:rPr>
                <w:rFonts w:eastAsia="Times New Roman" w:cs="Times New Roman"/>
              </w:rPr>
              <w:t>0.245</w:t>
            </w:r>
          </w:p>
        </w:tc>
      </w:tr>
      <w:tr w:rsidR="00495619" w:rsidRPr="00DB37C0" w:rsidTr="00934917">
        <w:trPr>
          <w:trHeight w:val="73"/>
        </w:trPr>
        <w:tc>
          <w:tcPr>
            <w:tcW w:w="1530" w:type="pct"/>
            <w:vAlign w:val="center"/>
          </w:tcPr>
          <w:p w:rsidR="00495619" w:rsidRPr="00DB37C0" w:rsidRDefault="00495619" w:rsidP="00934917">
            <w:pPr>
              <w:pStyle w:val="TableText0"/>
            </w:pPr>
            <w:r w:rsidRPr="00DB37C0">
              <w:t>QALY</w:t>
            </w:r>
          </w:p>
        </w:tc>
        <w:tc>
          <w:tcPr>
            <w:tcW w:w="1157" w:type="pct"/>
            <w:vAlign w:val="center"/>
          </w:tcPr>
          <w:p w:rsidR="00495619" w:rsidRPr="00DB37C0" w:rsidRDefault="00495619" w:rsidP="00934917">
            <w:pPr>
              <w:pStyle w:val="TableText0"/>
              <w:jc w:val="center"/>
            </w:pPr>
            <w:r w:rsidRPr="00DB37C0">
              <w:t>8.749</w:t>
            </w:r>
          </w:p>
        </w:tc>
        <w:tc>
          <w:tcPr>
            <w:tcW w:w="1158" w:type="pct"/>
            <w:vAlign w:val="center"/>
          </w:tcPr>
          <w:p w:rsidR="00495619" w:rsidRPr="00DB37C0" w:rsidRDefault="00495619" w:rsidP="00934917">
            <w:pPr>
              <w:pStyle w:val="TableText0"/>
              <w:jc w:val="center"/>
            </w:pPr>
            <w:r w:rsidRPr="00DB37C0">
              <w:t>7.453</w:t>
            </w:r>
          </w:p>
        </w:tc>
        <w:tc>
          <w:tcPr>
            <w:tcW w:w="1155" w:type="pct"/>
            <w:vAlign w:val="center"/>
          </w:tcPr>
          <w:p w:rsidR="00495619" w:rsidRPr="00DB37C0" w:rsidRDefault="00495619" w:rsidP="00934917">
            <w:pPr>
              <w:pStyle w:val="TableText0"/>
              <w:jc w:val="center"/>
            </w:pPr>
            <w:r w:rsidRPr="00DB37C0">
              <w:t>1.296</w:t>
            </w:r>
          </w:p>
        </w:tc>
      </w:tr>
      <w:tr w:rsidR="00495619" w:rsidRPr="00DB37C0" w:rsidTr="00934917">
        <w:tc>
          <w:tcPr>
            <w:tcW w:w="3845" w:type="pct"/>
            <w:gridSpan w:val="3"/>
            <w:vAlign w:val="center"/>
          </w:tcPr>
          <w:p w:rsidR="00495619" w:rsidRPr="00DB37C0" w:rsidRDefault="00495619" w:rsidP="00934917">
            <w:pPr>
              <w:pStyle w:val="TableText0"/>
              <w:rPr>
                <w:rFonts w:eastAsia="Times New Roman" w:cs="Times New Roman"/>
                <w:b/>
              </w:rPr>
            </w:pPr>
            <w:r w:rsidRPr="00DB37C0">
              <w:rPr>
                <w:b/>
              </w:rPr>
              <w:t>Incremental cost/QALY gained</w:t>
            </w:r>
          </w:p>
        </w:tc>
        <w:tc>
          <w:tcPr>
            <w:tcW w:w="1155" w:type="pct"/>
            <w:vAlign w:val="center"/>
          </w:tcPr>
          <w:p w:rsidR="00495619" w:rsidRPr="00DB37C0" w:rsidRDefault="00495619" w:rsidP="00934917">
            <w:pPr>
              <w:pStyle w:val="TableText0"/>
              <w:jc w:val="center"/>
              <w:rPr>
                <w:rFonts w:eastAsia="Times New Roman" w:cs="Times New Roman"/>
                <w:b/>
              </w:rPr>
            </w:pPr>
            <w:r w:rsidRPr="00DB37C0">
              <w:rPr>
                <w:rFonts w:eastAsia="Times New Roman" w:cs="Times New Roman"/>
                <w:b/>
              </w:rPr>
              <w:t>$</w:t>
            </w:r>
            <w:r w:rsidR="00177267">
              <w:rPr>
                <w:rFonts w:eastAsia="Times New Roman" w:cs="Times New Roman"/>
                <w:b/>
                <w:noProof/>
                <w:color w:val="000000"/>
                <w:highlight w:val="black"/>
              </w:rPr>
              <w:t>''''''''''''''</w:t>
            </w:r>
          </w:p>
        </w:tc>
      </w:tr>
    </w:tbl>
    <w:p w:rsidR="00495619" w:rsidRDefault="00495619" w:rsidP="00495619">
      <w:pPr>
        <w:pStyle w:val="TableFigureFooter"/>
      </w:pPr>
      <w:r w:rsidRPr="00DB37C0">
        <w:t xml:space="preserve">Source: Tables 3.16-3.10, pp68-70 of the resubmission.  </w:t>
      </w:r>
    </w:p>
    <w:p w:rsidR="00495619" w:rsidRDefault="00495619" w:rsidP="00495619">
      <w:pPr>
        <w:pStyle w:val="TableFigureFooter"/>
      </w:pPr>
      <w:r w:rsidRPr="00DB37C0">
        <w:t xml:space="preserve">BSC = best supportive care; AE = adverse events; ICER = incremental cost effectiveness ratio; QALY </w:t>
      </w:r>
      <w:r>
        <w:t>= quality adjusted life year; SP</w:t>
      </w:r>
      <w:r w:rsidRPr="00DB37C0">
        <w:t xml:space="preserve">A = </w:t>
      </w:r>
      <w:r>
        <w:t>special pricing arrangement</w:t>
      </w:r>
      <w:r w:rsidRPr="00DB37C0">
        <w:t>.</w:t>
      </w:r>
    </w:p>
    <w:p w:rsidR="00495619" w:rsidRDefault="00495619" w:rsidP="00495619">
      <w:pPr>
        <w:pStyle w:val="TableFigureFooter"/>
      </w:pPr>
    </w:p>
    <w:p w:rsidR="004B4798" w:rsidRPr="004B4798" w:rsidRDefault="004B4798" w:rsidP="00495619">
      <w:pPr>
        <w:pStyle w:val="TableFigureFooter"/>
        <w:rPr>
          <w:rFonts w:ascii="Calibri" w:hAnsi="Calibri" w:cs="Calibri"/>
          <w:i/>
          <w:sz w:val="24"/>
          <w:szCs w:val="24"/>
        </w:rPr>
      </w:pPr>
      <w:r>
        <w:rPr>
          <w:rFonts w:ascii="Calibri" w:hAnsi="Calibri" w:cs="Calibri"/>
          <w:i/>
          <w:sz w:val="24"/>
          <w:szCs w:val="24"/>
        </w:rPr>
        <w:t xml:space="preserve">The redacted table shows the base case ICER in the range of $45,000 to &lt; $55,000 per QALY. </w:t>
      </w:r>
    </w:p>
    <w:p w:rsidR="00717F65" w:rsidRPr="00717F65" w:rsidRDefault="00495619" w:rsidP="00717F65">
      <w:pPr>
        <w:pStyle w:val="3-BodyText"/>
        <w:rPr>
          <w:rStyle w:val="CommentReference"/>
          <w:b w:val="0"/>
        </w:rPr>
      </w:pPr>
      <w:r w:rsidRPr="0000562D">
        <w:t>As the nursing home costs included in the model based on Ahmad 2018 were unreliable, the ESC considered it reasonable to test the sensitivity of the model to excluding these costs. The ICERs with nursing home costs set to $0 for both the base case population and the ORATORIO ITT and MRI active subgroups have been added to the table below.</w:t>
      </w:r>
    </w:p>
    <w:p w:rsidR="00495619" w:rsidRDefault="00495619" w:rsidP="00495619">
      <w:pPr>
        <w:pStyle w:val="TableFigureHeading"/>
        <w:rPr>
          <w:rStyle w:val="CommentReference"/>
          <w:b/>
        </w:rPr>
      </w:pPr>
      <w:r w:rsidRPr="00DB37C0">
        <w:rPr>
          <w:rStyle w:val="CommentReference"/>
          <w:b/>
        </w:rPr>
        <w:lastRenderedPageBreak/>
        <w:t>Table</w:t>
      </w:r>
      <w:r>
        <w:rPr>
          <w:rStyle w:val="CommentReference"/>
          <w:b/>
        </w:rPr>
        <w:t xml:space="preserve"> </w:t>
      </w:r>
      <w:r>
        <w:rPr>
          <w:rStyle w:val="CommentReference"/>
          <w:b/>
          <w:noProof/>
        </w:rPr>
        <w:t>13</w:t>
      </w:r>
      <w:r w:rsidRPr="00DB37C0">
        <w:rPr>
          <w:rStyle w:val="CommentReference"/>
          <w:b/>
        </w:rPr>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47"/>
        <w:gridCol w:w="2431"/>
        <w:gridCol w:w="1345"/>
        <w:gridCol w:w="1347"/>
        <w:gridCol w:w="1347"/>
      </w:tblGrid>
      <w:tr w:rsidR="00495619" w:rsidRPr="00F76D91" w:rsidTr="00934917">
        <w:trPr>
          <w:tblHeader/>
        </w:trPr>
        <w:tc>
          <w:tcPr>
            <w:tcW w:w="2760" w:type="pct"/>
            <w:gridSpan w:val="2"/>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In-tableHeading"/>
              <w:rPr>
                <w:lang w:val="en-AU"/>
              </w:rPr>
            </w:pPr>
            <w:r w:rsidRPr="00F76D91">
              <w:rPr>
                <w:lang w:val="en-AU"/>
              </w:rPr>
              <w:t>Analyses</w:t>
            </w:r>
          </w:p>
        </w:tc>
        <w:tc>
          <w:tcPr>
            <w:tcW w:w="746"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In-tableHeading"/>
              <w:jc w:val="center"/>
              <w:rPr>
                <w:lang w:val="en-AU"/>
              </w:rPr>
            </w:pPr>
            <w:r w:rsidRPr="00F76D91">
              <w:rPr>
                <w:lang w:val="en-AU"/>
              </w:rPr>
              <w:t>Incremental costs</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In-tableHeading"/>
              <w:jc w:val="center"/>
              <w:rPr>
                <w:lang w:val="en-AU"/>
              </w:rPr>
            </w:pPr>
            <w:r w:rsidRPr="00F76D91">
              <w:rPr>
                <w:lang w:val="en-AU"/>
              </w:rPr>
              <w:t>Incremental QALYs</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In-tableHeading"/>
              <w:jc w:val="center"/>
              <w:rPr>
                <w:lang w:val="en-AU"/>
              </w:rPr>
            </w:pPr>
            <w:r w:rsidRPr="00F76D91">
              <w:rPr>
                <w:lang w:val="en-AU"/>
              </w:rPr>
              <w:t>ICER</w:t>
            </w:r>
          </w:p>
        </w:tc>
      </w:tr>
      <w:tr w:rsidR="00495619" w:rsidRPr="00F76D91" w:rsidTr="00934917">
        <w:trPr>
          <w:trHeight w:val="79"/>
        </w:trPr>
        <w:tc>
          <w:tcPr>
            <w:tcW w:w="2760" w:type="pct"/>
            <w:gridSpan w:val="2"/>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pPr>
            <w:r w:rsidRPr="00F76D91">
              <w:t>Base case (HR = 0.53)</w:t>
            </w:r>
          </w:p>
        </w:tc>
        <w:tc>
          <w:tcPr>
            <w:tcW w:w="746"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pPr>
            <w:r w:rsidRPr="00F76D91">
              <w:t>$</w:t>
            </w:r>
            <w:r w:rsidR="00177267">
              <w:rPr>
                <w:noProof/>
                <w:color w:val="000000"/>
                <w:highlight w:val="black"/>
              </w:rPr>
              <w:t>'''''''''''''''</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pPr>
            <w:r w:rsidRPr="00F76D91">
              <w:t>1.296</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pPr>
            <w:r w:rsidRPr="00F76D91">
              <w:t>$</w:t>
            </w:r>
            <w:r w:rsidR="00177267">
              <w:rPr>
                <w:noProof/>
                <w:color w:val="000000"/>
                <w:highlight w:val="black"/>
              </w:rPr>
              <w:t>''''''''''''''''</w:t>
            </w:r>
          </w:p>
        </w:tc>
      </w:tr>
      <w:tr w:rsidR="00495619" w:rsidRPr="00F76D91" w:rsidTr="00934917">
        <w:trPr>
          <w:trHeight w:val="79"/>
        </w:trPr>
        <w:tc>
          <w:tcPr>
            <w:tcW w:w="5000" w:type="pct"/>
            <w:gridSpan w:val="5"/>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rPr>
                <w:b/>
              </w:rPr>
            </w:pPr>
            <w:r w:rsidRPr="00F76D91">
              <w:rPr>
                <w:b/>
              </w:rPr>
              <w:t>Univariate</w:t>
            </w:r>
          </w:p>
        </w:tc>
      </w:tr>
      <w:tr w:rsidR="00495619" w:rsidRPr="00F76D91" w:rsidTr="00934917">
        <w:tc>
          <w:tcPr>
            <w:tcW w:w="1412"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rPr>
                <w:rFonts w:eastAsia="Times New Roman" w:cs="Times New Roman"/>
              </w:rPr>
            </w:pPr>
            <w:r w:rsidRPr="00F76D91">
              <w:rPr>
                <w:rFonts w:eastAsia="Times New Roman" w:cs="Times New Roman"/>
              </w:rPr>
              <w:t>Nursing home costs</w:t>
            </w:r>
          </w:p>
        </w:tc>
        <w:tc>
          <w:tcPr>
            <w:tcW w:w="1348"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rPr>
                <w:rFonts w:eastAsia="Times New Roman" w:cs="Times New Roman"/>
              </w:rPr>
            </w:pPr>
            <w:r w:rsidRPr="00F76D91">
              <w:rPr>
                <w:rFonts w:eastAsia="Times New Roman" w:cs="Times New Roman"/>
              </w:rPr>
              <w:t>Excluded</w:t>
            </w:r>
          </w:p>
        </w:tc>
        <w:tc>
          <w:tcPr>
            <w:tcW w:w="746"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pPr>
            <w:r w:rsidRPr="00F76D91">
              <w:rPr>
                <w:color w:val="000000"/>
              </w:rPr>
              <w:t>$</w:t>
            </w:r>
            <w:r w:rsidR="00177267">
              <w:rPr>
                <w:noProof/>
                <w:color w:val="000000"/>
                <w:highlight w:val="black"/>
              </w:rPr>
              <w:t>''''''''''''''''''</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pPr>
            <w:r w:rsidRPr="00F76D91">
              <w:rPr>
                <w:color w:val="000000"/>
              </w:rPr>
              <w:t>1.296</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pPr>
            <w:r w:rsidRPr="00F76D91">
              <w:rPr>
                <w:color w:val="000000"/>
              </w:rPr>
              <w:t>$</w:t>
            </w:r>
            <w:r w:rsidR="00177267">
              <w:rPr>
                <w:noProof/>
                <w:color w:val="000000"/>
                <w:highlight w:val="black"/>
              </w:rPr>
              <w:t>'''''''''''''''''''''</w:t>
            </w:r>
          </w:p>
        </w:tc>
      </w:tr>
      <w:tr w:rsidR="00495619" w:rsidRPr="00F76D91" w:rsidTr="00934917">
        <w:tc>
          <w:tcPr>
            <w:tcW w:w="1412" w:type="pct"/>
            <w:vMerge w:val="restart"/>
            <w:tcBorders>
              <w:top w:val="single" w:sz="4" w:space="0" w:color="auto"/>
              <w:left w:val="single" w:sz="4" w:space="0" w:color="auto"/>
              <w:right w:val="single" w:sz="4" w:space="0" w:color="auto"/>
            </w:tcBorders>
            <w:vAlign w:val="center"/>
          </w:tcPr>
          <w:p w:rsidR="00495619" w:rsidRPr="00F76D91" w:rsidRDefault="00495619" w:rsidP="00934917">
            <w:pPr>
              <w:pStyle w:val="TableText0"/>
              <w:rPr>
                <w:rFonts w:eastAsia="Times New Roman" w:cs="Times New Roman"/>
              </w:rPr>
            </w:pPr>
            <w:r w:rsidRPr="00F76D91">
              <w:t>ORATORIO ITT population (Base case: subgroup with active disease and restricted to younger patients</w:t>
            </w:r>
            <w:r w:rsidRPr="00F76D91">
              <w:rPr>
                <w:vertAlign w:val="superscript"/>
              </w:rPr>
              <w:t>a</w:t>
            </w:r>
            <w:r w:rsidRPr="00F76D91">
              <w:t>)</w:t>
            </w:r>
          </w:p>
        </w:tc>
        <w:tc>
          <w:tcPr>
            <w:tcW w:w="1348"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rPr>
                <w:rFonts w:eastAsia="Times New Roman" w:cs="Times New Roman"/>
              </w:rPr>
            </w:pPr>
            <w:r w:rsidRPr="00F76D91">
              <w:rPr>
                <w:rFonts w:eastAsia="Times New Roman" w:cs="Times New Roman"/>
              </w:rPr>
              <w:t xml:space="preserve">ORATORIO ITT population </w:t>
            </w:r>
            <w:r w:rsidRPr="00F76D91">
              <w:rPr>
                <w:rFonts w:eastAsia="Times New Roman" w:cs="Times New Roman"/>
                <w:vertAlign w:val="superscript"/>
              </w:rPr>
              <w:t xml:space="preserve">a </w:t>
            </w:r>
            <w:r w:rsidRPr="00F76D91">
              <w:rPr>
                <w:rFonts w:eastAsia="Times New Roman" w:cs="Times New Roman"/>
              </w:rPr>
              <w:t>(HR = 0.70)</w:t>
            </w:r>
          </w:p>
        </w:tc>
        <w:tc>
          <w:tcPr>
            <w:tcW w:w="746" w:type="pct"/>
            <w:tcBorders>
              <w:top w:val="single" w:sz="4" w:space="0" w:color="auto"/>
              <w:left w:val="single" w:sz="4" w:space="0" w:color="auto"/>
              <w:bottom w:val="single" w:sz="4" w:space="0" w:color="auto"/>
              <w:right w:val="single" w:sz="4" w:space="0" w:color="auto"/>
            </w:tcBorders>
          </w:tcPr>
          <w:p w:rsidR="00495619" w:rsidRPr="00F76D91" w:rsidRDefault="00495619" w:rsidP="00934917">
            <w:pPr>
              <w:pStyle w:val="TableText0"/>
              <w:jc w:val="center"/>
              <w:rPr>
                <w:color w:val="000000"/>
              </w:rPr>
            </w:pPr>
            <w:r w:rsidRPr="00F76D91">
              <w:t>$</w:t>
            </w:r>
            <w:r w:rsidR="00177267">
              <w:rPr>
                <w:noProof/>
                <w:color w:val="000000"/>
                <w:highlight w:val="black"/>
              </w:rPr>
              <w:t>'''''''''''''''''</w:t>
            </w:r>
          </w:p>
        </w:tc>
        <w:tc>
          <w:tcPr>
            <w:tcW w:w="747" w:type="pct"/>
            <w:tcBorders>
              <w:top w:val="single" w:sz="4" w:space="0" w:color="auto"/>
              <w:left w:val="single" w:sz="4" w:space="0" w:color="auto"/>
              <w:bottom w:val="single" w:sz="4" w:space="0" w:color="auto"/>
              <w:right w:val="single" w:sz="4" w:space="0" w:color="auto"/>
            </w:tcBorders>
          </w:tcPr>
          <w:p w:rsidR="00495619" w:rsidRPr="00F76D91" w:rsidRDefault="00495619" w:rsidP="00934917">
            <w:pPr>
              <w:pStyle w:val="TableText0"/>
              <w:jc w:val="center"/>
              <w:rPr>
                <w:color w:val="000000"/>
              </w:rPr>
            </w:pPr>
            <w:r w:rsidRPr="00F76D91">
              <w:t>0.702</w:t>
            </w:r>
          </w:p>
        </w:tc>
        <w:tc>
          <w:tcPr>
            <w:tcW w:w="747" w:type="pct"/>
            <w:tcBorders>
              <w:top w:val="single" w:sz="4" w:space="0" w:color="auto"/>
              <w:left w:val="single" w:sz="4" w:space="0" w:color="auto"/>
              <w:bottom w:val="single" w:sz="4" w:space="0" w:color="auto"/>
              <w:right w:val="single" w:sz="4" w:space="0" w:color="auto"/>
            </w:tcBorders>
          </w:tcPr>
          <w:p w:rsidR="00495619" w:rsidRPr="00F76D91" w:rsidRDefault="00495619" w:rsidP="00934917">
            <w:pPr>
              <w:pStyle w:val="TableText0"/>
              <w:jc w:val="center"/>
              <w:rPr>
                <w:color w:val="000000"/>
              </w:rPr>
            </w:pPr>
            <w:r w:rsidRPr="00F76D91">
              <w:t>$</w:t>
            </w:r>
            <w:r w:rsidR="00177267">
              <w:rPr>
                <w:noProof/>
                <w:color w:val="000000"/>
                <w:highlight w:val="black"/>
              </w:rPr>
              <w:t>'''''''''''''''''''</w:t>
            </w:r>
          </w:p>
        </w:tc>
      </w:tr>
      <w:tr w:rsidR="00495619" w:rsidRPr="00F76D91" w:rsidTr="00934917">
        <w:tc>
          <w:tcPr>
            <w:tcW w:w="1412" w:type="pct"/>
            <w:vMerge/>
            <w:tcBorders>
              <w:left w:val="single" w:sz="4" w:space="0" w:color="auto"/>
              <w:bottom w:val="single" w:sz="4" w:space="0" w:color="auto"/>
              <w:right w:val="single" w:sz="4" w:space="0" w:color="auto"/>
            </w:tcBorders>
            <w:vAlign w:val="center"/>
          </w:tcPr>
          <w:p w:rsidR="00495619" w:rsidRPr="00F76D91" w:rsidRDefault="00495619" w:rsidP="00934917">
            <w:pPr>
              <w:pStyle w:val="TableText0"/>
              <w:rPr>
                <w:rFonts w:eastAsia="Times New Roman" w:cs="Times New Roman"/>
              </w:rPr>
            </w:pPr>
          </w:p>
        </w:tc>
        <w:tc>
          <w:tcPr>
            <w:tcW w:w="1348"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rPr>
                <w:rFonts w:eastAsia="Times New Roman" w:cs="Times New Roman"/>
              </w:rPr>
            </w:pPr>
            <w:r w:rsidRPr="00F76D91">
              <w:rPr>
                <w:rFonts w:eastAsia="Times New Roman" w:cs="Times New Roman"/>
              </w:rPr>
              <w:t xml:space="preserve">ORATORIO subgroup with active disease </w:t>
            </w:r>
            <w:r w:rsidRPr="00F76D91">
              <w:rPr>
                <w:rFonts w:eastAsia="Times New Roman" w:cs="Times New Roman"/>
                <w:vertAlign w:val="superscript"/>
              </w:rPr>
              <w:t xml:space="preserve">a </w:t>
            </w:r>
            <w:r w:rsidRPr="00F76D91">
              <w:rPr>
                <w:rFonts w:eastAsia="Times New Roman" w:cs="Times New Roman"/>
              </w:rPr>
              <w:t>(HR = 0.68)</w:t>
            </w:r>
          </w:p>
        </w:tc>
        <w:tc>
          <w:tcPr>
            <w:tcW w:w="746"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t>$</w:t>
            </w:r>
            <w:r w:rsidR="00177267">
              <w:rPr>
                <w:noProof/>
                <w:color w:val="000000"/>
                <w:highlight w:val="black"/>
              </w:rPr>
              <w:t>''''''''''''''''''</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t>0.768</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t>$</w:t>
            </w:r>
            <w:r w:rsidR="00177267">
              <w:rPr>
                <w:noProof/>
                <w:color w:val="000000"/>
                <w:highlight w:val="black"/>
              </w:rPr>
              <w:t>''''''''''''''''''''</w:t>
            </w:r>
          </w:p>
        </w:tc>
      </w:tr>
      <w:tr w:rsidR="00495619" w:rsidRPr="00F76D91" w:rsidTr="00934917">
        <w:trPr>
          <w:trHeight w:val="157"/>
        </w:trPr>
        <w:tc>
          <w:tcPr>
            <w:tcW w:w="5000" w:type="pct"/>
            <w:gridSpan w:val="5"/>
            <w:tcBorders>
              <w:left w:val="single" w:sz="4" w:space="0" w:color="auto"/>
              <w:right w:val="single" w:sz="4" w:space="0" w:color="auto"/>
            </w:tcBorders>
            <w:vAlign w:val="center"/>
          </w:tcPr>
          <w:p w:rsidR="00495619" w:rsidRPr="00F76D91" w:rsidRDefault="00495619" w:rsidP="00934917">
            <w:pPr>
              <w:pStyle w:val="TableText0"/>
            </w:pPr>
            <w:r w:rsidRPr="00F76D91">
              <w:rPr>
                <w:rFonts w:eastAsia="Times New Roman" w:cs="Times New Roman"/>
                <w:b/>
              </w:rPr>
              <w:t>Multivariate</w:t>
            </w:r>
          </w:p>
        </w:tc>
      </w:tr>
      <w:tr w:rsidR="00495619" w:rsidRPr="00F76D91" w:rsidTr="00934917">
        <w:trPr>
          <w:trHeight w:val="157"/>
        </w:trPr>
        <w:tc>
          <w:tcPr>
            <w:tcW w:w="1412" w:type="pct"/>
            <w:vMerge w:val="restart"/>
            <w:tcBorders>
              <w:left w:val="single" w:sz="4" w:space="0" w:color="auto"/>
              <w:right w:val="single" w:sz="4" w:space="0" w:color="auto"/>
            </w:tcBorders>
            <w:vAlign w:val="center"/>
          </w:tcPr>
          <w:p w:rsidR="00495619" w:rsidRPr="00F76D91" w:rsidRDefault="00495619" w:rsidP="00934917">
            <w:pPr>
              <w:pStyle w:val="TableText0"/>
              <w:rPr>
                <w:rFonts w:eastAsia="Times New Roman" w:cs="Times New Roman"/>
              </w:rPr>
            </w:pPr>
            <w:r w:rsidRPr="00F76D91">
              <w:rPr>
                <w:rFonts w:eastAsia="Times New Roman" w:cs="Times New Roman"/>
              </w:rPr>
              <w:t>ORATORIO population with nursing home costs set to $0</w:t>
            </w:r>
          </w:p>
        </w:tc>
        <w:tc>
          <w:tcPr>
            <w:tcW w:w="1348" w:type="pct"/>
            <w:tcBorders>
              <w:top w:val="single" w:sz="4" w:space="0" w:color="auto"/>
              <w:left w:val="single" w:sz="4" w:space="0" w:color="auto"/>
              <w:right w:val="single" w:sz="4" w:space="0" w:color="auto"/>
            </w:tcBorders>
            <w:vAlign w:val="center"/>
          </w:tcPr>
          <w:p w:rsidR="00495619" w:rsidRPr="00F76D91" w:rsidRDefault="00495619" w:rsidP="00934917">
            <w:pPr>
              <w:pStyle w:val="TableText0"/>
              <w:rPr>
                <w:b/>
                <w:color w:val="000000"/>
              </w:rPr>
            </w:pPr>
            <w:r w:rsidRPr="00F76D91">
              <w:rPr>
                <w:rFonts w:eastAsia="Times New Roman" w:cs="Times New Roman"/>
              </w:rPr>
              <w:t>ORATORIO ITT</w:t>
            </w:r>
            <w:r w:rsidRPr="00F76D91">
              <w:rPr>
                <w:color w:val="000000" w:themeColor="text1"/>
                <w:vertAlign w:val="superscript"/>
              </w:rPr>
              <w:t xml:space="preserve"> a</w:t>
            </w:r>
            <w:r w:rsidRPr="00F76D91">
              <w:rPr>
                <w:rFonts w:eastAsia="Times New Roman" w:cs="Times New Roman"/>
              </w:rPr>
              <w:t xml:space="preserve"> (HR = 0.70)</w:t>
            </w:r>
          </w:p>
        </w:tc>
        <w:tc>
          <w:tcPr>
            <w:tcW w:w="746" w:type="pct"/>
            <w:tcBorders>
              <w:top w:val="single" w:sz="4" w:space="0" w:color="auto"/>
              <w:left w:val="single" w:sz="4" w:space="0" w:color="auto"/>
              <w:right w:val="single" w:sz="4" w:space="0" w:color="auto"/>
            </w:tcBorders>
            <w:vAlign w:val="center"/>
          </w:tcPr>
          <w:p w:rsidR="00495619" w:rsidRPr="00F76D91" w:rsidRDefault="00495619" w:rsidP="00934917">
            <w:pPr>
              <w:pStyle w:val="TableText0"/>
              <w:jc w:val="center"/>
              <w:rPr>
                <w:b/>
                <w:color w:val="000000"/>
              </w:rPr>
            </w:pPr>
            <w:r w:rsidRPr="00F76D91">
              <w:rPr>
                <w:color w:val="000000"/>
              </w:rPr>
              <w:t>$</w:t>
            </w:r>
            <w:r w:rsidR="00177267">
              <w:rPr>
                <w:noProof/>
                <w:color w:val="000000"/>
                <w:highlight w:val="black"/>
              </w:rPr>
              <w:t>''''''''''''''''''''</w:t>
            </w:r>
          </w:p>
        </w:tc>
        <w:tc>
          <w:tcPr>
            <w:tcW w:w="747" w:type="pct"/>
            <w:tcBorders>
              <w:top w:val="single" w:sz="4" w:space="0" w:color="auto"/>
              <w:left w:val="single" w:sz="4" w:space="0" w:color="auto"/>
              <w:right w:val="single" w:sz="4" w:space="0" w:color="auto"/>
            </w:tcBorders>
            <w:vAlign w:val="center"/>
          </w:tcPr>
          <w:p w:rsidR="00495619" w:rsidRPr="00F76D91" w:rsidRDefault="00495619" w:rsidP="00934917">
            <w:pPr>
              <w:pStyle w:val="TableText0"/>
              <w:jc w:val="center"/>
              <w:rPr>
                <w:b/>
                <w:color w:val="000000"/>
              </w:rPr>
            </w:pPr>
            <w:r w:rsidRPr="00F76D91">
              <w:rPr>
                <w:color w:val="000000"/>
              </w:rPr>
              <w:t>0.702</w:t>
            </w:r>
          </w:p>
        </w:tc>
        <w:tc>
          <w:tcPr>
            <w:tcW w:w="747" w:type="pct"/>
            <w:tcBorders>
              <w:top w:val="single" w:sz="4" w:space="0" w:color="auto"/>
              <w:left w:val="single" w:sz="4" w:space="0" w:color="auto"/>
              <w:right w:val="single" w:sz="4" w:space="0" w:color="auto"/>
            </w:tcBorders>
            <w:vAlign w:val="center"/>
          </w:tcPr>
          <w:p w:rsidR="00495619" w:rsidRPr="00F76D91" w:rsidRDefault="00495619" w:rsidP="00934917">
            <w:pPr>
              <w:pStyle w:val="TableText0"/>
              <w:jc w:val="center"/>
              <w:rPr>
                <w:b/>
                <w:color w:val="000000"/>
              </w:rPr>
            </w:pPr>
            <w:r w:rsidRPr="00F76D91">
              <w:rPr>
                <w:color w:val="000000"/>
              </w:rPr>
              <w:t>$</w:t>
            </w:r>
            <w:r w:rsidR="00177267">
              <w:rPr>
                <w:noProof/>
                <w:color w:val="000000"/>
                <w:highlight w:val="black"/>
              </w:rPr>
              <w:t>''''''''''''''''''''''</w:t>
            </w:r>
          </w:p>
        </w:tc>
      </w:tr>
      <w:tr w:rsidR="00495619" w:rsidRPr="00F76D91" w:rsidTr="00934917">
        <w:tc>
          <w:tcPr>
            <w:tcW w:w="1412" w:type="pct"/>
            <w:vMerge/>
            <w:tcBorders>
              <w:left w:val="single" w:sz="4" w:space="0" w:color="auto"/>
              <w:right w:val="single" w:sz="4" w:space="0" w:color="auto"/>
            </w:tcBorders>
            <w:vAlign w:val="center"/>
          </w:tcPr>
          <w:p w:rsidR="00495619" w:rsidRPr="00F76D91" w:rsidRDefault="00495619" w:rsidP="00934917">
            <w:pPr>
              <w:pStyle w:val="TableText0"/>
              <w:rPr>
                <w:rFonts w:eastAsia="Times New Roman" w:cs="Times New Roman"/>
                <w:highlight w:val="yellow"/>
              </w:rPr>
            </w:pPr>
          </w:p>
        </w:tc>
        <w:tc>
          <w:tcPr>
            <w:tcW w:w="1348"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rPr>
                <w:rFonts w:eastAsia="Times New Roman" w:cs="Times New Roman"/>
                <w:highlight w:val="yellow"/>
              </w:rPr>
            </w:pPr>
            <w:r w:rsidRPr="00F76D91">
              <w:rPr>
                <w:rFonts w:eastAsia="Times New Roman" w:cs="Times New Roman"/>
              </w:rPr>
              <w:t>ORATORIO subgroup with active disease</w:t>
            </w:r>
            <w:r w:rsidRPr="00F76D91">
              <w:rPr>
                <w:color w:val="000000" w:themeColor="text1"/>
                <w:vertAlign w:val="superscript"/>
              </w:rPr>
              <w:t xml:space="preserve"> a</w:t>
            </w:r>
            <w:r w:rsidRPr="00F76D91">
              <w:rPr>
                <w:rFonts w:eastAsia="Times New Roman" w:cs="Times New Roman"/>
              </w:rPr>
              <w:t xml:space="preserve"> (HR = 0.68)</w:t>
            </w:r>
          </w:p>
        </w:tc>
        <w:tc>
          <w:tcPr>
            <w:tcW w:w="746"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highlight w:val="yellow"/>
              </w:rPr>
            </w:pPr>
            <w:r w:rsidRPr="00F76D91">
              <w:rPr>
                <w:color w:val="000000"/>
              </w:rPr>
              <w:t>$</w:t>
            </w:r>
            <w:r w:rsidR="00177267">
              <w:rPr>
                <w:noProof/>
                <w:color w:val="000000"/>
                <w:highlight w:val="black"/>
              </w:rPr>
              <w:t>''''''''''''''''''''</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highlight w:val="yellow"/>
              </w:rPr>
            </w:pPr>
            <w:r w:rsidRPr="00F76D91">
              <w:rPr>
                <w:color w:val="000000"/>
              </w:rPr>
              <w:t>0.768</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highlight w:val="yellow"/>
              </w:rPr>
            </w:pPr>
            <w:r w:rsidRPr="00F76D91">
              <w:rPr>
                <w:color w:val="000000"/>
              </w:rPr>
              <w:t>$</w:t>
            </w:r>
            <w:r w:rsidR="00177267">
              <w:rPr>
                <w:noProof/>
                <w:color w:val="000000"/>
                <w:highlight w:val="black"/>
              </w:rPr>
              <w:t>'''''''''''''''''''</w:t>
            </w:r>
          </w:p>
        </w:tc>
      </w:tr>
      <w:tr w:rsidR="00495619" w:rsidRPr="00F76D91" w:rsidTr="00934917">
        <w:tc>
          <w:tcPr>
            <w:tcW w:w="1412" w:type="pct"/>
            <w:vMerge w:val="restart"/>
            <w:tcBorders>
              <w:left w:val="single" w:sz="4" w:space="0" w:color="auto"/>
              <w:right w:val="single" w:sz="4" w:space="0" w:color="auto"/>
            </w:tcBorders>
            <w:vAlign w:val="center"/>
          </w:tcPr>
          <w:p w:rsidR="00495619" w:rsidRPr="00F76D91" w:rsidRDefault="00495619" w:rsidP="00934917">
            <w:pPr>
              <w:pStyle w:val="TableText0"/>
            </w:pPr>
            <w:r w:rsidRPr="00F76D91">
              <w:t>Waning treatment effect (</w:t>
            </w:r>
            <w:r>
              <w:t>base case</w:t>
            </w:r>
            <w:r w:rsidRPr="00F76D91">
              <w:t xml:space="preserve">: excluded) </w:t>
            </w:r>
          </w:p>
        </w:tc>
        <w:tc>
          <w:tcPr>
            <w:tcW w:w="1348"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rPr>
                <w:rFonts w:eastAsia="Times New Roman" w:cs="Times New Roman"/>
              </w:rPr>
            </w:pPr>
            <w:r w:rsidRPr="00F76D91">
              <w:rPr>
                <w:rFonts w:eastAsia="Times New Roman" w:cs="Times New Roman"/>
              </w:rPr>
              <w:t>75% remaining after 10 years</w:t>
            </w:r>
          </w:p>
        </w:tc>
        <w:tc>
          <w:tcPr>
            <w:tcW w:w="746"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w:t>
            </w:r>
            <w:r w:rsidR="00177267">
              <w:rPr>
                <w:noProof/>
                <w:color w:val="000000"/>
                <w:highlight w:val="black"/>
              </w:rPr>
              <w:t>'''''''''''''''''</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1.197</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w:t>
            </w:r>
            <w:r w:rsidR="00177267">
              <w:rPr>
                <w:noProof/>
                <w:color w:val="000000"/>
                <w:highlight w:val="black"/>
              </w:rPr>
              <w:t>''''''''''''''''</w:t>
            </w:r>
          </w:p>
        </w:tc>
      </w:tr>
      <w:tr w:rsidR="00495619" w:rsidRPr="00F76D91" w:rsidTr="00934917">
        <w:tc>
          <w:tcPr>
            <w:tcW w:w="1412" w:type="pct"/>
            <w:vMerge/>
            <w:tcBorders>
              <w:left w:val="single" w:sz="4" w:space="0" w:color="auto"/>
              <w:right w:val="single" w:sz="4" w:space="0" w:color="auto"/>
            </w:tcBorders>
            <w:vAlign w:val="center"/>
          </w:tcPr>
          <w:p w:rsidR="00495619" w:rsidRPr="00F76D91" w:rsidRDefault="00495619" w:rsidP="00934917">
            <w:pPr>
              <w:pStyle w:val="TableText0"/>
            </w:pPr>
          </w:p>
        </w:tc>
        <w:tc>
          <w:tcPr>
            <w:tcW w:w="1348"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rPr>
                <w:rFonts w:eastAsia="Times New Roman" w:cs="Times New Roman"/>
              </w:rPr>
            </w:pPr>
            <w:r w:rsidRPr="00F76D91">
              <w:rPr>
                <w:rFonts w:eastAsia="Times New Roman" w:cs="Times New Roman"/>
              </w:rPr>
              <w:t>50% remaining after 10 years</w:t>
            </w:r>
          </w:p>
        </w:tc>
        <w:tc>
          <w:tcPr>
            <w:tcW w:w="746"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w:t>
            </w:r>
            <w:r w:rsidR="00177267">
              <w:rPr>
                <w:noProof/>
                <w:color w:val="000000"/>
                <w:highlight w:val="black"/>
              </w:rPr>
              <w:t>'''''''''''''''''</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1.101</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w:t>
            </w:r>
            <w:r w:rsidR="00177267">
              <w:rPr>
                <w:noProof/>
                <w:color w:val="000000"/>
                <w:highlight w:val="black"/>
              </w:rPr>
              <w:t>'''''''''''''''''</w:t>
            </w:r>
          </w:p>
        </w:tc>
      </w:tr>
      <w:tr w:rsidR="00495619" w:rsidRPr="00F76D91" w:rsidTr="00934917">
        <w:tc>
          <w:tcPr>
            <w:tcW w:w="1412" w:type="pct"/>
            <w:vMerge/>
            <w:tcBorders>
              <w:left w:val="single" w:sz="4" w:space="0" w:color="auto"/>
              <w:right w:val="single" w:sz="4" w:space="0" w:color="auto"/>
            </w:tcBorders>
            <w:vAlign w:val="center"/>
          </w:tcPr>
          <w:p w:rsidR="00495619" w:rsidRPr="00F76D91" w:rsidRDefault="00495619" w:rsidP="00934917">
            <w:pPr>
              <w:pStyle w:val="TableText0"/>
            </w:pPr>
          </w:p>
        </w:tc>
        <w:tc>
          <w:tcPr>
            <w:tcW w:w="1348"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rPr>
                <w:rFonts w:eastAsia="Times New Roman" w:cs="Times New Roman"/>
              </w:rPr>
            </w:pPr>
            <w:r w:rsidRPr="00F76D91">
              <w:rPr>
                <w:rFonts w:eastAsia="Times New Roman" w:cs="Times New Roman"/>
              </w:rPr>
              <w:t xml:space="preserve">75% after 7 years </w:t>
            </w:r>
          </w:p>
        </w:tc>
        <w:tc>
          <w:tcPr>
            <w:tcW w:w="746"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w:t>
            </w:r>
            <w:r w:rsidR="00177267">
              <w:rPr>
                <w:noProof/>
                <w:color w:val="000000"/>
                <w:highlight w:val="black"/>
              </w:rPr>
              <w:t>''''''''''''''''</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1.144</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w:t>
            </w:r>
            <w:r w:rsidR="00177267">
              <w:rPr>
                <w:noProof/>
                <w:color w:val="000000"/>
                <w:highlight w:val="black"/>
              </w:rPr>
              <w:t>''''''''''''''''</w:t>
            </w:r>
          </w:p>
        </w:tc>
      </w:tr>
      <w:tr w:rsidR="00495619" w:rsidRPr="00F76D91" w:rsidTr="00934917">
        <w:tc>
          <w:tcPr>
            <w:tcW w:w="1412" w:type="pct"/>
            <w:vMerge/>
            <w:tcBorders>
              <w:left w:val="single" w:sz="4" w:space="0" w:color="auto"/>
              <w:right w:val="single" w:sz="4" w:space="0" w:color="auto"/>
            </w:tcBorders>
            <w:vAlign w:val="center"/>
          </w:tcPr>
          <w:p w:rsidR="00495619" w:rsidRPr="00F76D91" w:rsidRDefault="00495619" w:rsidP="00934917">
            <w:pPr>
              <w:pStyle w:val="TableText0"/>
            </w:pPr>
          </w:p>
        </w:tc>
        <w:tc>
          <w:tcPr>
            <w:tcW w:w="1348"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rPr>
                <w:rFonts w:eastAsia="Times New Roman" w:cs="Times New Roman"/>
              </w:rPr>
            </w:pPr>
            <w:r w:rsidRPr="00F76D91">
              <w:rPr>
                <w:rFonts w:eastAsia="Times New Roman" w:cs="Times New Roman"/>
              </w:rPr>
              <w:t>50% remaining after 7 years</w:t>
            </w:r>
          </w:p>
        </w:tc>
        <w:tc>
          <w:tcPr>
            <w:tcW w:w="746"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w:t>
            </w:r>
            <w:r w:rsidR="00177267">
              <w:rPr>
                <w:noProof/>
                <w:color w:val="000000"/>
                <w:highlight w:val="black"/>
              </w:rPr>
              <w:t>'''''''''''''''</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0.998</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w:t>
            </w:r>
            <w:r w:rsidR="00177267">
              <w:rPr>
                <w:noProof/>
                <w:color w:val="000000"/>
                <w:highlight w:val="black"/>
              </w:rPr>
              <w:t>'''''''''''''''</w:t>
            </w:r>
          </w:p>
        </w:tc>
      </w:tr>
      <w:tr w:rsidR="00495619" w:rsidRPr="00F76D91" w:rsidTr="00934917">
        <w:tc>
          <w:tcPr>
            <w:tcW w:w="1412" w:type="pct"/>
            <w:vMerge/>
            <w:tcBorders>
              <w:left w:val="single" w:sz="4" w:space="0" w:color="auto"/>
              <w:right w:val="single" w:sz="4" w:space="0" w:color="auto"/>
            </w:tcBorders>
            <w:vAlign w:val="center"/>
          </w:tcPr>
          <w:p w:rsidR="00495619" w:rsidRPr="00F76D91" w:rsidRDefault="00495619" w:rsidP="00934917">
            <w:pPr>
              <w:pStyle w:val="TableText0"/>
            </w:pPr>
          </w:p>
        </w:tc>
        <w:tc>
          <w:tcPr>
            <w:tcW w:w="1348"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rPr>
                <w:rFonts w:eastAsia="Times New Roman" w:cs="Times New Roman"/>
              </w:rPr>
            </w:pPr>
            <w:r w:rsidRPr="00F76D91">
              <w:rPr>
                <w:rFonts w:eastAsia="Times New Roman" w:cs="Times New Roman"/>
              </w:rPr>
              <w:t>25% remaining after 7 years</w:t>
            </w:r>
          </w:p>
        </w:tc>
        <w:tc>
          <w:tcPr>
            <w:tcW w:w="746"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w:t>
            </w:r>
            <w:r w:rsidR="00177267">
              <w:rPr>
                <w:noProof/>
                <w:color w:val="000000"/>
                <w:highlight w:val="black"/>
              </w:rPr>
              <w:t>''''''''''''''''''</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0.857</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w:t>
            </w:r>
            <w:r w:rsidR="00177267">
              <w:rPr>
                <w:noProof/>
                <w:color w:val="000000"/>
                <w:highlight w:val="black"/>
              </w:rPr>
              <w:t>''''''''''''''''''</w:t>
            </w:r>
          </w:p>
        </w:tc>
      </w:tr>
      <w:tr w:rsidR="00495619" w:rsidRPr="00F76D91" w:rsidTr="00934917">
        <w:tc>
          <w:tcPr>
            <w:tcW w:w="1412" w:type="pct"/>
            <w:vMerge/>
            <w:tcBorders>
              <w:left w:val="single" w:sz="4" w:space="0" w:color="auto"/>
              <w:right w:val="single" w:sz="4" w:space="0" w:color="auto"/>
            </w:tcBorders>
            <w:vAlign w:val="center"/>
          </w:tcPr>
          <w:p w:rsidR="00495619" w:rsidRPr="00F76D91" w:rsidRDefault="00495619" w:rsidP="00934917">
            <w:pPr>
              <w:pStyle w:val="TableText0"/>
            </w:pPr>
          </w:p>
        </w:tc>
        <w:tc>
          <w:tcPr>
            <w:tcW w:w="1348"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rPr>
                <w:rFonts w:eastAsia="Times New Roman" w:cs="Times New Roman"/>
              </w:rPr>
            </w:pPr>
            <w:r w:rsidRPr="00F76D91">
              <w:rPr>
                <w:rFonts w:eastAsia="Times New Roman" w:cs="Times New Roman"/>
              </w:rPr>
              <w:t xml:space="preserve">0% after 7 years </w:t>
            </w:r>
          </w:p>
        </w:tc>
        <w:tc>
          <w:tcPr>
            <w:tcW w:w="746"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w:t>
            </w:r>
            <w:r w:rsidR="00177267">
              <w:rPr>
                <w:noProof/>
                <w:color w:val="000000"/>
                <w:highlight w:val="black"/>
              </w:rPr>
              <w:t>''''''''''''''''</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0.723</w:t>
            </w:r>
          </w:p>
        </w:tc>
        <w:tc>
          <w:tcPr>
            <w:tcW w:w="747" w:type="pct"/>
            <w:tcBorders>
              <w:top w:val="single" w:sz="4" w:space="0" w:color="auto"/>
              <w:left w:val="single" w:sz="4" w:space="0" w:color="auto"/>
              <w:bottom w:val="single" w:sz="4" w:space="0" w:color="auto"/>
              <w:right w:val="single" w:sz="4" w:space="0" w:color="auto"/>
            </w:tcBorders>
            <w:vAlign w:val="center"/>
          </w:tcPr>
          <w:p w:rsidR="00495619" w:rsidRPr="00F76D91" w:rsidRDefault="00495619" w:rsidP="00934917">
            <w:pPr>
              <w:pStyle w:val="TableText0"/>
              <w:jc w:val="center"/>
              <w:rPr>
                <w:color w:val="000000"/>
              </w:rPr>
            </w:pPr>
            <w:r w:rsidRPr="00F76D91">
              <w:rPr>
                <w:color w:val="000000"/>
              </w:rPr>
              <w:t>$</w:t>
            </w:r>
            <w:r w:rsidR="00177267">
              <w:rPr>
                <w:noProof/>
                <w:color w:val="000000"/>
                <w:highlight w:val="black"/>
              </w:rPr>
              <w:t>'''''''''''''''''''''</w:t>
            </w:r>
          </w:p>
        </w:tc>
      </w:tr>
    </w:tbl>
    <w:p w:rsidR="00495619" w:rsidRDefault="00495619" w:rsidP="00495619">
      <w:pPr>
        <w:pStyle w:val="TableFigureFooter"/>
      </w:pPr>
      <w:r w:rsidRPr="00DB37C0">
        <w:t xml:space="preserve">Source: Tables 3.22 – 3.28, </w:t>
      </w:r>
      <w:r>
        <w:t xml:space="preserve">pp71 – 76 of the resubmission </w:t>
      </w:r>
      <w:r w:rsidRPr="007F0D33">
        <w:rPr>
          <w:i/>
        </w:rPr>
        <w:t xml:space="preserve">and conducted during </w:t>
      </w:r>
      <w:r>
        <w:rPr>
          <w:i/>
        </w:rPr>
        <w:t>preparation of the ESC Advice</w:t>
      </w:r>
      <w:r>
        <w:t>.</w:t>
      </w:r>
      <w:r w:rsidRPr="00DB37C0">
        <w:t xml:space="preserve"> </w:t>
      </w:r>
    </w:p>
    <w:p w:rsidR="00495619" w:rsidRPr="00DB37C0" w:rsidRDefault="00495619" w:rsidP="00495619">
      <w:pPr>
        <w:pStyle w:val="TableFigureFooter"/>
      </w:pPr>
      <w:r w:rsidRPr="00DB37C0">
        <w:t>BSC = best supportive care; CDP = con</w:t>
      </w:r>
      <w:r>
        <w:t>firmed disability progression;</w:t>
      </w:r>
      <w:r w:rsidRPr="000B3A29">
        <w:t xml:space="preserve"> </w:t>
      </w:r>
      <w:r>
        <w:t xml:space="preserve">ECP = extended control period; </w:t>
      </w:r>
      <w:r w:rsidRPr="00DB37C0">
        <w:t>EDSS = expanded disability s</w:t>
      </w:r>
      <w:r>
        <w:t>tatus scale; HR = hazard ratio</w:t>
      </w:r>
    </w:p>
    <w:p w:rsidR="00495619" w:rsidRPr="00F76D91" w:rsidRDefault="00495619" w:rsidP="00495619">
      <w:pPr>
        <w:pStyle w:val="TableFigureFooter"/>
        <w:ind w:left="284" w:hanging="284"/>
      </w:pPr>
      <w:r w:rsidRPr="00DB37C0">
        <w:rPr>
          <w:color w:val="000000" w:themeColor="text1"/>
          <w:vertAlign w:val="superscript"/>
        </w:rPr>
        <w:t>a</w:t>
      </w:r>
      <w:r w:rsidRPr="00F76D91">
        <w:tab/>
        <w:t>The resubmission altered the start age (and consequently the time horizon of the economic evaluation), the EDSS distribution at treatment initiation, the applicable natural history transition matrix and the CDP HR according to the corresponding variables from ORATORIO</w:t>
      </w:r>
    </w:p>
    <w:p w:rsidR="00495619" w:rsidRDefault="00495619" w:rsidP="004307B9">
      <w:pPr>
        <w:pStyle w:val="TableFigureFooter"/>
        <w:spacing w:after="240"/>
      </w:pPr>
      <w:r w:rsidRPr="00F76D91">
        <w:t>Note: These analyses were conducted by changing cell D16 of the General Model inputs sheet from “6” to “4” and “5,”  respectively, as well as changing F22 of the Health state costs sheet from $35,175 to $0.</w:t>
      </w:r>
    </w:p>
    <w:p w:rsidR="004B4798" w:rsidRDefault="004B4798" w:rsidP="004307B9">
      <w:pPr>
        <w:pStyle w:val="TableFigureFooter"/>
        <w:spacing w:after="240"/>
      </w:pPr>
    </w:p>
    <w:p w:rsidR="004B4798" w:rsidRPr="004B4798" w:rsidRDefault="004B4798" w:rsidP="004307B9">
      <w:pPr>
        <w:pStyle w:val="TableFigureFooter"/>
        <w:spacing w:after="240"/>
        <w:rPr>
          <w:rFonts w:ascii="Calibri" w:hAnsi="Calibri" w:cs="Calibri"/>
          <w:i/>
          <w:sz w:val="24"/>
          <w:szCs w:val="24"/>
        </w:rPr>
      </w:pPr>
      <w:r>
        <w:rPr>
          <w:rFonts w:ascii="Calibri" w:hAnsi="Calibri" w:cs="Calibri"/>
          <w:i/>
          <w:sz w:val="24"/>
          <w:szCs w:val="24"/>
        </w:rPr>
        <w:t xml:space="preserve">The redacted table shows ICERs in the range of $45,000 to &lt; $55,000 per QALY, to $155,000 to &lt; $255,000 per QALY. </w:t>
      </w:r>
    </w:p>
    <w:p w:rsidR="00C25D9C" w:rsidRDefault="00C25D9C" w:rsidP="00BB732D">
      <w:pPr>
        <w:pStyle w:val="4-SubsectionHeading"/>
      </w:pPr>
      <w:bookmarkStart w:id="31" w:name="_Toc22897646"/>
      <w:bookmarkStart w:id="32" w:name="_Toc40873652"/>
      <w:r w:rsidRPr="002C62BF">
        <w:t>Drug</w:t>
      </w:r>
      <w:r w:rsidR="00936807" w:rsidRPr="002C62BF">
        <w:t xml:space="preserve"> </w:t>
      </w:r>
      <w:r w:rsidRPr="002C62BF">
        <w:t>cost/patient/year</w:t>
      </w:r>
      <w:bookmarkEnd w:id="31"/>
      <w:bookmarkEnd w:id="32"/>
    </w:p>
    <w:p w:rsidR="00717F65" w:rsidRPr="00717F65" w:rsidRDefault="00717F65" w:rsidP="00717F65">
      <w:pPr>
        <w:pStyle w:val="3-BodyText"/>
      </w:pPr>
      <w:r>
        <w:t>Table 14 shows the drug cost per patient for ocrelizumab and placebo/BSC.</w:t>
      </w:r>
    </w:p>
    <w:p w:rsidR="00494207" w:rsidRPr="002C62BF" w:rsidRDefault="00494207" w:rsidP="00BB732D">
      <w:pPr>
        <w:pStyle w:val="TableFigureHeading"/>
        <w:rPr>
          <w:rStyle w:val="CommentReference"/>
          <w:b/>
          <w:szCs w:val="24"/>
        </w:rPr>
      </w:pPr>
      <w:r w:rsidRPr="002C62BF">
        <w:rPr>
          <w:rStyle w:val="CommentReference"/>
          <w:b/>
          <w:szCs w:val="24"/>
        </w:rPr>
        <w:t xml:space="preserve">Table </w:t>
      </w:r>
      <w:r w:rsidR="006726B8" w:rsidRPr="002C62BF">
        <w:rPr>
          <w:rStyle w:val="CommentReference"/>
          <w:b/>
          <w:szCs w:val="24"/>
        </w:rPr>
        <w:t>14</w:t>
      </w:r>
      <w:r w:rsidRPr="002C62BF">
        <w:rPr>
          <w:rStyle w:val="CommentReference"/>
          <w:b/>
          <w:szCs w:val="24"/>
        </w:rPr>
        <w:t xml:space="preserve">: Drug cost per patient for </w:t>
      </w:r>
      <w:r w:rsidR="00936807" w:rsidRPr="002C62BF">
        <w:rPr>
          <w:rStyle w:val="CommentReference"/>
          <w:b/>
          <w:szCs w:val="24"/>
        </w:rPr>
        <w:t>ocrelizumab</w:t>
      </w:r>
      <w:r w:rsidRPr="002C62BF">
        <w:rPr>
          <w:rStyle w:val="CommentReference"/>
          <w:b/>
          <w:szCs w:val="24"/>
        </w:rPr>
        <w:t xml:space="preserve"> and </w:t>
      </w:r>
      <w:r w:rsidR="00936807" w:rsidRPr="002C62BF">
        <w:rPr>
          <w:rStyle w:val="CommentReference"/>
          <w:b/>
          <w:szCs w:val="24"/>
        </w:rPr>
        <w:t>placebo/ BSC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494207" w:rsidRPr="002C62BF" w:rsidTr="006B35E6">
        <w:trPr>
          <w:cantSplit/>
          <w:tblHeader/>
          <w:jc w:val="center"/>
        </w:trPr>
        <w:tc>
          <w:tcPr>
            <w:tcW w:w="815" w:type="pct"/>
            <w:shd w:val="clear" w:color="auto" w:fill="auto"/>
            <w:vAlign w:val="center"/>
          </w:tcPr>
          <w:p w:rsidR="00494207" w:rsidRPr="002C62BF" w:rsidRDefault="00494207" w:rsidP="00BB732D">
            <w:pPr>
              <w:pStyle w:val="In-tableHeading"/>
              <w:jc w:val="center"/>
              <w:rPr>
                <w:lang w:val="en-AU"/>
              </w:rPr>
            </w:pPr>
          </w:p>
        </w:tc>
        <w:tc>
          <w:tcPr>
            <w:tcW w:w="697" w:type="pct"/>
            <w:shd w:val="clear" w:color="auto" w:fill="auto"/>
            <w:vAlign w:val="center"/>
          </w:tcPr>
          <w:p w:rsidR="00494207" w:rsidRPr="002C62BF" w:rsidRDefault="004B4798" w:rsidP="00BB732D">
            <w:pPr>
              <w:pStyle w:val="In-tableHeading"/>
              <w:jc w:val="center"/>
              <w:rPr>
                <w:lang w:val="en-AU"/>
              </w:rPr>
            </w:pPr>
            <w:r>
              <w:rPr>
                <w:lang w:val="en-AU"/>
              </w:rPr>
              <w:t>O</w:t>
            </w:r>
            <w:r w:rsidR="00302EA1" w:rsidRPr="002C62BF">
              <w:rPr>
                <w:lang w:val="en-AU"/>
              </w:rPr>
              <w:t>crelizumab</w:t>
            </w:r>
          </w:p>
          <w:p w:rsidR="00494207" w:rsidRPr="002C62BF" w:rsidRDefault="00494207" w:rsidP="00BB732D">
            <w:pPr>
              <w:pStyle w:val="In-tableHeading"/>
              <w:jc w:val="center"/>
              <w:rPr>
                <w:lang w:val="en-AU"/>
              </w:rPr>
            </w:pPr>
            <w:r w:rsidRPr="002C62BF">
              <w:rPr>
                <w:lang w:val="en-AU"/>
              </w:rPr>
              <w:t>Trial dose and duration</w:t>
            </w:r>
          </w:p>
        </w:tc>
        <w:tc>
          <w:tcPr>
            <w:tcW w:w="696" w:type="pct"/>
            <w:shd w:val="clear" w:color="auto" w:fill="auto"/>
            <w:vAlign w:val="center"/>
          </w:tcPr>
          <w:p w:rsidR="00494207" w:rsidRPr="002C62BF" w:rsidRDefault="00936807" w:rsidP="00BB732D">
            <w:pPr>
              <w:pStyle w:val="In-tableHeading"/>
              <w:jc w:val="center"/>
              <w:rPr>
                <w:lang w:val="en-AU"/>
              </w:rPr>
            </w:pPr>
            <w:r w:rsidRPr="002C62BF">
              <w:rPr>
                <w:lang w:val="en-AU"/>
              </w:rPr>
              <w:t>Ocrelizumab</w:t>
            </w:r>
          </w:p>
          <w:p w:rsidR="00494207" w:rsidRPr="002C62BF" w:rsidRDefault="00494207" w:rsidP="00BB732D">
            <w:pPr>
              <w:pStyle w:val="In-tableHeading"/>
              <w:jc w:val="center"/>
              <w:rPr>
                <w:lang w:val="en-AU"/>
              </w:rPr>
            </w:pPr>
            <w:r w:rsidRPr="002C62BF">
              <w:rPr>
                <w:lang w:val="en-AU"/>
              </w:rPr>
              <w:t>Model</w:t>
            </w:r>
          </w:p>
        </w:tc>
        <w:tc>
          <w:tcPr>
            <w:tcW w:w="698" w:type="pct"/>
            <w:shd w:val="clear" w:color="auto" w:fill="auto"/>
            <w:vAlign w:val="center"/>
          </w:tcPr>
          <w:p w:rsidR="00494207" w:rsidRPr="002C62BF" w:rsidRDefault="00302EA1" w:rsidP="00BB732D">
            <w:pPr>
              <w:pStyle w:val="In-tableHeading"/>
              <w:jc w:val="center"/>
              <w:rPr>
                <w:lang w:val="en-AU"/>
              </w:rPr>
            </w:pPr>
            <w:r w:rsidRPr="002C62BF">
              <w:rPr>
                <w:lang w:val="en-AU"/>
              </w:rPr>
              <w:t>Ocrelizumab</w:t>
            </w:r>
          </w:p>
          <w:p w:rsidR="00494207" w:rsidRPr="002C62BF" w:rsidRDefault="00494207" w:rsidP="00BB732D">
            <w:pPr>
              <w:pStyle w:val="In-tableHeading"/>
              <w:jc w:val="center"/>
              <w:rPr>
                <w:lang w:val="en-AU"/>
              </w:rPr>
            </w:pPr>
            <w:r w:rsidRPr="002C62BF">
              <w:rPr>
                <w:lang w:val="en-AU"/>
              </w:rPr>
              <w:t>Financial estimates</w:t>
            </w:r>
          </w:p>
        </w:tc>
        <w:tc>
          <w:tcPr>
            <w:tcW w:w="696" w:type="pct"/>
            <w:shd w:val="clear" w:color="auto" w:fill="auto"/>
            <w:vAlign w:val="center"/>
          </w:tcPr>
          <w:p w:rsidR="00494207" w:rsidRPr="002C62BF" w:rsidRDefault="00302EA1" w:rsidP="00BB732D">
            <w:pPr>
              <w:pStyle w:val="In-tableHeading"/>
              <w:jc w:val="center"/>
              <w:rPr>
                <w:lang w:val="en-AU"/>
              </w:rPr>
            </w:pPr>
            <w:r w:rsidRPr="002C62BF">
              <w:rPr>
                <w:lang w:val="en-AU"/>
              </w:rPr>
              <w:t>Placebo</w:t>
            </w:r>
          </w:p>
          <w:p w:rsidR="00494207" w:rsidRPr="002C62BF" w:rsidRDefault="00494207" w:rsidP="00BB732D">
            <w:pPr>
              <w:pStyle w:val="In-tableHeading"/>
              <w:jc w:val="center"/>
              <w:rPr>
                <w:lang w:val="en-AU"/>
              </w:rPr>
            </w:pPr>
            <w:r w:rsidRPr="002C62BF">
              <w:rPr>
                <w:lang w:val="en-AU"/>
              </w:rPr>
              <w:t>Trial dose and duration</w:t>
            </w:r>
          </w:p>
        </w:tc>
        <w:tc>
          <w:tcPr>
            <w:tcW w:w="699" w:type="pct"/>
            <w:shd w:val="clear" w:color="auto" w:fill="auto"/>
            <w:vAlign w:val="center"/>
          </w:tcPr>
          <w:p w:rsidR="00494207" w:rsidRPr="002C62BF" w:rsidRDefault="00302EA1" w:rsidP="00BB732D">
            <w:pPr>
              <w:pStyle w:val="In-tableHeading"/>
              <w:jc w:val="center"/>
              <w:rPr>
                <w:lang w:val="en-AU"/>
              </w:rPr>
            </w:pPr>
            <w:r w:rsidRPr="002C62BF">
              <w:rPr>
                <w:lang w:val="en-AU"/>
              </w:rPr>
              <w:t>BSC</w:t>
            </w:r>
          </w:p>
          <w:p w:rsidR="00494207" w:rsidRPr="002C62BF" w:rsidRDefault="00494207" w:rsidP="00BB732D">
            <w:pPr>
              <w:pStyle w:val="In-tableHeading"/>
              <w:jc w:val="center"/>
              <w:rPr>
                <w:lang w:val="en-AU"/>
              </w:rPr>
            </w:pPr>
            <w:r w:rsidRPr="002C62BF">
              <w:rPr>
                <w:lang w:val="en-AU"/>
              </w:rPr>
              <w:t>Model</w:t>
            </w:r>
          </w:p>
        </w:tc>
        <w:tc>
          <w:tcPr>
            <w:tcW w:w="699" w:type="pct"/>
          </w:tcPr>
          <w:p w:rsidR="00494207" w:rsidRPr="002C62BF" w:rsidRDefault="00936807" w:rsidP="00BB732D">
            <w:pPr>
              <w:pStyle w:val="In-tableHeading"/>
              <w:jc w:val="center"/>
              <w:rPr>
                <w:lang w:val="en-AU"/>
              </w:rPr>
            </w:pPr>
            <w:r w:rsidRPr="002C62BF">
              <w:rPr>
                <w:lang w:val="en-AU"/>
              </w:rPr>
              <w:t>BSC</w:t>
            </w:r>
          </w:p>
          <w:p w:rsidR="00494207" w:rsidRPr="002C62BF" w:rsidRDefault="00494207" w:rsidP="00BB732D">
            <w:pPr>
              <w:pStyle w:val="In-tableHeading"/>
              <w:jc w:val="center"/>
              <w:rPr>
                <w:lang w:val="en-AU"/>
              </w:rPr>
            </w:pPr>
            <w:r w:rsidRPr="002C62BF">
              <w:rPr>
                <w:lang w:val="en-AU"/>
              </w:rPr>
              <w:t>Financial estimates</w:t>
            </w:r>
          </w:p>
        </w:tc>
      </w:tr>
      <w:tr w:rsidR="00494207" w:rsidRPr="002C62BF" w:rsidTr="00567AAF">
        <w:trPr>
          <w:cantSplit/>
          <w:jc w:val="center"/>
        </w:trPr>
        <w:tc>
          <w:tcPr>
            <w:tcW w:w="815" w:type="pct"/>
            <w:shd w:val="clear" w:color="auto" w:fill="auto"/>
            <w:vAlign w:val="center"/>
          </w:tcPr>
          <w:p w:rsidR="00494207" w:rsidRPr="002C62BF" w:rsidRDefault="00494207" w:rsidP="00BB732D">
            <w:pPr>
              <w:pStyle w:val="TableText0"/>
            </w:pPr>
            <w:r w:rsidRPr="002C62BF">
              <w:t>Mean dose</w:t>
            </w:r>
          </w:p>
        </w:tc>
        <w:tc>
          <w:tcPr>
            <w:tcW w:w="697" w:type="pct"/>
            <w:shd w:val="clear" w:color="auto" w:fill="auto"/>
            <w:vAlign w:val="center"/>
          </w:tcPr>
          <w:p w:rsidR="00494207" w:rsidRPr="002C62BF" w:rsidRDefault="00936807" w:rsidP="00BB732D">
            <w:pPr>
              <w:pStyle w:val="TableText0"/>
              <w:jc w:val="center"/>
              <w:rPr>
                <w:b/>
              </w:rPr>
            </w:pPr>
            <w:r w:rsidRPr="002C62BF">
              <w:t>600mg every six months</w:t>
            </w:r>
          </w:p>
        </w:tc>
        <w:tc>
          <w:tcPr>
            <w:tcW w:w="696" w:type="pct"/>
            <w:shd w:val="clear" w:color="auto" w:fill="auto"/>
            <w:vAlign w:val="center"/>
          </w:tcPr>
          <w:p w:rsidR="00494207" w:rsidRPr="002C62BF" w:rsidRDefault="00302EA1" w:rsidP="00BB732D">
            <w:pPr>
              <w:pStyle w:val="TableText0"/>
              <w:jc w:val="center"/>
              <w:rPr>
                <w:b/>
              </w:rPr>
            </w:pPr>
            <w:r w:rsidRPr="002C62BF">
              <w:t>600mg every six months</w:t>
            </w:r>
          </w:p>
        </w:tc>
        <w:tc>
          <w:tcPr>
            <w:tcW w:w="698" w:type="pct"/>
            <w:shd w:val="clear" w:color="auto" w:fill="auto"/>
            <w:vAlign w:val="center"/>
          </w:tcPr>
          <w:p w:rsidR="00494207" w:rsidRPr="002C62BF" w:rsidRDefault="00936807" w:rsidP="00BB732D">
            <w:pPr>
              <w:pStyle w:val="TableText0"/>
              <w:jc w:val="center"/>
              <w:rPr>
                <w:b/>
              </w:rPr>
            </w:pPr>
            <w:r w:rsidRPr="002C62BF">
              <w:t>600mg every six months</w:t>
            </w:r>
          </w:p>
        </w:tc>
        <w:tc>
          <w:tcPr>
            <w:tcW w:w="696" w:type="pct"/>
            <w:shd w:val="clear" w:color="auto" w:fill="auto"/>
            <w:vAlign w:val="center"/>
          </w:tcPr>
          <w:p w:rsidR="00494207" w:rsidRPr="002C62BF" w:rsidRDefault="00302EA1" w:rsidP="00BB732D">
            <w:pPr>
              <w:pStyle w:val="TableText0"/>
              <w:jc w:val="center"/>
              <w:rPr>
                <w:b/>
              </w:rPr>
            </w:pPr>
            <w:r w:rsidRPr="002C62BF">
              <w:rPr>
                <w:b/>
              </w:rPr>
              <w:t>NA</w:t>
            </w:r>
          </w:p>
        </w:tc>
        <w:tc>
          <w:tcPr>
            <w:tcW w:w="699" w:type="pct"/>
            <w:shd w:val="clear" w:color="auto" w:fill="auto"/>
            <w:vAlign w:val="center"/>
          </w:tcPr>
          <w:p w:rsidR="00494207" w:rsidRPr="002C62BF" w:rsidRDefault="0018241F" w:rsidP="00BB732D">
            <w:pPr>
              <w:pStyle w:val="TableText0"/>
              <w:jc w:val="center"/>
              <w:rPr>
                <w:b/>
              </w:rPr>
            </w:pPr>
            <w:r w:rsidRPr="002C62BF">
              <w:rPr>
                <w:b/>
              </w:rPr>
              <w:t>NA</w:t>
            </w:r>
          </w:p>
        </w:tc>
        <w:tc>
          <w:tcPr>
            <w:tcW w:w="699" w:type="pct"/>
            <w:vAlign w:val="center"/>
          </w:tcPr>
          <w:p w:rsidR="00494207" w:rsidRPr="002C62BF" w:rsidRDefault="0018241F" w:rsidP="00567AAF">
            <w:pPr>
              <w:pStyle w:val="TableText0"/>
              <w:jc w:val="center"/>
              <w:rPr>
                <w:b/>
              </w:rPr>
            </w:pPr>
            <w:r w:rsidRPr="002C62BF">
              <w:rPr>
                <w:b/>
              </w:rPr>
              <w:t>NA</w:t>
            </w:r>
          </w:p>
        </w:tc>
      </w:tr>
      <w:tr w:rsidR="00494207" w:rsidRPr="002C62BF" w:rsidTr="006B35E6">
        <w:trPr>
          <w:cantSplit/>
          <w:jc w:val="center"/>
        </w:trPr>
        <w:tc>
          <w:tcPr>
            <w:tcW w:w="815" w:type="pct"/>
            <w:shd w:val="clear" w:color="auto" w:fill="auto"/>
            <w:vAlign w:val="center"/>
          </w:tcPr>
          <w:p w:rsidR="00494207" w:rsidRPr="002C62BF" w:rsidRDefault="00494207" w:rsidP="00BB732D">
            <w:pPr>
              <w:pStyle w:val="TableText0"/>
            </w:pPr>
            <w:r w:rsidRPr="002C62BF">
              <w:t>Mean duration</w:t>
            </w:r>
          </w:p>
        </w:tc>
        <w:tc>
          <w:tcPr>
            <w:tcW w:w="697" w:type="pct"/>
            <w:shd w:val="clear" w:color="auto" w:fill="auto"/>
            <w:vAlign w:val="center"/>
          </w:tcPr>
          <w:p w:rsidR="00494207" w:rsidRPr="002C62BF" w:rsidRDefault="00350F99" w:rsidP="00BB732D">
            <w:pPr>
              <w:pStyle w:val="TableText0"/>
              <w:jc w:val="center"/>
            </w:pPr>
            <w:r w:rsidRPr="002C62BF">
              <w:t>3.0</w:t>
            </w:r>
            <w:r w:rsidR="00E47786" w:rsidRPr="002C62BF">
              <w:t xml:space="preserve"> years</w:t>
            </w:r>
          </w:p>
        </w:tc>
        <w:tc>
          <w:tcPr>
            <w:tcW w:w="696" w:type="pct"/>
            <w:shd w:val="clear" w:color="auto" w:fill="auto"/>
            <w:vAlign w:val="center"/>
          </w:tcPr>
          <w:p w:rsidR="00494207" w:rsidRPr="002C62BF" w:rsidRDefault="0018241F" w:rsidP="00BB732D">
            <w:pPr>
              <w:pStyle w:val="TableText0"/>
              <w:jc w:val="center"/>
            </w:pPr>
            <w:r w:rsidRPr="002C62BF">
              <w:t>Life</w:t>
            </w:r>
            <w:r w:rsidR="00936807" w:rsidRPr="002C62BF">
              <w:t>-</w:t>
            </w:r>
            <w:r w:rsidRPr="002C62BF">
              <w:t>time</w:t>
            </w:r>
          </w:p>
        </w:tc>
        <w:tc>
          <w:tcPr>
            <w:tcW w:w="698" w:type="pct"/>
            <w:shd w:val="clear" w:color="auto" w:fill="auto"/>
            <w:vAlign w:val="center"/>
          </w:tcPr>
          <w:p w:rsidR="00494207" w:rsidRPr="002C62BF" w:rsidRDefault="0018241F" w:rsidP="00BB732D">
            <w:pPr>
              <w:pStyle w:val="TableText0"/>
              <w:jc w:val="center"/>
            </w:pPr>
            <w:r w:rsidRPr="002C62BF">
              <w:t>6 years</w:t>
            </w:r>
            <w:r w:rsidR="00302EA1" w:rsidRPr="002C62BF">
              <w:t xml:space="preserve"> </w:t>
            </w:r>
          </w:p>
        </w:tc>
        <w:tc>
          <w:tcPr>
            <w:tcW w:w="696" w:type="pct"/>
            <w:shd w:val="clear" w:color="auto" w:fill="auto"/>
            <w:vAlign w:val="center"/>
          </w:tcPr>
          <w:p w:rsidR="00494207" w:rsidRPr="002C62BF" w:rsidRDefault="00302EA1" w:rsidP="00BB732D">
            <w:pPr>
              <w:pStyle w:val="TableText0"/>
              <w:jc w:val="center"/>
            </w:pPr>
            <w:r w:rsidRPr="002C62BF">
              <w:t>2.8</w:t>
            </w:r>
            <w:r w:rsidR="00E47786" w:rsidRPr="002C62BF">
              <w:t xml:space="preserve"> years</w:t>
            </w:r>
          </w:p>
        </w:tc>
        <w:tc>
          <w:tcPr>
            <w:tcW w:w="699" w:type="pct"/>
            <w:shd w:val="clear" w:color="auto" w:fill="auto"/>
            <w:vAlign w:val="center"/>
          </w:tcPr>
          <w:p w:rsidR="00494207" w:rsidRPr="002C62BF" w:rsidRDefault="00302EA1" w:rsidP="00BB732D">
            <w:pPr>
              <w:pStyle w:val="TableText0"/>
              <w:jc w:val="center"/>
            </w:pPr>
            <w:r w:rsidRPr="002C62BF">
              <w:t>Life-time</w:t>
            </w:r>
          </w:p>
        </w:tc>
        <w:tc>
          <w:tcPr>
            <w:tcW w:w="699" w:type="pct"/>
          </w:tcPr>
          <w:p w:rsidR="00494207" w:rsidRPr="002C62BF" w:rsidRDefault="00302EA1" w:rsidP="00BB732D">
            <w:pPr>
              <w:pStyle w:val="TableText0"/>
              <w:jc w:val="center"/>
            </w:pPr>
            <w:r w:rsidRPr="002C62BF">
              <w:t>NA</w:t>
            </w:r>
          </w:p>
        </w:tc>
      </w:tr>
      <w:tr w:rsidR="00BA7995" w:rsidRPr="002C62BF" w:rsidTr="005F2161">
        <w:trPr>
          <w:cantSplit/>
          <w:jc w:val="center"/>
        </w:trPr>
        <w:tc>
          <w:tcPr>
            <w:tcW w:w="815" w:type="pct"/>
            <w:shd w:val="clear" w:color="auto" w:fill="auto"/>
            <w:vAlign w:val="center"/>
          </w:tcPr>
          <w:p w:rsidR="00BA7995" w:rsidRPr="002C62BF" w:rsidRDefault="00BA7995" w:rsidP="00BB732D">
            <w:pPr>
              <w:pStyle w:val="TableText0"/>
            </w:pPr>
            <w:r w:rsidRPr="002C62BF">
              <w:t>Discontinuation  rate</w:t>
            </w:r>
          </w:p>
        </w:tc>
        <w:tc>
          <w:tcPr>
            <w:tcW w:w="697" w:type="pct"/>
            <w:shd w:val="clear" w:color="auto" w:fill="auto"/>
            <w:vAlign w:val="center"/>
          </w:tcPr>
          <w:p w:rsidR="00BA7995" w:rsidRPr="002C62BF" w:rsidRDefault="00BA7995" w:rsidP="00BB732D">
            <w:pPr>
              <w:pStyle w:val="TableText0"/>
              <w:jc w:val="center"/>
            </w:pPr>
            <w:r w:rsidRPr="002C62BF">
              <w:t>NR</w:t>
            </w:r>
          </w:p>
        </w:tc>
        <w:tc>
          <w:tcPr>
            <w:tcW w:w="696" w:type="pct"/>
            <w:shd w:val="clear" w:color="auto" w:fill="auto"/>
            <w:vAlign w:val="center"/>
          </w:tcPr>
          <w:p w:rsidR="00BA7995" w:rsidRPr="002C62BF" w:rsidRDefault="00BA7995" w:rsidP="00BB732D">
            <w:pPr>
              <w:pStyle w:val="TableText0"/>
              <w:jc w:val="center"/>
            </w:pPr>
            <w:r w:rsidRPr="002C62BF">
              <w:t>6.94% per year</w:t>
            </w:r>
          </w:p>
        </w:tc>
        <w:tc>
          <w:tcPr>
            <w:tcW w:w="698" w:type="pct"/>
            <w:shd w:val="clear" w:color="auto" w:fill="auto"/>
            <w:vAlign w:val="center"/>
          </w:tcPr>
          <w:p w:rsidR="00BA7995" w:rsidRPr="002C62BF" w:rsidRDefault="00BA7995" w:rsidP="00BB732D">
            <w:pPr>
              <w:pStyle w:val="TableText0"/>
              <w:jc w:val="center"/>
            </w:pPr>
            <w:r w:rsidRPr="002C62BF">
              <w:t>7% per year</w:t>
            </w:r>
          </w:p>
        </w:tc>
        <w:tc>
          <w:tcPr>
            <w:tcW w:w="696" w:type="pct"/>
            <w:shd w:val="clear" w:color="auto" w:fill="auto"/>
            <w:vAlign w:val="center"/>
          </w:tcPr>
          <w:p w:rsidR="00BA7995" w:rsidRPr="002C62BF" w:rsidRDefault="00BA7995" w:rsidP="00BB732D">
            <w:pPr>
              <w:pStyle w:val="TableText0"/>
              <w:jc w:val="center"/>
            </w:pPr>
            <w:r w:rsidRPr="002C62BF">
              <w:t>NR</w:t>
            </w:r>
          </w:p>
        </w:tc>
        <w:tc>
          <w:tcPr>
            <w:tcW w:w="699" w:type="pct"/>
            <w:shd w:val="clear" w:color="auto" w:fill="auto"/>
            <w:vAlign w:val="center"/>
          </w:tcPr>
          <w:p w:rsidR="00BA7995" w:rsidRPr="002C62BF" w:rsidRDefault="00BA7995" w:rsidP="00BB732D">
            <w:pPr>
              <w:pStyle w:val="TableText0"/>
              <w:jc w:val="center"/>
            </w:pPr>
            <w:r w:rsidRPr="002C62BF">
              <w:t>NA</w:t>
            </w:r>
          </w:p>
        </w:tc>
        <w:tc>
          <w:tcPr>
            <w:tcW w:w="699" w:type="pct"/>
            <w:vAlign w:val="center"/>
          </w:tcPr>
          <w:p w:rsidR="00BA7995" w:rsidRPr="002C62BF" w:rsidRDefault="00BA7995" w:rsidP="005F2161">
            <w:pPr>
              <w:pStyle w:val="TableText0"/>
              <w:jc w:val="center"/>
            </w:pPr>
            <w:r w:rsidRPr="002C62BF">
              <w:t>NA</w:t>
            </w:r>
          </w:p>
        </w:tc>
      </w:tr>
      <w:tr w:rsidR="00936807" w:rsidRPr="002C62BF" w:rsidTr="00F35E20">
        <w:trPr>
          <w:cantSplit/>
          <w:jc w:val="center"/>
        </w:trPr>
        <w:tc>
          <w:tcPr>
            <w:tcW w:w="815" w:type="pct"/>
            <w:shd w:val="clear" w:color="auto" w:fill="auto"/>
            <w:vAlign w:val="center"/>
          </w:tcPr>
          <w:p w:rsidR="00936807" w:rsidRPr="002C62BF" w:rsidRDefault="00936807" w:rsidP="00936807">
            <w:pPr>
              <w:pStyle w:val="TableText0"/>
            </w:pPr>
            <w:r w:rsidRPr="002C62BF">
              <w:t>Cost/patient/month</w:t>
            </w:r>
          </w:p>
        </w:tc>
        <w:tc>
          <w:tcPr>
            <w:tcW w:w="697" w:type="pct"/>
            <w:shd w:val="clear" w:color="auto" w:fill="auto"/>
            <w:vAlign w:val="center"/>
          </w:tcPr>
          <w:p w:rsidR="00936807" w:rsidRPr="002C62BF" w:rsidRDefault="00936807" w:rsidP="00936807">
            <w:pPr>
              <w:pStyle w:val="TableText0"/>
              <w:jc w:val="center"/>
            </w:pPr>
            <w:r w:rsidRPr="002C62BF">
              <w:t>$</w:t>
            </w:r>
            <w:r w:rsidR="00177267">
              <w:rPr>
                <w:noProof/>
                <w:color w:val="000000"/>
                <w:highlight w:val="black"/>
              </w:rPr>
              <w:t>''''''''''''''''''''''</w:t>
            </w:r>
          </w:p>
        </w:tc>
        <w:tc>
          <w:tcPr>
            <w:tcW w:w="696" w:type="pct"/>
            <w:shd w:val="clear" w:color="auto" w:fill="auto"/>
          </w:tcPr>
          <w:p w:rsidR="00936807" w:rsidRPr="002C62BF" w:rsidRDefault="00936807" w:rsidP="00936807">
            <w:pPr>
              <w:pStyle w:val="TableText0"/>
              <w:jc w:val="center"/>
            </w:pPr>
            <w:r w:rsidRPr="002C62BF">
              <w:t>$</w:t>
            </w:r>
            <w:r w:rsidR="00177267">
              <w:rPr>
                <w:noProof/>
                <w:color w:val="000000"/>
                <w:highlight w:val="black"/>
              </w:rPr>
              <w:t>'''''''''''''''''''</w:t>
            </w:r>
          </w:p>
        </w:tc>
        <w:tc>
          <w:tcPr>
            <w:tcW w:w="698" w:type="pct"/>
            <w:shd w:val="clear" w:color="auto" w:fill="auto"/>
          </w:tcPr>
          <w:p w:rsidR="00936807" w:rsidRPr="002C62BF" w:rsidRDefault="00936807" w:rsidP="00936807">
            <w:pPr>
              <w:pStyle w:val="TableText0"/>
              <w:jc w:val="center"/>
            </w:pPr>
            <w:r w:rsidRPr="002C62BF">
              <w:t>$</w:t>
            </w:r>
            <w:r w:rsidR="00177267">
              <w:rPr>
                <w:noProof/>
                <w:color w:val="000000"/>
                <w:highlight w:val="black"/>
              </w:rPr>
              <w:t>''''''''''''''''''''''</w:t>
            </w:r>
          </w:p>
        </w:tc>
        <w:tc>
          <w:tcPr>
            <w:tcW w:w="696" w:type="pct"/>
            <w:shd w:val="clear" w:color="auto" w:fill="auto"/>
            <w:vAlign w:val="center"/>
          </w:tcPr>
          <w:p w:rsidR="00936807" w:rsidRPr="002C62BF" w:rsidRDefault="00936807" w:rsidP="00936807">
            <w:pPr>
              <w:pStyle w:val="TableText0"/>
              <w:jc w:val="center"/>
            </w:pPr>
            <w:r w:rsidRPr="002C62BF">
              <w:t>$0</w:t>
            </w:r>
          </w:p>
        </w:tc>
        <w:tc>
          <w:tcPr>
            <w:tcW w:w="699" w:type="pct"/>
            <w:shd w:val="clear" w:color="auto" w:fill="auto"/>
            <w:vAlign w:val="center"/>
          </w:tcPr>
          <w:p w:rsidR="00936807" w:rsidRPr="002C62BF" w:rsidRDefault="00936807" w:rsidP="00936807">
            <w:pPr>
              <w:pStyle w:val="TableText0"/>
              <w:jc w:val="center"/>
            </w:pPr>
            <w:r w:rsidRPr="002C62BF">
              <w:t>$0</w:t>
            </w:r>
          </w:p>
        </w:tc>
        <w:tc>
          <w:tcPr>
            <w:tcW w:w="699" w:type="pct"/>
          </w:tcPr>
          <w:p w:rsidR="00936807" w:rsidRPr="002C62BF" w:rsidRDefault="00936807" w:rsidP="00936807">
            <w:pPr>
              <w:pStyle w:val="TableText0"/>
              <w:jc w:val="center"/>
            </w:pPr>
            <w:r w:rsidRPr="002C62BF">
              <w:t>$0</w:t>
            </w:r>
          </w:p>
        </w:tc>
      </w:tr>
      <w:tr w:rsidR="0018241F" w:rsidRPr="002C62BF" w:rsidTr="006B35E6">
        <w:trPr>
          <w:cantSplit/>
          <w:jc w:val="center"/>
        </w:trPr>
        <w:tc>
          <w:tcPr>
            <w:tcW w:w="815" w:type="pct"/>
            <w:shd w:val="clear" w:color="auto" w:fill="auto"/>
            <w:vAlign w:val="center"/>
          </w:tcPr>
          <w:p w:rsidR="0018241F" w:rsidRPr="002C62BF" w:rsidRDefault="0018241F" w:rsidP="0018241F">
            <w:pPr>
              <w:pStyle w:val="TableText0"/>
            </w:pPr>
            <w:r w:rsidRPr="002C62BF">
              <w:t xml:space="preserve">Cost/patient/year </w:t>
            </w:r>
          </w:p>
        </w:tc>
        <w:tc>
          <w:tcPr>
            <w:tcW w:w="697" w:type="pct"/>
            <w:shd w:val="clear" w:color="auto" w:fill="auto"/>
            <w:vAlign w:val="center"/>
          </w:tcPr>
          <w:p w:rsidR="0018241F" w:rsidRPr="002C62BF" w:rsidRDefault="0018241F" w:rsidP="0018241F">
            <w:pPr>
              <w:pStyle w:val="TableText0"/>
              <w:jc w:val="center"/>
            </w:pPr>
            <w:r w:rsidRPr="002C62BF">
              <w:t>$</w:t>
            </w:r>
            <w:r w:rsidR="00177267">
              <w:rPr>
                <w:noProof/>
                <w:color w:val="000000"/>
                <w:highlight w:val="black"/>
              </w:rPr>
              <w:t>''''''''''''''''''''''</w:t>
            </w:r>
          </w:p>
        </w:tc>
        <w:tc>
          <w:tcPr>
            <w:tcW w:w="696" w:type="pct"/>
            <w:shd w:val="clear" w:color="auto" w:fill="auto"/>
            <w:vAlign w:val="center"/>
          </w:tcPr>
          <w:p w:rsidR="0018241F" w:rsidRPr="002C62BF" w:rsidRDefault="0018241F" w:rsidP="0018241F">
            <w:pPr>
              <w:pStyle w:val="TableText0"/>
              <w:jc w:val="center"/>
            </w:pPr>
            <w:r w:rsidRPr="002C62BF">
              <w:t>$</w:t>
            </w:r>
            <w:r w:rsidR="00177267">
              <w:rPr>
                <w:noProof/>
                <w:color w:val="000000"/>
                <w:highlight w:val="black"/>
              </w:rPr>
              <w:t>''''''''''''''''''''''''''</w:t>
            </w:r>
          </w:p>
        </w:tc>
        <w:tc>
          <w:tcPr>
            <w:tcW w:w="698" w:type="pct"/>
            <w:shd w:val="clear" w:color="auto" w:fill="auto"/>
            <w:vAlign w:val="center"/>
          </w:tcPr>
          <w:p w:rsidR="0018241F" w:rsidRPr="002C62BF" w:rsidRDefault="0018241F" w:rsidP="0018241F">
            <w:pPr>
              <w:pStyle w:val="TableText0"/>
              <w:jc w:val="center"/>
            </w:pPr>
            <w:r w:rsidRPr="002C62BF">
              <w:t>$</w:t>
            </w:r>
            <w:r w:rsidR="00177267">
              <w:rPr>
                <w:noProof/>
                <w:color w:val="000000"/>
                <w:highlight w:val="black"/>
              </w:rPr>
              <w:t>'''''''''''''''''''''''''</w:t>
            </w:r>
          </w:p>
        </w:tc>
        <w:tc>
          <w:tcPr>
            <w:tcW w:w="696" w:type="pct"/>
            <w:shd w:val="clear" w:color="auto" w:fill="auto"/>
            <w:vAlign w:val="center"/>
          </w:tcPr>
          <w:p w:rsidR="0018241F" w:rsidRPr="002C62BF" w:rsidRDefault="0018241F" w:rsidP="0018241F">
            <w:pPr>
              <w:pStyle w:val="TableText0"/>
              <w:jc w:val="center"/>
            </w:pPr>
            <w:r w:rsidRPr="002C62BF">
              <w:t>$0</w:t>
            </w:r>
          </w:p>
        </w:tc>
        <w:tc>
          <w:tcPr>
            <w:tcW w:w="699" w:type="pct"/>
            <w:shd w:val="clear" w:color="auto" w:fill="auto"/>
            <w:vAlign w:val="center"/>
          </w:tcPr>
          <w:p w:rsidR="0018241F" w:rsidRPr="002C62BF" w:rsidRDefault="0018241F" w:rsidP="0018241F">
            <w:pPr>
              <w:pStyle w:val="TableText0"/>
              <w:jc w:val="center"/>
            </w:pPr>
            <w:r w:rsidRPr="002C62BF">
              <w:t>$0</w:t>
            </w:r>
          </w:p>
        </w:tc>
        <w:tc>
          <w:tcPr>
            <w:tcW w:w="699" w:type="pct"/>
          </w:tcPr>
          <w:p w:rsidR="0018241F" w:rsidRPr="002C62BF" w:rsidRDefault="0018241F" w:rsidP="0018241F">
            <w:pPr>
              <w:pStyle w:val="TableText0"/>
              <w:jc w:val="center"/>
            </w:pPr>
            <w:r w:rsidRPr="002C62BF">
              <w:t>$0</w:t>
            </w:r>
          </w:p>
        </w:tc>
      </w:tr>
    </w:tbl>
    <w:p w:rsidR="00494207" w:rsidRPr="002C62BF" w:rsidRDefault="00494207" w:rsidP="00C94053">
      <w:pPr>
        <w:pStyle w:val="TableFigureFooter"/>
      </w:pPr>
      <w:r w:rsidRPr="002C62BF">
        <w:t xml:space="preserve">Source: </w:t>
      </w:r>
      <w:r w:rsidR="00936807" w:rsidRPr="002C62BF">
        <w:t>p68 of the resubmission. Mg = milligram; NA = not applicable</w:t>
      </w:r>
    </w:p>
    <w:p w:rsidR="00560955" w:rsidRPr="002C62BF" w:rsidRDefault="00560955" w:rsidP="00936807">
      <w:pPr>
        <w:pStyle w:val="3-BodyText"/>
      </w:pPr>
      <w:r w:rsidRPr="002C62BF">
        <w:t>Though PPMS may be considered to be a lifelong condition, and the economic model has modelled it as such, the resubmission did not present data on the duration of active disease, for which listing is sought.</w:t>
      </w:r>
    </w:p>
    <w:p w:rsidR="00936807" w:rsidRPr="002C62BF" w:rsidRDefault="00936807" w:rsidP="00936807">
      <w:pPr>
        <w:pStyle w:val="3-BodyText"/>
        <w:rPr>
          <w:i/>
        </w:rPr>
      </w:pPr>
      <w:r w:rsidRPr="002C62BF">
        <w:lastRenderedPageBreak/>
        <w:t>The resubmission stated that</w:t>
      </w:r>
      <w:r w:rsidR="00F10F0F" w:rsidRPr="002C62BF">
        <w:t xml:space="preserve"> </w:t>
      </w:r>
      <w:r w:rsidRPr="002C62BF">
        <w:t>the annual drug acquisition cost is $</w:t>
      </w:r>
      <w:r w:rsidR="00177267">
        <w:rPr>
          <w:noProof/>
          <w:color w:val="000000"/>
          <w:highlight w:val="black"/>
        </w:rPr>
        <w:t>'''''''''''''''''</w:t>
      </w:r>
      <w:r w:rsidRPr="002C62BF">
        <w:t xml:space="preserve"> (compared to or $</w:t>
      </w:r>
      <w:r w:rsidR="00177267">
        <w:rPr>
          <w:noProof/>
          <w:color w:val="000000"/>
          <w:highlight w:val="black"/>
        </w:rPr>
        <w:t>'''''''''''''''''</w:t>
      </w:r>
      <w:r w:rsidRPr="002C62BF">
        <w:t xml:space="preserve"> in the November 2017 submission) based on a </w:t>
      </w:r>
      <w:r w:rsidR="00FD736E" w:rsidRPr="002C62BF">
        <w:t>weighted DPMQ</w:t>
      </w:r>
      <w:r w:rsidR="00F26748" w:rsidRPr="002C62BF">
        <w:t xml:space="preserve"> </w:t>
      </w:r>
      <w:r w:rsidRPr="002C62BF">
        <w:t>of $</w:t>
      </w:r>
      <w:r w:rsidR="00177267">
        <w:rPr>
          <w:noProof/>
          <w:color w:val="000000"/>
          <w:highlight w:val="black"/>
        </w:rPr>
        <w:t>'''''''''''''''''</w:t>
      </w:r>
      <w:r w:rsidRPr="002C62BF">
        <w:t xml:space="preserve"> and 2 administrations per year</w:t>
      </w:r>
      <w:r w:rsidRPr="002C62BF">
        <w:rPr>
          <w:i/>
        </w:rPr>
        <w:t>.</w:t>
      </w:r>
    </w:p>
    <w:p w:rsidR="00B60939" w:rsidRPr="002C62BF" w:rsidRDefault="00B60939" w:rsidP="002B05A1">
      <w:pPr>
        <w:pStyle w:val="4-SubsectionHeading"/>
      </w:pPr>
      <w:bookmarkStart w:id="33" w:name="_Toc22897647"/>
      <w:bookmarkStart w:id="34" w:name="_Toc40873653"/>
      <w:r w:rsidRPr="002C62BF">
        <w:t>Estimated PBS usage &amp; financial implications</w:t>
      </w:r>
      <w:bookmarkEnd w:id="33"/>
      <w:bookmarkEnd w:id="34"/>
    </w:p>
    <w:p w:rsidR="007F51B8" w:rsidRPr="002C62BF" w:rsidRDefault="007F51B8" w:rsidP="007F51B8">
      <w:pPr>
        <w:pStyle w:val="3-BodyText"/>
        <w:rPr>
          <w:color w:val="000000" w:themeColor="text1"/>
        </w:rPr>
      </w:pPr>
      <w:bookmarkStart w:id="35" w:name="_Toc22897648"/>
      <w:bookmarkStart w:id="36" w:name="_Toc40873654"/>
      <w:r w:rsidRPr="002C62BF">
        <w:t xml:space="preserve">This resubmission was considered by DUSC. As </w:t>
      </w:r>
      <w:r w:rsidRPr="002C62BF">
        <w:rPr>
          <w:color w:val="000000" w:themeColor="text1"/>
        </w:rPr>
        <w:t xml:space="preserve">in the November 2017 submission, the resubmission took an epidemiological approach to estimating use and financial implications. </w:t>
      </w:r>
    </w:p>
    <w:p w:rsidR="007F51B8" w:rsidRPr="002C62BF" w:rsidRDefault="007F51B8" w:rsidP="007F51B8">
      <w:pPr>
        <w:pStyle w:val="3-BodyText"/>
        <w:rPr>
          <w:color w:val="000000" w:themeColor="text1"/>
        </w:rPr>
      </w:pPr>
      <w:r w:rsidRPr="002C62BF">
        <w:rPr>
          <w:color w:val="000000" w:themeColor="text1"/>
        </w:rPr>
        <w:t>Key inputs of the financial estimates are presented in</w:t>
      </w:r>
      <w:r w:rsidRPr="002C62BF">
        <w:t xml:space="preserve"> Table 1</w:t>
      </w:r>
      <w:r w:rsidR="00AD429C">
        <w:t>5</w:t>
      </w:r>
      <w:r w:rsidRPr="002C62BF">
        <w:t>.</w:t>
      </w:r>
    </w:p>
    <w:p w:rsidR="007F51B8" w:rsidRPr="002C62BF" w:rsidRDefault="007F51B8" w:rsidP="007F51B8">
      <w:pPr>
        <w:pStyle w:val="TableFigureHeading"/>
        <w:rPr>
          <w:rStyle w:val="CommentReference"/>
          <w:b/>
          <w:szCs w:val="24"/>
        </w:rPr>
      </w:pPr>
      <w:bookmarkStart w:id="37" w:name="_Ref39841044"/>
      <w:r w:rsidRPr="002C62BF">
        <w:rPr>
          <w:rStyle w:val="CommentReference"/>
          <w:b/>
          <w:szCs w:val="24"/>
        </w:rPr>
        <w:t xml:space="preserve">Table </w:t>
      </w:r>
      <w:bookmarkEnd w:id="37"/>
      <w:r w:rsidR="00AD429C">
        <w:rPr>
          <w:rStyle w:val="CommentReference"/>
          <w:b/>
          <w:szCs w:val="24"/>
        </w:rPr>
        <w:t>15</w:t>
      </w:r>
      <w:r w:rsidRPr="002C62BF">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0"/>
        <w:gridCol w:w="1986"/>
        <w:gridCol w:w="5621"/>
      </w:tblGrid>
      <w:tr w:rsidR="007F51B8" w:rsidRPr="002C62BF" w:rsidTr="00AD429C">
        <w:trPr>
          <w:tblHeader/>
        </w:trPr>
        <w:tc>
          <w:tcPr>
            <w:tcW w:w="782" w:type="pct"/>
            <w:vAlign w:val="center"/>
          </w:tcPr>
          <w:p w:rsidR="007F51B8" w:rsidRPr="002C62BF" w:rsidRDefault="007F51B8" w:rsidP="00DB4A4B">
            <w:pPr>
              <w:pStyle w:val="In-tableHeading"/>
              <w:rPr>
                <w:lang w:val="en-AU"/>
              </w:rPr>
            </w:pPr>
            <w:r w:rsidRPr="002C62BF">
              <w:rPr>
                <w:lang w:val="en-AU"/>
              </w:rPr>
              <w:t xml:space="preserve">Parameter </w:t>
            </w:r>
          </w:p>
        </w:tc>
        <w:tc>
          <w:tcPr>
            <w:tcW w:w="1101" w:type="pct"/>
            <w:vAlign w:val="center"/>
          </w:tcPr>
          <w:p w:rsidR="007F51B8" w:rsidRPr="002C62BF" w:rsidRDefault="007F51B8" w:rsidP="00DB4A4B">
            <w:pPr>
              <w:pStyle w:val="In-tableHeading"/>
              <w:jc w:val="center"/>
              <w:rPr>
                <w:lang w:val="en-AU"/>
              </w:rPr>
            </w:pPr>
            <w:r w:rsidRPr="002C62BF">
              <w:rPr>
                <w:lang w:val="en-AU"/>
              </w:rPr>
              <w:t>Value and source</w:t>
            </w:r>
          </w:p>
        </w:tc>
        <w:tc>
          <w:tcPr>
            <w:tcW w:w="3117" w:type="pct"/>
            <w:vAlign w:val="center"/>
          </w:tcPr>
          <w:p w:rsidR="007F51B8" w:rsidRPr="002C62BF" w:rsidRDefault="007F51B8" w:rsidP="00DB4A4B">
            <w:pPr>
              <w:pStyle w:val="In-tableHeading"/>
              <w:jc w:val="center"/>
              <w:rPr>
                <w:lang w:val="en-AU"/>
              </w:rPr>
            </w:pPr>
            <w:r w:rsidRPr="002C62BF">
              <w:rPr>
                <w:lang w:val="en-AU"/>
              </w:rPr>
              <w:t>Comment</w:t>
            </w:r>
          </w:p>
        </w:tc>
      </w:tr>
      <w:tr w:rsidR="007F51B8" w:rsidRPr="002C62BF" w:rsidTr="00AD429C">
        <w:tc>
          <w:tcPr>
            <w:tcW w:w="782" w:type="pct"/>
            <w:vAlign w:val="center"/>
          </w:tcPr>
          <w:p w:rsidR="007F51B8" w:rsidRPr="002C62BF" w:rsidRDefault="007F51B8" w:rsidP="00DB4A4B">
            <w:pPr>
              <w:pStyle w:val="TableText0"/>
            </w:pPr>
            <w:r w:rsidRPr="002C62BF">
              <w:t xml:space="preserve">Proportion of MS patients with PPMS </w:t>
            </w:r>
          </w:p>
        </w:tc>
        <w:tc>
          <w:tcPr>
            <w:tcW w:w="1101" w:type="pct"/>
            <w:vAlign w:val="center"/>
          </w:tcPr>
          <w:p w:rsidR="007F51B8" w:rsidRPr="002C62BF" w:rsidRDefault="007F51B8" w:rsidP="00DB4A4B">
            <w:pPr>
              <w:pStyle w:val="TableText0"/>
            </w:pPr>
            <w:r w:rsidRPr="002C62BF">
              <w:t>10%; Miller 2007</w:t>
            </w:r>
          </w:p>
        </w:tc>
        <w:tc>
          <w:tcPr>
            <w:tcW w:w="3117" w:type="pct"/>
          </w:tcPr>
          <w:p w:rsidR="007F51B8" w:rsidRPr="002C62BF" w:rsidRDefault="00E225BE" w:rsidP="00DB4A4B">
            <w:pPr>
              <w:pStyle w:val="TableText0"/>
            </w:pPr>
            <w:r w:rsidRPr="002C62BF">
              <w:t>DUSC commented that 6% of respondents to the Australian MS Longitudinal Study reported to have PPMS. DUSC considered that the proportion of MS patients with PPMS may be lower than 10% and that this assumption may overestimate the number of eligible patients.</w:t>
            </w:r>
          </w:p>
        </w:tc>
      </w:tr>
      <w:tr w:rsidR="007F51B8" w:rsidRPr="002C62BF" w:rsidTr="00AD429C">
        <w:tc>
          <w:tcPr>
            <w:tcW w:w="782" w:type="pct"/>
            <w:vAlign w:val="center"/>
          </w:tcPr>
          <w:p w:rsidR="007F51B8" w:rsidRPr="002C62BF" w:rsidRDefault="007F51B8" w:rsidP="00DB4A4B">
            <w:pPr>
              <w:pStyle w:val="TableText0"/>
            </w:pPr>
            <w:r w:rsidRPr="002C62BF">
              <w:t xml:space="preserve">Annual incidence of MS </w:t>
            </w:r>
          </w:p>
        </w:tc>
        <w:tc>
          <w:tcPr>
            <w:tcW w:w="1101" w:type="pct"/>
            <w:vAlign w:val="center"/>
          </w:tcPr>
          <w:p w:rsidR="007F51B8" w:rsidRPr="002C62BF" w:rsidRDefault="007F51B8" w:rsidP="00DB4A4B">
            <w:pPr>
              <w:pStyle w:val="TableText0"/>
            </w:pPr>
            <w:r w:rsidRPr="002C62BF">
              <w:t>6.7 per 100,000 persons; Ribbons (2017)</w:t>
            </w:r>
          </w:p>
        </w:tc>
        <w:tc>
          <w:tcPr>
            <w:tcW w:w="3117" w:type="pct"/>
          </w:tcPr>
          <w:p w:rsidR="007F51B8" w:rsidRPr="002C62BF" w:rsidRDefault="007F51B8" w:rsidP="009C3416">
            <w:pPr>
              <w:pStyle w:val="TableText0"/>
            </w:pPr>
            <w:r w:rsidRPr="002C62BF">
              <w:t xml:space="preserve">This estimate was revised from 2.4 per 100,000 in the November 2017 submission. </w:t>
            </w:r>
            <w:r w:rsidR="00702E00" w:rsidRPr="002C62BF">
              <w:t>DUSC considered this may overestimate the incidence of MS in Australia, but the linear increase in incidence reported in Ribbons was not accounted for.</w:t>
            </w:r>
          </w:p>
        </w:tc>
      </w:tr>
      <w:tr w:rsidR="007F51B8" w:rsidRPr="002C62BF" w:rsidTr="00AD429C">
        <w:tc>
          <w:tcPr>
            <w:tcW w:w="782" w:type="pct"/>
            <w:vAlign w:val="center"/>
          </w:tcPr>
          <w:p w:rsidR="007F51B8" w:rsidRPr="002C62BF" w:rsidRDefault="007F51B8" w:rsidP="00DB4A4B">
            <w:pPr>
              <w:pStyle w:val="TableText0"/>
            </w:pPr>
            <w:r w:rsidRPr="002C62BF">
              <w:t>Prevalent population</w:t>
            </w:r>
          </w:p>
        </w:tc>
        <w:tc>
          <w:tcPr>
            <w:tcW w:w="1101" w:type="pct"/>
            <w:vAlign w:val="center"/>
          </w:tcPr>
          <w:p w:rsidR="007F51B8" w:rsidRPr="002C62BF" w:rsidRDefault="007F51B8" w:rsidP="00DB4A4B">
            <w:pPr>
              <w:pStyle w:val="TableText0"/>
            </w:pPr>
            <w:r w:rsidRPr="002C62BF">
              <w:t>Estimated as sum of incident populations for the five years prior to listing.</w:t>
            </w:r>
          </w:p>
        </w:tc>
        <w:tc>
          <w:tcPr>
            <w:tcW w:w="3117" w:type="pct"/>
          </w:tcPr>
          <w:p w:rsidR="007F51B8" w:rsidRPr="002C62BF" w:rsidRDefault="007F51B8" w:rsidP="00DB4A4B">
            <w:pPr>
              <w:pStyle w:val="TableText0"/>
              <w:rPr>
                <w:i/>
              </w:rPr>
            </w:pPr>
            <w:r w:rsidRPr="002C62BF">
              <w:t>The November 2017 submission added the number of incident and prevalent patients to estimate use, which resulted in an overestimate of the projected number of treated patients. The resubmission continued to add the two populations. However, the resubmission’s prevalent population aligned with the requested restriction of patients diagnosed in the previous 5 years</w:t>
            </w:r>
            <w:r w:rsidR="002C62BF">
              <w:t xml:space="preserve">. </w:t>
            </w:r>
          </w:p>
        </w:tc>
      </w:tr>
      <w:tr w:rsidR="007F51B8" w:rsidRPr="002C62BF" w:rsidTr="00AD429C">
        <w:trPr>
          <w:trHeight w:val="264"/>
        </w:trPr>
        <w:tc>
          <w:tcPr>
            <w:tcW w:w="782" w:type="pct"/>
            <w:vAlign w:val="center"/>
          </w:tcPr>
          <w:p w:rsidR="007F51B8" w:rsidRPr="002C62BF" w:rsidRDefault="007F51B8" w:rsidP="00DB4A4B">
            <w:pPr>
              <w:pStyle w:val="TableText0"/>
            </w:pPr>
            <w:r w:rsidRPr="002C62BF">
              <w:t>Treatment uptake of ocrelizumab in incident and prevalent PPMS patients (90%)</w:t>
            </w:r>
          </w:p>
        </w:tc>
        <w:tc>
          <w:tcPr>
            <w:tcW w:w="1101" w:type="pct"/>
            <w:vAlign w:val="center"/>
          </w:tcPr>
          <w:p w:rsidR="007F51B8" w:rsidRPr="002C62BF" w:rsidRDefault="007F51B8" w:rsidP="00DB4A4B">
            <w:pPr>
              <w:pStyle w:val="TableText0"/>
            </w:pPr>
            <w:r w:rsidRPr="002C62BF">
              <w:t>Assumption/ expert opinion</w:t>
            </w:r>
          </w:p>
        </w:tc>
        <w:tc>
          <w:tcPr>
            <w:tcW w:w="3117" w:type="pct"/>
            <w:vAlign w:val="center"/>
          </w:tcPr>
          <w:p w:rsidR="007F51B8" w:rsidRPr="002C62BF" w:rsidRDefault="007F51B8" w:rsidP="00F10F0F">
            <w:pPr>
              <w:pStyle w:val="TableText0"/>
            </w:pPr>
            <w:r w:rsidRPr="002C62BF">
              <w:t>Although no DMT alternatives are listed specifically for PPMS, it is unclear whether some patients may use RRMS listed DMTs</w:t>
            </w:r>
            <w:r w:rsidR="00E225BE" w:rsidRPr="002C62BF">
              <w:t>. DUSC considered there are likely to already be PPMS patients being treated with DMTs listed for RRMS, including ocrelizumab.</w:t>
            </w:r>
          </w:p>
        </w:tc>
      </w:tr>
      <w:tr w:rsidR="007F51B8" w:rsidRPr="002C62BF" w:rsidTr="00AD429C">
        <w:trPr>
          <w:trHeight w:val="264"/>
        </w:trPr>
        <w:tc>
          <w:tcPr>
            <w:tcW w:w="782" w:type="pct"/>
            <w:vAlign w:val="center"/>
          </w:tcPr>
          <w:p w:rsidR="007F51B8" w:rsidRPr="002C62BF" w:rsidRDefault="007F51B8" w:rsidP="00DB4A4B">
            <w:pPr>
              <w:pStyle w:val="TableText0"/>
            </w:pPr>
            <w:r w:rsidRPr="002C62BF">
              <w:t>Eligibility</w:t>
            </w:r>
          </w:p>
        </w:tc>
        <w:tc>
          <w:tcPr>
            <w:tcW w:w="1101" w:type="pct"/>
            <w:vAlign w:val="center"/>
          </w:tcPr>
          <w:p w:rsidR="007F51B8" w:rsidRPr="002C62BF" w:rsidRDefault="007F51B8" w:rsidP="00DB4A4B">
            <w:pPr>
              <w:pStyle w:val="TableText0"/>
            </w:pPr>
            <w:r w:rsidRPr="002C62BF">
              <w:t>Assumption that 44% of PPMS patients aged ≤50 years in ORATORIO have MRI activity.</w:t>
            </w:r>
          </w:p>
        </w:tc>
        <w:tc>
          <w:tcPr>
            <w:tcW w:w="3117" w:type="pct"/>
            <w:vAlign w:val="center"/>
          </w:tcPr>
          <w:p w:rsidR="007F51B8" w:rsidRPr="002C62BF" w:rsidRDefault="007F51B8" w:rsidP="00E225BE">
            <w:pPr>
              <w:pStyle w:val="TableText0"/>
            </w:pPr>
            <w:r w:rsidRPr="002C62BF">
              <w:t xml:space="preserve">As previously noted, since the time since diagnosis has not been adequately justified as a proxy for age, this is likely not an appropriate estimate. Additionally, the proportion of patients meeting these criteria in the ORATORIO trial may not be reflective of the proportion of patients meeting these criteria in the Australian population. </w:t>
            </w:r>
          </w:p>
        </w:tc>
      </w:tr>
      <w:tr w:rsidR="007F51B8" w:rsidRPr="002C62BF" w:rsidTr="00AD429C">
        <w:trPr>
          <w:trHeight w:val="264"/>
        </w:trPr>
        <w:tc>
          <w:tcPr>
            <w:tcW w:w="782" w:type="pct"/>
            <w:vAlign w:val="center"/>
          </w:tcPr>
          <w:p w:rsidR="007F51B8" w:rsidRPr="002C62BF" w:rsidRDefault="007F51B8" w:rsidP="00DB4A4B">
            <w:pPr>
              <w:pStyle w:val="TableText0"/>
            </w:pPr>
            <w:r w:rsidRPr="002C62BF">
              <w:t>Discontinuation</w:t>
            </w:r>
          </w:p>
        </w:tc>
        <w:tc>
          <w:tcPr>
            <w:tcW w:w="1101" w:type="pct"/>
            <w:vAlign w:val="center"/>
          </w:tcPr>
          <w:p w:rsidR="007F51B8" w:rsidRPr="002C62BF" w:rsidRDefault="007F51B8" w:rsidP="00DB4A4B">
            <w:pPr>
              <w:pStyle w:val="TableText0"/>
            </w:pPr>
            <w:r w:rsidRPr="002C62BF">
              <w:t xml:space="preserve">7% per year , consistent with input from economic model, based on extrapolation of ORATORIO data </w:t>
            </w:r>
          </w:p>
        </w:tc>
        <w:tc>
          <w:tcPr>
            <w:tcW w:w="3117" w:type="pct"/>
            <w:vAlign w:val="center"/>
          </w:tcPr>
          <w:p w:rsidR="007F51B8" w:rsidRPr="002C62BF" w:rsidRDefault="007F51B8" w:rsidP="00F10F0F">
            <w:pPr>
              <w:pStyle w:val="TableText0"/>
            </w:pPr>
            <w:r w:rsidRPr="002C62BF">
              <w:t xml:space="preserve">This was consistent with the economic evaluation, but based on ITT continuation data rather than data relevant to the subgroup. Though the requested restriction does not include any continuation criteria that would restrict continuation beyond intolerance to therapy and compliance to treatment, </w:t>
            </w:r>
            <w:r w:rsidR="00B51910" w:rsidRPr="002C62BF">
              <w:t xml:space="preserve">the commentary and DUSC considered that </w:t>
            </w:r>
            <w:r w:rsidRPr="002C62BF">
              <w:t xml:space="preserve">it remained unclear whether this estimate was accurate. </w:t>
            </w:r>
          </w:p>
        </w:tc>
      </w:tr>
      <w:tr w:rsidR="007F51B8" w:rsidRPr="002C62BF" w:rsidTr="00AD429C">
        <w:trPr>
          <w:trHeight w:val="1377"/>
        </w:trPr>
        <w:tc>
          <w:tcPr>
            <w:tcW w:w="782" w:type="pct"/>
            <w:vAlign w:val="center"/>
          </w:tcPr>
          <w:p w:rsidR="007F51B8" w:rsidRPr="002C62BF" w:rsidRDefault="007F51B8" w:rsidP="00DB4A4B">
            <w:pPr>
              <w:pStyle w:val="TableText0"/>
            </w:pPr>
            <w:r w:rsidRPr="002C62BF">
              <w:t>MBS items</w:t>
            </w:r>
          </w:p>
        </w:tc>
        <w:tc>
          <w:tcPr>
            <w:tcW w:w="1101" w:type="pct"/>
          </w:tcPr>
          <w:p w:rsidR="007F51B8" w:rsidRPr="002C62BF" w:rsidRDefault="007F51B8" w:rsidP="00DB4A4B">
            <w:pPr>
              <w:pStyle w:val="TableText0"/>
            </w:pPr>
            <w:r w:rsidRPr="002C62BF">
              <w:t xml:space="preserve">Item 14245: cost / IV administration ($99.50); </w:t>
            </w:r>
          </w:p>
          <w:p w:rsidR="007F51B8" w:rsidRPr="002C62BF" w:rsidRDefault="007F51B8" w:rsidP="00DB4A4B">
            <w:pPr>
              <w:pStyle w:val="TableText0"/>
            </w:pPr>
            <w:r w:rsidRPr="002C62BF">
              <w:t>Item 105: clinician attendance ($44.35);</w:t>
            </w:r>
          </w:p>
          <w:p w:rsidR="007F51B8" w:rsidRPr="002C62BF" w:rsidRDefault="007F51B8" w:rsidP="00DB4A4B">
            <w:pPr>
              <w:pStyle w:val="TableText0"/>
            </w:pPr>
            <w:r w:rsidRPr="002C62BF">
              <w:t xml:space="preserve">Item 63125: MRI ($492.80); </w:t>
            </w:r>
          </w:p>
          <w:p w:rsidR="007F51B8" w:rsidRPr="002C62BF" w:rsidRDefault="007F51B8" w:rsidP="00DB4A4B">
            <w:pPr>
              <w:pStyle w:val="TableText0"/>
            </w:pPr>
            <w:r w:rsidRPr="002C62BF">
              <w:t xml:space="preserve">Item 65070: blood count ($16.95); </w:t>
            </w:r>
          </w:p>
          <w:p w:rsidR="007F51B8" w:rsidRPr="002C62BF" w:rsidRDefault="007F51B8" w:rsidP="00DB4A4B">
            <w:pPr>
              <w:pStyle w:val="TableText0"/>
            </w:pPr>
            <w:r w:rsidRPr="002C62BF">
              <w:t>Item 66512: liver function test ($17.70)</w:t>
            </w:r>
          </w:p>
        </w:tc>
        <w:tc>
          <w:tcPr>
            <w:tcW w:w="3117" w:type="pct"/>
            <w:vAlign w:val="center"/>
          </w:tcPr>
          <w:p w:rsidR="007F51B8" w:rsidRPr="002C62BF" w:rsidRDefault="007F51B8" w:rsidP="00DB4A4B">
            <w:pPr>
              <w:pStyle w:val="TableText0"/>
              <w:rPr>
                <w:i/>
              </w:rPr>
            </w:pPr>
            <w:r w:rsidRPr="002C62BF">
              <w:t>As in the November 2017 submission, administration costs were underestimated. This was not likely to substantially affect financial estimates.</w:t>
            </w:r>
          </w:p>
        </w:tc>
      </w:tr>
    </w:tbl>
    <w:p w:rsidR="007F51B8" w:rsidRPr="002C62BF" w:rsidRDefault="007F51B8" w:rsidP="007F51B8">
      <w:pPr>
        <w:pStyle w:val="TableFigureFooter"/>
      </w:pPr>
      <w:r w:rsidRPr="002C62BF">
        <w:t xml:space="preserve">Source: Table 4.2, p82-83 of the resubmission. </w:t>
      </w:r>
    </w:p>
    <w:p w:rsidR="007F51B8" w:rsidRPr="002C62BF" w:rsidRDefault="007F51B8" w:rsidP="007F51B8">
      <w:pPr>
        <w:pStyle w:val="TableFigureFooter"/>
      </w:pPr>
      <w:r w:rsidRPr="002C62BF">
        <w:lastRenderedPageBreak/>
        <w:t xml:space="preserve">MBS = Medicare benefits Schedule; MRI = magnetic resonance imaging; MS = Multiple Sclerosis; PBS = Pharmaceutical Benefits Scheme; PPMS = primary progressive multiple sclerosis; RPBS = Repatriation Pharmaceutical Benefits Scheme </w:t>
      </w:r>
    </w:p>
    <w:p w:rsidR="00093849" w:rsidRPr="002C62BF" w:rsidRDefault="004E66E3" w:rsidP="00093849">
      <w:pPr>
        <w:pStyle w:val="3-BodyText"/>
      </w:pPr>
      <w:r w:rsidRPr="004E66E3">
        <w:t>Table 16</w:t>
      </w:r>
      <w:r w:rsidR="00093849" w:rsidRPr="002C62BF">
        <w:t xml:space="preserve"> presents the estimated use and financial implications in the resubmission. </w:t>
      </w:r>
    </w:p>
    <w:p w:rsidR="00093849" w:rsidRPr="002C62BF" w:rsidRDefault="00093849" w:rsidP="00093849">
      <w:pPr>
        <w:pStyle w:val="TableFigureHeading"/>
      </w:pPr>
      <w:bookmarkStart w:id="38" w:name="_Ref39841081"/>
      <w:r w:rsidRPr="002C62BF">
        <w:rPr>
          <w:rStyle w:val="CommentReference"/>
          <w:b/>
          <w:szCs w:val="24"/>
        </w:rPr>
        <w:t xml:space="preserve">Table </w:t>
      </w:r>
      <w:r w:rsidR="00AD429C">
        <w:rPr>
          <w:rStyle w:val="CommentReference"/>
          <w:b/>
          <w:szCs w:val="24"/>
        </w:rPr>
        <w:t>16</w:t>
      </w:r>
      <w:bookmarkEnd w:id="38"/>
      <w:r w:rsidRPr="002C62BF">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093849" w:rsidRPr="002C62BF" w:rsidTr="00921A1D">
        <w:trPr>
          <w:tblHeader/>
        </w:trPr>
        <w:tc>
          <w:tcPr>
            <w:tcW w:w="1116" w:type="pct"/>
            <w:shd w:val="clear" w:color="auto" w:fill="auto"/>
            <w:vAlign w:val="center"/>
          </w:tcPr>
          <w:p w:rsidR="00093849" w:rsidRPr="002C62BF" w:rsidRDefault="00093849" w:rsidP="00921A1D">
            <w:pPr>
              <w:pStyle w:val="In-tableHeading"/>
              <w:jc w:val="center"/>
              <w:rPr>
                <w:lang w:val="en-AU"/>
              </w:rPr>
            </w:pPr>
          </w:p>
        </w:tc>
        <w:tc>
          <w:tcPr>
            <w:tcW w:w="647" w:type="pct"/>
            <w:shd w:val="clear" w:color="auto" w:fill="auto"/>
            <w:vAlign w:val="center"/>
          </w:tcPr>
          <w:p w:rsidR="00093849" w:rsidRPr="002C62BF" w:rsidRDefault="00093849" w:rsidP="00921A1D">
            <w:pPr>
              <w:pStyle w:val="In-tableHeading"/>
              <w:jc w:val="center"/>
              <w:rPr>
                <w:lang w:val="en-AU"/>
              </w:rPr>
            </w:pPr>
            <w:r w:rsidRPr="002C62BF">
              <w:rPr>
                <w:lang w:val="en-AU"/>
              </w:rPr>
              <w:t>Year 1</w:t>
            </w:r>
          </w:p>
        </w:tc>
        <w:tc>
          <w:tcPr>
            <w:tcW w:w="647" w:type="pct"/>
            <w:shd w:val="clear" w:color="auto" w:fill="auto"/>
            <w:vAlign w:val="center"/>
          </w:tcPr>
          <w:p w:rsidR="00093849" w:rsidRPr="002C62BF" w:rsidRDefault="00093849" w:rsidP="00921A1D">
            <w:pPr>
              <w:pStyle w:val="In-tableHeading"/>
              <w:jc w:val="center"/>
              <w:rPr>
                <w:lang w:val="en-AU"/>
              </w:rPr>
            </w:pPr>
            <w:r w:rsidRPr="002C62BF">
              <w:rPr>
                <w:lang w:val="en-AU"/>
              </w:rPr>
              <w:t>Year 2</w:t>
            </w:r>
          </w:p>
        </w:tc>
        <w:tc>
          <w:tcPr>
            <w:tcW w:w="647" w:type="pct"/>
            <w:shd w:val="clear" w:color="auto" w:fill="auto"/>
            <w:vAlign w:val="center"/>
          </w:tcPr>
          <w:p w:rsidR="00093849" w:rsidRPr="002C62BF" w:rsidRDefault="00093849" w:rsidP="00921A1D">
            <w:pPr>
              <w:pStyle w:val="In-tableHeading"/>
              <w:jc w:val="center"/>
              <w:rPr>
                <w:lang w:val="en-AU"/>
              </w:rPr>
            </w:pPr>
            <w:r w:rsidRPr="002C62BF">
              <w:rPr>
                <w:lang w:val="en-AU"/>
              </w:rPr>
              <w:t>Year 3</w:t>
            </w:r>
          </w:p>
        </w:tc>
        <w:tc>
          <w:tcPr>
            <w:tcW w:w="647" w:type="pct"/>
            <w:shd w:val="clear" w:color="auto" w:fill="auto"/>
            <w:vAlign w:val="center"/>
          </w:tcPr>
          <w:p w:rsidR="00093849" w:rsidRPr="002C62BF" w:rsidRDefault="00093849" w:rsidP="00921A1D">
            <w:pPr>
              <w:pStyle w:val="In-tableHeading"/>
              <w:jc w:val="center"/>
              <w:rPr>
                <w:lang w:val="en-AU"/>
              </w:rPr>
            </w:pPr>
            <w:r w:rsidRPr="002C62BF">
              <w:rPr>
                <w:lang w:val="en-AU"/>
              </w:rPr>
              <w:t>Year 4</w:t>
            </w:r>
          </w:p>
        </w:tc>
        <w:tc>
          <w:tcPr>
            <w:tcW w:w="647" w:type="pct"/>
            <w:shd w:val="clear" w:color="auto" w:fill="auto"/>
            <w:vAlign w:val="center"/>
          </w:tcPr>
          <w:p w:rsidR="00093849" w:rsidRPr="002C62BF" w:rsidRDefault="00093849" w:rsidP="00921A1D">
            <w:pPr>
              <w:pStyle w:val="In-tableHeading"/>
              <w:jc w:val="center"/>
              <w:rPr>
                <w:lang w:val="en-AU"/>
              </w:rPr>
            </w:pPr>
            <w:r w:rsidRPr="002C62BF">
              <w:rPr>
                <w:lang w:val="en-AU"/>
              </w:rPr>
              <w:t>Year 5</w:t>
            </w:r>
          </w:p>
        </w:tc>
        <w:tc>
          <w:tcPr>
            <w:tcW w:w="649" w:type="pct"/>
          </w:tcPr>
          <w:p w:rsidR="00093849" w:rsidRPr="002C62BF" w:rsidRDefault="00093849" w:rsidP="00921A1D">
            <w:pPr>
              <w:pStyle w:val="In-tableHeading"/>
              <w:jc w:val="center"/>
              <w:rPr>
                <w:lang w:val="en-AU"/>
              </w:rPr>
            </w:pPr>
            <w:r w:rsidRPr="002C62BF">
              <w:rPr>
                <w:lang w:val="en-AU"/>
              </w:rPr>
              <w:t>Year 6</w:t>
            </w:r>
          </w:p>
        </w:tc>
      </w:tr>
      <w:tr w:rsidR="00093849" w:rsidRPr="002C62BF" w:rsidTr="00921A1D">
        <w:tc>
          <w:tcPr>
            <w:tcW w:w="5000" w:type="pct"/>
            <w:gridSpan w:val="7"/>
            <w:shd w:val="clear" w:color="auto" w:fill="auto"/>
            <w:vAlign w:val="center"/>
          </w:tcPr>
          <w:p w:rsidR="00093849" w:rsidRPr="002C62BF" w:rsidRDefault="00093849" w:rsidP="00921A1D">
            <w:pPr>
              <w:pStyle w:val="In-tableHeading"/>
              <w:rPr>
                <w:bCs/>
                <w:color w:val="000000"/>
                <w:lang w:val="en-AU"/>
              </w:rPr>
            </w:pPr>
            <w:r w:rsidRPr="002C62BF">
              <w:rPr>
                <w:bCs/>
                <w:color w:val="000000"/>
                <w:lang w:val="en-AU"/>
              </w:rPr>
              <w:t>Estimated extent of use</w:t>
            </w:r>
          </w:p>
        </w:tc>
      </w:tr>
      <w:tr w:rsidR="00093849" w:rsidRPr="002C62BF" w:rsidTr="00921A1D">
        <w:tc>
          <w:tcPr>
            <w:tcW w:w="1116" w:type="pct"/>
            <w:shd w:val="clear" w:color="auto" w:fill="auto"/>
            <w:vAlign w:val="center"/>
          </w:tcPr>
          <w:p w:rsidR="00093849" w:rsidRPr="002C62BF" w:rsidRDefault="00093849" w:rsidP="00921A1D">
            <w:pPr>
              <w:pStyle w:val="TableText0"/>
              <w:rPr>
                <w:rFonts w:ascii="Times" w:hAnsi="Times"/>
              </w:rPr>
            </w:pPr>
            <w:r w:rsidRPr="002C62BF">
              <w:t>Number of patients treated</w:t>
            </w:r>
          </w:p>
        </w:tc>
        <w:tc>
          <w:tcPr>
            <w:tcW w:w="647" w:type="pct"/>
            <w:shd w:val="clear" w:color="auto" w:fill="auto"/>
          </w:tcPr>
          <w:p w:rsidR="00093849" w:rsidRPr="00177267" w:rsidRDefault="00177267" w:rsidP="00921A1D">
            <w:pPr>
              <w:pStyle w:val="TableText0"/>
              <w:jc w:val="center"/>
              <w:rPr>
                <w:color w:val="000000"/>
                <w:highlight w:val="black"/>
              </w:rPr>
            </w:pPr>
            <w:r>
              <w:rPr>
                <w:b/>
                <w:noProof/>
                <w:color w:val="000000"/>
                <w:highlight w:val="black"/>
              </w:rPr>
              <w:t>'''''''</w:t>
            </w:r>
          </w:p>
        </w:tc>
        <w:tc>
          <w:tcPr>
            <w:tcW w:w="647" w:type="pct"/>
            <w:shd w:val="clear" w:color="auto" w:fill="auto"/>
          </w:tcPr>
          <w:p w:rsidR="00093849" w:rsidRPr="00177267" w:rsidRDefault="00177267" w:rsidP="00921A1D">
            <w:pPr>
              <w:pStyle w:val="TableText0"/>
              <w:jc w:val="center"/>
              <w:rPr>
                <w:color w:val="000000"/>
                <w:highlight w:val="black"/>
              </w:rPr>
            </w:pPr>
            <w:r>
              <w:rPr>
                <w:b/>
                <w:noProof/>
                <w:color w:val="000000"/>
                <w:highlight w:val="black"/>
              </w:rPr>
              <w:t>''''''''</w:t>
            </w:r>
          </w:p>
        </w:tc>
        <w:tc>
          <w:tcPr>
            <w:tcW w:w="647" w:type="pct"/>
            <w:shd w:val="clear" w:color="auto" w:fill="auto"/>
          </w:tcPr>
          <w:p w:rsidR="00093849" w:rsidRPr="00177267" w:rsidRDefault="00177267" w:rsidP="00921A1D">
            <w:pPr>
              <w:pStyle w:val="TableText0"/>
              <w:jc w:val="center"/>
              <w:rPr>
                <w:color w:val="000000"/>
                <w:highlight w:val="black"/>
              </w:rPr>
            </w:pPr>
            <w:r>
              <w:rPr>
                <w:b/>
                <w:noProof/>
                <w:color w:val="000000"/>
                <w:highlight w:val="black"/>
              </w:rPr>
              <w:t>'''''''</w:t>
            </w:r>
          </w:p>
        </w:tc>
        <w:tc>
          <w:tcPr>
            <w:tcW w:w="647" w:type="pct"/>
            <w:shd w:val="clear" w:color="auto" w:fill="auto"/>
          </w:tcPr>
          <w:p w:rsidR="00093849" w:rsidRPr="00177267" w:rsidRDefault="00177267" w:rsidP="00921A1D">
            <w:pPr>
              <w:pStyle w:val="TableText0"/>
              <w:jc w:val="center"/>
              <w:rPr>
                <w:color w:val="000000"/>
                <w:highlight w:val="black"/>
              </w:rPr>
            </w:pPr>
            <w:r>
              <w:rPr>
                <w:b/>
                <w:noProof/>
                <w:color w:val="000000"/>
                <w:highlight w:val="black"/>
              </w:rPr>
              <w:t>''''''''</w:t>
            </w:r>
          </w:p>
        </w:tc>
        <w:tc>
          <w:tcPr>
            <w:tcW w:w="647" w:type="pct"/>
            <w:shd w:val="clear" w:color="auto" w:fill="auto"/>
          </w:tcPr>
          <w:p w:rsidR="00093849" w:rsidRPr="00177267" w:rsidRDefault="00177267" w:rsidP="00921A1D">
            <w:pPr>
              <w:pStyle w:val="TableText0"/>
              <w:jc w:val="center"/>
              <w:rPr>
                <w:color w:val="000000"/>
                <w:highlight w:val="black"/>
              </w:rPr>
            </w:pPr>
            <w:r>
              <w:rPr>
                <w:b/>
                <w:noProof/>
                <w:color w:val="000000"/>
                <w:highlight w:val="black"/>
              </w:rPr>
              <w:t>'''''''</w:t>
            </w:r>
          </w:p>
        </w:tc>
        <w:tc>
          <w:tcPr>
            <w:tcW w:w="649" w:type="pct"/>
          </w:tcPr>
          <w:p w:rsidR="00093849" w:rsidRPr="00177267" w:rsidRDefault="00177267" w:rsidP="00921A1D">
            <w:pPr>
              <w:pStyle w:val="TableText0"/>
              <w:jc w:val="center"/>
              <w:rPr>
                <w:color w:val="000000"/>
                <w:highlight w:val="black"/>
              </w:rPr>
            </w:pPr>
            <w:r>
              <w:rPr>
                <w:b/>
                <w:noProof/>
                <w:color w:val="000000"/>
                <w:highlight w:val="black"/>
              </w:rPr>
              <w:t>'''''''</w:t>
            </w:r>
          </w:p>
        </w:tc>
      </w:tr>
      <w:tr w:rsidR="00093849" w:rsidRPr="002C62BF" w:rsidTr="00921A1D">
        <w:trPr>
          <w:trHeight w:val="584"/>
        </w:trPr>
        <w:tc>
          <w:tcPr>
            <w:tcW w:w="1116" w:type="pct"/>
            <w:shd w:val="clear" w:color="auto" w:fill="auto"/>
            <w:vAlign w:val="center"/>
          </w:tcPr>
          <w:p w:rsidR="00093849" w:rsidRPr="002C62BF" w:rsidRDefault="00093849" w:rsidP="00921A1D">
            <w:pPr>
              <w:pStyle w:val="TableText0"/>
              <w:rPr>
                <w:rFonts w:ascii="Times" w:hAnsi="Times"/>
              </w:rPr>
            </w:pPr>
            <w:r w:rsidRPr="002C62BF">
              <w:t>Number of scripts dispensed</w:t>
            </w:r>
            <w:r w:rsidRPr="002C62BF">
              <w:rPr>
                <w:vertAlign w:val="superscript"/>
              </w:rPr>
              <w:t>a</w:t>
            </w:r>
          </w:p>
        </w:tc>
        <w:tc>
          <w:tcPr>
            <w:tcW w:w="647" w:type="pct"/>
            <w:shd w:val="clear" w:color="auto" w:fill="auto"/>
            <w:vAlign w:val="center"/>
          </w:tcPr>
          <w:p w:rsidR="00093849" w:rsidRPr="00177267" w:rsidRDefault="00177267" w:rsidP="00921A1D">
            <w:pPr>
              <w:pStyle w:val="TableText0"/>
              <w:jc w:val="center"/>
              <w:rPr>
                <w:color w:val="000000"/>
                <w:highlight w:val="black"/>
              </w:rPr>
            </w:pPr>
            <w:r>
              <w:rPr>
                <w:noProof/>
                <w:color w:val="000000"/>
                <w:highlight w:val="black"/>
              </w:rPr>
              <w:t>''''''''''''''</w:t>
            </w:r>
          </w:p>
        </w:tc>
        <w:tc>
          <w:tcPr>
            <w:tcW w:w="647" w:type="pct"/>
            <w:shd w:val="clear" w:color="auto" w:fill="auto"/>
            <w:vAlign w:val="center"/>
          </w:tcPr>
          <w:p w:rsidR="00093849" w:rsidRPr="00177267" w:rsidRDefault="00177267" w:rsidP="00921A1D">
            <w:pPr>
              <w:pStyle w:val="TableText0"/>
              <w:jc w:val="center"/>
              <w:rPr>
                <w:color w:val="000000"/>
                <w:highlight w:val="black"/>
              </w:rPr>
            </w:pPr>
            <w:r>
              <w:rPr>
                <w:noProof/>
                <w:color w:val="000000"/>
                <w:highlight w:val="black"/>
              </w:rPr>
              <w:t>'''''''''''''</w:t>
            </w:r>
          </w:p>
        </w:tc>
        <w:tc>
          <w:tcPr>
            <w:tcW w:w="647" w:type="pct"/>
            <w:shd w:val="clear" w:color="auto" w:fill="auto"/>
            <w:vAlign w:val="center"/>
          </w:tcPr>
          <w:p w:rsidR="00093849" w:rsidRPr="00177267" w:rsidRDefault="00177267" w:rsidP="00921A1D">
            <w:pPr>
              <w:pStyle w:val="TableText0"/>
              <w:jc w:val="center"/>
              <w:rPr>
                <w:color w:val="000000"/>
                <w:highlight w:val="black"/>
              </w:rPr>
            </w:pPr>
            <w:r>
              <w:rPr>
                <w:noProof/>
                <w:color w:val="000000"/>
                <w:highlight w:val="black"/>
              </w:rPr>
              <w:t>''''''''''''''</w:t>
            </w:r>
          </w:p>
        </w:tc>
        <w:tc>
          <w:tcPr>
            <w:tcW w:w="647" w:type="pct"/>
            <w:shd w:val="clear" w:color="auto" w:fill="auto"/>
            <w:vAlign w:val="center"/>
          </w:tcPr>
          <w:p w:rsidR="00093849" w:rsidRPr="00177267" w:rsidRDefault="00177267" w:rsidP="00921A1D">
            <w:pPr>
              <w:pStyle w:val="TableText0"/>
              <w:jc w:val="center"/>
              <w:rPr>
                <w:color w:val="000000"/>
                <w:highlight w:val="black"/>
              </w:rPr>
            </w:pPr>
            <w:r>
              <w:rPr>
                <w:noProof/>
                <w:color w:val="000000"/>
                <w:highlight w:val="black"/>
              </w:rPr>
              <w:t>'''''''''''''</w:t>
            </w:r>
          </w:p>
        </w:tc>
        <w:tc>
          <w:tcPr>
            <w:tcW w:w="647" w:type="pct"/>
            <w:shd w:val="clear" w:color="auto" w:fill="auto"/>
            <w:vAlign w:val="center"/>
          </w:tcPr>
          <w:p w:rsidR="00093849" w:rsidRPr="00177267" w:rsidRDefault="00177267" w:rsidP="00921A1D">
            <w:pPr>
              <w:pStyle w:val="TableText0"/>
              <w:jc w:val="center"/>
              <w:rPr>
                <w:color w:val="000000"/>
                <w:highlight w:val="black"/>
              </w:rPr>
            </w:pPr>
            <w:r>
              <w:rPr>
                <w:noProof/>
                <w:color w:val="000000"/>
                <w:highlight w:val="black"/>
              </w:rPr>
              <w:t>''''''''''''''</w:t>
            </w:r>
          </w:p>
        </w:tc>
        <w:tc>
          <w:tcPr>
            <w:tcW w:w="649" w:type="pct"/>
            <w:vAlign w:val="center"/>
          </w:tcPr>
          <w:p w:rsidR="00093849" w:rsidRPr="00177267" w:rsidRDefault="00177267" w:rsidP="00921A1D">
            <w:pPr>
              <w:pStyle w:val="TableText0"/>
              <w:jc w:val="center"/>
              <w:rPr>
                <w:color w:val="000000"/>
                <w:highlight w:val="black"/>
              </w:rPr>
            </w:pPr>
            <w:r>
              <w:rPr>
                <w:noProof/>
                <w:color w:val="000000"/>
                <w:highlight w:val="black"/>
              </w:rPr>
              <w:t>'''''''''''''</w:t>
            </w:r>
          </w:p>
        </w:tc>
      </w:tr>
      <w:tr w:rsidR="00093849" w:rsidRPr="002C62BF" w:rsidTr="00921A1D">
        <w:tc>
          <w:tcPr>
            <w:tcW w:w="5000" w:type="pct"/>
            <w:gridSpan w:val="7"/>
            <w:shd w:val="clear" w:color="auto" w:fill="auto"/>
            <w:vAlign w:val="center"/>
          </w:tcPr>
          <w:p w:rsidR="00093849" w:rsidRPr="002C62BF" w:rsidRDefault="00093849" w:rsidP="00921A1D">
            <w:pPr>
              <w:pStyle w:val="In-tableHeading"/>
              <w:rPr>
                <w:lang w:val="en-AU"/>
              </w:rPr>
            </w:pPr>
            <w:r w:rsidRPr="002C62BF">
              <w:rPr>
                <w:lang w:val="en-AU"/>
              </w:rPr>
              <w:t>Estimated financial implications of ocrelizumab</w:t>
            </w:r>
          </w:p>
        </w:tc>
      </w:tr>
      <w:tr w:rsidR="00093849" w:rsidRPr="002C62BF" w:rsidTr="00921A1D">
        <w:tc>
          <w:tcPr>
            <w:tcW w:w="1116" w:type="pct"/>
            <w:shd w:val="clear" w:color="auto" w:fill="auto"/>
            <w:vAlign w:val="center"/>
          </w:tcPr>
          <w:p w:rsidR="00093849" w:rsidRPr="002C62BF" w:rsidRDefault="00093849" w:rsidP="00921A1D">
            <w:pPr>
              <w:pStyle w:val="TableText0"/>
              <w:rPr>
                <w:sz w:val="19"/>
                <w:szCs w:val="19"/>
              </w:rPr>
            </w:pPr>
            <w:r w:rsidRPr="002C62BF">
              <w:rPr>
                <w:sz w:val="19"/>
                <w:szCs w:val="19"/>
              </w:rPr>
              <w:t>Cost to PBS/RPBS less copayments</w:t>
            </w:r>
          </w:p>
        </w:tc>
        <w:tc>
          <w:tcPr>
            <w:tcW w:w="647" w:type="pct"/>
            <w:shd w:val="clear" w:color="auto" w:fill="auto"/>
            <w:vAlign w:val="center"/>
          </w:tcPr>
          <w:p w:rsidR="00093849" w:rsidRPr="002C62BF" w:rsidRDefault="00093849" w:rsidP="00921A1D">
            <w:pPr>
              <w:pStyle w:val="TableText0"/>
              <w:jc w:val="center"/>
            </w:pPr>
            <w:r w:rsidRPr="002C62BF">
              <w:t>$</w:t>
            </w:r>
            <w:r w:rsidR="00177267">
              <w:rPr>
                <w:noProof/>
                <w:color w:val="000000"/>
                <w:highlight w:val="black"/>
              </w:rPr>
              <w:t>''''''''''''''''''''''''</w:t>
            </w:r>
          </w:p>
        </w:tc>
        <w:tc>
          <w:tcPr>
            <w:tcW w:w="647" w:type="pct"/>
            <w:shd w:val="clear" w:color="auto" w:fill="auto"/>
            <w:vAlign w:val="center"/>
          </w:tcPr>
          <w:p w:rsidR="00093849" w:rsidRPr="002C62BF" w:rsidRDefault="00093849" w:rsidP="00921A1D">
            <w:pPr>
              <w:pStyle w:val="TableText0"/>
              <w:jc w:val="center"/>
            </w:pPr>
            <w:r w:rsidRPr="002C62BF">
              <w:t>$</w:t>
            </w:r>
            <w:r w:rsidR="00177267">
              <w:rPr>
                <w:noProof/>
                <w:color w:val="000000"/>
                <w:highlight w:val="black"/>
              </w:rPr>
              <w:t>''''''''''''''''''''''</w:t>
            </w:r>
          </w:p>
        </w:tc>
        <w:tc>
          <w:tcPr>
            <w:tcW w:w="647" w:type="pct"/>
            <w:shd w:val="clear" w:color="auto" w:fill="auto"/>
            <w:vAlign w:val="center"/>
          </w:tcPr>
          <w:p w:rsidR="00093849" w:rsidRPr="002C62BF" w:rsidRDefault="00093849" w:rsidP="00921A1D">
            <w:pPr>
              <w:pStyle w:val="TableText0"/>
              <w:jc w:val="center"/>
            </w:pPr>
            <w:r w:rsidRPr="002C62BF">
              <w:t>$</w:t>
            </w:r>
            <w:r w:rsidR="00177267">
              <w:rPr>
                <w:noProof/>
                <w:color w:val="000000"/>
                <w:highlight w:val="black"/>
              </w:rPr>
              <w:t>''''''''''''''''''''''''''</w:t>
            </w:r>
          </w:p>
        </w:tc>
        <w:tc>
          <w:tcPr>
            <w:tcW w:w="647" w:type="pct"/>
            <w:shd w:val="clear" w:color="auto" w:fill="auto"/>
            <w:vAlign w:val="center"/>
          </w:tcPr>
          <w:p w:rsidR="00093849" w:rsidRPr="002C62BF" w:rsidRDefault="00093849" w:rsidP="00921A1D">
            <w:pPr>
              <w:pStyle w:val="TableText0"/>
              <w:jc w:val="center"/>
            </w:pPr>
            <w:r w:rsidRPr="002C62BF">
              <w:t>$</w:t>
            </w:r>
            <w:r w:rsidR="00177267">
              <w:rPr>
                <w:noProof/>
                <w:color w:val="000000"/>
                <w:highlight w:val="black"/>
              </w:rPr>
              <w:t>'''''''''''''''''''''''''</w:t>
            </w:r>
          </w:p>
        </w:tc>
        <w:tc>
          <w:tcPr>
            <w:tcW w:w="647" w:type="pct"/>
            <w:shd w:val="clear" w:color="auto" w:fill="auto"/>
            <w:vAlign w:val="center"/>
          </w:tcPr>
          <w:p w:rsidR="00093849" w:rsidRPr="002C62BF" w:rsidRDefault="00093849" w:rsidP="00921A1D">
            <w:pPr>
              <w:pStyle w:val="TableText0"/>
              <w:jc w:val="center"/>
            </w:pPr>
            <w:r w:rsidRPr="002C62BF">
              <w:t>$</w:t>
            </w:r>
            <w:r w:rsidR="00177267">
              <w:rPr>
                <w:noProof/>
                <w:color w:val="000000"/>
                <w:highlight w:val="black"/>
              </w:rPr>
              <w:t>'''''''''''''''''''''''</w:t>
            </w:r>
          </w:p>
        </w:tc>
        <w:tc>
          <w:tcPr>
            <w:tcW w:w="649" w:type="pct"/>
            <w:vAlign w:val="center"/>
          </w:tcPr>
          <w:p w:rsidR="00093849" w:rsidRPr="002C62BF" w:rsidRDefault="00093849" w:rsidP="00921A1D">
            <w:pPr>
              <w:pStyle w:val="TableText0"/>
              <w:jc w:val="center"/>
            </w:pPr>
            <w:r w:rsidRPr="002C62BF">
              <w:t>$</w:t>
            </w:r>
            <w:r w:rsidR="00177267">
              <w:rPr>
                <w:noProof/>
                <w:color w:val="000000"/>
                <w:highlight w:val="black"/>
              </w:rPr>
              <w:t>'''''''''''''''''''''''''</w:t>
            </w:r>
          </w:p>
        </w:tc>
      </w:tr>
      <w:tr w:rsidR="00093849" w:rsidRPr="002C62BF" w:rsidTr="00921A1D">
        <w:tc>
          <w:tcPr>
            <w:tcW w:w="5000" w:type="pct"/>
            <w:gridSpan w:val="7"/>
            <w:shd w:val="clear" w:color="auto" w:fill="auto"/>
            <w:vAlign w:val="center"/>
          </w:tcPr>
          <w:p w:rsidR="00093849" w:rsidRPr="002C62BF" w:rsidRDefault="00093849" w:rsidP="00921A1D">
            <w:pPr>
              <w:pStyle w:val="TableText0"/>
            </w:pPr>
            <w:r w:rsidRPr="002C62BF">
              <w:t>Estimated financial implications for BSC</w:t>
            </w:r>
          </w:p>
        </w:tc>
      </w:tr>
      <w:tr w:rsidR="00093849" w:rsidRPr="002C62BF" w:rsidTr="00921A1D">
        <w:tc>
          <w:tcPr>
            <w:tcW w:w="1116" w:type="pct"/>
            <w:shd w:val="clear" w:color="auto" w:fill="auto"/>
            <w:vAlign w:val="center"/>
          </w:tcPr>
          <w:p w:rsidR="00093849" w:rsidRPr="002C62BF" w:rsidRDefault="00093849" w:rsidP="00921A1D">
            <w:pPr>
              <w:pStyle w:val="TableText0"/>
              <w:rPr>
                <w:sz w:val="19"/>
                <w:szCs w:val="19"/>
              </w:rPr>
            </w:pPr>
            <w:r w:rsidRPr="002C62BF">
              <w:rPr>
                <w:sz w:val="19"/>
                <w:szCs w:val="19"/>
              </w:rPr>
              <w:t>Cost to PBS/RPBS less copayments</w:t>
            </w:r>
          </w:p>
        </w:tc>
        <w:tc>
          <w:tcPr>
            <w:tcW w:w="3884" w:type="pct"/>
            <w:gridSpan w:val="6"/>
            <w:shd w:val="clear" w:color="auto" w:fill="auto"/>
            <w:vAlign w:val="center"/>
          </w:tcPr>
          <w:p w:rsidR="00093849" w:rsidRPr="002C62BF" w:rsidRDefault="00093849" w:rsidP="00921A1D">
            <w:pPr>
              <w:pStyle w:val="TableText0"/>
              <w:jc w:val="center"/>
            </w:pPr>
            <w:r w:rsidRPr="002C62BF">
              <w:t>None</w:t>
            </w:r>
          </w:p>
        </w:tc>
      </w:tr>
      <w:tr w:rsidR="00093849" w:rsidRPr="002C62BF" w:rsidTr="00921A1D">
        <w:tc>
          <w:tcPr>
            <w:tcW w:w="5000" w:type="pct"/>
            <w:gridSpan w:val="7"/>
            <w:shd w:val="clear" w:color="auto" w:fill="auto"/>
            <w:vAlign w:val="center"/>
          </w:tcPr>
          <w:p w:rsidR="00093849" w:rsidRPr="002C62BF" w:rsidRDefault="00093849" w:rsidP="00921A1D">
            <w:pPr>
              <w:pStyle w:val="In-tableHeading"/>
              <w:rPr>
                <w:lang w:val="en-AU"/>
              </w:rPr>
            </w:pPr>
            <w:r w:rsidRPr="002C62BF">
              <w:rPr>
                <w:lang w:val="en-AU"/>
              </w:rPr>
              <w:t>Net financial implications</w:t>
            </w:r>
          </w:p>
        </w:tc>
      </w:tr>
      <w:tr w:rsidR="00093849" w:rsidRPr="002C62BF" w:rsidTr="00921A1D">
        <w:tc>
          <w:tcPr>
            <w:tcW w:w="1116" w:type="pct"/>
            <w:shd w:val="clear" w:color="auto" w:fill="auto"/>
            <w:vAlign w:val="center"/>
          </w:tcPr>
          <w:p w:rsidR="00093849" w:rsidRPr="002C62BF" w:rsidRDefault="00093849" w:rsidP="00921A1D">
            <w:pPr>
              <w:pStyle w:val="TableText0"/>
              <w:rPr>
                <w:sz w:val="19"/>
                <w:szCs w:val="19"/>
              </w:rPr>
            </w:pPr>
            <w:r w:rsidRPr="002C62BF">
              <w:rPr>
                <w:sz w:val="19"/>
                <w:szCs w:val="19"/>
              </w:rPr>
              <w:t>Net cost to PBS/RPBS</w:t>
            </w:r>
          </w:p>
        </w:tc>
        <w:tc>
          <w:tcPr>
            <w:tcW w:w="647" w:type="pct"/>
            <w:shd w:val="clear" w:color="auto" w:fill="auto"/>
          </w:tcPr>
          <w:p w:rsidR="00093849" w:rsidRPr="002C62BF" w:rsidRDefault="00093849" w:rsidP="00921A1D">
            <w:pPr>
              <w:pStyle w:val="TableText0"/>
              <w:jc w:val="center"/>
            </w:pPr>
            <w:r w:rsidRPr="002C62BF">
              <w:t>$</w:t>
            </w:r>
            <w:r w:rsidR="00177267">
              <w:rPr>
                <w:noProof/>
                <w:color w:val="000000"/>
                <w:highlight w:val="black"/>
              </w:rPr>
              <w:t>'''''''''''''''''''''''''</w:t>
            </w:r>
          </w:p>
        </w:tc>
        <w:tc>
          <w:tcPr>
            <w:tcW w:w="647" w:type="pct"/>
            <w:shd w:val="clear" w:color="auto" w:fill="auto"/>
          </w:tcPr>
          <w:p w:rsidR="00093849" w:rsidRPr="002C62BF" w:rsidRDefault="00093849" w:rsidP="00921A1D">
            <w:pPr>
              <w:pStyle w:val="TableText0"/>
              <w:jc w:val="center"/>
            </w:pPr>
            <w:r w:rsidRPr="002C62BF">
              <w:t>$</w:t>
            </w:r>
            <w:r w:rsidR="00177267">
              <w:rPr>
                <w:noProof/>
                <w:color w:val="000000"/>
                <w:highlight w:val="black"/>
              </w:rPr>
              <w:t>'''''''''''''''''''''''</w:t>
            </w:r>
          </w:p>
        </w:tc>
        <w:tc>
          <w:tcPr>
            <w:tcW w:w="647" w:type="pct"/>
            <w:shd w:val="clear" w:color="auto" w:fill="auto"/>
          </w:tcPr>
          <w:p w:rsidR="00093849" w:rsidRPr="002C62BF" w:rsidRDefault="00093849" w:rsidP="00921A1D">
            <w:pPr>
              <w:pStyle w:val="TableText0"/>
              <w:jc w:val="center"/>
            </w:pPr>
            <w:r w:rsidRPr="002C62BF">
              <w:t>$</w:t>
            </w:r>
            <w:r w:rsidR="00177267">
              <w:rPr>
                <w:noProof/>
                <w:color w:val="000000"/>
                <w:highlight w:val="black"/>
              </w:rPr>
              <w:t>'''''''''''''''''''''''''</w:t>
            </w:r>
          </w:p>
        </w:tc>
        <w:tc>
          <w:tcPr>
            <w:tcW w:w="647" w:type="pct"/>
            <w:shd w:val="clear" w:color="auto" w:fill="auto"/>
          </w:tcPr>
          <w:p w:rsidR="00093849" w:rsidRPr="002C62BF" w:rsidRDefault="00093849" w:rsidP="00921A1D">
            <w:pPr>
              <w:pStyle w:val="TableText0"/>
              <w:jc w:val="center"/>
            </w:pPr>
            <w:r w:rsidRPr="002C62BF">
              <w:t>$</w:t>
            </w:r>
            <w:r w:rsidR="00177267">
              <w:rPr>
                <w:noProof/>
                <w:color w:val="000000"/>
                <w:highlight w:val="black"/>
              </w:rPr>
              <w:t>'''''''''''''''''''''''''''</w:t>
            </w:r>
          </w:p>
        </w:tc>
        <w:tc>
          <w:tcPr>
            <w:tcW w:w="647" w:type="pct"/>
            <w:shd w:val="clear" w:color="auto" w:fill="auto"/>
          </w:tcPr>
          <w:p w:rsidR="00093849" w:rsidRPr="002C62BF" w:rsidRDefault="00093849" w:rsidP="00921A1D">
            <w:pPr>
              <w:pStyle w:val="TableText0"/>
              <w:jc w:val="center"/>
            </w:pPr>
            <w:r w:rsidRPr="002C62BF">
              <w:t>$</w:t>
            </w:r>
            <w:r w:rsidR="00177267">
              <w:rPr>
                <w:noProof/>
                <w:color w:val="000000"/>
                <w:highlight w:val="black"/>
              </w:rPr>
              <w:t>'''''''''''''''''''''''''''''</w:t>
            </w:r>
          </w:p>
        </w:tc>
        <w:tc>
          <w:tcPr>
            <w:tcW w:w="649" w:type="pct"/>
          </w:tcPr>
          <w:p w:rsidR="00093849" w:rsidRPr="002C62BF" w:rsidRDefault="00093849" w:rsidP="00921A1D">
            <w:pPr>
              <w:pStyle w:val="TableText0"/>
              <w:jc w:val="center"/>
            </w:pPr>
            <w:r w:rsidRPr="002C62BF">
              <w:t>$</w:t>
            </w:r>
            <w:r w:rsidR="00177267">
              <w:rPr>
                <w:noProof/>
                <w:color w:val="000000"/>
                <w:highlight w:val="black"/>
              </w:rPr>
              <w:t>'''''''''''''''''''''''''''</w:t>
            </w:r>
          </w:p>
        </w:tc>
      </w:tr>
      <w:tr w:rsidR="00093849" w:rsidRPr="002C62BF" w:rsidTr="00921A1D">
        <w:tc>
          <w:tcPr>
            <w:tcW w:w="1116" w:type="pct"/>
            <w:shd w:val="clear" w:color="auto" w:fill="auto"/>
            <w:vAlign w:val="center"/>
          </w:tcPr>
          <w:p w:rsidR="00093849" w:rsidRPr="002C62BF" w:rsidRDefault="00093849" w:rsidP="00921A1D">
            <w:pPr>
              <w:pStyle w:val="TableText0"/>
              <w:rPr>
                <w:rFonts w:ascii="Times" w:hAnsi="Times"/>
              </w:rPr>
            </w:pPr>
            <w:r w:rsidRPr="002C62BF">
              <w:rPr>
                <w:sz w:val="19"/>
                <w:szCs w:val="19"/>
              </w:rPr>
              <w:t>Net cost to MBS</w:t>
            </w:r>
          </w:p>
        </w:tc>
        <w:tc>
          <w:tcPr>
            <w:tcW w:w="647" w:type="pct"/>
            <w:shd w:val="clear" w:color="auto" w:fill="auto"/>
          </w:tcPr>
          <w:p w:rsidR="00093849" w:rsidRPr="002C62BF" w:rsidRDefault="00093849" w:rsidP="00921A1D">
            <w:pPr>
              <w:pStyle w:val="TableText0"/>
              <w:jc w:val="center"/>
            </w:pPr>
            <w:r w:rsidRPr="002C62BF">
              <w:t>$</w:t>
            </w:r>
            <w:r w:rsidR="00177267">
              <w:rPr>
                <w:noProof/>
                <w:color w:val="000000"/>
                <w:highlight w:val="black"/>
              </w:rPr>
              <w:t>'''''''''''''''''</w:t>
            </w:r>
          </w:p>
        </w:tc>
        <w:tc>
          <w:tcPr>
            <w:tcW w:w="647" w:type="pct"/>
            <w:shd w:val="clear" w:color="auto" w:fill="auto"/>
          </w:tcPr>
          <w:p w:rsidR="00093849" w:rsidRPr="002C62BF" w:rsidRDefault="00093849" w:rsidP="00921A1D">
            <w:pPr>
              <w:pStyle w:val="TableText0"/>
              <w:jc w:val="center"/>
            </w:pPr>
            <w:r w:rsidRPr="002C62BF">
              <w:t>$</w:t>
            </w:r>
            <w:r w:rsidR="00177267">
              <w:rPr>
                <w:noProof/>
                <w:color w:val="000000"/>
                <w:highlight w:val="black"/>
              </w:rPr>
              <w:t>'''''''''''''''''''</w:t>
            </w:r>
          </w:p>
        </w:tc>
        <w:tc>
          <w:tcPr>
            <w:tcW w:w="647" w:type="pct"/>
            <w:shd w:val="clear" w:color="auto" w:fill="auto"/>
          </w:tcPr>
          <w:p w:rsidR="00093849" w:rsidRPr="002C62BF" w:rsidRDefault="00093849" w:rsidP="00921A1D">
            <w:pPr>
              <w:pStyle w:val="TableText0"/>
              <w:jc w:val="center"/>
            </w:pPr>
            <w:r w:rsidRPr="002C62BF">
              <w:t>$</w:t>
            </w:r>
            <w:r w:rsidR="00177267">
              <w:rPr>
                <w:noProof/>
                <w:color w:val="000000"/>
                <w:highlight w:val="black"/>
              </w:rPr>
              <w:t>''''''''''''''''''</w:t>
            </w:r>
          </w:p>
        </w:tc>
        <w:tc>
          <w:tcPr>
            <w:tcW w:w="647" w:type="pct"/>
            <w:shd w:val="clear" w:color="auto" w:fill="auto"/>
          </w:tcPr>
          <w:p w:rsidR="00093849" w:rsidRPr="002C62BF" w:rsidRDefault="00093849" w:rsidP="00921A1D">
            <w:pPr>
              <w:pStyle w:val="TableText0"/>
              <w:jc w:val="center"/>
            </w:pPr>
            <w:r w:rsidRPr="002C62BF">
              <w:t>$</w:t>
            </w:r>
            <w:r w:rsidR="00177267">
              <w:rPr>
                <w:noProof/>
                <w:color w:val="000000"/>
                <w:highlight w:val="black"/>
              </w:rPr>
              <w:t>'''''''''''''''''''''</w:t>
            </w:r>
          </w:p>
        </w:tc>
        <w:tc>
          <w:tcPr>
            <w:tcW w:w="647" w:type="pct"/>
            <w:shd w:val="clear" w:color="auto" w:fill="auto"/>
          </w:tcPr>
          <w:p w:rsidR="00093849" w:rsidRPr="002C62BF" w:rsidRDefault="00093849" w:rsidP="00921A1D">
            <w:pPr>
              <w:pStyle w:val="TableText0"/>
              <w:jc w:val="center"/>
            </w:pPr>
            <w:r w:rsidRPr="002C62BF">
              <w:t>$</w:t>
            </w:r>
            <w:r w:rsidR="00177267">
              <w:rPr>
                <w:noProof/>
                <w:color w:val="000000"/>
                <w:highlight w:val="black"/>
              </w:rPr>
              <w:t>''''''''''''''''''''</w:t>
            </w:r>
          </w:p>
        </w:tc>
        <w:tc>
          <w:tcPr>
            <w:tcW w:w="649" w:type="pct"/>
          </w:tcPr>
          <w:p w:rsidR="00093849" w:rsidRPr="002C62BF" w:rsidRDefault="00093849" w:rsidP="00921A1D">
            <w:pPr>
              <w:pStyle w:val="TableText0"/>
              <w:jc w:val="center"/>
            </w:pPr>
            <w:r w:rsidRPr="002C62BF">
              <w:t>$</w:t>
            </w:r>
            <w:r w:rsidR="00177267">
              <w:rPr>
                <w:noProof/>
                <w:color w:val="000000"/>
                <w:highlight w:val="black"/>
              </w:rPr>
              <w:t>''''''''''''''''''''</w:t>
            </w:r>
          </w:p>
        </w:tc>
      </w:tr>
      <w:tr w:rsidR="00093849" w:rsidRPr="002C62BF" w:rsidTr="00921A1D">
        <w:tc>
          <w:tcPr>
            <w:tcW w:w="1116" w:type="pct"/>
            <w:shd w:val="clear" w:color="auto" w:fill="auto"/>
            <w:vAlign w:val="center"/>
          </w:tcPr>
          <w:p w:rsidR="00093849" w:rsidRPr="002C62BF" w:rsidRDefault="00093849" w:rsidP="00921A1D">
            <w:pPr>
              <w:pStyle w:val="TableText0"/>
              <w:rPr>
                <w:sz w:val="19"/>
                <w:szCs w:val="19"/>
              </w:rPr>
            </w:pPr>
            <w:r w:rsidRPr="002C62BF">
              <w:rPr>
                <w:sz w:val="19"/>
                <w:szCs w:val="19"/>
              </w:rPr>
              <w:t>Net cost to PBS/RPBS/MBS</w:t>
            </w:r>
          </w:p>
        </w:tc>
        <w:tc>
          <w:tcPr>
            <w:tcW w:w="647" w:type="pct"/>
            <w:shd w:val="clear" w:color="auto" w:fill="auto"/>
          </w:tcPr>
          <w:p w:rsidR="00093849" w:rsidRPr="002C62BF" w:rsidRDefault="00093849" w:rsidP="00921A1D">
            <w:pPr>
              <w:pStyle w:val="TableText0"/>
              <w:jc w:val="center"/>
            </w:pPr>
            <w:r w:rsidRPr="002C62BF">
              <w:rPr>
                <w:b/>
              </w:rPr>
              <w:t>$</w:t>
            </w:r>
            <w:r w:rsidR="00177267">
              <w:rPr>
                <w:b/>
                <w:noProof/>
                <w:color w:val="000000"/>
                <w:highlight w:val="black"/>
              </w:rPr>
              <w:t>''''''''''''''''''</w:t>
            </w:r>
          </w:p>
        </w:tc>
        <w:tc>
          <w:tcPr>
            <w:tcW w:w="647" w:type="pct"/>
            <w:shd w:val="clear" w:color="auto" w:fill="auto"/>
          </w:tcPr>
          <w:p w:rsidR="00093849" w:rsidRPr="002C62BF" w:rsidRDefault="00093849" w:rsidP="00921A1D">
            <w:pPr>
              <w:pStyle w:val="TableText0"/>
              <w:jc w:val="center"/>
            </w:pPr>
            <w:r w:rsidRPr="002C62BF">
              <w:rPr>
                <w:b/>
              </w:rPr>
              <w:t>$</w:t>
            </w:r>
            <w:r w:rsidR="00177267">
              <w:rPr>
                <w:b/>
                <w:noProof/>
                <w:color w:val="000000"/>
                <w:highlight w:val="black"/>
              </w:rPr>
              <w:t>'''''''''''''''''''</w:t>
            </w:r>
          </w:p>
        </w:tc>
        <w:tc>
          <w:tcPr>
            <w:tcW w:w="647" w:type="pct"/>
            <w:shd w:val="clear" w:color="auto" w:fill="auto"/>
          </w:tcPr>
          <w:p w:rsidR="00093849" w:rsidRPr="002C62BF" w:rsidRDefault="00093849" w:rsidP="00921A1D">
            <w:pPr>
              <w:pStyle w:val="TableText0"/>
              <w:jc w:val="center"/>
            </w:pPr>
            <w:r w:rsidRPr="002C62BF">
              <w:rPr>
                <w:b/>
              </w:rPr>
              <w:t>$</w:t>
            </w:r>
            <w:r w:rsidR="00177267">
              <w:rPr>
                <w:b/>
                <w:noProof/>
                <w:color w:val="000000"/>
                <w:highlight w:val="black"/>
              </w:rPr>
              <w:t>''''''''''''''''''</w:t>
            </w:r>
          </w:p>
        </w:tc>
        <w:tc>
          <w:tcPr>
            <w:tcW w:w="647" w:type="pct"/>
            <w:shd w:val="clear" w:color="auto" w:fill="auto"/>
          </w:tcPr>
          <w:p w:rsidR="00093849" w:rsidRPr="002C62BF" w:rsidRDefault="00093849" w:rsidP="00921A1D">
            <w:pPr>
              <w:pStyle w:val="TableText0"/>
              <w:jc w:val="center"/>
            </w:pPr>
            <w:r w:rsidRPr="002C62BF">
              <w:rPr>
                <w:b/>
              </w:rPr>
              <w:t>$</w:t>
            </w:r>
            <w:r w:rsidR="00177267">
              <w:rPr>
                <w:b/>
                <w:noProof/>
                <w:color w:val="000000"/>
                <w:highlight w:val="black"/>
              </w:rPr>
              <w:t>''''''''''''''''''''''</w:t>
            </w:r>
          </w:p>
        </w:tc>
        <w:tc>
          <w:tcPr>
            <w:tcW w:w="647" w:type="pct"/>
            <w:shd w:val="clear" w:color="auto" w:fill="auto"/>
          </w:tcPr>
          <w:p w:rsidR="00093849" w:rsidRPr="002C62BF" w:rsidRDefault="00093849" w:rsidP="00921A1D">
            <w:pPr>
              <w:pStyle w:val="TableText0"/>
              <w:jc w:val="center"/>
            </w:pPr>
            <w:r w:rsidRPr="002C62BF">
              <w:rPr>
                <w:b/>
              </w:rPr>
              <w:t>$</w:t>
            </w:r>
            <w:r w:rsidR="00177267">
              <w:rPr>
                <w:b/>
                <w:noProof/>
                <w:color w:val="000000"/>
                <w:highlight w:val="black"/>
              </w:rPr>
              <w:t>''''''''''''''''''''''</w:t>
            </w:r>
          </w:p>
        </w:tc>
        <w:tc>
          <w:tcPr>
            <w:tcW w:w="649" w:type="pct"/>
          </w:tcPr>
          <w:p w:rsidR="00093849" w:rsidRPr="002C62BF" w:rsidRDefault="00093849" w:rsidP="00921A1D">
            <w:pPr>
              <w:pStyle w:val="TableText0"/>
              <w:jc w:val="center"/>
            </w:pPr>
            <w:r w:rsidRPr="002C62BF">
              <w:rPr>
                <w:b/>
              </w:rPr>
              <w:t>$</w:t>
            </w:r>
            <w:r w:rsidR="00177267">
              <w:rPr>
                <w:b/>
                <w:noProof/>
                <w:color w:val="000000"/>
                <w:highlight w:val="black"/>
              </w:rPr>
              <w:t>''''''''''''''''''''''</w:t>
            </w:r>
          </w:p>
        </w:tc>
      </w:tr>
      <w:tr w:rsidR="00093849" w:rsidRPr="002C62BF" w:rsidTr="00921A1D">
        <w:tc>
          <w:tcPr>
            <w:tcW w:w="5000" w:type="pct"/>
            <w:gridSpan w:val="7"/>
            <w:shd w:val="clear" w:color="auto" w:fill="B8CCE4" w:themeFill="accent1" w:themeFillTint="66"/>
            <w:vAlign w:val="center"/>
          </w:tcPr>
          <w:p w:rsidR="00093849" w:rsidRPr="002C62BF" w:rsidRDefault="00093849" w:rsidP="00921A1D">
            <w:pPr>
              <w:pStyle w:val="In-tableHeading"/>
              <w:rPr>
                <w:lang w:val="en-AU"/>
              </w:rPr>
            </w:pPr>
            <w:r w:rsidRPr="002C62BF">
              <w:rPr>
                <w:lang w:val="en-AU"/>
              </w:rPr>
              <w:t>Previous submission - November 2017</w:t>
            </w:r>
          </w:p>
        </w:tc>
      </w:tr>
      <w:tr w:rsidR="00093849" w:rsidRPr="002C62BF" w:rsidTr="00921A1D">
        <w:tc>
          <w:tcPr>
            <w:tcW w:w="1116" w:type="pct"/>
            <w:shd w:val="clear" w:color="auto" w:fill="B8CCE4" w:themeFill="accent1" w:themeFillTint="66"/>
            <w:vAlign w:val="center"/>
          </w:tcPr>
          <w:p w:rsidR="00093849" w:rsidRPr="002C62BF" w:rsidRDefault="00093849" w:rsidP="00921A1D">
            <w:pPr>
              <w:pStyle w:val="TableText0"/>
              <w:rPr>
                <w:sz w:val="19"/>
                <w:szCs w:val="19"/>
              </w:rPr>
            </w:pPr>
            <w:r w:rsidRPr="002C62BF">
              <w:rPr>
                <w:sz w:val="19"/>
                <w:szCs w:val="19"/>
              </w:rPr>
              <w:t>Net cost to PBS/RPBS</w:t>
            </w:r>
          </w:p>
        </w:tc>
        <w:tc>
          <w:tcPr>
            <w:tcW w:w="647" w:type="pct"/>
            <w:shd w:val="clear" w:color="auto" w:fill="B8CCE4" w:themeFill="accent1" w:themeFillTint="66"/>
            <w:vAlign w:val="bottom"/>
          </w:tcPr>
          <w:p w:rsidR="00093849" w:rsidRPr="002C62BF" w:rsidRDefault="00093849" w:rsidP="00921A1D">
            <w:pPr>
              <w:pStyle w:val="TableText0"/>
              <w:jc w:val="center"/>
            </w:pPr>
            <w:r w:rsidRPr="002C62BF">
              <w:rPr>
                <w:rFonts w:eastAsia="Times New Roman" w:cs="Times New Roman"/>
                <w:color w:val="000000"/>
                <w:szCs w:val="20"/>
              </w:rPr>
              <w:t>$</w:t>
            </w:r>
            <w:r w:rsidR="00177267">
              <w:rPr>
                <w:rFonts w:eastAsia="Times New Roman" w:cs="Times New Roman"/>
                <w:noProof/>
                <w:color w:val="000000"/>
                <w:szCs w:val="20"/>
                <w:highlight w:val="black"/>
              </w:rPr>
              <w:t>''''''''''''''''''''''''''''</w:t>
            </w:r>
          </w:p>
        </w:tc>
        <w:tc>
          <w:tcPr>
            <w:tcW w:w="647" w:type="pct"/>
            <w:shd w:val="clear" w:color="auto" w:fill="B8CCE4" w:themeFill="accent1" w:themeFillTint="66"/>
            <w:vAlign w:val="bottom"/>
          </w:tcPr>
          <w:p w:rsidR="00093849" w:rsidRPr="002C62BF" w:rsidRDefault="00093849" w:rsidP="00921A1D">
            <w:pPr>
              <w:pStyle w:val="TableText0"/>
              <w:jc w:val="center"/>
            </w:pPr>
            <w:r w:rsidRPr="002C62BF">
              <w:rPr>
                <w:rFonts w:eastAsia="Times New Roman" w:cs="Times New Roman"/>
                <w:color w:val="000000"/>
                <w:szCs w:val="20"/>
              </w:rPr>
              <w:t>$</w:t>
            </w:r>
            <w:r w:rsidR="00177267">
              <w:rPr>
                <w:rFonts w:eastAsia="Times New Roman" w:cs="Times New Roman"/>
                <w:noProof/>
                <w:color w:val="000000"/>
                <w:szCs w:val="20"/>
                <w:highlight w:val="black"/>
              </w:rPr>
              <w:t>''''''''''''''''''''''''''</w:t>
            </w:r>
          </w:p>
        </w:tc>
        <w:tc>
          <w:tcPr>
            <w:tcW w:w="647" w:type="pct"/>
            <w:shd w:val="clear" w:color="auto" w:fill="B8CCE4" w:themeFill="accent1" w:themeFillTint="66"/>
            <w:vAlign w:val="bottom"/>
          </w:tcPr>
          <w:p w:rsidR="00093849" w:rsidRPr="002C62BF" w:rsidRDefault="00093849" w:rsidP="00921A1D">
            <w:pPr>
              <w:pStyle w:val="TableText0"/>
              <w:jc w:val="center"/>
            </w:pPr>
            <w:r w:rsidRPr="002C62BF">
              <w:rPr>
                <w:rFonts w:eastAsia="Times New Roman" w:cs="Times New Roman"/>
                <w:color w:val="000000"/>
                <w:szCs w:val="20"/>
              </w:rPr>
              <w:t>$</w:t>
            </w:r>
            <w:r w:rsidR="00177267">
              <w:rPr>
                <w:rFonts w:eastAsia="Times New Roman" w:cs="Times New Roman"/>
                <w:noProof/>
                <w:color w:val="000000"/>
                <w:szCs w:val="20"/>
                <w:highlight w:val="black"/>
              </w:rPr>
              <w:t>'''''''''''''''''''''''''</w:t>
            </w:r>
          </w:p>
        </w:tc>
        <w:tc>
          <w:tcPr>
            <w:tcW w:w="647" w:type="pct"/>
            <w:shd w:val="clear" w:color="auto" w:fill="B8CCE4" w:themeFill="accent1" w:themeFillTint="66"/>
            <w:vAlign w:val="bottom"/>
          </w:tcPr>
          <w:p w:rsidR="00093849" w:rsidRPr="002C62BF" w:rsidRDefault="00093849" w:rsidP="00921A1D">
            <w:pPr>
              <w:pStyle w:val="TableText0"/>
              <w:jc w:val="center"/>
            </w:pPr>
            <w:r w:rsidRPr="002C62BF">
              <w:rPr>
                <w:rFonts w:eastAsia="Times New Roman" w:cs="Times New Roman"/>
                <w:color w:val="000000"/>
                <w:szCs w:val="20"/>
              </w:rPr>
              <w:t>$</w:t>
            </w:r>
            <w:r w:rsidR="00177267">
              <w:rPr>
                <w:rFonts w:eastAsia="Times New Roman" w:cs="Times New Roman"/>
                <w:noProof/>
                <w:color w:val="000000"/>
                <w:szCs w:val="20"/>
                <w:highlight w:val="black"/>
              </w:rPr>
              <w:t>'''''''''''''''''''''''''</w:t>
            </w:r>
          </w:p>
        </w:tc>
        <w:tc>
          <w:tcPr>
            <w:tcW w:w="647" w:type="pct"/>
            <w:shd w:val="clear" w:color="auto" w:fill="B8CCE4" w:themeFill="accent1" w:themeFillTint="66"/>
            <w:vAlign w:val="bottom"/>
          </w:tcPr>
          <w:p w:rsidR="00093849" w:rsidRPr="002C62BF" w:rsidRDefault="00093849" w:rsidP="00921A1D">
            <w:pPr>
              <w:pStyle w:val="TableText0"/>
              <w:jc w:val="center"/>
            </w:pPr>
            <w:r w:rsidRPr="002C62BF">
              <w:rPr>
                <w:rFonts w:eastAsia="Times New Roman" w:cs="Times New Roman"/>
                <w:color w:val="000000"/>
                <w:szCs w:val="20"/>
              </w:rPr>
              <w:t>$</w:t>
            </w:r>
            <w:r w:rsidR="00177267">
              <w:rPr>
                <w:rFonts w:eastAsia="Times New Roman" w:cs="Times New Roman"/>
                <w:noProof/>
                <w:color w:val="000000"/>
                <w:szCs w:val="20"/>
                <w:highlight w:val="black"/>
              </w:rPr>
              <w:t>'''''''''''''''''''''''''</w:t>
            </w:r>
          </w:p>
        </w:tc>
        <w:tc>
          <w:tcPr>
            <w:tcW w:w="649" w:type="pct"/>
            <w:shd w:val="clear" w:color="auto" w:fill="B8CCE4" w:themeFill="accent1" w:themeFillTint="66"/>
            <w:vAlign w:val="bottom"/>
          </w:tcPr>
          <w:p w:rsidR="00093849" w:rsidRPr="002C62BF" w:rsidRDefault="00093849" w:rsidP="00921A1D">
            <w:pPr>
              <w:pStyle w:val="TableText0"/>
              <w:jc w:val="center"/>
            </w:pPr>
            <w:r w:rsidRPr="002C62BF">
              <w:rPr>
                <w:rFonts w:eastAsia="Times New Roman" w:cs="Times New Roman"/>
                <w:color w:val="000000"/>
                <w:szCs w:val="20"/>
              </w:rPr>
              <w:t>$</w:t>
            </w:r>
            <w:r w:rsidR="00177267">
              <w:rPr>
                <w:rFonts w:eastAsia="Times New Roman" w:cs="Times New Roman"/>
                <w:noProof/>
                <w:color w:val="000000"/>
                <w:szCs w:val="20"/>
                <w:highlight w:val="black"/>
              </w:rPr>
              <w:t>'''''''''''''''''''''''''''</w:t>
            </w:r>
          </w:p>
        </w:tc>
      </w:tr>
    </w:tbl>
    <w:p w:rsidR="00093849" w:rsidRPr="002C62BF" w:rsidRDefault="00093849" w:rsidP="00093849">
      <w:pPr>
        <w:pStyle w:val="TableFigureFooter"/>
        <w:rPr>
          <w:rStyle w:val="CommentReference"/>
          <w:b w:val="0"/>
          <w:sz w:val="18"/>
          <w:szCs w:val="22"/>
        </w:rPr>
      </w:pPr>
      <w:r w:rsidRPr="002C62BF">
        <w:t>Source: Table 4.9, p87, Table 4.10, p88 and Table 4.22, p96 of the resubmission; Table 4.2.4, pp140-141 of the November 2017 submission</w:t>
      </w:r>
    </w:p>
    <w:p w:rsidR="007F51B8" w:rsidRDefault="00093849" w:rsidP="007F51B8">
      <w:pPr>
        <w:pStyle w:val="TableFigureFooter"/>
        <w:tabs>
          <w:tab w:val="left" w:pos="284"/>
        </w:tabs>
      </w:pPr>
      <w:r w:rsidRPr="002C62BF">
        <w:rPr>
          <w:vertAlign w:val="superscript"/>
        </w:rPr>
        <w:t>a</w:t>
      </w:r>
      <w:r w:rsidRPr="002C62BF">
        <w:tab/>
        <w:t>Assuming 2 per year as estimated by the resubmission.</w:t>
      </w:r>
    </w:p>
    <w:p w:rsidR="00EB7FF5" w:rsidRDefault="00EB7FF5" w:rsidP="007F51B8">
      <w:pPr>
        <w:pStyle w:val="TableFigureFooter"/>
        <w:tabs>
          <w:tab w:val="left" w:pos="284"/>
        </w:tabs>
      </w:pPr>
    </w:p>
    <w:p w:rsidR="00EB7FF5" w:rsidRPr="00EB7FF5" w:rsidRDefault="00EB7FF5" w:rsidP="007F51B8">
      <w:pPr>
        <w:pStyle w:val="TableFigureFooter"/>
        <w:tabs>
          <w:tab w:val="left" w:pos="284"/>
        </w:tabs>
        <w:rPr>
          <w:rFonts w:ascii="Calibri" w:hAnsi="Calibri" w:cs="Calibri"/>
          <w:i/>
          <w:sz w:val="24"/>
          <w:szCs w:val="24"/>
        </w:rPr>
      </w:pPr>
      <w:r>
        <w:rPr>
          <w:rFonts w:ascii="Calibri" w:hAnsi="Calibri" w:cs="Calibri"/>
          <w:i/>
          <w:sz w:val="24"/>
          <w:szCs w:val="24"/>
        </w:rPr>
        <w:t xml:space="preserve">The redacted table shows that at Year 6, the estimated number of patients was 500 &lt; 5,000 and the net cost to the PBS would be $10 million to &lt; $20 million. The net cost to the PBS in the previous submission was estimated to be $40 million &lt; $50 million. </w:t>
      </w:r>
    </w:p>
    <w:p w:rsidR="007F51B8" w:rsidRPr="002C62BF" w:rsidRDefault="007F51B8" w:rsidP="007F51B8">
      <w:pPr>
        <w:pStyle w:val="3-BodyText"/>
        <w:rPr>
          <w:color w:val="000000" w:themeColor="text1"/>
        </w:rPr>
      </w:pPr>
      <w:r w:rsidRPr="002C62BF">
        <w:rPr>
          <w:color w:val="000000" w:themeColor="text1"/>
        </w:rPr>
        <w:t xml:space="preserve">The DUSC considered the estimates in the </w:t>
      </w:r>
      <w:r w:rsidR="00B83B3E" w:rsidRPr="002C62BF">
        <w:rPr>
          <w:color w:val="000000" w:themeColor="text1"/>
        </w:rPr>
        <w:t>re</w:t>
      </w:r>
      <w:r w:rsidRPr="002C62BF">
        <w:rPr>
          <w:color w:val="000000" w:themeColor="text1"/>
        </w:rPr>
        <w:t>submission were likely to be overestimated and identified the following main issues:</w:t>
      </w:r>
    </w:p>
    <w:p w:rsidR="007F51B8" w:rsidRPr="002C62BF" w:rsidRDefault="007F51B8" w:rsidP="007F51B8">
      <w:pPr>
        <w:pStyle w:val="ListParagraph"/>
        <w:numPr>
          <w:ilvl w:val="0"/>
          <w:numId w:val="18"/>
        </w:numPr>
        <w:spacing w:after="0"/>
        <w:contextualSpacing/>
      </w:pPr>
      <w:r w:rsidRPr="002C62BF">
        <w:t>The reliability of the estimates depends on the acceptance of the proposed PBS restriction of patients diagnosed in the last five years as a proxy for patients who are aged 50 years or younger.</w:t>
      </w:r>
    </w:p>
    <w:p w:rsidR="007F51B8" w:rsidRPr="002C62BF" w:rsidRDefault="007F51B8" w:rsidP="00567AAF">
      <w:pPr>
        <w:pStyle w:val="ListParagraph"/>
        <w:numPr>
          <w:ilvl w:val="0"/>
          <w:numId w:val="18"/>
        </w:numPr>
        <w:spacing w:after="0"/>
        <w:contextualSpacing/>
      </w:pPr>
      <w:r w:rsidRPr="002C62BF">
        <w:t xml:space="preserve">The incidence data </w:t>
      </w:r>
      <w:r w:rsidR="00B83B3E" w:rsidRPr="002C62BF">
        <w:t xml:space="preserve">(based on Ribbons 2017) </w:t>
      </w:r>
      <w:r w:rsidRPr="002C62BF">
        <w:t xml:space="preserve">reflects an area </w:t>
      </w:r>
      <w:r w:rsidR="00734BEF" w:rsidRPr="002C62BF">
        <w:t xml:space="preserve">(Newcastle region) </w:t>
      </w:r>
      <w:r w:rsidRPr="002C62BF">
        <w:t>of Australia with historically higher reported incidence of MS than other parts of Australia which may overestimate the incidence in Australia, however the linear increase in incidence has not been accounted for.</w:t>
      </w:r>
      <w:r w:rsidR="00FE28FD" w:rsidRPr="002C62BF">
        <w:t xml:space="preserve"> The pre-PBAC response stated </w:t>
      </w:r>
      <w:r w:rsidR="008E60F9" w:rsidRPr="002C62BF">
        <w:t>that the incidence rate applied (6.7/100,000) was based on previous DUSC advice.</w:t>
      </w:r>
      <w:r w:rsidR="00567AAF" w:rsidRPr="002C62BF">
        <w:t xml:space="preserve"> DUSC had previously </w:t>
      </w:r>
      <w:r w:rsidR="00702E00" w:rsidRPr="002C62BF">
        <w:t xml:space="preserve">stated that </w:t>
      </w:r>
      <w:r w:rsidR="00B83B3E" w:rsidRPr="002C62BF">
        <w:t>the incidence</w:t>
      </w:r>
      <w:r w:rsidR="00702E00" w:rsidRPr="002C62BF">
        <w:t xml:space="preserve"> rate applied </w:t>
      </w:r>
      <w:r w:rsidR="00567AAF" w:rsidRPr="002C62BF">
        <w:t xml:space="preserve">in November 2017 (2.4/100,000) </w:t>
      </w:r>
      <w:r w:rsidR="00702E00" w:rsidRPr="002C62BF">
        <w:t>was a possible underestimate</w:t>
      </w:r>
      <w:r w:rsidR="00567AAF" w:rsidRPr="002C62BF">
        <w:t xml:space="preserve"> and that there was ‘more recent data available from Ribbons 201</w:t>
      </w:r>
      <w:r w:rsidR="00B83B3E" w:rsidRPr="002C62BF">
        <w:t>7</w:t>
      </w:r>
      <w:r w:rsidR="00567AAF" w:rsidRPr="002C62BF">
        <w:t xml:space="preserve"> based on the Newcastle population which had a much higher prevalence estimate’. The PBAC considered that the estimated applied in the resubmission was likely an overestimate. </w:t>
      </w:r>
    </w:p>
    <w:p w:rsidR="007F51B8" w:rsidRPr="002C62BF" w:rsidRDefault="007F51B8" w:rsidP="007F51B8">
      <w:pPr>
        <w:pStyle w:val="ListParagraph"/>
        <w:numPr>
          <w:ilvl w:val="0"/>
          <w:numId w:val="18"/>
        </w:numPr>
        <w:spacing w:after="0"/>
        <w:contextualSpacing/>
      </w:pPr>
      <w:r w:rsidRPr="002C62BF">
        <w:t xml:space="preserve">The resubmission’s estimate of patient eligibility (44%) was based on the proportion of people less than 50 years in the ORATORIO trial with active disease. DUSC </w:t>
      </w:r>
      <w:r w:rsidR="00734BEF" w:rsidRPr="002C62BF">
        <w:t>considered</w:t>
      </w:r>
      <w:r w:rsidRPr="002C62BF">
        <w:t xml:space="preserve"> that this was unlikely to be an accurate estimate of eligibility for several reasons: (i) the differences between the requested restriction and the ORATORIO </w:t>
      </w:r>
      <w:r w:rsidRPr="002C62BF">
        <w:lastRenderedPageBreak/>
        <w:t>subgroup population, (ii) the PBAC’s previous concerns that the ORATORIO trial (ITT population) did not reflect the Australian treatment setting in PPMS, and (iii) the fact that the proportion from an international trial with stringent inclusion criteria, would not be expected to have a distribution of patient characteristics comparable to the Australian population.</w:t>
      </w:r>
    </w:p>
    <w:p w:rsidR="007F51B8" w:rsidRPr="002C62BF" w:rsidRDefault="007F51B8" w:rsidP="00F10F0F">
      <w:pPr>
        <w:pStyle w:val="ListParagraph"/>
        <w:numPr>
          <w:ilvl w:val="0"/>
          <w:numId w:val="18"/>
        </w:numPr>
        <w:ind w:left="714" w:hanging="357"/>
      </w:pPr>
      <w:r w:rsidRPr="002C62BF">
        <w:t xml:space="preserve">The estimated continuation rate has been appropriately accounted for, however DUSC considered it </w:t>
      </w:r>
      <w:r w:rsidR="00734BEF" w:rsidRPr="002C62BF">
        <w:t>wa</w:t>
      </w:r>
      <w:r w:rsidRPr="002C62BF">
        <w:t>s inappropriate for the restriction to allow continuation of ocrelizumab treatment indefinitely. DUSC considered that a higher discontinuation rate should be applied if continuation criteria are included in the proposed PBS restriction.</w:t>
      </w:r>
    </w:p>
    <w:p w:rsidR="00567AAF" w:rsidRPr="002C62BF" w:rsidRDefault="00567AAF" w:rsidP="007F51B8">
      <w:pPr>
        <w:pStyle w:val="3-BodyText"/>
        <w:rPr>
          <w:rStyle w:val="CommentReference"/>
          <w:rFonts w:asciiTheme="minorHAnsi" w:hAnsiTheme="minorHAnsi" w:cstheme="minorHAnsi"/>
          <w:b w:val="0"/>
          <w:sz w:val="24"/>
          <w:szCs w:val="24"/>
        </w:rPr>
      </w:pPr>
      <w:r w:rsidRPr="002C62BF">
        <w:t xml:space="preserve">The submission </w:t>
      </w:r>
      <w:r w:rsidR="00E225BE" w:rsidRPr="002C62BF">
        <w:t xml:space="preserve">stated that, as of September 2019, </w:t>
      </w:r>
      <w:r w:rsidR="000C2725">
        <w:t>&lt;</w:t>
      </w:r>
      <w:r w:rsidR="00C26E62">
        <w:t> </w:t>
      </w:r>
      <w:r w:rsidR="000C2725">
        <w:t>500</w:t>
      </w:r>
      <w:r w:rsidRPr="002C62BF">
        <w:t xml:space="preserve"> patients </w:t>
      </w:r>
      <w:r w:rsidR="00E225BE" w:rsidRPr="002C62BF">
        <w:t xml:space="preserve">with PPMS were </w:t>
      </w:r>
      <w:r w:rsidRPr="002C62BF">
        <w:t>receiving treatment</w:t>
      </w:r>
      <w:r w:rsidR="00E225BE" w:rsidRPr="002C62BF">
        <w:t xml:space="preserve"> with ocrelizumab through a compassionate use program. The resubmission added the grandfather patients to the prevalent and incident populations. The DUSC considered that some of the grandfather patients would overlap the prevalent population. </w:t>
      </w:r>
    </w:p>
    <w:p w:rsidR="00576972" w:rsidRPr="002C62BF" w:rsidRDefault="00576972" w:rsidP="00A31036">
      <w:pPr>
        <w:pStyle w:val="4-SubsectionHeading"/>
      </w:pPr>
      <w:r w:rsidRPr="002C62BF">
        <w:t>Quality Use of Medicines</w:t>
      </w:r>
      <w:bookmarkEnd w:id="35"/>
      <w:bookmarkEnd w:id="36"/>
    </w:p>
    <w:p w:rsidR="00576972" w:rsidRPr="002C62BF" w:rsidRDefault="00B01D83" w:rsidP="00606FBA">
      <w:pPr>
        <w:pStyle w:val="3-BodyText"/>
        <w:rPr>
          <w:color w:val="000000" w:themeColor="text1"/>
        </w:rPr>
      </w:pPr>
      <w:r w:rsidRPr="002C62BF">
        <w:rPr>
          <w:color w:val="000000" w:themeColor="text1"/>
        </w:rPr>
        <w:t xml:space="preserve">No Quality Use of Medicines information </w:t>
      </w:r>
      <w:r w:rsidR="00F26748" w:rsidRPr="002C62BF">
        <w:rPr>
          <w:color w:val="000000" w:themeColor="text1"/>
        </w:rPr>
        <w:t>was</w:t>
      </w:r>
      <w:r w:rsidRPr="002C62BF">
        <w:rPr>
          <w:color w:val="000000" w:themeColor="text1"/>
        </w:rPr>
        <w:t xml:space="preserve"> presented. </w:t>
      </w:r>
    </w:p>
    <w:p w:rsidR="00576972" w:rsidRPr="002C62BF" w:rsidRDefault="00576972" w:rsidP="00606FBA">
      <w:pPr>
        <w:pStyle w:val="4-SubsectionHeading"/>
      </w:pPr>
      <w:bookmarkStart w:id="39" w:name="_Toc22897649"/>
      <w:bookmarkStart w:id="40" w:name="_Toc40873655"/>
      <w:r w:rsidRPr="002C62BF">
        <w:t>Financial Management – Risk Sharing Arrangements</w:t>
      </w:r>
      <w:bookmarkEnd w:id="39"/>
      <w:bookmarkEnd w:id="40"/>
    </w:p>
    <w:p w:rsidR="00FE28FD" w:rsidRPr="002C62BF" w:rsidRDefault="00B01D83" w:rsidP="00BA2C51">
      <w:pPr>
        <w:pStyle w:val="ListParagraph"/>
        <w:numPr>
          <w:ilvl w:val="1"/>
          <w:numId w:val="1"/>
        </w:numPr>
      </w:pPr>
      <w:r w:rsidRPr="002C62BF">
        <w:t xml:space="preserve">The resubmission proposed an RSA in the form of annual expenditure caps for ocrelizumab in PPMS with a </w:t>
      </w:r>
      <w:r w:rsidR="00177267">
        <w:rPr>
          <w:noProof/>
          <w:color w:val="000000"/>
          <w:highlight w:val="black"/>
        </w:rPr>
        <w:t>''''''''''''</w:t>
      </w:r>
      <w:r w:rsidRPr="002C62BF">
        <w:t xml:space="preserve"> rebate for any expenditure above the caps. The expenditure caps were proposed to be set at the forecast annual net cost to PBS/RPBS</w:t>
      </w:r>
      <w:r w:rsidR="00F35E20" w:rsidRPr="002C62BF">
        <w:t>.</w:t>
      </w:r>
      <w:r w:rsidR="00406AD0" w:rsidRPr="002C62BF">
        <w:t xml:space="preserve"> </w:t>
      </w:r>
      <w:r w:rsidR="00A335E2" w:rsidRPr="002C62BF">
        <w:t>The ESC noted</w:t>
      </w:r>
      <w:r w:rsidR="00406AD0" w:rsidRPr="002C62BF">
        <w:t xml:space="preserve"> net cost to the PBS will be overestimated (due to the offsets being underestimated) if patients with PPMS are accessing PBS listed treatment for RRMS</w:t>
      </w:r>
      <w:r w:rsidR="00734BEF" w:rsidRPr="002C62BF">
        <w:t>.</w:t>
      </w:r>
    </w:p>
    <w:p w:rsidR="00F76D91" w:rsidRPr="002C62BF" w:rsidRDefault="00FE28FD" w:rsidP="00FE28FD">
      <w:pPr>
        <w:pStyle w:val="ListParagraph"/>
        <w:numPr>
          <w:ilvl w:val="1"/>
          <w:numId w:val="1"/>
        </w:numPr>
      </w:pPr>
      <w:r w:rsidRPr="002C62BF">
        <w:t>At the PPMS Stakeholder meeting (December 2018), it was considered that MS is now widely recognised as a single disease rather than as RRMS, PPMS and secondary progressive MS (SPMS), with these terms having been developed prior to the availability of MRI. As such, there may be some overlap between patients currently being treated with PBS-subsidised therapies for RRMS (such as ocrelizumab) and the new PPMS population proposed for ocrelizumab. Given the degree of overlap, it may not be appropriate for ocrelizumab to have separate subsidy caps for the RRMS and P</w:t>
      </w:r>
      <w:r w:rsidR="003C126C">
        <w:t>P</w:t>
      </w:r>
      <w:r w:rsidRPr="002C62BF">
        <w:t>MS indications</w:t>
      </w:r>
      <w:r w:rsidR="002C62BF">
        <w:t xml:space="preserve">. </w:t>
      </w:r>
    </w:p>
    <w:p w:rsidR="00F76D91" w:rsidRPr="002C62BF" w:rsidRDefault="00F76D91" w:rsidP="00F76D91">
      <w:pPr>
        <w:pStyle w:val="ListParagraph"/>
        <w:ind w:left="709"/>
        <w:rPr>
          <w:i/>
        </w:rPr>
      </w:pPr>
      <w:r w:rsidRPr="002C62BF">
        <w:rPr>
          <w:i/>
        </w:rPr>
        <w:t>For more detail on PBAC’s view, see section 7 PBAC outcome.</w:t>
      </w:r>
    </w:p>
    <w:p w:rsidR="00752B64" w:rsidRPr="002C62BF" w:rsidRDefault="00752B64" w:rsidP="001649D3">
      <w:pPr>
        <w:keepNext/>
        <w:widowControl w:val="0"/>
        <w:numPr>
          <w:ilvl w:val="0"/>
          <w:numId w:val="1"/>
        </w:numPr>
        <w:spacing w:before="240" w:after="120"/>
        <w:outlineLvl w:val="0"/>
        <w:rPr>
          <w:rFonts w:asciiTheme="minorHAnsi" w:hAnsiTheme="minorHAnsi"/>
          <w:b/>
          <w:bCs/>
          <w:snapToGrid w:val="0"/>
          <w:sz w:val="32"/>
        </w:rPr>
      </w:pPr>
      <w:r w:rsidRPr="002C62BF">
        <w:rPr>
          <w:rFonts w:asciiTheme="minorHAnsi" w:hAnsiTheme="minorHAnsi"/>
          <w:b/>
          <w:bCs/>
          <w:snapToGrid w:val="0"/>
          <w:sz w:val="32"/>
        </w:rPr>
        <w:t>PBAC Outcome</w:t>
      </w:r>
    </w:p>
    <w:p w:rsidR="00FC259F" w:rsidRPr="00A57E21" w:rsidRDefault="00FC259F" w:rsidP="00FC259F">
      <w:pPr>
        <w:pStyle w:val="3-BodyText"/>
        <w:rPr>
          <w:lang w:val="en-GB"/>
        </w:rPr>
      </w:pPr>
      <w:r w:rsidRPr="00A57E21">
        <w:rPr>
          <w:lang w:val="en-GB"/>
        </w:rPr>
        <w:t xml:space="preserve">The PBAC did not recommend extending the Section 100 (Highly Specialised Drugs Program – Public and Private Hospitals) listing of ocrelizumab to include </w:t>
      </w:r>
      <w:r w:rsidR="00934917">
        <w:rPr>
          <w:lang w:val="en-GB"/>
        </w:rPr>
        <w:t xml:space="preserve">the </w:t>
      </w:r>
      <w:r w:rsidRPr="00A57E21">
        <w:rPr>
          <w:lang w:val="en-GB"/>
        </w:rPr>
        <w:t xml:space="preserve">treatment of patients with early (diagnosed within the past five years), MRI-active primary progressive multiple sclerosis (PPMS). </w:t>
      </w:r>
      <w:r>
        <w:rPr>
          <w:lang w:val="en-GB"/>
        </w:rPr>
        <w:t>T</w:t>
      </w:r>
      <w:r w:rsidRPr="002308A0">
        <w:rPr>
          <w:lang w:val="en-GB"/>
        </w:rPr>
        <w:t xml:space="preserve">he PBAC considered </w:t>
      </w:r>
      <w:r>
        <w:rPr>
          <w:lang w:val="en-GB"/>
        </w:rPr>
        <w:t>that the</w:t>
      </w:r>
      <w:r w:rsidRPr="002308A0">
        <w:rPr>
          <w:lang w:val="en-GB"/>
        </w:rPr>
        <w:t xml:space="preserve"> key subgroup analysis </w:t>
      </w:r>
      <w:r>
        <w:rPr>
          <w:lang w:val="en-GB"/>
        </w:rPr>
        <w:t xml:space="preserve">that was </w:t>
      </w:r>
      <w:r w:rsidRPr="002308A0">
        <w:rPr>
          <w:lang w:val="en-GB"/>
        </w:rPr>
        <w:t>relied on in the submission</w:t>
      </w:r>
      <w:r>
        <w:rPr>
          <w:lang w:val="en-GB"/>
        </w:rPr>
        <w:t xml:space="preserve"> was inconsistent with the </w:t>
      </w:r>
      <w:r w:rsidRPr="002308A0">
        <w:rPr>
          <w:lang w:val="en-GB"/>
        </w:rPr>
        <w:t>requested</w:t>
      </w:r>
      <w:r>
        <w:rPr>
          <w:lang w:val="en-GB"/>
        </w:rPr>
        <w:t xml:space="preserve"> PBS</w:t>
      </w:r>
      <w:r w:rsidRPr="002308A0">
        <w:rPr>
          <w:lang w:val="en-GB"/>
        </w:rPr>
        <w:t xml:space="preserve"> </w:t>
      </w:r>
      <w:r w:rsidR="005A7BAD">
        <w:rPr>
          <w:lang w:val="en-GB"/>
        </w:rPr>
        <w:lastRenderedPageBreak/>
        <w:t xml:space="preserve">population </w:t>
      </w:r>
      <w:r w:rsidRPr="00955A99">
        <w:rPr>
          <w:lang w:val="en-GB"/>
        </w:rPr>
        <w:t>which led to difficulties in assessing the cost-effectiveness of ocrelizumab.</w:t>
      </w:r>
      <w:r w:rsidRPr="002308A0">
        <w:rPr>
          <w:lang w:val="en-GB"/>
        </w:rPr>
        <w:t xml:space="preserve"> </w:t>
      </w:r>
      <w:r>
        <w:rPr>
          <w:bCs/>
          <w:lang w:val="en-GB"/>
        </w:rPr>
        <w:t>The PBAC considered that the economic model had likely underestimated the ICER as the likely treatment effect and nursing home care costs had been overestimated.</w:t>
      </w:r>
    </w:p>
    <w:p w:rsidR="00FC259F" w:rsidRPr="0034280B" w:rsidRDefault="00FC259F" w:rsidP="00FC259F">
      <w:pPr>
        <w:pStyle w:val="3-BodyText"/>
        <w:rPr>
          <w:lang w:val="en-GB"/>
        </w:rPr>
      </w:pPr>
      <w:r>
        <w:rPr>
          <w:lang w:val="en-GB"/>
        </w:rPr>
        <w:t xml:space="preserve">The PBAC considered there is a high clinical need for effective therapies for PPMS. The PBAC acknowledged the comments from consumers, health professionals and organisations. The comments from patients outlined the benefits that </w:t>
      </w:r>
      <w:r w:rsidRPr="00C676D7">
        <w:rPr>
          <w:bCs/>
          <w:lang w:val="en-GB"/>
        </w:rPr>
        <w:t>slowing the progression of disability</w:t>
      </w:r>
      <w:r>
        <w:rPr>
          <w:bCs/>
          <w:lang w:val="en-GB"/>
        </w:rPr>
        <w:t xml:space="preserve"> can have on quality of life</w:t>
      </w:r>
      <w:r>
        <w:rPr>
          <w:lang w:val="en-GB"/>
        </w:rPr>
        <w:t xml:space="preserve">. </w:t>
      </w:r>
      <w:r>
        <w:rPr>
          <w:bCs/>
        </w:rPr>
        <w:t xml:space="preserve">The PBAC also noted the advice received from the Australian and New Zealand Association of Neurologists which outlined that the greatest gains with ocrelizumab treatment were likely to be in patients with earlier, MRI-active disease and supported the listing of ocrelizumab for this cohort of PPMS patients. </w:t>
      </w:r>
    </w:p>
    <w:p w:rsidR="00FC259F" w:rsidRDefault="00FC259F" w:rsidP="00FC259F">
      <w:pPr>
        <w:pStyle w:val="3-BodyText"/>
        <w:rPr>
          <w:lang w:val="en-GB"/>
        </w:rPr>
      </w:pPr>
      <w:r>
        <w:rPr>
          <w:lang w:val="en-GB"/>
        </w:rPr>
        <w:t xml:space="preserve">The PBAC considered </w:t>
      </w:r>
      <w:r>
        <w:rPr>
          <w:bCs/>
          <w:lang w:val="en-GB"/>
        </w:rPr>
        <w:t>t</w:t>
      </w:r>
      <w:r w:rsidRPr="00A57E21">
        <w:rPr>
          <w:bCs/>
          <w:lang w:val="en-GB"/>
        </w:rPr>
        <w:t>he requested restriction for patients with active PPMS within the past 12 months and a PPMS diagnosis in the past 5 years</w:t>
      </w:r>
      <w:r>
        <w:rPr>
          <w:bCs/>
          <w:lang w:val="en-GB"/>
        </w:rPr>
        <w:t xml:space="preserve"> to be appropriate and consistent with the advice of stakeholders</w:t>
      </w:r>
      <w:r w:rsidRPr="00A57E21">
        <w:rPr>
          <w:bCs/>
          <w:lang w:val="en-GB"/>
        </w:rPr>
        <w:t xml:space="preserve">. </w:t>
      </w:r>
      <w:r>
        <w:rPr>
          <w:lang w:val="en-GB"/>
        </w:rPr>
        <w:t>The PBAC agreed with the submission that it was more appropriate to define the patient population on the basis of time since diagnosis as restricting access to ocrelizumab on the basis of age would be inequitable.</w:t>
      </w:r>
    </w:p>
    <w:p w:rsidR="00FC259F" w:rsidRPr="007F4DAB" w:rsidRDefault="00FC259F" w:rsidP="00FC259F">
      <w:pPr>
        <w:pStyle w:val="3-BodyText"/>
        <w:rPr>
          <w:bCs/>
          <w:lang w:val="en-GB"/>
        </w:rPr>
      </w:pPr>
      <w:r w:rsidRPr="00685C52">
        <w:t xml:space="preserve">The proposed continuing restriction </w:t>
      </w:r>
      <w:r>
        <w:t>did not include criteria</w:t>
      </w:r>
      <w:r w:rsidRPr="00685C52">
        <w:t xml:space="preserve"> for measuring response or assessing appropriateness for continuing therapy</w:t>
      </w:r>
      <w:r>
        <w:t xml:space="preserve"> </w:t>
      </w:r>
      <w:r w:rsidRPr="002C62BF">
        <w:t xml:space="preserve">(‘stopping rule’) </w:t>
      </w:r>
      <w:r>
        <w:t xml:space="preserve">despite the </w:t>
      </w:r>
      <w:r w:rsidRPr="00507E4D">
        <w:rPr>
          <w:bCs/>
          <w:lang w:val="en-GB"/>
        </w:rPr>
        <w:t>PPMS Stakeholder meeting (December 2018) stating that ‘i</w:t>
      </w:r>
      <w:r>
        <w:t xml:space="preserve">t may be appropriate to consider treatment discontinuation for patients who continue to decline on treatment, although given the variable disease course, the decline may need to be assessed over a 12-24 month period’ and ‘could possibly be based on the EDSS (e.g. a change of 0.5-1 over a relatively short period), or, deterioration in upper limb function, or, deterioration in cognition’. </w:t>
      </w:r>
      <w:r w:rsidRPr="00507E4D">
        <w:rPr>
          <w:bCs/>
          <w:lang w:val="en-GB"/>
        </w:rPr>
        <w:t>The p</w:t>
      </w:r>
      <w:r w:rsidRPr="007F4DAB">
        <w:rPr>
          <w:bCs/>
          <w:lang w:val="en-GB"/>
        </w:rPr>
        <w:t xml:space="preserve">re-PBAC response proposed a </w:t>
      </w:r>
      <w:r w:rsidR="001C77FB">
        <w:rPr>
          <w:bCs/>
          <w:lang w:val="en-GB"/>
        </w:rPr>
        <w:t>stopping rule</w:t>
      </w:r>
      <w:r w:rsidRPr="007F4DAB">
        <w:rPr>
          <w:bCs/>
          <w:lang w:val="en-GB"/>
        </w:rPr>
        <w:t xml:space="preserve"> based on sustained loss of upper limb function and the PBAC recalled that clinical stakeholders had highlighted the importance of upper limb function for patient quality of life at the PPMS Stakeholder meeting (December 2018). </w:t>
      </w:r>
      <w:r w:rsidRPr="00AF0706">
        <w:rPr>
          <w:bCs/>
          <w:lang w:val="en-GB"/>
        </w:rPr>
        <w:t xml:space="preserve">The PBAC considered that, while </w:t>
      </w:r>
      <w:r w:rsidRPr="00507E4D">
        <w:rPr>
          <w:bCs/>
          <w:lang w:val="en-GB"/>
        </w:rPr>
        <w:t xml:space="preserve">sustained loss of upper limb function may be an appropriate </w:t>
      </w:r>
      <w:r w:rsidR="001C77FB">
        <w:rPr>
          <w:bCs/>
          <w:lang w:val="en-GB"/>
        </w:rPr>
        <w:t>basis for a stopping rule</w:t>
      </w:r>
      <w:r w:rsidRPr="00507E4D">
        <w:rPr>
          <w:bCs/>
          <w:lang w:val="en-GB"/>
        </w:rPr>
        <w:t xml:space="preserve">, the magnitude of the clinical benefit with ocrelizumab was unclear once a patient’s disease progresses above EDSS 6.5. </w:t>
      </w:r>
      <w:r w:rsidRPr="007F4DAB">
        <w:rPr>
          <w:bCs/>
          <w:lang w:val="en-GB"/>
        </w:rPr>
        <w:t xml:space="preserve">The PBAC </w:t>
      </w:r>
      <w:r>
        <w:rPr>
          <w:bCs/>
          <w:lang w:val="en-GB"/>
        </w:rPr>
        <w:t>advised</w:t>
      </w:r>
      <w:r w:rsidRPr="007F4DAB">
        <w:rPr>
          <w:bCs/>
          <w:lang w:val="en-GB"/>
        </w:rPr>
        <w:t xml:space="preserve"> that </w:t>
      </w:r>
      <w:r>
        <w:rPr>
          <w:bCs/>
          <w:lang w:val="en-GB"/>
        </w:rPr>
        <w:t>input from stakeholders could be used to better define the</w:t>
      </w:r>
      <w:r w:rsidRPr="007F4DAB">
        <w:rPr>
          <w:bCs/>
          <w:lang w:val="en-GB"/>
        </w:rPr>
        <w:t xml:space="preserve"> </w:t>
      </w:r>
      <w:r w:rsidR="001C77FB">
        <w:rPr>
          <w:bCs/>
          <w:lang w:val="en-GB"/>
        </w:rPr>
        <w:t>stopping rule</w:t>
      </w:r>
      <w:r w:rsidRPr="007F4DAB">
        <w:rPr>
          <w:bCs/>
          <w:lang w:val="en-GB"/>
        </w:rPr>
        <w:t xml:space="preserve">. </w:t>
      </w:r>
    </w:p>
    <w:p w:rsidR="00FC259F" w:rsidRPr="00CA5A45" w:rsidRDefault="00FC259F" w:rsidP="00FC259F">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reaffirmed its view expressed in November 2017 that the best supportive care, as nominated in the original submission and current resubmission, was the appropriate comparator.</w:t>
      </w:r>
      <w:r w:rsidRPr="00CA5A45">
        <w:rPr>
          <w:rFonts w:asciiTheme="minorHAnsi" w:hAnsiTheme="minorHAnsi"/>
          <w:bCs/>
          <w:snapToGrid w:val="0"/>
          <w:lang w:val="en-GB"/>
        </w:rPr>
        <w:t xml:space="preserve"> </w:t>
      </w:r>
    </w:p>
    <w:p w:rsidR="00FC259F" w:rsidRDefault="00FC259F" w:rsidP="001C77FB">
      <w:pPr>
        <w:pStyle w:val="3-BodyText"/>
        <w:rPr>
          <w:lang w:val="en-GB"/>
        </w:rPr>
      </w:pPr>
      <w:r>
        <w:rPr>
          <w:lang w:val="en-GB"/>
        </w:rPr>
        <w:t>Compared with the previous submission</w:t>
      </w:r>
      <w:r w:rsidR="00934917">
        <w:rPr>
          <w:lang w:val="en-GB"/>
        </w:rPr>
        <w:t>,</w:t>
      </w:r>
      <w:r>
        <w:rPr>
          <w:lang w:val="en-GB"/>
        </w:rPr>
        <w:t xml:space="preserve"> no new clinical trials were presented. The resubmission relied on</w:t>
      </w:r>
      <w:r w:rsidR="001C77FB">
        <w:rPr>
          <w:lang w:val="en-GB"/>
        </w:rPr>
        <w:t xml:space="preserve"> a</w:t>
      </w:r>
      <w:r>
        <w:rPr>
          <w:lang w:val="en-GB"/>
        </w:rPr>
        <w:t xml:space="preserve"> new </w:t>
      </w:r>
      <w:r w:rsidRPr="002D1DC8">
        <w:rPr>
          <w:i/>
          <w:lang w:val="en-GB"/>
        </w:rPr>
        <w:t>post-hoc</w:t>
      </w:r>
      <w:r>
        <w:rPr>
          <w:lang w:val="en-GB"/>
        </w:rPr>
        <w:t xml:space="preserve"> subgroup analys</w:t>
      </w:r>
      <w:r w:rsidR="001C77FB">
        <w:rPr>
          <w:lang w:val="en-GB"/>
        </w:rPr>
        <w:t>i</w:t>
      </w:r>
      <w:r>
        <w:rPr>
          <w:lang w:val="en-GB"/>
        </w:rPr>
        <w:t xml:space="preserve">s of the ORATORIO trial, based on </w:t>
      </w:r>
      <w:r>
        <w:rPr>
          <w:bCs/>
          <w:lang w:val="en-GB"/>
        </w:rPr>
        <w:t xml:space="preserve">the ‘MRI-active plus </w:t>
      </w:r>
      <w:r>
        <w:rPr>
          <w:lang w:val="en-GB"/>
        </w:rPr>
        <w:t xml:space="preserve">age </w:t>
      </w:r>
      <w:r>
        <w:rPr>
          <w:rFonts w:cstheme="minorHAnsi"/>
          <w:lang w:val="en-GB"/>
        </w:rPr>
        <w:t>≤ </w:t>
      </w:r>
      <w:r>
        <w:rPr>
          <w:lang w:val="en-GB"/>
        </w:rPr>
        <w:t xml:space="preserve">50 years’ subgroup. The PBAC noted that this subgroup was not consistent with the population defined by the requested restriction </w:t>
      </w:r>
      <w:r>
        <w:rPr>
          <w:bCs/>
          <w:lang w:val="en-GB"/>
        </w:rPr>
        <w:t xml:space="preserve">(patients with active </w:t>
      </w:r>
      <w:r w:rsidRPr="00A57E21">
        <w:rPr>
          <w:bCs/>
          <w:lang w:val="en-GB"/>
        </w:rPr>
        <w:t>PPMS within the past 12 months and a PPMS diagnosis in the past 5 years</w:t>
      </w:r>
      <w:r>
        <w:rPr>
          <w:bCs/>
          <w:lang w:val="en-GB"/>
        </w:rPr>
        <w:t>)</w:t>
      </w:r>
      <w:r w:rsidRPr="00A57E21">
        <w:rPr>
          <w:bCs/>
          <w:lang w:val="en-GB"/>
        </w:rPr>
        <w:t xml:space="preserve">. </w:t>
      </w:r>
    </w:p>
    <w:p w:rsidR="00FC259F" w:rsidRPr="007C514A" w:rsidRDefault="00FC259F" w:rsidP="00FC259F">
      <w:pPr>
        <w:widowControl w:val="0"/>
        <w:numPr>
          <w:ilvl w:val="1"/>
          <w:numId w:val="1"/>
        </w:numPr>
        <w:spacing w:after="120"/>
        <w:rPr>
          <w:lang w:val="en-GB"/>
        </w:rPr>
      </w:pPr>
      <w:r w:rsidRPr="007C514A">
        <w:rPr>
          <w:lang w:val="en-GB"/>
        </w:rPr>
        <w:t>The PBAC noted that the subgroup used was consistent with the patient characteristics it had identified as being likely treatment effect modifiers (</w:t>
      </w:r>
      <w:r w:rsidRPr="007C514A">
        <w:rPr>
          <w:bCs/>
          <w:lang w:val="en-GB"/>
        </w:rPr>
        <w:t>age or MRI-</w:t>
      </w:r>
      <w:r w:rsidRPr="007C514A">
        <w:rPr>
          <w:bCs/>
          <w:lang w:val="en-GB"/>
        </w:rPr>
        <w:lastRenderedPageBreak/>
        <w:t xml:space="preserve">active disease) </w:t>
      </w:r>
      <w:r w:rsidRPr="007C514A">
        <w:rPr>
          <w:lang w:val="en-GB"/>
        </w:rPr>
        <w:t>in November 2017.</w:t>
      </w:r>
      <w:r w:rsidRPr="00B95DE5">
        <w:t xml:space="preserve"> </w:t>
      </w:r>
      <w:r>
        <w:t xml:space="preserve">Further, the </w:t>
      </w:r>
      <w:r w:rsidRPr="00B95DE5">
        <w:t xml:space="preserve">PPMS Stakeholder meeting (December </w:t>
      </w:r>
      <w:r w:rsidRPr="00B95DE5">
        <w:rPr>
          <w:lang w:eastAsia="en-US"/>
        </w:rPr>
        <w:t>2018</w:t>
      </w:r>
      <w:r w:rsidRPr="00B95DE5">
        <w:t>)</w:t>
      </w:r>
      <w:r w:rsidR="00C77721">
        <w:t xml:space="preserve"> found that </w:t>
      </w:r>
      <w:r w:rsidR="00C77721" w:rsidRPr="007C514A">
        <w:rPr>
          <w:bCs/>
          <w:lang w:val="en-GB"/>
        </w:rPr>
        <w:t>patients</w:t>
      </w:r>
      <w:r w:rsidRPr="007C514A">
        <w:rPr>
          <w:bCs/>
          <w:lang w:val="en-GB"/>
        </w:rPr>
        <w:t xml:space="preserve"> generally benefit most from treatment in the active inflammatory disease phase of PPMS which generally occurs early in the disease </w:t>
      </w:r>
      <w:r w:rsidRPr="007C514A">
        <w:rPr>
          <w:lang w:eastAsia="en-US"/>
        </w:rPr>
        <w:t>course</w:t>
      </w:r>
      <w:r>
        <w:rPr>
          <w:lang w:eastAsia="en-US"/>
        </w:rPr>
        <w:t>.</w:t>
      </w:r>
      <w:r w:rsidRPr="007C514A">
        <w:rPr>
          <w:lang w:eastAsia="en-US"/>
        </w:rPr>
        <w:t xml:space="preserve"> However, the PBAC considered that the resubmission had not adequately</w:t>
      </w:r>
      <w:r w:rsidRPr="007C514A">
        <w:rPr>
          <w:lang w:val="en-GB"/>
        </w:rPr>
        <w:t xml:space="preserve"> established a relationship between patient age and early disease/time since diagnosis with regards to treatment effect. </w:t>
      </w:r>
      <w:r w:rsidRPr="005A6621">
        <w:rPr>
          <w:bCs/>
          <w:lang w:val="en-GB"/>
        </w:rPr>
        <w:t xml:space="preserve">The PBAC noted that time since symptom onset was a pre-specified subgroup analysis in the ORATORIO trial and considered that the submission had not adequately justified use of </w:t>
      </w:r>
      <w:r>
        <w:rPr>
          <w:bCs/>
          <w:lang w:val="en-GB"/>
        </w:rPr>
        <w:t xml:space="preserve">clinical data based on </w:t>
      </w:r>
      <w:r w:rsidRPr="005A6621">
        <w:rPr>
          <w:bCs/>
          <w:lang w:val="en-GB"/>
        </w:rPr>
        <w:t>age rather than time since symptom onset</w:t>
      </w:r>
      <w:r>
        <w:rPr>
          <w:bCs/>
          <w:lang w:val="en-GB"/>
        </w:rPr>
        <w:t xml:space="preserve">. </w:t>
      </w:r>
      <w:r w:rsidRPr="007C514A">
        <w:rPr>
          <w:lang w:val="en-GB"/>
        </w:rPr>
        <w:t xml:space="preserve">The PBAC acknowledged the pre-PBAC response’s claims that age may be associated with the underlying pathology and disease course of PPMS which supported use in early disease, but considered that </w:t>
      </w:r>
      <w:r w:rsidRPr="007C514A">
        <w:rPr>
          <w:bCs/>
          <w:lang w:val="en-GB"/>
        </w:rPr>
        <w:t xml:space="preserve">other factors related to age were possible drivers of the potential treatment effect modification in the patient age </w:t>
      </w:r>
      <w:r w:rsidRPr="007C514A">
        <w:rPr>
          <w:rFonts w:cs="Calibri"/>
          <w:bCs/>
          <w:lang w:val="en-GB"/>
        </w:rPr>
        <w:t>≤ </w:t>
      </w:r>
      <w:r w:rsidRPr="007C514A">
        <w:rPr>
          <w:bCs/>
          <w:lang w:val="en-GB"/>
        </w:rPr>
        <w:t>50 years subgroup.</w:t>
      </w:r>
      <w:r>
        <w:rPr>
          <w:bCs/>
          <w:lang w:val="en-GB"/>
        </w:rPr>
        <w:t xml:space="preserve"> </w:t>
      </w:r>
      <w:r w:rsidRPr="007C514A">
        <w:rPr>
          <w:lang w:val="en-GB"/>
        </w:rPr>
        <w:t>The PBAC noted that age was associated with a substantial reduction in the hazard ratio compared to MRI-activity alone.</w:t>
      </w:r>
    </w:p>
    <w:p w:rsidR="00FC259F" w:rsidRDefault="00FC259F" w:rsidP="00FC259F">
      <w:pPr>
        <w:widowControl w:val="0"/>
        <w:numPr>
          <w:ilvl w:val="1"/>
          <w:numId w:val="1"/>
        </w:numPr>
        <w:spacing w:after="120"/>
        <w:rPr>
          <w:bCs/>
          <w:lang w:val="en-GB"/>
        </w:rPr>
      </w:pPr>
      <w:r w:rsidRPr="007C514A">
        <w:rPr>
          <w:lang w:eastAsia="en-US"/>
        </w:rPr>
        <w:t xml:space="preserve">The PBAC noted the mean and median age of patients at PPMS diagnosis in Australia is about 46 years (based on the MS Base registry, 2020), which indicates the proposed PBS population will include a high proportion of patients aged over 50 years. </w:t>
      </w:r>
      <w:r>
        <w:rPr>
          <w:lang w:eastAsia="en-US"/>
        </w:rPr>
        <w:t>As such, it</w:t>
      </w:r>
      <w:r w:rsidRPr="00F80B9C">
        <w:rPr>
          <w:bCs/>
          <w:lang w:val="en-GB"/>
        </w:rPr>
        <w:t xml:space="preserve"> is possible that the requested restriction may encompass a population that is more consistent with the MRI-active subgroup of the ORATORIO trial, which the subgroup analyses indicated was associated with</w:t>
      </w:r>
      <w:r>
        <w:rPr>
          <w:bCs/>
          <w:lang w:val="en-GB"/>
        </w:rPr>
        <w:t>:</w:t>
      </w:r>
      <w:r w:rsidRPr="00F80B9C">
        <w:rPr>
          <w:bCs/>
          <w:lang w:val="en-GB"/>
        </w:rPr>
        <w:t xml:space="preserve"> </w:t>
      </w:r>
      <w:r>
        <w:rPr>
          <w:bCs/>
          <w:lang w:val="en-GB"/>
        </w:rPr>
        <w:t xml:space="preserve">(a) </w:t>
      </w:r>
      <w:r w:rsidRPr="00F80B9C">
        <w:rPr>
          <w:bCs/>
          <w:lang w:val="en-GB"/>
        </w:rPr>
        <w:t xml:space="preserve">a </w:t>
      </w:r>
      <w:r>
        <w:rPr>
          <w:bCs/>
          <w:lang w:val="en-GB"/>
        </w:rPr>
        <w:t>lesser</w:t>
      </w:r>
      <w:r w:rsidRPr="00F80B9C">
        <w:rPr>
          <w:bCs/>
          <w:lang w:val="en-GB"/>
        </w:rPr>
        <w:t xml:space="preserve"> treatment effect than the ‘MRI-active plus age </w:t>
      </w:r>
      <w:r>
        <w:rPr>
          <w:rFonts w:cstheme="minorHAnsi"/>
          <w:bCs/>
          <w:lang w:val="en-GB"/>
        </w:rPr>
        <w:t xml:space="preserve">≤ </w:t>
      </w:r>
      <w:r w:rsidRPr="00F80B9C">
        <w:rPr>
          <w:bCs/>
          <w:lang w:val="en-GB"/>
        </w:rPr>
        <w:t>50 years’ subgroup (</w:t>
      </w:r>
      <w:r w:rsidR="001C77FB">
        <w:rPr>
          <w:bCs/>
          <w:lang w:val="en-GB"/>
        </w:rPr>
        <w:t xml:space="preserve">the </w:t>
      </w:r>
      <w:r w:rsidRPr="00F80B9C">
        <w:rPr>
          <w:bCs/>
          <w:lang w:val="en-GB"/>
        </w:rPr>
        <w:t xml:space="preserve">HR for CDP-24 in the extended control period </w:t>
      </w:r>
      <w:r w:rsidR="001C77FB">
        <w:rPr>
          <w:bCs/>
          <w:lang w:val="en-GB"/>
        </w:rPr>
        <w:t xml:space="preserve">was </w:t>
      </w:r>
      <w:r w:rsidRPr="00F80B9C">
        <w:rPr>
          <w:bCs/>
          <w:lang w:val="en-GB"/>
        </w:rPr>
        <w:t xml:space="preserve">0.68 versus 0.53, </w:t>
      </w:r>
      <w:r>
        <w:rPr>
          <w:bCs/>
          <w:lang w:val="en-GB"/>
        </w:rPr>
        <w:t xml:space="preserve">for the </w:t>
      </w:r>
      <w:r w:rsidRPr="00F80B9C">
        <w:rPr>
          <w:bCs/>
          <w:lang w:val="en-GB"/>
        </w:rPr>
        <w:t xml:space="preserve">MRI-active </w:t>
      </w:r>
      <w:r>
        <w:rPr>
          <w:bCs/>
          <w:lang w:val="en-GB"/>
        </w:rPr>
        <w:t>and the ‘</w:t>
      </w:r>
      <w:r w:rsidRPr="00F80B9C">
        <w:rPr>
          <w:bCs/>
          <w:lang w:val="en-GB"/>
        </w:rPr>
        <w:t xml:space="preserve">MRI-active plus age </w:t>
      </w:r>
      <w:r>
        <w:rPr>
          <w:rFonts w:cstheme="minorHAnsi"/>
          <w:bCs/>
          <w:lang w:val="en-GB"/>
        </w:rPr>
        <w:t xml:space="preserve">≤ </w:t>
      </w:r>
      <w:r w:rsidRPr="00F80B9C">
        <w:rPr>
          <w:bCs/>
          <w:lang w:val="en-GB"/>
        </w:rPr>
        <w:t>50 years’ subgroup</w:t>
      </w:r>
      <w:r>
        <w:rPr>
          <w:bCs/>
          <w:lang w:val="en-GB"/>
        </w:rPr>
        <w:t>s</w:t>
      </w:r>
      <w:r w:rsidRPr="00F80B9C">
        <w:rPr>
          <w:bCs/>
          <w:lang w:val="en-GB"/>
        </w:rPr>
        <w:t xml:space="preserve"> respectively)</w:t>
      </w:r>
      <w:r>
        <w:rPr>
          <w:bCs/>
          <w:lang w:val="en-GB"/>
        </w:rPr>
        <w:t>; and (b) a similar</w:t>
      </w:r>
      <w:r w:rsidRPr="00F83F57">
        <w:rPr>
          <w:bCs/>
          <w:lang w:val="en-GB"/>
        </w:rPr>
        <w:t xml:space="preserve"> </w:t>
      </w:r>
      <w:r w:rsidRPr="00F80B9C">
        <w:rPr>
          <w:bCs/>
          <w:lang w:val="en-GB"/>
        </w:rPr>
        <w:t>treatment effect</w:t>
      </w:r>
      <w:r>
        <w:rPr>
          <w:bCs/>
          <w:lang w:val="en-GB"/>
        </w:rPr>
        <w:t xml:space="preserve"> to the ITT population, which the PBAC previously considered to be modest (HR of </w:t>
      </w:r>
      <w:r w:rsidRPr="001119CB">
        <w:rPr>
          <w:bCs/>
          <w:lang w:val="en-GB"/>
        </w:rPr>
        <w:t>0.68 v</w:t>
      </w:r>
      <w:r>
        <w:rPr>
          <w:bCs/>
          <w:lang w:val="en-GB"/>
        </w:rPr>
        <w:t>ersus</w:t>
      </w:r>
      <w:r w:rsidRPr="001119CB">
        <w:rPr>
          <w:bCs/>
          <w:lang w:val="en-GB"/>
        </w:rPr>
        <w:t xml:space="preserve"> 0.70 in the ITT population)</w:t>
      </w:r>
      <w:r>
        <w:rPr>
          <w:bCs/>
          <w:lang w:val="en-GB"/>
        </w:rPr>
        <w:t>.</w:t>
      </w:r>
      <w:r w:rsidRPr="001119CB">
        <w:rPr>
          <w:bCs/>
          <w:lang w:val="en-GB"/>
        </w:rPr>
        <w:t xml:space="preserve"> </w:t>
      </w:r>
    </w:p>
    <w:p w:rsidR="00FC259F" w:rsidRPr="00EF63BB" w:rsidRDefault="00FC259F" w:rsidP="00FC259F">
      <w:pPr>
        <w:pStyle w:val="3-BodyText"/>
        <w:rPr>
          <w:bCs/>
          <w:lang w:val="en-GB"/>
        </w:rPr>
      </w:pPr>
      <w:r>
        <w:rPr>
          <w:lang w:val="en-GB"/>
        </w:rPr>
        <w:t xml:space="preserve">Overall, the PBAC considered that </w:t>
      </w:r>
      <w:r w:rsidRPr="0047655C">
        <w:rPr>
          <w:lang w:val="en-GB"/>
        </w:rPr>
        <w:t xml:space="preserve">the applicability of the results for </w:t>
      </w:r>
      <w:r>
        <w:rPr>
          <w:lang w:val="en-GB"/>
        </w:rPr>
        <w:t xml:space="preserve">the identified </w:t>
      </w:r>
      <w:r w:rsidRPr="0047655C">
        <w:rPr>
          <w:lang w:val="en-GB"/>
        </w:rPr>
        <w:t>subgroup to the requested listing was not adequately justified</w:t>
      </w:r>
      <w:r>
        <w:rPr>
          <w:lang w:val="en-GB"/>
        </w:rPr>
        <w:t xml:space="preserve"> and agreed with the ESC that the result for the subgroup was </w:t>
      </w:r>
      <w:r w:rsidRPr="00EF63BB">
        <w:rPr>
          <w:bCs/>
          <w:lang w:val="en-GB"/>
        </w:rPr>
        <w:t>likely to substantially overestimate</w:t>
      </w:r>
      <w:r>
        <w:rPr>
          <w:bCs/>
          <w:lang w:val="en-GB"/>
        </w:rPr>
        <w:t xml:space="preserve"> the</w:t>
      </w:r>
      <w:r w:rsidRPr="00EF63BB">
        <w:rPr>
          <w:bCs/>
          <w:lang w:val="en-GB"/>
        </w:rPr>
        <w:t xml:space="preserve"> treatment effect</w:t>
      </w:r>
      <w:r>
        <w:rPr>
          <w:bCs/>
          <w:lang w:val="en-GB"/>
        </w:rPr>
        <w:t xml:space="preserve"> as</w:t>
      </w:r>
      <w:r w:rsidRPr="00EF63BB">
        <w:rPr>
          <w:bCs/>
          <w:lang w:val="en-GB"/>
        </w:rPr>
        <w:t>:</w:t>
      </w:r>
    </w:p>
    <w:p w:rsidR="00FC259F" w:rsidRDefault="00FC259F" w:rsidP="00FC259F">
      <w:pPr>
        <w:pStyle w:val="3-BodyText"/>
        <w:numPr>
          <w:ilvl w:val="1"/>
          <w:numId w:val="29"/>
        </w:numPr>
        <w:ind w:left="1135" w:hanging="284"/>
        <w:contextualSpacing/>
        <w:rPr>
          <w:bCs/>
          <w:lang w:val="en-GB"/>
        </w:rPr>
      </w:pPr>
      <w:r>
        <w:rPr>
          <w:lang w:val="en-GB"/>
        </w:rPr>
        <w:t>the subgroup analyses were not pre-specified;</w:t>
      </w:r>
    </w:p>
    <w:p w:rsidR="00FC259F" w:rsidRPr="00EF63BB" w:rsidRDefault="00FC259F" w:rsidP="00FC259F">
      <w:pPr>
        <w:pStyle w:val="3-BodyText"/>
        <w:numPr>
          <w:ilvl w:val="1"/>
          <w:numId w:val="29"/>
        </w:numPr>
        <w:ind w:left="1135" w:hanging="284"/>
        <w:contextualSpacing/>
        <w:rPr>
          <w:bCs/>
          <w:lang w:val="en-GB"/>
        </w:rPr>
      </w:pPr>
      <w:r>
        <w:rPr>
          <w:bCs/>
          <w:lang w:val="en-GB"/>
        </w:rPr>
        <w:t>t</w:t>
      </w:r>
      <w:r w:rsidRPr="00EF63BB">
        <w:rPr>
          <w:bCs/>
          <w:lang w:val="en-GB"/>
        </w:rPr>
        <w:t xml:space="preserve">he subgroup of interest (those with MRI activity and aged ≤50 years at baseline) represented approximately </w:t>
      </w:r>
      <w:r>
        <w:rPr>
          <w:bCs/>
          <w:lang w:val="en-GB"/>
        </w:rPr>
        <w:t>one-</w:t>
      </w:r>
      <w:r w:rsidRPr="00EF63BB">
        <w:rPr>
          <w:bCs/>
          <w:lang w:val="en-GB"/>
        </w:rPr>
        <w:t xml:space="preserve">third of the ORATORIO trial population (possibility that the observed differences were due to expected variation); </w:t>
      </w:r>
    </w:p>
    <w:p w:rsidR="00FC259F" w:rsidRPr="00EF63BB" w:rsidRDefault="00FC259F" w:rsidP="001C77FB">
      <w:pPr>
        <w:pStyle w:val="3-BodyText"/>
        <w:numPr>
          <w:ilvl w:val="1"/>
          <w:numId w:val="29"/>
        </w:numPr>
        <w:spacing w:after="0"/>
        <w:ind w:left="1135" w:hanging="284"/>
        <w:contextualSpacing/>
        <w:rPr>
          <w:bCs/>
          <w:lang w:val="en-GB"/>
        </w:rPr>
      </w:pPr>
      <w:r>
        <w:rPr>
          <w:bCs/>
          <w:lang w:val="en-GB"/>
        </w:rPr>
        <w:t>t</w:t>
      </w:r>
      <w:r w:rsidRPr="00EF63BB">
        <w:rPr>
          <w:bCs/>
          <w:lang w:val="en-GB"/>
        </w:rPr>
        <w:t>he test for interaction did not indicate that these baseline characteristics were treatment effect modifiers; and</w:t>
      </w:r>
    </w:p>
    <w:p w:rsidR="00FC259F" w:rsidRPr="001C77FB" w:rsidRDefault="00FC259F" w:rsidP="001C77FB">
      <w:pPr>
        <w:pStyle w:val="Title"/>
        <w:numPr>
          <w:ilvl w:val="1"/>
          <w:numId w:val="29"/>
        </w:numPr>
        <w:spacing w:before="0" w:after="120"/>
        <w:ind w:left="1135" w:hanging="284"/>
        <w:contextualSpacing/>
        <w:jc w:val="both"/>
        <w:outlineLvl w:val="9"/>
        <w:rPr>
          <w:rFonts w:asciiTheme="minorHAnsi" w:hAnsiTheme="minorHAnsi"/>
          <w:b w:val="0"/>
          <w:snapToGrid w:val="0"/>
          <w:kern w:val="0"/>
          <w:sz w:val="24"/>
          <w:szCs w:val="24"/>
          <w:lang w:val="en-GB"/>
        </w:rPr>
      </w:pPr>
      <w:r w:rsidRPr="001C77FB">
        <w:rPr>
          <w:rFonts w:asciiTheme="minorHAnsi" w:hAnsiTheme="minorHAnsi"/>
          <w:b w:val="0"/>
          <w:snapToGrid w:val="0"/>
          <w:kern w:val="0"/>
          <w:sz w:val="24"/>
          <w:szCs w:val="24"/>
          <w:lang w:val="en-GB"/>
        </w:rPr>
        <w:t>there was no indication that any statistical analyses were adjusted for multiple looks at the data.</w:t>
      </w:r>
    </w:p>
    <w:p w:rsidR="00FC259F" w:rsidRPr="001C77FB" w:rsidRDefault="00FC259F" w:rsidP="001C77FB">
      <w:pPr>
        <w:pStyle w:val="3-BodyText"/>
        <w:rPr>
          <w:lang w:val="en-GB"/>
        </w:rPr>
      </w:pPr>
      <w:r w:rsidRPr="001C77FB">
        <w:rPr>
          <w:lang w:val="en-GB"/>
        </w:rPr>
        <w:t xml:space="preserve">The PBAC also noted that </w:t>
      </w:r>
      <w:r w:rsidR="001C77FB" w:rsidRPr="001C77FB">
        <w:rPr>
          <w:lang w:val="en-GB"/>
        </w:rPr>
        <w:t xml:space="preserve">MRI active disease </w:t>
      </w:r>
      <w:r w:rsidR="001C77FB">
        <w:rPr>
          <w:lang w:val="en-GB"/>
        </w:rPr>
        <w:t>appeared to have been</w:t>
      </w:r>
      <w:r w:rsidR="001C77FB" w:rsidRPr="001C77FB">
        <w:rPr>
          <w:lang w:val="en-GB"/>
        </w:rPr>
        <w:t xml:space="preserve"> defined differently in the ORATORIO trial </w:t>
      </w:r>
      <w:r w:rsidR="005932BA" w:rsidRPr="001C77FB">
        <w:rPr>
          <w:i/>
          <w:lang w:val="en-GB"/>
        </w:rPr>
        <w:t>post-hoc</w:t>
      </w:r>
      <w:r w:rsidR="005932BA" w:rsidRPr="001C77FB">
        <w:rPr>
          <w:lang w:val="en-GB"/>
        </w:rPr>
        <w:t xml:space="preserve"> subgroup </w:t>
      </w:r>
      <w:r w:rsidR="001C77FB" w:rsidRPr="001C77FB">
        <w:rPr>
          <w:lang w:val="en-GB"/>
        </w:rPr>
        <w:t xml:space="preserve">than in the requested PBS listing. Activity between screening and baseline (4 week) appeared to </w:t>
      </w:r>
      <w:r w:rsidR="001C77FB">
        <w:rPr>
          <w:lang w:val="en-GB"/>
        </w:rPr>
        <w:t>have been</w:t>
      </w:r>
      <w:r w:rsidR="001C77FB" w:rsidRPr="001C77FB">
        <w:rPr>
          <w:lang w:val="en-GB"/>
        </w:rPr>
        <w:t xml:space="preserve"> used in the </w:t>
      </w:r>
      <w:r w:rsidR="001C77FB" w:rsidRPr="001C77FB">
        <w:rPr>
          <w:i/>
          <w:lang w:val="en-GB"/>
        </w:rPr>
        <w:lastRenderedPageBreak/>
        <w:t>post-hoc</w:t>
      </w:r>
      <w:r w:rsidR="001C77FB" w:rsidRPr="001C77FB">
        <w:rPr>
          <w:lang w:val="en-GB"/>
        </w:rPr>
        <w:t xml:space="preserve"> subgroup while activity within the last 12 months was proposed in the requested listing</w:t>
      </w:r>
      <w:r w:rsidR="001C77FB">
        <w:rPr>
          <w:lang w:val="en-GB"/>
        </w:rPr>
        <w:t>.</w:t>
      </w:r>
    </w:p>
    <w:p w:rsidR="00FC259F" w:rsidRPr="00525B39" w:rsidRDefault="00FC259F" w:rsidP="00FC259F">
      <w:pPr>
        <w:widowControl w:val="0"/>
        <w:numPr>
          <w:ilvl w:val="1"/>
          <w:numId w:val="1"/>
        </w:numPr>
        <w:spacing w:after="120"/>
        <w:rPr>
          <w:rFonts w:asciiTheme="minorHAnsi" w:hAnsiTheme="minorHAnsi"/>
          <w:bCs/>
          <w:snapToGrid w:val="0"/>
          <w:lang w:val="en-GB"/>
        </w:rPr>
      </w:pPr>
      <w:r w:rsidRPr="00B26172">
        <w:rPr>
          <w:lang w:eastAsia="en-US"/>
        </w:rPr>
        <w:t xml:space="preserve">The PBAC considered that the claim of superior comparative effectiveness in the early and MRI-active population was adequately supported, </w:t>
      </w:r>
      <w:r>
        <w:rPr>
          <w:lang w:eastAsia="en-US"/>
        </w:rPr>
        <w:t>but that subgroup results applied in the economic model likely overestimated the magnitude of the benefit in the requested PBS population</w:t>
      </w:r>
      <w:r>
        <w:rPr>
          <w:szCs w:val="20"/>
          <w:lang w:eastAsia="en-US"/>
        </w:rPr>
        <w:t>.</w:t>
      </w:r>
    </w:p>
    <w:p w:rsidR="00FC259F" w:rsidRDefault="00FC259F" w:rsidP="00FC259F">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noted no new data on comparative harms were presented and reaffirmed its view, based on the safety analyses previously presented in November 2017, that ocrelizumab is of inferior comparative safety to placebo.</w:t>
      </w:r>
    </w:p>
    <w:p w:rsidR="00FC259F" w:rsidRDefault="00FC259F" w:rsidP="00FC259F">
      <w:pPr>
        <w:pStyle w:val="3-BodyText"/>
        <w:rPr>
          <w:lang w:val="en-GB"/>
        </w:rPr>
      </w:pPr>
      <w:r>
        <w:rPr>
          <w:lang w:val="en-GB"/>
        </w:rPr>
        <w:t xml:space="preserve">The PBAC considered that the ocrelizumab treatment effect included in the economic model (HR of 0.53 </w:t>
      </w:r>
      <w:r w:rsidRPr="00A3059C">
        <w:rPr>
          <w:bCs/>
          <w:lang w:val="en-GB"/>
        </w:rPr>
        <w:t>based on the ‘MRI-activ</w:t>
      </w:r>
      <w:r>
        <w:rPr>
          <w:bCs/>
          <w:lang w:val="en-GB"/>
        </w:rPr>
        <w:t>e plus age ≤ 50 years’ subgroup)</w:t>
      </w:r>
      <w:r w:rsidRPr="00A3059C">
        <w:rPr>
          <w:bCs/>
          <w:lang w:val="en-GB"/>
        </w:rPr>
        <w:t xml:space="preserve"> </w:t>
      </w:r>
      <w:r>
        <w:rPr>
          <w:lang w:val="en-GB"/>
        </w:rPr>
        <w:t>was likely overestimated for the reasons outlined above, and also because the model assumed that the treatment effect would not wane over the duration of treatment. The PBAC considered that a more conservative HR should have been applied in the model, and noted that using only the HR from the MRI-active disease subgroup (0.68) increased the ICER to $</w:t>
      </w:r>
      <w:r w:rsidR="00111D50">
        <w:rPr>
          <w:lang w:val="en-GB"/>
        </w:rPr>
        <w:t>115,000 to &lt; $135,000</w:t>
      </w:r>
      <w:r>
        <w:rPr>
          <w:lang w:val="en-GB"/>
        </w:rPr>
        <w:t xml:space="preserve"> per QALY, and the using the HR from the ITT population (0.70) increased the ICER to $</w:t>
      </w:r>
      <w:r w:rsidR="00111D50">
        <w:rPr>
          <w:lang w:val="en-GB"/>
        </w:rPr>
        <w:t>135,000 to &lt; $155,000 per QALY</w:t>
      </w:r>
      <w:r>
        <w:rPr>
          <w:lang w:val="en-GB"/>
        </w:rPr>
        <w:t xml:space="preserve">. The PBAC considered that it would also be informative to include the impact of </w:t>
      </w:r>
      <w:r w:rsidR="005932BA">
        <w:rPr>
          <w:lang w:val="en-GB"/>
        </w:rPr>
        <w:t xml:space="preserve">an </w:t>
      </w:r>
      <w:r>
        <w:rPr>
          <w:lang w:val="en-GB"/>
        </w:rPr>
        <w:t xml:space="preserve">appropriate </w:t>
      </w:r>
      <w:r w:rsidR="005932BA">
        <w:rPr>
          <w:lang w:val="en-GB"/>
        </w:rPr>
        <w:t>stopping rule</w:t>
      </w:r>
      <w:r>
        <w:rPr>
          <w:lang w:val="en-GB"/>
        </w:rPr>
        <w:t xml:space="preserve"> in the economic model.</w:t>
      </w:r>
    </w:p>
    <w:p w:rsidR="00FC259F" w:rsidRDefault="00FC259F" w:rsidP="00FC259F">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noted the model was highly sensitive to assumptions around the costs of nursing home care and how these were accrued in the model, and agreed with the ESC that the annual cost estimate of $35,175 in the Ahmad 2018 report was highly uncertain (</w:t>
      </w:r>
      <w:r w:rsidRPr="00437E4F">
        <w:t>due to the methods used in Ahmad 2018 to estimate these costs</w:t>
      </w:r>
      <w:r>
        <w:t>)</w:t>
      </w:r>
      <w:r>
        <w:rPr>
          <w:rFonts w:asciiTheme="minorHAnsi" w:hAnsiTheme="minorHAnsi"/>
          <w:bCs/>
          <w:snapToGrid w:val="0"/>
          <w:lang w:val="en-GB"/>
        </w:rPr>
        <w:t xml:space="preserve"> and likely overestimated. The PBAC considered the assumption that all patients at EDSS 7.0 and higher would accrue these costs was implausible, as many patients who require a wheelchair will not enter residential care or accrue these costs until their condition has further progressed. The PBAC noted that </w:t>
      </w:r>
      <w:r w:rsidRPr="00437E4F">
        <w:t xml:space="preserve">no clinical evidence </w:t>
      </w:r>
      <w:r>
        <w:t xml:space="preserve">was provided </w:t>
      </w:r>
      <w:r w:rsidRPr="00437E4F">
        <w:t>to support that treatment with ocrelizumab reduces nursing home care</w:t>
      </w:r>
      <w:r>
        <w:t xml:space="preserve">. </w:t>
      </w:r>
    </w:p>
    <w:p w:rsidR="00FC259F" w:rsidRPr="005254C4" w:rsidRDefault="00FC259F" w:rsidP="00FC259F">
      <w:pPr>
        <w:widowControl w:val="0"/>
        <w:numPr>
          <w:ilvl w:val="1"/>
          <w:numId w:val="1"/>
        </w:numPr>
        <w:spacing w:after="120"/>
      </w:pPr>
      <w:r>
        <w:rPr>
          <w:rFonts w:asciiTheme="minorHAnsi" w:hAnsiTheme="minorHAnsi"/>
          <w:bCs/>
          <w:snapToGrid w:val="0"/>
          <w:lang w:val="en-GB"/>
        </w:rPr>
        <w:t xml:space="preserve">The PBAC agreed with DUSC that the financial </w:t>
      </w:r>
      <w:r w:rsidRPr="007F51B8">
        <w:rPr>
          <w:color w:val="000000" w:themeColor="text1"/>
        </w:rPr>
        <w:t xml:space="preserve">estimates were likely to </w:t>
      </w:r>
      <w:r>
        <w:rPr>
          <w:color w:val="000000" w:themeColor="text1"/>
        </w:rPr>
        <w:t xml:space="preserve">have </w:t>
      </w:r>
      <w:r w:rsidRPr="007F51B8">
        <w:rPr>
          <w:color w:val="000000" w:themeColor="text1"/>
        </w:rPr>
        <w:t>be</w:t>
      </w:r>
      <w:r>
        <w:rPr>
          <w:color w:val="000000" w:themeColor="text1"/>
        </w:rPr>
        <w:t>en</w:t>
      </w:r>
      <w:r w:rsidRPr="007F51B8">
        <w:rPr>
          <w:color w:val="000000" w:themeColor="text1"/>
        </w:rPr>
        <w:t xml:space="preserve"> overestimated</w:t>
      </w:r>
      <w:r>
        <w:rPr>
          <w:color w:val="000000" w:themeColor="text1"/>
        </w:rPr>
        <w:t xml:space="preserve"> particularly as </w:t>
      </w:r>
      <w:r>
        <w:rPr>
          <w:rFonts w:asciiTheme="minorHAnsi" w:hAnsiTheme="minorHAnsi"/>
          <w:bCs/>
          <w:snapToGrid w:val="0"/>
          <w:lang w:val="en-GB"/>
        </w:rPr>
        <w:t xml:space="preserve">the incidence data reflects an area of Australia </w:t>
      </w:r>
      <w:r w:rsidRPr="00093849">
        <w:t>with historically higher reported incidence o</w:t>
      </w:r>
      <w:r>
        <w:t xml:space="preserve">f MS </w:t>
      </w:r>
      <w:r w:rsidRPr="00093849">
        <w:t>than other parts of Australia</w:t>
      </w:r>
      <w:r w:rsidR="00C77721">
        <w:t xml:space="preserve">. The PBAC also </w:t>
      </w:r>
      <w:r w:rsidR="00C77721">
        <w:rPr>
          <w:rFonts w:asciiTheme="minorHAnsi" w:hAnsiTheme="minorHAnsi"/>
          <w:bCs/>
          <w:snapToGrid w:val="0"/>
          <w:lang w:val="en-GB"/>
        </w:rPr>
        <w:t>reiterated</w:t>
      </w:r>
      <w:r>
        <w:rPr>
          <w:rFonts w:asciiTheme="minorHAnsi" w:hAnsiTheme="minorHAnsi"/>
          <w:bCs/>
          <w:snapToGrid w:val="0"/>
          <w:lang w:val="en-GB"/>
        </w:rPr>
        <w:t xml:space="preserve"> its view from November 2017 that the population in the ORATORIO trial was unlikely to reflect PPMS treatment in the Australian setting and thus the resubmission’s estimate of patient eligibility (44%) was unlikely to be accurate.</w:t>
      </w:r>
    </w:p>
    <w:p w:rsidR="00FC259F" w:rsidRPr="00620921" w:rsidRDefault="00FC259F" w:rsidP="00FC259F">
      <w:pPr>
        <w:widowControl w:val="0"/>
        <w:numPr>
          <w:ilvl w:val="1"/>
          <w:numId w:val="1"/>
        </w:numPr>
        <w:spacing w:after="120"/>
      </w:pPr>
      <w:r w:rsidRPr="00F76D91">
        <w:t xml:space="preserve">The resubmission proposed an RSA in the form of annual expenditure caps for ocrelizumab in PPMS with a </w:t>
      </w:r>
      <w:r w:rsidR="00177267">
        <w:rPr>
          <w:noProof/>
          <w:color w:val="000000"/>
          <w:highlight w:val="black"/>
        </w:rPr>
        <w:t>'''''''''''</w:t>
      </w:r>
      <w:r w:rsidRPr="00F76D91">
        <w:t xml:space="preserve"> rebate for any expenditure above the caps.</w:t>
      </w:r>
      <w:r>
        <w:t xml:space="preserve"> The PBAC considered this was appropriate but agreed with the ESC that the </w:t>
      </w:r>
      <w:r w:rsidRPr="00F76D91">
        <w:t>net cost to the PBS will be overestimated (due to the offsets being underestimated) if patients with PPMS are accessing PBS listed treatment for RRMS</w:t>
      </w:r>
      <w:r>
        <w:t>.</w:t>
      </w:r>
    </w:p>
    <w:p w:rsidR="00FC259F" w:rsidRDefault="00FC259F" w:rsidP="00FC259F">
      <w:pPr>
        <w:pStyle w:val="3-BodyText"/>
        <w:rPr>
          <w:lang w:val="en-GB"/>
        </w:rPr>
      </w:pPr>
      <w:r>
        <w:rPr>
          <w:lang w:val="en-GB"/>
        </w:rPr>
        <w:lastRenderedPageBreak/>
        <w:t>The PBAC considered that any resubmission would need to be a major resubmission and would need to address the following issues:</w:t>
      </w:r>
    </w:p>
    <w:p w:rsidR="00FC259F" w:rsidRPr="002C62BF" w:rsidRDefault="00FC259F" w:rsidP="00D05F6A">
      <w:pPr>
        <w:pStyle w:val="3-BodyText"/>
        <w:numPr>
          <w:ilvl w:val="1"/>
          <w:numId w:val="29"/>
        </w:numPr>
        <w:ind w:left="1135" w:hanging="284"/>
        <w:contextualSpacing/>
      </w:pPr>
      <w:r w:rsidRPr="002C62BF">
        <w:t>Clarify the most appropriate discontinuation criteria, noting that further input from clinical experts in this area may be required;</w:t>
      </w:r>
    </w:p>
    <w:p w:rsidR="00FC259F" w:rsidRPr="002C62BF" w:rsidRDefault="00FC259F" w:rsidP="00D05F6A">
      <w:pPr>
        <w:pStyle w:val="3-BodyText"/>
        <w:numPr>
          <w:ilvl w:val="1"/>
          <w:numId w:val="29"/>
        </w:numPr>
        <w:ind w:left="1135" w:hanging="284"/>
        <w:contextualSpacing/>
      </w:pPr>
      <w:r w:rsidRPr="002C62BF">
        <w:t xml:space="preserve">Update the economic model based on </w:t>
      </w:r>
      <w:r>
        <w:t>any</w:t>
      </w:r>
      <w:r w:rsidRPr="002C62BF">
        <w:t xml:space="preserve"> discontinuation criteria, and using more conservative inputs given the issues raised; and</w:t>
      </w:r>
    </w:p>
    <w:p w:rsidR="00FC259F" w:rsidRPr="002C62BF" w:rsidRDefault="00FC259F" w:rsidP="00D05F6A">
      <w:pPr>
        <w:pStyle w:val="3-BodyText"/>
        <w:numPr>
          <w:ilvl w:val="1"/>
          <w:numId w:val="29"/>
        </w:numPr>
        <w:ind w:left="1135" w:hanging="284"/>
        <w:contextualSpacing/>
      </w:pPr>
      <w:r w:rsidRPr="002C62BF">
        <w:t>Update the financial estimates based on any discontinuation criteria, and to address the likely overestimated population</w:t>
      </w:r>
      <w:r w:rsidR="00AD429C">
        <w:t>.</w:t>
      </w:r>
      <w:r w:rsidRPr="002C62BF">
        <w:t xml:space="preserve"> </w:t>
      </w:r>
    </w:p>
    <w:p w:rsidR="00FC259F" w:rsidRPr="00162B9F" w:rsidRDefault="00FC259F" w:rsidP="00FC259F">
      <w:pPr>
        <w:widowControl w:val="0"/>
        <w:numPr>
          <w:ilvl w:val="1"/>
          <w:numId w:val="1"/>
        </w:numPr>
        <w:spacing w:after="120"/>
        <w:rPr>
          <w:rFonts w:asciiTheme="minorHAnsi" w:hAnsiTheme="minorHAnsi"/>
          <w:b/>
          <w:bCs/>
          <w:snapToGrid w:val="0"/>
          <w:lang w:val="en-GB"/>
        </w:rPr>
      </w:pPr>
      <w:r w:rsidRPr="00525B39">
        <w:rPr>
          <w:rFonts w:asciiTheme="minorHAnsi" w:hAnsiTheme="minorHAnsi"/>
          <w:bCs/>
          <w:snapToGrid w:val="0"/>
          <w:lang w:val="en-GB"/>
        </w:rPr>
        <w:t>The PBA</w:t>
      </w:r>
      <w:r>
        <w:rPr>
          <w:rFonts w:asciiTheme="minorHAnsi" w:hAnsiTheme="minorHAnsi"/>
          <w:bCs/>
          <w:snapToGrid w:val="0"/>
          <w:lang w:val="en-GB"/>
        </w:rPr>
        <w:t>C noted that this submission is</w:t>
      </w:r>
      <w:r w:rsidRPr="00525B39">
        <w:rPr>
          <w:rFonts w:asciiTheme="minorHAnsi" w:hAnsiTheme="minorHAnsi"/>
          <w:bCs/>
          <w:snapToGrid w:val="0"/>
          <w:lang w:val="en-GB"/>
        </w:rPr>
        <w:t xml:space="preserve"> eligible for an Independent Review. </w:t>
      </w:r>
    </w:p>
    <w:p w:rsidR="00FC259F" w:rsidRDefault="00FC259F" w:rsidP="00FC259F"/>
    <w:p w:rsidR="00A04DC3" w:rsidRDefault="00752B64" w:rsidP="00FD5773">
      <w:pPr>
        <w:widowControl w:val="0"/>
        <w:spacing w:after="120"/>
        <w:rPr>
          <w:rFonts w:asciiTheme="minorHAnsi" w:hAnsiTheme="minorHAnsi"/>
          <w:bCs/>
          <w:snapToGrid w:val="0"/>
        </w:rPr>
      </w:pPr>
      <w:r w:rsidRPr="002C62BF">
        <w:rPr>
          <w:rFonts w:asciiTheme="minorHAnsi" w:hAnsiTheme="minorHAnsi"/>
          <w:b/>
          <w:bCs/>
          <w:snapToGrid w:val="0"/>
        </w:rPr>
        <w:t>Outcome:</w:t>
      </w:r>
      <w:r w:rsidR="00162B9F" w:rsidRPr="002C62BF">
        <w:rPr>
          <w:rFonts w:asciiTheme="minorHAnsi" w:hAnsiTheme="minorHAnsi"/>
          <w:b/>
          <w:bCs/>
          <w:snapToGrid w:val="0"/>
        </w:rPr>
        <w:t xml:space="preserve"> </w:t>
      </w:r>
      <w:r w:rsidR="00162B9F" w:rsidRPr="002C62BF">
        <w:rPr>
          <w:rFonts w:asciiTheme="minorHAnsi" w:hAnsiTheme="minorHAnsi"/>
          <w:b/>
          <w:bCs/>
          <w:snapToGrid w:val="0"/>
        </w:rPr>
        <w:br/>
      </w:r>
      <w:r w:rsidR="00162B9F" w:rsidRPr="002C62BF">
        <w:rPr>
          <w:rFonts w:asciiTheme="minorHAnsi" w:hAnsiTheme="minorHAnsi"/>
          <w:bCs/>
          <w:snapToGrid w:val="0"/>
        </w:rPr>
        <w:t>Rejected</w:t>
      </w:r>
    </w:p>
    <w:p w:rsidR="00752B64" w:rsidRDefault="00752B64" w:rsidP="00FD5773">
      <w:pPr>
        <w:widowControl w:val="0"/>
        <w:rPr>
          <w:rFonts w:asciiTheme="minorHAnsi" w:hAnsiTheme="minorHAnsi"/>
          <w:bCs/>
          <w:snapToGrid w:val="0"/>
        </w:rPr>
      </w:pPr>
    </w:p>
    <w:p w:rsidR="0001190D" w:rsidRDefault="0001190D" w:rsidP="0001190D">
      <w:pPr>
        <w:pStyle w:val="2Sections"/>
        <w:numPr>
          <w:ilvl w:val="0"/>
          <w:numId w:val="1"/>
        </w:numPr>
        <w:rPr>
          <w:color w:val="1F497D"/>
        </w:rPr>
      </w:pPr>
      <w:r w:rsidRPr="00C07617">
        <w:t>Context for Decision</w:t>
      </w:r>
    </w:p>
    <w:p w:rsidR="0001190D" w:rsidRDefault="0001190D" w:rsidP="0001190D">
      <w:pPr>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bCs/>
          <w:lang w:val="en-GB"/>
        </w:rPr>
        <w:t>medicines</w:t>
      </w:r>
      <w:r w:rsidRPr="007129F2">
        <w:rPr>
          <w:rFonts w:asciiTheme="minorHAnsi" w:hAnsiTheme="minorHAnsi"/>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1190D" w:rsidRPr="007129F2" w:rsidRDefault="0001190D" w:rsidP="0001190D">
      <w:pPr>
        <w:rPr>
          <w:rFonts w:asciiTheme="minorHAnsi" w:hAnsiTheme="minorHAnsi"/>
          <w:bCs/>
          <w:lang w:val="en-GB"/>
        </w:rPr>
      </w:pPr>
    </w:p>
    <w:p w:rsidR="0001190D" w:rsidRPr="00C07617" w:rsidRDefault="0001190D" w:rsidP="0001190D">
      <w:pPr>
        <w:pStyle w:val="2Sections"/>
        <w:numPr>
          <w:ilvl w:val="0"/>
          <w:numId w:val="1"/>
        </w:numPr>
        <w:rPr>
          <w:b w:val="0"/>
        </w:rPr>
      </w:pPr>
      <w:r>
        <w:t>Sponsor’s Comment</w:t>
      </w:r>
    </w:p>
    <w:p w:rsidR="00DC1625" w:rsidRPr="002C62BF" w:rsidRDefault="00DC1625" w:rsidP="00DC1625">
      <w:pPr>
        <w:widowControl w:val="0"/>
        <w:rPr>
          <w:rFonts w:asciiTheme="minorHAnsi" w:hAnsiTheme="minorHAnsi"/>
          <w:bCs/>
          <w:snapToGrid w:val="0"/>
        </w:rPr>
      </w:pPr>
      <w:r w:rsidRPr="00392E6F">
        <w:rPr>
          <w:rFonts w:asciiTheme="minorHAnsi" w:hAnsiTheme="minorHAnsi"/>
          <w:bCs/>
          <w:snapToGrid w:val="0"/>
        </w:rPr>
        <w:t>Roche is disappointed wit</w:t>
      </w:r>
      <w:r>
        <w:rPr>
          <w:rFonts w:asciiTheme="minorHAnsi" w:hAnsiTheme="minorHAnsi"/>
          <w:bCs/>
          <w:snapToGrid w:val="0"/>
        </w:rPr>
        <w:t xml:space="preserve">h the outcome given the genuine </w:t>
      </w:r>
      <w:r w:rsidRPr="00392E6F">
        <w:rPr>
          <w:rFonts w:asciiTheme="minorHAnsi" w:hAnsiTheme="minorHAnsi"/>
          <w:bCs/>
          <w:snapToGrid w:val="0"/>
        </w:rPr>
        <w:t>unmet need for an effectiv</w:t>
      </w:r>
      <w:r>
        <w:rPr>
          <w:rFonts w:asciiTheme="minorHAnsi" w:hAnsiTheme="minorHAnsi"/>
          <w:bCs/>
          <w:snapToGrid w:val="0"/>
        </w:rPr>
        <w:t xml:space="preserve">e treatment option for patients </w:t>
      </w:r>
      <w:r w:rsidRPr="00392E6F">
        <w:rPr>
          <w:rFonts w:asciiTheme="minorHAnsi" w:hAnsiTheme="minorHAnsi"/>
          <w:bCs/>
          <w:snapToGrid w:val="0"/>
        </w:rPr>
        <w:t xml:space="preserve">with PPMS. Roche </w:t>
      </w:r>
      <w:r>
        <w:rPr>
          <w:rFonts w:asciiTheme="minorHAnsi" w:hAnsiTheme="minorHAnsi"/>
          <w:bCs/>
          <w:snapToGrid w:val="0"/>
        </w:rPr>
        <w:t xml:space="preserve">will continue to support the MS </w:t>
      </w:r>
      <w:r w:rsidRPr="00392E6F">
        <w:rPr>
          <w:rFonts w:asciiTheme="minorHAnsi" w:hAnsiTheme="minorHAnsi"/>
          <w:bCs/>
          <w:snapToGrid w:val="0"/>
        </w:rPr>
        <w:t>community in Australia</w:t>
      </w:r>
      <w:r>
        <w:rPr>
          <w:rFonts w:asciiTheme="minorHAnsi" w:hAnsiTheme="minorHAnsi"/>
          <w:bCs/>
          <w:snapToGrid w:val="0"/>
        </w:rPr>
        <w:t xml:space="preserve"> whilst we evaluate the options </w:t>
      </w:r>
      <w:r w:rsidRPr="00392E6F">
        <w:rPr>
          <w:rFonts w:asciiTheme="minorHAnsi" w:hAnsiTheme="minorHAnsi"/>
          <w:bCs/>
          <w:snapToGrid w:val="0"/>
        </w:rPr>
        <w:t>available within the paramete</w:t>
      </w:r>
      <w:r>
        <w:rPr>
          <w:rFonts w:asciiTheme="minorHAnsi" w:hAnsiTheme="minorHAnsi"/>
          <w:bCs/>
          <w:snapToGrid w:val="0"/>
        </w:rPr>
        <w:t xml:space="preserve">rs of the existing data to find </w:t>
      </w:r>
      <w:r w:rsidRPr="00392E6F">
        <w:rPr>
          <w:rFonts w:asciiTheme="minorHAnsi" w:hAnsiTheme="minorHAnsi"/>
          <w:bCs/>
          <w:snapToGrid w:val="0"/>
        </w:rPr>
        <w:t>a suitable path forward</w:t>
      </w:r>
      <w:r>
        <w:rPr>
          <w:rFonts w:asciiTheme="minorHAnsi" w:hAnsiTheme="minorHAnsi"/>
          <w:bCs/>
          <w:snapToGrid w:val="0"/>
        </w:rPr>
        <w:t xml:space="preserve">. Roche would like to take this </w:t>
      </w:r>
      <w:r w:rsidRPr="00392E6F">
        <w:rPr>
          <w:rFonts w:asciiTheme="minorHAnsi" w:hAnsiTheme="minorHAnsi"/>
          <w:bCs/>
          <w:snapToGrid w:val="0"/>
        </w:rPr>
        <w:t>opportunity to thank the</w:t>
      </w:r>
      <w:r>
        <w:rPr>
          <w:rFonts w:asciiTheme="minorHAnsi" w:hAnsiTheme="minorHAnsi"/>
          <w:bCs/>
          <w:snapToGrid w:val="0"/>
        </w:rPr>
        <w:t xml:space="preserve"> many healthcare professionals, </w:t>
      </w:r>
      <w:r w:rsidRPr="00392E6F">
        <w:rPr>
          <w:rFonts w:asciiTheme="minorHAnsi" w:hAnsiTheme="minorHAnsi"/>
          <w:bCs/>
          <w:snapToGrid w:val="0"/>
        </w:rPr>
        <w:t>and broader m</w:t>
      </w:r>
      <w:r>
        <w:rPr>
          <w:rFonts w:asciiTheme="minorHAnsi" w:hAnsiTheme="minorHAnsi"/>
          <w:bCs/>
          <w:snapToGrid w:val="0"/>
        </w:rPr>
        <w:t xml:space="preserve">embers of the MS community, who </w:t>
      </w:r>
      <w:r w:rsidRPr="00392E6F">
        <w:rPr>
          <w:rFonts w:asciiTheme="minorHAnsi" w:hAnsiTheme="minorHAnsi"/>
          <w:bCs/>
          <w:snapToGrid w:val="0"/>
        </w:rPr>
        <w:t>supported the resubmission.</w:t>
      </w:r>
    </w:p>
    <w:p w:rsidR="0001190D" w:rsidRPr="002C62BF" w:rsidRDefault="0001190D" w:rsidP="00FD5773">
      <w:pPr>
        <w:widowControl w:val="0"/>
        <w:rPr>
          <w:rFonts w:asciiTheme="minorHAnsi" w:hAnsiTheme="minorHAnsi"/>
          <w:bCs/>
          <w:snapToGrid w:val="0"/>
        </w:rPr>
      </w:pPr>
    </w:p>
    <w:sectPr w:rsidR="0001190D" w:rsidRPr="002C62BF" w:rsidSect="00A04DC3">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76519" w16cex:dateUtc="2020-06-19T06:23:00Z"/>
  <w16cex:commentExtensible w16cex:durableId="22972CEF" w16cex:dateUtc="2020-06-19T02:24:00Z"/>
  <w16cex:commentExtensible w16cex:durableId="229767AB" w16cex:dateUtc="2020-06-19T06:34:00Z"/>
  <w16cex:commentExtensible w16cex:durableId="22972DE6" w16cex:dateUtc="2020-06-19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F8CDBB" w16cid:durableId="22946352"/>
  <w16cid:commentId w16cid:paraId="2D1A4267" w16cid:durableId="22946358"/>
  <w16cid:commentId w16cid:paraId="24A1E105" w16cid:durableId="22976519"/>
  <w16cid:commentId w16cid:paraId="1B23A3C6" w16cid:durableId="22946353"/>
  <w16cid:commentId w16cid:paraId="7418100C" w16cid:durableId="229464DB"/>
  <w16cid:commentId w16cid:paraId="241FC183" w16cid:durableId="22946354"/>
  <w16cid:commentId w16cid:paraId="62D24464" w16cid:durableId="22972CEF"/>
  <w16cid:commentId w16cid:paraId="29723951" w16cid:durableId="22946355"/>
  <w16cid:commentId w16cid:paraId="77E8AD76" w16cid:durableId="229767AB"/>
  <w16cid:commentId w16cid:paraId="163156C6" w16cid:durableId="22946356"/>
  <w16cid:commentId w16cid:paraId="6319D47D" w16cid:durableId="22948CD6"/>
  <w16cid:commentId w16cid:paraId="5FC590D8" w16cid:durableId="22946357"/>
  <w16cid:commentId w16cid:paraId="5D907BC0" w16cid:durableId="22948CED"/>
  <w16cid:commentId w16cid:paraId="5EAF155E" w16cid:durableId="22948D28"/>
  <w16cid:commentId w16cid:paraId="71A4DDA6" w16cid:durableId="22972D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267" w:rsidRDefault="00177267" w:rsidP="00124A51">
      <w:r>
        <w:separator/>
      </w:r>
    </w:p>
    <w:p w:rsidR="00177267" w:rsidRDefault="00177267"/>
  </w:endnote>
  <w:endnote w:type="continuationSeparator" w:id="0">
    <w:p w:rsidR="00177267" w:rsidRDefault="00177267" w:rsidP="00124A51">
      <w:r>
        <w:continuationSeparator/>
      </w:r>
    </w:p>
    <w:p w:rsidR="00177267" w:rsidRDefault="00177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ˇ">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23" w:rsidRDefault="00C50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98" w:rsidRDefault="004B4798" w:rsidP="00107A63">
    <w:pPr>
      <w:pStyle w:val="Footer"/>
      <w:keepNext/>
      <w:ind w:left="360"/>
      <w:jc w:val="center"/>
      <w:rPr>
        <w:b/>
      </w:rPr>
    </w:pPr>
  </w:p>
  <w:p w:rsidR="004B4798" w:rsidRPr="00F90A91" w:rsidRDefault="004B4798" w:rsidP="00107A63">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544BA3">
      <w:rPr>
        <w:b/>
        <w:noProof/>
      </w:rPr>
      <w:t>2</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23" w:rsidRDefault="00C50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267" w:rsidRDefault="00177267" w:rsidP="00124A51">
      <w:r>
        <w:separator/>
      </w:r>
    </w:p>
    <w:p w:rsidR="00177267" w:rsidRDefault="00177267"/>
  </w:footnote>
  <w:footnote w:type="continuationSeparator" w:id="0">
    <w:p w:rsidR="00177267" w:rsidRDefault="00177267" w:rsidP="00124A51">
      <w:r>
        <w:continuationSeparator/>
      </w:r>
    </w:p>
    <w:p w:rsidR="00177267" w:rsidRDefault="00177267"/>
  </w:footnote>
  <w:footnote w:id="1">
    <w:p w:rsidR="004B4798" w:rsidRPr="0036020B" w:rsidRDefault="004B4798">
      <w:pPr>
        <w:pStyle w:val="FootnoteText"/>
      </w:pPr>
      <w:r>
        <w:rPr>
          <w:rStyle w:val="FootnoteReference"/>
        </w:rPr>
        <w:footnoteRef/>
      </w:r>
      <w:r w:rsidRPr="0036020B">
        <w:t>Ingle GT, Sastre-Garriga J, Miller DH, Thompson AJ. Is inflammation important in early PPMS? A longitudinal MRI study. Journal of Neurology, Neurosurgery and Psychiatry</w:t>
      </w:r>
      <w:r>
        <w:t xml:space="preserve">; 2005 </w:t>
      </w:r>
      <w:r w:rsidRPr="0036020B">
        <w:t>76(9):1255–8.</w:t>
      </w:r>
    </w:p>
  </w:footnote>
  <w:footnote w:id="2">
    <w:p w:rsidR="004B4798" w:rsidRPr="0036020B" w:rsidRDefault="004B4798">
      <w:pPr>
        <w:pStyle w:val="FootnoteText"/>
      </w:pPr>
      <w:r>
        <w:rPr>
          <w:rStyle w:val="FootnoteReference"/>
        </w:rPr>
        <w:footnoteRef/>
      </w:r>
      <w:r>
        <w:t xml:space="preserve"> </w:t>
      </w:r>
      <w:r w:rsidRPr="0036020B">
        <w:t>Tur C</w:t>
      </w:r>
      <w:r>
        <w:t xml:space="preserve">, </w:t>
      </w:r>
      <w:r w:rsidRPr="0036020B">
        <w:t>Thompson A</w:t>
      </w:r>
      <w:r>
        <w:t>J</w:t>
      </w:r>
      <w:r w:rsidRPr="0036020B">
        <w:t>. Early accurate diagnosis crucial in multiple sclerosis. Practitioner</w:t>
      </w:r>
      <w:r>
        <w:t xml:space="preserve">; 2015: </w:t>
      </w:r>
      <w:r w:rsidRPr="0036020B">
        <w:t>259(1785):21–</w:t>
      </w:r>
      <w:r>
        <w:t>27</w:t>
      </w:r>
      <w:r w:rsidRPr="0036020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23" w:rsidRDefault="00C50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98" w:rsidRPr="00966288" w:rsidRDefault="004B4798" w:rsidP="0001190D">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rsidR="004B4798" w:rsidRDefault="004B479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23" w:rsidRDefault="00C50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B40C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2B029A"/>
    <w:multiLevelType w:val="hybridMultilevel"/>
    <w:tmpl w:val="3FE0F7C6"/>
    <w:lvl w:ilvl="0" w:tplc="C980C3CE">
      <w:start w:val="1"/>
      <w:numFmt w:val="lowerRoman"/>
      <w:lvlText w:val="(%1)"/>
      <w:lvlJc w:val="left"/>
      <w:pPr>
        <w:ind w:left="1278" w:hanging="720"/>
      </w:pPr>
      <w:rPr>
        <w:rFonts w:hint="default"/>
      </w:rPr>
    </w:lvl>
    <w:lvl w:ilvl="1" w:tplc="0C090019" w:tentative="1">
      <w:start w:val="1"/>
      <w:numFmt w:val="lowerLetter"/>
      <w:lvlText w:val="%2."/>
      <w:lvlJc w:val="left"/>
      <w:pPr>
        <w:ind w:left="1638" w:hanging="360"/>
      </w:pPr>
    </w:lvl>
    <w:lvl w:ilvl="2" w:tplc="0C09001B" w:tentative="1">
      <w:start w:val="1"/>
      <w:numFmt w:val="lowerRoman"/>
      <w:lvlText w:val="%3."/>
      <w:lvlJc w:val="right"/>
      <w:pPr>
        <w:ind w:left="2358" w:hanging="180"/>
      </w:pPr>
    </w:lvl>
    <w:lvl w:ilvl="3" w:tplc="0C09000F" w:tentative="1">
      <w:start w:val="1"/>
      <w:numFmt w:val="decimal"/>
      <w:lvlText w:val="%4."/>
      <w:lvlJc w:val="left"/>
      <w:pPr>
        <w:ind w:left="3078" w:hanging="360"/>
      </w:pPr>
    </w:lvl>
    <w:lvl w:ilvl="4" w:tplc="0C090019" w:tentative="1">
      <w:start w:val="1"/>
      <w:numFmt w:val="lowerLetter"/>
      <w:lvlText w:val="%5."/>
      <w:lvlJc w:val="left"/>
      <w:pPr>
        <w:ind w:left="3798" w:hanging="360"/>
      </w:pPr>
    </w:lvl>
    <w:lvl w:ilvl="5" w:tplc="0C09001B" w:tentative="1">
      <w:start w:val="1"/>
      <w:numFmt w:val="lowerRoman"/>
      <w:lvlText w:val="%6."/>
      <w:lvlJc w:val="right"/>
      <w:pPr>
        <w:ind w:left="4518" w:hanging="180"/>
      </w:pPr>
    </w:lvl>
    <w:lvl w:ilvl="6" w:tplc="0C09000F" w:tentative="1">
      <w:start w:val="1"/>
      <w:numFmt w:val="decimal"/>
      <w:lvlText w:val="%7."/>
      <w:lvlJc w:val="left"/>
      <w:pPr>
        <w:ind w:left="5238" w:hanging="360"/>
      </w:pPr>
    </w:lvl>
    <w:lvl w:ilvl="7" w:tplc="0C090019" w:tentative="1">
      <w:start w:val="1"/>
      <w:numFmt w:val="lowerLetter"/>
      <w:lvlText w:val="%8."/>
      <w:lvlJc w:val="left"/>
      <w:pPr>
        <w:ind w:left="5958" w:hanging="360"/>
      </w:pPr>
    </w:lvl>
    <w:lvl w:ilvl="8" w:tplc="0C09001B" w:tentative="1">
      <w:start w:val="1"/>
      <w:numFmt w:val="lowerRoman"/>
      <w:lvlText w:val="%9."/>
      <w:lvlJc w:val="right"/>
      <w:pPr>
        <w:ind w:left="6678"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185BC8"/>
    <w:multiLevelType w:val="hybridMultilevel"/>
    <w:tmpl w:val="13E20528"/>
    <w:lvl w:ilvl="0" w:tplc="0ACA49E2">
      <w:start w:val="1"/>
      <w:numFmt w:val="lowerLetter"/>
      <w:lvlText w:val="%1)"/>
      <w:lvlJc w:val="left"/>
      <w:pPr>
        <w:ind w:left="1080" w:hanging="720"/>
      </w:pPr>
      <w:rPr>
        <w:rFonts w:ascii="Arial Narrow" w:eastAsiaTheme="minorHAnsi" w:hAnsi="Arial Narrow" w:cs="Times New Roman"/>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B23E53"/>
    <w:multiLevelType w:val="hybridMultilevel"/>
    <w:tmpl w:val="59987C0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2B668DA"/>
    <w:multiLevelType w:val="hybridMultilevel"/>
    <w:tmpl w:val="566017EA"/>
    <w:lvl w:ilvl="0" w:tplc="7C68FFC8">
      <w:start w:val="1"/>
      <w:numFmt w:val="lowerRoman"/>
      <w:lvlText w:val="(%1)"/>
      <w:lvlJc w:val="left"/>
      <w:pPr>
        <w:ind w:left="1323" w:hanging="720"/>
      </w:pPr>
      <w:rPr>
        <w:rFonts w:hint="default"/>
      </w:rPr>
    </w:lvl>
    <w:lvl w:ilvl="1" w:tplc="0C090019" w:tentative="1">
      <w:start w:val="1"/>
      <w:numFmt w:val="lowerLetter"/>
      <w:lvlText w:val="%2."/>
      <w:lvlJc w:val="left"/>
      <w:pPr>
        <w:ind w:left="1683" w:hanging="360"/>
      </w:pPr>
    </w:lvl>
    <w:lvl w:ilvl="2" w:tplc="0C09001B" w:tentative="1">
      <w:start w:val="1"/>
      <w:numFmt w:val="lowerRoman"/>
      <w:lvlText w:val="%3."/>
      <w:lvlJc w:val="right"/>
      <w:pPr>
        <w:ind w:left="2403" w:hanging="180"/>
      </w:pPr>
    </w:lvl>
    <w:lvl w:ilvl="3" w:tplc="0C09000F" w:tentative="1">
      <w:start w:val="1"/>
      <w:numFmt w:val="decimal"/>
      <w:lvlText w:val="%4."/>
      <w:lvlJc w:val="left"/>
      <w:pPr>
        <w:ind w:left="3123" w:hanging="360"/>
      </w:pPr>
    </w:lvl>
    <w:lvl w:ilvl="4" w:tplc="0C090019" w:tentative="1">
      <w:start w:val="1"/>
      <w:numFmt w:val="lowerLetter"/>
      <w:lvlText w:val="%5."/>
      <w:lvlJc w:val="left"/>
      <w:pPr>
        <w:ind w:left="3843" w:hanging="360"/>
      </w:pPr>
    </w:lvl>
    <w:lvl w:ilvl="5" w:tplc="0C09001B" w:tentative="1">
      <w:start w:val="1"/>
      <w:numFmt w:val="lowerRoman"/>
      <w:lvlText w:val="%6."/>
      <w:lvlJc w:val="right"/>
      <w:pPr>
        <w:ind w:left="4563" w:hanging="180"/>
      </w:pPr>
    </w:lvl>
    <w:lvl w:ilvl="6" w:tplc="0C09000F" w:tentative="1">
      <w:start w:val="1"/>
      <w:numFmt w:val="decimal"/>
      <w:lvlText w:val="%7."/>
      <w:lvlJc w:val="left"/>
      <w:pPr>
        <w:ind w:left="5283" w:hanging="360"/>
      </w:pPr>
    </w:lvl>
    <w:lvl w:ilvl="7" w:tplc="0C090019" w:tentative="1">
      <w:start w:val="1"/>
      <w:numFmt w:val="lowerLetter"/>
      <w:lvlText w:val="%8."/>
      <w:lvlJc w:val="left"/>
      <w:pPr>
        <w:ind w:left="6003" w:hanging="360"/>
      </w:pPr>
    </w:lvl>
    <w:lvl w:ilvl="8" w:tplc="0C09001B" w:tentative="1">
      <w:start w:val="1"/>
      <w:numFmt w:val="lowerRoman"/>
      <w:lvlText w:val="%9."/>
      <w:lvlJc w:val="right"/>
      <w:pPr>
        <w:ind w:left="6723" w:hanging="180"/>
      </w:p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B6274A"/>
    <w:multiLevelType w:val="hybridMultilevel"/>
    <w:tmpl w:val="187CA09E"/>
    <w:lvl w:ilvl="0" w:tplc="45068826">
      <w:start w:val="1"/>
      <w:numFmt w:val="decimal"/>
      <w:pStyle w:val="ROVR"/>
      <w:lvlText w:val="%1."/>
      <w:lvlJc w:val="left"/>
      <w:pPr>
        <w:ind w:left="1778" w:hanging="360"/>
      </w:pPr>
      <w:rPr>
        <w:rFonts w:asciiTheme="minorHAnsi" w:hAnsiTheme="minorHAnsi" w:cstheme="minorHAnsi" w:hint="default"/>
        <w:b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3C7352"/>
    <w:multiLevelType w:val="hybridMultilevel"/>
    <w:tmpl w:val="C0725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400BC7"/>
    <w:multiLevelType w:val="hybridMultilevel"/>
    <w:tmpl w:val="13F03E56"/>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F80BDA"/>
    <w:multiLevelType w:val="hybridMultilevel"/>
    <w:tmpl w:val="88AA6798"/>
    <w:lvl w:ilvl="0" w:tplc="88C0C3C0">
      <w:start w:val="1"/>
      <w:numFmt w:val="lowerLetter"/>
      <w:lvlText w:val="%1)"/>
      <w:lvlJc w:val="left"/>
      <w:pPr>
        <w:ind w:left="1080" w:hanging="720"/>
      </w:pPr>
      <w:rPr>
        <w:rFonts w:ascii="Arial Narrow" w:eastAsiaTheme="minorHAnsi" w:hAnsi="Arial Narrow" w:cs="Times New Roman"/>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BA2A4A"/>
    <w:multiLevelType w:val="hybridMultilevel"/>
    <w:tmpl w:val="2A345AD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C6E177F"/>
    <w:multiLevelType w:val="hybridMultilevel"/>
    <w:tmpl w:val="4174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98883510"/>
    <w:lvl w:ilvl="0" w:tplc="FEFCC686">
      <w:start w:val="1"/>
      <w:numFmt w:val="bullet"/>
      <w:pStyle w:val="Bulletpoints"/>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7" w15:restartNumberingAfterBreak="0">
    <w:nsid w:val="50BC106D"/>
    <w:multiLevelType w:val="hybridMultilevel"/>
    <w:tmpl w:val="A3E2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C41B7F"/>
    <w:multiLevelType w:val="hybridMultilevel"/>
    <w:tmpl w:val="0A30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CF5D49"/>
    <w:multiLevelType w:val="hybridMultilevel"/>
    <w:tmpl w:val="3D126CA2"/>
    <w:lvl w:ilvl="0" w:tplc="0C090001">
      <w:start w:val="1"/>
      <w:numFmt w:val="bullet"/>
      <w:lvlText w:val=""/>
      <w:lvlJc w:val="left"/>
      <w:pPr>
        <w:ind w:left="720" w:hanging="360"/>
      </w:pPr>
      <w:rPr>
        <w:rFonts w:ascii="Symbol" w:hAnsi="Symbol" w:hint="default"/>
      </w:rPr>
    </w:lvl>
    <w:lvl w:ilvl="1" w:tplc="013A5CB0">
      <w:start w:val="2"/>
      <w:numFmt w:val="bullet"/>
      <w:lvlText w:val="•"/>
      <w:lvlJc w:val="left"/>
      <w:pPr>
        <w:ind w:left="1800" w:hanging="72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FA3C06"/>
    <w:multiLevelType w:val="hybridMultilevel"/>
    <w:tmpl w:val="0A3E64EA"/>
    <w:lvl w:ilvl="0" w:tplc="0C090001">
      <w:start w:val="1"/>
      <w:numFmt w:val="bullet"/>
      <w:lvlText w:val=""/>
      <w:lvlJc w:val="left"/>
      <w:pPr>
        <w:ind w:left="720" w:hanging="360"/>
      </w:pPr>
      <w:rPr>
        <w:rFonts w:ascii="Symbol" w:hAnsi="Symbol" w:hint="default"/>
      </w:rPr>
    </w:lvl>
    <w:lvl w:ilvl="1" w:tplc="CD9EE526">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95E91"/>
    <w:multiLevelType w:val="hybridMultilevel"/>
    <w:tmpl w:val="61D47E0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84D033C"/>
    <w:multiLevelType w:val="multilevel"/>
    <w:tmpl w:val="703C27C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EC272B"/>
    <w:multiLevelType w:val="hybridMultilevel"/>
    <w:tmpl w:val="5B1A6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FC0382"/>
    <w:multiLevelType w:val="hybridMultilevel"/>
    <w:tmpl w:val="D12AC282"/>
    <w:lvl w:ilvl="0" w:tplc="55F4CBD2">
      <w:start w:val="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4"/>
  </w:num>
  <w:num w:numId="2">
    <w:abstractNumId w:val="16"/>
  </w:num>
  <w:num w:numId="3">
    <w:abstractNumId w:val="0"/>
  </w:num>
  <w:num w:numId="4">
    <w:abstractNumId w:val="24"/>
  </w:num>
  <w:num w:numId="5">
    <w:abstractNumId w:val="25"/>
  </w:num>
  <w:num w:numId="6">
    <w:abstractNumId w:val="21"/>
  </w:num>
  <w:num w:numId="7">
    <w:abstractNumId w:val="17"/>
  </w:num>
  <w:num w:numId="8">
    <w:abstractNumId w:val="15"/>
  </w:num>
  <w:num w:numId="9">
    <w:abstractNumId w:val="8"/>
  </w:num>
  <w:num w:numId="10">
    <w:abstractNumId w:val="10"/>
  </w:num>
  <w:num w:numId="11">
    <w:abstractNumId w:val="4"/>
  </w:num>
  <w:num w:numId="12">
    <w:abstractNumId w:val="13"/>
  </w:num>
  <w:num w:numId="13">
    <w:abstractNumId w:val="2"/>
  </w:num>
  <w:num w:numId="14">
    <w:abstractNumId w:val="6"/>
  </w:num>
  <w:num w:numId="15">
    <w:abstractNumId w:val="20"/>
  </w:num>
  <w:num w:numId="16">
    <w:abstractNumId w:val="5"/>
  </w:num>
  <w:num w:numId="17">
    <w:abstractNumId w:val="23"/>
  </w:num>
  <w:num w:numId="18">
    <w:abstractNumId w:val="22"/>
  </w:num>
  <w:num w:numId="19">
    <w:abstractNumId w:val="18"/>
  </w:num>
  <w:num w:numId="20">
    <w:abstractNumId w:val="19"/>
  </w:num>
  <w:num w:numId="21">
    <w:abstractNumId w:val="3"/>
  </w:num>
  <w:num w:numId="22">
    <w:abstractNumId w:val="1"/>
  </w:num>
  <w:num w:numId="23">
    <w:abstractNumId w:val="9"/>
  </w:num>
  <w:num w:numId="24">
    <w:abstractNumId w:val="12"/>
  </w:num>
  <w:num w:numId="25">
    <w:abstractNumId w:val="7"/>
  </w:num>
  <w:num w:numId="26">
    <w:abstractNumId w:val="24"/>
  </w:num>
  <w:num w:numId="27">
    <w:abstractNumId w:val="24"/>
  </w:num>
  <w:num w:numId="28">
    <w:abstractNumId w:val="14"/>
  </w:num>
  <w:num w:numId="29">
    <w:abstractNumId w:val="11"/>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6"/>
  </w:num>
  <w:num w:numId="37">
    <w:abstractNumId w:val="24"/>
  </w:num>
  <w:num w:numId="38">
    <w:abstractNumId w:val="24"/>
  </w:num>
  <w:num w:numId="39">
    <w:abstractNumId w:val="24"/>
  </w:num>
  <w:num w:numId="40">
    <w:abstractNumId w:val="24"/>
  </w:num>
  <w:num w:numId="41">
    <w:abstractNumId w:val="24"/>
  </w:num>
  <w:num w:numId="4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8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5B2"/>
    <w:rsid w:val="00000790"/>
    <w:rsid w:val="0000110B"/>
    <w:rsid w:val="00003499"/>
    <w:rsid w:val="000039B7"/>
    <w:rsid w:val="0000562D"/>
    <w:rsid w:val="0000639A"/>
    <w:rsid w:val="0001190D"/>
    <w:rsid w:val="00013247"/>
    <w:rsid w:val="00015886"/>
    <w:rsid w:val="00015E21"/>
    <w:rsid w:val="00016107"/>
    <w:rsid w:val="000162EF"/>
    <w:rsid w:val="000207C9"/>
    <w:rsid w:val="0002225F"/>
    <w:rsid w:val="00023763"/>
    <w:rsid w:val="00026A49"/>
    <w:rsid w:val="000274B8"/>
    <w:rsid w:val="00033863"/>
    <w:rsid w:val="0003458F"/>
    <w:rsid w:val="00034ADE"/>
    <w:rsid w:val="00035DC0"/>
    <w:rsid w:val="00036829"/>
    <w:rsid w:val="00037C76"/>
    <w:rsid w:val="00040895"/>
    <w:rsid w:val="00041CEC"/>
    <w:rsid w:val="000435EE"/>
    <w:rsid w:val="00043742"/>
    <w:rsid w:val="00043C37"/>
    <w:rsid w:val="00045017"/>
    <w:rsid w:val="00045260"/>
    <w:rsid w:val="00045A2B"/>
    <w:rsid w:val="0004698F"/>
    <w:rsid w:val="00047407"/>
    <w:rsid w:val="00050703"/>
    <w:rsid w:val="000539D0"/>
    <w:rsid w:val="00053A08"/>
    <w:rsid w:val="00054621"/>
    <w:rsid w:val="000546D7"/>
    <w:rsid w:val="000562D8"/>
    <w:rsid w:val="00056ECF"/>
    <w:rsid w:val="00056F45"/>
    <w:rsid w:val="000604DF"/>
    <w:rsid w:val="0006102D"/>
    <w:rsid w:val="000653B5"/>
    <w:rsid w:val="00066360"/>
    <w:rsid w:val="00066AF8"/>
    <w:rsid w:val="00066BA5"/>
    <w:rsid w:val="00071248"/>
    <w:rsid w:val="000720B9"/>
    <w:rsid w:val="000737F7"/>
    <w:rsid w:val="000738DD"/>
    <w:rsid w:val="0007672F"/>
    <w:rsid w:val="00076B54"/>
    <w:rsid w:val="000774F0"/>
    <w:rsid w:val="000803C9"/>
    <w:rsid w:val="00080909"/>
    <w:rsid w:val="000812CA"/>
    <w:rsid w:val="00081E63"/>
    <w:rsid w:val="0008258D"/>
    <w:rsid w:val="00083E99"/>
    <w:rsid w:val="00084FA8"/>
    <w:rsid w:val="000856C5"/>
    <w:rsid w:val="000856E9"/>
    <w:rsid w:val="00085920"/>
    <w:rsid w:val="00085C31"/>
    <w:rsid w:val="000902D9"/>
    <w:rsid w:val="00090C7E"/>
    <w:rsid w:val="00092600"/>
    <w:rsid w:val="0009262B"/>
    <w:rsid w:val="00093310"/>
    <w:rsid w:val="00093849"/>
    <w:rsid w:val="0009445C"/>
    <w:rsid w:val="00095200"/>
    <w:rsid w:val="00095E0C"/>
    <w:rsid w:val="00095FE5"/>
    <w:rsid w:val="00096284"/>
    <w:rsid w:val="000A1BC0"/>
    <w:rsid w:val="000A4E1E"/>
    <w:rsid w:val="000A6039"/>
    <w:rsid w:val="000A6134"/>
    <w:rsid w:val="000A705C"/>
    <w:rsid w:val="000A7453"/>
    <w:rsid w:val="000A7614"/>
    <w:rsid w:val="000A7D08"/>
    <w:rsid w:val="000B0121"/>
    <w:rsid w:val="000B0670"/>
    <w:rsid w:val="000B0E1E"/>
    <w:rsid w:val="000B0E75"/>
    <w:rsid w:val="000B2AAF"/>
    <w:rsid w:val="000B2DCB"/>
    <w:rsid w:val="000B3A29"/>
    <w:rsid w:val="000B5CE0"/>
    <w:rsid w:val="000B67F7"/>
    <w:rsid w:val="000B6CAC"/>
    <w:rsid w:val="000B7612"/>
    <w:rsid w:val="000B78AE"/>
    <w:rsid w:val="000C2725"/>
    <w:rsid w:val="000C3DF9"/>
    <w:rsid w:val="000C6713"/>
    <w:rsid w:val="000C6B07"/>
    <w:rsid w:val="000D1BFC"/>
    <w:rsid w:val="000D1D5D"/>
    <w:rsid w:val="000D281A"/>
    <w:rsid w:val="000D2848"/>
    <w:rsid w:val="000D326A"/>
    <w:rsid w:val="000D51FB"/>
    <w:rsid w:val="000E0640"/>
    <w:rsid w:val="000E135D"/>
    <w:rsid w:val="000E5684"/>
    <w:rsid w:val="000F00BA"/>
    <w:rsid w:val="000F2946"/>
    <w:rsid w:val="000F316A"/>
    <w:rsid w:val="000F3C74"/>
    <w:rsid w:val="000F48FF"/>
    <w:rsid w:val="000F4BB8"/>
    <w:rsid w:val="000F4FA9"/>
    <w:rsid w:val="000F53FB"/>
    <w:rsid w:val="000F7127"/>
    <w:rsid w:val="000F7B54"/>
    <w:rsid w:val="0010055C"/>
    <w:rsid w:val="00100F8A"/>
    <w:rsid w:val="00102A2C"/>
    <w:rsid w:val="0010452E"/>
    <w:rsid w:val="00105AE2"/>
    <w:rsid w:val="001060C6"/>
    <w:rsid w:val="00106B80"/>
    <w:rsid w:val="00106DFF"/>
    <w:rsid w:val="00107A63"/>
    <w:rsid w:val="0011032E"/>
    <w:rsid w:val="001119CB"/>
    <w:rsid w:val="00111D50"/>
    <w:rsid w:val="00112E95"/>
    <w:rsid w:val="0011348B"/>
    <w:rsid w:val="00113EDB"/>
    <w:rsid w:val="00115425"/>
    <w:rsid w:val="00115982"/>
    <w:rsid w:val="00116C53"/>
    <w:rsid w:val="00121799"/>
    <w:rsid w:val="001222FC"/>
    <w:rsid w:val="00122C40"/>
    <w:rsid w:val="00123902"/>
    <w:rsid w:val="00124A51"/>
    <w:rsid w:val="001261FD"/>
    <w:rsid w:val="00126621"/>
    <w:rsid w:val="001267F6"/>
    <w:rsid w:val="0012684A"/>
    <w:rsid w:val="00126B1D"/>
    <w:rsid w:val="001301E9"/>
    <w:rsid w:val="00131D82"/>
    <w:rsid w:val="00132B22"/>
    <w:rsid w:val="00133D36"/>
    <w:rsid w:val="001372CD"/>
    <w:rsid w:val="001372F2"/>
    <w:rsid w:val="00137645"/>
    <w:rsid w:val="0014015A"/>
    <w:rsid w:val="00140E99"/>
    <w:rsid w:val="0014275E"/>
    <w:rsid w:val="00143F67"/>
    <w:rsid w:val="00145540"/>
    <w:rsid w:val="001456B0"/>
    <w:rsid w:val="0014692A"/>
    <w:rsid w:val="00153AE4"/>
    <w:rsid w:val="00156F8F"/>
    <w:rsid w:val="00157130"/>
    <w:rsid w:val="001576B1"/>
    <w:rsid w:val="00157A4A"/>
    <w:rsid w:val="0016047B"/>
    <w:rsid w:val="00160A4C"/>
    <w:rsid w:val="00162913"/>
    <w:rsid w:val="00162B9F"/>
    <w:rsid w:val="00163EFF"/>
    <w:rsid w:val="00163F66"/>
    <w:rsid w:val="001649D3"/>
    <w:rsid w:val="00165D2F"/>
    <w:rsid w:val="001661FB"/>
    <w:rsid w:val="00167016"/>
    <w:rsid w:val="001671A0"/>
    <w:rsid w:val="0016767F"/>
    <w:rsid w:val="0017242E"/>
    <w:rsid w:val="00173565"/>
    <w:rsid w:val="00173B07"/>
    <w:rsid w:val="001751FA"/>
    <w:rsid w:val="00176A1E"/>
    <w:rsid w:val="00177267"/>
    <w:rsid w:val="00181B07"/>
    <w:rsid w:val="00181D9C"/>
    <w:rsid w:val="0018241F"/>
    <w:rsid w:val="00184B0E"/>
    <w:rsid w:val="001870A2"/>
    <w:rsid w:val="0018752F"/>
    <w:rsid w:val="0019121C"/>
    <w:rsid w:val="00191AC0"/>
    <w:rsid w:val="00193838"/>
    <w:rsid w:val="00194AD8"/>
    <w:rsid w:val="00194C3E"/>
    <w:rsid w:val="00195222"/>
    <w:rsid w:val="00195799"/>
    <w:rsid w:val="0019640C"/>
    <w:rsid w:val="00196E44"/>
    <w:rsid w:val="001975D8"/>
    <w:rsid w:val="001A178E"/>
    <w:rsid w:val="001A18FE"/>
    <w:rsid w:val="001A2665"/>
    <w:rsid w:val="001A284A"/>
    <w:rsid w:val="001A3D21"/>
    <w:rsid w:val="001A43FA"/>
    <w:rsid w:val="001A47C5"/>
    <w:rsid w:val="001A4B34"/>
    <w:rsid w:val="001A59FB"/>
    <w:rsid w:val="001A5E9E"/>
    <w:rsid w:val="001A6354"/>
    <w:rsid w:val="001A6366"/>
    <w:rsid w:val="001A7AE8"/>
    <w:rsid w:val="001B204E"/>
    <w:rsid w:val="001B2372"/>
    <w:rsid w:val="001B2F16"/>
    <w:rsid w:val="001B3443"/>
    <w:rsid w:val="001B4D20"/>
    <w:rsid w:val="001B6291"/>
    <w:rsid w:val="001C2A9B"/>
    <w:rsid w:val="001C33A0"/>
    <w:rsid w:val="001C3560"/>
    <w:rsid w:val="001C4299"/>
    <w:rsid w:val="001C4874"/>
    <w:rsid w:val="001C5F94"/>
    <w:rsid w:val="001C6E66"/>
    <w:rsid w:val="001C77FB"/>
    <w:rsid w:val="001D1100"/>
    <w:rsid w:val="001D1391"/>
    <w:rsid w:val="001D1FB5"/>
    <w:rsid w:val="001D25D7"/>
    <w:rsid w:val="001D28C0"/>
    <w:rsid w:val="001D50B2"/>
    <w:rsid w:val="001D539E"/>
    <w:rsid w:val="001D7354"/>
    <w:rsid w:val="001D7645"/>
    <w:rsid w:val="001E1E86"/>
    <w:rsid w:val="001E238E"/>
    <w:rsid w:val="001E2483"/>
    <w:rsid w:val="001E2B1E"/>
    <w:rsid w:val="001E2CFF"/>
    <w:rsid w:val="001E2D6C"/>
    <w:rsid w:val="001E2F24"/>
    <w:rsid w:val="001E30D4"/>
    <w:rsid w:val="001E34DF"/>
    <w:rsid w:val="001E4567"/>
    <w:rsid w:val="001E4A2A"/>
    <w:rsid w:val="001E52EB"/>
    <w:rsid w:val="001E61D2"/>
    <w:rsid w:val="001E740C"/>
    <w:rsid w:val="001F1235"/>
    <w:rsid w:val="001F1CB3"/>
    <w:rsid w:val="001F2670"/>
    <w:rsid w:val="001F38B5"/>
    <w:rsid w:val="001F4081"/>
    <w:rsid w:val="001F7361"/>
    <w:rsid w:val="00200DFE"/>
    <w:rsid w:val="002011B0"/>
    <w:rsid w:val="00202369"/>
    <w:rsid w:val="00203181"/>
    <w:rsid w:val="00203783"/>
    <w:rsid w:val="0020385F"/>
    <w:rsid w:val="00203DD8"/>
    <w:rsid w:val="002040FA"/>
    <w:rsid w:val="00204C5D"/>
    <w:rsid w:val="002068A0"/>
    <w:rsid w:val="002069F5"/>
    <w:rsid w:val="00207021"/>
    <w:rsid w:val="0020708C"/>
    <w:rsid w:val="0020732F"/>
    <w:rsid w:val="00207D00"/>
    <w:rsid w:val="00207F12"/>
    <w:rsid w:val="002105C1"/>
    <w:rsid w:val="002139BC"/>
    <w:rsid w:val="00213EF5"/>
    <w:rsid w:val="00216BF5"/>
    <w:rsid w:val="00216F83"/>
    <w:rsid w:val="00221E6B"/>
    <w:rsid w:val="00223B49"/>
    <w:rsid w:val="00223D5A"/>
    <w:rsid w:val="00224DD4"/>
    <w:rsid w:val="00225792"/>
    <w:rsid w:val="00225D77"/>
    <w:rsid w:val="00227418"/>
    <w:rsid w:val="002278A0"/>
    <w:rsid w:val="002302C7"/>
    <w:rsid w:val="002308A0"/>
    <w:rsid w:val="002309CC"/>
    <w:rsid w:val="0023209F"/>
    <w:rsid w:val="00233577"/>
    <w:rsid w:val="00233C01"/>
    <w:rsid w:val="0023413C"/>
    <w:rsid w:val="002346F0"/>
    <w:rsid w:val="0023629D"/>
    <w:rsid w:val="00237255"/>
    <w:rsid w:val="002424AF"/>
    <w:rsid w:val="002439DC"/>
    <w:rsid w:val="002441D2"/>
    <w:rsid w:val="00244DC8"/>
    <w:rsid w:val="002458BA"/>
    <w:rsid w:val="00245CE9"/>
    <w:rsid w:val="0024636C"/>
    <w:rsid w:val="00246A49"/>
    <w:rsid w:val="00247925"/>
    <w:rsid w:val="00251006"/>
    <w:rsid w:val="00251819"/>
    <w:rsid w:val="00251E66"/>
    <w:rsid w:val="002524D5"/>
    <w:rsid w:val="00253B1D"/>
    <w:rsid w:val="00254DCF"/>
    <w:rsid w:val="0025534B"/>
    <w:rsid w:val="00255BB7"/>
    <w:rsid w:val="00257541"/>
    <w:rsid w:val="00257A39"/>
    <w:rsid w:val="00257AC4"/>
    <w:rsid w:val="00260A0C"/>
    <w:rsid w:val="00261EEF"/>
    <w:rsid w:val="00262241"/>
    <w:rsid w:val="00262296"/>
    <w:rsid w:val="00262A1A"/>
    <w:rsid w:val="00262A87"/>
    <w:rsid w:val="00264D26"/>
    <w:rsid w:val="00267642"/>
    <w:rsid w:val="00267AEA"/>
    <w:rsid w:val="002700E6"/>
    <w:rsid w:val="002706A6"/>
    <w:rsid w:val="0027076B"/>
    <w:rsid w:val="00271CB7"/>
    <w:rsid w:val="00271F92"/>
    <w:rsid w:val="002721AA"/>
    <w:rsid w:val="0027294B"/>
    <w:rsid w:val="0027394A"/>
    <w:rsid w:val="00273EB4"/>
    <w:rsid w:val="00274682"/>
    <w:rsid w:val="00275C5A"/>
    <w:rsid w:val="002771AE"/>
    <w:rsid w:val="00281014"/>
    <w:rsid w:val="00282385"/>
    <w:rsid w:val="002842B8"/>
    <w:rsid w:val="0028665D"/>
    <w:rsid w:val="00290094"/>
    <w:rsid w:val="00297587"/>
    <w:rsid w:val="002A0D09"/>
    <w:rsid w:val="002A14AB"/>
    <w:rsid w:val="002A2153"/>
    <w:rsid w:val="002A2ADE"/>
    <w:rsid w:val="002A2F50"/>
    <w:rsid w:val="002B05A1"/>
    <w:rsid w:val="002B09A4"/>
    <w:rsid w:val="002B1C1F"/>
    <w:rsid w:val="002B25BE"/>
    <w:rsid w:val="002B3559"/>
    <w:rsid w:val="002B42BC"/>
    <w:rsid w:val="002B432F"/>
    <w:rsid w:val="002B62B3"/>
    <w:rsid w:val="002B6754"/>
    <w:rsid w:val="002B6B00"/>
    <w:rsid w:val="002B6CCE"/>
    <w:rsid w:val="002C2510"/>
    <w:rsid w:val="002C2775"/>
    <w:rsid w:val="002C27C1"/>
    <w:rsid w:val="002C5099"/>
    <w:rsid w:val="002C5889"/>
    <w:rsid w:val="002C62BF"/>
    <w:rsid w:val="002C71CE"/>
    <w:rsid w:val="002D0722"/>
    <w:rsid w:val="002D08F8"/>
    <w:rsid w:val="002D1DC8"/>
    <w:rsid w:val="002D577C"/>
    <w:rsid w:val="002E0CB5"/>
    <w:rsid w:val="002E1071"/>
    <w:rsid w:val="002E15B9"/>
    <w:rsid w:val="002E19C7"/>
    <w:rsid w:val="002E2158"/>
    <w:rsid w:val="002E40D9"/>
    <w:rsid w:val="002E4F02"/>
    <w:rsid w:val="002E5C85"/>
    <w:rsid w:val="002E5F4A"/>
    <w:rsid w:val="002E646A"/>
    <w:rsid w:val="002E75F9"/>
    <w:rsid w:val="002E7722"/>
    <w:rsid w:val="002F07BA"/>
    <w:rsid w:val="002F0DA9"/>
    <w:rsid w:val="002F1014"/>
    <w:rsid w:val="002F5F16"/>
    <w:rsid w:val="002F5FEE"/>
    <w:rsid w:val="002F643C"/>
    <w:rsid w:val="002F71C0"/>
    <w:rsid w:val="002F74F1"/>
    <w:rsid w:val="00301017"/>
    <w:rsid w:val="0030155F"/>
    <w:rsid w:val="003016EC"/>
    <w:rsid w:val="00302EA1"/>
    <w:rsid w:val="0030587B"/>
    <w:rsid w:val="0030588A"/>
    <w:rsid w:val="00306D98"/>
    <w:rsid w:val="0030786C"/>
    <w:rsid w:val="0031031A"/>
    <w:rsid w:val="00310981"/>
    <w:rsid w:val="00310EC0"/>
    <w:rsid w:val="00311FC0"/>
    <w:rsid w:val="003124D9"/>
    <w:rsid w:val="00312594"/>
    <w:rsid w:val="00315498"/>
    <w:rsid w:val="00315780"/>
    <w:rsid w:val="00316474"/>
    <w:rsid w:val="003169AD"/>
    <w:rsid w:val="00321735"/>
    <w:rsid w:val="00322107"/>
    <w:rsid w:val="00322355"/>
    <w:rsid w:val="00322846"/>
    <w:rsid w:val="003239B9"/>
    <w:rsid w:val="00324768"/>
    <w:rsid w:val="00325837"/>
    <w:rsid w:val="00326DA7"/>
    <w:rsid w:val="003270E4"/>
    <w:rsid w:val="00330DAA"/>
    <w:rsid w:val="00330F5C"/>
    <w:rsid w:val="00333DA1"/>
    <w:rsid w:val="003366C9"/>
    <w:rsid w:val="003371B0"/>
    <w:rsid w:val="00340DF1"/>
    <w:rsid w:val="00342C0F"/>
    <w:rsid w:val="00344C4F"/>
    <w:rsid w:val="00346EC4"/>
    <w:rsid w:val="00350F99"/>
    <w:rsid w:val="003517F9"/>
    <w:rsid w:val="00351938"/>
    <w:rsid w:val="00351BA9"/>
    <w:rsid w:val="00352632"/>
    <w:rsid w:val="00353F7E"/>
    <w:rsid w:val="003545CF"/>
    <w:rsid w:val="00354F64"/>
    <w:rsid w:val="00355173"/>
    <w:rsid w:val="00355C2C"/>
    <w:rsid w:val="0035620E"/>
    <w:rsid w:val="0036020B"/>
    <w:rsid w:val="00360345"/>
    <w:rsid w:val="003609BB"/>
    <w:rsid w:val="00361A05"/>
    <w:rsid w:val="003624C4"/>
    <w:rsid w:val="00363B00"/>
    <w:rsid w:val="003654AC"/>
    <w:rsid w:val="003710CF"/>
    <w:rsid w:val="0037358A"/>
    <w:rsid w:val="003750F6"/>
    <w:rsid w:val="003760FC"/>
    <w:rsid w:val="003813FF"/>
    <w:rsid w:val="0038365C"/>
    <w:rsid w:val="0038369B"/>
    <w:rsid w:val="00383B78"/>
    <w:rsid w:val="0038423C"/>
    <w:rsid w:val="00384A4C"/>
    <w:rsid w:val="00384F1B"/>
    <w:rsid w:val="0038592B"/>
    <w:rsid w:val="00385A9D"/>
    <w:rsid w:val="003902B1"/>
    <w:rsid w:val="003909D7"/>
    <w:rsid w:val="0039179C"/>
    <w:rsid w:val="00396896"/>
    <w:rsid w:val="00396FD0"/>
    <w:rsid w:val="003A1A7A"/>
    <w:rsid w:val="003A2392"/>
    <w:rsid w:val="003A2831"/>
    <w:rsid w:val="003A3143"/>
    <w:rsid w:val="003A3CB6"/>
    <w:rsid w:val="003A3ED1"/>
    <w:rsid w:val="003A44DB"/>
    <w:rsid w:val="003A569F"/>
    <w:rsid w:val="003A61BD"/>
    <w:rsid w:val="003A6913"/>
    <w:rsid w:val="003A6CAD"/>
    <w:rsid w:val="003B3971"/>
    <w:rsid w:val="003B55D1"/>
    <w:rsid w:val="003B5B61"/>
    <w:rsid w:val="003B7564"/>
    <w:rsid w:val="003C04F9"/>
    <w:rsid w:val="003C126C"/>
    <w:rsid w:val="003C1654"/>
    <w:rsid w:val="003C1AC2"/>
    <w:rsid w:val="003C49A4"/>
    <w:rsid w:val="003C5542"/>
    <w:rsid w:val="003C7D19"/>
    <w:rsid w:val="003C7D2F"/>
    <w:rsid w:val="003D1828"/>
    <w:rsid w:val="003D1DE4"/>
    <w:rsid w:val="003D1E9A"/>
    <w:rsid w:val="003D2422"/>
    <w:rsid w:val="003D39A1"/>
    <w:rsid w:val="003D3FBF"/>
    <w:rsid w:val="003D4A30"/>
    <w:rsid w:val="003D7452"/>
    <w:rsid w:val="003D79BB"/>
    <w:rsid w:val="003D7C98"/>
    <w:rsid w:val="003D7D9D"/>
    <w:rsid w:val="003E0543"/>
    <w:rsid w:val="003E168C"/>
    <w:rsid w:val="003E1D6C"/>
    <w:rsid w:val="003E749E"/>
    <w:rsid w:val="003F075A"/>
    <w:rsid w:val="003F1495"/>
    <w:rsid w:val="003F3125"/>
    <w:rsid w:val="003F4156"/>
    <w:rsid w:val="003F5ADF"/>
    <w:rsid w:val="003F7EB8"/>
    <w:rsid w:val="00400B29"/>
    <w:rsid w:val="0040163F"/>
    <w:rsid w:val="0040504B"/>
    <w:rsid w:val="004059F4"/>
    <w:rsid w:val="00406AD0"/>
    <w:rsid w:val="00407FE5"/>
    <w:rsid w:val="004101B0"/>
    <w:rsid w:val="00410326"/>
    <w:rsid w:val="00410708"/>
    <w:rsid w:val="00410EC7"/>
    <w:rsid w:val="00411B39"/>
    <w:rsid w:val="00412183"/>
    <w:rsid w:val="00412393"/>
    <w:rsid w:val="004127A7"/>
    <w:rsid w:val="00412BEC"/>
    <w:rsid w:val="00413A1E"/>
    <w:rsid w:val="00414476"/>
    <w:rsid w:val="00414C2E"/>
    <w:rsid w:val="004151CF"/>
    <w:rsid w:val="00416364"/>
    <w:rsid w:val="0042047F"/>
    <w:rsid w:val="00420AA6"/>
    <w:rsid w:val="00420B9F"/>
    <w:rsid w:val="00421853"/>
    <w:rsid w:val="0042192C"/>
    <w:rsid w:val="00421D4C"/>
    <w:rsid w:val="00422260"/>
    <w:rsid w:val="0042278A"/>
    <w:rsid w:val="00423692"/>
    <w:rsid w:val="0042413F"/>
    <w:rsid w:val="004304B6"/>
    <w:rsid w:val="004307B9"/>
    <w:rsid w:val="004319F8"/>
    <w:rsid w:val="00431E48"/>
    <w:rsid w:val="00431E55"/>
    <w:rsid w:val="004321F6"/>
    <w:rsid w:val="00433044"/>
    <w:rsid w:val="00434088"/>
    <w:rsid w:val="004375B9"/>
    <w:rsid w:val="00437E4F"/>
    <w:rsid w:val="004428D0"/>
    <w:rsid w:val="00443636"/>
    <w:rsid w:val="00444185"/>
    <w:rsid w:val="004443A7"/>
    <w:rsid w:val="0044442C"/>
    <w:rsid w:val="004448C0"/>
    <w:rsid w:val="00444C16"/>
    <w:rsid w:val="00445941"/>
    <w:rsid w:val="004464EB"/>
    <w:rsid w:val="00447D26"/>
    <w:rsid w:val="00447DFC"/>
    <w:rsid w:val="004527F6"/>
    <w:rsid w:val="00454FB2"/>
    <w:rsid w:val="00455D45"/>
    <w:rsid w:val="0046017E"/>
    <w:rsid w:val="00460354"/>
    <w:rsid w:val="00460FF6"/>
    <w:rsid w:val="0046174F"/>
    <w:rsid w:val="00464595"/>
    <w:rsid w:val="004653F9"/>
    <w:rsid w:val="004658B5"/>
    <w:rsid w:val="00466554"/>
    <w:rsid w:val="00471EA5"/>
    <w:rsid w:val="00472A79"/>
    <w:rsid w:val="00473F19"/>
    <w:rsid w:val="004751D1"/>
    <w:rsid w:val="00475E22"/>
    <w:rsid w:val="0047655C"/>
    <w:rsid w:val="00477A94"/>
    <w:rsid w:val="00477ED2"/>
    <w:rsid w:val="0048088E"/>
    <w:rsid w:val="00480F2B"/>
    <w:rsid w:val="00482720"/>
    <w:rsid w:val="004835E7"/>
    <w:rsid w:val="00484148"/>
    <w:rsid w:val="0048427C"/>
    <w:rsid w:val="004867E2"/>
    <w:rsid w:val="00490B17"/>
    <w:rsid w:val="00491B3A"/>
    <w:rsid w:val="00491E53"/>
    <w:rsid w:val="00492C9C"/>
    <w:rsid w:val="00492CFD"/>
    <w:rsid w:val="00494207"/>
    <w:rsid w:val="00494DD5"/>
    <w:rsid w:val="00494F59"/>
    <w:rsid w:val="00495619"/>
    <w:rsid w:val="004962D2"/>
    <w:rsid w:val="0049733E"/>
    <w:rsid w:val="004A0DA1"/>
    <w:rsid w:val="004A13D6"/>
    <w:rsid w:val="004A1DFE"/>
    <w:rsid w:val="004A2BED"/>
    <w:rsid w:val="004A36A9"/>
    <w:rsid w:val="004A47EF"/>
    <w:rsid w:val="004A52E9"/>
    <w:rsid w:val="004A6040"/>
    <w:rsid w:val="004A6597"/>
    <w:rsid w:val="004A6846"/>
    <w:rsid w:val="004A6FEC"/>
    <w:rsid w:val="004A7848"/>
    <w:rsid w:val="004B1CB4"/>
    <w:rsid w:val="004B2F18"/>
    <w:rsid w:val="004B3DDB"/>
    <w:rsid w:val="004B44FD"/>
    <w:rsid w:val="004B4798"/>
    <w:rsid w:val="004B5993"/>
    <w:rsid w:val="004B5CFC"/>
    <w:rsid w:val="004B6B40"/>
    <w:rsid w:val="004B6F79"/>
    <w:rsid w:val="004B774D"/>
    <w:rsid w:val="004C099B"/>
    <w:rsid w:val="004C1936"/>
    <w:rsid w:val="004C4AED"/>
    <w:rsid w:val="004C7E96"/>
    <w:rsid w:val="004D00C7"/>
    <w:rsid w:val="004D0364"/>
    <w:rsid w:val="004D0753"/>
    <w:rsid w:val="004D2C2D"/>
    <w:rsid w:val="004D69B5"/>
    <w:rsid w:val="004D7227"/>
    <w:rsid w:val="004E0456"/>
    <w:rsid w:val="004E0E7F"/>
    <w:rsid w:val="004E0EB8"/>
    <w:rsid w:val="004E18E9"/>
    <w:rsid w:val="004E2ADC"/>
    <w:rsid w:val="004E43B2"/>
    <w:rsid w:val="004E66E3"/>
    <w:rsid w:val="004E6A2A"/>
    <w:rsid w:val="004F0FFD"/>
    <w:rsid w:val="004F16F3"/>
    <w:rsid w:val="004F1D02"/>
    <w:rsid w:val="004F2679"/>
    <w:rsid w:val="004F2F21"/>
    <w:rsid w:val="004F3DE5"/>
    <w:rsid w:val="004F679B"/>
    <w:rsid w:val="004F6913"/>
    <w:rsid w:val="004F7865"/>
    <w:rsid w:val="0050174E"/>
    <w:rsid w:val="00501854"/>
    <w:rsid w:val="0050219B"/>
    <w:rsid w:val="0050234C"/>
    <w:rsid w:val="00503F17"/>
    <w:rsid w:val="00506928"/>
    <w:rsid w:val="005077EF"/>
    <w:rsid w:val="00511AD5"/>
    <w:rsid w:val="00511DC7"/>
    <w:rsid w:val="005135D6"/>
    <w:rsid w:val="005142C5"/>
    <w:rsid w:val="0051501B"/>
    <w:rsid w:val="005152B5"/>
    <w:rsid w:val="00520069"/>
    <w:rsid w:val="0052123C"/>
    <w:rsid w:val="00521319"/>
    <w:rsid w:val="00522BC8"/>
    <w:rsid w:val="00523C28"/>
    <w:rsid w:val="005254C4"/>
    <w:rsid w:val="005275B5"/>
    <w:rsid w:val="005304D2"/>
    <w:rsid w:val="0053176B"/>
    <w:rsid w:val="005362C6"/>
    <w:rsid w:val="00536F42"/>
    <w:rsid w:val="00537182"/>
    <w:rsid w:val="00541EDD"/>
    <w:rsid w:val="00542743"/>
    <w:rsid w:val="00542C2D"/>
    <w:rsid w:val="00544BA3"/>
    <w:rsid w:val="00546025"/>
    <w:rsid w:val="00547038"/>
    <w:rsid w:val="005478BD"/>
    <w:rsid w:val="005479E3"/>
    <w:rsid w:val="00547B0C"/>
    <w:rsid w:val="00551985"/>
    <w:rsid w:val="00551E44"/>
    <w:rsid w:val="00552BD3"/>
    <w:rsid w:val="005532A0"/>
    <w:rsid w:val="005541D6"/>
    <w:rsid w:val="00555109"/>
    <w:rsid w:val="00556403"/>
    <w:rsid w:val="00556AA8"/>
    <w:rsid w:val="00556B35"/>
    <w:rsid w:val="0055741A"/>
    <w:rsid w:val="00560955"/>
    <w:rsid w:val="00560B99"/>
    <w:rsid w:val="005611B7"/>
    <w:rsid w:val="005618D4"/>
    <w:rsid w:val="00561CD3"/>
    <w:rsid w:val="005627F5"/>
    <w:rsid w:val="00565DF0"/>
    <w:rsid w:val="0056696F"/>
    <w:rsid w:val="0056788A"/>
    <w:rsid w:val="00567AAF"/>
    <w:rsid w:val="005701E4"/>
    <w:rsid w:val="00572269"/>
    <w:rsid w:val="0057244A"/>
    <w:rsid w:val="00572F26"/>
    <w:rsid w:val="005750C5"/>
    <w:rsid w:val="005752DE"/>
    <w:rsid w:val="00575D8D"/>
    <w:rsid w:val="00576972"/>
    <w:rsid w:val="00576F56"/>
    <w:rsid w:val="00583699"/>
    <w:rsid w:val="00583E6B"/>
    <w:rsid w:val="00585CDD"/>
    <w:rsid w:val="00587058"/>
    <w:rsid w:val="005900B6"/>
    <w:rsid w:val="00591957"/>
    <w:rsid w:val="00592441"/>
    <w:rsid w:val="005932BA"/>
    <w:rsid w:val="00597BF9"/>
    <w:rsid w:val="00597F14"/>
    <w:rsid w:val="005A309A"/>
    <w:rsid w:val="005A31F7"/>
    <w:rsid w:val="005A373D"/>
    <w:rsid w:val="005A411A"/>
    <w:rsid w:val="005A4EFE"/>
    <w:rsid w:val="005A58C8"/>
    <w:rsid w:val="005A6621"/>
    <w:rsid w:val="005A7BAD"/>
    <w:rsid w:val="005B0B58"/>
    <w:rsid w:val="005B2044"/>
    <w:rsid w:val="005B3EE3"/>
    <w:rsid w:val="005B4E53"/>
    <w:rsid w:val="005B5857"/>
    <w:rsid w:val="005C0E07"/>
    <w:rsid w:val="005C1B83"/>
    <w:rsid w:val="005C25FF"/>
    <w:rsid w:val="005C2D55"/>
    <w:rsid w:val="005C346B"/>
    <w:rsid w:val="005C5867"/>
    <w:rsid w:val="005C6DBF"/>
    <w:rsid w:val="005C7F1D"/>
    <w:rsid w:val="005D0295"/>
    <w:rsid w:val="005D044D"/>
    <w:rsid w:val="005D0ABD"/>
    <w:rsid w:val="005D18AD"/>
    <w:rsid w:val="005D26B4"/>
    <w:rsid w:val="005D3758"/>
    <w:rsid w:val="005D4417"/>
    <w:rsid w:val="005D6CB0"/>
    <w:rsid w:val="005E1EB0"/>
    <w:rsid w:val="005E39C2"/>
    <w:rsid w:val="005E3BE8"/>
    <w:rsid w:val="005E3DF4"/>
    <w:rsid w:val="005E5028"/>
    <w:rsid w:val="005E5531"/>
    <w:rsid w:val="005E61EE"/>
    <w:rsid w:val="005E6CBC"/>
    <w:rsid w:val="005E72FF"/>
    <w:rsid w:val="005E73C0"/>
    <w:rsid w:val="005F2161"/>
    <w:rsid w:val="005F2706"/>
    <w:rsid w:val="005F4D01"/>
    <w:rsid w:val="005F4F09"/>
    <w:rsid w:val="005F5678"/>
    <w:rsid w:val="005F6A8F"/>
    <w:rsid w:val="005F6BB7"/>
    <w:rsid w:val="005F7049"/>
    <w:rsid w:val="005F7588"/>
    <w:rsid w:val="00600555"/>
    <w:rsid w:val="00601902"/>
    <w:rsid w:val="00603DB9"/>
    <w:rsid w:val="00606FBA"/>
    <w:rsid w:val="00607669"/>
    <w:rsid w:val="006076F4"/>
    <w:rsid w:val="00607AFD"/>
    <w:rsid w:val="00612F97"/>
    <w:rsid w:val="0061345D"/>
    <w:rsid w:val="0061549B"/>
    <w:rsid w:val="00615ADF"/>
    <w:rsid w:val="00616802"/>
    <w:rsid w:val="00617E12"/>
    <w:rsid w:val="00620C25"/>
    <w:rsid w:val="00621477"/>
    <w:rsid w:val="00621ADA"/>
    <w:rsid w:val="006236F3"/>
    <w:rsid w:val="00623F7B"/>
    <w:rsid w:val="00625AFA"/>
    <w:rsid w:val="00630AB4"/>
    <w:rsid w:val="0063158F"/>
    <w:rsid w:val="00631D6B"/>
    <w:rsid w:val="00632183"/>
    <w:rsid w:val="006330A1"/>
    <w:rsid w:val="00633200"/>
    <w:rsid w:val="0063321A"/>
    <w:rsid w:val="0063479F"/>
    <w:rsid w:val="006353F0"/>
    <w:rsid w:val="006357B5"/>
    <w:rsid w:val="00636396"/>
    <w:rsid w:val="006364A1"/>
    <w:rsid w:val="0063678E"/>
    <w:rsid w:val="00637BFD"/>
    <w:rsid w:val="00641C3C"/>
    <w:rsid w:val="00641C4E"/>
    <w:rsid w:val="00641FB3"/>
    <w:rsid w:val="0064434C"/>
    <w:rsid w:val="0064617E"/>
    <w:rsid w:val="006471CC"/>
    <w:rsid w:val="00647A29"/>
    <w:rsid w:val="0065079F"/>
    <w:rsid w:val="00652A28"/>
    <w:rsid w:val="006534DC"/>
    <w:rsid w:val="0065379F"/>
    <w:rsid w:val="00656188"/>
    <w:rsid w:val="00656DFD"/>
    <w:rsid w:val="0065715A"/>
    <w:rsid w:val="006610F1"/>
    <w:rsid w:val="00661C6B"/>
    <w:rsid w:val="006622AD"/>
    <w:rsid w:val="00667740"/>
    <w:rsid w:val="00671004"/>
    <w:rsid w:val="006717B6"/>
    <w:rsid w:val="00672027"/>
    <w:rsid w:val="00672646"/>
    <w:rsid w:val="006726B8"/>
    <w:rsid w:val="00672BBB"/>
    <w:rsid w:val="00674E42"/>
    <w:rsid w:val="006813F8"/>
    <w:rsid w:val="00682112"/>
    <w:rsid w:val="00682BA6"/>
    <w:rsid w:val="00685C52"/>
    <w:rsid w:val="00686957"/>
    <w:rsid w:val="00686FBC"/>
    <w:rsid w:val="006872BA"/>
    <w:rsid w:val="00690795"/>
    <w:rsid w:val="00691648"/>
    <w:rsid w:val="006917D7"/>
    <w:rsid w:val="006933DD"/>
    <w:rsid w:val="006939F8"/>
    <w:rsid w:val="00693C6F"/>
    <w:rsid w:val="0069434C"/>
    <w:rsid w:val="006945F5"/>
    <w:rsid w:val="00694CD0"/>
    <w:rsid w:val="00694F44"/>
    <w:rsid w:val="00695B03"/>
    <w:rsid w:val="00696F51"/>
    <w:rsid w:val="006979A5"/>
    <w:rsid w:val="006A3A5D"/>
    <w:rsid w:val="006A6B99"/>
    <w:rsid w:val="006A7E5F"/>
    <w:rsid w:val="006B261B"/>
    <w:rsid w:val="006B2C90"/>
    <w:rsid w:val="006B35E6"/>
    <w:rsid w:val="006B4443"/>
    <w:rsid w:val="006B465A"/>
    <w:rsid w:val="006B6DD0"/>
    <w:rsid w:val="006B7FA1"/>
    <w:rsid w:val="006C0399"/>
    <w:rsid w:val="006C2A8E"/>
    <w:rsid w:val="006C2C40"/>
    <w:rsid w:val="006C3255"/>
    <w:rsid w:val="006C3F26"/>
    <w:rsid w:val="006C4BDC"/>
    <w:rsid w:val="006C6836"/>
    <w:rsid w:val="006D03E3"/>
    <w:rsid w:val="006D0D17"/>
    <w:rsid w:val="006D2D73"/>
    <w:rsid w:val="006D3C7D"/>
    <w:rsid w:val="006D3DC8"/>
    <w:rsid w:val="006D4659"/>
    <w:rsid w:val="006D5D5F"/>
    <w:rsid w:val="006D68FB"/>
    <w:rsid w:val="006E0F4C"/>
    <w:rsid w:val="006E1D1A"/>
    <w:rsid w:val="006E2868"/>
    <w:rsid w:val="006E33D7"/>
    <w:rsid w:val="006F1B0D"/>
    <w:rsid w:val="006F1C9B"/>
    <w:rsid w:val="006F306C"/>
    <w:rsid w:val="006F57E7"/>
    <w:rsid w:val="006F63A5"/>
    <w:rsid w:val="006F65F8"/>
    <w:rsid w:val="006F7F97"/>
    <w:rsid w:val="0070142B"/>
    <w:rsid w:val="0070257B"/>
    <w:rsid w:val="0070276E"/>
    <w:rsid w:val="00702E00"/>
    <w:rsid w:val="00702F8F"/>
    <w:rsid w:val="00703962"/>
    <w:rsid w:val="007079FC"/>
    <w:rsid w:val="00710A8E"/>
    <w:rsid w:val="00711A36"/>
    <w:rsid w:val="00711E4A"/>
    <w:rsid w:val="00714C26"/>
    <w:rsid w:val="0071529C"/>
    <w:rsid w:val="00715A3B"/>
    <w:rsid w:val="007170DA"/>
    <w:rsid w:val="00717270"/>
    <w:rsid w:val="007172AD"/>
    <w:rsid w:val="00717F65"/>
    <w:rsid w:val="00720801"/>
    <w:rsid w:val="00722B1B"/>
    <w:rsid w:val="00722F9E"/>
    <w:rsid w:val="0072416F"/>
    <w:rsid w:val="00726326"/>
    <w:rsid w:val="00727C94"/>
    <w:rsid w:val="00731781"/>
    <w:rsid w:val="00731B0A"/>
    <w:rsid w:val="00731EAE"/>
    <w:rsid w:val="00732CEA"/>
    <w:rsid w:val="00733073"/>
    <w:rsid w:val="00734BEF"/>
    <w:rsid w:val="00735033"/>
    <w:rsid w:val="00735328"/>
    <w:rsid w:val="0073685B"/>
    <w:rsid w:val="0074066F"/>
    <w:rsid w:val="007420CB"/>
    <w:rsid w:val="00742808"/>
    <w:rsid w:val="00742A42"/>
    <w:rsid w:val="007449BF"/>
    <w:rsid w:val="0074633D"/>
    <w:rsid w:val="00746BC0"/>
    <w:rsid w:val="007510B4"/>
    <w:rsid w:val="00752142"/>
    <w:rsid w:val="007523F9"/>
    <w:rsid w:val="00752B64"/>
    <w:rsid w:val="0075357E"/>
    <w:rsid w:val="00754895"/>
    <w:rsid w:val="00755FC2"/>
    <w:rsid w:val="0075663A"/>
    <w:rsid w:val="007573E8"/>
    <w:rsid w:val="00760C4E"/>
    <w:rsid w:val="00760F9E"/>
    <w:rsid w:val="007627BE"/>
    <w:rsid w:val="00764F03"/>
    <w:rsid w:val="00765B1A"/>
    <w:rsid w:val="00765DD0"/>
    <w:rsid w:val="00771444"/>
    <w:rsid w:val="007720E1"/>
    <w:rsid w:val="00777335"/>
    <w:rsid w:val="00782C38"/>
    <w:rsid w:val="007839E3"/>
    <w:rsid w:val="007841F9"/>
    <w:rsid w:val="007843F2"/>
    <w:rsid w:val="00785A9F"/>
    <w:rsid w:val="007925DF"/>
    <w:rsid w:val="007947CC"/>
    <w:rsid w:val="0079784A"/>
    <w:rsid w:val="007A08AA"/>
    <w:rsid w:val="007A0A12"/>
    <w:rsid w:val="007A132D"/>
    <w:rsid w:val="007A1345"/>
    <w:rsid w:val="007A2365"/>
    <w:rsid w:val="007A2DDB"/>
    <w:rsid w:val="007A396B"/>
    <w:rsid w:val="007A3A1D"/>
    <w:rsid w:val="007A4ED4"/>
    <w:rsid w:val="007A70BA"/>
    <w:rsid w:val="007B0D68"/>
    <w:rsid w:val="007B251D"/>
    <w:rsid w:val="007B4F58"/>
    <w:rsid w:val="007B528D"/>
    <w:rsid w:val="007B63CA"/>
    <w:rsid w:val="007B77D1"/>
    <w:rsid w:val="007C07C7"/>
    <w:rsid w:val="007C1CD9"/>
    <w:rsid w:val="007C32EF"/>
    <w:rsid w:val="007C361D"/>
    <w:rsid w:val="007C4B84"/>
    <w:rsid w:val="007C514A"/>
    <w:rsid w:val="007C5590"/>
    <w:rsid w:val="007C70FF"/>
    <w:rsid w:val="007C7C25"/>
    <w:rsid w:val="007D004F"/>
    <w:rsid w:val="007D0B38"/>
    <w:rsid w:val="007D0E1B"/>
    <w:rsid w:val="007D5440"/>
    <w:rsid w:val="007D69EB"/>
    <w:rsid w:val="007D78C1"/>
    <w:rsid w:val="007E128F"/>
    <w:rsid w:val="007E5440"/>
    <w:rsid w:val="007E6328"/>
    <w:rsid w:val="007E7041"/>
    <w:rsid w:val="007F0D33"/>
    <w:rsid w:val="007F1017"/>
    <w:rsid w:val="007F171B"/>
    <w:rsid w:val="007F4084"/>
    <w:rsid w:val="007F4A3F"/>
    <w:rsid w:val="007F4A61"/>
    <w:rsid w:val="007F4DE8"/>
    <w:rsid w:val="007F51B8"/>
    <w:rsid w:val="007F5255"/>
    <w:rsid w:val="007F56CC"/>
    <w:rsid w:val="007F5D4D"/>
    <w:rsid w:val="007F5E8F"/>
    <w:rsid w:val="007F61C2"/>
    <w:rsid w:val="007F7B14"/>
    <w:rsid w:val="00800CD8"/>
    <w:rsid w:val="008010E6"/>
    <w:rsid w:val="00801FDF"/>
    <w:rsid w:val="00805142"/>
    <w:rsid w:val="008057D4"/>
    <w:rsid w:val="00805FCE"/>
    <w:rsid w:val="0080638E"/>
    <w:rsid w:val="00807A8B"/>
    <w:rsid w:val="0081054C"/>
    <w:rsid w:val="00811383"/>
    <w:rsid w:val="00811A20"/>
    <w:rsid w:val="00812149"/>
    <w:rsid w:val="00812CAC"/>
    <w:rsid w:val="008136C9"/>
    <w:rsid w:val="008143E1"/>
    <w:rsid w:val="00816361"/>
    <w:rsid w:val="008166EF"/>
    <w:rsid w:val="00816FEF"/>
    <w:rsid w:val="00817382"/>
    <w:rsid w:val="00820A8C"/>
    <w:rsid w:val="008215FB"/>
    <w:rsid w:val="00821E02"/>
    <w:rsid w:val="00823174"/>
    <w:rsid w:val="00824438"/>
    <w:rsid w:val="008251E4"/>
    <w:rsid w:val="00825751"/>
    <w:rsid w:val="008264EB"/>
    <w:rsid w:val="00833B05"/>
    <w:rsid w:val="008362B4"/>
    <w:rsid w:val="00840CA2"/>
    <w:rsid w:val="0084207B"/>
    <w:rsid w:val="00842534"/>
    <w:rsid w:val="0084374F"/>
    <w:rsid w:val="00844A22"/>
    <w:rsid w:val="00847703"/>
    <w:rsid w:val="00847DF5"/>
    <w:rsid w:val="008509F6"/>
    <w:rsid w:val="008511D3"/>
    <w:rsid w:val="00851C02"/>
    <w:rsid w:val="0085309D"/>
    <w:rsid w:val="00855D26"/>
    <w:rsid w:val="00855DF1"/>
    <w:rsid w:val="00856897"/>
    <w:rsid w:val="00856D2F"/>
    <w:rsid w:val="00856E9A"/>
    <w:rsid w:val="0086075D"/>
    <w:rsid w:val="00862502"/>
    <w:rsid w:val="00862CC1"/>
    <w:rsid w:val="00864B64"/>
    <w:rsid w:val="008660D4"/>
    <w:rsid w:val="008675BD"/>
    <w:rsid w:val="00871719"/>
    <w:rsid w:val="00871FA9"/>
    <w:rsid w:val="008728E9"/>
    <w:rsid w:val="00877953"/>
    <w:rsid w:val="00880397"/>
    <w:rsid w:val="00882874"/>
    <w:rsid w:val="00882E3C"/>
    <w:rsid w:val="00883787"/>
    <w:rsid w:val="008855E4"/>
    <w:rsid w:val="0088677E"/>
    <w:rsid w:val="00886CD2"/>
    <w:rsid w:val="008876B6"/>
    <w:rsid w:val="00891335"/>
    <w:rsid w:val="00891E6F"/>
    <w:rsid w:val="0089275D"/>
    <w:rsid w:val="00892A36"/>
    <w:rsid w:val="00893239"/>
    <w:rsid w:val="00894489"/>
    <w:rsid w:val="0089519C"/>
    <w:rsid w:val="00895251"/>
    <w:rsid w:val="0089607C"/>
    <w:rsid w:val="008963A5"/>
    <w:rsid w:val="00896D5D"/>
    <w:rsid w:val="00897BCA"/>
    <w:rsid w:val="00897CEC"/>
    <w:rsid w:val="00897D7B"/>
    <w:rsid w:val="008A1751"/>
    <w:rsid w:val="008A17C5"/>
    <w:rsid w:val="008A2877"/>
    <w:rsid w:val="008A3363"/>
    <w:rsid w:val="008A3371"/>
    <w:rsid w:val="008A3627"/>
    <w:rsid w:val="008A3C3E"/>
    <w:rsid w:val="008A5115"/>
    <w:rsid w:val="008A5A2C"/>
    <w:rsid w:val="008A6811"/>
    <w:rsid w:val="008A79DE"/>
    <w:rsid w:val="008B1534"/>
    <w:rsid w:val="008B1757"/>
    <w:rsid w:val="008B2BBE"/>
    <w:rsid w:val="008B7992"/>
    <w:rsid w:val="008B7D7E"/>
    <w:rsid w:val="008C26E0"/>
    <w:rsid w:val="008C2CC6"/>
    <w:rsid w:val="008C5610"/>
    <w:rsid w:val="008C5739"/>
    <w:rsid w:val="008C5AF2"/>
    <w:rsid w:val="008C7ECB"/>
    <w:rsid w:val="008D1C50"/>
    <w:rsid w:val="008D3B86"/>
    <w:rsid w:val="008D4755"/>
    <w:rsid w:val="008D4C3D"/>
    <w:rsid w:val="008D61CD"/>
    <w:rsid w:val="008D743C"/>
    <w:rsid w:val="008D7F45"/>
    <w:rsid w:val="008E0D3C"/>
    <w:rsid w:val="008E1248"/>
    <w:rsid w:val="008E1B9E"/>
    <w:rsid w:val="008E2241"/>
    <w:rsid w:val="008E55AB"/>
    <w:rsid w:val="008E60F9"/>
    <w:rsid w:val="008F120A"/>
    <w:rsid w:val="008F27E0"/>
    <w:rsid w:val="008F426E"/>
    <w:rsid w:val="008F48EB"/>
    <w:rsid w:val="008F4F0B"/>
    <w:rsid w:val="008F732D"/>
    <w:rsid w:val="008F7EB3"/>
    <w:rsid w:val="00900287"/>
    <w:rsid w:val="00900630"/>
    <w:rsid w:val="0090300E"/>
    <w:rsid w:val="009046C4"/>
    <w:rsid w:val="009062A5"/>
    <w:rsid w:val="00910FA7"/>
    <w:rsid w:val="00911272"/>
    <w:rsid w:val="009133C4"/>
    <w:rsid w:val="009135D6"/>
    <w:rsid w:val="00914C77"/>
    <w:rsid w:val="00915711"/>
    <w:rsid w:val="00915C49"/>
    <w:rsid w:val="00921A1D"/>
    <w:rsid w:val="00921A8D"/>
    <w:rsid w:val="00921ACB"/>
    <w:rsid w:val="0092369B"/>
    <w:rsid w:val="009249AB"/>
    <w:rsid w:val="0092773E"/>
    <w:rsid w:val="00930522"/>
    <w:rsid w:val="0093136A"/>
    <w:rsid w:val="0093225B"/>
    <w:rsid w:val="00934917"/>
    <w:rsid w:val="00934988"/>
    <w:rsid w:val="00936807"/>
    <w:rsid w:val="00937089"/>
    <w:rsid w:val="00940709"/>
    <w:rsid w:val="00941BC2"/>
    <w:rsid w:val="00944F8A"/>
    <w:rsid w:val="009454D4"/>
    <w:rsid w:val="00947443"/>
    <w:rsid w:val="009510A2"/>
    <w:rsid w:val="00953257"/>
    <w:rsid w:val="0095474C"/>
    <w:rsid w:val="00955A99"/>
    <w:rsid w:val="009570CF"/>
    <w:rsid w:val="00960F69"/>
    <w:rsid w:val="00962CB9"/>
    <w:rsid w:val="00964312"/>
    <w:rsid w:val="00965B8A"/>
    <w:rsid w:val="009662AF"/>
    <w:rsid w:val="0097071F"/>
    <w:rsid w:val="009717AC"/>
    <w:rsid w:val="00972382"/>
    <w:rsid w:val="00973661"/>
    <w:rsid w:val="00974554"/>
    <w:rsid w:val="00975197"/>
    <w:rsid w:val="009751C1"/>
    <w:rsid w:val="009810D1"/>
    <w:rsid w:val="009811F1"/>
    <w:rsid w:val="00981E9F"/>
    <w:rsid w:val="00982578"/>
    <w:rsid w:val="00983E57"/>
    <w:rsid w:val="00985DE2"/>
    <w:rsid w:val="00986389"/>
    <w:rsid w:val="0098675D"/>
    <w:rsid w:val="0098710B"/>
    <w:rsid w:val="00991C72"/>
    <w:rsid w:val="009926E0"/>
    <w:rsid w:val="0099451E"/>
    <w:rsid w:val="00996B1A"/>
    <w:rsid w:val="00996FA6"/>
    <w:rsid w:val="009A0675"/>
    <w:rsid w:val="009A2020"/>
    <w:rsid w:val="009A2DCC"/>
    <w:rsid w:val="009A5ABC"/>
    <w:rsid w:val="009A685F"/>
    <w:rsid w:val="009A6AF4"/>
    <w:rsid w:val="009A7F10"/>
    <w:rsid w:val="009B072E"/>
    <w:rsid w:val="009B3E26"/>
    <w:rsid w:val="009C171A"/>
    <w:rsid w:val="009C3416"/>
    <w:rsid w:val="009C3706"/>
    <w:rsid w:val="009C3A3A"/>
    <w:rsid w:val="009C6CEA"/>
    <w:rsid w:val="009C7B85"/>
    <w:rsid w:val="009D0254"/>
    <w:rsid w:val="009D1A64"/>
    <w:rsid w:val="009D3F57"/>
    <w:rsid w:val="009D5B91"/>
    <w:rsid w:val="009D6519"/>
    <w:rsid w:val="009D792E"/>
    <w:rsid w:val="009E0DFE"/>
    <w:rsid w:val="009E1D61"/>
    <w:rsid w:val="009E31F6"/>
    <w:rsid w:val="009E40C2"/>
    <w:rsid w:val="009E49EC"/>
    <w:rsid w:val="009E4C07"/>
    <w:rsid w:val="009E69A9"/>
    <w:rsid w:val="009F1E63"/>
    <w:rsid w:val="009F3B0F"/>
    <w:rsid w:val="00A0039C"/>
    <w:rsid w:val="00A01184"/>
    <w:rsid w:val="00A0246E"/>
    <w:rsid w:val="00A037C2"/>
    <w:rsid w:val="00A03D43"/>
    <w:rsid w:val="00A03FDE"/>
    <w:rsid w:val="00A04380"/>
    <w:rsid w:val="00A04DC3"/>
    <w:rsid w:val="00A05472"/>
    <w:rsid w:val="00A05C32"/>
    <w:rsid w:val="00A0653F"/>
    <w:rsid w:val="00A11CD0"/>
    <w:rsid w:val="00A13948"/>
    <w:rsid w:val="00A1555B"/>
    <w:rsid w:val="00A155C5"/>
    <w:rsid w:val="00A16AD8"/>
    <w:rsid w:val="00A20474"/>
    <w:rsid w:val="00A21C95"/>
    <w:rsid w:val="00A21CF3"/>
    <w:rsid w:val="00A22876"/>
    <w:rsid w:val="00A24813"/>
    <w:rsid w:val="00A26789"/>
    <w:rsid w:val="00A27AEC"/>
    <w:rsid w:val="00A3059C"/>
    <w:rsid w:val="00A31036"/>
    <w:rsid w:val="00A31852"/>
    <w:rsid w:val="00A320B7"/>
    <w:rsid w:val="00A320DB"/>
    <w:rsid w:val="00A323AB"/>
    <w:rsid w:val="00A335E2"/>
    <w:rsid w:val="00A35D16"/>
    <w:rsid w:val="00A37BCD"/>
    <w:rsid w:val="00A41689"/>
    <w:rsid w:val="00A42592"/>
    <w:rsid w:val="00A43C59"/>
    <w:rsid w:val="00A47806"/>
    <w:rsid w:val="00A50ECD"/>
    <w:rsid w:val="00A518F3"/>
    <w:rsid w:val="00A52729"/>
    <w:rsid w:val="00A53675"/>
    <w:rsid w:val="00A54D93"/>
    <w:rsid w:val="00A564D7"/>
    <w:rsid w:val="00A56B6A"/>
    <w:rsid w:val="00A578DC"/>
    <w:rsid w:val="00A57B5C"/>
    <w:rsid w:val="00A57E21"/>
    <w:rsid w:val="00A616C1"/>
    <w:rsid w:val="00A640E2"/>
    <w:rsid w:val="00A64D65"/>
    <w:rsid w:val="00A6725B"/>
    <w:rsid w:val="00A70605"/>
    <w:rsid w:val="00A72623"/>
    <w:rsid w:val="00A73134"/>
    <w:rsid w:val="00A76001"/>
    <w:rsid w:val="00A7663E"/>
    <w:rsid w:val="00A776BE"/>
    <w:rsid w:val="00A777B2"/>
    <w:rsid w:val="00A825D4"/>
    <w:rsid w:val="00A828F6"/>
    <w:rsid w:val="00A82B73"/>
    <w:rsid w:val="00A82CAB"/>
    <w:rsid w:val="00A83B26"/>
    <w:rsid w:val="00A86E8B"/>
    <w:rsid w:val="00A87164"/>
    <w:rsid w:val="00A8796A"/>
    <w:rsid w:val="00A9067E"/>
    <w:rsid w:val="00A93072"/>
    <w:rsid w:val="00A93680"/>
    <w:rsid w:val="00A938BD"/>
    <w:rsid w:val="00A93953"/>
    <w:rsid w:val="00A94C2F"/>
    <w:rsid w:val="00A959D8"/>
    <w:rsid w:val="00A979B8"/>
    <w:rsid w:val="00AA113D"/>
    <w:rsid w:val="00AA1521"/>
    <w:rsid w:val="00AA2532"/>
    <w:rsid w:val="00AA663B"/>
    <w:rsid w:val="00AA6BD5"/>
    <w:rsid w:val="00AA6BD8"/>
    <w:rsid w:val="00AA6C7D"/>
    <w:rsid w:val="00AA7975"/>
    <w:rsid w:val="00AA7A14"/>
    <w:rsid w:val="00AA7FD6"/>
    <w:rsid w:val="00AB042A"/>
    <w:rsid w:val="00AB0C44"/>
    <w:rsid w:val="00AB19EF"/>
    <w:rsid w:val="00AB1DA0"/>
    <w:rsid w:val="00AB1FE9"/>
    <w:rsid w:val="00AB2D34"/>
    <w:rsid w:val="00AB3430"/>
    <w:rsid w:val="00AB37B9"/>
    <w:rsid w:val="00AB4AD1"/>
    <w:rsid w:val="00AB5E07"/>
    <w:rsid w:val="00AB66C8"/>
    <w:rsid w:val="00AB7CFA"/>
    <w:rsid w:val="00AC43C0"/>
    <w:rsid w:val="00AC4D75"/>
    <w:rsid w:val="00AC4F71"/>
    <w:rsid w:val="00AC5B48"/>
    <w:rsid w:val="00AC6A34"/>
    <w:rsid w:val="00AD1247"/>
    <w:rsid w:val="00AD1450"/>
    <w:rsid w:val="00AD17AA"/>
    <w:rsid w:val="00AD429C"/>
    <w:rsid w:val="00AD6099"/>
    <w:rsid w:val="00AD6502"/>
    <w:rsid w:val="00AD6859"/>
    <w:rsid w:val="00AE0695"/>
    <w:rsid w:val="00AE2761"/>
    <w:rsid w:val="00AE3E7E"/>
    <w:rsid w:val="00AE444B"/>
    <w:rsid w:val="00AE5844"/>
    <w:rsid w:val="00AE6252"/>
    <w:rsid w:val="00AE7FEB"/>
    <w:rsid w:val="00AF1315"/>
    <w:rsid w:val="00AF19BF"/>
    <w:rsid w:val="00AF2DC3"/>
    <w:rsid w:val="00AF30C8"/>
    <w:rsid w:val="00B002B9"/>
    <w:rsid w:val="00B019D8"/>
    <w:rsid w:val="00B01BED"/>
    <w:rsid w:val="00B01D83"/>
    <w:rsid w:val="00B0320A"/>
    <w:rsid w:val="00B033E5"/>
    <w:rsid w:val="00B03A63"/>
    <w:rsid w:val="00B04617"/>
    <w:rsid w:val="00B06DA2"/>
    <w:rsid w:val="00B0770A"/>
    <w:rsid w:val="00B10287"/>
    <w:rsid w:val="00B12EC5"/>
    <w:rsid w:val="00B167F5"/>
    <w:rsid w:val="00B201A4"/>
    <w:rsid w:val="00B201D1"/>
    <w:rsid w:val="00B20A3B"/>
    <w:rsid w:val="00B213A6"/>
    <w:rsid w:val="00B213FC"/>
    <w:rsid w:val="00B235B0"/>
    <w:rsid w:val="00B2484C"/>
    <w:rsid w:val="00B24DF6"/>
    <w:rsid w:val="00B26172"/>
    <w:rsid w:val="00B324C0"/>
    <w:rsid w:val="00B34FE2"/>
    <w:rsid w:val="00B35166"/>
    <w:rsid w:val="00B357D8"/>
    <w:rsid w:val="00B360F4"/>
    <w:rsid w:val="00B36A00"/>
    <w:rsid w:val="00B36C0E"/>
    <w:rsid w:val="00B37BFC"/>
    <w:rsid w:val="00B40358"/>
    <w:rsid w:val="00B403A6"/>
    <w:rsid w:val="00B41614"/>
    <w:rsid w:val="00B42851"/>
    <w:rsid w:val="00B42F80"/>
    <w:rsid w:val="00B435CB"/>
    <w:rsid w:val="00B469FD"/>
    <w:rsid w:val="00B505C8"/>
    <w:rsid w:val="00B50DB8"/>
    <w:rsid w:val="00B51910"/>
    <w:rsid w:val="00B53654"/>
    <w:rsid w:val="00B53905"/>
    <w:rsid w:val="00B53EA8"/>
    <w:rsid w:val="00B54B5B"/>
    <w:rsid w:val="00B5562E"/>
    <w:rsid w:val="00B55AB9"/>
    <w:rsid w:val="00B55D65"/>
    <w:rsid w:val="00B57000"/>
    <w:rsid w:val="00B57453"/>
    <w:rsid w:val="00B60939"/>
    <w:rsid w:val="00B60AFD"/>
    <w:rsid w:val="00B62715"/>
    <w:rsid w:val="00B62BD0"/>
    <w:rsid w:val="00B62D89"/>
    <w:rsid w:val="00B64AAC"/>
    <w:rsid w:val="00B655BE"/>
    <w:rsid w:val="00B65611"/>
    <w:rsid w:val="00B70E8E"/>
    <w:rsid w:val="00B7393E"/>
    <w:rsid w:val="00B7467D"/>
    <w:rsid w:val="00B76C92"/>
    <w:rsid w:val="00B772A4"/>
    <w:rsid w:val="00B818A4"/>
    <w:rsid w:val="00B83B3E"/>
    <w:rsid w:val="00B84117"/>
    <w:rsid w:val="00B84C4A"/>
    <w:rsid w:val="00B8545E"/>
    <w:rsid w:val="00B854E9"/>
    <w:rsid w:val="00B858F0"/>
    <w:rsid w:val="00B85AA2"/>
    <w:rsid w:val="00B8649C"/>
    <w:rsid w:val="00B8695D"/>
    <w:rsid w:val="00B87F0A"/>
    <w:rsid w:val="00B92D0B"/>
    <w:rsid w:val="00B94945"/>
    <w:rsid w:val="00B94DD6"/>
    <w:rsid w:val="00B95DE5"/>
    <w:rsid w:val="00B96D97"/>
    <w:rsid w:val="00B9790F"/>
    <w:rsid w:val="00BA2C51"/>
    <w:rsid w:val="00BA2FAB"/>
    <w:rsid w:val="00BA322D"/>
    <w:rsid w:val="00BA63FA"/>
    <w:rsid w:val="00BA7995"/>
    <w:rsid w:val="00BB0070"/>
    <w:rsid w:val="00BB00B3"/>
    <w:rsid w:val="00BB0BDD"/>
    <w:rsid w:val="00BB176C"/>
    <w:rsid w:val="00BB2A73"/>
    <w:rsid w:val="00BB2FC0"/>
    <w:rsid w:val="00BB3A45"/>
    <w:rsid w:val="00BB4ACC"/>
    <w:rsid w:val="00BB703E"/>
    <w:rsid w:val="00BB732D"/>
    <w:rsid w:val="00BB7405"/>
    <w:rsid w:val="00BC07CB"/>
    <w:rsid w:val="00BC3631"/>
    <w:rsid w:val="00BC591F"/>
    <w:rsid w:val="00BC7D6D"/>
    <w:rsid w:val="00BD03B3"/>
    <w:rsid w:val="00BD2108"/>
    <w:rsid w:val="00BD68A3"/>
    <w:rsid w:val="00BD6938"/>
    <w:rsid w:val="00BD6CF3"/>
    <w:rsid w:val="00BE0ECA"/>
    <w:rsid w:val="00BE169E"/>
    <w:rsid w:val="00BE2180"/>
    <w:rsid w:val="00BE21F2"/>
    <w:rsid w:val="00BE4275"/>
    <w:rsid w:val="00BE44B3"/>
    <w:rsid w:val="00BE678E"/>
    <w:rsid w:val="00BE7473"/>
    <w:rsid w:val="00BF06AE"/>
    <w:rsid w:val="00BF0F95"/>
    <w:rsid w:val="00BF1254"/>
    <w:rsid w:val="00BF2433"/>
    <w:rsid w:val="00BF3B7A"/>
    <w:rsid w:val="00BF5D1E"/>
    <w:rsid w:val="00BF61C9"/>
    <w:rsid w:val="00BF6C94"/>
    <w:rsid w:val="00BF78A2"/>
    <w:rsid w:val="00C00424"/>
    <w:rsid w:val="00C0457F"/>
    <w:rsid w:val="00C0555D"/>
    <w:rsid w:val="00C06C72"/>
    <w:rsid w:val="00C100A1"/>
    <w:rsid w:val="00C10EC3"/>
    <w:rsid w:val="00C1179F"/>
    <w:rsid w:val="00C12C14"/>
    <w:rsid w:val="00C152E7"/>
    <w:rsid w:val="00C15F04"/>
    <w:rsid w:val="00C16455"/>
    <w:rsid w:val="00C179B3"/>
    <w:rsid w:val="00C17E3F"/>
    <w:rsid w:val="00C200AA"/>
    <w:rsid w:val="00C237ED"/>
    <w:rsid w:val="00C24546"/>
    <w:rsid w:val="00C24632"/>
    <w:rsid w:val="00C24951"/>
    <w:rsid w:val="00C25418"/>
    <w:rsid w:val="00C25D9C"/>
    <w:rsid w:val="00C26E62"/>
    <w:rsid w:val="00C2778B"/>
    <w:rsid w:val="00C27BBE"/>
    <w:rsid w:val="00C30061"/>
    <w:rsid w:val="00C31649"/>
    <w:rsid w:val="00C31D21"/>
    <w:rsid w:val="00C3434C"/>
    <w:rsid w:val="00C3449B"/>
    <w:rsid w:val="00C34DE9"/>
    <w:rsid w:val="00C40385"/>
    <w:rsid w:val="00C412BA"/>
    <w:rsid w:val="00C41768"/>
    <w:rsid w:val="00C4428F"/>
    <w:rsid w:val="00C475AA"/>
    <w:rsid w:val="00C50B23"/>
    <w:rsid w:val="00C51A09"/>
    <w:rsid w:val="00C53C98"/>
    <w:rsid w:val="00C53F9D"/>
    <w:rsid w:val="00C553C0"/>
    <w:rsid w:val="00C55BE3"/>
    <w:rsid w:val="00C56FCF"/>
    <w:rsid w:val="00C57172"/>
    <w:rsid w:val="00C57B6C"/>
    <w:rsid w:val="00C57E3C"/>
    <w:rsid w:val="00C61109"/>
    <w:rsid w:val="00C628A6"/>
    <w:rsid w:val="00C64344"/>
    <w:rsid w:val="00C65108"/>
    <w:rsid w:val="00C65576"/>
    <w:rsid w:val="00C66165"/>
    <w:rsid w:val="00C67166"/>
    <w:rsid w:val="00C676D7"/>
    <w:rsid w:val="00C67D8D"/>
    <w:rsid w:val="00C67FA1"/>
    <w:rsid w:val="00C7004F"/>
    <w:rsid w:val="00C7060A"/>
    <w:rsid w:val="00C7151A"/>
    <w:rsid w:val="00C717E3"/>
    <w:rsid w:val="00C71F60"/>
    <w:rsid w:val="00C72241"/>
    <w:rsid w:val="00C750C8"/>
    <w:rsid w:val="00C7560F"/>
    <w:rsid w:val="00C7652A"/>
    <w:rsid w:val="00C77721"/>
    <w:rsid w:val="00C80A0E"/>
    <w:rsid w:val="00C81DD5"/>
    <w:rsid w:val="00C8213F"/>
    <w:rsid w:val="00C85154"/>
    <w:rsid w:val="00C854A5"/>
    <w:rsid w:val="00C85DA3"/>
    <w:rsid w:val="00C8797A"/>
    <w:rsid w:val="00C87F6E"/>
    <w:rsid w:val="00C900B8"/>
    <w:rsid w:val="00C90C71"/>
    <w:rsid w:val="00C91FD1"/>
    <w:rsid w:val="00C931CF"/>
    <w:rsid w:val="00C938CF"/>
    <w:rsid w:val="00C94053"/>
    <w:rsid w:val="00C95235"/>
    <w:rsid w:val="00C9624D"/>
    <w:rsid w:val="00C969DA"/>
    <w:rsid w:val="00CA2C77"/>
    <w:rsid w:val="00CA3F76"/>
    <w:rsid w:val="00CA444F"/>
    <w:rsid w:val="00CA4D59"/>
    <w:rsid w:val="00CA5245"/>
    <w:rsid w:val="00CA5A45"/>
    <w:rsid w:val="00CA71F4"/>
    <w:rsid w:val="00CA7B09"/>
    <w:rsid w:val="00CB12A5"/>
    <w:rsid w:val="00CB1CAC"/>
    <w:rsid w:val="00CB2F2A"/>
    <w:rsid w:val="00CB4507"/>
    <w:rsid w:val="00CB5B1A"/>
    <w:rsid w:val="00CB602B"/>
    <w:rsid w:val="00CB6B22"/>
    <w:rsid w:val="00CB7F5F"/>
    <w:rsid w:val="00CC1B39"/>
    <w:rsid w:val="00CC2863"/>
    <w:rsid w:val="00CC35EA"/>
    <w:rsid w:val="00CC3848"/>
    <w:rsid w:val="00CC4940"/>
    <w:rsid w:val="00CC7256"/>
    <w:rsid w:val="00CC74C2"/>
    <w:rsid w:val="00CD3F77"/>
    <w:rsid w:val="00CD49CB"/>
    <w:rsid w:val="00CD6ADC"/>
    <w:rsid w:val="00CD7193"/>
    <w:rsid w:val="00CE0F89"/>
    <w:rsid w:val="00CE38C8"/>
    <w:rsid w:val="00CE44F4"/>
    <w:rsid w:val="00CE6274"/>
    <w:rsid w:val="00CE6A6B"/>
    <w:rsid w:val="00CE6B8C"/>
    <w:rsid w:val="00CE7060"/>
    <w:rsid w:val="00CE77B6"/>
    <w:rsid w:val="00CF1CEC"/>
    <w:rsid w:val="00CF2B8D"/>
    <w:rsid w:val="00CF344E"/>
    <w:rsid w:val="00CF456B"/>
    <w:rsid w:val="00CF5A22"/>
    <w:rsid w:val="00CF7889"/>
    <w:rsid w:val="00CF7E91"/>
    <w:rsid w:val="00D0224E"/>
    <w:rsid w:val="00D0262E"/>
    <w:rsid w:val="00D03D6F"/>
    <w:rsid w:val="00D05078"/>
    <w:rsid w:val="00D05E3D"/>
    <w:rsid w:val="00D05F6A"/>
    <w:rsid w:val="00D06139"/>
    <w:rsid w:val="00D07E34"/>
    <w:rsid w:val="00D10810"/>
    <w:rsid w:val="00D110BD"/>
    <w:rsid w:val="00D1219B"/>
    <w:rsid w:val="00D13675"/>
    <w:rsid w:val="00D141E1"/>
    <w:rsid w:val="00D143B9"/>
    <w:rsid w:val="00D15314"/>
    <w:rsid w:val="00D17D6C"/>
    <w:rsid w:val="00D17FB0"/>
    <w:rsid w:val="00D208AA"/>
    <w:rsid w:val="00D20CC0"/>
    <w:rsid w:val="00D2155B"/>
    <w:rsid w:val="00D23D11"/>
    <w:rsid w:val="00D2420A"/>
    <w:rsid w:val="00D244B6"/>
    <w:rsid w:val="00D2754D"/>
    <w:rsid w:val="00D27852"/>
    <w:rsid w:val="00D27B27"/>
    <w:rsid w:val="00D31364"/>
    <w:rsid w:val="00D316D2"/>
    <w:rsid w:val="00D323F4"/>
    <w:rsid w:val="00D32975"/>
    <w:rsid w:val="00D33131"/>
    <w:rsid w:val="00D33BE9"/>
    <w:rsid w:val="00D33F93"/>
    <w:rsid w:val="00D357FF"/>
    <w:rsid w:val="00D416BB"/>
    <w:rsid w:val="00D424C7"/>
    <w:rsid w:val="00D43383"/>
    <w:rsid w:val="00D43B2A"/>
    <w:rsid w:val="00D43D83"/>
    <w:rsid w:val="00D47575"/>
    <w:rsid w:val="00D50F3B"/>
    <w:rsid w:val="00D5243B"/>
    <w:rsid w:val="00D53085"/>
    <w:rsid w:val="00D533EC"/>
    <w:rsid w:val="00D56A95"/>
    <w:rsid w:val="00D60717"/>
    <w:rsid w:val="00D6284B"/>
    <w:rsid w:val="00D62C8E"/>
    <w:rsid w:val="00D64478"/>
    <w:rsid w:val="00D6504D"/>
    <w:rsid w:val="00D65A24"/>
    <w:rsid w:val="00D660AD"/>
    <w:rsid w:val="00D70F16"/>
    <w:rsid w:val="00D72F57"/>
    <w:rsid w:val="00D75C94"/>
    <w:rsid w:val="00D76A44"/>
    <w:rsid w:val="00D81199"/>
    <w:rsid w:val="00D815EF"/>
    <w:rsid w:val="00D81F26"/>
    <w:rsid w:val="00D86231"/>
    <w:rsid w:val="00D908C1"/>
    <w:rsid w:val="00D908D1"/>
    <w:rsid w:val="00D90F59"/>
    <w:rsid w:val="00D91923"/>
    <w:rsid w:val="00D93753"/>
    <w:rsid w:val="00D95A5D"/>
    <w:rsid w:val="00DA0B0A"/>
    <w:rsid w:val="00DA3167"/>
    <w:rsid w:val="00DA3572"/>
    <w:rsid w:val="00DA4DC3"/>
    <w:rsid w:val="00DA5748"/>
    <w:rsid w:val="00DA77A5"/>
    <w:rsid w:val="00DB05EC"/>
    <w:rsid w:val="00DB064B"/>
    <w:rsid w:val="00DB29F3"/>
    <w:rsid w:val="00DB37C0"/>
    <w:rsid w:val="00DB3DBF"/>
    <w:rsid w:val="00DB484F"/>
    <w:rsid w:val="00DB4A4B"/>
    <w:rsid w:val="00DB4E5A"/>
    <w:rsid w:val="00DC04F6"/>
    <w:rsid w:val="00DC0690"/>
    <w:rsid w:val="00DC1625"/>
    <w:rsid w:val="00DC1D65"/>
    <w:rsid w:val="00DC2DF5"/>
    <w:rsid w:val="00DC3C57"/>
    <w:rsid w:val="00DC3F05"/>
    <w:rsid w:val="00DC51BE"/>
    <w:rsid w:val="00DC5501"/>
    <w:rsid w:val="00DC5A67"/>
    <w:rsid w:val="00DC7154"/>
    <w:rsid w:val="00DC722A"/>
    <w:rsid w:val="00DC7E8A"/>
    <w:rsid w:val="00DD0832"/>
    <w:rsid w:val="00DD0F78"/>
    <w:rsid w:val="00DD273C"/>
    <w:rsid w:val="00DD370D"/>
    <w:rsid w:val="00DD3F28"/>
    <w:rsid w:val="00DD4537"/>
    <w:rsid w:val="00DD4E15"/>
    <w:rsid w:val="00DD58AD"/>
    <w:rsid w:val="00DD5C84"/>
    <w:rsid w:val="00DD6AFB"/>
    <w:rsid w:val="00DD7F1F"/>
    <w:rsid w:val="00DE00EA"/>
    <w:rsid w:val="00DE0CF1"/>
    <w:rsid w:val="00DE2304"/>
    <w:rsid w:val="00DE3138"/>
    <w:rsid w:val="00DE37F8"/>
    <w:rsid w:val="00DE410A"/>
    <w:rsid w:val="00DE4FCB"/>
    <w:rsid w:val="00DE5D07"/>
    <w:rsid w:val="00DE72A7"/>
    <w:rsid w:val="00DE7832"/>
    <w:rsid w:val="00DF0059"/>
    <w:rsid w:val="00DF121F"/>
    <w:rsid w:val="00DF18FC"/>
    <w:rsid w:val="00DF2701"/>
    <w:rsid w:val="00DF4E9E"/>
    <w:rsid w:val="00DF5D2B"/>
    <w:rsid w:val="00E00E8E"/>
    <w:rsid w:val="00E00F49"/>
    <w:rsid w:val="00E027D5"/>
    <w:rsid w:val="00E03595"/>
    <w:rsid w:val="00E04E6B"/>
    <w:rsid w:val="00E05169"/>
    <w:rsid w:val="00E05630"/>
    <w:rsid w:val="00E058FD"/>
    <w:rsid w:val="00E06513"/>
    <w:rsid w:val="00E06DBB"/>
    <w:rsid w:val="00E10149"/>
    <w:rsid w:val="00E11340"/>
    <w:rsid w:val="00E122A1"/>
    <w:rsid w:val="00E16372"/>
    <w:rsid w:val="00E17CCE"/>
    <w:rsid w:val="00E17E0B"/>
    <w:rsid w:val="00E17EA2"/>
    <w:rsid w:val="00E20147"/>
    <w:rsid w:val="00E20E4D"/>
    <w:rsid w:val="00E20ED6"/>
    <w:rsid w:val="00E21358"/>
    <w:rsid w:val="00E2249B"/>
    <w:rsid w:val="00E225BE"/>
    <w:rsid w:val="00E22A0D"/>
    <w:rsid w:val="00E244F6"/>
    <w:rsid w:val="00E2585E"/>
    <w:rsid w:val="00E270DF"/>
    <w:rsid w:val="00E2771E"/>
    <w:rsid w:val="00E311EF"/>
    <w:rsid w:val="00E32180"/>
    <w:rsid w:val="00E33194"/>
    <w:rsid w:val="00E33B57"/>
    <w:rsid w:val="00E3489C"/>
    <w:rsid w:val="00E34948"/>
    <w:rsid w:val="00E36E96"/>
    <w:rsid w:val="00E37569"/>
    <w:rsid w:val="00E401B2"/>
    <w:rsid w:val="00E41E30"/>
    <w:rsid w:val="00E42F73"/>
    <w:rsid w:val="00E43D70"/>
    <w:rsid w:val="00E454D2"/>
    <w:rsid w:val="00E46402"/>
    <w:rsid w:val="00E466F3"/>
    <w:rsid w:val="00E47786"/>
    <w:rsid w:val="00E47B2C"/>
    <w:rsid w:val="00E50409"/>
    <w:rsid w:val="00E51560"/>
    <w:rsid w:val="00E53FC8"/>
    <w:rsid w:val="00E54347"/>
    <w:rsid w:val="00E55424"/>
    <w:rsid w:val="00E55915"/>
    <w:rsid w:val="00E55BB5"/>
    <w:rsid w:val="00E6175C"/>
    <w:rsid w:val="00E65E79"/>
    <w:rsid w:val="00E66BA2"/>
    <w:rsid w:val="00E67416"/>
    <w:rsid w:val="00E67DC4"/>
    <w:rsid w:val="00E70ACB"/>
    <w:rsid w:val="00E718B6"/>
    <w:rsid w:val="00E723BA"/>
    <w:rsid w:val="00E73581"/>
    <w:rsid w:val="00E814E2"/>
    <w:rsid w:val="00E833F7"/>
    <w:rsid w:val="00E83BDF"/>
    <w:rsid w:val="00E83EA2"/>
    <w:rsid w:val="00E84F16"/>
    <w:rsid w:val="00E87A1D"/>
    <w:rsid w:val="00E9094A"/>
    <w:rsid w:val="00E91D35"/>
    <w:rsid w:val="00E926A5"/>
    <w:rsid w:val="00E92752"/>
    <w:rsid w:val="00E92A4E"/>
    <w:rsid w:val="00E93B8F"/>
    <w:rsid w:val="00E95C55"/>
    <w:rsid w:val="00EA17C3"/>
    <w:rsid w:val="00EA19BA"/>
    <w:rsid w:val="00EA268B"/>
    <w:rsid w:val="00EA2CAA"/>
    <w:rsid w:val="00EA3864"/>
    <w:rsid w:val="00EA7CEB"/>
    <w:rsid w:val="00EA7F1C"/>
    <w:rsid w:val="00EB15B6"/>
    <w:rsid w:val="00EB3D06"/>
    <w:rsid w:val="00EB483E"/>
    <w:rsid w:val="00EB4916"/>
    <w:rsid w:val="00EB534F"/>
    <w:rsid w:val="00EB6F92"/>
    <w:rsid w:val="00EB7FF5"/>
    <w:rsid w:val="00EC00C9"/>
    <w:rsid w:val="00EC0DD9"/>
    <w:rsid w:val="00EC2649"/>
    <w:rsid w:val="00EC31ED"/>
    <w:rsid w:val="00EC5836"/>
    <w:rsid w:val="00EC688C"/>
    <w:rsid w:val="00ED13C7"/>
    <w:rsid w:val="00ED2ED1"/>
    <w:rsid w:val="00ED57EA"/>
    <w:rsid w:val="00ED5BD4"/>
    <w:rsid w:val="00EE05C2"/>
    <w:rsid w:val="00EE07D3"/>
    <w:rsid w:val="00EE1996"/>
    <w:rsid w:val="00EE1C01"/>
    <w:rsid w:val="00EE22AF"/>
    <w:rsid w:val="00EE3648"/>
    <w:rsid w:val="00EE69CE"/>
    <w:rsid w:val="00EF0171"/>
    <w:rsid w:val="00EF1B25"/>
    <w:rsid w:val="00EF1DA0"/>
    <w:rsid w:val="00EF2BF5"/>
    <w:rsid w:val="00EF2F28"/>
    <w:rsid w:val="00EF3669"/>
    <w:rsid w:val="00EF4747"/>
    <w:rsid w:val="00EF4BF8"/>
    <w:rsid w:val="00EF4D1E"/>
    <w:rsid w:val="00EF63BB"/>
    <w:rsid w:val="00EF6A92"/>
    <w:rsid w:val="00EF6EE2"/>
    <w:rsid w:val="00EF7A1C"/>
    <w:rsid w:val="00EF7B85"/>
    <w:rsid w:val="00EF7F7B"/>
    <w:rsid w:val="00F018AA"/>
    <w:rsid w:val="00F02253"/>
    <w:rsid w:val="00F0259D"/>
    <w:rsid w:val="00F02A94"/>
    <w:rsid w:val="00F035EA"/>
    <w:rsid w:val="00F03C2E"/>
    <w:rsid w:val="00F04A66"/>
    <w:rsid w:val="00F04B4B"/>
    <w:rsid w:val="00F0516C"/>
    <w:rsid w:val="00F067A2"/>
    <w:rsid w:val="00F07B9E"/>
    <w:rsid w:val="00F10622"/>
    <w:rsid w:val="00F108B7"/>
    <w:rsid w:val="00F10F0F"/>
    <w:rsid w:val="00F1116F"/>
    <w:rsid w:val="00F12498"/>
    <w:rsid w:val="00F1263A"/>
    <w:rsid w:val="00F1352C"/>
    <w:rsid w:val="00F15B77"/>
    <w:rsid w:val="00F175B1"/>
    <w:rsid w:val="00F22F1D"/>
    <w:rsid w:val="00F24837"/>
    <w:rsid w:val="00F24F08"/>
    <w:rsid w:val="00F2575F"/>
    <w:rsid w:val="00F25C4E"/>
    <w:rsid w:val="00F26748"/>
    <w:rsid w:val="00F26ED9"/>
    <w:rsid w:val="00F27565"/>
    <w:rsid w:val="00F310D4"/>
    <w:rsid w:val="00F31D5A"/>
    <w:rsid w:val="00F33975"/>
    <w:rsid w:val="00F33DE9"/>
    <w:rsid w:val="00F35E20"/>
    <w:rsid w:val="00F35E6D"/>
    <w:rsid w:val="00F3619A"/>
    <w:rsid w:val="00F361E1"/>
    <w:rsid w:val="00F37694"/>
    <w:rsid w:val="00F402CA"/>
    <w:rsid w:val="00F40AAA"/>
    <w:rsid w:val="00F40BA7"/>
    <w:rsid w:val="00F40F9D"/>
    <w:rsid w:val="00F41ACD"/>
    <w:rsid w:val="00F45A10"/>
    <w:rsid w:val="00F46CB6"/>
    <w:rsid w:val="00F4756D"/>
    <w:rsid w:val="00F47DE8"/>
    <w:rsid w:val="00F511FA"/>
    <w:rsid w:val="00F542C1"/>
    <w:rsid w:val="00F54827"/>
    <w:rsid w:val="00F55E73"/>
    <w:rsid w:val="00F55EDA"/>
    <w:rsid w:val="00F56C80"/>
    <w:rsid w:val="00F60092"/>
    <w:rsid w:val="00F60FC5"/>
    <w:rsid w:val="00F61C18"/>
    <w:rsid w:val="00F65F4B"/>
    <w:rsid w:val="00F667CE"/>
    <w:rsid w:val="00F67498"/>
    <w:rsid w:val="00F67A69"/>
    <w:rsid w:val="00F70BFF"/>
    <w:rsid w:val="00F70C9D"/>
    <w:rsid w:val="00F727D3"/>
    <w:rsid w:val="00F74558"/>
    <w:rsid w:val="00F74CD9"/>
    <w:rsid w:val="00F76D91"/>
    <w:rsid w:val="00F80A7B"/>
    <w:rsid w:val="00F80B9C"/>
    <w:rsid w:val="00F80E5D"/>
    <w:rsid w:val="00F813FE"/>
    <w:rsid w:val="00F81E78"/>
    <w:rsid w:val="00F83F57"/>
    <w:rsid w:val="00F851CE"/>
    <w:rsid w:val="00F85F2A"/>
    <w:rsid w:val="00F91219"/>
    <w:rsid w:val="00F92082"/>
    <w:rsid w:val="00F92444"/>
    <w:rsid w:val="00F9393E"/>
    <w:rsid w:val="00F96FD0"/>
    <w:rsid w:val="00F97A78"/>
    <w:rsid w:val="00FA0B20"/>
    <w:rsid w:val="00FA2417"/>
    <w:rsid w:val="00FA24E7"/>
    <w:rsid w:val="00FA3375"/>
    <w:rsid w:val="00FA3F52"/>
    <w:rsid w:val="00FA5EE6"/>
    <w:rsid w:val="00FA7956"/>
    <w:rsid w:val="00FB2A5A"/>
    <w:rsid w:val="00FB2FCB"/>
    <w:rsid w:val="00FB69B8"/>
    <w:rsid w:val="00FB7C55"/>
    <w:rsid w:val="00FC0A49"/>
    <w:rsid w:val="00FC0BFA"/>
    <w:rsid w:val="00FC1074"/>
    <w:rsid w:val="00FC1884"/>
    <w:rsid w:val="00FC259F"/>
    <w:rsid w:val="00FC371D"/>
    <w:rsid w:val="00FC4382"/>
    <w:rsid w:val="00FC470C"/>
    <w:rsid w:val="00FC5F0B"/>
    <w:rsid w:val="00FD2100"/>
    <w:rsid w:val="00FD436C"/>
    <w:rsid w:val="00FD446D"/>
    <w:rsid w:val="00FD4B74"/>
    <w:rsid w:val="00FD4F2C"/>
    <w:rsid w:val="00FD5773"/>
    <w:rsid w:val="00FD624A"/>
    <w:rsid w:val="00FD6394"/>
    <w:rsid w:val="00FD736E"/>
    <w:rsid w:val="00FE0E6C"/>
    <w:rsid w:val="00FE1BFB"/>
    <w:rsid w:val="00FE1CDC"/>
    <w:rsid w:val="00FE28FD"/>
    <w:rsid w:val="00FE4A9A"/>
    <w:rsid w:val="00FE5A87"/>
    <w:rsid w:val="00FE5B9C"/>
    <w:rsid w:val="00FE6017"/>
    <w:rsid w:val="00FE70C3"/>
    <w:rsid w:val="00FE7FA7"/>
    <w:rsid w:val="00FF070E"/>
    <w:rsid w:val="00FF09B4"/>
    <w:rsid w:val="00FF2AD9"/>
    <w:rsid w:val="00FF359F"/>
    <w:rsid w:val="00FF3DCF"/>
    <w:rsid w:val="00FF492C"/>
    <w:rsid w:val="00FF4A21"/>
    <w:rsid w:val="00FF4BCE"/>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98"/>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NICE Caption"/>
    <w:basedOn w:val="Normal"/>
    <w:next w:val="Normal"/>
    <w:link w:val="CaptionChar"/>
    <w:uiPriority w:val="1"/>
    <w:unhideWhenUsed/>
    <w:rsid w:val="00124A51"/>
    <w:pPr>
      <w:spacing w:after="200"/>
    </w:pPr>
    <w:rPr>
      <w:b/>
      <w:bCs/>
      <w:color w:val="4F81BD" w:themeColor="accent1"/>
      <w:sz w:val="18"/>
      <w:szCs w:val="18"/>
    </w:rPr>
  </w:style>
  <w:style w:type="character" w:customStyle="1" w:styleId="CaptionChar">
    <w:name w:val="Caption Char"/>
    <w:aliases w:val="NICE Caption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SourceNotes">
    <w:name w:val="SourceNotes"/>
    <w:basedOn w:val="Normal"/>
    <w:next w:val="Normal"/>
    <w:link w:val="SourceNotesChar"/>
    <w:uiPriority w:val="3"/>
    <w:rsid w:val="009570CF"/>
    <w:pPr>
      <w:tabs>
        <w:tab w:val="left" w:pos="1100"/>
      </w:tabs>
      <w:ind w:left="1100" w:hanging="1100"/>
      <w:jc w:val="left"/>
    </w:pPr>
    <w:rPr>
      <w:rFonts w:eastAsiaTheme="minorEastAsia" w:cstheme="minorBidi"/>
      <w:sz w:val="18"/>
      <w:szCs w:val="18"/>
      <w:lang w:eastAsia="en-US"/>
    </w:rPr>
  </w:style>
  <w:style w:type="character" w:customStyle="1" w:styleId="SourceNotesChar">
    <w:name w:val="SourceNotes Char"/>
    <w:basedOn w:val="DefaultParagraphFont"/>
    <w:link w:val="SourceNotes"/>
    <w:uiPriority w:val="3"/>
    <w:rsid w:val="009570CF"/>
    <w:rPr>
      <w:rFonts w:ascii="Calibri" w:eastAsiaTheme="minorEastAsia" w:hAnsi="Calibri" w:cstheme="minorBidi"/>
      <w:sz w:val="18"/>
      <w:szCs w:val="18"/>
      <w:lang w:eastAsia="en-US"/>
    </w:rPr>
  </w:style>
  <w:style w:type="paragraph" w:customStyle="1" w:styleId="TableText1">
    <w:name w:val="TableText"/>
    <w:basedOn w:val="Normal"/>
    <w:link w:val="TableTextChar1"/>
    <w:uiPriority w:val="1"/>
    <w:rsid w:val="009570CF"/>
    <w:pPr>
      <w:spacing w:before="20" w:after="20"/>
      <w:jc w:val="left"/>
    </w:pPr>
    <w:rPr>
      <w:rFonts w:cs="Calibri"/>
      <w:bCs/>
      <w:sz w:val="20"/>
      <w:szCs w:val="20"/>
      <w:lang w:eastAsia="zh-CN"/>
    </w:rPr>
  </w:style>
  <w:style w:type="character" w:customStyle="1" w:styleId="TableTextChar1">
    <w:name w:val="TableText Char"/>
    <w:basedOn w:val="DefaultParagraphFont"/>
    <w:link w:val="TableText1"/>
    <w:uiPriority w:val="1"/>
    <w:rsid w:val="009570CF"/>
    <w:rPr>
      <w:rFonts w:ascii="Calibri" w:hAnsi="Calibri" w:cs="Calibri"/>
      <w:bCs/>
      <w:lang w:eastAsia="zh-CN"/>
    </w:rPr>
  </w:style>
  <w:style w:type="paragraph" w:customStyle="1" w:styleId="TableHeading0">
    <w:name w:val="Table Heading"/>
    <w:basedOn w:val="Normal"/>
    <w:rsid w:val="00A83B26"/>
    <w:pPr>
      <w:keepNext/>
      <w:spacing w:after="60"/>
      <w:jc w:val="left"/>
    </w:pPr>
    <w:rPr>
      <w:rFonts w:ascii="Arial Narrow" w:eastAsiaTheme="minorHAnsi" w:hAnsi="Arial Narrow" w:cstheme="minorBidi"/>
      <w:b/>
      <w:sz w:val="20"/>
      <w:szCs w:val="22"/>
      <w:lang w:eastAsia="en-US"/>
    </w:rPr>
  </w:style>
  <w:style w:type="paragraph" w:customStyle="1" w:styleId="V50Instructions">
    <w:name w:val="V5.0 Instructions"/>
    <w:basedOn w:val="Normal"/>
    <w:link w:val="V50InstructionsChar"/>
    <w:rsid w:val="00C34DE9"/>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C34DE9"/>
    <w:rPr>
      <w:rFonts w:asciiTheme="minorHAnsi" w:eastAsiaTheme="minorHAnsi" w:hAnsiTheme="minorHAnsi" w:cstheme="minorBidi"/>
      <w:color w:val="4BACC6" w:themeColor="accent5"/>
      <w:sz w:val="24"/>
      <w:szCs w:val="22"/>
      <w:lang w:eastAsia="en-US"/>
    </w:rPr>
  </w:style>
  <w:style w:type="paragraph" w:styleId="PlainText">
    <w:name w:val="Plain Text"/>
    <w:basedOn w:val="Normal"/>
    <w:link w:val="PlainTextChar"/>
    <w:uiPriority w:val="99"/>
    <w:unhideWhenUsed/>
    <w:rsid w:val="00D65A24"/>
    <w:pPr>
      <w:jc w:val="left"/>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D65A24"/>
    <w:rPr>
      <w:rFonts w:ascii="Consolas" w:eastAsiaTheme="minorHAnsi" w:hAnsi="Consolas" w:cs="Consolas"/>
      <w:sz w:val="21"/>
      <w:szCs w:val="21"/>
      <w:lang w:eastAsia="en-US"/>
    </w:rPr>
  </w:style>
  <w:style w:type="paragraph" w:customStyle="1" w:styleId="TableNotes">
    <w:name w:val="TableNotes"/>
    <w:basedOn w:val="Normal"/>
    <w:next w:val="Normal"/>
    <w:link w:val="TableNotesChar"/>
    <w:uiPriority w:val="3"/>
    <w:rsid w:val="00C100A1"/>
    <w:pPr>
      <w:tabs>
        <w:tab w:val="left" w:pos="1134"/>
      </w:tabs>
      <w:ind w:left="1134" w:hanging="1134"/>
    </w:pPr>
    <w:rPr>
      <w:rFonts w:eastAsiaTheme="minorEastAsia" w:cstheme="minorBidi"/>
      <w:sz w:val="18"/>
      <w:szCs w:val="18"/>
      <w:lang w:eastAsia="zh-CN"/>
    </w:rPr>
  </w:style>
  <w:style w:type="character" w:customStyle="1" w:styleId="TableNotesChar">
    <w:name w:val="TableNotes Char"/>
    <w:basedOn w:val="DefaultParagraphFont"/>
    <w:link w:val="TableNotes"/>
    <w:uiPriority w:val="3"/>
    <w:rsid w:val="00C100A1"/>
    <w:rPr>
      <w:rFonts w:ascii="Calibri" w:eastAsiaTheme="minorEastAsia" w:hAnsi="Calibri" w:cstheme="minorBidi"/>
      <w:sz w:val="18"/>
      <w:szCs w:val="18"/>
      <w:lang w:eastAsia="zh-CN"/>
    </w:rPr>
  </w:style>
  <w:style w:type="table" w:customStyle="1" w:styleId="NICEtable">
    <w:name w:val="NICE table"/>
    <w:basedOn w:val="TableGrid"/>
    <w:uiPriority w:val="99"/>
    <w:rsid w:val="00C100A1"/>
    <w:pPr>
      <w:keepNext/>
    </w:pPr>
    <w:rPr>
      <w:lang w:val="en-GB" w:eastAsia="zh-TW"/>
    </w:rPr>
    <w:tblPr/>
    <w:tcPr>
      <w:vAlign w:val="center"/>
    </w:tcPr>
  </w:style>
  <w:style w:type="paragraph" w:customStyle="1" w:styleId="EndNoteBibliography">
    <w:name w:val="EndNote Bibliography"/>
    <w:basedOn w:val="Normal"/>
    <w:link w:val="EndNoteBibliographyChar"/>
    <w:rsid w:val="00412183"/>
    <w:pPr>
      <w:spacing w:after="200"/>
    </w:pPr>
    <w:rPr>
      <w:rFonts w:eastAsiaTheme="minorEastAsia" w:cs="Calibri"/>
      <w:noProof/>
      <w:sz w:val="20"/>
      <w:szCs w:val="22"/>
      <w:lang w:eastAsia="zh-CN"/>
    </w:rPr>
  </w:style>
  <w:style w:type="character" w:customStyle="1" w:styleId="EndNoteBibliographyChar">
    <w:name w:val="EndNote Bibliography Char"/>
    <w:basedOn w:val="DefaultParagraphFont"/>
    <w:link w:val="EndNoteBibliography"/>
    <w:rsid w:val="00412183"/>
    <w:rPr>
      <w:rFonts w:ascii="Calibri" w:eastAsiaTheme="minorEastAsia" w:hAnsi="Calibri" w:cs="Calibri"/>
      <w:noProof/>
      <w:szCs w:val="22"/>
      <w:lang w:eastAsia="zh-CN"/>
    </w:rPr>
  </w:style>
  <w:style w:type="paragraph" w:styleId="FootnoteText">
    <w:name w:val="footnote text"/>
    <w:basedOn w:val="Normal"/>
    <w:link w:val="FootnoteTextChar"/>
    <w:semiHidden/>
    <w:unhideWhenUsed/>
    <w:rsid w:val="0036020B"/>
    <w:rPr>
      <w:sz w:val="20"/>
      <w:szCs w:val="20"/>
    </w:rPr>
  </w:style>
  <w:style w:type="character" w:customStyle="1" w:styleId="FootnoteTextChar">
    <w:name w:val="Footnote Text Char"/>
    <w:basedOn w:val="DefaultParagraphFont"/>
    <w:link w:val="FootnoteText"/>
    <w:semiHidden/>
    <w:rsid w:val="0036020B"/>
    <w:rPr>
      <w:rFonts w:ascii="Calibri" w:hAnsi="Calibri" w:cs="Arial"/>
    </w:rPr>
  </w:style>
  <w:style w:type="character" w:styleId="FootnoteReference">
    <w:name w:val="footnote reference"/>
    <w:basedOn w:val="DefaultParagraphFont"/>
    <w:semiHidden/>
    <w:unhideWhenUsed/>
    <w:rsid w:val="0036020B"/>
    <w:rPr>
      <w:vertAlign w:val="superscript"/>
    </w:rPr>
  </w:style>
  <w:style w:type="paragraph" w:customStyle="1" w:styleId="ROVR">
    <w:name w:val="ROVR"/>
    <w:basedOn w:val="BodyText"/>
    <w:link w:val="ROVRChar"/>
    <w:qFormat/>
    <w:rsid w:val="00EE05C2"/>
    <w:pPr>
      <w:keepNext/>
      <w:numPr>
        <w:numId w:val="9"/>
      </w:numPr>
      <w:tabs>
        <w:tab w:val="left" w:pos="426"/>
        <w:tab w:val="left" w:pos="567"/>
      </w:tabs>
      <w:spacing w:after="120"/>
      <w:ind w:left="0" w:firstLine="0"/>
      <w:jc w:val="both"/>
    </w:pPr>
    <w:rPr>
      <w:bCs/>
      <w:i/>
      <w:iCs/>
      <w:snapToGrid w:val="0"/>
      <w:color w:val="000000" w:themeColor="text1"/>
      <w:lang w:eastAsia="en-US"/>
    </w:rPr>
  </w:style>
  <w:style w:type="character" w:customStyle="1" w:styleId="ROVRChar">
    <w:name w:val="ROVR Char"/>
    <w:basedOn w:val="BodyTextChar"/>
    <w:link w:val="ROVR"/>
    <w:rsid w:val="00EE05C2"/>
    <w:rPr>
      <w:rFonts w:ascii="Calibri" w:hAnsi="Calibri" w:cs="Arial"/>
      <w:bCs/>
      <w:i/>
      <w:iCs/>
      <w:snapToGrid w:val="0"/>
      <w:color w:val="000000" w:themeColor="text1"/>
      <w:sz w:val="24"/>
      <w:szCs w:val="24"/>
      <w:lang w:eastAsia="en-US"/>
    </w:rPr>
  </w:style>
  <w:style w:type="paragraph" w:customStyle="1" w:styleId="MinorOVRHeader">
    <w:name w:val="Minor OVR Header"/>
    <w:basedOn w:val="Header"/>
    <w:link w:val="MinorOVRHeaderChar"/>
    <w:rsid w:val="0001190D"/>
    <w:pPr>
      <w:jc w:val="right"/>
    </w:pPr>
    <w:rPr>
      <w:rFonts w:asciiTheme="minorHAnsi" w:hAnsiTheme="minorHAnsi"/>
    </w:rPr>
  </w:style>
  <w:style w:type="character" w:customStyle="1" w:styleId="MinorOVRHeaderChar">
    <w:name w:val="Minor OVR Header Char"/>
    <w:basedOn w:val="HeaderChar"/>
    <w:link w:val="MinorOVRHeader"/>
    <w:rsid w:val="0001190D"/>
    <w:rPr>
      <w:rFonts w:asciiTheme="minorHAnsi" w:hAnsiTheme="minorHAnsi" w:cs="Arial"/>
      <w:sz w:val="24"/>
      <w:szCs w:val="24"/>
    </w:rPr>
  </w:style>
  <w:style w:type="paragraph" w:customStyle="1" w:styleId="2Sections">
    <w:name w:val="2. Sections"/>
    <w:qFormat/>
    <w:rsid w:val="0001190D"/>
    <w:pPr>
      <w:spacing w:before="240" w:after="120"/>
      <w:outlineLvl w:val="0"/>
    </w:pPr>
    <w:rPr>
      <w:rFonts w:asciiTheme="minorHAnsi" w:hAnsiTheme="minorHAnsi" w:cs="Arial"/>
      <w:b/>
      <w:snapToGrid w:val="0"/>
      <w:sz w:val="32"/>
      <w:szCs w:val="32"/>
      <w:lang w:eastAsia="en-US"/>
    </w:rPr>
  </w:style>
  <w:style w:type="paragraph" w:customStyle="1" w:styleId="3Bodytext">
    <w:name w:val="3. Body text"/>
    <w:basedOn w:val="ListParagraph"/>
    <w:qFormat/>
    <w:rsid w:val="0001190D"/>
    <w:pPr>
      <w:ind w:left="720" w:hanging="720"/>
      <w:jc w:val="left"/>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6142850">
      <w:bodyDiv w:val="1"/>
      <w:marLeft w:val="0"/>
      <w:marRight w:val="0"/>
      <w:marTop w:val="0"/>
      <w:marBottom w:val="0"/>
      <w:divBdr>
        <w:top w:val="none" w:sz="0" w:space="0" w:color="auto"/>
        <w:left w:val="none" w:sz="0" w:space="0" w:color="auto"/>
        <w:bottom w:val="none" w:sz="0" w:space="0" w:color="auto"/>
        <w:right w:val="none" w:sz="0" w:space="0" w:color="auto"/>
      </w:divBdr>
      <w:divsChild>
        <w:div w:id="1684938331">
          <w:marLeft w:val="0"/>
          <w:marRight w:val="0"/>
          <w:marTop w:val="0"/>
          <w:marBottom w:val="0"/>
          <w:divBdr>
            <w:top w:val="none" w:sz="0" w:space="0" w:color="auto"/>
            <w:left w:val="none" w:sz="0" w:space="0" w:color="auto"/>
            <w:bottom w:val="none" w:sz="0" w:space="0" w:color="auto"/>
            <w:right w:val="none" w:sz="0" w:space="0" w:color="auto"/>
          </w:divBdr>
          <w:divsChild>
            <w:div w:id="2143034209">
              <w:marLeft w:val="0"/>
              <w:marRight w:val="0"/>
              <w:marTop w:val="0"/>
              <w:marBottom w:val="0"/>
              <w:divBdr>
                <w:top w:val="none" w:sz="0" w:space="0" w:color="auto"/>
                <w:left w:val="none" w:sz="0" w:space="0" w:color="auto"/>
                <w:bottom w:val="none" w:sz="0" w:space="0" w:color="auto"/>
                <w:right w:val="none" w:sz="0" w:space="0" w:color="auto"/>
              </w:divBdr>
              <w:divsChild>
                <w:div w:id="1095131860">
                  <w:marLeft w:val="0"/>
                  <w:marRight w:val="0"/>
                  <w:marTop w:val="0"/>
                  <w:marBottom w:val="0"/>
                  <w:divBdr>
                    <w:top w:val="none" w:sz="0" w:space="0" w:color="auto"/>
                    <w:left w:val="none" w:sz="0" w:space="0" w:color="auto"/>
                    <w:bottom w:val="none" w:sz="0" w:space="0" w:color="auto"/>
                    <w:right w:val="none" w:sz="0" w:space="0" w:color="auto"/>
                  </w:divBdr>
                  <w:divsChild>
                    <w:div w:id="5457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8886723">
      <w:bodyDiv w:val="1"/>
      <w:marLeft w:val="0"/>
      <w:marRight w:val="0"/>
      <w:marTop w:val="0"/>
      <w:marBottom w:val="0"/>
      <w:divBdr>
        <w:top w:val="none" w:sz="0" w:space="0" w:color="auto"/>
        <w:left w:val="none" w:sz="0" w:space="0" w:color="auto"/>
        <w:bottom w:val="none" w:sz="0" w:space="0" w:color="auto"/>
        <w:right w:val="none" w:sz="0" w:space="0" w:color="auto"/>
      </w:divBdr>
    </w:div>
    <w:div w:id="2122801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7193662">
      <w:bodyDiv w:val="1"/>
      <w:marLeft w:val="0"/>
      <w:marRight w:val="0"/>
      <w:marTop w:val="0"/>
      <w:marBottom w:val="0"/>
      <w:divBdr>
        <w:top w:val="none" w:sz="0" w:space="0" w:color="auto"/>
        <w:left w:val="none" w:sz="0" w:space="0" w:color="auto"/>
        <w:bottom w:val="none" w:sz="0" w:space="0" w:color="auto"/>
        <w:right w:val="none" w:sz="0" w:space="0" w:color="auto"/>
      </w:divBdr>
    </w:div>
    <w:div w:id="473373905">
      <w:bodyDiv w:val="1"/>
      <w:marLeft w:val="0"/>
      <w:marRight w:val="0"/>
      <w:marTop w:val="0"/>
      <w:marBottom w:val="0"/>
      <w:divBdr>
        <w:top w:val="none" w:sz="0" w:space="0" w:color="auto"/>
        <w:left w:val="none" w:sz="0" w:space="0" w:color="auto"/>
        <w:bottom w:val="none" w:sz="0" w:space="0" w:color="auto"/>
        <w:right w:val="none" w:sz="0" w:space="0" w:color="auto"/>
      </w:divBdr>
    </w:div>
    <w:div w:id="478692306">
      <w:bodyDiv w:val="1"/>
      <w:marLeft w:val="0"/>
      <w:marRight w:val="0"/>
      <w:marTop w:val="0"/>
      <w:marBottom w:val="0"/>
      <w:divBdr>
        <w:top w:val="none" w:sz="0" w:space="0" w:color="auto"/>
        <w:left w:val="none" w:sz="0" w:space="0" w:color="auto"/>
        <w:bottom w:val="none" w:sz="0" w:space="0" w:color="auto"/>
        <w:right w:val="none" w:sz="0" w:space="0" w:color="auto"/>
      </w:divBdr>
    </w:div>
    <w:div w:id="599266219">
      <w:bodyDiv w:val="1"/>
      <w:marLeft w:val="0"/>
      <w:marRight w:val="0"/>
      <w:marTop w:val="0"/>
      <w:marBottom w:val="0"/>
      <w:divBdr>
        <w:top w:val="none" w:sz="0" w:space="0" w:color="auto"/>
        <w:left w:val="none" w:sz="0" w:space="0" w:color="auto"/>
        <w:bottom w:val="none" w:sz="0" w:space="0" w:color="auto"/>
        <w:right w:val="none" w:sz="0" w:space="0" w:color="auto"/>
      </w:divBdr>
      <w:divsChild>
        <w:div w:id="488987171">
          <w:marLeft w:val="0"/>
          <w:marRight w:val="0"/>
          <w:marTop w:val="0"/>
          <w:marBottom w:val="0"/>
          <w:divBdr>
            <w:top w:val="none" w:sz="0" w:space="0" w:color="auto"/>
            <w:left w:val="none" w:sz="0" w:space="0" w:color="auto"/>
            <w:bottom w:val="none" w:sz="0" w:space="0" w:color="auto"/>
            <w:right w:val="none" w:sz="0" w:space="0" w:color="auto"/>
          </w:divBdr>
          <w:divsChild>
            <w:div w:id="1484928128">
              <w:marLeft w:val="0"/>
              <w:marRight w:val="0"/>
              <w:marTop w:val="0"/>
              <w:marBottom w:val="0"/>
              <w:divBdr>
                <w:top w:val="none" w:sz="0" w:space="0" w:color="auto"/>
                <w:left w:val="none" w:sz="0" w:space="0" w:color="auto"/>
                <w:bottom w:val="none" w:sz="0" w:space="0" w:color="auto"/>
                <w:right w:val="none" w:sz="0" w:space="0" w:color="auto"/>
              </w:divBdr>
              <w:divsChild>
                <w:div w:id="17977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95515">
      <w:bodyDiv w:val="1"/>
      <w:marLeft w:val="0"/>
      <w:marRight w:val="0"/>
      <w:marTop w:val="0"/>
      <w:marBottom w:val="0"/>
      <w:divBdr>
        <w:top w:val="none" w:sz="0" w:space="0" w:color="auto"/>
        <w:left w:val="none" w:sz="0" w:space="0" w:color="auto"/>
        <w:bottom w:val="none" w:sz="0" w:space="0" w:color="auto"/>
        <w:right w:val="none" w:sz="0" w:space="0" w:color="auto"/>
      </w:divBdr>
    </w:div>
    <w:div w:id="867059428">
      <w:bodyDiv w:val="1"/>
      <w:marLeft w:val="0"/>
      <w:marRight w:val="0"/>
      <w:marTop w:val="0"/>
      <w:marBottom w:val="0"/>
      <w:divBdr>
        <w:top w:val="none" w:sz="0" w:space="0" w:color="auto"/>
        <w:left w:val="none" w:sz="0" w:space="0" w:color="auto"/>
        <w:bottom w:val="none" w:sz="0" w:space="0" w:color="auto"/>
        <w:right w:val="none" w:sz="0" w:space="0" w:color="auto"/>
      </w:divBdr>
    </w:div>
    <w:div w:id="998769821">
      <w:bodyDiv w:val="1"/>
      <w:marLeft w:val="0"/>
      <w:marRight w:val="0"/>
      <w:marTop w:val="0"/>
      <w:marBottom w:val="0"/>
      <w:divBdr>
        <w:top w:val="none" w:sz="0" w:space="0" w:color="auto"/>
        <w:left w:val="none" w:sz="0" w:space="0" w:color="auto"/>
        <w:bottom w:val="none" w:sz="0" w:space="0" w:color="auto"/>
        <w:right w:val="none" w:sz="0" w:space="0" w:color="auto"/>
      </w:divBdr>
      <w:divsChild>
        <w:div w:id="1926642757">
          <w:marLeft w:val="0"/>
          <w:marRight w:val="0"/>
          <w:marTop w:val="0"/>
          <w:marBottom w:val="0"/>
          <w:divBdr>
            <w:top w:val="none" w:sz="0" w:space="0" w:color="auto"/>
            <w:left w:val="none" w:sz="0" w:space="0" w:color="auto"/>
            <w:bottom w:val="none" w:sz="0" w:space="0" w:color="auto"/>
            <w:right w:val="none" w:sz="0" w:space="0" w:color="auto"/>
          </w:divBdr>
          <w:divsChild>
            <w:div w:id="2066948271">
              <w:marLeft w:val="0"/>
              <w:marRight w:val="0"/>
              <w:marTop w:val="0"/>
              <w:marBottom w:val="0"/>
              <w:divBdr>
                <w:top w:val="none" w:sz="0" w:space="0" w:color="auto"/>
                <w:left w:val="none" w:sz="0" w:space="0" w:color="auto"/>
                <w:bottom w:val="none" w:sz="0" w:space="0" w:color="auto"/>
                <w:right w:val="none" w:sz="0" w:space="0" w:color="auto"/>
              </w:divBdr>
              <w:divsChild>
                <w:div w:id="749280204">
                  <w:marLeft w:val="0"/>
                  <w:marRight w:val="0"/>
                  <w:marTop w:val="0"/>
                  <w:marBottom w:val="0"/>
                  <w:divBdr>
                    <w:top w:val="none" w:sz="0" w:space="0" w:color="auto"/>
                    <w:left w:val="none" w:sz="0" w:space="0" w:color="auto"/>
                    <w:bottom w:val="none" w:sz="0" w:space="0" w:color="auto"/>
                    <w:right w:val="none" w:sz="0" w:space="0" w:color="auto"/>
                  </w:divBdr>
                  <w:divsChild>
                    <w:div w:id="3854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372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86710">
      <w:bodyDiv w:val="1"/>
      <w:marLeft w:val="0"/>
      <w:marRight w:val="0"/>
      <w:marTop w:val="0"/>
      <w:marBottom w:val="0"/>
      <w:divBdr>
        <w:top w:val="none" w:sz="0" w:space="0" w:color="auto"/>
        <w:left w:val="none" w:sz="0" w:space="0" w:color="auto"/>
        <w:bottom w:val="none" w:sz="0" w:space="0" w:color="auto"/>
        <w:right w:val="none" w:sz="0" w:space="0" w:color="auto"/>
      </w:divBdr>
    </w:div>
    <w:div w:id="1647272074">
      <w:bodyDiv w:val="1"/>
      <w:marLeft w:val="0"/>
      <w:marRight w:val="0"/>
      <w:marTop w:val="0"/>
      <w:marBottom w:val="0"/>
      <w:divBdr>
        <w:top w:val="none" w:sz="0" w:space="0" w:color="auto"/>
        <w:left w:val="none" w:sz="0" w:space="0" w:color="auto"/>
        <w:bottom w:val="none" w:sz="0" w:space="0" w:color="auto"/>
        <w:right w:val="none" w:sz="0" w:space="0" w:color="auto"/>
      </w:divBdr>
      <w:divsChild>
        <w:div w:id="1009410915">
          <w:marLeft w:val="1080"/>
          <w:marRight w:val="0"/>
          <w:marTop w:val="100"/>
          <w:marBottom w:val="0"/>
          <w:divBdr>
            <w:top w:val="none" w:sz="0" w:space="0" w:color="auto"/>
            <w:left w:val="none" w:sz="0" w:space="0" w:color="auto"/>
            <w:bottom w:val="none" w:sz="0" w:space="0" w:color="auto"/>
            <w:right w:val="none" w:sz="0" w:space="0" w:color="auto"/>
          </w:divBdr>
        </w:div>
      </w:divsChild>
    </w:div>
    <w:div w:id="195011843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7447462">
      <w:bodyDiv w:val="1"/>
      <w:marLeft w:val="0"/>
      <w:marRight w:val="0"/>
      <w:marTop w:val="0"/>
      <w:marBottom w:val="0"/>
      <w:divBdr>
        <w:top w:val="none" w:sz="0" w:space="0" w:color="auto"/>
        <w:left w:val="none" w:sz="0" w:space="0" w:color="auto"/>
        <w:bottom w:val="none" w:sz="0" w:space="0" w:color="auto"/>
        <w:right w:val="none" w:sz="0" w:space="0" w:color="auto"/>
      </w:divBdr>
      <w:divsChild>
        <w:div w:id="995844870">
          <w:marLeft w:val="0"/>
          <w:marRight w:val="0"/>
          <w:marTop w:val="0"/>
          <w:marBottom w:val="0"/>
          <w:divBdr>
            <w:top w:val="none" w:sz="0" w:space="0" w:color="auto"/>
            <w:left w:val="none" w:sz="0" w:space="0" w:color="auto"/>
            <w:bottom w:val="none" w:sz="0" w:space="0" w:color="auto"/>
            <w:right w:val="none" w:sz="0" w:space="0" w:color="auto"/>
          </w:divBdr>
          <w:divsChild>
            <w:div w:id="1085491473">
              <w:marLeft w:val="0"/>
              <w:marRight w:val="0"/>
              <w:marTop w:val="0"/>
              <w:marBottom w:val="0"/>
              <w:divBdr>
                <w:top w:val="none" w:sz="0" w:space="0" w:color="auto"/>
                <w:left w:val="none" w:sz="0" w:space="0" w:color="auto"/>
                <w:bottom w:val="none" w:sz="0" w:space="0" w:color="auto"/>
                <w:right w:val="none" w:sz="0" w:space="0" w:color="auto"/>
              </w:divBdr>
              <w:divsChild>
                <w:div w:id="517542024">
                  <w:marLeft w:val="0"/>
                  <w:marRight w:val="0"/>
                  <w:marTop w:val="0"/>
                  <w:marBottom w:val="0"/>
                  <w:divBdr>
                    <w:top w:val="none" w:sz="0" w:space="0" w:color="auto"/>
                    <w:left w:val="none" w:sz="0" w:space="0" w:color="auto"/>
                    <w:bottom w:val="none" w:sz="0" w:space="0" w:color="auto"/>
                    <w:right w:val="none" w:sz="0" w:space="0" w:color="auto"/>
                  </w:divBdr>
                  <w:divsChild>
                    <w:div w:id="3632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B9BA3-B291-4CA5-971E-6F1C7988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12275</Words>
  <Characters>68914</Characters>
  <Application>Microsoft Office Word</Application>
  <DocSecurity>0</DocSecurity>
  <Lines>574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2020-10-27T10:03:00Z</dcterms:created>
  <dcterms:modified xsi:type="dcterms:W3CDTF">2020-10-27T10:03:00Z</dcterms:modified>
</cp:coreProperties>
</file>