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68" w:rsidRPr="00EE11C8" w:rsidRDefault="00BF1922" w:rsidP="00AB12CC">
      <w:pPr>
        <w:pStyle w:val="1-MainHeading"/>
      </w:pPr>
      <w:bookmarkStart w:id="0" w:name="_Toc40451832"/>
      <w:r w:rsidRPr="00EE11C8">
        <w:t>5</w:t>
      </w:r>
      <w:r w:rsidR="00433044" w:rsidRPr="00EE11C8">
        <w:t>.</w:t>
      </w:r>
      <w:r w:rsidRPr="00EE11C8">
        <w:t>08</w:t>
      </w:r>
      <w:r w:rsidR="00163F66" w:rsidRPr="00EE11C8">
        <w:tab/>
      </w:r>
      <w:r w:rsidR="003068AA" w:rsidRPr="00EE11C8">
        <w:t>MOMETASONE FUROATE with INDAC</w:t>
      </w:r>
      <w:r w:rsidR="00A74514" w:rsidRPr="00EE11C8">
        <w:t>A</w:t>
      </w:r>
      <w:r w:rsidR="00AB671A" w:rsidRPr="00EE11C8">
        <w:t>TEROL</w:t>
      </w:r>
      <w:r w:rsidR="00163F66" w:rsidRPr="00EE11C8">
        <w:t>,</w:t>
      </w:r>
      <w:r w:rsidR="00163F66" w:rsidRPr="00EE11C8">
        <w:br/>
      </w:r>
      <w:r w:rsidR="00625A99" w:rsidRPr="00EE11C8">
        <w:t>Capsule containing powder for oral inhalation mometasone furoate 80 micrograms with indacaterol 150 micrograms (as acetate) (for use in Breezhaler)</w:t>
      </w:r>
      <w:r w:rsidR="00D958F8" w:rsidRPr="00EE11C8">
        <w:t>, 30 capsules</w:t>
      </w:r>
      <w:r w:rsidR="00163F66" w:rsidRPr="00EE11C8">
        <w:t>,</w:t>
      </w:r>
      <w:r w:rsidR="00163F66" w:rsidRPr="00EE11C8">
        <w:br/>
      </w:r>
      <w:r w:rsidR="00625A99" w:rsidRPr="00EE11C8">
        <w:t xml:space="preserve">Capsule containing powder for oral inhalation mometasone furoate </w:t>
      </w:r>
      <w:r w:rsidR="0050690C" w:rsidRPr="00EE11C8">
        <w:t>1</w:t>
      </w:r>
      <w:r w:rsidR="00625A99" w:rsidRPr="00EE11C8">
        <w:t>60 micrograms with indacaterol 150 micrograms (</w:t>
      </w:r>
      <w:r w:rsidR="0050690C" w:rsidRPr="00EE11C8">
        <w:t>a</w:t>
      </w:r>
      <w:r w:rsidR="00625A99" w:rsidRPr="00EE11C8">
        <w:t>s acetate) (for use in Breezhaler)</w:t>
      </w:r>
      <w:r w:rsidR="00D958F8" w:rsidRPr="00EE11C8">
        <w:t>, 30 capsules</w:t>
      </w:r>
      <w:r w:rsidR="0050690C" w:rsidRPr="00EE11C8">
        <w:t>,</w:t>
      </w:r>
      <w:r w:rsidR="00D15E60" w:rsidRPr="00EE11C8">
        <w:br/>
      </w:r>
      <w:r w:rsidR="00625A99" w:rsidRPr="00EE11C8">
        <w:t>Capsule containing powder for oral inhalation mometasone furoate 320 micrograms with indacaterol 150 micrograms (as acetate) (for use in Breezhaler)</w:t>
      </w:r>
      <w:r w:rsidR="00D958F8" w:rsidRPr="00EE11C8">
        <w:t>, 30 capsules</w:t>
      </w:r>
      <w:r w:rsidR="00D15E60" w:rsidRPr="00EE11C8">
        <w:t>,</w:t>
      </w:r>
      <w:r w:rsidR="00D15E60" w:rsidRPr="00EE11C8">
        <w:br/>
        <w:t>Atectura</w:t>
      </w:r>
      <w:r w:rsidR="00B60939" w:rsidRPr="00EE11C8">
        <w:rPr>
          <w:vertAlign w:val="superscript"/>
        </w:rPr>
        <w:t>®</w:t>
      </w:r>
      <w:r w:rsidR="00D15E60" w:rsidRPr="00EE11C8">
        <w:t xml:space="preserve"> Breezhaler</w:t>
      </w:r>
      <w:r w:rsidR="00D15E60" w:rsidRPr="00EE11C8">
        <w:rPr>
          <w:vertAlign w:val="superscript"/>
        </w:rPr>
        <w:t>®</w:t>
      </w:r>
      <w:r w:rsidR="004A6040" w:rsidRPr="00EE11C8">
        <w:t>,</w:t>
      </w:r>
      <w:r w:rsidR="004A6040" w:rsidRPr="00EE11C8">
        <w:br/>
      </w:r>
      <w:r w:rsidR="00D15E60" w:rsidRPr="00EE11C8">
        <w:t>Novartis Pharmaceutical</w:t>
      </w:r>
      <w:r w:rsidR="00AB12CC" w:rsidRPr="00EE11C8">
        <w:t>s Australia Pty Ltd</w:t>
      </w:r>
      <w:r w:rsidR="00B60939" w:rsidRPr="00EE11C8">
        <w:t>.</w:t>
      </w:r>
      <w:bookmarkEnd w:id="0"/>
    </w:p>
    <w:p w:rsidR="00B50DB8" w:rsidRPr="00EE11C8" w:rsidRDefault="00B50DB8" w:rsidP="004A6040">
      <w:pPr>
        <w:pStyle w:val="2-SectionHeading"/>
      </w:pPr>
      <w:bookmarkStart w:id="1" w:name="_Toc40451834"/>
      <w:r w:rsidRPr="00EE11C8">
        <w:t xml:space="preserve">Purpose of </w:t>
      </w:r>
      <w:r w:rsidR="00CD7193" w:rsidRPr="00EE11C8">
        <w:t>s</w:t>
      </w:r>
      <w:r w:rsidR="00BB3A45" w:rsidRPr="00EE11C8">
        <w:t>ubmission</w:t>
      </w:r>
      <w:bookmarkEnd w:id="1"/>
    </w:p>
    <w:p w:rsidR="00F20B58" w:rsidRPr="00EE11C8" w:rsidRDefault="00F20B58" w:rsidP="00A37543">
      <w:pPr>
        <w:pStyle w:val="3-BodyText"/>
      </w:pPr>
      <w:r w:rsidRPr="00EE11C8">
        <w:t>The submission requested an</w:t>
      </w:r>
      <w:r w:rsidR="007475F6" w:rsidRPr="00EE11C8">
        <w:t xml:space="preserve"> Authority Required (STREAMLINED</w:t>
      </w:r>
      <w:r w:rsidRPr="00EE11C8">
        <w:t>) listing of Atectura® Breezhaler®</w:t>
      </w:r>
      <w:r w:rsidR="0036390D" w:rsidRPr="00EE11C8">
        <w:t xml:space="preserve">, the fixed dose combination (FDC) of mometasone furoate (MF), an inhaled corticosteroid (ICS) with indacaterol (IND), a long-acting beta2 agonist (LABA) for </w:t>
      </w:r>
      <w:r w:rsidR="003648AE" w:rsidRPr="00EE11C8">
        <w:t xml:space="preserve">the </w:t>
      </w:r>
      <w:r w:rsidR="00A37543" w:rsidRPr="00EE11C8">
        <w:t>maintenance treatment of asthma</w:t>
      </w:r>
      <w:r w:rsidR="00EE11C8">
        <w:t xml:space="preserve">. </w:t>
      </w:r>
      <w:r w:rsidR="00964E59" w:rsidRPr="00EE11C8">
        <w:t>The submission requested th</w:t>
      </w:r>
      <w:r w:rsidR="00C17C33" w:rsidRPr="00EE11C8">
        <w:t xml:space="preserve">e listing of three strengths of </w:t>
      </w:r>
      <w:r w:rsidR="0036390D" w:rsidRPr="00EE11C8">
        <w:t xml:space="preserve">capsules containing powder for oral inhalation </w:t>
      </w:r>
      <w:r w:rsidR="003E05D1" w:rsidRPr="00EE11C8">
        <w:t xml:space="preserve">with increasing doses of MF </w:t>
      </w:r>
      <w:r w:rsidR="0036390D" w:rsidRPr="00EE11C8">
        <w:t>(</w:t>
      </w:r>
      <w:r w:rsidR="00041496" w:rsidRPr="00EE11C8">
        <w:t>MF/IND</w:t>
      </w:r>
      <w:r w:rsidR="003E05D1" w:rsidRPr="00EE11C8">
        <w:t xml:space="preserve"> 80/150</w:t>
      </w:r>
      <w:r w:rsidR="00365CFE" w:rsidRPr="00EE11C8">
        <w:t xml:space="preserve"> mcg</w:t>
      </w:r>
      <w:r w:rsidR="003E05D1" w:rsidRPr="00EE11C8">
        <w:t xml:space="preserve">, </w:t>
      </w:r>
      <w:r w:rsidR="00041496" w:rsidRPr="00EE11C8">
        <w:t xml:space="preserve">MF/IND 160/150 </w:t>
      </w:r>
      <w:r w:rsidR="00365CFE" w:rsidRPr="00EE11C8">
        <w:t xml:space="preserve">mcg </w:t>
      </w:r>
      <w:r w:rsidR="00041496" w:rsidRPr="00EE11C8">
        <w:t>and MF/IND</w:t>
      </w:r>
      <w:r w:rsidR="003E05D1" w:rsidRPr="00EE11C8">
        <w:t xml:space="preserve"> 320/150</w:t>
      </w:r>
      <w:r w:rsidR="00365CFE" w:rsidRPr="00EE11C8">
        <w:t xml:space="preserve"> mcg</w:t>
      </w:r>
      <w:r w:rsidR="00153A50" w:rsidRPr="00EE11C8">
        <w:t>)</w:t>
      </w:r>
      <w:r w:rsidR="00EE11C8">
        <w:t xml:space="preserve">. </w:t>
      </w:r>
      <w:r w:rsidR="00A37543" w:rsidRPr="00EE11C8">
        <w:t>Patients must load</w:t>
      </w:r>
      <w:r w:rsidR="003648AE" w:rsidRPr="00EE11C8">
        <w:t xml:space="preserve"> a</w:t>
      </w:r>
      <w:r w:rsidR="00A37543" w:rsidRPr="00EE11C8">
        <w:t xml:space="preserve"> capsule into the </w:t>
      </w:r>
      <w:r w:rsidRPr="00EE11C8">
        <w:t>single dose dry powder inhaler (DPI)</w:t>
      </w:r>
      <w:r w:rsidR="00A37543" w:rsidRPr="00EE11C8">
        <w:t xml:space="preserve"> device prior to each use.</w:t>
      </w:r>
    </w:p>
    <w:p w:rsidR="00F9159A" w:rsidRPr="00EE11C8" w:rsidRDefault="00FD6344" w:rsidP="00F9159A">
      <w:pPr>
        <w:pStyle w:val="3-BodyText"/>
      </w:pPr>
      <w:bookmarkStart w:id="2" w:name="_Hlk38219703"/>
      <w:r w:rsidRPr="00EE11C8">
        <w:t xml:space="preserve">If recommended, </w:t>
      </w:r>
      <w:r w:rsidR="00041496" w:rsidRPr="00EE11C8">
        <w:t>MF/IND</w:t>
      </w:r>
      <w:r w:rsidRPr="00EE11C8">
        <w:t xml:space="preserve"> will be one of five ICS/LABA FDC drug combinations </w:t>
      </w:r>
      <w:r w:rsidR="00F9159A" w:rsidRPr="00EE11C8">
        <w:t>available on the PBS for asthma, and will be the first ICS/LABA FDC formulation listed for asthma requiring patients to load dry powder capsules into the inhaler device</w:t>
      </w:r>
      <w:r w:rsidR="00EE11C8">
        <w:t xml:space="preserve">. </w:t>
      </w:r>
      <w:r w:rsidR="00E508F5" w:rsidRPr="00EE11C8">
        <w:t xml:space="preserve">Currently, all ICS/LABA FDCs available on the PBS for asthma are delivered via </w:t>
      </w:r>
      <w:r w:rsidR="00793C8C" w:rsidRPr="00EE11C8">
        <w:t xml:space="preserve">multidose </w:t>
      </w:r>
      <w:r w:rsidR="00E508F5" w:rsidRPr="00EE11C8">
        <w:t xml:space="preserve">DPI </w:t>
      </w:r>
      <w:r w:rsidR="00D266E9" w:rsidRPr="00EE11C8">
        <w:t>and/</w:t>
      </w:r>
      <w:r w:rsidR="00E508F5" w:rsidRPr="00EE11C8">
        <w:t>or metered dos</w:t>
      </w:r>
      <w:r w:rsidR="00766868" w:rsidRPr="00EE11C8">
        <w:t>e inhaler (MDI)</w:t>
      </w:r>
      <w:r w:rsidR="00E508F5" w:rsidRPr="00EE11C8">
        <w:t>.</w:t>
      </w:r>
    </w:p>
    <w:bookmarkEnd w:id="2"/>
    <w:p w:rsidR="00F76519" w:rsidRPr="00EE11C8" w:rsidRDefault="00F20B58" w:rsidP="0039513F">
      <w:pPr>
        <w:pStyle w:val="3-BodyText"/>
      </w:pPr>
      <w:r w:rsidRPr="00EE11C8">
        <w:t>The basis of the requested listing was a cost-minimisation analysis to</w:t>
      </w:r>
      <w:r w:rsidR="001B45B5" w:rsidRPr="00EE11C8">
        <w:t xml:space="preserve"> three corresponding formulations of</w:t>
      </w:r>
      <w:r w:rsidRPr="00EE11C8">
        <w:t xml:space="preserve"> </w:t>
      </w:r>
      <w:r w:rsidR="001B45B5" w:rsidRPr="00EE11C8">
        <w:t>fluticasone propionate</w:t>
      </w:r>
      <w:r w:rsidR="0011072A" w:rsidRPr="00EE11C8">
        <w:t xml:space="preserve"> (FP)</w:t>
      </w:r>
      <w:r w:rsidR="001B45B5" w:rsidRPr="00EE11C8">
        <w:t>/salmeterol</w:t>
      </w:r>
      <w:r w:rsidR="0011072A" w:rsidRPr="00EE11C8">
        <w:t xml:space="preserve"> (SAL)</w:t>
      </w:r>
      <w:r w:rsidR="001B45B5" w:rsidRPr="00EE11C8">
        <w:t xml:space="preserve"> FDC </w:t>
      </w:r>
      <w:r w:rsidR="001B45B5" w:rsidRPr="00EE11C8">
        <w:lastRenderedPageBreak/>
        <w:t>delivered via a DPI (Seretide® Accuhaler®)</w:t>
      </w:r>
      <w:r w:rsidR="00EE11C8">
        <w:t xml:space="preserve">. </w:t>
      </w:r>
      <w:r w:rsidR="00C67A92" w:rsidRPr="00EE11C8">
        <w:t xml:space="preserve">A cost-minimisation analysis versus other </w:t>
      </w:r>
      <w:r w:rsidR="0039513F" w:rsidRPr="00EE11C8">
        <w:t>relevant comparator products</w:t>
      </w:r>
      <w:r w:rsidR="00F76519" w:rsidRPr="00EE11C8">
        <w:t xml:space="preserve"> </w:t>
      </w:r>
      <w:r w:rsidR="00E508F5" w:rsidRPr="00EE11C8">
        <w:t>was conducted during the evaluation</w:t>
      </w:r>
      <w:r w:rsidR="00C67A92" w:rsidRPr="00EE11C8">
        <w:t>.</w:t>
      </w:r>
    </w:p>
    <w:p w:rsidR="00C67A92" w:rsidRPr="00EE11C8" w:rsidRDefault="00C67A92" w:rsidP="00C67A92">
      <w:pPr>
        <w:pStyle w:val="TableFigureHeading"/>
      </w:pPr>
      <w:r w:rsidRPr="00EE11C8">
        <w:rPr>
          <w:rStyle w:val="CommentReference"/>
          <w:b/>
          <w:szCs w:val="24"/>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8168"/>
      </w:tblGrid>
      <w:tr w:rsidR="00C67A92" w:rsidRPr="00EE11C8" w:rsidTr="00096664">
        <w:trPr>
          <w:cantSplit/>
        </w:trPr>
        <w:tc>
          <w:tcPr>
            <w:tcW w:w="988" w:type="dxa"/>
            <w:vAlign w:val="center"/>
          </w:tcPr>
          <w:p w:rsidR="00C67A92" w:rsidRPr="00EE11C8" w:rsidRDefault="00C67A92" w:rsidP="00096664">
            <w:pPr>
              <w:pStyle w:val="In-tableHeading"/>
              <w:rPr>
                <w:lang w:val="en-AU"/>
              </w:rPr>
            </w:pPr>
            <w:r w:rsidRPr="00EE11C8">
              <w:rPr>
                <w:lang w:val="en-AU"/>
              </w:rPr>
              <w:t>Component</w:t>
            </w:r>
          </w:p>
        </w:tc>
        <w:tc>
          <w:tcPr>
            <w:tcW w:w="8168" w:type="dxa"/>
            <w:vAlign w:val="center"/>
          </w:tcPr>
          <w:p w:rsidR="00C67A92" w:rsidRPr="00EE11C8" w:rsidRDefault="00C67A92" w:rsidP="00096664">
            <w:pPr>
              <w:pStyle w:val="In-tableHeading"/>
              <w:rPr>
                <w:lang w:val="en-AU"/>
              </w:rPr>
            </w:pPr>
            <w:r w:rsidRPr="00EE11C8">
              <w:rPr>
                <w:lang w:val="en-AU"/>
              </w:rPr>
              <w:t>Description</w:t>
            </w:r>
          </w:p>
        </w:tc>
      </w:tr>
      <w:tr w:rsidR="00C67A92" w:rsidRPr="00EE11C8" w:rsidTr="00096664">
        <w:trPr>
          <w:cantSplit/>
        </w:trPr>
        <w:tc>
          <w:tcPr>
            <w:tcW w:w="988" w:type="dxa"/>
            <w:vAlign w:val="center"/>
          </w:tcPr>
          <w:p w:rsidR="00C67A92" w:rsidRPr="00EE11C8" w:rsidRDefault="00C67A92" w:rsidP="00096664">
            <w:pPr>
              <w:pStyle w:val="TableText0"/>
            </w:pPr>
            <w:r w:rsidRPr="00EE11C8">
              <w:t>Population</w:t>
            </w:r>
          </w:p>
        </w:tc>
        <w:tc>
          <w:tcPr>
            <w:tcW w:w="8168" w:type="dxa"/>
            <w:vAlign w:val="center"/>
          </w:tcPr>
          <w:p w:rsidR="00C67A92" w:rsidRPr="00EE11C8" w:rsidRDefault="00C67A92" w:rsidP="00096664">
            <w:pPr>
              <w:pStyle w:val="TableText0"/>
            </w:pPr>
            <w:r w:rsidRPr="00EE11C8">
              <w:t>Patients with asthma for whom the use of ICS/LABA is appropriate</w:t>
            </w:r>
            <w:r w:rsidR="00EE11C8">
              <w:t xml:space="preserve">. </w:t>
            </w:r>
            <w:r w:rsidRPr="00EE11C8">
              <w:t>Patients must have previously had frequent episodes of asthma while receiving treatment with oral corticosteroids or optimal doses of inhaled corticosteroids.</w:t>
            </w:r>
          </w:p>
        </w:tc>
      </w:tr>
      <w:tr w:rsidR="00C67A92" w:rsidRPr="00EE11C8" w:rsidTr="00096664">
        <w:trPr>
          <w:cantSplit/>
        </w:trPr>
        <w:tc>
          <w:tcPr>
            <w:tcW w:w="988" w:type="dxa"/>
            <w:vAlign w:val="center"/>
          </w:tcPr>
          <w:p w:rsidR="00C67A92" w:rsidRPr="00EE11C8" w:rsidRDefault="00C67A92" w:rsidP="00096664">
            <w:pPr>
              <w:pStyle w:val="TableText0"/>
            </w:pPr>
            <w:r w:rsidRPr="00EE11C8">
              <w:t>Intervention</w:t>
            </w:r>
          </w:p>
        </w:tc>
        <w:tc>
          <w:tcPr>
            <w:tcW w:w="8168" w:type="dxa"/>
            <w:vAlign w:val="center"/>
          </w:tcPr>
          <w:p w:rsidR="00C67A92" w:rsidRPr="00EE11C8" w:rsidRDefault="0054746F" w:rsidP="00CD61EC">
            <w:pPr>
              <w:pStyle w:val="TableText0"/>
            </w:pPr>
            <w:r w:rsidRPr="00EE11C8">
              <w:t>Atectura® Breez</w:t>
            </w:r>
            <w:r w:rsidR="00C67A92" w:rsidRPr="00EE11C8">
              <w:t xml:space="preserve">haler®, a once-daily </w:t>
            </w:r>
            <w:r w:rsidR="00031DFE" w:rsidRPr="00EE11C8">
              <w:t>DPI</w:t>
            </w:r>
            <w:r w:rsidR="00C67A92" w:rsidRPr="00EE11C8">
              <w:t xml:space="preserve"> (capsules) containing MF and IND</w:t>
            </w:r>
            <w:r w:rsidR="00EE11C8">
              <w:t xml:space="preserve">. </w:t>
            </w:r>
            <w:r w:rsidR="00C67A92" w:rsidRPr="00EE11C8">
              <w:t xml:space="preserve">Available in three strengths: </w:t>
            </w:r>
            <w:r w:rsidR="005F65F9" w:rsidRPr="00EE11C8">
              <w:br/>
            </w:r>
            <w:r w:rsidR="00C67A92" w:rsidRPr="00EE11C8">
              <w:t>80/150</w:t>
            </w:r>
            <w:r w:rsidR="00CD61EC" w:rsidRPr="00EE11C8">
              <w:t xml:space="preserve"> </w:t>
            </w:r>
            <w:r w:rsidR="0039513F" w:rsidRPr="00EE11C8">
              <w:rPr>
                <w:rFonts w:cs="Arial"/>
              </w:rPr>
              <w:t>mcg</w:t>
            </w:r>
            <w:r w:rsidR="00C67A92" w:rsidRPr="00EE11C8">
              <w:t xml:space="preserve"> per actuation (‘low’), 160/150</w:t>
            </w:r>
            <w:r w:rsidR="00CD61EC" w:rsidRPr="00EE11C8">
              <w:t xml:space="preserve"> </w:t>
            </w:r>
            <w:r w:rsidR="0039513F" w:rsidRPr="00EE11C8">
              <w:rPr>
                <w:rFonts w:cs="Arial"/>
              </w:rPr>
              <w:t>mcg</w:t>
            </w:r>
            <w:r w:rsidR="00C67A92" w:rsidRPr="00EE11C8">
              <w:t xml:space="preserve"> per actuation (‘medium’), 320/150</w:t>
            </w:r>
            <w:r w:rsidR="00CD61EC" w:rsidRPr="00EE11C8">
              <w:t xml:space="preserve"> </w:t>
            </w:r>
            <w:r w:rsidR="0039513F" w:rsidRPr="00EE11C8">
              <w:rPr>
                <w:rFonts w:cs="Arial"/>
              </w:rPr>
              <w:t>mcg</w:t>
            </w:r>
            <w:r w:rsidR="00C67A92" w:rsidRPr="00EE11C8">
              <w:t xml:space="preserve"> per actuation (‘high’).</w:t>
            </w:r>
          </w:p>
        </w:tc>
      </w:tr>
      <w:tr w:rsidR="00C67A92" w:rsidRPr="00EE11C8" w:rsidTr="00096664">
        <w:trPr>
          <w:cantSplit/>
        </w:trPr>
        <w:tc>
          <w:tcPr>
            <w:tcW w:w="988" w:type="dxa"/>
            <w:vAlign w:val="center"/>
          </w:tcPr>
          <w:p w:rsidR="00C67A92" w:rsidRPr="00EE11C8" w:rsidRDefault="00C67A92" w:rsidP="00096664">
            <w:pPr>
              <w:pStyle w:val="TableText0"/>
            </w:pPr>
            <w:r w:rsidRPr="00EE11C8">
              <w:t>Comparator</w:t>
            </w:r>
          </w:p>
        </w:tc>
        <w:tc>
          <w:tcPr>
            <w:tcW w:w="8168" w:type="dxa"/>
            <w:vAlign w:val="center"/>
          </w:tcPr>
          <w:p w:rsidR="00C67A92" w:rsidRPr="00EE11C8" w:rsidRDefault="00C67A92" w:rsidP="00096664">
            <w:pPr>
              <w:pStyle w:val="TableText0"/>
              <w:tabs>
                <w:tab w:val="left" w:pos="398"/>
              </w:tabs>
            </w:pPr>
            <w:r w:rsidRPr="00EE11C8">
              <w:t>For the clinical comparison, the submission nominated the following comparators:</w:t>
            </w:r>
          </w:p>
          <w:p w:rsidR="00C67A92" w:rsidRPr="00EE11C8" w:rsidRDefault="00C67A92" w:rsidP="00CD6A6E">
            <w:pPr>
              <w:pStyle w:val="TableText0"/>
              <w:numPr>
                <w:ilvl w:val="0"/>
                <w:numId w:val="7"/>
              </w:numPr>
              <w:tabs>
                <w:tab w:val="left" w:pos="398"/>
              </w:tabs>
              <w:ind w:left="256" w:hanging="256"/>
            </w:pPr>
            <w:r w:rsidRPr="00EE11C8">
              <w:t>Primary comparator: FP/</w:t>
            </w:r>
            <w:r w:rsidR="005F65F9" w:rsidRPr="00EE11C8">
              <w:t>SAL</w:t>
            </w:r>
            <w:r w:rsidRPr="00EE11C8">
              <w:t xml:space="preserve"> </w:t>
            </w:r>
            <w:r w:rsidR="00031DFE" w:rsidRPr="00EE11C8">
              <w:t>(</w:t>
            </w:r>
            <w:r w:rsidRPr="00EE11C8">
              <w:t>Seretide® Accuhaler®</w:t>
            </w:r>
            <w:r w:rsidR="00031DFE" w:rsidRPr="00EE11C8">
              <w:t>)</w:t>
            </w:r>
            <w:r w:rsidRPr="00EE11C8">
              <w:t xml:space="preserve"> </w:t>
            </w:r>
          </w:p>
          <w:p w:rsidR="00C67A92" w:rsidRPr="00EE11C8" w:rsidRDefault="00C67A92" w:rsidP="00CD6A6E">
            <w:pPr>
              <w:pStyle w:val="TableText0"/>
              <w:numPr>
                <w:ilvl w:val="0"/>
                <w:numId w:val="7"/>
              </w:numPr>
              <w:tabs>
                <w:tab w:val="left" w:pos="398"/>
              </w:tabs>
              <w:ind w:left="256" w:hanging="256"/>
            </w:pPr>
            <w:r w:rsidRPr="00EE11C8">
              <w:t xml:space="preserve">Supplementary comparator: MF </w:t>
            </w:r>
            <w:r w:rsidR="00CF23EB" w:rsidRPr="00EE11C8">
              <w:t>(</w:t>
            </w:r>
            <w:r w:rsidRPr="00EE11C8">
              <w:t xml:space="preserve">Asmanex® Twisthaler® DPI not PBS listed) as a proxy for FP </w:t>
            </w:r>
            <w:r w:rsidR="00CF23EB" w:rsidRPr="00EE11C8">
              <w:t>(</w:t>
            </w:r>
            <w:r w:rsidRPr="00EE11C8">
              <w:t>Flixotide® Accuhaler® DPI PBS listed).</w:t>
            </w:r>
          </w:p>
          <w:p w:rsidR="00C67A92" w:rsidRPr="00EE11C8" w:rsidRDefault="00C67A92" w:rsidP="00096664">
            <w:pPr>
              <w:pStyle w:val="TableText0"/>
            </w:pPr>
          </w:p>
          <w:p w:rsidR="00C67A92" w:rsidRPr="00EE11C8" w:rsidRDefault="00C67A92" w:rsidP="00096664">
            <w:pPr>
              <w:pStyle w:val="TableText0"/>
            </w:pPr>
            <w:r w:rsidRPr="00EE11C8">
              <w:t>Clinical evidence presented informs the following comparisons:</w:t>
            </w:r>
          </w:p>
          <w:p w:rsidR="00C67A92" w:rsidRPr="00EE11C8" w:rsidRDefault="00041496" w:rsidP="00096664">
            <w:pPr>
              <w:pStyle w:val="TableText0"/>
            </w:pPr>
            <w:r w:rsidRPr="00EE11C8">
              <w:t>MF/IND</w:t>
            </w:r>
            <w:r w:rsidR="00C67A92" w:rsidRPr="00EE11C8">
              <w:t xml:space="preserve"> 80/150 </w:t>
            </w:r>
            <w:r w:rsidR="00CD61EC" w:rsidRPr="00EE11C8">
              <w:t xml:space="preserve">mcg </w:t>
            </w:r>
            <w:r w:rsidR="00031DFE" w:rsidRPr="00EE11C8">
              <w:t>daily</w:t>
            </w:r>
            <w:r w:rsidR="00C67A92" w:rsidRPr="00EE11C8">
              <w:t xml:space="preserve"> versus MF 200</w:t>
            </w:r>
            <w:r w:rsidR="00CD61EC" w:rsidRPr="00EE11C8">
              <w:t xml:space="preserve"> </w:t>
            </w:r>
            <w:r w:rsidR="0011072A" w:rsidRPr="00EE11C8">
              <w:t xml:space="preserve">mcg </w:t>
            </w:r>
            <w:r w:rsidR="00031DFE" w:rsidRPr="00EE11C8">
              <w:t>daily</w:t>
            </w:r>
            <w:r w:rsidR="00C67A92" w:rsidRPr="00EE11C8">
              <w:t xml:space="preserve"> and FP 250</w:t>
            </w:r>
            <w:r w:rsidR="00CD61EC" w:rsidRPr="00EE11C8">
              <w:t xml:space="preserve"> </w:t>
            </w:r>
            <w:r w:rsidR="0011072A" w:rsidRPr="00EE11C8">
              <w:t xml:space="preserve">mcg </w:t>
            </w:r>
            <w:r w:rsidR="00031DFE" w:rsidRPr="00EE11C8">
              <w:t>twice daily</w:t>
            </w:r>
            <w:r w:rsidR="00C67A92" w:rsidRPr="00EE11C8">
              <w:t xml:space="preserve"> (via indirect comparison)</w:t>
            </w:r>
            <w:r w:rsidR="00CD61EC" w:rsidRPr="00EE11C8">
              <w:t>;</w:t>
            </w:r>
          </w:p>
          <w:p w:rsidR="00C67A92" w:rsidRPr="00EE11C8" w:rsidRDefault="00041496" w:rsidP="00CD61EC">
            <w:pPr>
              <w:pStyle w:val="TableText0"/>
            </w:pPr>
            <w:r w:rsidRPr="00EE11C8">
              <w:t>MF/IND</w:t>
            </w:r>
            <w:r w:rsidR="00C67A92" w:rsidRPr="00EE11C8">
              <w:t xml:space="preserve"> 160/150 </w:t>
            </w:r>
            <w:r w:rsidR="00CD61EC" w:rsidRPr="00EE11C8">
              <w:t xml:space="preserve">mcg </w:t>
            </w:r>
            <w:r w:rsidR="00031DFE" w:rsidRPr="00EE11C8">
              <w:t>daily</w:t>
            </w:r>
            <w:r w:rsidR="00C67A92" w:rsidRPr="00EE11C8">
              <w:t xml:space="preserve"> versus MF 400</w:t>
            </w:r>
            <w:r w:rsidR="00CD61EC" w:rsidRPr="00EE11C8">
              <w:t xml:space="preserve"> </w:t>
            </w:r>
            <w:r w:rsidR="0011072A" w:rsidRPr="00EE11C8">
              <w:t xml:space="preserve">mcg </w:t>
            </w:r>
            <w:r w:rsidR="00031DFE" w:rsidRPr="00EE11C8">
              <w:t>daily</w:t>
            </w:r>
            <w:r w:rsidR="00C67A92" w:rsidRPr="00EE11C8">
              <w:t xml:space="preserve"> and FP/SAL 500/50</w:t>
            </w:r>
            <w:r w:rsidR="00CD61EC" w:rsidRPr="00EE11C8">
              <w:t xml:space="preserve"> </w:t>
            </w:r>
            <w:r w:rsidR="0011072A" w:rsidRPr="00EE11C8">
              <w:t xml:space="preserve">mcg </w:t>
            </w:r>
            <w:r w:rsidR="00031DFE" w:rsidRPr="00EE11C8">
              <w:t>twice daily</w:t>
            </w:r>
            <w:r w:rsidR="00C67A92" w:rsidRPr="00EE11C8">
              <w:t xml:space="preserve"> (post-hoc analysis);</w:t>
            </w:r>
          </w:p>
          <w:p w:rsidR="00C67A92" w:rsidRPr="00EE11C8" w:rsidRDefault="00041496" w:rsidP="00CD61EC">
            <w:pPr>
              <w:pStyle w:val="TableText0"/>
            </w:pPr>
            <w:r w:rsidRPr="00EE11C8">
              <w:t>MF/IND</w:t>
            </w:r>
            <w:r w:rsidR="00C67A92" w:rsidRPr="00EE11C8">
              <w:t xml:space="preserve"> 320/150 </w:t>
            </w:r>
            <w:r w:rsidR="00CD61EC" w:rsidRPr="00EE11C8">
              <w:t xml:space="preserve">mcg </w:t>
            </w:r>
            <w:r w:rsidR="00031DFE" w:rsidRPr="00EE11C8">
              <w:t>daily</w:t>
            </w:r>
            <w:r w:rsidR="00C67A92" w:rsidRPr="00EE11C8">
              <w:t xml:space="preserve"> versus MF 400</w:t>
            </w:r>
            <w:r w:rsidR="00CD61EC" w:rsidRPr="00EE11C8">
              <w:t xml:space="preserve"> </w:t>
            </w:r>
            <w:r w:rsidR="0011072A" w:rsidRPr="00EE11C8">
              <w:t>mcg</w:t>
            </w:r>
            <w:r w:rsidR="00C67A92" w:rsidRPr="00EE11C8">
              <w:t xml:space="preserve"> </w:t>
            </w:r>
            <w:r w:rsidR="00031DFE" w:rsidRPr="00EE11C8">
              <w:t>twice daily</w:t>
            </w:r>
            <w:r w:rsidR="00C67A92" w:rsidRPr="00EE11C8">
              <w:t xml:space="preserve"> and FP/SAL 500/50</w:t>
            </w:r>
            <w:r w:rsidR="00CD61EC" w:rsidRPr="00EE11C8">
              <w:t xml:space="preserve"> </w:t>
            </w:r>
            <w:r w:rsidR="0011072A" w:rsidRPr="00EE11C8">
              <w:t xml:space="preserve">mcg </w:t>
            </w:r>
            <w:r w:rsidR="00031DFE" w:rsidRPr="00EE11C8">
              <w:t>twice daily</w:t>
            </w:r>
            <w:r w:rsidR="00CD61EC" w:rsidRPr="00EE11C8">
              <w:t>.</w:t>
            </w:r>
          </w:p>
        </w:tc>
      </w:tr>
      <w:tr w:rsidR="00C67A92" w:rsidRPr="00EE11C8" w:rsidTr="00096664">
        <w:trPr>
          <w:cantSplit/>
        </w:trPr>
        <w:tc>
          <w:tcPr>
            <w:tcW w:w="988" w:type="dxa"/>
            <w:vAlign w:val="center"/>
          </w:tcPr>
          <w:p w:rsidR="00C67A92" w:rsidRPr="00EE11C8" w:rsidRDefault="00C67A92" w:rsidP="00096664">
            <w:pPr>
              <w:pStyle w:val="TableText0"/>
            </w:pPr>
            <w:r w:rsidRPr="00EE11C8">
              <w:t>Outcomes</w:t>
            </w:r>
          </w:p>
        </w:tc>
        <w:tc>
          <w:tcPr>
            <w:tcW w:w="8168" w:type="dxa"/>
            <w:vAlign w:val="center"/>
          </w:tcPr>
          <w:p w:rsidR="00C67A92" w:rsidRPr="00EE11C8" w:rsidRDefault="00C67A92" w:rsidP="00096664">
            <w:pPr>
              <w:pStyle w:val="TableText0"/>
            </w:pPr>
            <w:r w:rsidRPr="00EE11C8">
              <w:t>Trough FEV1; AQLQ; FVC; FEV</w:t>
            </w:r>
            <w:r w:rsidRPr="00EE11C8">
              <w:rPr>
                <w:vertAlign w:val="subscript"/>
              </w:rPr>
              <w:t>25-75</w:t>
            </w:r>
            <w:r w:rsidRPr="00EE11C8">
              <w:t>; ACQ-7; exacerbations; rescue medication use; PEF; symptoms; health status</w:t>
            </w:r>
          </w:p>
        </w:tc>
      </w:tr>
      <w:tr w:rsidR="00C67A92" w:rsidRPr="00EE11C8" w:rsidTr="00096664">
        <w:trPr>
          <w:cantSplit/>
        </w:trPr>
        <w:tc>
          <w:tcPr>
            <w:tcW w:w="988" w:type="dxa"/>
            <w:vAlign w:val="center"/>
          </w:tcPr>
          <w:p w:rsidR="00C67A92" w:rsidRPr="00EE11C8" w:rsidRDefault="00C67A92" w:rsidP="00096664">
            <w:pPr>
              <w:pStyle w:val="TableText0"/>
            </w:pPr>
            <w:r w:rsidRPr="00EE11C8">
              <w:t>Clinical claim</w:t>
            </w:r>
          </w:p>
        </w:tc>
        <w:tc>
          <w:tcPr>
            <w:tcW w:w="8168" w:type="dxa"/>
            <w:vAlign w:val="center"/>
          </w:tcPr>
          <w:p w:rsidR="00C67A92" w:rsidRPr="00EE11C8" w:rsidRDefault="00041496" w:rsidP="00096664">
            <w:pPr>
              <w:pStyle w:val="TableText0"/>
            </w:pPr>
            <w:r w:rsidRPr="00EE11C8">
              <w:t>MF/IND</w:t>
            </w:r>
            <w:r w:rsidR="00C67A92" w:rsidRPr="00EE11C8">
              <w:t xml:space="preserve"> once daily is equivalent to FP/SAL twice daily at the corresponding doses (low, medium, high), respectively </w:t>
            </w:r>
          </w:p>
        </w:tc>
      </w:tr>
    </w:tbl>
    <w:p w:rsidR="00C67A92" w:rsidRPr="00EE11C8" w:rsidRDefault="00C67A92" w:rsidP="00C67A92">
      <w:pPr>
        <w:pStyle w:val="TableFigureFooter"/>
      </w:pPr>
      <w:r w:rsidRPr="00EE11C8">
        <w:t>Abbreviations: ACQ-7=Asthma Control Questionnaire; AQLQ=Asthma Quality of Life Questionnaire;</w:t>
      </w:r>
      <w:r w:rsidR="003953E8" w:rsidRPr="00EE11C8">
        <w:t xml:space="preserve"> DPI=dry powder inhaler;</w:t>
      </w:r>
      <w:r w:rsidRPr="00EE11C8">
        <w:t xml:space="preserve"> FEF</w:t>
      </w:r>
      <w:r w:rsidRPr="00EE11C8">
        <w:rPr>
          <w:vertAlign w:val="subscript"/>
        </w:rPr>
        <w:t>25-75</w:t>
      </w:r>
      <w:r w:rsidRPr="00EE11C8">
        <w:t>=forced expiratory flow; FEV1=forced expiratory volume in one second; FP=fluticasone propionate; FVC=forced vital capacity; ICS inhaled corticosteroid; IND=indacaterol; LABA=long acting beta2-adrenergic agonist; MF=mometasone furoate; PEF=peak expiratory flow; SAL=salmeterol;</w:t>
      </w:r>
      <w:r w:rsidR="0084308C" w:rsidRPr="00EE11C8">
        <w:t xml:space="preserve"> D=daily; BD=twice daily;</w:t>
      </w:r>
    </w:p>
    <w:p w:rsidR="00C67A92" w:rsidRPr="00EE11C8" w:rsidRDefault="00C67A92" w:rsidP="00C67A92">
      <w:pPr>
        <w:pStyle w:val="TableFigureFooter"/>
      </w:pPr>
      <w:r w:rsidRPr="00EE11C8">
        <w:t>Source: Table 1.1, p25 of the submission.</w:t>
      </w:r>
    </w:p>
    <w:p w:rsidR="005C25FF" w:rsidRPr="00EE11C8" w:rsidRDefault="005C25FF" w:rsidP="004A6040">
      <w:pPr>
        <w:pStyle w:val="2-SectionHeading"/>
      </w:pPr>
      <w:bookmarkStart w:id="3" w:name="_Toc40451835"/>
      <w:r w:rsidRPr="00EE11C8">
        <w:t>Background</w:t>
      </w:r>
      <w:bookmarkEnd w:id="3"/>
    </w:p>
    <w:p w:rsidR="005C25FF" w:rsidRPr="00EE11C8" w:rsidRDefault="005C25FF" w:rsidP="004A6040">
      <w:pPr>
        <w:pStyle w:val="4-SubsectionHeading"/>
      </w:pPr>
      <w:bookmarkStart w:id="4" w:name="_Toc22897638"/>
      <w:bookmarkStart w:id="5" w:name="_Toc40451836"/>
      <w:r w:rsidRPr="00EE11C8">
        <w:t>Registration status</w:t>
      </w:r>
      <w:bookmarkEnd w:id="4"/>
      <w:bookmarkEnd w:id="5"/>
    </w:p>
    <w:p w:rsidR="00C67A92" w:rsidRPr="00EE11C8" w:rsidRDefault="001517CB" w:rsidP="004E18E9">
      <w:pPr>
        <w:pStyle w:val="3-BodyText"/>
      </w:pPr>
      <w:r w:rsidRPr="00EE11C8">
        <w:t>The submission was made under the TGA/PBAC Parallel Process</w:t>
      </w:r>
      <w:r w:rsidR="00EE11C8">
        <w:t xml:space="preserve">. </w:t>
      </w:r>
      <w:r w:rsidR="00CF3E72" w:rsidRPr="00EE11C8">
        <w:t xml:space="preserve">At the time of the evaluation, the TGA Clinical Evaluation </w:t>
      </w:r>
      <w:r w:rsidR="004A6F0E" w:rsidRPr="00EE11C8">
        <w:t xml:space="preserve">Report (Round 1) </w:t>
      </w:r>
      <w:r w:rsidR="00CF3E72" w:rsidRPr="00EE11C8">
        <w:t>was available</w:t>
      </w:r>
      <w:r w:rsidR="00EE11C8">
        <w:t xml:space="preserve">. </w:t>
      </w:r>
      <w:r w:rsidR="006453C1" w:rsidRPr="00EE11C8">
        <w:t xml:space="preserve">At the time of the ESC advice the TGA Clinical Evaluation Report (Round 2) was available. </w:t>
      </w:r>
    </w:p>
    <w:p w:rsidR="009D6D99" w:rsidRPr="00EE11C8" w:rsidRDefault="00CF3E72" w:rsidP="00096664">
      <w:pPr>
        <w:pStyle w:val="3-BodyText"/>
      </w:pPr>
      <w:r w:rsidRPr="00EE11C8">
        <w:t>The proposed TGA indication</w:t>
      </w:r>
      <w:r w:rsidR="00D41CBE" w:rsidRPr="00EE11C8">
        <w:t xml:space="preserve"> for</w:t>
      </w:r>
      <w:r w:rsidRPr="00EE11C8">
        <w:t xml:space="preserve"> </w:t>
      </w:r>
      <w:r w:rsidR="00041496" w:rsidRPr="00EE11C8">
        <w:t>MF/IND</w:t>
      </w:r>
      <w:r w:rsidRPr="00EE11C8">
        <w:t xml:space="preserve"> is</w:t>
      </w:r>
      <w:r w:rsidR="00BE1D61" w:rsidRPr="00EE11C8">
        <w:t>:</w:t>
      </w:r>
    </w:p>
    <w:p w:rsidR="00CF3E72" w:rsidRPr="00EE11C8" w:rsidRDefault="00D41CBE" w:rsidP="009D6D99">
      <w:pPr>
        <w:pStyle w:val="3-BodyText"/>
        <w:numPr>
          <w:ilvl w:val="0"/>
          <w:numId w:val="0"/>
        </w:numPr>
        <w:ind w:left="720"/>
      </w:pPr>
      <w:r w:rsidRPr="00EE11C8">
        <w:t>“</w:t>
      </w:r>
      <w:r w:rsidR="00CF3E72" w:rsidRPr="00EE11C8">
        <w:t>as a once-daily maintenance treatment of asthma in adults and adolescents 12 years of age and older where use of a combination of long-acting beta2-agonist and inhaled corticosteroid is appropriate: patients not adequately controlled with inhaled corticosteroids and ‘as needed’ short-acting beta2-agonists, or patients not adequately controlled with long-acting beta2-agonists and low dose of inhaled corticosteroids.”</w:t>
      </w:r>
    </w:p>
    <w:p w:rsidR="00EA05E0" w:rsidRPr="00EE11C8" w:rsidRDefault="00EA05E0" w:rsidP="00EA05E0">
      <w:pPr>
        <w:pStyle w:val="3-BodyText"/>
      </w:pPr>
      <w:r w:rsidRPr="00EE11C8">
        <w:t xml:space="preserve">The pre-PBAC response stated that in June 2020, the sponsor was informed that the TGA intended to move </w:t>
      </w:r>
      <w:r w:rsidR="00A83E6A" w:rsidRPr="00EE11C8">
        <w:t>the submission past the June Advisory Committee on Medicines meeting</w:t>
      </w:r>
      <w:r w:rsidRPr="00EE11C8">
        <w:t xml:space="preserve"> an</w:t>
      </w:r>
      <w:r w:rsidR="00640E3B" w:rsidRPr="00EE11C8">
        <w:t>d straight to a file note and product information</w:t>
      </w:r>
      <w:r w:rsidRPr="00EE11C8">
        <w:t xml:space="preserve"> negotiations. The TGA</w:t>
      </w:r>
      <w:r w:rsidR="00640E3B" w:rsidRPr="00EE11C8">
        <w:t xml:space="preserve"> delegate</w:t>
      </w:r>
      <w:r w:rsidRPr="00EE11C8">
        <w:t xml:space="preserve"> </w:t>
      </w:r>
      <w:r w:rsidR="00640E3B" w:rsidRPr="00EE11C8">
        <w:t>file n</w:t>
      </w:r>
      <w:r w:rsidRPr="00EE11C8">
        <w:t xml:space="preserve">ote </w:t>
      </w:r>
      <w:r w:rsidR="00640E3B" w:rsidRPr="00EE11C8">
        <w:t xml:space="preserve">(dated 15/6/2020) </w:t>
      </w:r>
      <w:r w:rsidRPr="00EE11C8">
        <w:t xml:space="preserve">was provided with the pre-PBAC response and the sponsor stated the TGA decision letter was expected in July 2020. </w:t>
      </w:r>
    </w:p>
    <w:p w:rsidR="00EA05E0" w:rsidRPr="00EE11C8" w:rsidRDefault="00765428" w:rsidP="00EA05E0">
      <w:pPr>
        <w:pStyle w:val="3-BodyText"/>
      </w:pPr>
      <w:r w:rsidRPr="00EE11C8">
        <w:lastRenderedPageBreak/>
        <w:t>In addition, t</w:t>
      </w:r>
      <w:r w:rsidR="00EA05E0" w:rsidRPr="00EE11C8">
        <w:t>he pre-PBAC response stated the TGA recommended the dosage to be reported as:</w:t>
      </w:r>
    </w:p>
    <w:p w:rsidR="00EA05E0" w:rsidRPr="00EE11C8" w:rsidRDefault="00EA05E0" w:rsidP="00CD6A6E">
      <w:pPr>
        <w:pStyle w:val="ListParagraph"/>
        <w:numPr>
          <w:ilvl w:val="0"/>
          <w:numId w:val="20"/>
        </w:numPr>
        <w:spacing w:after="40"/>
        <w:contextualSpacing/>
        <w:jc w:val="left"/>
      </w:pPr>
      <w:r w:rsidRPr="00EE11C8">
        <w:t>MF/IND 80/150</w:t>
      </w:r>
      <w:r w:rsidR="00EB076A" w:rsidRPr="00EE11C8">
        <w:t xml:space="preserve"> mcg</w:t>
      </w:r>
      <w:r w:rsidRPr="00EE11C8">
        <w:t xml:space="preserve"> (low dose); delivered dose (dose that leaves the mouthpiece of the inhaler) </w:t>
      </w:r>
      <w:r w:rsidR="00EB076A" w:rsidRPr="00EE11C8">
        <w:t>62.5 mcg</w:t>
      </w:r>
      <w:r w:rsidRPr="00EE11C8">
        <w:t xml:space="preserve"> MF, </w:t>
      </w:r>
      <w:r w:rsidR="00EB076A" w:rsidRPr="00EE11C8">
        <w:t>125 mcg</w:t>
      </w:r>
      <w:r w:rsidRPr="00EE11C8">
        <w:t xml:space="preserve"> IND. </w:t>
      </w:r>
    </w:p>
    <w:p w:rsidR="00EA05E0" w:rsidRPr="00EE11C8" w:rsidRDefault="00EA05E0" w:rsidP="00CD6A6E">
      <w:pPr>
        <w:pStyle w:val="ListParagraph"/>
        <w:numPr>
          <w:ilvl w:val="0"/>
          <w:numId w:val="20"/>
        </w:numPr>
        <w:spacing w:after="40"/>
        <w:contextualSpacing/>
        <w:jc w:val="left"/>
      </w:pPr>
      <w:r w:rsidRPr="00EE11C8">
        <w:t>MF/IND 160/</w:t>
      </w:r>
      <w:r w:rsidR="00EB076A" w:rsidRPr="00EE11C8">
        <w:t>150 mcg</w:t>
      </w:r>
      <w:r w:rsidRPr="00EE11C8">
        <w:t xml:space="preserve"> (medium dose); delivered dose </w:t>
      </w:r>
      <w:r w:rsidR="00EB076A" w:rsidRPr="00EE11C8">
        <w:t>127.5 mcg</w:t>
      </w:r>
      <w:r w:rsidRPr="00EE11C8">
        <w:t xml:space="preserve"> MF, </w:t>
      </w:r>
      <w:r w:rsidR="00EB076A" w:rsidRPr="00EE11C8">
        <w:t>125 mcg</w:t>
      </w:r>
      <w:r w:rsidRPr="00EE11C8">
        <w:t xml:space="preserve"> IND. </w:t>
      </w:r>
    </w:p>
    <w:p w:rsidR="006453C1" w:rsidRPr="00EE11C8" w:rsidRDefault="00EA05E0" w:rsidP="007475F6">
      <w:pPr>
        <w:pStyle w:val="ListParagraph"/>
        <w:numPr>
          <w:ilvl w:val="0"/>
          <w:numId w:val="20"/>
        </w:numPr>
        <w:spacing w:after="40"/>
        <w:contextualSpacing/>
        <w:jc w:val="left"/>
      </w:pPr>
      <w:r w:rsidRPr="00EE11C8">
        <w:t xml:space="preserve">MF/IND 320/150 microgram (high dose); delivered dose </w:t>
      </w:r>
      <w:r w:rsidR="00EB076A" w:rsidRPr="00EE11C8">
        <w:t>260 mcg</w:t>
      </w:r>
      <w:r w:rsidRPr="00EE11C8">
        <w:rPr>
          <w:b/>
        </w:rPr>
        <w:t xml:space="preserve"> </w:t>
      </w:r>
      <w:r w:rsidRPr="00EE11C8">
        <w:t xml:space="preserve">MF, </w:t>
      </w:r>
      <w:r w:rsidR="00EB076A" w:rsidRPr="00EE11C8">
        <w:t>125 mcg</w:t>
      </w:r>
      <w:r w:rsidR="00591FE5" w:rsidRPr="00EE11C8">
        <w:t xml:space="preserve"> IND.</w:t>
      </w:r>
      <w:r w:rsidRPr="00EE11C8">
        <w:t xml:space="preserve"> </w:t>
      </w:r>
    </w:p>
    <w:p w:rsidR="0062046B" w:rsidRPr="00EE11C8" w:rsidRDefault="0062046B" w:rsidP="0062046B">
      <w:pPr>
        <w:pStyle w:val="4-SubsectionHeading"/>
      </w:pPr>
      <w:bookmarkStart w:id="6" w:name="_Toc22897639"/>
      <w:bookmarkStart w:id="7" w:name="_Toc22898847"/>
      <w:bookmarkStart w:id="8" w:name="_Toc40451837"/>
      <w:bookmarkStart w:id="9" w:name="_Hlk38222571"/>
      <w:r w:rsidRPr="00EE11C8">
        <w:t>Previous PBAC consideration</w:t>
      </w:r>
      <w:bookmarkEnd w:id="6"/>
      <w:bookmarkEnd w:id="7"/>
      <w:bookmarkEnd w:id="8"/>
    </w:p>
    <w:bookmarkEnd w:id="9"/>
    <w:p w:rsidR="0062046B" w:rsidRPr="00EE11C8" w:rsidRDefault="0062046B" w:rsidP="00C5523A">
      <w:pPr>
        <w:pStyle w:val="3-BodyText"/>
      </w:pPr>
      <w:r w:rsidRPr="00EE11C8">
        <w:t xml:space="preserve">This is the first </w:t>
      </w:r>
      <w:r w:rsidR="00C5523A" w:rsidRPr="00EE11C8">
        <w:t xml:space="preserve">PBAC </w:t>
      </w:r>
      <w:r w:rsidRPr="00EE11C8">
        <w:t xml:space="preserve">submission </w:t>
      </w:r>
      <w:r w:rsidR="00C5523A" w:rsidRPr="00EE11C8">
        <w:t>for</w:t>
      </w:r>
      <w:r w:rsidR="00041496" w:rsidRPr="00EE11C8">
        <w:t xml:space="preserve"> MF/IND</w:t>
      </w:r>
      <w:r w:rsidR="00EE11C8">
        <w:t xml:space="preserve">. </w:t>
      </w:r>
      <w:r w:rsidRPr="00EE11C8">
        <w:t>MF and IND</w:t>
      </w:r>
      <w:r w:rsidR="00793C8C" w:rsidRPr="00EE11C8">
        <w:t xml:space="preserve"> </w:t>
      </w:r>
      <w:r w:rsidRPr="00EE11C8">
        <w:t xml:space="preserve">are not currently available on the PBS for asthma, either </w:t>
      </w:r>
      <w:r w:rsidR="00427541" w:rsidRPr="00EE11C8">
        <w:t>individually</w:t>
      </w:r>
      <w:r w:rsidRPr="00EE11C8">
        <w:t xml:space="preserve"> or in combination products</w:t>
      </w:r>
      <w:r w:rsidR="00EE11C8">
        <w:t xml:space="preserve">. </w:t>
      </w:r>
      <w:r w:rsidRPr="00EE11C8">
        <w:t xml:space="preserve">The PBAC however, recommended MF </w:t>
      </w:r>
      <w:r w:rsidR="0039513F" w:rsidRPr="00EE11C8">
        <w:t xml:space="preserve">delivered via </w:t>
      </w:r>
      <w:r w:rsidRPr="00EE11C8">
        <w:t xml:space="preserve">DPI (Asmanex® Twisthaler®) for asthma in June 2002 (and </w:t>
      </w:r>
      <w:r w:rsidR="004B4C38" w:rsidRPr="00EE11C8">
        <w:t>July</w:t>
      </w:r>
      <w:r w:rsidRPr="00EE11C8">
        <w:t xml:space="preserve"> 2011) but the product was never listed</w:t>
      </w:r>
      <w:r w:rsidR="00EE11C8">
        <w:t xml:space="preserve">. </w:t>
      </w:r>
      <w:r w:rsidRPr="00EE11C8">
        <w:t>The PBAC considered:</w:t>
      </w:r>
    </w:p>
    <w:p w:rsidR="0062046B" w:rsidRPr="00EE11C8" w:rsidRDefault="0062046B" w:rsidP="00CD6A6E">
      <w:pPr>
        <w:pStyle w:val="3-BodyText"/>
        <w:numPr>
          <w:ilvl w:val="0"/>
          <w:numId w:val="9"/>
        </w:numPr>
      </w:pPr>
      <w:r w:rsidRPr="00EE11C8">
        <w:t>MF 400</w:t>
      </w:r>
      <w:r w:rsidR="0011072A" w:rsidRPr="00EE11C8">
        <w:t xml:space="preserve"> mcg</w:t>
      </w:r>
      <w:r w:rsidR="00CF23EB" w:rsidRPr="00EE11C8">
        <w:t xml:space="preserve"> </w:t>
      </w:r>
      <w:r w:rsidRPr="00EE11C8">
        <w:t xml:space="preserve">once daily </w:t>
      </w:r>
      <w:r w:rsidR="00326CEF" w:rsidRPr="00EE11C8">
        <w:t>(</w:t>
      </w:r>
      <w:r w:rsidRPr="00EE11C8">
        <w:t>or 200</w:t>
      </w:r>
      <w:r w:rsidR="0011072A" w:rsidRPr="00EE11C8">
        <w:t xml:space="preserve"> mcg</w:t>
      </w:r>
      <w:r w:rsidRPr="00EE11C8">
        <w:t xml:space="preserve"> twice daily</w:t>
      </w:r>
      <w:r w:rsidR="00326CEF" w:rsidRPr="00EE11C8">
        <w:t>)</w:t>
      </w:r>
      <w:r w:rsidRPr="00EE11C8">
        <w:t xml:space="preserve"> was equi-effective to FP 250</w:t>
      </w:r>
      <w:r w:rsidR="0011072A" w:rsidRPr="00EE11C8">
        <w:t xml:space="preserve"> mcg</w:t>
      </w:r>
      <w:r w:rsidRPr="00EE11C8">
        <w:t xml:space="preserve"> twice daily.</w:t>
      </w:r>
    </w:p>
    <w:p w:rsidR="0062046B" w:rsidRPr="00EE11C8" w:rsidRDefault="0062046B" w:rsidP="00CD6A6E">
      <w:pPr>
        <w:pStyle w:val="3-BodyText"/>
        <w:numPr>
          <w:ilvl w:val="0"/>
          <w:numId w:val="9"/>
        </w:numPr>
      </w:pPr>
      <w:r w:rsidRPr="00EE11C8">
        <w:t>MF 400</w:t>
      </w:r>
      <w:r w:rsidR="0011072A" w:rsidRPr="00EE11C8">
        <w:t xml:space="preserve"> mcg</w:t>
      </w:r>
      <w:r w:rsidRPr="00EE11C8">
        <w:t xml:space="preserve"> </w:t>
      </w:r>
      <w:r w:rsidR="00326CEF" w:rsidRPr="00EE11C8">
        <w:t xml:space="preserve">twice daily was </w:t>
      </w:r>
      <w:r w:rsidRPr="00EE11C8">
        <w:t>equi-effective to FP 500</w:t>
      </w:r>
      <w:r w:rsidR="0011072A" w:rsidRPr="00EE11C8">
        <w:t xml:space="preserve"> mcg</w:t>
      </w:r>
      <w:r w:rsidRPr="00EE11C8">
        <w:t xml:space="preserve"> </w:t>
      </w:r>
      <w:r w:rsidR="00326CEF" w:rsidRPr="00EE11C8">
        <w:t>twice daily</w:t>
      </w:r>
      <w:r w:rsidRPr="00EE11C8">
        <w:t>.</w:t>
      </w:r>
    </w:p>
    <w:p w:rsidR="005C09DC" w:rsidRPr="00EE11C8" w:rsidRDefault="005C09DC" w:rsidP="005C09DC">
      <w:pPr>
        <w:pStyle w:val="3-BodyText"/>
      </w:pPr>
      <w:r w:rsidRPr="00EE11C8">
        <w:t>The PBAC Guidelines (v5) state it is preferable that the individual components of FDCs are also listed on the PBS, however this is less relevant for ICS/LABA FDCs given the restriction does not require patients to be stabilised on the components prior to use</w:t>
      </w:r>
      <w:r w:rsidR="00EE11C8">
        <w:t xml:space="preserve">. </w:t>
      </w:r>
      <w:r w:rsidR="00270079" w:rsidRPr="00EE11C8">
        <w:t>In March 201</w:t>
      </w:r>
      <w:r w:rsidR="007A5BB8" w:rsidRPr="00EE11C8">
        <w:t>4</w:t>
      </w:r>
      <w:r w:rsidR="00270079" w:rsidRPr="00EE11C8">
        <w:t>, t</w:t>
      </w:r>
      <w:r w:rsidRPr="00EE11C8">
        <w:t xml:space="preserve">he PBAC considered “in view of significant clinical experience with LABA/ICS FDCs in asthma and the availability of advice on switching from existing products… </w:t>
      </w:r>
      <w:r w:rsidR="007A5BB8" w:rsidRPr="00EE11C8">
        <w:t>its</w:t>
      </w:r>
      <w:r w:rsidRPr="00EE11C8">
        <w:t xml:space="preserve"> concern regarding the availability of the FDC in the absence of the components were addressed” (</w:t>
      </w:r>
      <w:r w:rsidR="006D0833" w:rsidRPr="00EE11C8">
        <w:t xml:space="preserve">Paragraph </w:t>
      </w:r>
      <w:r w:rsidRPr="00EE11C8">
        <w:t xml:space="preserve">6.23, fluticasone </w:t>
      </w:r>
      <w:r w:rsidR="00FB51F0" w:rsidRPr="00EE11C8">
        <w:t xml:space="preserve">furoate </w:t>
      </w:r>
      <w:r w:rsidRPr="00EE11C8">
        <w:t>with vilanterol</w:t>
      </w:r>
      <w:r w:rsidR="00427541" w:rsidRPr="00EE11C8">
        <w:t>,</w:t>
      </w:r>
      <w:r w:rsidRPr="00EE11C8">
        <w:t xml:space="preserve"> P</w:t>
      </w:r>
      <w:r w:rsidR="005D2081" w:rsidRPr="00EE11C8">
        <w:t xml:space="preserve">ublic </w:t>
      </w:r>
      <w:r w:rsidRPr="00EE11C8">
        <w:t>S</w:t>
      </w:r>
      <w:r w:rsidR="005D2081" w:rsidRPr="00EE11C8">
        <w:t xml:space="preserve">ummary </w:t>
      </w:r>
      <w:r w:rsidRPr="00EE11C8">
        <w:t>D</w:t>
      </w:r>
      <w:r w:rsidR="005D2081" w:rsidRPr="00EE11C8">
        <w:t>ocument (PS</w:t>
      </w:r>
      <w:r w:rsidR="004C1A1D" w:rsidRPr="00EE11C8">
        <w:t>D</w:t>
      </w:r>
      <w:r w:rsidR="005D2081" w:rsidRPr="00EE11C8">
        <w:t>)</w:t>
      </w:r>
      <w:r w:rsidRPr="00EE11C8">
        <w:t xml:space="preserve"> March 201</w:t>
      </w:r>
      <w:r w:rsidR="007A5BB8" w:rsidRPr="00EE11C8">
        <w:t>4</w:t>
      </w:r>
      <w:r w:rsidR="00427541" w:rsidRPr="00EE11C8">
        <w:t xml:space="preserve"> PBAC meeting)</w:t>
      </w:r>
      <w:r w:rsidRPr="00EE11C8">
        <w:t>.</w:t>
      </w:r>
    </w:p>
    <w:p w:rsidR="0062046B" w:rsidRPr="00EE11C8" w:rsidRDefault="0062046B" w:rsidP="00C56572">
      <w:pPr>
        <w:pStyle w:val="3-BodyText"/>
      </w:pPr>
      <w:r w:rsidRPr="00EE11C8">
        <w:t xml:space="preserve">The </w:t>
      </w:r>
      <w:r w:rsidR="009A0976" w:rsidRPr="00EE11C8">
        <w:t>Sponsor</w:t>
      </w:r>
      <w:r w:rsidRPr="00EE11C8">
        <w:t xml:space="preserve"> is also requesting PBS listing of a</w:t>
      </w:r>
      <w:r w:rsidR="009A0976" w:rsidRPr="00EE11C8">
        <w:t xml:space="preserve"> triple </w:t>
      </w:r>
      <w:r w:rsidRPr="00EE11C8">
        <w:t>ICS/LABA/long-acting muscarinic antagonist (LAMA) FDC inhaler for asthma at the July 2020 meeting</w:t>
      </w:r>
      <w:r w:rsidR="00EE11C8">
        <w:t xml:space="preserve">. </w:t>
      </w:r>
      <w:r w:rsidRPr="00EE11C8">
        <w:t>Enerzair® dry powder capsules for inhalation contains the same components as Atectura</w:t>
      </w:r>
      <w:r w:rsidR="00C56572" w:rsidRPr="00EE11C8">
        <w:t>®</w:t>
      </w:r>
      <w:r w:rsidRPr="00EE11C8">
        <w:t xml:space="preserve"> </w:t>
      </w:r>
      <w:r w:rsidR="005D1798" w:rsidRPr="00EE11C8">
        <w:t xml:space="preserve">(MF and IND) </w:t>
      </w:r>
      <w:r w:rsidRPr="00EE11C8">
        <w:t xml:space="preserve">plus glycopyrronium, delivered via the same </w:t>
      </w:r>
      <w:r w:rsidR="00C56572" w:rsidRPr="00EE11C8">
        <w:t xml:space="preserve">Breezhaler® </w:t>
      </w:r>
      <w:r w:rsidRPr="00EE11C8">
        <w:t>device.</w:t>
      </w:r>
    </w:p>
    <w:p w:rsidR="00F12EFF" w:rsidRPr="00EE11C8" w:rsidRDefault="00F12EFF" w:rsidP="00F12EFF">
      <w:pPr>
        <w:pStyle w:val="3-BodyText"/>
        <w:numPr>
          <w:ilvl w:val="0"/>
          <w:numId w:val="0"/>
        </w:numPr>
        <w:ind w:left="720"/>
      </w:pPr>
      <w:r w:rsidRPr="00EE11C8">
        <w:rPr>
          <w:i/>
        </w:rPr>
        <w:t>For more detail on PBAC’s view, see section 7 PBAC outcome.</w:t>
      </w:r>
    </w:p>
    <w:p w:rsidR="00B60939" w:rsidRPr="00EE11C8" w:rsidRDefault="00B50DB8" w:rsidP="00EF0984">
      <w:pPr>
        <w:pStyle w:val="2-SectionHeading"/>
        <w:keepLines/>
        <w:widowControl w:val="0"/>
      </w:pPr>
      <w:bookmarkStart w:id="10" w:name="_Toc40451838"/>
      <w:r w:rsidRPr="00EE11C8">
        <w:t>Requested listing</w:t>
      </w:r>
      <w:bookmarkEnd w:id="10"/>
    </w:p>
    <w:p w:rsidR="00AB321E" w:rsidRPr="00EE11C8" w:rsidRDefault="00AB321E" w:rsidP="00AB321E">
      <w:pPr>
        <w:pStyle w:val="3-BodyText"/>
      </w:pPr>
      <w:r w:rsidRPr="00EE11C8">
        <w:t>The proposed listing is outlined below</w:t>
      </w:r>
      <w:r w:rsidR="00EB076A" w:rsidRPr="00EE11C8">
        <w:t>.</w:t>
      </w:r>
      <w:r w:rsidRPr="00EE11C8">
        <w:t xml:space="preserve"> </w:t>
      </w:r>
      <w:r w:rsidR="00EB076A" w:rsidRPr="00EE11C8">
        <w:t>S</w:t>
      </w:r>
      <w:r w:rsidRPr="00EE11C8">
        <w:t>uggestions and additions proposed by the Secretariat are added in italics and suggested deletions are crossed out with strikethrough.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850"/>
        <w:gridCol w:w="851"/>
        <w:gridCol w:w="709"/>
        <w:gridCol w:w="708"/>
        <w:gridCol w:w="993"/>
        <w:gridCol w:w="850"/>
        <w:gridCol w:w="851"/>
      </w:tblGrid>
      <w:tr w:rsidR="00907344" w:rsidRPr="00EE11C8" w:rsidTr="00907344">
        <w:trPr>
          <w:cantSplit/>
          <w:trHeight w:val="471"/>
        </w:trPr>
        <w:tc>
          <w:tcPr>
            <w:tcW w:w="3114" w:type="dxa"/>
          </w:tcPr>
          <w:p w:rsidR="00907344" w:rsidRPr="00EE11C8" w:rsidRDefault="00907344" w:rsidP="001F10BD">
            <w:pPr>
              <w:keepNext/>
              <w:ind w:left="-108"/>
              <w:rPr>
                <w:rFonts w:ascii="Arial Narrow" w:eastAsia="Calibri" w:hAnsi="Arial Narrow"/>
                <w:b/>
                <w:sz w:val="18"/>
                <w:szCs w:val="18"/>
                <w:lang w:eastAsia="en-US"/>
              </w:rPr>
            </w:pPr>
            <w:r w:rsidRPr="00EE11C8">
              <w:rPr>
                <w:rFonts w:ascii="Arial Narrow" w:eastAsia="Calibri" w:hAnsi="Arial Narrow"/>
                <w:b/>
                <w:sz w:val="18"/>
                <w:szCs w:val="18"/>
                <w:lang w:eastAsia="en-US"/>
              </w:rPr>
              <w:lastRenderedPageBreak/>
              <w:t>Name, Restriction,</w:t>
            </w:r>
          </w:p>
          <w:p w:rsidR="00907344" w:rsidRPr="00EE11C8" w:rsidRDefault="00907344" w:rsidP="001F10BD">
            <w:pPr>
              <w:keepNext/>
              <w:ind w:left="-108"/>
              <w:rPr>
                <w:rFonts w:ascii="Arial Narrow" w:eastAsia="Calibri" w:hAnsi="Arial Narrow"/>
                <w:b/>
                <w:sz w:val="18"/>
                <w:szCs w:val="18"/>
                <w:lang w:eastAsia="en-US"/>
              </w:rPr>
            </w:pPr>
            <w:r w:rsidRPr="00EE11C8">
              <w:rPr>
                <w:rFonts w:ascii="Arial Narrow" w:eastAsia="Calibri" w:hAnsi="Arial Narrow"/>
                <w:b/>
                <w:sz w:val="18"/>
                <w:szCs w:val="18"/>
                <w:lang w:eastAsia="en-US"/>
              </w:rPr>
              <w:t>Manner of administration and form</w:t>
            </w:r>
          </w:p>
        </w:tc>
        <w:tc>
          <w:tcPr>
            <w:tcW w:w="850" w:type="dxa"/>
          </w:tcPr>
          <w:p w:rsidR="00907344" w:rsidRPr="00EE11C8" w:rsidRDefault="00907344" w:rsidP="001F10BD">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PBS item code</w:t>
            </w:r>
          </w:p>
        </w:tc>
        <w:tc>
          <w:tcPr>
            <w:tcW w:w="851" w:type="dxa"/>
          </w:tcPr>
          <w:p w:rsidR="00907344" w:rsidRPr="00EE11C8" w:rsidRDefault="00907344" w:rsidP="001F10BD">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Max. qty packs</w:t>
            </w:r>
          </w:p>
        </w:tc>
        <w:tc>
          <w:tcPr>
            <w:tcW w:w="709" w:type="dxa"/>
          </w:tcPr>
          <w:p w:rsidR="00907344" w:rsidRPr="00EE11C8" w:rsidRDefault="00907344" w:rsidP="001F10BD">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Max. qty units</w:t>
            </w:r>
          </w:p>
        </w:tc>
        <w:tc>
          <w:tcPr>
            <w:tcW w:w="708" w:type="dxa"/>
          </w:tcPr>
          <w:p w:rsidR="00907344" w:rsidRPr="00EE11C8" w:rsidRDefault="00907344" w:rsidP="001F10BD">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№.of</w:t>
            </w:r>
          </w:p>
          <w:p w:rsidR="00907344" w:rsidRPr="00EE11C8" w:rsidRDefault="00907344" w:rsidP="001F10BD">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Rpts</w:t>
            </w:r>
          </w:p>
        </w:tc>
        <w:tc>
          <w:tcPr>
            <w:tcW w:w="993" w:type="dxa"/>
          </w:tcPr>
          <w:p w:rsidR="00907344" w:rsidRPr="00EE11C8" w:rsidRDefault="00907344" w:rsidP="001F10BD">
            <w:pPr>
              <w:tabs>
                <w:tab w:val="left" w:pos="426"/>
                <w:tab w:val="left" w:pos="567"/>
              </w:tabs>
              <w:autoSpaceDE w:val="0"/>
              <w:autoSpaceDN w:val="0"/>
              <w:adjustRightInd w:val="0"/>
              <w:rPr>
                <w:rFonts w:ascii="Arial Narrow" w:hAnsi="Arial Narrow" w:cs="Arial Narrow"/>
                <w:b/>
                <w:bCs/>
                <w:sz w:val="18"/>
                <w:szCs w:val="18"/>
              </w:rPr>
            </w:pPr>
            <w:r w:rsidRPr="00EE11C8">
              <w:rPr>
                <w:rFonts w:ascii="Arial Narrow" w:hAnsi="Arial Narrow" w:cs="Arial Narrow"/>
                <w:b/>
                <w:bCs/>
                <w:sz w:val="18"/>
                <w:szCs w:val="18"/>
              </w:rPr>
              <w:t xml:space="preserve">Dispensed price for Max. Qty </w:t>
            </w:r>
          </w:p>
        </w:tc>
        <w:tc>
          <w:tcPr>
            <w:tcW w:w="1701" w:type="dxa"/>
            <w:gridSpan w:val="2"/>
          </w:tcPr>
          <w:p w:rsidR="00907344" w:rsidRPr="00EE11C8" w:rsidRDefault="00907344" w:rsidP="001F10BD">
            <w:pPr>
              <w:tabs>
                <w:tab w:val="left" w:pos="426"/>
                <w:tab w:val="left" w:pos="567"/>
              </w:tabs>
              <w:autoSpaceDE w:val="0"/>
              <w:autoSpaceDN w:val="0"/>
              <w:adjustRightInd w:val="0"/>
              <w:rPr>
                <w:rFonts w:ascii="Arial Narrow" w:hAnsi="Arial Narrow" w:cs="Arial Narrow"/>
                <w:b/>
                <w:bCs/>
                <w:sz w:val="18"/>
                <w:szCs w:val="18"/>
              </w:rPr>
            </w:pPr>
            <w:r w:rsidRPr="00EE11C8">
              <w:rPr>
                <w:rFonts w:ascii="Arial Narrow" w:hAnsi="Arial Narrow" w:cs="Arial Narrow"/>
                <w:b/>
                <w:bCs/>
                <w:sz w:val="18"/>
                <w:szCs w:val="18"/>
              </w:rPr>
              <w:t xml:space="preserve">Proprietary Name and </w:t>
            </w:r>
          </w:p>
          <w:p w:rsidR="00907344" w:rsidRPr="00EE11C8" w:rsidRDefault="00907344" w:rsidP="001F10BD">
            <w:pPr>
              <w:keepNext/>
              <w:rPr>
                <w:rFonts w:ascii="Arial Narrow" w:eastAsia="Calibri" w:hAnsi="Arial Narrow"/>
                <w:b/>
                <w:sz w:val="18"/>
                <w:szCs w:val="18"/>
                <w:lang w:eastAsia="en-US"/>
              </w:rPr>
            </w:pPr>
            <w:r w:rsidRPr="00EE11C8">
              <w:rPr>
                <w:rFonts w:ascii="Arial Narrow" w:eastAsia="Calibri" w:hAnsi="Arial Narrow"/>
                <w:b/>
                <w:sz w:val="18"/>
                <w:szCs w:val="18"/>
                <w:lang w:eastAsia="en-US"/>
              </w:rPr>
              <w:t>Manufacturer</w:t>
            </w:r>
          </w:p>
        </w:tc>
      </w:tr>
      <w:tr w:rsidR="00907344" w:rsidRPr="00EE11C8" w:rsidTr="00907344">
        <w:trPr>
          <w:cantSplit/>
          <w:trHeight w:val="992"/>
        </w:trPr>
        <w:tc>
          <w:tcPr>
            <w:tcW w:w="3114" w:type="dxa"/>
          </w:tcPr>
          <w:p w:rsidR="00907344" w:rsidRPr="00EE11C8" w:rsidRDefault="00907344" w:rsidP="001F10BD">
            <w:pPr>
              <w:keepNext/>
              <w:ind w:left="-108"/>
              <w:rPr>
                <w:rFonts w:ascii="Arial Narrow" w:eastAsia="Calibri" w:hAnsi="Arial Narrow"/>
                <w:sz w:val="18"/>
                <w:szCs w:val="18"/>
                <w:lang w:eastAsia="en-US"/>
              </w:rPr>
            </w:pPr>
            <w:r w:rsidRPr="00EE11C8">
              <w:rPr>
                <w:rFonts w:ascii="Arial Narrow" w:eastAsia="Calibri" w:hAnsi="Arial Narrow"/>
                <w:sz w:val="18"/>
                <w:szCs w:val="18"/>
                <w:lang w:eastAsia="en-US"/>
              </w:rPr>
              <w:t>MOMETASONE FUROATE + INDACATEROL</w:t>
            </w:r>
          </w:p>
          <w:p w:rsidR="00907344" w:rsidRPr="00EE11C8" w:rsidRDefault="00907344" w:rsidP="001F10BD">
            <w:pPr>
              <w:keepNext/>
              <w:ind w:left="-108"/>
              <w:rPr>
                <w:rFonts w:ascii="Arial Narrow" w:eastAsia="Calibri" w:hAnsi="Arial Narrow"/>
                <w:sz w:val="18"/>
                <w:szCs w:val="18"/>
                <w:lang w:eastAsia="en-US"/>
              </w:rPr>
            </w:pPr>
          </w:p>
          <w:p w:rsidR="00907344" w:rsidRPr="00EE11C8" w:rsidRDefault="00907344" w:rsidP="001F10BD">
            <w:pPr>
              <w:keepNext/>
              <w:ind w:left="-108"/>
              <w:rPr>
                <w:rFonts w:ascii="Arial Narrow" w:eastAsia="Calibri" w:hAnsi="Arial Narrow"/>
                <w:sz w:val="18"/>
                <w:szCs w:val="18"/>
                <w:lang w:eastAsia="en-US"/>
              </w:rPr>
            </w:pPr>
            <w:r w:rsidRPr="00EE11C8">
              <w:rPr>
                <w:rFonts w:ascii="Arial Narrow" w:hAnsi="Arial Narrow" w:cs="Calibri"/>
                <w:sz w:val="18"/>
                <w:szCs w:val="18"/>
              </w:rPr>
              <w:t>indacaterol 150 microgram + mometasone furoate 80 microgram powder for inhalation, 30 capsules</w:t>
            </w:r>
          </w:p>
        </w:tc>
        <w:tc>
          <w:tcPr>
            <w:tcW w:w="850" w:type="dxa"/>
          </w:tcPr>
          <w:p w:rsidR="00907344" w:rsidRPr="00EE11C8" w:rsidRDefault="00907344" w:rsidP="001F10BD">
            <w:pPr>
              <w:keepNext/>
              <w:ind w:left="-108"/>
              <w:jc w:val="center"/>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NEW</w:t>
            </w:r>
          </w:p>
        </w:tc>
        <w:tc>
          <w:tcPr>
            <w:tcW w:w="851" w:type="dxa"/>
          </w:tcPr>
          <w:p w:rsidR="00907344" w:rsidRPr="00EE11C8" w:rsidRDefault="00907344" w:rsidP="001F10BD">
            <w:pPr>
              <w:keepNext/>
              <w:jc w:val="center"/>
              <w:rPr>
                <w:rFonts w:ascii="Arial Narrow" w:eastAsia="Calibri" w:hAnsi="Arial Narrow"/>
                <w:sz w:val="18"/>
                <w:szCs w:val="18"/>
                <w:lang w:eastAsia="en-US"/>
              </w:rPr>
            </w:pPr>
          </w:p>
          <w:p w:rsidR="00907344" w:rsidRPr="00EE11C8" w:rsidRDefault="00907344" w:rsidP="001F10BD">
            <w:pPr>
              <w:keepNext/>
              <w:ind w:left="-108"/>
              <w:jc w:val="center"/>
              <w:rPr>
                <w:rFonts w:ascii="Arial Narrow" w:eastAsia="Calibri" w:hAnsi="Arial Narrow"/>
                <w:sz w:val="18"/>
                <w:szCs w:val="18"/>
                <w:lang w:eastAsia="en-US"/>
              </w:rPr>
            </w:pPr>
          </w:p>
          <w:p w:rsidR="00907344" w:rsidRPr="00EE11C8" w:rsidRDefault="00907344" w:rsidP="001F10BD">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9" w:type="dxa"/>
          </w:tcPr>
          <w:p w:rsidR="00907344" w:rsidRPr="00EE11C8" w:rsidRDefault="00907344" w:rsidP="001F10BD">
            <w:pPr>
              <w:keepNext/>
              <w:jc w:val="center"/>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8" w:type="dxa"/>
          </w:tcPr>
          <w:p w:rsidR="00907344" w:rsidRPr="00EE11C8" w:rsidRDefault="00907344" w:rsidP="001F10BD">
            <w:pPr>
              <w:keepNext/>
              <w:ind w:left="-108"/>
              <w:jc w:val="center"/>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5</w:t>
            </w:r>
          </w:p>
        </w:tc>
        <w:tc>
          <w:tcPr>
            <w:tcW w:w="993" w:type="dxa"/>
          </w:tcPr>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r w:rsidRPr="00EE11C8">
              <w:rPr>
                <w:rFonts w:ascii="Arial Narrow" w:eastAsia="Calibri" w:hAnsi="Arial Narrow"/>
                <w:sz w:val="18"/>
                <w:szCs w:val="18"/>
                <w:lang w:eastAsia="en-US"/>
              </w:rPr>
              <w:t>$41.95</w:t>
            </w:r>
          </w:p>
        </w:tc>
        <w:tc>
          <w:tcPr>
            <w:tcW w:w="850" w:type="dxa"/>
            <w:vMerge w:val="restart"/>
          </w:tcPr>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ind w:right="-111"/>
              <w:rPr>
                <w:rFonts w:ascii="Arial Narrow" w:eastAsia="Calibri" w:hAnsi="Arial Narrow"/>
                <w:sz w:val="18"/>
                <w:szCs w:val="18"/>
                <w:lang w:eastAsia="en-US"/>
              </w:rPr>
            </w:pPr>
            <w:r w:rsidRPr="00EE11C8">
              <w:rPr>
                <w:rFonts w:ascii="Arial Narrow" w:eastAsia="Calibri" w:hAnsi="Arial Narrow"/>
                <w:sz w:val="18"/>
                <w:szCs w:val="18"/>
                <w:lang w:eastAsia="en-US"/>
              </w:rPr>
              <w:t>Atectura Breezhaler 150/80</w:t>
            </w:r>
          </w:p>
          <w:p w:rsidR="00907344" w:rsidRPr="00EE11C8" w:rsidRDefault="00907344" w:rsidP="001F10BD">
            <w:pPr>
              <w:keepNext/>
              <w:ind w:right="-111"/>
              <w:rPr>
                <w:rFonts w:ascii="Arial Narrow" w:eastAsia="Calibri" w:hAnsi="Arial Narrow"/>
                <w:sz w:val="18"/>
                <w:szCs w:val="18"/>
                <w:lang w:eastAsia="en-US"/>
              </w:rPr>
            </w:pPr>
          </w:p>
          <w:p w:rsidR="00907344" w:rsidRPr="00EE11C8" w:rsidRDefault="00907344" w:rsidP="001F10BD">
            <w:pPr>
              <w:keepNext/>
              <w:ind w:right="-111"/>
              <w:rPr>
                <w:rFonts w:ascii="Arial Narrow" w:eastAsia="Calibri" w:hAnsi="Arial Narrow"/>
                <w:sz w:val="18"/>
                <w:szCs w:val="18"/>
                <w:lang w:eastAsia="en-US"/>
              </w:rPr>
            </w:pPr>
            <w:r w:rsidRPr="00EE11C8">
              <w:rPr>
                <w:rFonts w:ascii="Arial Narrow" w:eastAsia="Calibri" w:hAnsi="Arial Narrow"/>
                <w:sz w:val="18"/>
                <w:szCs w:val="18"/>
                <w:lang w:eastAsia="en-US"/>
              </w:rPr>
              <w:t>Atectura Breezhaler 150/160</w:t>
            </w:r>
          </w:p>
          <w:p w:rsidR="00907344" w:rsidRPr="00EE11C8" w:rsidRDefault="00907344" w:rsidP="001F10BD">
            <w:pPr>
              <w:keepNext/>
              <w:ind w:right="-111"/>
              <w:rPr>
                <w:rFonts w:ascii="Arial Narrow" w:eastAsia="Calibri" w:hAnsi="Arial Narrow"/>
                <w:sz w:val="18"/>
                <w:szCs w:val="18"/>
                <w:lang w:eastAsia="en-US"/>
              </w:rPr>
            </w:pPr>
          </w:p>
          <w:p w:rsidR="00907344" w:rsidRPr="00EE11C8" w:rsidRDefault="00907344" w:rsidP="001F10BD">
            <w:pPr>
              <w:keepNext/>
              <w:ind w:right="-111"/>
              <w:rPr>
                <w:rFonts w:ascii="Arial Narrow" w:eastAsia="Calibri" w:hAnsi="Arial Narrow"/>
                <w:sz w:val="18"/>
                <w:szCs w:val="18"/>
                <w:lang w:eastAsia="en-US"/>
              </w:rPr>
            </w:pPr>
            <w:r w:rsidRPr="00EE11C8">
              <w:rPr>
                <w:rFonts w:ascii="Arial Narrow" w:eastAsia="Calibri" w:hAnsi="Arial Narrow"/>
                <w:sz w:val="18"/>
                <w:szCs w:val="18"/>
                <w:lang w:eastAsia="en-US"/>
              </w:rPr>
              <w:t>Atectura Breezhaler 150/320</w:t>
            </w:r>
          </w:p>
          <w:p w:rsidR="00907344" w:rsidRPr="00EE11C8" w:rsidRDefault="00907344" w:rsidP="001F10BD">
            <w:pPr>
              <w:keepNext/>
              <w:ind w:right="-111"/>
              <w:rPr>
                <w:rFonts w:ascii="Arial Narrow" w:eastAsia="Calibri" w:hAnsi="Arial Narrow"/>
                <w:sz w:val="18"/>
                <w:szCs w:val="18"/>
                <w:lang w:eastAsia="en-US"/>
              </w:rPr>
            </w:pPr>
          </w:p>
        </w:tc>
        <w:tc>
          <w:tcPr>
            <w:tcW w:w="851" w:type="dxa"/>
            <w:vMerge w:val="restart"/>
          </w:tcPr>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rPr>
                <w:rFonts w:ascii="Arial Narrow" w:eastAsia="Calibri" w:hAnsi="Arial Narrow"/>
                <w:sz w:val="18"/>
                <w:szCs w:val="18"/>
                <w:lang w:eastAsia="en-US"/>
              </w:rPr>
            </w:pPr>
          </w:p>
          <w:p w:rsidR="00907344" w:rsidRPr="00EE11C8" w:rsidRDefault="00907344" w:rsidP="001F10BD">
            <w:pPr>
              <w:keepNext/>
              <w:ind w:right="-111"/>
              <w:rPr>
                <w:rFonts w:ascii="Arial Narrow" w:eastAsia="Calibri" w:hAnsi="Arial Narrow"/>
                <w:sz w:val="18"/>
                <w:szCs w:val="18"/>
                <w:lang w:eastAsia="en-US"/>
              </w:rPr>
            </w:pPr>
            <w:r w:rsidRPr="00EE11C8">
              <w:rPr>
                <w:rFonts w:ascii="Arial Narrow" w:eastAsia="Calibri" w:hAnsi="Arial Narrow"/>
                <w:sz w:val="18"/>
                <w:szCs w:val="18"/>
                <w:lang w:eastAsia="en-US"/>
              </w:rPr>
              <w:t xml:space="preserve">Novartis </w:t>
            </w:r>
          </w:p>
        </w:tc>
      </w:tr>
      <w:tr w:rsidR="00907344" w:rsidRPr="00EE11C8" w:rsidTr="00907344">
        <w:trPr>
          <w:cantSplit/>
          <w:trHeight w:val="347"/>
        </w:trPr>
        <w:tc>
          <w:tcPr>
            <w:tcW w:w="3114" w:type="dxa"/>
          </w:tcPr>
          <w:p w:rsidR="00907344" w:rsidRPr="00EE11C8" w:rsidRDefault="00907344" w:rsidP="001F10BD">
            <w:pPr>
              <w:keepNext/>
              <w:ind w:left="-108"/>
              <w:rPr>
                <w:rFonts w:ascii="Arial Narrow" w:hAnsi="Arial Narrow" w:cs="Calibri"/>
                <w:sz w:val="18"/>
                <w:szCs w:val="18"/>
              </w:rPr>
            </w:pPr>
            <w:r w:rsidRPr="00EE11C8">
              <w:rPr>
                <w:rFonts w:ascii="Arial Narrow" w:hAnsi="Arial Narrow" w:cs="Calibri"/>
                <w:sz w:val="18"/>
                <w:szCs w:val="18"/>
              </w:rPr>
              <w:t>indacaterol 150 microgram + mometasone furoate 160 microgram powder for inhalation, 30 capsules</w:t>
            </w:r>
          </w:p>
          <w:p w:rsidR="00907344" w:rsidRPr="00EE11C8" w:rsidRDefault="00907344" w:rsidP="001F10BD">
            <w:pPr>
              <w:keepNext/>
              <w:ind w:left="-108"/>
              <w:rPr>
                <w:rFonts w:ascii="Arial Narrow" w:eastAsia="Calibri" w:hAnsi="Arial Narrow"/>
                <w:sz w:val="18"/>
                <w:szCs w:val="18"/>
                <w:lang w:eastAsia="en-US"/>
              </w:rPr>
            </w:pPr>
          </w:p>
        </w:tc>
        <w:tc>
          <w:tcPr>
            <w:tcW w:w="850" w:type="dxa"/>
          </w:tcPr>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NEW</w:t>
            </w:r>
          </w:p>
        </w:tc>
        <w:tc>
          <w:tcPr>
            <w:tcW w:w="851" w:type="dxa"/>
          </w:tcPr>
          <w:p w:rsidR="00907344" w:rsidRPr="00EE11C8" w:rsidRDefault="00907344" w:rsidP="001F10BD">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9" w:type="dxa"/>
          </w:tcPr>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8" w:type="dxa"/>
          </w:tcPr>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5</w:t>
            </w:r>
          </w:p>
        </w:tc>
        <w:tc>
          <w:tcPr>
            <w:tcW w:w="993" w:type="dxa"/>
          </w:tcPr>
          <w:p w:rsidR="00907344" w:rsidRPr="00EE11C8" w:rsidRDefault="00907344" w:rsidP="001F10BD">
            <w:pPr>
              <w:keepNext/>
              <w:rPr>
                <w:rFonts w:ascii="Arial Narrow" w:eastAsia="Calibri" w:hAnsi="Arial Narrow"/>
                <w:sz w:val="18"/>
                <w:szCs w:val="18"/>
                <w:lang w:eastAsia="en-US"/>
              </w:rPr>
            </w:pPr>
            <w:r w:rsidRPr="00EE11C8">
              <w:rPr>
                <w:rFonts w:ascii="Arial Narrow" w:eastAsia="Calibri" w:hAnsi="Arial Narrow"/>
                <w:sz w:val="18"/>
                <w:szCs w:val="18"/>
                <w:lang w:eastAsia="en-US"/>
              </w:rPr>
              <w:t>$48.64</w:t>
            </w:r>
          </w:p>
        </w:tc>
        <w:tc>
          <w:tcPr>
            <w:tcW w:w="850" w:type="dxa"/>
            <w:vMerge/>
          </w:tcPr>
          <w:p w:rsidR="00907344" w:rsidRPr="00EE11C8" w:rsidRDefault="00907344" w:rsidP="001F10BD">
            <w:pPr>
              <w:keepNext/>
              <w:rPr>
                <w:rFonts w:ascii="Arial Narrow" w:eastAsia="Calibri" w:hAnsi="Arial Narrow"/>
                <w:sz w:val="18"/>
                <w:szCs w:val="18"/>
                <w:lang w:eastAsia="en-US"/>
              </w:rPr>
            </w:pPr>
          </w:p>
        </w:tc>
        <w:tc>
          <w:tcPr>
            <w:tcW w:w="851" w:type="dxa"/>
            <w:vMerge/>
          </w:tcPr>
          <w:p w:rsidR="00907344" w:rsidRPr="00EE11C8" w:rsidRDefault="00907344" w:rsidP="001F10BD">
            <w:pPr>
              <w:keepNext/>
              <w:rPr>
                <w:rFonts w:ascii="Arial Narrow" w:eastAsia="Calibri" w:hAnsi="Arial Narrow"/>
                <w:sz w:val="18"/>
                <w:szCs w:val="18"/>
                <w:lang w:eastAsia="en-US"/>
              </w:rPr>
            </w:pPr>
          </w:p>
        </w:tc>
      </w:tr>
      <w:tr w:rsidR="00907344" w:rsidRPr="00EE11C8" w:rsidTr="00907344">
        <w:trPr>
          <w:cantSplit/>
          <w:trHeight w:val="327"/>
        </w:trPr>
        <w:tc>
          <w:tcPr>
            <w:tcW w:w="3114" w:type="dxa"/>
          </w:tcPr>
          <w:p w:rsidR="00907344" w:rsidRPr="00EE11C8" w:rsidRDefault="00907344" w:rsidP="001F10BD">
            <w:pPr>
              <w:keepNext/>
              <w:ind w:left="-108"/>
              <w:rPr>
                <w:rFonts w:ascii="Arial Narrow" w:eastAsia="Calibri" w:hAnsi="Arial Narrow"/>
                <w:sz w:val="18"/>
                <w:szCs w:val="18"/>
                <w:lang w:eastAsia="en-US"/>
              </w:rPr>
            </w:pPr>
            <w:r w:rsidRPr="00EE11C8">
              <w:rPr>
                <w:rFonts w:ascii="Arial Narrow" w:hAnsi="Arial Narrow" w:cs="Calibri"/>
                <w:sz w:val="18"/>
                <w:szCs w:val="18"/>
              </w:rPr>
              <w:t>indacaterol 150 microgram + mometasone furoate 320 microgram powder for inhalation, 30 capsules</w:t>
            </w:r>
          </w:p>
        </w:tc>
        <w:tc>
          <w:tcPr>
            <w:tcW w:w="850" w:type="dxa"/>
          </w:tcPr>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NEW</w:t>
            </w:r>
          </w:p>
        </w:tc>
        <w:tc>
          <w:tcPr>
            <w:tcW w:w="851" w:type="dxa"/>
          </w:tcPr>
          <w:p w:rsidR="00907344" w:rsidRPr="00EE11C8" w:rsidRDefault="00907344" w:rsidP="001F10BD">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9" w:type="dxa"/>
          </w:tcPr>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8" w:type="dxa"/>
          </w:tcPr>
          <w:p w:rsidR="00907344" w:rsidRPr="00EE11C8" w:rsidRDefault="00907344" w:rsidP="001F10BD">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5</w:t>
            </w:r>
          </w:p>
        </w:tc>
        <w:tc>
          <w:tcPr>
            <w:tcW w:w="993" w:type="dxa"/>
          </w:tcPr>
          <w:p w:rsidR="00907344" w:rsidRPr="00EE11C8" w:rsidRDefault="00907344" w:rsidP="001F10BD">
            <w:pPr>
              <w:keepNext/>
              <w:rPr>
                <w:rFonts w:ascii="Arial Narrow" w:eastAsia="Calibri" w:hAnsi="Arial Narrow"/>
                <w:sz w:val="18"/>
                <w:szCs w:val="18"/>
                <w:lang w:eastAsia="en-US"/>
              </w:rPr>
            </w:pPr>
            <w:r w:rsidRPr="00EE11C8">
              <w:rPr>
                <w:rFonts w:ascii="Arial Narrow" w:eastAsia="Calibri" w:hAnsi="Arial Narrow"/>
                <w:sz w:val="18"/>
                <w:szCs w:val="18"/>
                <w:lang w:eastAsia="en-US"/>
              </w:rPr>
              <w:t>$61.78</w:t>
            </w:r>
          </w:p>
        </w:tc>
        <w:tc>
          <w:tcPr>
            <w:tcW w:w="850" w:type="dxa"/>
            <w:vMerge/>
          </w:tcPr>
          <w:p w:rsidR="00907344" w:rsidRPr="00EE11C8" w:rsidRDefault="00907344" w:rsidP="001F10BD">
            <w:pPr>
              <w:keepNext/>
              <w:rPr>
                <w:rFonts w:ascii="Arial Narrow" w:eastAsia="Calibri" w:hAnsi="Arial Narrow"/>
                <w:sz w:val="18"/>
                <w:szCs w:val="18"/>
                <w:lang w:eastAsia="en-US"/>
              </w:rPr>
            </w:pPr>
          </w:p>
        </w:tc>
        <w:tc>
          <w:tcPr>
            <w:tcW w:w="851" w:type="dxa"/>
            <w:vMerge/>
          </w:tcPr>
          <w:p w:rsidR="00907344" w:rsidRPr="00EE11C8" w:rsidRDefault="00907344" w:rsidP="001F10BD">
            <w:pPr>
              <w:keepNext/>
              <w:rPr>
                <w:rFonts w:ascii="Arial Narrow" w:eastAsia="Calibri" w:hAnsi="Arial Narrow"/>
                <w:sz w:val="18"/>
                <w:szCs w:val="18"/>
                <w:lang w:eastAsia="en-US"/>
              </w:rPr>
            </w:pPr>
          </w:p>
        </w:tc>
      </w:tr>
    </w:tbl>
    <w:p w:rsidR="00AB321E" w:rsidRPr="00EE11C8" w:rsidRDefault="00AB321E" w:rsidP="00AB321E">
      <w:pPr>
        <w:spacing w:after="160" w:line="259" w:lineRule="auto"/>
        <w:rPr>
          <w:rFonts w:ascii="Arial Narrow" w:eastAsia="Calibri" w:hAnsi="Arial Narrow"/>
          <w:b/>
          <w:sz w:val="18"/>
          <w:szCs w:val="18"/>
          <w:lang w:eastAsia="en-US"/>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7"/>
      </w:tblGrid>
      <w:tr w:rsidR="00131526" w:rsidRPr="00EE11C8" w:rsidTr="00131526">
        <w:tc>
          <w:tcPr>
            <w:tcW w:w="5000" w:type="pct"/>
            <w:tcBorders>
              <w:top w:val="single" w:sz="4" w:space="0" w:color="auto"/>
              <w:left w:val="single" w:sz="4" w:space="0" w:color="auto"/>
              <w:bottom w:val="single" w:sz="4" w:space="0" w:color="auto"/>
              <w:right w:val="single" w:sz="4" w:space="0" w:color="auto"/>
            </w:tcBorders>
          </w:tcPr>
          <w:p w:rsidR="00131526" w:rsidRPr="00EE11C8" w:rsidRDefault="00131526" w:rsidP="001F10BD">
            <w:pPr>
              <w:rPr>
                <w:rFonts w:ascii="Arial Narrow" w:eastAsia="Calibri" w:hAnsi="Arial Narrow"/>
                <w:sz w:val="18"/>
                <w:szCs w:val="18"/>
                <w:lang w:eastAsia="en-US"/>
              </w:rPr>
            </w:pPr>
            <w:r w:rsidRPr="00EE11C8">
              <w:rPr>
                <w:rFonts w:ascii="Arial Narrow" w:eastAsia="Calibri" w:hAnsi="Arial Narrow"/>
                <w:b/>
                <w:sz w:val="18"/>
                <w:szCs w:val="18"/>
                <w:lang w:eastAsia="en-US"/>
              </w:rPr>
              <w:t xml:space="preserve">Category / Program:   </w:t>
            </w:r>
            <w:r w:rsidRPr="00EE11C8">
              <w:rPr>
                <w:rFonts w:ascii="Arial Narrow" w:eastAsia="Calibri" w:hAnsi="Arial Narrow"/>
                <w:sz w:val="18"/>
                <w:szCs w:val="18"/>
                <w:lang w:eastAsia="en-US"/>
              </w:rPr>
              <w:t xml:space="preserve">GENERAL – General Schedule (Code GE) </w:t>
            </w:r>
          </w:p>
        </w:tc>
      </w:tr>
      <w:tr w:rsidR="00131526" w:rsidRPr="00EE11C8" w:rsidTr="00131526">
        <w:trPr>
          <w:trHeight w:val="233"/>
        </w:trPr>
        <w:tc>
          <w:tcPr>
            <w:tcW w:w="5000" w:type="pct"/>
            <w:tcBorders>
              <w:top w:val="single" w:sz="4" w:space="0" w:color="auto"/>
              <w:left w:val="single" w:sz="4" w:space="0" w:color="auto"/>
              <w:bottom w:val="single" w:sz="4" w:space="0" w:color="auto"/>
              <w:right w:val="single" w:sz="4" w:space="0" w:color="auto"/>
            </w:tcBorders>
          </w:tcPr>
          <w:p w:rsidR="00131526" w:rsidRPr="00EE11C8" w:rsidRDefault="00131526" w:rsidP="00EC651B">
            <w:pPr>
              <w:rPr>
                <w:rFonts w:ascii="Arial Narrow" w:eastAsia="Calibri" w:hAnsi="Arial Narrow"/>
                <w:sz w:val="18"/>
                <w:szCs w:val="18"/>
                <w:lang w:eastAsia="en-US"/>
              </w:rPr>
            </w:pPr>
            <w:r w:rsidRPr="00EE11C8">
              <w:rPr>
                <w:rFonts w:ascii="Arial Narrow" w:eastAsia="Calibri" w:hAnsi="Arial Narrow"/>
                <w:b/>
                <w:sz w:val="18"/>
                <w:szCs w:val="18"/>
                <w:lang w:eastAsia="en-US"/>
              </w:rPr>
              <w:t xml:space="preserve">Prescriber type:  </w:t>
            </w:r>
            <w:r w:rsidRPr="00EE11C8">
              <w:rPr>
                <w:rFonts w:ascii="Arial Narrow" w:eastAsia="Calibri" w:hAnsi="Arial Narrow"/>
                <w:sz w:val="18"/>
                <w:szCs w:val="18"/>
                <w:lang w:eastAsia="en-US"/>
              </w:rPr>
              <w:fldChar w:fldCharType="begin">
                <w:ffData>
                  <w:name w:val=""/>
                  <w:enabled/>
                  <w:calcOnExit w:val="0"/>
                  <w:checkBox>
                    <w:sizeAuto/>
                    <w:default w:val="1"/>
                  </w:checkBox>
                </w:ffData>
              </w:fldChar>
            </w:r>
            <w:r w:rsidRPr="00EE11C8">
              <w:rPr>
                <w:rFonts w:ascii="Arial Narrow" w:eastAsia="Calibri" w:hAnsi="Arial Narrow"/>
                <w:sz w:val="18"/>
                <w:szCs w:val="18"/>
                <w:lang w:eastAsia="en-US"/>
              </w:rPr>
              <w:instrText xml:space="preserve"> FORMCHECKBOX </w:instrText>
            </w:r>
            <w:r w:rsidR="00DC3A3F">
              <w:rPr>
                <w:rFonts w:ascii="Arial Narrow" w:eastAsia="Calibri" w:hAnsi="Arial Narrow"/>
                <w:sz w:val="18"/>
                <w:szCs w:val="18"/>
                <w:lang w:eastAsia="en-US"/>
              </w:rPr>
            </w:r>
            <w:r w:rsidR="00DC3A3F">
              <w:rPr>
                <w:rFonts w:ascii="Arial Narrow" w:eastAsia="Calibri" w:hAnsi="Arial Narrow"/>
                <w:sz w:val="18"/>
                <w:szCs w:val="18"/>
                <w:lang w:eastAsia="en-US"/>
              </w:rPr>
              <w:fldChar w:fldCharType="separate"/>
            </w:r>
            <w:r w:rsidRPr="00EE11C8">
              <w:rPr>
                <w:rFonts w:ascii="Arial Narrow" w:eastAsia="Calibri" w:hAnsi="Arial Narrow"/>
                <w:sz w:val="18"/>
                <w:szCs w:val="18"/>
                <w:lang w:eastAsia="en-US"/>
              </w:rPr>
              <w:fldChar w:fldCharType="end"/>
            </w:r>
            <w:r w:rsidRPr="00EE11C8">
              <w:rPr>
                <w:rFonts w:ascii="Arial Narrow" w:eastAsia="Calibri" w:hAnsi="Arial Narrow"/>
                <w:sz w:val="18"/>
                <w:szCs w:val="18"/>
                <w:lang w:eastAsia="en-US"/>
              </w:rPr>
              <w:t xml:space="preserve">Medical Practitioners  </w:t>
            </w:r>
            <w:r w:rsidRPr="00EE11C8">
              <w:rPr>
                <w:rFonts w:ascii="Arial Narrow" w:eastAsia="Calibri" w:hAnsi="Arial Narrow"/>
                <w:sz w:val="18"/>
                <w:szCs w:val="18"/>
                <w:lang w:eastAsia="en-US"/>
              </w:rPr>
              <w:fldChar w:fldCharType="begin">
                <w:ffData>
                  <w:name w:val=""/>
                  <w:enabled/>
                  <w:calcOnExit w:val="0"/>
                  <w:checkBox>
                    <w:sizeAuto/>
                    <w:default w:val="1"/>
                  </w:checkBox>
                </w:ffData>
              </w:fldChar>
            </w:r>
            <w:r w:rsidRPr="00EE11C8">
              <w:rPr>
                <w:rFonts w:ascii="Arial Narrow" w:eastAsia="Calibri" w:hAnsi="Arial Narrow"/>
                <w:sz w:val="18"/>
                <w:szCs w:val="18"/>
                <w:lang w:eastAsia="en-US"/>
              </w:rPr>
              <w:instrText xml:space="preserve"> FORMCHECKBOX </w:instrText>
            </w:r>
            <w:r w:rsidR="00DC3A3F">
              <w:rPr>
                <w:rFonts w:ascii="Arial Narrow" w:eastAsia="Calibri" w:hAnsi="Arial Narrow"/>
                <w:sz w:val="18"/>
                <w:szCs w:val="18"/>
                <w:lang w:eastAsia="en-US"/>
              </w:rPr>
            </w:r>
            <w:r w:rsidR="00DC3A3F">
              <w:rPr>
                <w:rFonts w:ascii="Arial Narrow" w:eastAsia="Calibri" w:hAnsi="Arial Narrow"/>
                <w:sz w:val="18"/>
                <w:szCs w:val="18"/>
                <w:lang w:eastAsia="en-US"/>
              </w:rPr>
              <w:fldChar w:fldCharType="separate"/>
            </w:r>
            <w:r w:rsidRPr="00EE11C8">
              <w:rPr>
                <w:rFonts w:ascii="Arial Narrow" w:eastAsia="Calibri" w:hAnsi="Arial Narrow"/>
                <w:sz w:val="18"/>
                <w:szCs w:val="18"/>
                <w:lang w:eastAsia="en-US"/>
              </w:rPr>
              <w:fldChar w:fldCharType="end"/>
            </w:r>
            <w:r w:rsidRPr="00EE11C8">
              <w:rPr>
                <w:rFonts w:ascii="Arial Narrow" w:eastAsia="Calibri" w:hAnsi="Arial Narrow"/>
                <w:sz w:val="18"/>
                <w:szCs w:val="18"/>
                <w:lang w:eastAsia="en-US"/>
              </w:rPr>
              <w:t xml:space="preserve">Nurse practitioners  </w:t>
            </w:r>
          </w:p>
        </w:tc>
      </w:tr>
      <w:tr w:rsidR="00131526" w:rsidRPr="00EE11C8" w:rsidTr="00131526">
        <w:tc>
          <w:tcPr>
            <w:tcW w:w="5000" w:type="pct"/>
            <w:tcBorders>
              <w:top w:val="single" w:sz="4" w:space="0" w:color="auto"/>
              <w:left w:val="single" w:sz="4" w:space="0" w:color="auto"/>
              <w:bottom w:val="single" w:sz="4" w:space="0" w:color="auto"/>
              <w:right w:val="single" w:sz="4" w:space="0" w:color="auto"/>
            </w:tcBorders>
          </w:tcPr>
          <w:p w:rsidR="00131526" w:rsidRPr="00EE11C8" w:rsidRDefault="00131526" w:rsidP="001F10BD">
            <w:pPr>
              <w:rPr>
                <w:rFonts w:ascii="Arial Narrow" w:eastAsia="Calibri" w:hAnsi="Arial Narrow"/>
                <w:b/>
                <w:sz w:val="18"/>
                <w:szCs w:val="18"/>
                <w:lang w:eastAsia="en-US"/>
              </w:rPr>
            </w:pPr>
            <w:r w:rsidRPr="00EE11C8">
              <w:rPr>
                <w:rFonts w:ascii="Arial Narrow" w:eastAsia="Calibri" w:hAnsi="Arial Narrow"/>
                <w:b/>
                <w:sz w:val="18"/>
                <w:szCs w:val="18"/>
                <w:lang w:eastAsia="en-US"/>
              </w:rPr>
              <w:t xml:space="preserve">Restriction Level / Method: </w:t>
            </w:r>
            <w:r w:rsidRPr="00EE11C8">
              <w:rPr>
                <w:rFonts w:ascii="Arial Narrow" w:eastAsia="Calibri" w:hAnsi="Arial Narrow"/>
                <w:sz w:val="18"/>
                <w:szCs w:val="18"/>
                <w:lang w:eastAsia="en-US"/>
              </w:rPr>
              <w:fldChar w:fldCharType="begin">
                <w:ffData>
                  <w:name w:val=""/>
                  <w:enabled/>
                  <w:calcOnExit w:val="0"/>
                  <w:checkBox>
                    <w:sizeAuto/>
                    <w:default w:val="1"/>
                  </w:checkBox>
                </w:ffData>
              </w:fldChar>
            </w:r>
            <w:r w:rsidRPr="00EE11C8">
              <w:rPr>
                <w:rFonts w:ascii="Arial Narrow" w:eastAsia="Calibri" w:hAnsi="Arial Narrow"/>
                <w:sz w:val="18"/>
                <w:szCs w:val="18"/>
                <w:lang w:eastAsia="en-US"/>
              </w:rPr>
              <w:instrText xml:space="preserve"> FORMCHECKBOX </w:instrText>
            </w:r>
            <w:r w:rsidR="00DC3A3F">
              <w:rPr>
                <w:rFonts w:ascii="Arial Narrow" w:eastAsia="Calibri" w:hAnsi="Arial Narrow"/>
                <w:sz w:val="18"/>
                <w:szCs w:val="18"/>
                <w:lang w:eastAsia="en-US"/>
              </w:rPr>
            </w:r>
            <w:r w:rsidR="00DC3A3F">
              <w:rPr>
                <w:rFonts w:ascii="Arial Narrow" w:eastAsia="Calibri" w:hAnsi="Arial Narrow"/>
                <w:sz w:val="18"/>
                <w:szCs w:val="18"/>
                <w:lang w:eastAsia="en-US"/>
              </w:rPr>
              <w:fldChar w:fldCharType="separate"/>
            </w:r>
            <w:r w:rsidRPr="00EE11C8">
              <w:rPr>
                <w:rFonts w:ascii="Arial Narrow" w:eastAsia="Calibri" w:hAnsi="Arial Narrow"/>
                <w:sz w:val="18"/>
                <w:szCs w:val="18"/>
                <w:lang w:eastAsia="en-US"/>
              </w:rPr>
              <w:fldChar w:fldCharType="end"/>
            </w:r>
            <w:r w:rsidRPr="00EE11C8">
              <w:rPr>
                <w:rFonts w:ascii="Arial Narrow" w:eastAsia="Calibri" w:hAnsi="Arial Narrow"/>
                <w:sz w:val="18"/>
                <w:szCs w:val="18"/>
                <w:lang w:eastAsia="en-US"/>
              </w:rPr>
              <w:t>Authority Required – Streamlined (NEW CODE)</w:t>
            </w:r>
          </w:p>
        </w:tc>
      </w:tr>
      <w:tr w:rsidR="00131526" w:rsidRPr="00EE11C8" w:rsidTr="00131526">
        <w:tc>
          <w:tcPr>
            <w:tcW w:w="5000" w:type="pct"/>
            <w:vAlign w:val="center"/>
          </w:tcPr>
          <w:p w:rsidR="00131526" w:rsidRPr="00EE11C8" w:rsidRDefault="00131526" w:rsidP="001F10BD">
            <w:pPr>
              <w:rPr>
                <w:rFonts w:ascii="Arial Narrow" w:hAnsi="Arial Narrow"/>
                <w:bCs/>
                <w:sz w:val="18"/>
                <w:szCs w:val="18"/>
              </w:rPr>
            </w:pPr>
            <w:r w:rsidRPr="00EE11C8">
              <w:rPr>
                <w:rFonts w:ascii="Arial Narrow" w:hAnsi="Arial Narrow"/>
                <w:b/>
                <w:bCs/>
                <w:sz w:val="18"/>
                <w:szCs w:val="18"/>
              </w:rPr>
              <w:t xml:space="preserve">Episodicity: </w:t>
            </w:r>
            <w:r w:rsidRPr="00EE11C8">
              <w:rPr>
                <w:rFonts w:ascii="Arial Narrow" w:hAnsi="Arial Narrow"/>
                <w:bCs/>
                <w:strike/>
                <w:sz w:val="18"/>
                <w:szCs w:val="18"/>
              </w:rPr>
              <w:t>Daily</w:t>
            </w:r>
          </w:p>
        </w:tc>
      </w:tr>
      <w:tr w:rsidR="00131526" w:rsidRPr="00EE11C8" w:rsidTr="00131526">
        <w:tc>
          <w:tcPr>
            <w:tcW w:w="5000" w:type="pct"/>
            <w:vAlign w:val="center"/>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 xml:space="preserve">Severity: </w:t>
            </w:r>
            <w:r w:rsidRPr="00EE11C8">
              <w:rPr>
                <w:rFonts w:ascii="Arial Narrow" w:hAnsi="Arial Narrow"/>
                <w:bCs/>
                <w:strike/>
                <w:sz w:val="18"/>
                <w:szCs w:val="18"/>
              </w:rPr>
              <w:t>Patients uncontrolled on ICS</w:t>
            </w:r>
          </w:p>
        </w:tc>
      </w:tr>
      <w:tr w:rsidR="00131526" w:rsidRPr="00EE11C8" w:rsidTr="00131526">
        <w:tc>
          <w:tcPr>
            <w:tcW w:w="5000" w:type="pct"/>
            <w:vAlign w:val="center"/>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 xml:space="preserve">Condition: </w:t>
            </w:r>
            <w:r w:rsidRPr="00EE11C8">
              <w:rPr>
                <w:rFonts w:ascii="Arial Narrow" w:hAnsi="Arial Narrow"/>
                <w:bCs/>
                <w:sz w:val="18"/>
                <w:szCs w:val="18"/>
              </w:rPr>
              <w:t>Asthma</w:t>
            </w:r>
          </w:p>
        </w:tc>
      </w:tr>
      <w:tr w:rsidR="00131526" w:rsidRPr="00EE11C8" w:rsidTr="00131526">
        <w:tc>
          <w:tcPr>
            <w:tcW w:w="5000" w:type="pct"/>
            <w:vAlign w:val="center"/>
            <w:hideMark/>
          </w:tcPr>
          <w:p w:rsidR="00131526" w:rsidRPr="00EE11C8" w:rsidRDefault="00131526" w:rsidP="001F10BD">
            <w:pPr>
              <w:rPr>
                <w:rFonts w:ascii="Arial Narrow" w:hAnsi="Arial Narrow"/>
                <w:sz w:val="18"/>
                <w:szCs w:val="18"/>
              </w:rPr>
            </w:pPr>
            <w:r w:rsidRPr="00EE11C8">
              <w:rPr>
                <w:rFonts w:ascii="Arial Narrow" w:hAnsi="Arial Narrow"/>
                <w:b/>
                <w:bCs/>
                <w:sz w:val="18"/>
                <w:szCs w:val="18"/>
              </w:rPr>
              <w:t>Indication:</w:t>
            </w:r>
            <w:r w:rsidRPr="00EE11C8">
              <w:rPr>
                <w:rFonts w:ascii="Arial Narrow" w:hAnsi="Arial Narrow"/>
                <w:sz w:val="18"/>
                <w:szCs w:val="18"/>
              </w:rPr>
              <w:t xml:space="preserve"> Asthma</w:t>
            </w:r>
          </w:p>
        </w:tc>
      </w:tr>
      <w:tr w:rsidR="00131526" w:rsidRPr="00EE11C8" w:rsidTr="00131526">
        <w:tc>
          <w:tcPr>
            <w:tcW w:w="5000" w:type="pct"/>
            <w:vAlign w:val="center"/>
            <w:hideMark/>
          </w:tcPr>
          <w:p w:rsidR="00131526" w:rsidRPr="00EE11C8" w:rsidRDefault="00131526" w:rsidP="001F10BD">
            <w:pPr>
              <w:rPr>
                <w:rFonts w:ascii="Arial Narrow" w:hAnsi="Arial Narrow"/>
                <w:sz w:val="18"/>
                <w:szCs w:val="18"/>
              </w:rPr>
            </w:pPr>
            <w:r w:rsidRPr="00EE11C8">
              <w:rPr>
                <w:rFonts w:ascii="Arial Narrow" w:hAnsi="Arial Narrow"/>
                <w:b/>
                <w:bCs/>
                <w:sz w:val="18"/>
                <w:szCs w:val="18"/>
              </w:rPr>
              <w:t>Clinical criteria:</w:t>
            </w:r>
          </w:p>
        </w:tc>
      </w:tr>
      <w:tr w:rsidR="00131526" w:rsidRPr="00EE11C8" w:rsidTr="00131526">
        <w:tc>
          <w:tcPr>
            <w:tcW w:w="5000" w:type="pct"/>
            <w:vAlign w:val="center"/>
            <w:hideMark/>
          </w:tcPr>
          <w:p w:rsidR="00131526" w:rsidRPr="00EE11C8" w:rsidRDefault="00131526" w:rsidP="001F10BD">
            <w:pPr>
              <w:rPr>
                <w:rFonts w:ascii="Arial Narrow" w:hAnsi="Arial Narrow"/>
                <w:sz w:val="18"/>
                <w:szCs w:val="18"/>
              </w:rPr>
            </w:pPr>
            <w:r w:rsidRPr="00EE11C8">
              <w:rPr>
                <w:rFonts w:ascii="Arial Narrow" w:hAnsi="Arial Narrow"/>
                <w:sz w:val="18"/>
                <w:szCs w:val="18"/>
              </w:rPr>
              <w:t>Patient must have previously had frequent episodes of asthma while receiving treatment with oral corticosteroids or optimal doses of inhaled corticosteroids.</w:t>
            </w:r>
          </w:p>
        </w:tc>
      </w:tr>
      <w:tr w:rsidR="00131526" w:rsidRPr="00EE11C8" w:rsidTr="00131526">
        <w:tc>
          <w:tcPr>
            <w:tcW w:w="5000" w:type="pct"/>
            <w:vAlign w:val="center"/>
          </w:tcPr>
          <w:p w:rsidR="00131526" w:rsidRPr="00EE11C8" w:rsidRDefault="00131526" w:rsidP="001F10BD">
            <w:pPr>
              <w:rPr>
                <w:rFonts w:ascii="Arial Narrow" w:hAnsi="Arial Narrow"/>
                <w:strike/>
                <w:sz w:val="18"/>
                <w:szCs w:val="18"/>
              </w:rPr>
            </w:pPr>
            <w:r w:rsidRPr="00EE11C8">
              <w:rPr>
                <w:rFonts w:ascii="Arial Narrow" w:hAnsi="Arial Narrow"/>
                <w:b/>
                <w:bCs/>
                <w:strike/>
                <w:sz w:val="18"/>
                <w:szCs w:val="18"/>
              </w:rPr>
              <w:t>Treatment criteria:</w:t>
            </w:r>
          </w:p>
        </w:tc>
      </w:tr>
      <w:tr w:rsidR="00131526" w:rsidRPr="00EE11C8" w:rsidTr="00131526">
        <w:tc>
          <w:tcPr>
            <w:tcW w:w="5000" w:type="pct"/>
            <w:vAlign w:val="center"/>
          </w:tcPr>
          <w:p w:rsidR="00131526" w:rsidRPr="00EE11C8" w:rsidRDefault="00131526" w:rsidP="001F10BD">
            <w:pPr>
              <w:autoSpaceDE w:val="0"/>
              <w:autoSpaceDN w:val="0"/>
              <w:adjustRightInd w:val="0"/>
              <w:rPr>
                <w:rFonts w:ascii="Arial Narrow" w:eastAsia="Calibri" w:hAnsi="Arial Narrow" w:cs="Arial Narrow"/>
                <w:iCs/>
                <w:strike/>
                <w:sz w:val="18"/>
                <w:szCs w:val="18"/>
                <w:lang w:eastAsia="en-US"/>
              </w:rPr>
            </w:pPr>
            <w:r w:rsidRPr="00EE11C8">
              <w:rPr>
                <w:rFonts w:ascii="Arial Narrow" w:eastAsia="Calibri" w:hAnsi="Arial Narrow" w:cs="Arial Narrow"/>
                <w:iCs/>
                <w:strike/>
                <w:sz w:val="18"/>
                <w:szCs w:val="18"/>
                <w:lang w:eastAsia="en-US"/>
              </w:rPr>
              <w:t>This product is not indicated for the initiation of treatment in asthma.</w:t>
            </w:r>
          </w:p>
        </w:tc>
      </w:tr>
      <w:tr w:rsidR="00131526" w:rsidRPr="00EE11C8" w:rsidTr="00131526">
        <w:tc>
          <w:tcPr>
            <w:tcW w:w="5000" w:type="pct"/>
            <w:vAlign w:val="center"/>
          </w:tcPr>
          <w:p w:rsidR="00131526" w:rsidRPr="00EE11C8" w:rsidRDefault="00131526" w:rsidP="001F10BD">
            <w:pPr>
              <w:rPr>
                <w:rFonts w:ascii="Arial Narrow" w:hAnsi="Arial Narrow"/>
                <w:b/>
                <w:sz w:val="18"/>
                <w:szCs w:val="18"/>
              </w:rPr>
            </w:pPr>
            <w:r w:rsidRPr="00EE11C8">
              <w:rPr>
                <w:rFonts w:ascii="Arial Narrow" w:hAnsi="Arial Narrow"/>
                <w:b/>
                <w:sz w:val="18"/>
                <w:szCs w:val="18"/>
              </w:rPr>
              <w:t>AND</w:t>
            </w:r>
          </w:p>
        </w:tc>
      </w:tr>
      <w:tr w:rsidR="00131526" w:rsidRPr="00EE11C8" w:rsidTr="00131526">
        <w:tc>
          <w:tcPr>
            <w:tcW w:w="5000" w:type="pct"/>
            <w:vAlign w:val="center"/>
          </w:tcPr>
          <w:p w:rsidR="00131526" w:rsidRPr="00EE11C8" w:rsidRDefault="00131526" w:rsidP="001F10BD">
            <w:pPr>
              <w:rPr>
                <w:rFonts w:ascii="Arial Narrow" w:hAnsi="Arial Narrow"/>
                <w:strike/>
                <w:sz w:val="18"/>
                <w:szCs w:val="18"/>
              </w:rPr>
            </w:pPr>
            <w:r w:rsidRPr="00EE11C8">
              <w:rPr>
                <w:rFonts w:ascii="Arial Narrow" w:hAnsi="Arial Narrow"/>
                <w:b/>
                <w:bCs/>
                <w:strike/>
                <w:sz w:val="18"/>
                <w:szCs w:val="18"/>
              </w:rPr>
              <w:t>Treatment criteria:</w:t>
            </w:r>
          </w:p>
        </w:tc>
      </w:tr>
      <w:tr w:rsidR="00131526" w:rsidRPr="00EE11C8" w:rsidTr="00D6247D">
        <w:trPr>
          <w:trHeight w:val="38"/>
        </w:trPr>
        <w:tc>
          <w:tcPr>
            <w:tcW w:w="5000" w:type="pct"/>
            <w:vAlign w:val="center"/>
          </w:tcPr>
          <w:p w:rsidR="00131526" w:rsidRPr="00EE11C8" w:rsidRDefault="00131526" w:rsidP="001F10BD">
            <w:pPr>
              <w:rPr>
                <w:rFonts w:ascii="Arial Narrow" w:hAnsi="Arial Narrow"/>
                <w:strike/>
                <w:sz w:val="18"/>
                <w:szCs w:val="18"/>
              </w:rPr>
            </w:pPr>
            <w:r w:rsidRPr="00EE11C8">
              <w:rPr>
                <w:rFonts w:ascii="Arial Narrow" w:hAnsi="Arial Narrow"/>
                <w:strike/>
                <w:sz w:val="18"/>
                <w:szCs w:val="18"/>
              </w:rPr>
              <w:t>The patient must not be on a concomitant single agent long-acting-beta-2-agonist (LABA)</w:t>
            </w:r>
          </w:p>
        </w:tc>
      </w:tr>
      <w:tr w:rsidR="00131526" w:rsidRPr="00EE11C8" w:rsidTr="00131526">
        <w:tc>
          <w:tcPr>
            <w:tcW w:w="5000" w:type="pct"/>
            <w:vAlign w:val="center"/>
          </w:tcPr>
          <w:p w:rsidR="00131526" w:rsidRPr="00EE11C8" w:rsidRDefault="00131526" w:rsidP="001F10BD">
            <w:pPr>
              <w:rPr>
                <w:rFonts w:ascii="Arial Narrow" w:hAnsi="Arial Narrow"/>
                <w:b/>
                <w:sz w:val="18"/>
                <w:szCs w:val="18"/>
              </w:rPr>
            </w:pPr>
            <w:r w:rsidRPr="00EE11C8">
              <w:rPr>
                <w:rFonts w:ascii="Arial Narrow" w:hAnsi="Arial Narrow"/>
                <w:b/>
                <w:sz w:val="18"/>
                <w:szCs w:val="18"/>
              </w:rPr>
              <w:t>AND</w:t>
            </w:r>
          </w:p>
        </w:tc>
      </w:tr>
      <w:tr w:rsidR="00131526" w:rsidRPr="00EE11C8" w:rsidTr="00131526">
        <w:tc>
          <w:tcPr>
            <w:tcW w:w="5000" w:type="pct"/>
            <w:vAlign w:val="center"/>
            <w:hideMark/>
          </w:tcPr>
          <w:p w:rsidR="00131526" w:rsidRPr="00EE11C8" w:rsidRDefault="00131526" w:rsidP="001F10BD">
            <w:pPr>
              <w:rPr>
                <w:rFonts w:ascii="Arial Narrow" w:hAnsi="Arial Narrow"/>
                <w:sz w:val="18"/>
                <w:szCs w:val="18"/>
              </w:rPr>
            </w:pPr>
            <w:r w:rsidRPr="00EE11C8">
              <w:rPr>
                <w:rFonts w:ascii="Arial Narrow" w:hAnsi="Arial Narrow"/>
                <w:b/>
                <w:bCs/>
                <w:sz w:val="18"/>
                <w:szCs w:val="18"/>
              </w:rPr>
              <w:t>Population criteria:</w:t>
            </w:r>
          </w:p>
        </w:tc>
      </w:tr>
      <w:tr w:rsidR="00131526" w:rsidRPr="00EE11C8" w:rsidTr="00131526">
        <w:tc>
          <w:tcPr>
            <w:tcW w:w="5000" w:type="pct"/>
            <w:vAlign w:val="center"/>
            <w:hideMark/>
          </w:tcPr>
          <w:p w:rsidR="00131526" w:rsidRPr="00EE11C8" w:rsidRDefault="00131526" w:rsidP="001F10BD">
            <w:pPr>
              <w:rPr>
                <w:rFonts w:ascii="Arial Narrow" w:hAnsi="Arial Narrow"/>
                <w:sz w:val="18"/>
                <w:szCs w:val="18"/>
              </w:rPr>
            </w:pPr>
            <w:r w:rsidRPr="00EE11C8">
              <w:rPr>
                <w:rFonts w:ascii="Arial Narrow" w:hAnsi="Arial Narrow"/>
                <w:sz w:val="18"/>
                <w:szCs w:val="18"/>
              </w:rPr>
              <w:t>Patient must be aged 12 years or over.</w:t>
            </w:r>
          </w:p>
        </w:tc>
      </w:tr>
      <w:tr w:rsidR="00131526" w:rsidRPr="00EE11C8" w:rsidTr="00131526">
        <w:tc>
          <w:tcPr>
            <w:tcW w:w="5000" w:type="pct"/>
            <w:vAlign w:val="center"/>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Administrative Advice</w:t>
            </w:r>
          </w:p>
          <w:p w:rsidR="00131526" w:rsidRPr="00EE11C8" w:rsidRDefault="00131526" w:rsidP="001F10BD">
            <w:pPr>
              <w:rPr>
                <w:rFonts w:ascii="Arial Narrow" w:hAnsi="Arial Narrow"/>
                <w:sz w:val="18"/>
                <w:szCs w:val="18"/>
              </w:rPr>
            </w:pPr>
            <w:r w:rsidRPr="00EE11C8">
              <w:rPr>
                <w:rFonts w:ascii="Arial Narrow" w:hAnsi="Arial Narrow"/>
                <w:sz w:val="18"/>
                <w:szCs w:val="18"/>
              </w:rPr>
              <w:t>This product is not indicated for the initiation of treatment in asthma.</w:t>
            </w:r>
          </w:p>
        </w:tc>
      </w:tr>
      <w:tr w:rsidR="00131526" w:rsidRPr="00EE11C8" w:rsidTr="00131526">
        <w:tc>
          <w:tcPr>
            <w:tcW w:w="5000" w:type="pct"/>
            <w:vAlign w:val="center"/>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Administrative Advice</w:t>
            </w:r>
          </w:p>
          <w:p w:rsidR="00131526" w:rsidRPr="00EE11C8" w:rsidRDefault="00131526" w:rsidP="001F10BD">
            <w:pPr>
              <w:rPr>
                <w:rFonts w:ascii="Arial Narrow" w:hAnsi="Arial Narrow"/>
                <w:b/>
                <w:bCs/>
                <w:sz w:val="18"/>
                <w:szCs w:val="18"/>
              </w:rPr>
            </w:pPr>
            <w:r w:rsidRPr="00EE11C8">
              <w:rPr>
                <w:rFonts w:ascii="Arial Narrow" w:hAnsi="Arial Narrow"/>
                <w:bCs/>
                <w:sz w:val="18"/>
                <w:szCs w:val="18"/>
              </w:rPr>
              <w:t xml:space="preserve">This </w:t>
            </w:r>
            <w:r w:rsidRPr="00EE11C8">
              <w:rPr>
                <w:rFonts w:ascii="Arial Narrow" w:hAnsi="Arial Narrow"/>
                <w:bCs/>
                <w:strike/>
                <w:sz w:val="18"/>
                <w:szCs w:val="18"/>
              </w:rPr>
              <w:t>drug</w:t>
            </w:r>
            <w:r w:rsidRPr="00EE11C8">
              <w:rPr>
                <w:rFonts w:ascii="Arial Narrow" w:hAnsi="Arial Narrow"/>
                <w:bCs/>
                <w:sz w:val="18"/>
                <w:szCs w:val="18"/>
              </w:rPr>
              <w:t xml:space="preserve"> product is not PBS-subsidised for the treatment of chronic obstructive pulmonary disease (COPD).</w:t>
            </w:r>
          </w:p>
        </w:tc>
      </w:tr>
      <w:tr w:rsidR="00131526" w:rsidRPr="00EE11C8" w:rsidTr="00131526">
        <w:tc>
          <w:tcPr>
            <w:tcW w:w="5000" w:type="pct"/>
            <w:vAlign w:val="center"/>
            <w:hideMark/>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Administrative Advice:</w:t>
            </w:r>
          </w:p>
          <w:p w:rsidR="00131526" w:rsidRPr="00EE11C8" w:rsidRDefault="00131526" w:rsidP="001F10BD">
            <w:pPr>
              <w:rPr>
                <w:rFonts w:ascii="Arial Narrow" w:hAnsi="Arial Narrow"/>
                <w:sz w:val="18"/>
                <w:szCs w:val="18"/>
              </w:rPr>
            </w:pPr>
            <w:r w:rsidRPr="00EE11C8">
              <w:rPr>
                <w:rFonts w:ascii="Arial Narrow" w:hAnsi="Arial Narrow"/>
                <w:bCs/>
                <w:sz w:val="18"/>
                <w:szCs w:val="18"/>
              </w:rPr>
              <w:t xml:space="preserve">The patient must not be on a concomitant single agent long-acting-beta-2-agonist (LABA). </w:t>
            </w:r>
          </w:p>
        </w:tc>
      </w:tr>
      <w:tr w:rsidR="00131526" w:rsidRPr="00EE11C8" w:rsidTr="00131526">
        <w:tc>
          <w:tcPr>
            <w:tcW w:w="5000" w:type="pct"/>
            <w:vAlign w:val="center"/>
            <w:hideMark/>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Administrative Advice:</w:t>
            </w:r>
          </w:p>
          <w:p w:rsidR="00131526" w:rsidRPr="00EE11C8" w:rsidRDefault="00131526" w:rsidP="001F10BD">
            <w:pPr>
              <w:rPr>
                <w:rFonts w:ascii="Arial Narrow" w:hAnsi="Arial Narrow"/>
                <w:sz w:val="18"/>
                <w:szCs w:val="18"/>
              </w:rPr>
            </w:pPr>
            <w:r w:rsidRPr="00EE11C8">
              <w:rPr>
                <w:rFonts w:ascii="Arial Narrow" w:hAnsi="Arial Narrow"/>
                <w:sz w:val="18"/>
                <w:szCs w:val="18"/>
              </w:rPr>
              <w:t>A LABA includes olodaterol, indacaterol, salmeterol, formoterol or vilanterol.</w:t>
            </w:r>
          </w:p>
        </w:tc>
      </w:tr>
      <w:tr w:rsidR="00131526" w:rsidRPr="00EE11C8" w:rsidTr="00131526">
        <w:tc>
          <w:tcPr>
            <w:tcW w:w="5000" w:type="pct"/>
            <w:vAlign w:val="center"/>
          </w:tcPr>
          <w:p w:rsidR="00131526" w:rsidRPr="00EE11C8" w:rsidRDefault="00131526" w:rsidP="001F10BD">
            <w:pPr>
              <w:rPr>
                <w:rFonts w:ascii="Arial Narrow" w:hAnsi="Arial Narrow"/>
                <w:b/>
                <w:bCs/>
                <w:sz w:val="18"/>
                <w:szCs w:val="18"/>
              </w:rPr>
            </w:pPr>
            <w:r w:rsidRPr="00EE11C8">
              <w:rPr>
                <w:rFonts w:ascii="Arial Narrow" w:hAnsi="Arial Narrow"/>
                <w:b/>
                <w:bCs/>
                <w:sz w:val="18"/>
                <w:szCs w:val="18"/>
              </w:rPr>
              <w:t>Administrative Advice:</w:t>
            </w:r>
          </w:p>
          <w:p w:rsidR="00131526" w:rsidRPr="00EE11C8" w:rsidRDefault="00131526" w:rsidP="001F10BD">
            <w:pPr>
              <w:rPr>
                <w:rFonts w:ascii="Arial Narrow" w:hAnsi="Arial Narrow"/>
                <w:bCs/>
                <w:sz w:val="18"/>
                <w:szCs w:val="18"/>
              </w:rPr>
            </w:pPr>
            <w:r w:rsidRPr="00EE11C8">
              <w:rPr>
                <w:rFonts w:ascii="Arial Narrow" w:hAnsi="Arial Narrow"/>
                <w:bCs/>
                <w:sz w:val="18"/>
                <w:szCs w:val="18"/>
              </w:rPr>
              <w:t>Adherence to current treatment and device (inhaler) technique should be reviewed at each clinical visit and before "stepping up" a patient's medication regimen.</w:t>
            </w:r>
          </w:p>
        </w:tc>
      </w:tr>
    </w:tbl>
    <w:p w:rsidR="00CF3E72" w:rsidRPr="00EE11C8" w:rsidRDefault="00CF3E72" w:rsidP="00EF0984">
      <w:pPr>
        <w:keepNext/>
        <w:keepLines/>
        <w:widowControl w:val="0"/>
      </w:pPr>
    </w:p>
    <w:p w:rsidR="004638A3" w:rsidRPr="00EE11C8" w:rsidRDefault="0025673A" w:rsidP="000F7781">
      <w:pPr>
        <w:pStyle w:val="3-BodyText"/>
      </w:pPr>
      <w:r w:rsidRPr="00EE11C8">
        <w:t xml:space="preserve">The </w:t>
      </w:r>
      <w:r w:rsidR="00D632C5" w:rsidRPr="00EE11C8">
        <w:t xml:space="preserve">Sponsor </w:t>
      </w:r>
      <w:r w:rsidRPr="00EE11C8">
        <w:t>requested an</w:t>
      </w:r>
      <w:r w:rsidR="007475F6" w:rsidRPr="00EE11C8">
        <w:t xml:space="preserve"> Authority Required (STREAMLINED</w:t>
      </w:r>
      <w:r w:rsidRPr="00EE11C8">
        <w:t xml:space="preserve">) listing </w:t>
      </w:r>
      <w:r w:rsidR="000F4BA3" w:rsidRPr="00EE11C8">
        <w:t xml:space="preserve">for </w:t>
      </w:r>
      <w:r w:rsidR="00662917" w:rsidRPr="00EE11C8">
        <w:t>three formulations</w:t>
      </w:r>
      <w:r w:rsidR="000F4BA3" w:rsidRPr="00EE11C8">
        <w:t xml:space="preserve">: ‘low’ dose </w:t>
      </w:r>
      <w:r w:rsidR="00041496" w:rsidRPr="00EE11C8">
        <w:t>MF/IND</w:t>
      </w:r>
      <w:r w:rsidR="007E0841" w:rsidRPr="00EE11C8">
        <w:t xml:space="preserve"> </w:t>
      </w:r>
      <w:r w:rsidR="000E2FEE" w:rsidRPr="00EE11C8">
        <w:t>(</w:t>
      </w:r>
      <w:r w:rsidR="000F4BA3" w:rsidRPr="00EE11C8">
        <w:t xml:space="preserve">80/150), ‘medium’ dose </w:t>
      </w:r>
      <w:r w:rsidR="00041496" w:rsidRPr="00EE11C8">
        <w:t>MF/IND</w:t>
      </w:r>
      <w:r w:rsidR="007E0841" w:rsidRPr="00EE11C8">
        <w:t xml:space="preserve"> </w:t>
      </w:r>
      <w:r w:rsidR="000E2FEE" w:rsidRPr="00EE11C8">
        <w:t>(</w:t>
      </w:r>
      <w:r w:rsidR="004574CA" w:rsidRPr="00EE11C8">
        <w:t>160/150</w:t>
      </w:r>
      <w:r w:rsidR="000F4BA3" w:rsidRPr="00EE11C8">
        <w:t xml:space="preserve">), and ‘high’ dose </w:t>
      </w:r>
      <w:r w:rsidR="00041496" w:rsidRPr="00EE11C8">
        <w:t>MF/IND</w:t>
      </w:r>
      <w:r w:rsidR="007E0841" w:rsidRPr="00EE11C8">
        <w:t xml:space="preserve"> </w:t>
      </w:r>
      <w:r w:rsidR="000E2FEE" w:rsidRPr="00EE11C8">
        <w:t>(</w:t>
      </w:r>
      <w:r w:rsidR="000F4BA3" w:rsidRPr="00EE11C8">
        <w:t>320/150)</w:t>
      </w:r>
      <w:r w:rsidR="00EE11C8">
        <w:t xml:space="preserve">. </w:t>
      </w:r>
      <w:r w:rsidR="004574CA" w:rsidRPr="00EE11C8">
        <w:t xml:space="preserve">The requested </w:t>
      </w:r>
      <w:r w:rsidR="00D632C5" w:rsidRPr="00EE11C8">
        <w:t>DPMQs were based on a cost-</w:t>
      </w:r>
      <w:r w:rsidR="00D632C5" w:rsidRPr="00EE11C8">
        <w:lastRenderedPageBreak/>
        <w:t xml:space="preserve">minimisation analysis to </w:t>
      </w:r>
      <w:r w:rsidR="000F7781" w:rsidRPr="00EE11C8">
        <w:t xml:space="preserve">corresponding </w:t>
      </w:r>
      <w:r w:rsidR="00D632C5" w:rsidRPr="00EE11C8">
        <w:t>low, medium and high doses of</w:t>
      </w:r>
      <w:r w:rsidR="00041496" w:rsidRPr="00EE11C8">
        <w:t xml:space="preserve"> </w:t>
      </w:r>
      <w:r w:rsidR="00163C2E" w:rsidRPr="00EE11C8">
        <w:t>FP/SAL DPI</w:t>
      </w:r>
      <w:r w:rsidR="000F7781" w:rsidRPr="00EE11C8">
        <w:t xml:space="preserve"> at the nominated equi-effective dose</w:t>
      </w:r>
      <w:r w:rsidR="00EE11C8">
        <w:t xml:space="preserve">. </w:t>
      </w:r>
      <w:r w:rsidR="00D632C5" w:rsidRPr="00EE11C8">
        <w:t>No special pricing arrangement was proposed.</w:t>
      </w:r>
    </w:p>
    <w:p w:rsidR="006E494A" w:rsidRPr="00EE11C8" w:rsidRDefault="00EE0097" w:rsidP="006E494A">
      <w:pPr>
        <w:pStyle w:val="3-BodyText"/>
        <w:rPr>
          <w:bCs/>
        </w:rPr>
      </w:pPr>
      <w:r w:rsidRPr="00EE11C8">
        <w:t xml:space="preserve">The requested DPMQs are higher than </w:t>
      </w:r>
      <w:r w:rsidR="000E4845" w:rsidRPr="00EE11C8">
        <w:t xml:space="preserve">some </w:t>
      </w:r>
      <w:r w:rsidR="006E494A" w:rsidRPr="00EE11C8">
        <w:t>alternative ICS/LABA FDCs at similar/equi-effective doses (see Economic analysis)</w:t>
      </w:r>
      <w:bookmarkStart w:id="11" w:name="_Hlk38224078"/>
      <w:r w:rsidR="00EE11C8">
        <w:t xml:space="preserve">. </w:t>
      </w:r>
      <w:r w:rsidR="006E494A" w:rsidRPr="00EE11C8">
        <w:t>T</w:t>
      </w:r>
      <w:r w:rsidR="006E494A" w:rsidRPr="00EE11C8">
        <w:rPr>
          <w:bCs/>
        </w:rPr>
        <w:t xml:space="preserve">he submission did not provide any justification to support a higher price compared to alternative </w:t>
      </w:r>
      <w:r w:rsidR="003953E8" w:rsidRPr="00EE11C8">
        <w:rPr>
          <w:bCs/>
        </w:rPr>
        <w:t>therapies</w:t>
      </w:r>
      <w:r w:rsidR="00EE11C8">
        <w:rPr>
          <w:bCs/>
        </w:rPr>
        <w:t xml:space="preserve">. </w:t>
      </w:r>
      <w:r w:rsidR="006E494A" w:rsidRPr="00EE11C8">
        <w:rPr>
          <w:bCs/>
        </w:rPr>
        <w:t>Under Section 101(3B) of the National Health Act (1953), the PBAC cannot recommend listing a therapy at a price that is substantially more costly than an alternative therapy unless it is satisfied that the therapy provides, for some patients, a significant improvement in efficacy or reduction in toxicity.</w:t>
      </w:r>
      <w:bookmarkEnd w:id="11"/>
    </w:p>
    <w:p w:rsidR="0025673A" w:rsidRPr="00EE11C8" w:rsidRDefault="00FD6344" w:rsidP="00C56572">
      <w:pPr>
        <w:pStyle w:val="3-BodyText"/>
      </w:pPr>
      <w:r w:rsidRPr="00EE11C8">
        <w:t xml:space="preserve">The </w:t>
      </w:r>
      <w:r w:rsidR="00BA5C94" w:rsidRPr="00EE11C8">
        <w:t xml:space="preserve">wording of the requested restriction </w:t>
      </w:r>
      <w:r w:rsidRPr="00EE11C8">
        <w:t xml:space="preserve">was based on the </w:t>
      </w:r>
      <w:r w:rsidR="00311446" w:rsidRPr="00EE11C8">
        <w:t xml:space="preserve">current </w:t>
      </w:r>
      <w:r w:rsidR="00C770BE" w:rsidRPr="00EE11C8">
        <w:t>restriction</w:t>
      </w:r>
      <w:r w:rsidR="00311446" w:rsidRPr="00EE11C8">
        <w:t xml:space="preserve"> of </w:t>
      </w:r>
      <w:r w:rsidR="00163C2E" w:rsidRPr="00EE11C8">
        <w:t xml:space="preserve">FP/SAL DPI </w:t>
      </w:r>
      <w:r w:rsidRPr="00EE11C8">
        <w:t xml:space="preserve">and is generally consistent with </w:t>
      </w:r>
      <w:r w:rsidR="00311446" w:rsidRPr="00EE11C8">
        <w:t xml:space="preserve">other </w:t>
      </w:r>
      <w:r w:rsidRPr="00EE11C8">
        <w:t>ICS/LABA FDCs</w:t>
      </w:r>
      <w:r w:rsidR="00311446" w:rsidRPr="00EE11C8">
        <w:t xml:space="preserve"> </w:t>
      </w:r>
      <w:r w:rsidR="00C770BE" w:rsidRPr="00EE11C8">
        <w:t xml:space="preserve">listed </w:t>
      </w:r>
      <w:r w:rsidR="00311446" w:rsidRPr="00EE11C8">
        <w:t>for maintenance treatment of asthma</w:t>
      </w:r>
      <w:r w:rsidR="00EE11C8">
        <w:t xml:space="preserve">. </w:t>
      </w:r>
      <w:r w:rsidRPr="00EE11C8">
        <w:rPr>
          <w:iCs/>
        </w:rPr>
        <w:t xml:space="preserve">A key difference </w:t>
      </w:r>
      <w:r w:rsidR="00311446" w:rsidRPr="00EE11C8">
        <w:rPr>
          <w:iCs/>
        </w:rPr>
        <w:t xml:space="preserve">across the products </w:t>
      </w:r>
      <w:r w:rsidRPr="00EE11C8">
        <w:rPr>
          <w:iCs/>
        </w:rPr>
        <w:t>is the population criteria, which restrict</w:t>
      </w:r>
      <w:r w:rsidR="00C770BE" w:rsidRPr="00EE11C8">
        <w:rPr>
          <w:iCs/>
        </w:rPr>
        <w:t>s</w:t>
      </w:r>
      <w:r w:rsidRPr="00EE11C8">
        <w:rPr>
          <w:iCs/>
        </w:rPr>
        <w:t xml:space="preserve"> </w:t>
      </w:r>
      <w:r w:rsidR="00C770BE" w:rsidRPr="00EE11C8">
        <w:rPr>
          <w:iCs/>
        </w:rPr>
        <w:t xml:space="preserve">treatment </w:t>
      </w:r>
      <w:r w:rsidRPr="00EE11C8">
        <w:rPr>
          <w:iCs/>
        </w:rPr>
        <w:t>to patients age</w:t>
      </w:r>
      <w:r w:rsidR="00B20B84" w:rsidRPr="00EE11C8">
        <w:rPr>
          <w:iCs/>
        </w:rPr>
        <w:t>d</w:t>
      </w:r>
      <w:r w:rsidRPr="00EE11C8">
        <w:rPr>
          <w:iCs/>
        </w:rPr>
        <w:t xml:space="preserve"> ≥ 12 years or over </w:t>
      </w:r>
      <w:r w:rsidR="00311446" w:rsidRPr="00EE11C8">
        <w:rPr>
          <w:iCs/>
        </w:rPr>
        <w:t xml:space="preserve">for </w:t>
      </w:r>
      <w:r w:rsidR="00163C2E" w:rsidRPr="00EE11C8">
        <w:rPr>
          <w:iCs/>
        </w:rPr>
        <w:t>MF/IND</w:t>
      </w:r>
      <w:r w:rsidR="00311446" w:rsidRPr="00EE11C8">
        <w:rPr>
          <w:iCs/>
        </w:rPr>
        <w:t xml:space="preserve"> </w:t>
      </w:r>
      <w:r w:rsidRPr="00EE11C8">
        <w:rPr>
          <w:iCs/>
        </w:rPr>
        <w:t xml:space="preserve">compared to ≥ 4 years for </w:t>
      </w:r>
      <w:r w:rsidR="00163C2E" w:rsidRPr="00EE11C8">
        <w:t>FP/SAL DPI</w:t>
      </w:r>
      <w:r w:rsidRPr="00EE11C8">
        <w:rPr>
          <w:iCs/>
        </w:rPr>
        <w:t>.</w:t>
      </w:r>
    </w:p>
    <w:p w:rsidR="00F12EFF" w:rsidRPr="00EE11C8" w:rsidRDefault="00F12EFF" w:rsidP="00F12EFF">
      <w:pPr>
        <w:pStyle w:val="3-BodyText"/>
        <w:numPr>
          <w:ilvl w:val="0"/>
          <w:numId w:val="0"/>
        </w:numPr>
        <w:ind w:left="720"/>
      </w:pPr>
      <w:r w:rsidRPr="00EE11C8">
        <w:rPr>
          <w:i/>
          <w:iCs/>
        </w:rPr>
        <w:t>For more detail on PBAC’s view, see section 7 PBAC outcome.</w:t>
      </w:r>
    </w:p>
    <w:p w:rsidR="00B50DB8" w:rsidRPr="00EE11C8" w:rsidRDefault="00203181" w:rsidP="004E18E9">
      <w:pPr>
        <w:pStyle w:val="2-SectionHeading"/>
      </w:pPr>
      <w:bookmarkStart w:id="12" w:name="_Toc40451839"/>
      <w:r w:rsidRPr="00EE11C8">
        <w:t xml:space="preserve">Population and </w:t>
      </w:r>
      <w:r w:rsidR="008E0D3C" w:rsidRPr="00EE11C8">
        <w:t>d</w:t>
      </w:r>
      <w:r w:rsidRPr="00EE11C8">
        <w:t>isease</w:t>
      </w:r>
      <w:bookmarkEnd w:id="12"/>
    </w:p>
    <w:p w:rsidR="00507E18" w:rsidRPr="00EE11C8" w:rsidRDefault="004332D8" w:rsidP="00507E18">
      <w:pPr>
        <w:pStyle w:val="3-BodyText"/>
      </w:pPr>
      <w:r w:rsidRPr="00EE11C8">
        <w:t xml:space="preserve">Asthma is a chronic inflammatory disease of the airways that is defined clinically as the presence of airflow limitation and respiratory symptoms (e.g. wheeze, shortness of breath, cough, </w:t>
      </w:r>
      <w:r w:rsidR="00FB3D7F" w:rsidRPr="00EE11C8">
        <w:t>and chest</w:t>
      </w:r>
      <w:r w:rsidRPr="00EE11C8">
        <w:t xml:space="preserve"> tightness) that vary over time</w:t>
      </w:r>
      <w:r w:rsidR="00EE11C8">
        <w:t xml:space="preserve">. </w:t>
      </w:r>
      <w:r w:rsidR="00507E18" w:rsidRPr="00EE11C8">
        <w:t>The primary goal of asthma pharmacotherapy is to reduce underlying inflammation and promote bronchodilation.</w:t>
      </w:r>
    </w:p>
    <w:p w:rsidR="00D41CBE" w:rsidRPr="00EE11C8" w:rsidRDefault="00D11359" w:rsidP="004E18E9">
      <w:pPr>
        <w:pStyle w:val="3-BodyText"/>
      </w:pPr>
      <w:bookmarkStart w:id="13" w:name="_Hlk38226688"/>
      <w:r w:rsidRPr="00EE11C8">
        <w:rPr>
          <w:rFonts w:ascii="Calibri" w:hAnsi="Calibri" w:cs="Calibri"/>
        </w:rPr>
        <w:t>Asthma severity is determined by the type and amount of treatment needed to maintain adequate symptom control, with more serious disease requiring a greater intensity of treatment</w:t>
      </w:r>
      <w:r w:rsidR="00EE11C8">
        <w:rPr>
          <w:rFonts w:ascii="Calibri" w:hAnsi="Calibri" w:cs="Calibri"/>
        </w:rPr>
        <w:t xml:space="preserve">. </w:t>
      </w:r>
      <w:r w:rsidR="00D41CBE" w:rsidRPr="00EE11C8">
        <w:t>Pharmacological management involves a stepwise approach</w:t>
      </w:r>
      <w:r w:rsidR="00027770" w:rsidRPr="00EE11C8">
        <w:t>.</w:t>
      </w:r>
      <w:bookmarkEnd w:id="13"/>
      <w:r w:rsidR="001616A2" w:rsidRPr="00EE11C8">
        <w:t xml:space="preserve"> In the current Australian guidelines</w:t>
      </w:r>
      <w:r w:rsidR="00456C75" w:rsidRPr="00EE11C8">
        <w:t xml:space="preserve"> (Australian Asthma Handbook, 2019)</w:t>
      </w:r>
      <w:r w:rsidR="001616A2" w:rsidRPr="00EE11C8">
        <w:t xml:space="preserve">, patients </w:t>
      </w:r>
      <w:r w:rsidR="00D41CBE" w:rsidRPr="00EE11C8">
        <w:t xml:space="preserve">who experience exacerbations or uncontrolled asthma despite ICS treatment would initiate low dose ICS/LABA, progressing to medium </w:t>
      </w:r>
      <w:r w:rsidR="00670C20" w:rsidRPr="00EE11C8">
        <w:t>or</w:t>
      </w:r>
      <w:r w:rsidR="00D41CBE" w:rsidRPr="00EE11C8">
        <w:t xml:space="preserve"> high dose ICS/LABA if asthma is uncontrolled.</w:t>
      </w:r>
      <w:r w:rsidR="00EA7909" w:rsidRPr="00EE11C8">
        <w:t xml:space="preserve"> In addition to regular maintenance treatment to prevent symptoms, patients </w:t>
      </w:r>
      <w:r w:rsidR="00D96E59" w:rsidRPr="00EE11C8">
        <w:t xml:space="preserve">use </w:t>
      </w:r>
      <w:r w:rsidR="00EA7909" w:rsidRPr="00EE11C8">
        <w:t>short-acting beta2 agonist (SABA) for relief of symptoms</w:t>
      </w:r>
      <w:r w:rsidR="00D96E59" w:rsidRPr="00EE11C8">
        <w:t xml:space="preserve"> or use budesonide/formoterol as both maintenance and reliever therapy.</w:t>
      </w:r>
      <w:r w:rsidRPr="00EE11C8">
        <w:t xml:space="preserve"> </w:t>
      </w:r>
    </w:p>
    <w:p w:rsidR="003F6526" w:rsidRPr="00EE11C8" w:rsidRDefault="00D84FD9" w:rsidP="00344DC4">
      <w:pPr>
        <w:pStyle w:val="3-BodyText"/>
      </w:pPr>
      <w:r w:rsidRPr="00EE11C8">
        <w:t xml:space="preserve">The submission proposed that </w:t>
      </w:r>
      <w:r w:rsidR="00163C2E" w:rsidRPr="00EE11C8">
        <w:t>MF/IND</w:t>
      </w:r>
      <w:r w:rsidR="000917A7" w:rsidRPr="00EE11C8">
        <w:t xml:space="preserve"> w</w:t>
      </w:r>
      <w:r w:rsidRPr="00EE11C8">
        <w:t>ould</w:t>
      </w:r>
      <w:r w:rsidR="000917A7" w:rsidRPr="00EE11C8">
        <w:t xml:space="preserve"> add to existing low, medium and high dose ICS/LABA FDCs available on the PBS for asthma</w:t>
      </w:r>
      <w:r w:rsidR="00EE11C8">
        <w:t xml:space="preserve">. </w:t>
      </w:r>
      <w:r w:rsidR="009A2280" w:rsidRPr="00EE11C8">
        <w:t xml:space="preserve">The recommended dose is </w:t>
      </w:r>
      <w:r w:rsidR="00484383" w:rsidRPr="00EE11C8">
        <w:t>the inhalation of the con</w:t>
      </w:r>
      <w:r w:rsidR="00163C2E" w:rsidRPr="00EE11C8">
        <w:t>tents of one capsule of MF/IND</w:t>
      </w:r>
      <w:r w:rsidR="00484383" w:rsidRPr="00EE11C8">
        <w:t xml:space="preserve"> </w:t>
      </w:r>
      <w:r w:rsidR="009A2280" w:rsidRPr="00EE11C8">
        <w:t xml:space="preserve">80/150 </w:t>
      </w:r>
      <w:r w:rsidR="00484383" w:rsidRPr="00EE11C8">
        <w:t xml:space="preserve">once daily for patients who need a combination of a LABA and a </w:t>
      </w:r>
      <w:r w:rsidR="009A2280" w:rsidRPr="00EE11C8">
        <w:t>low dose</w:t>
      </w:r>
      <w:r w:rsidR="00163C2E" w:rsidRPr="00EE11C8">
        <w:t xml:space="preserve"> ICS or MF/IND</w:t>
      </w:r>
      <w:r w:rsidR="00484383" w:rsidRPr="00EE11C8">
        <w:t xml:space="preserve"> </w:t>
      </w:r>
      <w:r w:rsidR="009A2280" w:rsidRPr="00EE11C8">
        <w:t xml:space="preserve">160/150 </w:t>
      </w:r>
      <w:r w:rsidR="00484383" w:rsidRPr="00EE11C8">
        <w:t xml:space="preserve">for a </w:t>
      </w:r>
      <w:r w:rsidR="009A2280" w:rsidRPr="00EE11C8">
        <w:t>medium dose</w:t>
      </w:r>
      <w:r w:rsidR="00484383" w:rsidRPr="00EE11C8">
        <w:t xml:space="preserve"> ICS</w:t>
      </w:r>
      <w:r w:rsidR="009A2280" w:rsidRPr="00EE11C8">
        <w:t xml:space="preserve"> or </w:t>
      </w:r>
      <w:r w:rsidR="00163C2E" w:rsidRPr="00EE11C8">
        <w:t>MF/IND</w:t>
      </w:r>
      <w:r w:rsidR="00484383" w:rsidRPr="00EE11C8">
        <w:t xml:space="preserve"> </w:t>
      </w:r>
      <w:r w:rsidR="008779CB" w:rsidRPr="00EE11C8">
        <w:t>(</w:t>
      </w:r>
      <w:r w:rsidR="009A2280" w:rsidRPr="00EE11C8">
        <w:t>320/150</w:t>
      </w:r>
      <w:r w:rsidR="008779CB" w:rsidRPr="00EE11C8">
        <w:t>)</w:t>
      </w:r>
      <w:r w:rsidR="009A2280" w:rsidRPr="00EE11C8">
        <w:t xml:space="preserve"> </w:t>
      </w:r>
      <w:r w:rsidR="00484383" w:rsidRPr="00EE11C8">
        <w:t xml:space="preserve">for a </w:t>
      </w:r>
      <w:r w:rsidR="009A2280" w:rsidRPr="00EE11C8">
        <w:t xml:space="preserve">high dose </w:t>
      </w:r>
      <w:r w:rsidR="00484383" w:rsidRPr="00EE11C8">
        <w:t xml:space="preserve">ICS. </w:t>
      </w:r>
      <w:r w:rsidR="000917A7" w:rsidRPr="00EE11C8">
        <w:t xml:space="preserve">The maximum recommended dose is </w:t>
      </w:r>
      <w:r w:rsidR="00163C2E" w:rsidRPr="00EE11C8">
        <w:t>MF/IND</w:t>
      </w:r>
      <w:r w:rsidR="00484383" w:rsidRPr="00EE11C8">
        <w:t xml:space="preserve"> </w:t>
      </w:r>
      <w:r w:rsidR="008779CB" w:rsidRPr="00EE11C8">
        <w:t>(</w:t>
      </w:r>
      <w:r w:rsidR="000917A7" w:rsidRPr="00EE11C8">
        <w:t>320/150</w:t>
      </w:r>
      <w:r w:rsidR="008779CB" w:rsidRPr="00EE11C8">
        <w:t>)</w:t>
      </w:r>
      <w:r w:rsidR="000917A7" w:rsidRPr="00EE11C8">
        <w:t xml:space="preserve"> once daily</w:t>
      </w:r>
      <w:r w:rsidR="00EE11C8">
        <w:t xml:space="preserve">. </w:t>
      </w:r>
      <w:r w:rsidR="003F6526" w:rsidRPr="00EE11C8">
        <w:t xml:space="preserve">Given MF is currently not available on the PBS, patients </w:t>
      </w:r>
      <w:r w:rsidR="00524C11" w:rsidRPr="00EE11C8">
        <w:t xml:space="preserve">commencing </w:t>
      </w:r>
      <w:r w:rsidR="009A2280" w:rsidRPr="00EE11C8">
        <w:t>treat</w:t>
      </w:r>
      <w:r w:rsidR="00524C11" w:rsidRPr="00EE11C8">
        <w:t>ment</w:t>
      </w:r>
      <w:r w:rsidR="009A2280" w:rsidRPr="00EE11C8">
        <w:t xml:space="preserve"> with </w:t>
      </w:r>
      <w:r w:rsidR="00163C2E" w:rsidRPr="00EE11C8">
        <w:t>MF/IND</w:t>
      </w:r>
      <w:r w:rsidR="009A2280" w:rsidRPr="00EE11C8">
        <w:t xml:space="preserve"> will</w:t>
      </w:r>
      <w:r w:rsidR="003F6526" w:rsidRPr="00EE11C8">
        <w:t xml:space="preserve"> need to</w:t>
      </w:r>
      <w:r w:rsidR="00524C11" w:rsidRPr="00EE11C8">
        <w:t xml:space="preserve"> either</w:t>
      </w:r>
      <w:r w:rsidR="003F6526" w:rsidRPr="00EE11C8">
        <w:t xml:space="preserve"> </w:t>
      </w:r>
      <w:r w:rsidR="009A2280" w:rsidRPr="00EE11C8">
        <w:t xml:space="preserve">‘step up’ from </w:t>
      </w:r>
      <w:r w:rsidR="003F6526" w:rsidRPr="00EE11C8">
        <w:t xml:space="preserve">an </w:t>
      </w:r>
      <w:r w:rsidR="009A2280" w:rsidRPr="00EE11C8">
        <w:t>alternative</w:t>
      </w:r>
      <w:r w:rsidR="00F3021A" w:rsidRPr="00EE11C8">
        <w:t xml:space="preserve"> </w:t>
      </w:r>
      <w:r w:rsidR="003F6526" w:rsidRPr="00EE11C8">
        <w:t>ICS or switch from another ICS/LABA FDC available on the PBS</w:t>
      </w:r>
      <w:r w:rsidR="00EE11C8">
        <w:t xml:space="preserve">. </w:t>
      </w:r>
      <w:r w:rsidR="00C80504" w:rsidRPr="00EE11C8">
        <w:t>This is similar to patients</w:t>
      </w:r>
      <w:r w:rsidR="00344DC4" w:rsidRPr="00EE11C8">
        <w:t xml:space="preserve"> currently</w:t>
      </w:r>
      <w:r w:rsidR="00C80504" w:rsidRPr="00EE11C8">
        <w:t xml:space="preserve"> treated with fluticasone furoate (FF)/ vilanterol (VI) FDC (Breo® Ellipta®), where FF is not available in a separate inhaler.</w:t>
      </w:r>
    </w:p>
    <w:p w:rsidR="00F12EFF" w:rsidRPr="00EE11C8" w:rsidRDefault="00F12EFF" w:rsidP="00F12EFF">
      <w:pPr>
        <w:pStyle w:val="3-BodyText"/>
        <w:numPr>
          <w:ilvl w:val="0"/>
          <w:numId w:val="0"/>
        </w:numPr>
        <w:ind w:left="720"/>
      </w:pPr>
      <w:r w:rsidRPr="00EE11C8">
        <w:rPr>
          <w:i/>
        </w:rPr>
        <w:lastRenderedPageBreak/>
        <w:t>For more detail on PBAC’s view, see section 7 PBAC outcome.</w:t>
      </w:r>
    </w:p>
    <w:p w:rsidR="00B50DB8" w:rsidRPr="00EE11C8" w:rsidRDefault="00B50DB8" w:rsidP="004E18E9">
      <w:pPr>
        <w:pStyle w:val="2-SectionHeading"/>
      </w:pPr>
      <w:bookmarkStart w:id="14" w:name="_Toc40451840"/>
      <w:r w:rsidRPr="00EE11C8">
        <w:t>Comparator</w:t>
      </w:r>
      <w:bookmarkEnd w:id="14"/>
    </w:p>
    <w:p w:rsidR="00ED2EF5" w:rsidRPr="00EE11C8" w:rsidRDefault="00961D3A" w:rsidP="00344DC4">
      <w:pPr>
        <w:pStyle w:val="3-BodyText"/>
      </w:pPr>
      <w:r w:rsidRPr="00EE11C8">
        <w:rPr>
          <w:snapToGrid/>
        </w:rPr>
        <w:t xml:space="preserve">The submission appropriately acknowledged that </w:t>
      </w:r>
      <w:r w:rsidR="00163C2E" w:rsidRPr="00EE11C8">
        <w:rPr>
          <w:snapToGrid/>
        </w:rPr>
        <w:t>MF/IND</w:t>
      </w:r>
      <w:r w:rsidR="00D84FD9" w:rsidRPr="00EE11C8">
        <w:rPr>
          <w:snapToGrid/>
        </w:rPr>
        <w:t xml:space="preserve"> </w:t>
      </w:r>
      <w:r w:rsidRPr="00EE11C8">
        <w:rPr>
          <w:snapToGrid/>
        </w:rPr>
        <w:t>w</w:t>
      </w:r>
      <w:r w:rsidR="00F17421" w:rsidRPr="00EE11C8">
        <w:rPr>
          <w:snapToGrid/>
        </w:rPr>
        <w:t>ould</w:t>
      </w:r>
      <w:r w:rsidRPr="00EE11C8">
        <w:rPr>
          <w:snapToGrid/>
        </w:rPr>
        <w:t xml:space="preserve"> substitute for other available ICS/LABA FDCs at comparable doses, but argued that the most likely replacements w</w:t>
      </w:r>
      <w:r w:rsidR="00173342" w:rsidRPr="00EE11C8">
        <w:rPr>
          <w:snapToGrid/>
        </w:rPr>
        <w:t>ould</w:t>
      </w:r>
      <w:r w:rsidRPr="00EE11C8">
        <w:rPr>
          <w:snapToGrid/>
        </w:rPr>
        <w:t xml:space="preserve"> be within DPI formulations </w:t>
      </w:r>
      <w:r w:rsidR="00290F5A" w:rsidRPr="00EE11C8">
        <w:rPr>
          <w:snapToGrid/>
        </w:rPr>
        <w:t xml:space="preserve">since there is </w:t>
      </w:r>
      <w:r w:rsidRPr="00EE11C8">
        <w:rPr>
          <w:snapToGrid/>
        </w:rPr>
        <w:t>little switching between DPI and MDI formulations</w:t>
      </w:r>
      <w:r w:rsidR="00290F5A" w:rsidRPr="00EE11C8">
        <w:rPr>
          <w:snapToGrid/>
        </w:rPr>
        <w:t xml:space="preserve"> on the PBS</w:t>
      </w:r>
      <w:r w:rsidR="00EE11C8">
        <w:rPr>
          <w:snapToGrid/>
        </w:rPr>
        <w:t xml:space="preserve">. </w:t>
      </w:r>
      <w:r w:rsidR="00290F5A" w:rsidRPr="00EE11C8">
        <w:t xml:space="preserve">Given </w:t>
      </w:r>
      <w:r w:rsidR="00ED2EF5" w:rsidRPr="00EE11C8">
        <w:t>Atectura® Breezhaler®</w:t>
      </w:r>
      <w:r w:rsidR="00F4000B" w:rsidRPr="00EE11C8">
        <w:t xml:space="preserve"> (MF/IND)</w:t>
      </w:r>
      <w:r w:rsidR="00ED2EF5" w:rsidRPr="00EE11C8">
        <w:t xml:space="preserve"> will be the first ICS/LABA FDC on the PBS for asthma that requires patients to load capsules into </w:t>
      </w:r>
      <w:r w:rsidR="00F50395" w:rsidRPr="00EE11C8">
        <w:t>an</w:t>
      </w:r>
      <w:r w:rsidR="00ED2EF5" w:rsidRPr="00EE11C8">
        <w:t xml:space="preserve"> inhaler device, it is unclear which substitutions are most likely</w:t>
      </w:r>
      <w:r w:rsidR="00E16859" w:rsidRPr="00EE11C8">
        <w:t>.</w:t>
      </w:r>
      <w:r w:rsidR="005A2D51" w:rsidRPr="00EE11C8">
        <w:t xml:space="preserve"> </w:t>
      </w:r>
    </w:p>
    <w:p w:rsidR="00961D3A" w:rsidRPr="00EE11C8" w:rsidRDefault="00ED2EF5" w:rsidP="00173342">
      <w:pPr>
        <w:pStyle w:val="3-BodyText"/>
      </w:pPr>
      <w:r w:rsidRPr="00EE11C8">
        <w:t>A</w:t>
      </w:r>
      <w:r w:rsidR="00961D3A" w:rsidRPr="00EE11C8">
        <w:t>ll ICS/LABA FDCs including MDI and DPI formulations at comparable doses are potential comparators because they could be replaced in practice</w:t>
      </w:r>
      <w:r w:rsidR="00EE11C8">
        <w:t xml:space="preserve">. </w:t>
      </w:r>
      <w:r w:rsidR="00961D3A" w:rsidRPr="00EE11C8">
        <w:t>In past decisions, the PBAC has accepted DPI and MDI formulations as relevant comparators</w:t>
      </w:r>
      <w:r w:rsidR="0085090A" w:rsidRPr="00EE11C8">
        <w:t xml:space="preserve"> for each other</w:t>
      </w:r>
      <w:r w:rsidR="00961D3A" w:rsidRPr="00EE11C8">
        <w:t xml:space="preserve"> (</w:t>
      </w:r>
      <w:r w:rsidR="00344DC4" w:rsidRPr="00EE11C8">
        <w:t xml:space="preserve">Page 2, </w:t>
      </w:r>
      <w:r w:rsidR="00961D3A" w:rsidRPr="00EE11C8">
        <w:t>budesonide with eformoterol fumarate</w:t>
      </w:r>
      <w:r w:rsidR="00A36A0D" w:rsidRPr="00EE11C8">
        <w:t xml:space="preserve"> FDC,</w:t>
      </w:r>
      <w:r w:rsidR="00961D3A" w:rsidRPr="00EE11C8">
        <w:t xml:space="preserve"> PSD July 2013</w:t>
      </w:r>
      <w:r w:rsidR="00A36A0D" w:rsidRPr="00EE11C8">
        <w:t xml:space="preserve"> PBAC meeting</w:t>
      </w:r>
      <w:r w:rsidR="00961D3A" w:rsidRPr="00EE11C8">
        <w:t>).</w:t>
      </w:r>
      <w:r w:rsidR="00EB77A6" w:rsidRPr="00EE11C8">
        <w:t xml:space="preserve"> The pre-PBAC response argued that the most appropriate comparator would be of a similar delivery system, in this case a DPI, to minimise any variability </w:t>
      </w:r>
      <w:r w:rsidR="00FD476B" w:rsidRPr="00EE11C8">
        <w:t xml:space="preserve">of </w:t>
      </w:r>
      <w:r w:rsidR="00EB77A6" w:rsidRPr="00EE11C8">
        <w:t>a different delivery system on patient ou</w:t>
      </w:r>
      <w:r w:rsidR="00FD476B" w:rsidRPr="00EE11C8">
        <w:t xml:space="preserve">tcomes. The PBAC reaffirmed </w:t>
      </w:r>
      <w:r w:rsidR="00EB77A6" w:rsidRPr="00EE11C8">
        <w:t xml:space="preserve">that DPI and MDI formulations are relevant comparators for each other in this context. </w:t>
      </w:r>
    </w:p>
    <w:p w:rsidR="00294A66" w:rsidRPr="00EE11C8" w:rsidRDefault="00961D3A" w:rsidP="00F4000B">
      <w:pPr>
        <w:pStyle w:val="3-BodyText"/>
        <w:rPr>
          <w:snapToGrid/>
        </w:rPr>
      </w:pPr>
      <w:r w:rsidRPr="00EE11C8">
        <w:rPr>
          <w:snapToGrid/>
        </w:rPr>
        <w:t>For the clinical comparison</w:t>
      </w:r>
      <w:r w:rsidR="00101DEF" w:rsidRPr="00EE11C8">
        <w:rPr>
          <w:snapToGrid/>
        </w:rPr>
        <w:t xml:space="preserve"> to the three doses (low, medium and high) of </w:t>
      </w:r>
      <w:r w:rsidR="008A3210" w:rsidRPr="00EE11C8">
        <w:rPr>
          <w:snapToGrid/>
        </w:rPr>
        <w:t>MF/IND</w:t>
      </w:r>
      <w:r w:rsidR="00101DEF" w:rsidRPr="00EE11C8">
        <w:rPr>
          <w:snapToGrid/>
        </w:rPr>
        <w:t>,</w:t>
      </w:r>
      <w:r w:rsidRPr="00EE11C8">
        <w:rPr>
          <w:snapToGrid/>
        </w:rPr>
        <w:t xml:space="preserve"> the submission </w:t>
      </w:r>
      <w:r w:rsidR="003276A9" w:rsidRPr="00EE11C8">
        <w:rPr>
          <w:snapToGrid/>
        </w:rPr>
        <w:t xml:space="preserve">appropriately </w:t>
      </w:r>
      <w:r w:rsidRPr="00EE11C8">
        <w:rPr>
          <w:snapToGrid/>
        </w:rPr>
        <w:t>nominated</w:t>
      </w:r>
      <w:r w:rsidR="00290F5A" w:rsidRPr="00EE11C8">
        <w:rPr>
          <w:snapToGrid/>
        </w:rPr>
        <w:t xml:space="preserve"> </w:t>
      </w:r>
      <w:r w:rsidR="00101DEF" w:rsidRPr="00EE11C8">
        <w:rPr>
          <w:snapToGrid/>
        </w:rPr>
        <w:t>comparable</w:t>
      </w:r>
      <w:r w:rsidR="00290F5A" w:rsidRPr="00EE11C8">
        <w:rPr>
          <w:snapToGrid/>
        </w:rPr>
        <w:t xml:space="preserve"> doses of</w:t>
      </w:r>
      <w:r w:rsidRPr="00EE11C8">
        <w:rPr>
          <w:snapToGrid/>
        </w:rPr>
        <w:t xml:space="preserve"> the following comparators</w:t>
      </w:r>
      <w:r w:rsidR="00294A66" w:rsidRPr="00EE11C8">
        <w:rPr>
          <w:snapToGrid/>
        </w:rPr>
        <w:t>:</w:t>
      </w:r>
    </w:p>
    <w:p w:rsidR="00101DEF" w:rsidRPr="00EE11C8" w:rsidRDefault="00163C2E" w:rsidP="00CD6A6E">
      <w:pPr>
        <w:pStyle w:val="3-BodyText"/>
        <w:numPr>
          <w:ilvl w:val="1"/>
          <w:numId w:val="10"/>
        </w:numPr>
        <w:ind w:left="1276" w:hanging="425"/>
        <w:rPr>
          <w:snapToGrid/>
        </w:rPr>
      </w:pPr>
      <w:r w:rsidRPr="00EE11C8">
        <w:t xml:space="preserve">FP/SAL DPI </w:t>
      </w:r>
      <w:r w:rsidR="00C935A4" w:rsidRPr="00EE11C8">
        <w:rPr>
          <w:snapToGrid/>
        </w:rPr>
        <w:t>where</w:t>
      </w:r>
    </w:p>
    <w:p w:rsidR="00D031E8" w:rsidRPr="00EE11C8" w:rsidRDefault="00D031E8" w:rsidP="004A2995">
      <w:pPr>
        <w:pStyle w:val="3-BodyText"/>
        <w:numPr>
          <w:ilvl w:val="0"/>
          <w:numId w:val="0"/>
        </w:numPr>
        <w:ind w:left="1134" w:firstLine="142"/>
        <w:rPr>
          <w:snapToGrid/>
        </w:rPr>
      </w:pPr>
      <w:r w:rsidRPr="00EE11C8">
        <w:rPr>
          <w:snapToGrid/>
        </w:rPr>
        <w:t xml:space="preserve">Low dose = FP/SAL </w:t>
      </w:r>
      <w:r w:rsidR="004A2995" w:rsidRPr="00EE11C8">
        <w:rPr>
          <w:snapToGrid/>
        </w:rPr>
        <w:t>100/</w:t>
      </w:r>
      <w:r w:rsidRPr="00EE11C8">
        <w:rPr>
          <w:snapToGrid/>
        </w:rPr>
        <w:t>50</w:t>
      </w:r>
      <w:r w:rsidR="004A2995" w:rsidRPr="00EE11C8">
        <w:rPr>
          <w:snapToGrid/>
        </w:rPr>
        <w:t xml:space="preserve"> </w:t>
      </w:r>
      <w:r w:rsidR="00A0001B" w:rsidRPr="00EE11C8">
        <w:rPr>
          <w:snapToGrid/>
        </w:rPr>
        <w:t>mcg</w:t>
      </w:r>
      <w:r w:rsidRPr="00EE11C8">
        <w:rPr>
          <w:snapToGrid/>
        </w:rPr>
        <w:t xml:space="preserve"> </w:t>
      </w:r>
      <w:r w:rsidR="004A2995" w:rsidRPr="00EE11C8">
        <w:rPr>
          <w:snapToGrid/>
        </w:rPr>
        <w:t xml:space="preserve">one actuation </w:t>
      </w:r>
      <w:r w:rsidRPr="00EE11C8">
        <w:rPr>
          <w:snapToGrid/>
        </w:rPr>
        <w:t>twice daily</w:t>
      </w:r>
    </w:p>
    <w:p w:rsidR="00D031E8" w:rsidRPr="00EE11C8" w:rsidRDefault="00D031E8" w:rsidP="00817442">
      <w:pPr>
        <w:pStyle w:val="3-BodyText"/>
        <w:numPr>
          <w:ilvl w:val="0"/>
          <w:numId w:val="0"/>
        </w:numPr>
        <w:ind w:left="1134" w:firstLine="142"/>
        <w:rPr>
          <w:snapToGrid/>
        </w:rPr>
      </w:pPr>
      <w:r w:rsidRPr="00EE11C8">
        <w:rPr>
          <w:snapToGrid/>
        </w:rPr>
        <w:t xml:space="preserve">Medium dose = FP/SAL </w:t>
      </w:r>
      <w:r w:rsidR="004A2995" w:rsidRPr="00EE11C8">
        <w:rPr>
          <w:snapToGrid/>
        </w:rPr>
        <w:t>250/</w:t>
      </w:r>
      <w:r w:rsidR="00C935A4" w:rsidRPr="00EE11C8">
        <w:rPr>
          <w:snapToGrid/>
        </w:rPr>
        <w:t>50</w:t>
      </w:r>
      <w:r w:rsidR="004A2995" w:rsidRPr="00EE11C8">
        <w:rPr>
          <w:snapToGrid/>
        </w:rPr>
        <w:t xml:space="preserve"> </w:t>
      </w:r>
      <w:r w:rsidR="00A0001B" w:rsidRPr="00EE11C8">
        <w:rPr>
          <w:snapToGrid/>
        </w:rPr>
        <w:t>mcg</w:t>
      </w:r>
      <w:r w:rsidR="00C935A4" w:rsidRPr="00EE11C8">
        <w:rPr>
          <w:snapToGrid/>
        </w:rPr>
        <w:t xml:space="preserve"> </w:t>
      </w:r>
      <w:r w:rsidR="004A2995" w:rsidRPr="00EE11C8">
        <w:rPr>
          <w:snapToGrid/>
        </w:rPr>
        <w:t xml:space="preserve">one actuation </w:t>
      </w:r>
      <w:r w:rsidR="00C935A4" w:rsidRPr="00EE11C8">
        <w:rPr>
          <w:snapToGrid/>
        </w:rPr>
        <w:t>twice daily</w:t>
      </w:r>
    </w:p>
    <w:p w:rsidR="00C935A4" w:rsidRPr="00EE11C8" w:rsidRDefault="00C935A4" w:rsidP="004A2995">
      <w:pPr>
        <w:pStyle w:val="3-BodyText"/>
        <w:numPr>
          <w:ilvl w:val="0"/>
          <w:numId w:val="0"/>
        </w:numPr>
        <w:ind w:left="1134" w:firstLine="142"/>
        <w:rPr>
          <w:snapToGrid/>
        </w:rPr>
      </w:pPr>
      <w:r w:rsidRPr="00EE11C8">
        <w:rPr>
          <w:snapToGrid/>
        </w:rPr>
        <w:t>High dose = FP/SAL 500/50</w:t>
      </w:r>
      <w:r w:rsidR="004A2995" w:rsidRPr="00EE11C8">
        <w:rPr>
          <w:snapToGrid/>
        </w:rPr>
        <w:t xml:space="preserve"> mcg one actuation</w:t>
      </w:r>
      <w:r w:rsidRPr="00EE11C8">
        <w:rPr>
          <w:snapToGrid/>
        </w:rPr>
        <w:t xml:space="preserve"> twice daily</w:t>
      </w:r>
    </w:p>
    <w:p w:rsidR="00961D3A" w:rsidRPr="00EE11C8" w:rsidRDefault="00961D3A" w:rsidP="00CD6A6E">
      <w:pPr>
        <w:pStyle w:val="3-BodyText"/>
        <w:numPr>
          <w:ilvl w:val="1"/>
          <w:numId w:val="10"/>
        </w:numPr>
        <w:ind w:left="1276" w:hanging="425"/>
        <w:rPr>
          <w:snapToGrid/>
        </w:rPr>
      </w:pPr>
      <w:r w:rsidRPr="00EE11C8">
        <w:rPr>
          <w:snapToGrid/>
        </w:rPr>
        <w:t>MF alone</w:t>
      </w:r>
      <w:r w:rsidR="00A0001B" w:rsidRPr="00EE11C8">
        <w:rPr>
          <w:snapToGrid/>
        </w:rPr>
        <w:t xml:space="preserve"> delivered via the Twisthaler</w:t>
      </w:r>
      <w:r w:rsidR="00FB6C7F" w:rsidRPr="00EE11C8">
        <w:rPr>
          <w:snapToGrid/>
        </w:rPr>
        <w:t>®</w:t>
      </w:r>
      <w:r w:rsidRPr="00EE11C8">
        <w:rPr>
          <w:snapToGrid/>
        </w:rPr>
        <w:t xml:space="preserve"> </w:t>
      </w:r>
      <w:r w:rsidR="00101DEF" w:rsidRPr="00EE11C8">
        <w:rPr>
          <w:snapToGrid/>
        </w:rPr>
        <w:t>(</w:t>
      </w:r>
      <w:r w:rsidRPr="00EE11C8">
        <w:rPr>
          <w:snapToGrid/>
        </w:rPr>
        <w:t xml:space="preserve">which is </w:t>
      </w:r>
      <w:r w:rsidR="00B435DC" w:rsidRPr="00EE11C8">
        <w:rPr>
          <w:snapToGrid/>
        </w:rPr>
        <w:t>assumed as a</w:t>
      </w:r>
      <w:r w:rsidRPr="00EE11C8">
        <w:rPr>
          <w:snapToGrid/>
        </w:rPr>
        <w:t xml:space="preserve"> proxy for the FP alone</w:t>
      </w:r>
      <w:r w:rsidR="00101DEF" w:rsidRPr="00EE11C8">
        <w:rPr>
          <w:snapToGrid/>
        </w:rPr>
        <w:t>)</w:t>
      </w:r>
      <w:r w:rsidR="00C935A4" w:rsidRPr="00EE11C8">
        <w:rPr>
          <w:snapToGrid/>
        </w:rPr>
        <w:t>, where</w:t>
      </w:r>
    </w:p>
    <w:p w:rsidR="00C935A4" w:rsidRPr="00EE11C8" w:rsidRDefault="00C935A4" w:rsidP="00817442">
      <w:pPr>
        <w:pStyle w:val="3-BodyText"/>
        <w:numPr>
          <w:ilvl w:val="0"/>
          <w:numId w:val="0"/>
        </w:numPr>
        <w:ind w:left="1134" w:firstLine="142"/>
        <w:rPr>
          <w:snapToGrid/>
        </w:rPr>
      </w:pPr>
      <w:r w:rsidRPr="00EE11C8">
        <w:rPr>
          <w:snapToGrid/>
        </w:rPr>
        <w:t>Low dose = MF 200</w:t>
      </w:r>
      <w:r w:rsidR="004A2995" w:rsidRPr="00EE11C8">
        <w:rPr>
          <w:snapToGrid/>
        </w:rPr>
        <w:t xml:space="preserve"> </w:t>
      </w:r>
      <w:r w:rsidR="00A0001B" w:rsidRPr="00EE11C8">
        <w:rPr>
          <w:snapToGrid/>
        </w:rPr>
        <w:t>mcg</w:t>
      </w:r>
      <w:r w:rsidRPr="00EE11C8">
        <w:rPr>
          <w:snapToGrid/>
        </w:rPr>
        <w:t xml:space="preserve"> </w:t>
      </w:r>
      <w:r w:rsidR="004A2995" w:rsidRPr="00EE11C8">
        <w:rPr>
          <w:snapToGrid/>
        </w:rPr>
        <w:t xml:space="preserve">one actuation </w:t>
      </w:r>
      <w:r w:rsidRPr="00EE11C8">
        <w:rPr>
          <w:snapToGrid/>
        </w:rPr>
        <w:t>once daily</w:t>
      </w:r>
    </w:p>
    <w:p w:rsidR="00C935A4" w:rsidRPr="00EE11C8" w:rsidRDefault="00C935A4" w:rsidP="00817442">
      <w:pPr>
        <w:pStyle w:val="3-BodyText"/>
        <w:numPr>
          <w:ilvl w:val="0"/>
          <w:numId w:val="0"/>
        </w:numPr>
        <w:ind w:left="1134" w:firstLine="142"/>
        <w:rPr>
          <w:snapToGrid/>
        </w:rPr>
      </w:pPr>
      <w:r w:rsidRPr="00EE11C8">
        <w:rPr>
          <w:snapToGrid/>
        </w:rPr>
        <w:t>Medium dose = MF 400</w:t>
      </w:r>
      <w:r w:rsidR="004A2995" w:rsidRPr="00EE11C8">
        <w:rPr>
          <w:snapToGrid/>
        </w:rPr>
        <w:t xml:space="preserve"> </w:t>
      </w:r>
      <w:r w:rsidR="00A0001B" w:rsidRPr="00EE11C8">
        <w:rPr>
          <w:snapToGrid/>
        </w:rPr>
        <w:t>mcg</w:t>
      </w:r>
      <w:r w:rsidRPr="00EE11C8">
        <w:rPr>
          <w:snapToGrid/>
        </w:rPr>
        <w:t xml:space="preserve"> </w:t>
      </w:r>
      <w:r w:rsidR="004A2995" w:rsidRPr="00EE11C8">
        <w:rPr>
          <w:snapToGrid/>
        </w:rPr>
        <w:t xml:space="preserve">one actuation </w:t>
      </w:r>
      <w:r w:rsidRPr="00EE11C8">
        <w:rPr>
          <w:snapToGrid/>
        </w:rPr>
        <w:t>once daily</w:t>
      </w:r>
    </w:p>
    <w:p w:rsidR="00C935A4" w:rsidRPr="00EE11C8" w:rsidRDefault="00C935A4" w:rsidP="00817442">
      <w:pPr>
        <w:pStyle w:val="3-BodyText"/>
        <w:numPr>
          <w:ilvl w:val="0"/>
          <w:numId w:val="0"/>
        </w:numPr>
        <w:ind w:left="1134" w:firstLine="142"/>
        <w:rPr>
          <w:snapToGrid/>
        </w:rPr>
      </w:pPr>
      <w:r w:rsidRPr="00EE11C8">
        <w:rPr>
          <w:snapToGrid/>
        </w:rPr>
        <w:t>High dose = MF</w:t>
      </w:r>
      <w:r w:rsidR="00C679D4" w:rsidRPr="00EE11C8">
        <w:rPr>
          <w:snapToGrid/>
        </w:rPr>
        <w:t xml:space="preserve"> </w:t>
      </w:r>
      <w:r w:rsidRPr="00EE11C8">
        <w:rPr>
          <w:snapToGrid/>
        </w:rPr>
        <w:t>400</w:t>
      </w:r>
      <w:r w:rsidR="004A2995" w:rsidRPr="00EE11C8">
        <w:rPr>
          <w:snapToGrid/>
        </w:rPr>
        <w:t xml:space="preserve"> </w:t>
      </w:r>
      <w:r w:rsidR="00A0001B" w:rsidRPr="00EE11C8">
        <w:rPr>
          <w:snapToGrid/>
        </w:rPr>
        <w:t>mcg</w:t>
      </w:r>
      <w:r w:rsidRPr="00EE11C8">
        <w:rPr>
          <w:snapToGrid/>
        </w:rPr>
        <w:t xml:space="preserve"> </w:t>
      </w:r>
      <w:r w:rsidR="004A2995" w:rsidRPr="00EE11C8">
        <w:rPr>
          <w:snapToGrid/>
        </w:rPr>
        <w:t xml:space="preserve">one actuation </w:t>
      </w:r>
      <w:r w:rsidRPr="00EE11C8">
        <w:rPr>
          <w:snapToGrid/>
        </w:rPr>
        <w:t>twice daily</w:t>
      </w:r>
    </w:p>
    <w:p w:rsidR="006D5264" w:rsidRPr="00EE11C8" w:rsidRDefault="006D5264" w:rsidP="0011072A">
      <w:pPr>
        <w:pStyle w:val="3-BodyText"/>
      </w:pPr>
      <w:r w:rsidRPr="00EE11C8">
        <w:t>A different Sponsor is requesting listing of Fostair®, which is an ICS/LABA FDC delive</w:t>
      </w:r>
      <w:r w:rsidR="0054746F" w:rsidRPr="00EE11C8">
        <w:t>red via MDI containing beclomet</w:t>
      </w:r>
      <w:r w:rsidRPr="00EE11C8">
        <w:t>asone dipropionate with formoterol fumarate</w:t>
      </w:r>
      <w:r w:rsidR="001119E6" w:rsidRPr="00EE11C8">
        <w:t xml:space="preserve"> at the July 2020 PBAC meeting</w:t>
      </w:r>
      <w:r w:rsidR="00EE11C8">
        <w:t xml:space="preserve">. </w:t>
      </w:r>
      <w:r w:rsidR="001119E6" w:rsidRPr="00EE11C8">
        <w:t xml:space="preserve">Hence, </w:t>
      </w:r>
      <w:r w:rsidRPr="00EE11C8">
        <w:t>Fostair</w:t>
      </w:r>
      <w:r w:rsidR="004A2995" w:rsidRPr="00EE11C8">
        <w:t>®</w:t>
      </w:r>
      <w:r w:rsidRPr="00EE11C8">
        <w:t xml:space="preserve"> </w:t>
      </w:r>
      <w:r w:rsidR="001119E6" w:rsidRPr="00EE11C8">
        <w:t>may</w:t>
      </w:r>
      <w:r w:rsidRPr="00EE11C8">
        <w:t xml:space="preserve"> be a potential </w:t>
      </w:r>
      <w:r w:rsidR="001119E6" w:rsidRPr="00EE11C8">
        <w:t xml:space="preserve">near </w:t>
      </w:r>
      <w:r w:rsidR="000D270D" w:rsidRPr="00EE11C8">
        <w:t xml:space="preserve">market </w:t>
      </w:r>
      <w:r w:rsidRPr="00EE11C8">
        <w:t>comparator.</w:t>
      </w:r>
    </w:p>
    <w:p w:rsidR="00F12EFF" w:rsidRPr="00EE11C8" w:rsidRDefault="00F12EFF" w:rsidP="00F12EFF">
      <w:pPr>
        <w:pStyle w:val="3-BodyText"/>
        <w:numPr>
          <w:ilvl w:val="0"/>
          <w:numId w:val="0"/>
        </w:numPr>
        <w:ind w:left="720"/>
      </w:pPr>
      <w:r w:rsidRPr="00EE11C8">
        <w:rPr>
          <w:i/>
        </w:rPr>
        <w:t>For more detail on PBAC’s view, see section 7 PBAC outcome.</w:t>
      </w:r>
    </w:p>
    <w:p w:rsidR="00223D5A" w:rsidRPr="00EE11C8" w:rsidRDefault="00223D5A" w:rsidP="00223D5A">
      <w:pPr>
        <w:pStyle w:val="2-SectionHeading"/>
      </w:pPr>
      <w:bookmarkStart w:id="15" w:name="_Toc40451841"/>
      <w:bookmarkStart w:id="16" w:name="_Toc22897640"/>
      <w:r w:rsidRPr="00EE11C8">
        <w:t>Consideration of the evidence</w:t>
      </w:r>
      <w:bookmarkEnd w:id="15"/>
    </w:p>
    <w:p w:rsidR="0086432E" w:rsidRPr="00EE11C8" w:rsidRDefault="0086432E" w:rsidP="0086432E">
      <w:pPr>
        <w:pStyle w:val="4-SubsectionHeading"/>
      </w:pPr>
      <w:r w:rsidRPr="00EE11C8">
        <w:t>Sponsor hearing</w:t>
      </w:r>
    </w:p>
    <w:p w:rsidR="0086432E" w:rsidRPr="00EE11C8" w:rsidRDefault="0086432E" w:rsidP="0086432E">
      <w:pPr>
        <w:widowControl w:val="0"/>
        <w:numPr>
          <w:ilvl w:val="1"/>
          <w:numId w:val="1"/>
        </w:numPr>
        <w:spacing w:after="120"/>
        <w:rPr>
          <w:rFonts w:asciiTheme="minorHAnsi" w:hAnsiTheme="minorHAnsi"/>
          <w:bCs/>
          <w:snapToGrid w:val="0"/>
        </w:rPr>
      </w:pPr>
      <w:r w:rsidRPr="00EE11C8">
        <w:rPr>
          <w:rFonts w:asciiTheme="minorHAnsi" w:hAnsiTheme="minorHAnsi"/>
          <w:bCs/>
          <w:snapToGrid w:val="0"/>
        </w:rPr>
        <w:t>There was no hearing for this item.</w:t>
      </w:r>
    </w:p>
    <w:p w:rsidR="0086432E" w:rsidRPr="00EE11C8" w:rsidRDefault="0086432E" w:rsidP="0086432E">
      <w:pPr>
        <w:pStyle w:val="4-SubsectionHeading"/>
      </w:pPr>
      <w:r w:rsidRPr="00EE11C8">
        <w:lastRenderedPageBreak/>
        <w:t>Consumer comments</w:t>
      </w:r>
    </w:p>
    <w:p w:rsidR="0086432E" w:rsidRPr="00EE11C8" w:rsidRDefault="0086432E" w:rsidP="0086432E">
      <w:pPr>
        <w:widowControl w:val="0"/>
        <w:numPr>
          <w:ilvl w:val="1"/>
          <w:numId w:val="1"/>
        </w:numPr>
        <w:spacing w:after="120"/>
        <w:rPr>
          <w:rFonts w:asciiTheme="minorHAnsi" w:hAnsiTheme="minorHAnsi"/>
          <w:bCs/>
          <w:snapToGrid w:val="0"/>
        </w:rPr>
      </w:pPr>
      <w:r w:rsidRPr="00EE11C8">
        <w:rPr>
          <w:rFonts w:asciiTheme="minorHAnsi" w:hAnsiTheme="minorHAnsi"/>
          <w:bCs/>
          <w:snapToGrid w:val="0"/>
        </w:rPr>
        <w:t>The PBAC noted and welcomed the input from organisations (1) via the Consumer Comments facility on the PBS website</w:t>
      </w:r>
      <w:r w:rsidR="00EE11C8">
        <w:rPr>
          <w:rFonts w:asciiTheme="minorHAnsi" w:hAnsiTheme="minorHAnsi"/>
          <w:bCs/>
          <w:snapToGrid w:val="0"/>
        </w:rPr>
        <w:t xml:space="preserve">. </w:t>
      </w:r>
      <w:r w:rsidRPr="00EE11C8">
        <w:rPr>
          <w:rFonts w:asciiTheme="minorHAnsi" w:hAnsiTheme="minorHAnsi"/>
          <w:bCs/>
          <w:snapToGrid w:val="0"/>
        </w:rPr>
        <w:t xml:space="preserve">The comment </w:t>
      </w:r>
      <w:r w:rsidR="00860655" w:rsidRPr="00EE11C8">
        <w:rPr>
          <w:rFonts w:asciiTheme="minorHAnsi" w:hAnsiTheme="minorHAnsi"/>
          <w:bCs/>
          <w:snapToGrid w:val="0"/>
        </w:rPr>
        <w:t xml:space="preserve">from Asthma Australia </w:t>
      </w:r>
      <w:r w:rsidRPr="00EE11C8">
        <w:rPr>
          <w:rFonts w:asciiTheme="minorHAnsi" w:hAnsiTheme="minorHAnsi"/>
          <w:bCs/>
          <w:snapToGrid w:val="0"/>
        </w:rPr>
        <w:t>described a range of benefits of treatment with</w:t>
      </w:r>
      <w:r w:rsidR="00860655" w:rsidRPr="00EE11C8">
        <w:rPr>
          <w:rFonts w:asciiTheme="minorHAnsi" w:hAnsiTheme="minorHAnsi"/>
          <w:bCs/>
          <w:snapToGrid w:val="0"/>
        </w:rPr>
        <w:t xml:space="preserve"> MF/IND including the once daily dosing regimen. </w:t>
      </w:r>
    </w:p>
    <w:p w:rsidR="00B60939" w:rsidRPr="00EE11C8" w:rsidRDefault="00B60939" w:rsidP="002E4F02">
      <w:pPr>
        <w:pStyle w:val="4-SubsectionHeading"/>
      </w:pPr>
      <w:bookmarkStart w:id="17" w:name="_Toc40451842"/>
      <w:r w:rsidRPr="00EE11C8">
        <w:t>Clinical</w:t>
      </w:r>
      <w:r w:rsidR="000C4889" w:rsidRPr="00EE11C8">
        <w:t xml:space="preserve"> </w:t>
      </w:r>
      <w:r w:rsidRPr="00EE11C8">
        <w:t>trials</w:t>
      </w:r>
      <w:bookmarkEnd w:id="16"/>
      <w:bookmarkEnd w:id="17"/>
    </w:p>
    <w:p w:rsidR="00D05AB9" w:rsidRPr="00EE11C8" w:rsidRDefault="00D05AB9" w:rsidP="00A469D7">
      <w:pPr>
        <w:pStyle w:val="3-BodyText"/>
      </w:pPr>
      <w:r w:rsidRPr="00EE11C8">
        <w:t xml:space="preserve">The submission is based on three head-to-head randomised </w:t>
      </w:r>
      <w:r w:rsidR="002A6971" w:rsidRPr="00EE11C8">
        <w:t xml:space="preserve">clinical </w:t>
      </w:r>
      <w:r w:rsidRPr="00EE11C8">
        <w:t xml:space="preserve">trials comparing MF/IND </w:t>
      </w:r>
      <w:r w:rsidR="003276A9" w:rsidRPr="00EE11C8">
        <w:t xml:space="preserve">to </w:t>
      </w:r>
      <w:r w:rsidR="00A469D7" w:rsidRPr="00EE11C8">
        <w:t xml:space="preserve">MF and/or </w:t>
      </w:r>
      <w:r w:rsidRPr="00EE11C8">
        <w:t xml:space="preserve">FP/SAL </w:t>
      </w:r>
      <w:r w:rsidR="00993380" w:rsidRPr="00EE11C8">
        <w:t xml:space="preserve">DPI </w:t>
      </w:r>
      <w:r w:rsidRPr="00EE11C8">
        <w:t xml:space="preserve">(Palladium, Iridium, Quartz), and one head-to-head </w:t>
      </w:r>
      <w:r w:rsidR="002A6971" w:rsidRPr="00EE11C8">
        <w:t xml:space="preserve">clinical </w:t>
      </w:r>
      <w:r w:rsidRPr="00EE11C8">
        <w:t>trial comparing MF to FP (O’Connor</w:t>
      </w:r>
      <w:r w:rsidR="00A469D7" w:rsidRPr="00EE11C8">
        <w:t xml:space="preserve"> et al 2001</w:t>
      </w:r>
      <w:r w:rsidRPr="00EE11C8">
        <w:t>) which is used for an indirect treatment comparison.</w:t>
      </w:r>
    </w:p>
    <w:p w:rsidR="00D05AB9" w:rsidRPr="00EE11C8" w:rsidRDefault="00D05AB9" w:rsidP="00486B2B">
      <w:pPr>
        <w:pStyle w:val="TableFigureHeading"/>
      </w:pPr>
      <w:r w:rsidRPr="00EE11C8">
        <w:rPr>
          <w:rStyle w:val="CommentReference"/>
          <w:b/>
          <w:szCs w:val="24"/>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7"/>
        <w:gridCol w:w="6380"/>
        <w:gridCol w:w="1650"/>
      </w:tblGrid>
      <w:tr w:rsidR="00D05AB9" w:rsidRPr="00EE11C8" w:rsidTr="00D05AB9">
        <w:trPr>
          <w:tblHeader/>
        </w:trPr>
        <w:tc>
          <w:tcPr>
            <w:tcW w:w="547" w:type="pct"/>
            <w:vAlign w:val="center"/>
          </w:tcPr>
          <w:p w:rsidR="00D05AB9" w:rsidRPr="00EE11C8" w:rsidRDefault="00D05AB9" w:rsidP="00486B2B">
            <w:pPr>
              <w:pStyle w:val="In-tableHeading"/>
              <w:rPr>
                <w:lang w:val="en-AU"/>
              </w:rPr>
            </w:pPr>
            <w:r w:rsidRPr="00EE11C8">
              <w:rPr>
                <w:lang w:val="en-AU"/>
              </w:rPr>
              <w:t>Trial ID</w:t>
            </w:r>
          </w:p>
        </w:tc>
        <w:tc>
          <w:tcPr>
            <w:tcW w:w="3538" w:type="pct"/>
            <w:vAlign w:val="center"/>
          </w:tcPr>
          <w:p w:rsidR="00D05AB9" w:rsidRPr="00EE11C8" w:rsidRDefault="00D05AB9" w:rsidP="00486B2B">
            <w:pPr>
              <w:pStyle w:val="In-tableHeading"/>
              <w:rPr>
                <w:lang w:val="en-AU"/>
              </w:rPr>
            </w:pPr>
            <w:r w:rsidRPr="00EE11C8">
              <w:rPr>
                <w:lang w:val="en-AU"/>
              </w:rPr>
              <w:t>Protocol title/ Publication title</w:t>
            </w:r>
          </w:p>
        </w:tc>
        <w:tc>
          <w:tcPr>
            <w:tcW w:w="915" w:type="pct"/>
            <w:vAlign w:val="center"/>
          </w:tcPr>
          <w:p w:rsidR="00D05AB9" w:rsidRPr="00EE11C8" w:rsidRDefault="00D05AB9" w:rsidP="00486B2B">
            <w:pPr>
              <w:pStyle w:val="In-tableHeading"/>
              <w:rPr>
                <w:lang w:val="en-AU"/>
              </w:rPr>
            </w:pPr>
            <w:r w:rsidRPr="00EE11C8">
              <w:rPr>
                <w:lang w:val="en-AU"/>
              </w:rPr>
              <w:t>Publication citation</w:t>
            </w:r>
          </w:p>
        </w:tc>
      </w:tr>
      <w:tr w:rsidR="00D05AB9" w:rsidRPr="00EE11C8" w:rsidTr="00D05AB9">
        <w:trPr>
          <w:trHeight w:val="608"/>
        </w:trPr>
        <w:tc>
          <w:tcPr>
            <w:tcW w:w="547" w:type="pct"/>
            <w:vAlign w:val="center"/>
          </w:tcPr>
          <w:p w:rsidR="00D05AB9" w:rsidRPr="00EE11C8" w:rsidRDefault="00D05AB9" w:rsidP="00D05AB9">
            <w:pPr>
              <w:pStyle w:val="TableText0"/>
              <w:keepNext w:val="0"/>
            </w:pPr>
            <w:r w:rsidRPr="00EE11C8">
              <w:t>PALLADIUM (2301)</w:t>
            </w:r>
          </w:p>
        </w:tc>
        <w:tc>
          <w:tcPr>
            <w:tcW w:w="3538" w:type="pct"/>
            <w:vAlign w:val="center"/>
          </w:tcPr>
          <w:p w:rsidR="00D05AB9" w:rsidRPr="00EE11C8" w:rsidRDefault="00D05AB9" w:rsidP="00D05AB9">
            <w:pPr>
              <w:pStyle w:val="TableText0"/>
              <w:keepNext w:val="0"/>
              <w:rPr>
                <w:szCs w:val="18"/>
              </w:rPr>
            </w:pPr>
            <w:r w:rsidRPr="00EE11C8">
              <w:rPr>
                <w:szCs w:val="18"/>
              </w:rPr>
              <w:t>A multi-center, randomized, 52 week treatment, double-blind, triple dummy, parallel-group design to assess the efficacy and safety of QMF149 compared with mometasone furoate in patients with asthma</w:t>
            </w:r>
            <w:r w:rsidR="00EE11C8">
              <w:rPr>
                <w:szCs w:val="18"/>
              </w:rPr>
              <w:t xml:space="preserve">. </w:t>
            </w:r>
            <w:r w:rsidRPr="00EE11C8">
              <w:t xml:space="preserve">Additional trial registrations: </w:t>
            </w:r>
            <w:r w:rsidRPr="00EE11C8">
              <w:rPr>
                <w:szCs w:val="18"/>
              </w:rPr>
              <w:t>EUCTR2015-002899-25-EE and NCT025717777.</w:t>
            </w:r>
          </w:p>
        </w:tc>
        <w:tc>
          <w:tcPr>
            <w:tcW w:w="915" w:type="pct"/>
            <w:vAlign w:val="center"/>
          </w:tcPr>
          <w:p w:rsidR="00D05AB9" w:rsidRPr="00EE11C8" w:rsidRDefault="00D05AB9" w:rsidP="00D05AB9">
            <w:pPr>
              <w:pStyle w:val="TableText0"/>
              <w:keepNext w:val="0"/>
            </w:pPr>
            <w:r w:rsidRPr="00EE11C8">
              <w:rPr>
                <w:szCs w:val="18"/>
              </w:rPr>
              <w:t>2019</w:t>
            </w:r>
          </w:p>
        </w:tc>
      </w:tr>
      <w:tr w:rsidR="00D05AB9" w:rsidRPr="00EE11C8" w:rsidTr="00D05AB9">
        <w:trPr>
          <w:trHeight w:val="537"/>
        </w:trPr>
        <w:tc>
          <w:tcPr>
            <w:tcW w:w="547" w:type="pct"/>
            <w:vAlign w:val="center"/>
          </w:tcPr>
          <w:p w:rsidR="00D05AB9" w:rsidRPr="00EE11C8" w:rsidRDefault="00D05AB9" w:rsidP="00D05AB9">
            <w:pPr>
              <w:pStyle w:val="TableText0"/>
              <w:keepNext w:val="0"/>
            </w:pPr>
            <w:r w:rsidRPr="00EE11C8">
              <w:t>IRIDIUM (2302)</w:t>
            </w:r>
          </w:p>
        </w:tc>
        <w:tc>
          <w:tcPr>
            <w:tcW w:w="3538" w:type="pct"/>
            <w:vAlign w:val="center"/>
          </w:tcPr>
          <w:p w:rsidR="00D05AB9" w:rsidRPr="00EE11C8" w:rsidRDefault="00D05AB9" w:rsidP="00D05AB9">
            <w:pPr>
              <w:pStyle w:val="TableText0"/>
              <w:keepNext w:val="0"/>
            </w:pPr>
            <w:r w:rsidRPr="00EE11C8">
              <w:rPr>
                <w:szCs w:val="18"/>
              </w:rPr>
              <w:t>A multi</w:t>
            </w:r>
            <w:r w:rsidR="0020229E" w:rsidRPr="00EE11C8">
              <w:rPr>
                <w:szCs w:val="18"/>
              </w:rPr>
              <w:t>-</w:t>
            </w:r>
            <w:r w:rsidRPr="00EE11C8">
              <w:rPr>
                <w:szCs w:val="18"/>
              </w:rPr>
              <w:t>center, randomized, 52-week, double-blind, parallel-group, active controlled study to compare the efficacy and safety of QVM149 with QMF149 in patients with asthma</w:t>
            </w:r>
            <w:r w:rsidR="00EE11C8">
              <w:rPr>
                <w:szCs w:val="18"/>
              </w:rPr>
              <w:t xml:space="preserve">. </w:t>
            </w:r>
            <w:r w:rsidRPr="00EE11C8">
              <w:rPr>
                <w:szCs w:val="18"/>
              </w:rPr>
              <w:t>Additional trial registrations: EUCTR2015-002529-21-DE and NCT02554786.</w:t>
            </w:r>
          </w:p>
        </w:tc>
        <w:tc>
          <w:tcPr>
            <w:tcW w:w="915" w:type="pct"/>
            <w:vAlign w:val="center"/>
          </w:tcPr>
          <w:p w:rsidR="00D05AB9" w:rsidRPr="00EE11C8" w:rsidRDefault="00D05AB9" w:rsidP="00D05AB9">
            <w:pPr>
              <w:pStyle w:val="TableText0"/>
              <w:keepNext w:val="0"/>
            </w:pPr>
            <w:r w:rsidRPr="00EE11C8">
              <w:t>2018</w:t>
            </w:r>
          </w:p>
        </w:tc>
      </w:tr>
      <w:tr w:rsidR="00A469D7" w:rsidRPr="00EE11C8" w:rsidTr="00BE2B33">
        <w:tc>
          <w:tcPr>
            <w:tcW w:w="547" w:type="pct"/>
            <w:vMerge w:val="restart"/>
            <w:vAlign w:val="center"/>
          </w:tcPr>
          <w:p w:rsidR="00A469D7" w:rsidRPr="00EE11C8" w:rsidRDefault="00A469D7" w:rsidP="00D05AB9">
            <w:pPr>
              <w:pStyle w:val="TableText0"/>
              <w:keepNext w:val="0"/>
            </w:pPr>
            <w:r w:rsidRPr="00EE11C8">
              <w:t>QUARTZ (2303)</w:t>
            </w:r>
          </w:p>
        </w:tc>
        <w:tc>
          <w:tcPr>
            <w:tcW w:w="3538" w:type="pct"/>
            <w:tcBorders>
              <w:bottom w:val="nil"/>
            </w:tcBorders>
            <w:vAlign w:val="center"/>
          </w:tcPr>
          <w:p w:rsidR="00A469D7" w:rsidRPr="00EE11C8" w:rsidRDefault="00A469D7" w:rsidP="00D05AB9">
            <w:pPr>
              <w:pStyle w:val="TableText0"/>
              <w:keepNext w:val="0"/>
            </w:pPr>
            <w:r w:rsidRPr="00EE11C8">
              <w:t>A multi-center, randomized, 12-week treatment, double-blind study to assess the efficacy and safety of QMF149 (150/80 µg) compared with mometasone furoate (MF) Twisthaler® (200 µg) in adult and adolescent patients with asthma</w:t>
            </w:r>
            <w:r w:rsidR="00EE11C8">
              <w:t xml:space="preserve">. </w:t>
            </w:r>
            <w:r w:rsidRPr="00EE11C8">
              <w:t>Additional trial registrations: NCT02892344, CTRI/2017/07/00900; JPRN-JapicCTI-173559; EUCTR2016-00472-22-SK.</w:t>
            </w:r>
          </w:p>
        </w:tc>
        <w:tc>
          <w:tcPr>
            <w:tcW w:w="915" w:type="pct"/>
            <w:tcBorders>
              <w:bottom w:val="nil"/>
            </w:tcBorders>
            <w:vAlign w:val="center"/>
          </w:tcPr>
          <w:p w:rsidR="00A469D7" w:rsidRPr="00EE11C8" w:rsidRDefault="00A469D7" w:rsidP="00D05AB9">
            <w:pPr>
              <w:pStyle w:val="TableText0"/>
              <w:keepNext w:val="0"/>
            </w:pPr>
            <w:r w:rsidRPr="00EE11C8">
              <w:t>2018</w:t>
            </w:r>
          </w:p>
        </w:tc>
      </w:tr>
      <w:tr w:rsidR="00A469D7" w:rsidRPr="00EE11C8" w:rsidTr="00BE2B33">
        <w:tc>
          <w:tcPr>
            <w:tcW w:w="547" w:type="pct"/>
            <w:vMerge/>
            <w:tcBorders>
              <w:bottom w:val="nil"/>
            </w:tcBorders>
            <w:vAlign w:val="center"/>
          </w:tcPr>
          <w:p w:rsidR="00A469D7" w:rsidRPr="00EE11C8" w:rsidRDefault="00A469D7" w:rsidP="00D05AB9">
            <w:pPr>
              <w:pStyle w:val="TableText0"/>
              <w:keepNext w:val="0"/>
            </w:pPr>
          </w:p>
        </w:tc>
        <w:tc>
          <w:tcPr>
            <w:tcW w:w="3538" w:type="pct"/>
            <w:tcBorders>
              <w:top w:val="nil"/>
              <w:bottom w:val="nil"/>
            </w:tcBorders>
            <w:vAlign w:val="center"/>
          </w:tcPr>
          <w:p w:rsidR="00A469D7" w:rsidRPr="00EE11C8" w:rsidRDefault="00A469D7" w:rsidP="00D05AB9">
            <w:pPr>
              <w:pStyle w:val="TableText0"/>
              <w:keepNext w:val="0"/>
              <w:rPr>
                <w:szCs w:val="18"/>
              </w:rPr>
            </w:pPr>
            <w:r w:rsidRPr="00EE11C8">
              <w:rPr>
                <w:szCs w:val="18"/>
              </w:rPr>
              <w:t xml:space="preserve">Koornmann O et al. Efficacy and safety of inhaled once-daily low-dose indacaterol acetate/mometasone furoate in patients with inadequately controlled asthma: Phase III randomised QUARTZ study findings. </w:t>
            </w:r>
          </w:p>
        </w:tc>
        <w:tc>
          <w:tcPr>
            <w:tcW w:w="915" w:type="pct"/>
            <w:tcBorders>
              <w:top w:val="nil"/>
              <w:bottom w:val="nil"/>
            </w:tcBorders>
            <w:vAlign w:val="center"/>
          </w:tcPr>
          <w:p w:rsidR="00A469D7" w:rsidRPr="00EE11C8" w:rsidRDefault="00A469D7" w:rsidP="00D05AB9">
            <w:pPr>
              <w:pStyle w:val="TableText0"/>
              <w:keepNext w:val="0"/>
            </w:pPr>
            <w:r w:rsidRPr="00EE11C8">
              <w:rPr>
                <w:szCs w:val="18"/>
              </w:rPr>
              <w:t>Respiratory Medicine 2020; 161</w:t>
            </w:r>
          </w:p>
        </w:tc>
      </w:tr>
      <w:tr w:rsidR="00D05AB9" w:rsidRPr="00EE11C8" w:rsidTr="00D05AB9">
        <w:trPr>
          <w:trHeight w:val="698"/>
        </w:trPr>
        <w:tc>
          <w:tcPr>
            <w:tcW w:w="547" w:type="pct"/>
            <w:vAlign w:val="center"/>
          </w:tcPr>
          <w:p w:rsidR="00D05AB9" w:rsidRPr="00EE11C8" w:rsidRDefault="00D05AB9" w:rsidP="00D05AB9">
            <w:pPr>
              <w:pStyle w:val="TableText0"/>
              <w:keepNext w:val="0"/>
            </w:pPr>
            <w:r w:rsidRPr="00EE11C8">
              <w:t>O’Connor et al 2001</w:t>
            </w:r>
          </w:p>
        </w:tc>
        <w:tc>
          <w:tcPr>
            <w:tcW w:w="3538" w:type="pct"/>
            <w:vAlign w:val="center"/>
          </w:tcPr>
          <w:p w:rsidR="00D05AB9" w:rsidRPr="00EE11C8" w:rsidRDefault="00D05AB9" w:rsidP="00D05AB9">
            <w:pPr>
              <w:pStyle w:val="TableText0"/>
              <w:keepNext w:val="0"/>
              <w:rPr>
                <w:szCs w:val="18"/>
              </w:rPr>
            </w:pPr>
            <w:r w:rsidRPr="00EE11C8">
              <w:rPr>
                <w:szCs w:val="18"/>
              </w:rPr>
              <w:t>O’Connor B et al. Dose-ranging study of mometasone furoate dry powder inhaler in the treatment of moderate persistent asthma using fluticasone propionate as an active comparator</w:t>
            </w:r>
          </w:p>
        </w:tc>
        <w:tc>
          <w:tcPr>
            <w:tcW w:w="915" w:type="pct"/>
            <w:vAlign w:val="center"/>
          </w:tcPr>
          <w:p w:rsidR="00D05AB9" w:rsidRPr="00EE11C8" w:rsidRDefault="00D05AB9" w:rsidP="00D05AB9">
            <w:pPr>
              <w:pStyle w:val="TableText0"/>
              <w:keepNext w:val="0"/>
            </w:pPr>
            <w:r w:rsidRPr="00EE11C8">
              <w:rPr>
                <w:szCs w:val="18"/>
              </w:rPr>
              <w:t>Ann Allergy Asthma Immunol 2001; 86:397-404</w:t>
            </w:r>
          </w:p>
        </w:tc>
      </w:tr>
    </w:tbl>
    <w:p w:rsidR="00D05AB9" w:rsidRPr="00EE11C8" w:rsidRDefault="00D05AB9" w:rsidP="00D05AB9">
      <w:pPr>
        <w:pStyle w:val="TableFigureFooter"/>
        <w:rPr>
          <w:sz w:val="20"/>
        </w:rPr>
      </w:pPr>
      <w:r w:rsidRPr="00EE11C8">
        <w:t>Source: Table 2.7 and Table 2.8, pp43-44 of the submission.</w:t>
      </w:r>
    </w:p>
    <w:p w:rsidR="00D05AB9" w:rsidRPr="00EE11C8" w:rsidRDefault="00A24AA0" w:rsidP="002E4F02">
      <w:pPr>
        <w:pStyle w:val="3-BodyText"/>
      </w:pPr>
      <w:r w:rsidRPr="00EE11C8">
        <w:t>Table 3 summarises the key features of the included trials.</w:t>
      </w:r>
    </w:p>
    <w:p w:rsidR="00A24AA0" w:rsidRPr="00EE11C8" w:rsidRDefault="00A24AA0" w:rsidP="007A3413">
      <w:pPr>
        <w:keepNext/>
        <w:keepLines/>
        <w:widowControl w:val="0"/>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lastRenderedPageBreak/>
        <w:t>Table 3: Key features of the included evidence</w:t>
      </w:r>
    </w:p>
    <w:tbl>
      <w:tblPr>
        <w:tblStyle w:val="TableGrid"/>
        <w:tblW w:w="5000" w:type="pct"/>
        <w:tblCellMar>
          <w:left w:w="28" w:type="dxa"/>
          <w:right w:w="28" w:type="dxa"/>
        </w:tblCellMar>
        <w:tblLook w:val="04A0" w:firstRow="1" w:lastRow="0" w:firstColumn="1" w:lastColumn="0" w:noHBand="0" w:noVBand="1"/>
        <w:tblCaption w:val="Table 3"/>
      </w:tblPr>
      <w:tblGrid>
        <w:gridCol w:w="782"/>
        <w:gridCol w:w="475"/>
        <w:gridCol w:w="1814"/>
        <w:gridCol w:w="408"/>
        <w:gridCol w:w="2182"/>
        <w:gridCol w:w="1421"/>
        <w:gridCol w:w="1935"/>
      </w:tblGrid>
      <w:tr w:rsidR="00A24AA0" w:rsidRPr="00EE11C8" w:rsidTr="00DC3A3F">
        <w:trPr>
          <w:tblHeader/>
        </w:trPr>
        <w:tc>
          <w:tcPr>
            <w:tcW w:w="434" w:type="pct"/>
          </w:tcPr>
          <w:p w:rsidR="00A24AA0" w:rsidRPr="00EE11C8" w:rsidRDefault="00A24AA0" w:rsidP="007A3413">
            <w:pPr>
              <w:keepNext/>
              <w:keepLines/>
              <w:widowControl w:val="0"/>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Trial</w:t>
            </w:r>
          </w:p>
        </w:tc>
        <w:tc>
          <w:tcPr>
            <w:tcW w:w="263" w:type="pct"/>
            <w:vAlign w:val="center"/>
          </w:tcPr>
          <w:p w:rsidR="00A24AA0" w:rsidRPr="00EE11C8" w:rsidRDefault="00A24AA0" w:rsidP="007A3413">
            <w:pPr>
              <w:keepNext/>
              <w:keepLines/>
              <w:widowControl w:val="0"/>
              <w:jc w:val="center"/>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N</w:t>
            </w:r>
          </w:p>
        </w:tc>
        <w:tc>
          <w:tcPr>
            <w:tcW w:w="1006" w:type="pct"/>
            <w:vAlign w:val="center"/>
          </w:tcPr>
          <w:p w:rsidR="00A24AA0" w:rsidRPr="00EE11C8" w:rsidRDefault="00A24AA0" w:rsidP="007A3413">
            <w:pPr>
              <w:keepNext/>
              <w:keepLines/>
              <w:widowControl w:val="0"/>
              <w:jc w:val="center"/>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Design/duration</w:t>
            </w:r>
          </w:p>
        </w:tc>
        <w:tc>
          <w:tcPr>
            <w:tcW w:w="226" w:type="pct"/>
            <w:vAlign w:val="center"/>
          </w:tcPr>
          <w:p w:rsidR="00A24AA0" w:rsidRPr="00EE11C8" w:rsidRDefault="00A24AA0" w:rsidP="007A3413">
            <w:pPr>
              <w:keepNext/>
              <w:keepLines/>
              <w:widowControl w:val="0"/>
              <w:jc w:val="center"/>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Bias</w:t>
            </w:r>
          </w:p>
        </w:tc>
        <w:tc>
          <w:tcPr>
            <w:tcW w:w="1210" w:type="pct"/>
            <w:vAlign w:val="center"/>
          </w:tcPr>
          <w:p w:rsidR="00A24AA0" w:rsidRPr="00EE11C8" w:rsidRDefault="00A24AA0" w:rsidP="007A3413">
            <w:pPr>
              <w:keepNext/>
              <w:keepLines/>
              <w:widowControl w:val="0"/>
              <w:jc w:val="center"/>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Treatment arms</w:t>
            </w:r>
          </w:p>
        </w:tc>
        <w:tc>
          <w:tcPr>
            <w:tcW w:w="788" w:type="pct"/>
            <w:vAlign w:val="center"/>
          </w:tcPr>
          <w:p w:rsidR="00A24AA0" w:rsidRPr="00EE11C8" w:rsidRDefault="00A24AA0" w:rsidP="007A3413">
            <w:pPr>
              <w:keepNext/>
              <w:keepLines/>
              <w:widowControl w:val="0"/>
              <w:jc w:val="center"/>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Population</w:t>
            </w:r>
          </w:p>
        </w:tc>
        <w:tc>
          <w:tcPr>
            <w:tcW w:w="1073" w:type="pct"/>
            <w:vAlign w:val="center"/>
          </w:tcPr>
          <w:p w:rsidR="00A24AA0" w:rsidRPr="00EE11C8" w:rsidRDefault="00A24AA0" w:rsidP="007A3413">
            <w:pPr>
              <w:keepNext/>
              <w:keepLines/>
              <w:widowControl w:val="0"/>
              <w:jc w:val="center"/>
              <w:rPr>
                <w:rFonts w:ascii="Arial Narrow" w:hAnsi="Arial Narrow"/>
                <w:b/>
                <w:bCs/>
                <w:iCs/>
                <w:snapToGrid w:val="0"/>
                <w:sz w:val="20"/>
                <w:szCs w:val="20"/>
                <w:lang w:eastAsia="en-US"/>
              </w:rPr>
            </w:pPr>
            <w:r w:rsidRPr="00EE11C8">
              <w:rPr>
                <w:rFonts w:ascii="Arial Narrow" w:hAnsi="Arial Narrow"/>
                <w:b/>
                <w:bCs/>
                <w:iCs/>
                <w:snapToGrid w:val="0"/>
                <w:sz w:val="20"/>
                <w:szCs w:val="20"/>
                <w:lang w:eastAsia="en-US"/>
              </w:rPr>
              <w:t>Key efficacy outcomes</w:t>
            </w:r>
          </w:p>
        </w:tc>
      </w:tr>
      <w:tr w:rsidR="00A24AA0" w:rsidRPr="00EE11C8" w:rsidTr="001E778A">
        <w:tc>
          <w:tcPr>
            <w:tcW w:w="434"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Palladium</w:t>
            </w:r>
          </w:p>
        </w:tc>
        <w:tc>
          <w:tcPr>
            <w:tcW w:w="263" w:type="pct"/>
            <w:vAlign w:val="center"/>
          </w:tcPr>
          <w:p w:rsidR="00A24AA0" w:rsidRPr="00EE11C8" w:rsidRDefault="00A24AA0" w:rsidP="007A3413">
            <w:pPr>
              <w:keepNext/>
              <w:keepLines/>
              <w:widowControl w:val="0"/>
              <w:jc w:val="center"/>
              <w:rPr>
                <w:rFonts w:ascii="Arial Narrow" w:hAnsi="Arial Narrow"/>
                <w:iCs/>
                <w:snapToGrid w:val="0"/>
                <w:sz w:val="20"/>
                <w:szCs w:val="20"/>
                <w:lang w:eastAsia="en-US"/>
              </w:rPr>
            </w:pPr>
            <w:r w:rsidRPr="00EE11C8">
              <w:rPr>
                <w:rFonts w:ascii="Arial Narrow" w:hAnsi="Arial Narrow"/>
                <w:iCs/>
                <w:snapToGrid w:val="0"/>
                <w:sz w:val="20"/>
                <w:szCs w:val="20"/>
                <w:lang w:eastAsia="en-US"/>
              </w:rPr>
              <w:t>2216</w:t>
            </w:r>
          </w:p>
        </w:tc>
        <w:tc>
          <w:tcPr>
            <w:tcW w:w="100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MC, R, DB, 3D, parallel, 2w run-in + 52w tx (+30d follow-up)</w:t>
            </w:r>
          </w:p>
        </w:tc>
        <w:tc>
          <w:tcPr>
            <w:tcW w:w="22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Low</w:t>
            </w:r>
          </w:p>
        </w:tc>
        <w:tc>
          <w:tcPr>
            <w:tcW w:w="1210"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 xml:space="preserve">MF/IND DPI (160/150 and 320/150 </w:t>
            </w:r>
            <w:r w:rsidR="006D0833" w:rsidRPr="00EE11C8">
              <w:rPr>
                <w:rFonts w:ascii="Arial Narrow" w:hAnsi="Arial Narrow"/>
                <w:iCs/>
                <w:snapToGrid w:val="0"/>
                <w:sz w:val="20"/>
                <w:szCs w:val="20"/>
                <w:lang w:eastAsia="en-US"/>
              </w:rPr>
              <w:t xml:space="preserve">mcg </w:t>
            </w:r>
            <w:r w:rsidRPr="00EE11C8">
              <w:rPr>
                <w:rFonts w:ascii="Arial Narrow" w:hAnsi="Arial Narrow"/>
                <w:iCs/>
                <w:snapToGrid w:val="0"/>
                <w:sz w:val="20"/>
                <w:szCs w:val="20"/>
                <w:lang w:eastAsia="en-US"/>
              </w:rPr>
              <w:t>D)</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MF DPI (</w:t>
            </w:r>
            <w:r w:rsidR="006D0833" w:rsidRPr="00EE11C8">
              <w:rPr>
                <w:rFonts w:ascii="Arial Narrow" w:hAnsi="Arial Narrow"/>
                <w:iCs/>
                <w:snapToGrid w:val="0"/>
                <w:sz w:val="20"/>
                <w:szCs w:val="20"/>
                <w:lang w:eastAsia="en-US"/>
              </w:rPr>
              <w:t xml:space="preserve">400mcg </w:t>
            </w:r>
            <w:r w:rsidRPr="00EE11C8">
              <w:rPr>
                <w:rFonts w:ascii="Arial Narrow" w:hAnsi="Arial Narrow"/>
                <w:iCs/>
                <w:snapToGrid w:val="0"/>
                <w:sz w:val="20"/>
                <w:szCs w:val="20"/>
                <w:lang w:eastAsia="en-US"/>
              </w:rPr>
              <w:t xml:space="preserve">D and </w:t>
            </w:r>
            <w:r w:rsidR="006D0833" w:rsidRPr="00EE11C8">
              <w:rPr>
                <w:rFonts w:ascii="Arial Narrow" w:hAnsi="Arial Narrow"/>
                <w:iCs/>
                <w:snapToGrid w:val="0"/>
                <w:sz w:val="20"/>
                <w:szCs w:val="20"/>
                <w:lang w:eastAsia="en-US"/>
              </w:rPr>
              <w:t xml:space="preserve">400mcg </w:t>
            </w:r>
            <w:r w:rsidRPr="00EE11C8">
              <w:rPr>
                <w:rFonts w:ascii="Arial Narrow" w:hAnsi="Arial Narrow"/>
                <w:iCs/>
                <w:snapToGrid w:val="0"/>
                <w:sz w:val="20"/>
                <w:szCs w:val="20"/>
                <w:lang w:eastAsia="en-US"/>
              </w:rPr>
              <w:t>BD)</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 xml:space="preserve">FP/SAL DPI (500/50 </w:t>
            </w:r>
            <w:r w:rsidR="006D0833" w:rsidRPr="00EE11C8">
              <w:rPr>
                <w:rFonts w:ascii="Arial Narrow" w:hAnsi="Arial Narrow"/>
                <w:iCs/>
                <w:snapToGrid w:val="0"/>
                <w:sz w:val="20"/>
                <w:szCs w:val="20"/>
                <w:lang w:eastAsia="en-US"/>
              </w:rPr>
              <w:t xml:space="preserve">mcg </w:t>
            </w:r>
            <w:r w:rsidRPr="00EE11C8">
              <w:rPr>
                <w:rFonts w:ascii="Arial Narrow" w:hAnsi="Arial Narrow"/>
                <w:iCs/>
                <w:snapToGrid w:val="0"/>
                <w:sz w:val="20"/>
                <w:szCs w:val="20"/>
                <w:lang w:eastAsia="en-US"/>
              </w:rPr>
              <w:t>BD)</w:t>
            </w:r>
          </w:p>
        </w:tc>
        <w:tc>
          <w:tcPr>
            <w:tcW w:w="788"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Aged 12-75y, Asthma, FEV1 ≥50% and &lt;85%</w:t>
            </w:r>
          </w:p>
        </w:tc>
        <w:tc>
          <w:tcPr>
            <w:tcW w:w="1073"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1º: trough FEV1 (26w)</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2º: ACQ-7 (26w)</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Other: spirometry</w:t>
            </w:r>
            <w:r w:rsidRPr="00EE11C8">
              <w:rPr>
                <w:rFonts w:ascii="Arial Narrow" w:hAnsi="Arial Narrow"/>
                <w:iCs/>
                <w:snapToGrid w:val="0"/>
                <w:sz w:val="20"/>
                <w:szCs w:val="20"/>
                <w:vertAlign w:val="superscript"/>
                <w:lang w:eastAsia="en-US"/>
              </w:rPr>
              <w:t>#</w:t>
            </w:r>
            <w:r w:rsidRPr="00EE11C8">
              <w:rPr>
                <w:rFonts w:ascii="Arial Narrow" w:hAnsi="Arial Narrow"/>
                <w:iCs/>
                <w:snapToGrid w:val="0"/>
                <w:sz w:val="20"/>
                <w:szCs w:val="20"/>
                <w:lang w:eastAsia="en-US"/>
              </w:rPr>
              <w:t>, PRO</w:t>
            </w:r>
            <w:r w:rsidRPr="00EE11C8">
              <w:rPr>
                <w:rFonts w:ascii="Arial Narrow" w:hAnsi="Arial Narrow"/>
                <w:iCs/>
                <w:snapToGrid w:val="0"/>
                <w:sz w:val="20"/>
                <w:szCs w:val="20"/>
                <w:vertAlign w:val="superscript"/>
                <w:lang w:eastAsia="en-US"/>
              </w:rPr>
              <w:t>a</w:t>
            </w:r>
            <w:r w:rsidRPr="00EE11C8">
              <w:rPr>
                <w:rFonts w:ascii="Arial Narrow" w:hAnsi="Arial Narrow"/>
                <w:iCs/>
                <w:snapToGrid w:val="0"/>
                <w:sz w:val="20"/>
                <w:szCs w:val="20"/>
                <w:lang w:eastAsia="en-US"/>
              </w:rPr>
              <w:t>, salbutamol</w:t>
            </w:r>
            <w:r w:rsidR="006A16A7" w:rsidRPr="00EE11C8">
              <w:rPr>
                <w:rFonts w:ascii="Arial Narrow" w:hAnsi="Arial Narrow"/>
                <w:iCs/>
                <w:snapToGrid w:val="0"/>
                <w:sz w:val="20"/>
                <w:szCs w:val="20"/>
                <w:lang w:eastAsia="en-US"/>
              </w:rPr>
              <w:t xml:space="preserve"> use</w:t>
            </w:r>
            <w:r w:rsidRPr="00EE11C8">
              <w:rPr>
                <w:rFonts w:ascii="Arial Narrow" w:hAnsi="Arial Narrow"/>
                <w:iCs/>
                <w:snapToGrid w:val="0"/>
                <w:sz w:val="20"/>
                <w:szCs w:val="20"/>
                <w:lang w:eastAsia="en-US"/>
              </w:rPr>
              <w:t>, exacerbations</w:t>
            </w:r>
          </w:p>
        </w:tc>
      </w:tr>
      <w:tr w:rsidR="00A24AA0" w:rsidRPr="00EE11C8" w:rsidTr="001E778A">
        <w:tc>
          <w:tcPr>
            <w:tcW w:w="434"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Iridium</w:t>
            </w:r>
            <w:r w:rsidRPr="00EE11C8">
              <w:rPr>
                <w:rFonts w:ascii="Arial Narrow" w:hAnsi="Arial Narrow"/>
                <w:iCs/>
                <w:snapToGrid w:val="0"/>
                <w:sz w:val="20"/>
                <w:szCs w:val="20"/>
                <w:vertAlign w:val="superscript"/>
                <w:lang w:eastAsia="en-US"/>
              </w:rPr>
              <w:t>b</w:t>
            </w:r>
          </w:p>
        </w:tc>
        <w:tc>
          <w:tcPr>
            <w:tcW w:w="263" w:type="pct"/>
            <w:vAlign w:val="center"/>
          </w:tcPr>
          <w:p w:rsidR="00A24AA0" w:rsidRPr="00EE11C8" w:rsidRDefault="00A24AA0" w:rsidP="007A3413">
            <w:pPr>
              <w:keepNext/>
              <w:keepLines/>
              <w:widowControl w:val="0"/>
              <w:jc w:val="center"/>
              <w:rPr>
                <w:rFonts w:ascii="Arial Narrow" w:hAnsi="Arial Narrow"/>
                <w:iCs/>
                <w:snapToGrid w:val="0"/>
                <w:sz w:val="20"/>
                <w:szCs w:val="20"/>
                <w:lang w:eastAsia="en-US"/>
              </w:rPr>
            </w:pPr>
            <w:r w:rsidRPr="00EE11C8">
              <w:rPr>
                <w:rFonts w:ascii="Arial Narrow" w:hAnsi="Arial Narrow"/>
                <w:iCs/>
                <w:snapToGrid w:val="0"/>
                <w:sz w:val="20"/>
                <w:szCs w:val="20"/>
                <w:lang w:eastAsia="en-US"/>
              </w:rPr>
              <w:t>1853</w:t>
            </w:r>
            <w:r w:rsidRPr="00EE11C8">
              <w:rPr>
                <w:rFonts w:ascii="Arial Narrow" w:hAnsi="Arial Narrow"/>
                <w:iCs/>
                <w:snapToGrid w:val="0"/>
                <w:sz w:val="20"/>
                <w:szCs w:val="20"/>
                <w:vertAlign w:val="superscript"/>
                <w:lang w:eastAsia="en-US"/>
              </w:rPr>
              <w:t>c</w:t>
            </w:r>
            <w:r w:rsidRPr="00EE11C8">
              <w:rPr>
                <w:rFonts w:ascii="Arial Narrow" w:hAnsi="Arial Narrow"/>
                <w:iCs/>
                <w:snapToGrid w:val="0"/>
                <w:sz w:val="20"/>
                <w:szCs w:val="20"/>
                <w:lang w:eastAsia="en-US"/>
              </w:rPr>
              <w:t xml:space="preserve"> </w:t>
            </w:r>
          </w:p>
          <w:p w:rsidR="00A24AA0" w:rsidRPr="00EE11C8" w:rsidRDefault="00A24AA0" w:rsidP="007A3413">
            <w:pPr>
              <w:keepNext/>
              <w:keepLines/>
              <w:widowControl w:val="0"/>
              <w:jc w:val="center"/>
              <w:rPr>
                <w:rFonts w:ascii="Arial Narrow" w:hAnsi="Arial Narrow"/>
                <w:iCs/>
                <w:snapToGrid w:val="0"/>
                <w:sz w:val="20"/>
                <w:szCs w:val="20"/>
                <w:lang w:eastAsia="en-US"/>
              </w:rPr>
            </w:pPr>
            <w:r w:rsidRPr="00EE11C8">
              <w:rPr>
                <w:rFonts w:ascii="Arial Narrow" w:hAnsi="Arial Narrow"/>
                <w:iCs/>
                <w:snapToGrid w:val="0"/>
                <w:sz w:val="20"/>
                <w:szCs w:val="20"/>
                <w:lang w:eastAsia="en-US"/>
              </w:rPr>
              <w:t>3092</w:t>
            </w:r>
          </w:p>
        </w:tc>
        <w:tc>
          <w:tcPr>
            <w:tcW w:w="100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MC, R, DB, 2D parallel, 2w run-in + 52w tx (+30d follow-up)</w:t>
            </w:r>
          </w:p>
        </w:tc>
        <w:tc>
          <w:tcPr>
            <w:tcW w:w="22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Low</w:t>
            </w:r>
          </w:p>
        </w:tc>
        <w:tc>
          <w:tcPr>
            <w:tcW w:w="1210"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 xml:space="preserve">MF/IND DPI (160/150 and 320/150 </w:t>
            </w:r>
            <w:r w:rsidR="006D0833" w:rsidRPr="00EE11C8">
              <w:rPr>
                <w:rFonts w:ascii="Arial Narrow" w:hAnsi="Arial Narrow"/>
                <w:iCs/>
                <w:snapToGrid w:val="0"/>
                <w:sz w:val="20"/>
                <w:szCs w:val="20"/>
                <w:lang w:eastAsia="en-US"/>
              </w:rPr>
              <w:t xml:space="preserve">mcg </w:t>
            </w:r>
            <w:r w:rsidRPr="00EE11C8">
              <w:rPr>
                <w:rFonts w:ascii="Arial Narrow" w:hAnsi="Arial Narrow"/>
                <w:iCs/>
                <w:snapToGrid w:val="0"/>
                <w:sz w:val="20"/>
                <w:szCs w:val="20"/>
                <w:lang w:eastAsia="en-US"/>
              </w:rPr>
              <w:t>D)</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 xml:space="preserve">FP/SAL (500/50 </w:t>
            </w:r>
            <w:r w:rsidR="006D0833" w:rsidRPr="00EE11C8">
              <w:rPr>
                <w:rFonts w:ascii="Arial Narrow" w:hAnsi="Arial Narrow"/>
                <w:iCs/>
                <w:snapToGrid w:val="0"/>
                <w:sz w:val="20"/>
                <w:szCs w:val="20"/>
                <w:lang w:eastAsia="en-US"/>
              </w:rPr>
              <w:t xml:space="preserve">mcg </w:t>
            </w:r>
            <w:r w:rsidRPr="00EE11C8">
              <w:rPr>
                <w:rFonts w:ascii="Arial Narrow" w:hAnsi="Arial Narrow"/>
                <w:iCs/>
                <w:snapToGrid w:val="0"/>
                <w:sz w:val="20"/>
                <w:szCs w:val="20"/>
                <w:lang w:eastAsia="en-US"/>
              </w:rPr>
              <w:t>BD)</w:t>
            </w:r>
          </w:p>
        </w:tc>
        <w:tc>
          <w:tcPr>
            <w:tcW w:w="788"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Aged 18-75y, Asthma, FEV1 &lt;80%</w:t>
            </w:r>
          </w:p>
        </w:tc>
        <w:tc>
          <w:tcPr>
            <w:tcW w:w="1073"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1º: trough FEV1 (26w)</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2º: ACQ-7 (26w)</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Other: spirometry</w:t>
            </w:r>
            <w:r w:rsidRPr="00EE11C8">
              <w:rPr>
                <w:rFonts w:ascii="Arial Narrow" w:hAnsi="Arial Narrow"/>
                <w:iCs/>
                <w:snapToGrid w:val="0"/>
                <w:sz w:val="20"/>
                <w:szCs w:val="20"/>
                <w:vertAlign w:val="superscript"/>
                <w:lang w:eastAsia="en-US"/>
              </w:rPr>
              <w:t>#</w:t>
            </w:r>
            <w:r w:rsidRPr="00EE11C8">
              <w:rPr>
                <w:rFonts w:ascii="Arial Narrow" w:hAnsi="Arial Narrow"/>
                <w:iCs/>
                <w:snapToGrid w:val="0"/>
                <w:sz w:val="20"/>
                <w:szCs w:val="20"/>
                <w:lang w:eastAsia="en-US"/>
              </w:rPr>
              <w:t>, PRO</w:t>
            </w:r>
            <w:r w:rsidRPr="00EE11C8">
              <w:rPr>
                <w:rFonts w:ascii="Arial Narrow" w:hAnsi="Arial Narrow"/>
                <w:iCs/>
                <w:snapToGrid w:val="0"/>
                <w:sz w:val="20"/>
                <w:szCs w:val="20"/>
                <w:vertAlign w:val="superscript"/>
                <w:lang w:eastAsia="en-US"/>
              </w:rPr>
              <w:t>a</w:t>
            </w:r>
            <w:r w:rsidRPr="00EE11C8">
              <w:rPr>
                <w:rFonts w:ascii="Arial Narrow" w:hAnsi="Arial Narrow"/>
                <w:iCs/>
                <w:snapToGrid w:val="0"/>
                <w:sz w:val="20"/>
                <w:szCs w:val="20"/>
                <w:lang w:eastAsia="en-US"/>
              </w:rPr>
              <w:t>, salbutamol</w:t>
            </w:r>
            <w:r w:rsidR="006A16A7" w:rsidRPr="00EE11C8">
              <w:rPr>
                <w:rFonts w:ascii="Arial Narrow" w:hAnsi="Arial Narrow"/>
                <w:iCs/>
                <w:snapToGrid w:val="0"/>
                <w:sz w:val="20"/>
                <w:szCs w:val="20"/>
                <w:lang w:eastAsia="en-US"/>
              </w:rPr>
              <w:t xml:space="preserve"> use</w:t>
            </w:r>
            <w:r w:rsidRPr="00EE11C8">
              <w:rPr>
                <w:rFonts w:ascii="Arial Narrow" w:hAnsi="Arial Narrow"/>
                <w:iCs/>
                <w:snapToGrid w:val="0"/>
                <w:sz w:val="20"/>
                <w:szCs w:val="20"/>
                <w:lang w:eastAsia="en-US"/>
              </w:rPr>
              <w:t>, exacerbations</w:t>
            </w:r>
          </w:p>
        </w:tc>
      </w:tr>
      <w:tr w:rsidR="00A24AA0" w:rsidRPr="00EE11C8" w:rsidTr="001E778A">
        <w:tc>
          <w:tcPr>
            <w:tcW w:w="434"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Quartz</w:t>
            </w:r>
          </w:p>
        </w:tc>
        <w:tc>
          <w:tcPr>
            <w:tcW w:w="263" w:type="pct"/>
            <w:vAlign w:val="center"/>
          </w:tcPr>
          <w:p w:rsidR="00A24AA0" w:rsidRPr="00EE11C8" w:rsidRDefault="00A24AA0" w:rsidP="007A3413">
            <w:pPr>
              <w:keepNext/>
              <w:keepLines/>
              <w:widowControl w:val="0"/>
              <w:jc w:val="center"/>
              <w:rPr>
                <w:rFonts w:ascii="Arial Narrow" w:hAnsi="Arial Narrow"/>
                <w:iCs/>
                <w:snapToGrid w:val="0"/>
                <w:sz w:val="20"/>
                <w:szCs w:val="20"/>
                <w:lang w:eastAsia="en-US"/>
              </w:rPr>
            </w:pPr>
            <w:r w:rsidRPr="00EE11C8">
              <w:rPr>
                <w:rFonts w:ascii="Arial Narrow" w:hAnsi="Arial Narrow"/>
                <w:iCs/>
                <w:snapToGrid w:val="0"/>
                <w:sz w:val="20"/>
                <w:szCs w:val="20"/>
                <w:lang w:eastAsia="en-US"/>
              </w:rPr>
              <w:t>802</w:t>
            </w:r>
          </w:p>
        </w:tc>
        <w:tc>
          <w:tcPr>
            <w:tcW w:w="100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MC, R, DB, 2D, parallel, 3w run-in + 12w tx (+30d follow-up)</w:t>
            </w:r>
          </w:p>
        </w:tc>
        <w:tc>
          <w:tcPr>
            <w:tcW w:w="22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Low</w:t>
            </w:r>
          </w:p>
        </w:tc>
        <w:tc>
          <w:tcPr>
            <w:tcW w:w="1210"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 xml:space="preserve">MF/IND DPI (80/150 </w:t>
            </w:r>
            <w:r w:rsidR="006D0833" w:rsidRPr="00EE11C8">
              <w:rPr>
                <w:rFonts w:ascii="Arial Narrow" w:hAnsi="Arial Narrow"/>
                <w:iCs/>
                <w:snapToGrid w:val="0"/>
                <w:sz w:val="20"/>
                <w:szCs w:val="20"/>
                <w:lang w:eastAsia="en-US"/>
              </w:rPr>
              <w:t xml:space="preserve">mcg </w:t>
            </w:r>
            <w:r w:rsidRPr="00EE11C8">
              <w:rPr>
                <w:rFonts w:ascii="Arial Narrow" w:hAnsi="Arial Narrow"/>
                <w:iCs/>
                <w:snapToGrid w:val="0"/>
                <w:sz w:val="20"/>
                <w:szCs w:val="20"/>
                <w:lang w:eastAsia="en-US"/>
              </w:rPr>
              <w:t>D)</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MF DPI (</w:t>
            </w:r>
            <w:r w:rsidR="006D0833" w:rsidRPr="00EE11C8">
              <w:rPr>
                <w:rFonts w:ascii="Arial Narrow" w:hAnsi="Arial Narrow"/>
                <w:iCs/>
                <w:snapToGrid w:val="0"/>
                <w:sz w:val="20"/>
                <w:szCs w:val="20"/>
                <w:lang w:eastAsia="en-US"/>
              </w:rPr>
              <w:t xml:space="preserve">200mcg </w:t>
            </w:r>
            <w:r w:rsidRPr="00EE11C8">
              <w:rPr>
                <w:rFonts w:ascii="Arial Narrow" w:hAnsi="Arial Narrow"/>
                <w:iCs/>
                <w:snapToGrid w:val="0"/>
                <w:sz w:val="20"/>
                <w:szCs w:val="20"/>
                <w:lang w:eastAsia="en-US"/>
              </w:rPr>
              <w:t>D)</w:t>
            </w:r>
          </w:p>
        </w:tc>
        <w:tc>
          <w:tcPr>
            <w:tcW w:w="788"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Aged 12-75y, Asthma, FEV1 ≥60% and &lt;90%</w:t>
            </w:r>
          </w:p>
        </w:tc>
        <w:tc>
          <w:tcPr>
            <w:tcW w:w="1073"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1º: trough FEV1 (12w)</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2º: ACQ-7 (12w)</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Other: spirometry</w:t>
            </w:r>
            <w:r w:rsidRPr="00EE11C8">
              <w:rPr>
                <w:rFonts w:ascii="Arial Narrow" w:hAnsi="Arial Narrow"/>
                <w:iCs/>
                <w:snapToGrid w:val="0"/>
                <w:sz w:val="20"/>
                <w:szCs w:val="20"/>
                <w:vertAlign w:val="superscript"/>
                <w:lang w:eastAsia="en-US"/>
              </w:rPr>
              <w:t>#</w:t>
            </w:r>
            <w:r w:rsidRPr="00EE11C8">
              <w:rPr>
                <w:rFonts w:ascii="Arial Narrow" w:hAnsi="Arial Narrow"/>
                <w:iCs/>
                <w:snapToGrid w:val="0"/>
                <w:sz w:val="20"/>
                <w:szCs w:val="20"/>
                <w:lang w:eastAsia="en-US"/>
              </w:rPr>
              <w:t>, AQLQ, asthma symptoms, salbutamol</w:t>
            </w:r>
            <w:r w:rsidR="006A16A7" w:rsidRPr="00EE11C8">
              <w:rPr>
                <w:rFonts w:ascii="Arial Narrow" w:hAnsi="Arial Narrow"/>
                <w:iCs/>
                <w:snapToGrid w:val="0"/>
                <w:sz w:val="20"/>
                <w:szCs w:val="20"/>
                <w:lang w:eastAsia="en-US"/>
              </w:rPr>
              <w:t xml:space="preserve"> use</w:t>
            </w:r>
            <w:r w:rsidRPr="00EE11C8">
              <w:rPr>
                <w:rFonts w:ascii="Arial Narrow" w:hAnsi="Arial Narrow"/>
                <w:iCs/>
                <w:snapToGrid w:val="0"/>
                <w:sz w:val="20"/>
                <w:szCs w:val="20"/>
                <w:lang w:eastAsia="en-US"/>
              </w:rPr>
              <w:t>, exacerbations</w:t>
            </w:r>
          </w:p>
        </w:tc>
      </w:tr>
      <w:tr w:rsidR="00A24AA0" w:rsidRPr="00EE11C8" w:rsidTr="001E778A">
        <w:tc>
          <w:tcPr>
            <w:tcW w:w="434"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O’Connor et al 2001</w:t>
            </w:r>
          </w:p>
        </w:tc>
        <w:tc>
          <w:tcPr>
            <w:tcW w:w="263" w:type="pct"/>
            <w:vAlign w:val="center"/>
          </w:tcPr>
          <w:p w:rsidR="00A24AA0" w:rsidRPr="00EE11C8" w:rsidRDefault="00A24AA0" w:rsidP="007A3413">
            <w:pPr>
              <w:keepNext/>
              <w:keepLines/>
              <w:widowControl w:val="0"/>
              <w:jc w:val="center"/>
              <w:rPr>
                <w:rFonts w:ascii="Arial Narrow" w:hAnsi="Arial Narrow"/>
                <w:iCs/>
                <w:snapToGrid w:val="0"/>
                <w:sz w:val="20"/>
                <w:szCs w:val="20"/>
                <w:lang w:eastAsia="en-US"/>
              </w:rPr>
            </w:pPr>
            <w:r w:rsidRPr="00EE11C8">
              <w:rPr>
                <w:rFonts w:ascii="Arial Narrow" w:hAnsi="Arial Narrow"/>
                <w:iCs/>
                <w:snapToGrid w:val="0"/>
                <w:sz w:val="20"/>
                <w:szCs w:val="20"/>
                <w:lang w:eastAsia="en-US"/>
              </w:rPr>
              <w:t>732</w:t>
            </w:r>
          </w:p>
        </w:tc>
        <w:tc>
          <w:tcPr>
            <w:tcW w:w="100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MC, R</w:t>
            </w:r>
            <w:r w:rsidRPr="00EE11C8">
              <w:rPr>
                <w:rFonts w:ascii="Arial Narrow" w:hAnsi="Arial Narrow"/>
                <w:iCs/>
                <w:snapToGrid w:val="0"/>
                <w:sz w:val="20"/>
                <w:szCs w:val="20"/>
                <w:vertAlign w:val="superscript"/>
                <w:lang w:eastAsia="en-US"/>
              </w:rPr>
              <w:t>d</w:t>
            </w:r>
            <w:r w:rsidRPr="00EE11C8">
              <w:rPr>
                <w:rFonts w:ascii="Arial Narrow" w:hAnsi="Arial Narrow"/>
                <w:iCs/>
                <w:snapToGrid w:val="0"/>
                <w:sz w:val="20"/>
                <w:szCs w:val="20"/>
                <w:lang w:eastAsia="en-US"/>
              </w:rPr>
              <w:t>, DSB, 1-2w run-in + 12w tx</w:t>
            </w:r>
          </w:p>
        </w:tc>
        <w:tc>
          <w:tcPr>
            <w:tcW w:w="226"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Low</w:t>
            </w:r>
          </w:p>
        </w:tc>
        <w:tc>
          <w:tcPr>
            <w:tcW w:w="1210"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 xml:space="preserve">MF DPI (100, 200 and 400 </w:t>
            </w:r>
            <w:r w:rsidR="006D0833" w:rsidRPr="00EE11C8">
              <w:rPr>
                <w:rFonts w:ascii="Arial Narrow" w:hAnsi="Arial Narrow"/>
                <w:iCs/>
                <w:snapToGrid w:val="0"/>
                <w:sz w:val="20"/>
                <w:szCs w:val="20"/>
                <w:lang w:eastAsia="en-US"/>
              </w:rPr>
              <w:t xml:space="preserve">mcg </w:t>
            </w:r>
            <w:r w:rsidRPr="00EE11C8">
              <w:rPr>
                <w:rFonts w:ascii="Arial Narrow" w:hAnsi="Arial Narrow"/>
                <w:iCs/>
                <w:snapToGrid w:val="0"/>
                <w:sz w:val="20"/>
                <w:szCs w:val="20"/>
                <w:lang w:eastAsia="en-US"/>
              </w:rPr>
              <w:t>BD)</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FP DPI (</w:t>
            </w:r>
            <w:r w:rsidR="006D0833" w:rsidRPr="00EE11C8">
              <w:rPr>
                <w:rFonts w:ascii="Arial Narrow" w:hAnsi="Arial Narrow"/>
                <w:iCs/>
                <w:snapToGrid w:val="0"/>
                <w:sz w:val="20"/>
                <w:szCs w:val="20"/>
                <w:lang w:eastAsia="en-US"/>
              </w:rPr>
              <w:t xml:space="preserve">250mcg </w:t>
            </w:r>
            <w:r w:rsidRPr="00EE11C8">
              <w:rPr>
                <w:rFonts w:ascii="Arial Narrow" w:hAnsi="Arial Narrow"/>
                <w:iCs/>
                <w:snapToGrid w:val="0"/>
                <w:sz w:val="20"/>
                <w:szCs w:val="20"/>
                <w:lang w:eastAsia="en-US"/>
              </w:rPr>
              <w:t>BD)</w:t>
            </w:r>
          </w:p>
        </w:tc>
        <w:tc>
          <w:tcPr>
            <w:tcW w:w="788"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Aged ≥12y, Moderate persistent asthma, FEV1 ≥60% and &lt;90%</w:t>
            </w:r>
          </w:p>
        </w:tc>
        <w:tc>
          <w:tcPr>
            <w:tcW w:w="1073" w:type="pct"/>
            <w:vAlign w:val="center"/>
          </w:tcPr>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1º: FEV1 (last treatment visit)^</w:t>
            </w:r>
          </w:p>
          <w:p w:rsidR="00A24AA0" w:rsidRPr="00EE11C8" w:rsidRDefault="00A24AA0" w:rsidP="007A3413">
            <w:pPr>
              <w:keepNext/>
              <w:keepLines/>
              <w:widowControl w:val="0"/>
              <w:jc w:val="left"/>
              <w:rPr>
                <w:rFonts w:ascii="Arial Narrow" w:hAnsi="Arial Narrow"/>
                <w:iCs/>
                <w:snapToGrid w:val="0"/>
                <w:sz w:val="20"/>
                <w:szCs w:val="20"/>
                <w:lang w:eastAsia="en-US"/>
              </w:rPr>
            </w:pPr>
            <w:r w:rsidRPr="00EE11C8">
              <w:rPr>
                <w:rFonts w:ascii="Arial Narrow" w:hAnsi="Arial Narrow"/>
                <w:iCs/>
                <w:snapToGrid w:val="0"/>
                <w:sz w:val="20"/>
                <w:szCs w:val="20"/>
                <w:lang w:eastAsia="en-US"/>
              </w:rPr>
              <w:t>2º: PEF, FEF</w:t>
            </w:r>
            <w:r w:rsidRPr="00EE11C8">
              <w:rPr>
                <w:rFonts w:ascii="Arial Narrow" w:hAnsi="Arial Narrow"/>
                <w:iCs/>
                <w:snapToGrid w:val="0"/>
                <w:sz w:val="20"/>
                <w:szCs w:val="20"/>
                <w:vertAlign w:val="subscript"/>
                <w:lang w:eastAsia="en-US"/>
              </w:rPr>
              <w:t>25-75%</w:t>
            </w:r>
            <w:r w:rsidRPr="00EE11C8">
              <w:rPr>
                <w:rFonts w:ascii="Arial Narrow" w:hAnsi="Arial Narrow"/>
                <w:iCs/>
                <w:snapToGrid w:val="0"/>
                <w:sz w:val="20"/>
                <w:szCs w:val="20"/>
                <w:lang w:eastAsia="en-US"/>
              </w:rPr>
              <w:t xml:space="preserve">, FVC, asthma symptoms, </w:t>
            </w:r>
            <w:r w:rsidR="006A16A7" w:rsidRPr="00EE11C8">
              <w:rPr>
                <w:rFonts w:ascii="Arial Narrow" w:hAnsi="Arial Narrow"/>
                <w:iCs/>
                <w:snapToGrid w:val="0"/>
                <w:sz w:val="20"/>
                <w:szCs w:val="20"/>
                <w:lang w:eastAsia="en-US"/>
              </w:rPr>
              <w:t>s</w:t>
            </w:r>
            <w:r w:rsidRPr="00EE11C8">
              <w:rPr>
                <w:rFonts w:ascii="Arial Narrow" w:hAnsi="Arial Narrow"/>
                <w:iCs/>
                <w:snapToGrid w:val="0"/>
                <w:sz w:val="20"/>
                <w:szCs w:val="20"/>
                <w:lang w:eastAsia="en-US"/>
              </w:rPr>
              <w:t>a</w:t>
            </w:r>
            <w:r w:rsidR="006A16A7" w:rsidRPr="00EE11C8">
              <w:rPr>
                <w:rFonts w:ascii="Arial Narrow" w:hAnsi="Arial Narrow"/>
                <w:iCs/>
                <w:snapToGrid w:val="0"/>
                <w:sz w:val="20"/>
                <w:szCs w:val="20"/>
                <w:lang w:eastAsia="en-US"/>
              </w:rPr>
              <w:t>lbutamol use</w:t>
            </w:r>
            <w:r w:rsidRPr="00EE11C8">
              <w:rPr>
                <w:rFonts w:ascii="Arial Narrow" w:hAnsi="Arial Narrow"/>
                <w:iCs/>
                <w:snapToGrid w:val="0"/>
                <w:sz w:val="20"/>
                <w:szCs w:val="20"/>
                <w:lang w:eastAsia="en-US"/>
              </w:rPr>
              <w:t>, nocturnal waking</w:t>
            </w:r>
          </w:p>
        </w:tc>
      </w:tr>
    </w:tbl>
    <w:p w:rsidR="00A24AA0" w:rsidRPr="00EE11C8" w:rsidRDefault="00A24AA0" w:rsidP="00A24AA0">
      <w:pPr>
        <w:widowControl w:val="0"/>
        <w:tabs>
          <w:tab w:val="left" w:pos="142"/>
        </w:tabs>
        <w:rPr>
          <w:rFonts w:ascii="Arial Narrow" w:hAnsi="Arial Narrow"/>
          <w:iCs/>
          <w:snapToGrid w:val="0"/>
          <w:sz w:val="18"/>
          <w:szCs w:val="18"/>
          <w:lang w:eastAsia="en-US"/>
        </w:rPr>
      </w:pPr>
      <w:r w:rsidRPr="00EE11C8">
        <w:rPr>
          <w:rFonts w:ascii="Arial Narrow" w:hAnsi="Arial Narrow"/>
          <w:iCs/>
          <w:snapToGrid w:val="0"/>
          <w:sz w:val="18"/>
          <w:szCs w:val="18"/>
          <w:lang w:eastAsia="en-US"/>
        </w:rPr>
        <w:t xml:space="preserve">Abbreviations: ACQ=asthma control questionnaire; AQLQ=asthma quality of life questionnaire; DB=double blind; DSB=dose blind; FEV25-75%=forced expiratory flow between 25% and 75%; FP=fluticasone propionate; FVC=forced vital capacity; </w:t>
      </w:r>
      <w:r w:rsidR="006D0833" w:rsidRPr="00EE11C8">
        <w:rPr>
          <w:rFonts w:ascii="Arial Narrow" w:hAnsi="Arial Narrow"/>
          <w:iCs/>
          <w:snapToGrid w:val="0"/>
          <w:sz w:val="18"/>
          <w:szCs w:val="18"/>
          <w:lang w:eastAsia="en-US"/>
        </w:rPr>
        <w:t>GLY</w:t>
      </w:r>
      <w:r w:rsidRPr="00EE11C8">
        <w:rPr>
          <w:rFonts w:ascii="Arial Narrow" w:hAnsi="Arial Narrow"/>
          <w:iCs/>
          <w:snapToGrid w:val="0"/>
          <w:sz w:val="18"/>
          <w:szCs w:val="18"/>
          <w:lang w:eastAsia="en-US"/>
        </w:rPr>
        <w:t xml:space="preserve">=glycopyrronium bromide; IND=indacaterol; MC=multicentre; MF=mometasone furoate; OL=open label; PEF=peak expiratory flow rate; PRO=patient reported outcome; R=randomised; SAL=salmeterol; 2D=double dummy; 3D=triple dummy; BD=twice daily; D=once daily; d=day; tx=treatment; w=week; y=year; </w:t>
      </w:r>
    </w:p>
    <w:p w:rsidR="00A24AA0" w:rsidRPr="00EE11C8" w:rsidRDefault="00A24AA0" w:rsidP="00A24AA0">
      <w:pPr>
        <w:widowControl w:val="0"/>
        <w:tabs>
          <w:tab w:val="left" w:pos="142"/>
        </w:tabs>
        <w:rPr>
          <w:rFonts w:ascii="Arial Narrow" w:hAnsi="Arial Narrow"/>
          <w:iCs/>
          <w:snapToGrid w:val="0"/>
          <w:sz w:val="18"/>
          <w:szCs w:val="18"/>
          <w:lang w:eastAsia="en-US"/>
        </w:rPr>
      </w:pPr>
      <w:r w:rsidRPr="00EE11C8">
        <w:rPr>
          <w:rFonts w:ascii="Arial Narrow" w:hAnsi="Arial Narrow"/>
          <w:iCs/>
          <w:snapToGrid w:val="0"/>
          <w:sz w:val="18"/>
          <w:szCs w:val="18"/>
          <w:lang w:eastAsia="en-US"/>
        </w:rPr>
        <w:t>^</w:t>
      </w:r>
      <w:r w:rsidRPr="00EE11C8">
        <w:rPr>
          <w:rFonts w:ascii="Arial Narrow" w:hAnsi="Arial Narrow"/>
          <w:iCs/>
          <w:snapToGrid w:val="0"/>
          <w:sz w:val="18"/>
          <w:szCs w:val="18"/>
          <w:lang w:eastAsia="en-US"/>
        </w:rPr>
        <w:tab/>
        <w:t>Change from baseline to endpoint (last evaluable treatment visit)</w:t>
      </w:r>
      <w:r w:rsidR="00EE11C8">
        <w:rPr>
          <w:rFonts w:ascii="Arial Narrow" w:hAnsi="Arial Narrow"/>
          <w:iCs/>
          <w:snapToGrid w:val="0"/>
          <w:sz w:val="18"/>
          <w:szCs w:val="18"/>
          <w:lang w:eastAsia="en-US"/>
        </w:rPr>
        <w:t xml:space="preserve">. </w:t>
      </w:r>
      <w:r w:rsidRPr="00EE11C8">
        <w:rPr>
          <w:rFonts w:ascii="Arial Narrow" w:hAnsi="Arial Narrow"/>
          <w:iCs/>
          <w:snapToGrid w:val="0"/>
          <w:sz w:val="18"/>
          <w:szCs w:val="18"/>
          <w:lang w:eastAsia="en-US"/>
        </w:rPr>
        <w:t>Treatment visits occurred after 1, 2, 4, 8, and 12 weeks of treatment.</w:t>
      </w:r>
    </w:p>
    <w:p w:rsidR="00A24AA0" w:rsidRPr="00EE11C8" w:rsidRDefault="00A24AA0" w:rsidP="00A24AA0">
      <w:pPr>
        <w:widowControl w:val="0"/>
        <w:tabs>
          <w:tab w:val="left" w:pos="142"/>
        </w:tabs>
        <w:rPr>
          <w:rFonts w:ascii="Arial Narrow" w:hAnsi="Arial Narrow"/>
          <w:iCs/>
          <w:snapToGrid w:val="0"/>
          <w:sz w:val="18"/>
          <w:szCs w:val="18"/>
          <w:lang w:eastAsia="en-US"/>
        </w:rPr>
      </w:pPr>
      <w:r w:rsidRPr="00EE11C8">
        <w:rPr>
          <w:rFonts w:ascii="Arial Narrow" w:hAnsi="Arial Narrow"/>
          <w:iCs/>
          <w:snapToGrid w:val="0"/>
          <w:sz w:val="18"/>
          <w:szCs w:val="18"/>
          <w:lang w:eastAsia="en-US"/>
        </w:rPr>
        <w:t>#</w:t>
      </w:r>
      <w:r w:rsidRPr="00EE11C8">
        <w:rPr>
          <w:rFonts w:ascii="Arial Narrow" w:hAnsi="Arial Narrow"/>
          <w:iCs/>
          <w:snapToGrid w:val="0"/>
          <w:sz w:val="18"/>
          <w:szCs w:val="18"/>
          <w:lang w:eastAsia="en-US"/>
        </w:rPr>
        <w:tab/>
        <w:t>spirometry assessment included: FEV1, PEF, FVC, FEF</w:t>
      </w:r>
      <w:r w:rsidRPr="00EE11C8">
        <w:rPr>
          <w:rFonts w:ascii="Arial Narrow" w:hAnsi="Arial Narrow"/>
          <w:iCs/>
          <w:snapToGrid w:val="0"/>
          <w:sz w:val="18"/>
          <w:szCs w:val="18"/>
          <w:vertAlign w:val="subscript"/>
          <w:lang w:eastAsia="en-US"/>
        </w:rPr>
        <w:t>25-75%</w:t>
      </w:r>
      <w:r w:rsidRPr="00EE11C8">
        <w:rPr>
          <w:rFonts w:ascii="Arial Narrow" w:hAnsi="Arial Narrow"/>
          <w:iCs/>
          <w:snapToGrid w:val="0"/>
          <w:sz w:val="18"/>
          <w:szCs w:val="18"/>
          <w:lang w:eastAsia="en-US"/>
        </w:rPr>
        <w:t>, trough FEV1 (other visits)</w:t>
      </w:r>
    </w:p>
    <w:p w:rsidR="00A24AA0" w:rsidRPr="00EE11C8" w:rsidRDefault="00A24AA0" w:rsidP="00A24AA0">
      <w:pPr>
        <w:widowControl w:val="0"/>
        <w:tabs>
          <w:tab w:val="left" w:pos="142"/>
        </w:tabs>
        <w:ind w:left="135" w:hanging="135"/>
        <w:rPr>
          <w:rFonts w:ascii="Arial Narrow" w:hAnsi="Arial Narrow"/>
          <w:iCs/>
          <w:snapToGrid w:val="0"/>
          <w:sz w:val="18"/>
          <w:szCs w:val="18"/>
          <w:lang w:eastAsia="en-US"/>
        </w:rPr>
      </w:pPr>
      <w:r w:rsidRPr="00EE11C8">
        <w:rPr>
          <w:rFonts w:ascii="Arial Narrow" w:hAnsi="Arial Narrow"/>
          <w:iCs/>
          <w:snapToGrid w:val="0"/>
          <w:sz w:val="18"/>
          <w:szCs w:val="18"/>
          <w:vertAlign w:val="superscript"/>
          <w:lang w:eastAsia="en-US"/>
        </w:rPr>
        <w:t>a</w:t>
      </w:r>
      <w:r w:rsidRPr="00EE11C8">
        <w:rPr>
          <w:rFonts w:ascii="Arial Narrow" w:hAnsi="Arial Narrow"/>
          <w:iCs/>
          <w:snapToGrid w:val="0"/>
          <w:sz w:val="18"/>
          <w:szCs w:val="18"/>
          <w:vertAlign w:val="superscript"/>
          <w:lang w:eastAsia="en-US"/>
        </w:rPr>
        <w:tab/>
      </w:r>
      <w:r w:rsidRPr="00EE11C8">
        <w:rPr>
          <w:rFonts w:ascii="Arial Narrow" w:hAnsi="Arial Narrow"/>
          <w:iCs/>
          <w:snapToGrid w:val="0"/>
          <w:sz w:val="18"/>
          <w:szCs w:val="18"/>
          <w:lang w:eastAsia="en-US"/>
        </w:rPr>
        <w:t>PRO (health status): ACQ-7, AQLQ-S, Work Productivity and Activity Impairment Questionnaire (WPAI-Asthma), EQ-5D-5L</w:t>
      </w:r>
    </w:p>
    <w:p w:rsidR="00A24AA0" w:rsidRPr="00EE11C8" w:rsidRDefault="00A24AA0" w:rsidP="00A24AA0">
      <w:pPr>
        <w:widowControl w:val="0"/>
        <w:tabs>
          <w:tab w:val="left" w:pos="142"/>
        </w:tabs>
        <w:ind w:left="135" w:hanging="135"/>
        <w:rPr>
          <w:rFonts w:ascii="Arial Narrow" w:hAnsi="Arial Narrow"/>
          <w:iCs/>
          <w:snapToGrid w:val="0"/>
          <w:sz w:val="18"/>
          <w:szCs w:val="18"/>
          <w:lang w:eastAsia="en-US"/>
        </w:rPr>
      </w:pPr>
      <w:r w:rsidRPr="00EE11C8">
        <w:rPr>
          <w:rFonts w:ascii="Arial Narrow" w:hAnsi="Arial Narrow"/>
          <w:iCs/>
          <w:snapToGrid w:val="0"/>
          <w:sz w:val="18"/>
          <w:szCs w:val="18"/>
          <w:vertAlign w:val="superscript"/>
          <w:lang w:eastAsia="en-US"/>
        </w:rPr>
        <w:t>b</w:t>
      </w:r>
      <w:r w:rsidRPr="00EE11C8">
        <w:rPr>
          <w:rFonts w:ascii="Arial Narrow" w:hAnsi="Arial Narrow"/>
          <w:iCs/>
          <w:snapToGrid w:val="0"/>
          <w:sz w:val="18"/>
          <w:szCs w:val="18"/>
          <w:vertAlign w:val="superscript"/>
          <w:lang w:eastAsia="en-US"/>
        </w:rPr>
        <w:tab/>
      </w:r>
      <w:r w:rsidRPr="00EE11C8">
        <w:rPr>
          <w:rFonts w:ascii="Arial Narrow" w:hAnsi="Arial Narrow"/>
          <w:iCs/>
          <w:snapToGrid w:val="0"/>
          <w:sz w:val="18"/>
          <w:szCs w:val="18"/>
          <w:lang w:eastAsia="en-US"/>
        </w:rPr>
        <w:t>The trial was designed to compare efficacy of</w:t>
      </w:r>
      <w:r w:rsidR="00993380" w:rsidRPr="00EE11C8">
        <w:rPr>
          <w:rFonts w:ascii="Arial Narrow" w:hAnsi="Arial Narrow"/>
          <w:iCs/>
          <w:snapToGrid w:val="0"/>
          <w:sz w:val="18"/>
          <w:szCs w:val="18"/>
          <w:lang w:eastAsia="en-US"/>
        </w:rPr>
        <w:t xml:space="preserve"> </w:t>
      </w:r>
      <w:r w:rsidRPr="00EE11C8">
        <w:rPr>
          <w:rFonts w:ascii="Arial Narrow" w:hAnsi="Arial Narrow"/>
          <w:iCs/>
          <w:snapToGrid w:val="0"/>
          <w:sz w:val="18"/>
          <w:szCs w:val="18"/>
          <w:lang w:eastAsia="en-US"/>
        </w:rPr>
        <w:t>MF/IND/GL</w:t>
      </w:r>
      <w:r w:rsidR="006D0833" w:rsidRPr="00EE11C8">
        <w:rPr>
          <w:rFonts w:ascii="Arial Narrow" w:hAnsi="Arial Narrow"/>
          <w:iCs/>
          <w:snapToGrid w:val="0"/>
          <w:sz w:val="18"/>
          <w:szCs w:val="18"/>
          <w:lang w:eastAsia="en-US"/>
        </w:rPr>
        <w:t>Y</w:t>
      </w:r>
      <w:r w:rsidRPr="00EE11C8">
        <w:rPr>
          <w:rFonts w:ascii="Arial Narrow" w:hAnsi="Arial Narrow"/>
          <w:iCs/>
          <w:snapToGrid w:val="0"/>
          <w:sz w:val="18"/>
          <w:szCs w:val="18"/>
          <w:lang w:eastAsia="en-US"/>
        </w:rPr>
        <w:t xml:space="preserve"> 80/150/50 and 160/150/50 vs MF/IND 160/150, 320/150 and FP/SAL 500/50</w:t>
      </w:r>
    </w:p>
    <w:p w:rsidR="00A24AA0" w:rsidRPr="00EE11C8" w:rsidRDefault="00A24AA0" w:rsidP="00A24AA0">
      <w:pPr>
        <w:widowControl w:val="0"/>
        <w:tabs>
          <w:tab w:val="left" w:pos="142"/>
        </w:tabs>
        <w:rPr>
          <w:rFonts w:ascii="Arial Narrow" w:hAnsi="Arial Narrow"/>
          <w:iCs/>
          <w:snapToGrid w:val="0"/>
          <w:sz w:val="18"/>
          <w:szCs w:val="18"/>
          <w:lang w:eastAsia="en-US"/>
        </w:rPr>
      </w:pPr>
      <w:r w:rsidRPr="00EE11C8">
        <w:rPr>
          <w:rFonts w:ascii="Arial Narrow" w:hAnsi="Arial Narrow"/>
          <w:iCs/>
          <w:snapToGrid w:val="0"/>
          <w:sz w:val="18"/>
          <w:szCs w:val="18"/>
          <w:vertAlign w:val="superscript"/>
          <w:lang w:eastAsia="en-US"/>
        </w:rPr>
        <w:t>c</w:t>
      </w:r>
      <w:r w:rsidRPr="00EE11C8">
        <w:rPr>
          <w:rFonts w:ascii="Arial Narrow" w:hAnsi="Arial Narrow"/>
          <w:iCs/>
          <w:snapToGrid w:val="0"/>
          <w:sz w:val="18"/>
          <w:szCs w:val="18"/>
          <w:lang w:eastAsia="en-US"/>
        </w:rPr>
        <w:tab/>
        <w:t>Total randomised to MF/IND and FP/SAL.</w:t>
      </w:r>
    </w:p>
    <w:p w:rsidR="00A24AA0" w:rsidRPr="00EE11C8" w:rsidRDefault="00A24AA0" w:rsidP="00A24AA0">
      <w:pPr>
        <w:widowControl w:val="0"/>
        <w:tabs>
          <w:tab w:val="left" w:pos="142"/>
        </w:tabs>
        <w:rPr>
          <w:rFonts w:ascii="Arial Narrow" w:hAnsi="Arial Narrow"/>
          <w:iCs/>
          <w:snapToGrid w:val="0"/>
          <w:sz w:val="18"/>
          <w:szCs w:val="18"/>
          <w:lang w:eastAsia="en-US"/>
        </w:rPr>
      </w:pPr>
      <w:r w:rsidRPr="00EE11C8">
        <w:rPr>
          <w:rFonts w:ascii="Arial Narrow" w:hAnsi="Arial Narrow"/>
          <w:iCs/>
          <w:snapToGrid w:val="0"/>
          <w:sz w:val="18"/>
          <w:szCs w:val="18"/>
          <w:vertAlign w:val="superscript"/>
          <w:lang w:eastAsia="en-US"/>
        </w:rPr>
        <w:t>d</w:t>
      </w:r>
      <w:r w:rsidRPr="00EE11C8">
        <w:rPr>
          <w:rFonts w:ascii="Arial Narrow" w:hAnsi="Arial Narrow"/>
          <w:iCs/>
          <w:snapToGrid w:val="0"/>
          <w:sz w:val="18"/>
          <w:szCs w:val="18"/>
          <w:lang w:eastAsia="en-US"/>
        </w:rPr>
        <w:tab/>
        <w:t>Double blind for MF dosages, but evaluator blind for FP dosage (MF vs FP) because Diskhaler placebo devices were not available.</w:t>
      </w:r>
    </w:p>
    <w:p w:rsidR="00A24AA0" w:rsidRPr="00EE11C8" w:rsidRDefault="00A24AA0" w:rsidP="00F4000B">
      <w:pPr>
        <w:widowControl w:val="0"/>
        <w:tabs>
          <w:tab w:val="left" w:pos="142"/>
        </w:tabs>
        <w:spacing w:after="120"/>
        <w:rPr>
          <w:rFonts w:ascii="Arial Narrow" w:hAnsi="Arial Narrow"/>
          <w:iCs/>
          <w:snapToGrid w:val="0"/>
          <w:sz w:val="18"/>
          <w:szCs w:val="18"/>
          <w:lang w:eastAsia="en-US"/>
        </w:rPr>
      </w:pPr>
      <w:r w:rsidRPr="00EE11C8">
        <w:rPr>
          <w:rFonts w:ascii="Arial Narrow" w:hAnsi="Arial Narrow"/>
          <w:iCs/>
          <w:snapToGrid w:val="0"/>
          <w:sz w:val="18"/>
          <w:szCs w:val="18"/>
          <w:lang w:eastAsia="en-US"/>
        </w:rPr>
        <w:t xml:space="preserve">Source: Section 2.4.1, pp49-52 of the submission. </w:t>
      </w:r>
    </w:p>
    <w:p w:rsidR="00A24AA0" w:rsidRPr="00EE11C8" w:rsidRDefault="00A24AA0" w:rsidP="00E96361">
      <w:pPr>
        <w:pStyle w:val="3-BodyText"/>
      </w:pPr>
      <w:r w:rsidRPr="00EE11C8">
        <w:t xml:space="preserve">All trials were multicentre (none </w:t>
      </w:r>
      <w:r w:rsidR="00F43439" w:rsidRPr="00EE11C8">
        <w:t xml:space="preserve">in </w:t>
      </w:r>
      <w:r w:rsidRPr="00EE11C8">
        <w:t>Australia), double- or dose-blind, randomised trials</w:t>
      </w:r>
      <w:r w:rsidR="00EE11C8">
        <w:t xml:space="preserve">. </w:t>
      </w:r>
      <w:r w:rsidR="00F43439" w:rsidRPr="00EE11C8">
        <w:t>T</w:t>
      </w:r>
      <w:r w:rsidR="00130251" w:rsidRPr="00EE11C8">
        <w:t xml:space="preserve">he </w:t>
      </w:r>
      <w:r w:rsidR="00F43439" w:rsidRPr="00EE11C8">
        <w:t xml:space="preserve">three MF/IND trials </w:t>
      </w:r>
      <w:r w:rsidR="00E96361" w:rsidRPr="00EE11C8">
        <w:t xml:space="preserve">investigated the incremental benefit of </w:t>
      </w:r>
      <w:r w:rsidR="00F43439" w:rsidRPr="00EE11C8">
        <w:t xml:space="preserve">MF/IND </w:t>
      </w:r>
      <w:r w:rsidR="00E96361" w:rsidRPr="00EE11C8">
        <w:t>versus</w:t>
      </w:r>
      <w:r w:rsidR="00F43439" w:rsidRPr="00EE11C8">
        <w:t xml:space="preserve"> MF (Palladium and Quartz) or MF/IND/glycopyr</w:t>
      </w:r>
      <w:r w:rsidR="0054746F" w:rsidRPr="00EE11C8">
        <w:t>ro</w:t>
      </w:r>
      <w:r w:rsidR="00F43439" w:rsidRPr="00EE11C8">
        <w:t xml:space="preserve">nium </w:t>
      </w:r>
      <w:r w:rsidR="00E96361" w:rsidRPr="00EE11C8">
        <w:t xml:space="preserve">versus </w:t>
      </w:r>
      <w:r w:rsidR="00F43439" w:rsidRPr="00EE11C8">
        <w:t>MF/IND (Iridium)</w:t>
      </w:r>
      <w:bookmarkStart w:id="18" w:name="_Hlk38279746"/>
      <w:r w:rsidR="00F43439" w:rsidRPr="00EE11C8">
        <w:t xml:space="preserve">, whereas </w:t>
      </w:r>
      <w:r w:rsidRPr="00EE11C8">
        <w:t>O’Connor et al 2001 was a dose ranging study for MF</w:t>
      </w:r>
      <w:bookmarkEnd w:id="18"/>
      <w:r w:rsidR="00EE11C8">
        <w:t xml:space="preserve">. </w:t>
      </w:r>
      <w:r w:rsidRPr="00EE11C8">
        <w:t xml:space="preserve">Two of the MF/IND </w:t>
      </w:r>
      <w:r w:rsidR="00F4000B" w:rsidRPr="00EE11C8">
        <w:t xml:space="preserve">FDC </w:t>
      </w:r>
      <w:r w:rsidRPr="00EE11C8">
        <w:t xml:space="preserve">trials </w:t>
      </w:r>
      <w:r w:rsidR="00F43439" w:rsidRPr="00EE11C8">
        <w:t xml:space="preserve">(Palladium and Iridium) </w:t>
      </w:r>
      <w:r w:rsidRPr="00EE11C8">
        <w:t xml:space="preserve">also included a treatment comparison to </w:t>
      </w:r>
      <w:r w:rsidR="004C13B5" w:rsidRPr="00EE11C8">
        <w:t xml:space="preserve">high dose </w:t>
      </w:r>
      <w:r w:rsidRPr="00EE11C8">
        <w:t>FP/SAL</w:t>
      </w:r>
      <w:r w:rsidR="006A16A7" w:rsidRPr="00EE11C8">
        <w:t xml:space="preserve"> DPI</w:t>
      </w:r>
      <w:r w:rsidR="004C13B5" w:rsidRPr="00EE11C8">
        <w:t xml:space="preserve"> (500/50)</w:t>
      </w:r>
      <w:r w:rsidRPr="00EE11C8">
        <w:t xml:space="preserve"> </w:t>
      </w:r>
      <w:r w:rsidR="004C13B5" w:rsidRPr="00EE11C8">
        <w:t xml:space="preserve">twice daily, </w:t>
      </w:r>
      <w:r w:rsidRPr="00EE11C8">
        <w:t xml:space="preserve">as a secondary </w:t>
      </w:r>
      <w:r w:rsidR="004C13B5" w:rsidRPr="00EE11C8">
        <w:t>objective</w:t>
      </w:r>
      <w:r w:rsidR="006A16A7" w:rsidRPr="00EE11C8">
        <w:t>.</w:t>
      </w:r>
    </w:p>
    <w:p w:rsidR="00A24AA0" w:rsidRPr="00EE11C8" w:rsidRDefault="00A24AA0" w:rsidP="00CD6A6E">
      <w:pPr>
        <w:pStyle w:val="3-BodyText"/>
        <w:numPr>
          <w:ilvl w:val="0"/>
          <w:numId w:val="9"/>
        </w:numPr>
      </w:pPr>
      <w:bookmarkStart w:id="19" w:name="_Hlk38279819"/>
      <w:r w:rsidRPr="00EE11C8">
        <w:t xml:space="preserve">The primary objective of Palladium was to demonstrate superiority of </w:t>
      </w:r>
      <w:r w:rsidR="00A469D7" w:rsidRPr="00EE11C8">
        <w:t xml:space="preserve">(i) medium dose </w:t>
      </w:r>
      <w:r w:rsidRPr="00EE11C8">
        <w:t xml:space="preserve">MF/IND </w:t>
      </w:r>
      <w:r w:rsidR="00A469D7" w:rsidRPr="00EE11C8">
        <w:t>(</w:t>
      </w:r>
      <w:r w:rsidRPr="00EE11C8">
        <w:t>160/150</w:t>
      </w:r>
      <w:r w:rsidR="00A469D7" w:rsidRPr="00EE11C8">
        <w:t>)</w:t>
      </w:r>
      <w:r w:rsidRPr="00EE11C8">
        <w:t xml:space="preserve"> </w:t>
      </w:r>
      <w:r w:rsidR="00A469D7" w:rsidRPr="00EE11C8">
        <w:t xml:space="preserve">once daily </w:t>
      </w:r>
      <w:r w:rsidRPr="00EE11C8">
        <w:t xml:space="preserve">to </w:t>
      </w:r>
      <w:r w:rsidR="00A469D7" w:rsidRPr="00EE11C8">
        <w:t xml:space="preserve">medium dose </w:t>
      </w:r>
      <w:r w:rsidRPr="00EE11C8">
        <w:t xml:space="preserve">MF </w:t>
      </w:r>
      <w:r w:rsidR="00A469D7" w:rsidRPr="00EE11C8">
        <w:t>(</w:t>
      </w:r>
      <w:r w:rsidRPr="00EE11C8">
        <w:t>400</w:t>
      </w:r>
      <w:r w:rsidR="00A469D7" w:rsidRPr="00EE11C8">
        <w:t xml:space="preserve"> delivered via the Twisthaler®) once daily</w:t>
      </w:r>
      <w:r w:rsidRPr="00EE11C8">
        <w:t xml:space="preserve">, and </w:t>
      </w:r>
      <w:r w:rsidR="00A469D7" w:rsidRPr="00EE11C8">
        <w:t xml:space="preserve">(ii) high dose </w:t>
      </w:r>
      <w:r w:rsidRPr="00EE11C8">
        <w:t xml:space="preserve">MF/IND </w:t>
      </w:r>
      <w:r w:rsidR="00A469D7" w:rsidRPr="00EE11C8">
        <w:t>(</w:t>
      </w:r>
      <w:r w:rsidRPr="00EE11C8">
        <w:t>320/150</w:t>
      </w:r>
      <w:r w:rsidR="00A469D7" w:rsidRPr="00EE11C8">
        <w:t>)</w:t>
      </w:r>
      <w:r w:rsidRPr="00EE11C8">
        <w:t xml:space="preserve"> </w:t>
      </w:r>
      <w:r w:rsidR="00A469D7" w:rsidRPr="00EE11C8">
        <w:t xml:space="preserve">once daily </w:t>
      </w:r>
      <w:r w:rsidRPr="00EE11C8">
        <w:t xml:space="preserve">to </w:t>
      </w:r>
      <w:r w:rsidR="00A469D7" w:rsidRPr="00EE11C8">
        <w:t xml:space="preserve">high dose </w:t>
      </w:r>
      <w:r w:rsidRPr="00EE11C8">
        <w:t xml:space="preserve">MF </w:t>
      </w:r>
      <w:r w:rsidR="00A469D7" w:rsidRPr="00EE11C8">
        <w:t>(</w:t>
      </w:r>
      <w:r w:rsidRPr="00EE11C8">
        <w:t>800</w:t>
      </w:r>
      <w:r w:rsidR="00A469D7" w:rsidRPr="00EE11C8">
        <w:t xml:space="preserve"> delivered via the Twisthaler®)</w:t>
      </w:r>
      <w:r w:rsidRPr="00EE11C8">
        <w:t xml:space="preserve"> </w:t>
      </w:r>
      <w:r w:rsidR="00A469D7" w:rsidRPr="00EE11C8">
        <w:t>once daily</w:t>
      </w:r>
      <w:r w:rsidR="00EE11C8">
        <w:t xml:space="preserve">. </w:t>
      </w:r>
      <w:r w:rsidR="00D05C61" w:rsidRPr="00EE11C8">
        <w:t xml:space="preserve">The secondary objective was to </w:t>
      </w:r>
      <w:r w:rsidRPr="00EE11C8">
        <w:t xml:space="preserve">test non-inferiority (and then superiority) between </w:t>
      </w:r>
      <w:r w:rsidR="00D05C61" w:rsidRPr="00EE11C8">
        <w:t xml:space="preserve">high dose </w:t>
      </w:r>
      <w:r w:rsidRPr="00EE11C8">
        <w:t xml:space="preserve">MF/IND </w:t>
      </w:r>
      <w:r w:rsidR="00D05C61" w:rsidRPr="00EE11C8">
        <w:t>(</w:t>
      </w:r>
      <w:r w:rsidRPr="00EE11C8">
        <w:t>320/150</w:t>
      </w:r>
      <w:r w:rsidR="00D05C61" w:rsidRPr="00EE11C8">
        <w:t xml:space="preserve">) once daily to high dose </w:t>
      </w:r>
      <w:r w:rsidRPr="00EE11C8">
        <w:t xml:space="preserve">FP/SAL </w:t>
      </w:r>
      <w:r w:rsidR="006A16A7" w:rsidRPr="00EE11C8">
        <w:t xml:space="preserve">DPI </w:t>
      </w:r>
      <w:r w:rsidR="00D05C61" w:rsidRPr="00EE11C8">
        <w:t>(</w:t>
      </w:r>
      <w:r w:rsidRPr="00EE11C8">
        <w:t>500/50</w:t>
      </w:r>
      <w:r w:rsidR="00D05C61" w:rsidRPr="00EE11C8">
        <w:t>) twice daily</w:t>
      </w:r>
      <w:bookmarkEnd w:id="19"/>
      <w:r w:rsidRPr="00EE11C8">
        <w:t>.</w:t>
      </w:r>
    </w:p>
    <w:p w:rsidR="00A24AA0" w:rsidRPr="00EE11C8" w:rsidRDefault="00A24AA0" w:rsidP="00CD6A6E">
      <w:pPr>
        <w:pStyle w:val="3-BodyText"/>
        <w:numPr>
          <w:ilvl w:val="0"/>
          <w:numId w:val="9"/>
        </w:numPr>
      </w:pPr>
      <w:r w:rsidRPr="00EE11C8">
        <w:lastRenderedPageBreak/>
        <w:t xml:space="preserve">The primary objective of Iridium was to demonstrate superiority of </w:t>
      </w:r>
      <w:r w:rsidR="00B062A3" w:rsidRPr="00EE11C8">
        <w:t xml:space="preserve">medium and high doses of </w:t>
      </w:r>
      <w:r w:rsidRPr="00EE11C8">
        <w:t xml:space="preserve">MF/IND/glycopyrronium </w:t>
      </w:r>
      <w:r w:rsidR="00B062A3" w:rsidRPr="00EE11C8">
        <w:t xml:space="preserve">once daily </w:t>
      </w:r>
      <w:r w:rsidRPr="00EE11C8">
        <w:t xml:space="preserve">to corresponding </w:t>
      </w:r>
      <w:r w:rsidR="00B062A3" w:rsidRPr="00EE11C8">
        <w:t xml:space="preserve">medium and high </w:t>
      </w:r>
      <w:r w:rsidRPr="00EE11C8">
        <w:t xml:space="preserve">doses of MF/IND </w:t>
      </w:r>
      <w:r w:rsidR="00B062A3" w:rsidRPr="00EE11C8">
        <w:t>once daily</w:t>
      </w:r>
      <w:r w:rsidR="00EE11C8">
        <w:t xml:space="preserve">. </w:t>
      </w:r>
      <w:r w:rsidR="00B062A3" w:rsidRPr="00EE11C8">
        <w:t>A</w:t>
      </w:r>
      <w:r w:rsidRPr="00EE11C8">
        <w:t xml:space="preserve"> secondary </w:t>
      </w:r>
      <w:r w:rsidR="00B062A3" w:rsidRPr="00EE11C8">
        <w:t xml:space="preserve">objective was </w:t>
      </w:r>
      <w:r w:rsidRPr="00EE11C8">
        <w:t>to test superiority of</w:t>
      </w:r>
      <w:r w:rsidR="00B062A3" w:rsidRPr="00EE11C8">
        <w:t xml:space="preserve"> the</w:t>
      </w:r>
      <w:r w:rsidRPr="00EE11C8">
        <w:t xml:space="preserve"> </w:t>
      </w:r>
      <w:r w:rsidR="00B062A3" w:rsidRPr="00EE11C8">
        <w:t xml:space="preserve">medium and high </w:t>
      </w:r>
      <w:r w:rsidRPr="00EE11C8">
        <w:t xml:space="preserve">doses of MF/IND/glycopyrronium </w:t>
      </w:r>
      <w:r w:rsidR="00B062A3" w:rsidRPr="00EE11C8">
        <w:t xml:space="preserve">once daily </w:t>
      </w:r>
      <w:r w:rsidRPr="00EE11C8">
        <w:t xml:space="preserve">to </w:t>
      </w:r>
      <w:r w:rsidR="00B062A3" w:rsidRPr="00EE11C8">
        <w:t xml:space="preserve">high dose </w:t>
      </w:r>
      <w:r w:rsidRPr="00EE11C8">
        <w:t xml:space="preserve">FP/SAL </w:t>
      </w:r>
      <w:r w:rsidR="006A16A7" w:rsidRPr="00EE11C8">
        <w:t xml:space="preserve">DPI </w:t>
      </w:r>
      <w:r w:rsidR="00B062A3" w:rsidRPr="00EE11C8">
        <w:t>(</w:t>
      </w:r>
      <w:r w:rsidRPr="00EE11C8">
        <w:t>500/50</w:t>
      </w:r>
      <w:r w:rsidR="00B062A3" w:rsidRPr="00EE11C8">
        <w:t>) twice daily</w:t>
      </w:r>
      <w:r w:rsidRPr="00EE11C8">
        <w:t>.</w:t>
      </w:r>
    </w:p>
    <w:p w:rsidR="00B00665" w:rsidRPr="00EE11C8" w:rsidRDefault="00D56647" w:rsidP="00B00665">
      <w:pPr>
        <w:pStyle w:val="3-BodyText"/>
      </w:pPr>
      <w:r w:rsidRPr="00EE11C8">
        <w:t>Overall, patients enrolled in Palladium, Quartz and O’Connor et al 2001 had mild to moderate asthma, whereas patients enrolled in Iridium had moderate to severe asthma, which is in line with the trials’ primary objectives</w:t>
      </w:r>
      <w:r w:rsidR="00EE11C8">
        <w:t xml:space="preserve">. </w:t>
      </w:r>
      <w:r w:rsidR="00B00665" w:rsidRPr="00EE11C8">
        <w:t xml:space="preserve">However, there were a number of </w:t>
      </w:r>
      <w:r w:rsidRPr="00EE11C8">
        <w:t xml:space="preserve">differences </w:t>
      </w:r>
      <w:r w:rsidR="00B00665" w:rsidRPr="00EE11C8">
        <w:t xml:space="preserve">across the trials that may have </w:t>
      </w:r>
      <w:r w:rsidRPr="00EE11C8">
        <w:t>influence</w:t>
      </w:r>
      <w:r w:rsidR="00B00665" w:rsidRPr="00EE11C8">
        <w:t>d</w:t>
      </w:r>
      <w:r w:rsidRPr="00EE11C8">
        <w:t xml:space="preserve"> the results.</w:t>
      </w:r>
    </w:p>
    <w:p w:rsidR="00A24AA0" w:rsidRPr="00EE11C8" w:rsidRDefault="00B00665" w:rsidP="00E96361">
      <w:pPr>
        <w:pStyle w:val="3-BodyText"/>
      </w:pPr>
      <w:r w:rsidRPr="00EE11C8">
        <w:t xml:space="preserve">Differences in asthma treatments </w:t>
      </w:r>
      <w:r w:rsidR="00BE2B33" w:rsidRPr="00EE11C8">
        <w:t xml:space="preserve">at screening </w:t>
      </w:r>
      <w:r w:rsidRPr="00EE11C8">
        <w:t xml:space="preserve">and symptoms at baseline may mean that some patients ‘stepped </w:t>
      </w:r>
      <w:r w:rsidR="00BB44F2" w:rsidRPr="00EE11C8">
        <w:t>down’,</w:t>
      </w:r>
      <w:r w:rsidRPr="00EE11C8">
        <w:t xml:space="preserve"> </w:t>
      </w:r>
      <w:r w:rsidR="00E96361" w:rsidRPr="00EE11C8">
        <w:t xml:space="preserve">‘stepped across’ </w:t>
      </w:r>
      <w:r w:rsidRPr="00EE11C8">
        <w:t xml:space="preserve">or ‘stepped up’ </w:t>
      </w:r>
      <w:r w:rsidR="00BB44F2" w:rsidRPr="00EE11C8">
        <w:t xml:space="preserve">one or more lines of treatment </w:t>
      </w:r>
      <w:r w:rsidRPr="00EE11C8">
        <w:t>depending on the assigned treatment arms in the trials</w:t>
      </w:r>
      <w:r w:rsidR="00EE11C8">
        <w:t xml:space="preserve">. </w:t>
      </w:r>
      <w:r w:rsidR="00E35B11" w:rsidRPr="00EE11C8">
        <w:t>D</w:t>
      </w:r>
      <w:r w:rsidR="00D56647" w:rsidRPr="00EE11C8">
        <w:t>ifferences in prior asthma treatment may indicate that patients in the ‘common comparator’</w:t>
      </w:r>
      <w:r w:rsidR="00D11359" w:rsidRPr="00EE11C8">
        <w:t xml:space="preserve"> arm</w:t>
      </w:r>
      <w:r w:rsidR="00D56647" w:rsidRPr="00EE11C8">
        <w:t xml:space="preserve"> of the indirect comparison between Quartz and O’Connor may not be comparable in terms of asthma symptom control.</w:t>
      </w:r>
    </w:p>
    <w:p w:rsidR="00506DF7" w:rsidRPr="00EE11C8" w:rsidRDefault="00BB44F2" w:rsidP="00BE5C6B">
      <w:pPr>
        <w:pStyle w:val="3-BodyText"/>
      </w:pPr>
      <w:r w:rsidRPr="00EE11C8">
        <w:t>The three MF/IND trials all included a run-in phase with</w:t>
      </w:r>
      <w:r w:rsidR="00BE2B33" w:rsidRPr="00EE11C8">
        <w:t xml:space="preserve"> either</w:t>
      </w:r>
      <w:r w:rsidRPr="00EE11C8">
        <w:t xml:space="preserve"> </w:t>
      </w:r>
      <w:r w:rsidR="00BE2B33" w:rsidRPr="00EE11C8">
        <w:t>low dose FP (100) twice daily (Quartz and Palladium) or medium dose FP/SAL (250/50) twice daily (</w:t>
      </w:r>
      <w:r w:rsidR="00506DF7" w:rsidRPr="00EE11C8">
        <w:t>Iridium</w:t>
      </w:r>
      <w:r w:rsidR="00BE2B33" w:rsidRPr="00EE11C8">
        <w:t xml:space="preserve">), and enrolled patients meeting the eligibility criteria at the end of the run-in </w:t>
      </w:r>
      <w:r w:rsidR="00506DF7" w:rsidRPr="00EE11C8">
        <w:t>period</w:t>
      </w:r>
      <w:r w:rsidR="00EE11C8">
        <w:t xml:space="preserve">. </w:t>
      </w:r>
      <w:r w:rsidR="00506DF7" w:rsidRPr="00EE11C8">
        <w:t>Despite ‘stepping up’ to higher doses of FP in the treatment phases of Palladium and Iridium, it is possible that patients with inadequate symptom control while taking FP may achieve better symptom control by switching to an alternative ICS</w:t>
      </w:r>
      <w:r w:rsidR="00EE11C8">
        <w:t xml:space="preserve">. </w:t>
      </w:r>
      <w:r w:rsidR="00506DF7" w:rsidRPr="00EE11C8">
        <w:t>If so, then this may potentially bias comparison between MF/IND and FP/SAL in favour of MF/IND.</w:t>
      </w:r>
    </w:p>
    <w:p w:rsidR="004C13B5" w:rsidRPr="00EE11C8" w:rsidRDefault="0054796B" w:rsidP="0054796B">
      <w:pPr>
        <w:pStyle w:val="3-BodyText"/>
      </w:pPr>
      <w:r w:rsidRPr="00EE11C8">
        <w:t>For comparison to MF alone, t</w:t>
      </w:r>
      <w:r w:rsidR="00E81C02" w:rsidRPr="00EE11C8">
        <w:t xml:space="preserve">he </w:t>
      </w:r>
      <w:r w:rsidRPr="00EE11C8">
        <w:t>clinical trials provided head-to-head evidence for all of the nominated comparisons:</w:t>
      </w:r>
    </w:p>
    <w:p w:rsidR="0054796B" w:rsidRPr="00EE11C8" w:rsidRDefault="0054796B" w:rsidP="00CD6A6E">
      <w:pPr>
        <w:pStyle w:val="3-BodyText"/>
        <w:numPr>
          <w:ilvl w:val="1"/>
          <w:numId w:val="11"/>
        </w:numPr>
        <w:ind w:left="1276" w:hanging="425"/>
      </w:pPr>
      <w:r w:rsidRPr="00EE11C8">
        <w:t xml:space="preserve">Low dose </w:t>
      </w:r>
      <w:r w:rsidR="00E81C02" w:rsidRPr="00EE11C8">
        <w:t>MF/IND</w:t>
      </w:r>
      <w:r w:rsidRPr="00EE11C8">
        <w:t xml:space="preserve"> versus low dose MF</w:t>
      </w:r>
      <w:r w:rsidR="00E002D8" w:rsidRPr="00EE11C8">
        <w:t>.</w:t>
      </w:r>
    </w:p>
    <w:p w:rsidR="0054796B" w:rsidRPr="00EE11C8" w:rsidRDefault="0054796B" w:rsidP="00CD6A6E">
      <w:pPr>
        <w:pStyle w:val="3-BodyText"/>
        <w:numPr>
          <w:ilvl w:val="1"/>
          <w:numId w:val="11"/>
        </w:numPr>
        <w:ind w:left="1276" w:hanging="425"/>
      </w:pPr>
      <w:r w:rsidRPr="00EE11C8">
        <w:t>Medium dose MF/IND versus medium dose MF</w:t>
      </w:r>
      <w:r w:rsidR="00E002D8" w:rsidRPr="00EE11C8">
        <w:t>.</w:t>
      </w:r>
    </w:p>
    <w:p w:rsidR="0054796B" w:rsidRPr="00EE11C8" w:rsidRDefault="0054796B" w:rsidP="00CD6A6E">
      <w:pPr>
        <w:pStyle w:val="3-BodyText"/>
        <w:numPr>
          <w:ilvl w:val="1"/>
          <w:numId w:val="11"/>
        </w:numPr>
        <w:ind w:left="1276" w:hanging="425"/>
      </w:pPr>
      <w:r w:rsidRPr="00EE11C8">
        <w:t>High dose MF/IND versus high dose MF</w:t>
      </w:r>
      <w:r w:rsidR="00E002D8" w:rsidRPr="00EE11C8">
        <w:t>.</w:t>
      </w:r>
    </w:p>
    <w:p w:rsidR="00C679D4" w:rsidRPr="00EE11C8" w:rsidRDefault="00D031E8" w:rsidP="00C679D4">
      <w:pPr>
        <w:pStyle w:val="3-BodyText"/>
      </w:pPr>
      <w:r w:rsidRPr="00EE11C8">
        <w:t>For comparison to FP/SAL</w:t>
      </w:r>
      <w:r w:rsidR="00C679D4" w:rsidRPr="00EE11C8">
        <w:t xml:space="preserve"> </w:t>
      </w:r>
      <w:r w:rsidR="00EA1D69" w:rsidRPr="00EE11C8">
        <w:t>DPI</w:t>
      </w:r>
      <w:r w:rsidRPr="00EE11C8">
        <w:t xml:space="preserve">, the clinical trials </w:t>
      </w:r>
      <w:r w:rsidR="00C679D4" w:rsidRPr="00EE11C8">
        <w:t xml:space="preserve">only </w:t>
      </w:r>
      <w:r w:rsidRPr="00EE11C8">
        <w:t xml:space="preserve">provided head-to-head evidence for </w:t>
      </w:r>
      <w:r w:rsidR="00C679D4" w:rsidRPr="00EE11C8">
        <w:t>on</w:t>
      </w:r>
      <w:r w:rsidR="00817442" w:rsidRPr="00EE11C8">
        <w:t>e of the nominated comparisons:</w:t>
      </w:r>
    </w:p>
    <w:p w:rsidR="00D031E8" w:rsidRPr="00EE11C8" w:rsidRDefault="00817442" w:rsidP="00CD6A6E">
      <w:pPr>
        <w:pStyle w:val="3-BodyText"/>
        <w:numPr>
          <w:ilvl w:val="1"/>
          <w:numId w:val="12"/>
        </w:numPr>
        <w:ind w:left="1276" w:hanging="425"/>
      </w:pPr>
      <w:r w:rsidRPr="00EE11C8">
        <w:t>High</w:t>
      </w:r>
      <w:r w:rsidR="00D031E8" w:rsidRPr="00EE11C8">
        <w:t xml:space="preserve"> dose MF/IND versus high dose FP/SAL</w:t>
      </w:r>
      <w:r w:rsidR="00EA1D69" w:rsidRPr="00EE11C8">
        <w:t xml:space="preserve"> DPI</w:t>
      </w:r>
      <w:r w:rsidR="00D031E8" w:rsidRPr="00EE11C8">
        <w:t>.</w:t>
      </w:r>
    </w:p>
    <w:p w:rsidR="00D031E8" w:rsidRPr="00EE11C8" w:rsidRDefault="00817442" w:rsidP="00025C1B">
      <w:pPr>
        <w:pStyle w:val="3-BodyText"/>
      </w:pPr>
      <w:r w:rsidRPr="00EE11C8">
        <w:t xml:space="preserve">In the absence of direct </w:t>
      </w:r>
      <w:r w:rsidR="005C0D49" w:rsidRPr="00EE11C8">
        <w:rPr>
          <w:iCs/>
        </w:rPr>
        <w:t>pre-specified</w:t>
      </w:r>
      <w:r w:rsidR="005C0D49" w:rsidRPr="00EE11C8">
        <w:t xml:space="preserve"> </w:t>
      </w:r>
      <w:r w:rsidRPr="00EE11C8">
        <w:t>evidence comparing medium dose MF/IND versus medium dose FP/SAL</w:t>
      </w:r>
      <w:r w:rsidR="00990FD2" w:rsidRPr="00EE11C8">
        <w:t xml:space="preserve"> DPI</w:t>
      </w:r>
      <w:r w:rsidRPr="00EE11C8">
        <w:t>, the Sponsor conducted a series of</w:t>
      </w:r>
      <w:r w:rsidR="005C0D49" w:rsidRPr="00EE11C8">
        <w:t xml:space="preserve"> direct</w:t>
      </w:r>
      <w:r w:rsidRPr="00EE11C8">
        <w:t xml:space="preserve"> </w:t>
      </w:r>
      <w:r w:rsidRPr="00EE11C8">
        <w:rPr>
          <w:iCs/>
        </w:rPr>
        <w:t>post-hoc</w:t>
      </w:r>
      <w:r w:rsidRPr="00EE11C8">
        <w:t xml:space="preserve"> comparisons </w:t>
      </w:r>
      <w:r w:rsidR="00F26C76" w:rsidRPr="00EE11C8">
        <w:t>in Palladium and Iridium comparing</w:t>
      </w:r>
      <w:r w:rsidRPr="00EE11C8">
        <w:t xml:space="preserve"> medium dose MF/IND and high dose FP/SAL</w:t>
      </w:r>
      <w:r w:rsidR="00990FD2" w:rsidRPr="00EE11C8">
        <w:t xml:space="preserve"> DPI</w:t>
      </w:r>
      <w:r w:rsidR="00EE11C8">
        <w:t xml:space="preserve">. </w:t>
      </w:r>
      <w:r w:rsidRPr="00EE11C8">
        <w:t>As discussed, Palladium and Quartz were not designed to test for non-inferiority between the medium and high dose formulations and therefore the results should be interpreted with caution.</w:t>
      </w:r>
    </w:p>
    <w:p w:rsidR="0084408D" w:rsidRPr="00EE11C8" w:rsidRDefault="00817442" w:rsidP="0084408D">
      <w:pPr>
        <w:pStyle w:val="3-BodyText"/>
      </w:pPr>
      <w:r w:rsidRPr="00EE11C8">
        <w:t>In the absence of direct evidence comparing low dose MF/IND versus low dose FP/SAL</w:t>
      </w:r>
      <w:r w:rsidR="00990FD2" w:rsidRPr="00EE11C8">
        <w:t xml:space="preserve"> DPI</w:t>
      </w:r>
      <w:r w:rsidRPr="00EE11C8">
        <w:t xml:space="preserve">, the Sponsor conducted an indirect comparison between </w:t>
      </w:r>
      <w:r w:rsidR="0084408D" w:rsidRPr="00EE11C8">
        <w:t xml:space="preserve">low dose MF/IND and </w:t>
      </w:r>
      <w:r w:rsidR="0084408D" w:rsidRPr="00EE11C8">
        <w:lastRenderedPageBreak/>
        <w:t>medium dose FP alone (250 twice daily), assuming MF as a common reference arm</w:t>
      </w:r>
      <w:r w:rsidR="00EE11C8">
        <w:t xml:space="preserve">. </w:t>
      </w:r>
      <w:r w:rsidR="0084408D" w:rsidRPr="00EE11C8">
        <w:rPr>
          <w:iCs/>
        </w:rPr>
        <w:t>The rationale for the indirect comparison was poorly justified and the submission did not present any evidence that subsequently linked MF/IND to the nominated comparator FP/SAL</w:t>
      </w:r>
      <w:r w:rsidR="00990FD2" w:rsidRPr="00EE11C8">
        <w:rPr>
          <w:iCs/>
        </w:rPr>
        <w:t xml:space="preserve"> DPI</w:t>
      </w:r>
      <w:r w:rsidR="00EE11C8">
        <w:rPr>
          <w:iCs/>
        </w:rPr>
        <w:t xml:space="preserve">. </w:t>
      </w:r>
      <w:r w:rsidR="0084408D" w:rsidRPr="00EE11C8">
        <w:rPr>
          <w:iCs/>
        </w:rPr>
        <w:t>Inappropriately, the indirect comparison used MF 200 once daily as the common reference arm in one trial (Quartz) but MF 200 twice daily as the common reference arm in the other trial (O’Connor et al 2001).</w:t>
      </w:r>
    </w:p>
    <w:p w:rsidR="00125139" w:rsidRPr="00EE11C8" w:rsidRDefault="00125139" w:rsidP="00125139">
      <w:pPr>
        <w:pStyle w:val="3-BodyText"/>
      </w:pPr>
      <w:r w:rsidRPr="00EE11C8">
        <w:t>The clinically relevant outcomes in asthma are differences in lung function tests, rescue medication use, symptom free days, percentage of patients with asthma exacerbations and quality of life</w:t>
      </w:r>
      <w:r w:rsidR="00EE11C8">
        <w:t xml:space="preserve">. </w:t>
      </w:r>
      <w:r w:rsidRPr="00EE11C8">
        <w:rPr>
          <w:iCs/>
        </w:rPr>
        <w:t>In past decisions, the PBAC has relied on lung function tests to determine non-inferiority between ICS/LABA FDCs, including change in morning peak expiratory flow (PEF), and less commonly change in pre-dose</w:t>
      </w:r>
      <w:r w:rsidR="004D7FD0" w:rsidRPr="00EE11C8">
        <w:rPr>
          <w:iCs/>
        </w:rPr>
        <w:t xml:space="preserve"> or trough FEV1</w:t>
      </w:r>
      <w:r w:rsidRPr="00EE11C8">
        <w:rPr>
          <w:iCs/>
        </w:rPr>
        <w:t>.</w:t>
      </w:r>
    </w:p>
    <w:p w:rsidR="004A6DC8" w:rsidRPr="00EE11C8" w:rsidRDefault="00885634" w:rsidP="00CA1D13">
      <w:pPr>
        <w:pStyle w:val="3-BodyText"/>
      </w:pPr>
      <w:r w:rsidRPr="00EE11C8">
        <w:t>The clinical claim in the submission was ba</w:t>
      </w:r>
      <w:r w:rsidR="008763D7" w:rsidRPr="00EE11C8">
        <w:t xml:space="preserve">sed on </w:t>
      </w:r>
      <w:r w:rsidRPr="00EE11C8">
        <w:t>trough FEV1 at the end of the treatment period</w:t>
      </w:r>
      <w:r w:rsidR="008763D7" w:rsidRPr="00EE11C8">
        <w:t xml:space="preserve"> (</w:t>
      </w:r>
      <w:r w:rsidR="004A6DC8" w:rsidRPr="00EE11C8">
        <w:t>and/</w:t>
      </w:r>
      <w:r w:rsidR="008763D7" w:rsidRPr="00EE11C8">
        <w:t>or change from baseline), which was the primary endpoint across the trials</w:t>
      </w:r>
      <w:r w:rsidR="00EE11C8">
        <w:t xml:space="preserve">. </w:t>
      </w:r>
      <w:r w:rsidR="00125139" w:rsidRPr="00EE11C8">
        <w:t xml:space="preserve">The definition of the trials </w:t>
      </w:r>
      <w:r w:rsidR="00DC3B96" w:rsidRPr="00EE11C8">
        <w:t xml:space="preserve">trough </w:t>
      </w:r>
      <w:r w:rsidR="004A6DC8" w:rsidRPr="00EE11C8">
        <w:t>FEV1 was measured as the mean FEV1 at 23h 15min and 23h 45min post-evening dose, at Week 12 (Quartz) or Week 26 (Palladium and Iridium)</w:t>
      </w:r>
      <w:r w:rsidR="00EE11C8">
        <w:t xml:space="preserve">. </w:t>
      </w:r>
      <w:r w:rsidR="004A6DC8" w:rsidRPr="00EE11C8">
        <w:t>O’Connor et al 2001 reported change in FEV1 from baseline to the last evaluable treatment visit (up to Week 12)</w:t>
      </w:r>
      <w:r w:rsidR="00EE11C8">
        <w:t xml:space="preserve">. </w:t>
      </w:r>
      <w:r w:rsidR="004A6DC8" w:rsidRPr="00EE11C8">
        <w:rPr>
          <w:iCs/>
        </w:rPr>
        <w:t>It was unclear whether the outcome measured in O’Connor et al 2001 was trough FEV1 or was adequately comparable to the FEV1 outcome measured in Quartz for the indirect comparison.</w:t>
      </w:r>
    </w:p>
    <w:p w:rsidR="004A6DC8" w:rsidRPr="00EE11C8" w:rsidRDefault="00F26C76" w:rsidP="001E5EBF">
      <w:pPr>
        <w:pStyle w:val="3-BodyText"/>
      </w:pPr>
      <w:r w:rsidRPr="00EE11C8">
        <w:t>For comparison to FP/SAL</w:t>
      </w:r>
      <w:r w:rsidR="00FA3BCE" w:rsidRPr="00EE11C8">
        <w:t xml:space="preserve"> </w:t>
      </w:r>
      <w:r w:rsidR="008A3210" w:rsidRPr="00EE11C8">
        <w:t>DPI</w:t>
      </w:r>
      <w:r w:rsidRPr="00EE11C8">
        <w:t>, t</w:t>
      </w:r>
      <w:r w:rsidR="002754F3" w:rsidRPr="00EE11C8">
        <w:t>he submission nominated a non-inferiority margin for the difference in trough FEV1 of -90 mL (or - 0.09 L), based on the pre-specified non-in</w:t>
      </w:r>
      <w:r w:rsidR="00125139" w:rsidRPr="00EE11C8">
        <w:t>feriority margin in Palladium</w:t>
      </w:r>
      <w:r w:rsidR="00EE11C8">
        <w:t xml:space="preserve">. </w:t>
      </w:r>
      <w:r w:rsidR="00125139" w:rsidRPr="00EE11C8">
        <w:t xml:space="preserve">The threshold is </w:t>
      </w:r>
      <w:r w:rsidR="001E5EBF" w:rsidRPr="00EE11C8">
        <w:t>lower</w:t>
      </w:r>
      <w:r w:rsidR="00125139" w:rsidRPr="00EE11C8">
        <w:t xml:space="preserve"> than the non-inferiority margin of </w:t>
      </w:r>
      <w:r w:rsidR="001E5EBF" w:rsidRPr="00EE11C8">
        <w:t xml:space="preserve">-0.15 to </w:t>
      </w:r>
      <w:r w:rsidR="00125139" w:rsidRPr="00EE11C8">
        <w:t>-0.2 L that was previously accepted by the PBAC and the minimal clinically important difference (MCID) in the Australian guidelines</w:t>
      </w:r>
      <w:r w:rsidR="00125139" w:rsidRPr="00EE11C8">
        <w:rPr>
          <w:rStyle w:val="FootnoteReference"/>
        </w:rPr>
        <w:footnoteReference w:id="1"/>
      </w:r>
      <w:r w:rsidR="00125139" w:rsidRPr="00EE11C8">
        <w:t>.</w:t>
      </w:r>
    </w:p>
    <w:p w:rsidR="00B60939" w:rsidRPr="00EE11C8" w:rsidRDefault="00B60939" w:rsidP="00EC5836">
      <w:pPr>
        <w:pStyle w:val="4-SubsectionHeading"/>
      </w:pPr>
      <w:bookmarkStart w:id="20" w:name="_Toc22897641"/>
      <w:bookmarkStart w:id="21" w:name="_Toc40451843"/>
      <w:r w:rsidRPr="00EE11C8">
        <w:t>Comparative effectiveness</w:t>
      </w:r>
      <w:bookmarkEnd w:id="20"/>
      <w:bookmarkEnd w:id="21"/>
    </w:p>
    <w:p w:rsidR="00173109" w:rsidRPr="00EE11C8" w:rsidRDefault="000C4889" w:rsidP="00254738">
      <w:pPr>
        <w:pStyle w:val="3-BodyText"/>
      </w:pPr>
      <w:r w:rsidRPr="00EE11C8">
        <w:t>Table 4 summarises the results of the direct and indirect comparisons for the change in trough FEV1 from baseline</w:t>
      </w:r>
      <w:r w:rsidR="000E4763" w:rsidRPr="00EE11C8">
        <w:t xml:space="preserve"> and morning PEF</w:t>
      </w:r>
      <w:r w:rsidR="00EE11C8">
        <w:t xml:space="preserve">. </w:t>
      </w:r>
    </w:p>
    <w:p w:rsidR="000C4889" w:rsidRPr="00EE11C8" w:rsidRDefault="000C4889" w:rsidP="0049320A">
      <w:pPr>
        <w:keepNext/>
        <w:keepLines/>
        <w:rPr>
          <w:rFonts w:ascii="Arial Narrow" w:hAnsi="Arial Narrow"/>
          <w:b/>
          <w:sz w:val="20"/>
          <w:szCs w:val="20"/>
        </w:rPr>
      </w:pPr>
      <w:r w:rsidRPr="00EE11C8">
        <w:rPr>
          <w:rFonts w:ascii="Arial Narrow" w:hAnsi="Arial Narrow"/>
          <w:b/>
          <w:sz w:val="20"/>
          <w:szCs w:val="20"/>
        </w:rPr>
        <w:lastRenderedPageBreak/>
        <w:t>Table 4: Least squares mean change (SE) from baseline in FEV1 (L)</w:t>
      </w:r>
      <w:r w:rsidR="00703981" w:rsidRPr="00EE11C8">
        <w:rPr>
          <w:rFonts w:ascii="Arial Narrow" w:hAnsi="Arial Narrow"/>
          <w:b/>
          <w:sz w:val="20"/>
          <w:szCs w:val="20"/>
        </w:rPr>
        <w:t xml:space="preserve"> and morning PEF (L/min)</w:t>
      </w:r>
    </w:p>
    <w:tbl>
      <w:tblPr>
        <w:tblW w:w="0" w:type="auto"/>
        <w:tblCellMar>
          <w:left w:w="0" w:type="dxa"/>
          <w:right w:w="0" w:type="dxa"/>
        </w:tblCellMar>
        <w:tblLook w:val="04A0" w:firstRow="1" w:lastRow="0" w:firstColumn="1" w:lastColumn="0" w:noHBand="0" w:noVBand="1"/>
      </w:tblPr>
      <w:tblGrid>
        <w:gridCol w:w="3357"/>
        <w:gridCol w:w="985"/>
        <w:gridCol w:w="985"/>
        <w:gridCol w:w="992"/>
        <w:gridCol w:w="1266"/>
        <w:gridCol w:w="1432"/>
      </w:tblGrid>
      <w:tr w:rsidR="002D14F0" w:rsidRPr="00EE11C8" w:rsidTr="00703981">
        <w:trPr>
          <w:trHeight w:val="233"/>
        </w:trPr>
        <w:tc>
          <w:tcPr>
            <w:tcW w:w="3357" w:type="dxa"/>
            <w:vMerge w:val="restart"/>
            <w:tcBorders>
              <w:top w:val="single" w:sz="4" w:space="0" w:color="auto"/>
              <w:left w:val="single" w:sz="4" w:space="0" w:color="auto"/>
            </w:tcBorders>
            <w:tcMar>
              <w:top w:w="0" w:type="dxa"/>
              <w:left w:w="28" w:type="dxa"/>
              <w:bottom w:w="0" w:type="dxa"/>
              <w:right w:w="28" w:type="dxa"/>
            </w:tcMar>
            <w:vAlign w:val="center"/>
            <w:hideMark/>
          </w:tcPr>
          <w:p w:rsidR="000C4889" w:rsidRPr="00EE11C8" w:rsidRDefault="000C4889" w:rsidP="005B52D7">
            <w:pPr>
              <w:keepNext/>
              <w:keepLines/>
              <w:rPr>
                <w:rFonts w:ascii="Arial Narrow" w:hAnsi="Arial Narrow" w:cs="Calibri"/>
                <w:b/>
                <w:bCs/>
                <w:sz w:val="20"/>
                <w:szCs w:val="20"/>
                <w:lang w:eastAsia="en-US"/>
              </w:rPr>
            </w:pPr>
            <w:r w:rsidRPr="00EE11C8">
              <w:rPr>
                <w:rFonts w:ascii="Arial Narrow" w:hAnsi="Arial Narrow" w:cs="Calibri"/>
                <w:b/>
                <w:bCs/>
                <w:sz w:val="20"/>
                <w:szCs w:val="20"/>
                <w:lang w:eastAsia="en-US"/>
              </w:rPr>
              <w:t>FEV1</w:t>
            </w:r>
            <w:r w:rsidR="005B52D7" w:rsidRPr="00EE11C8">
              <w:rPr>
                <w:rFonts w:ascii="Arial Narrow" w:hAnsi="Arial Narrow" w:cs="Calibri"/>
                <w:b/>
                <w:bCs/>
                <w:sz w:val="20"/>
                <w:szCs w:val="20"/>
                <w:lang w:eastAsia="en-US"/>
              </w:rPr>
              <w:t xml:space="preserve"> (L)</w:t>
            </w:r>
            <w:r w:rsidRPr="00EE11C8">
              <w:rPr>
                <w:rFonts w:ascii="Arial Narrow" w:hAnsi="Arial Narrow" w:cs="Calibri"/>
                <w:b/>
                <w:bCs/>
                <w:sz w:val="20"/>
                <w:szCs w:val="20"/>
                <w:lang w:eastAsia="en-US"/>
              </w:rPr>
              <w:t xml:space="preserve"> </w:t>
            </w:r>
          </w:p>
        </w:tc>
        <w:tc>
          <w:tcPr>
            <w:tcW w:w="985" w:type="dxa"/>
            <w:vMerge w:val="restart"/>
            <w:tcBorders>
              <w:top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p>
        </w:tc>
        <w:tc>
          <w:tcPr>
            <w:tcW w:w="985"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r w:rsidRPr="00EE11C8">
              <w:rPr>
                <w:rFonts w:ascii="Arial Narrow" w:hAnsi="Arial Narrow"/>
                <w:b/>
                <w:bCs/>
                <w:sz w:val="20"/>
                <w:szCs w:val="20"/>
                <w:lang w:eastAsia="en-US"/>
              </w:rPr>
              <w:t>FP</w:t>
            </w:r>
          </w:p>
        </w:tc>
        <w:tc>
          <w:tcPr>
            <w:tcW w:w="99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r w:rsidRPr="00EE11C8">
              <w:rPr>
                <w:rFonts w:ascii="Arial Narrow" w:hAnsi="Arial Narrow"/>
                <w:b/>
                <w:bCs/>
                <w:sz w:val="20"/>
                <w:szCs w:val="20"/>
                <w:lang w:eastAsia="en-US"/>
              </w:rPr>
              <w:t>MF</w:t>
            </w:r>
          </w:p>
        </w:tc>
        <w:tc>
          <w:tcPr>
            <w:tcW w:w="269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b/>
                <w:bCs/>
                <w:sz w:val="20"/>
                <w:szCs w:val="20"/>
                <w:lang w:eastAsia="en-US"/>
              </w:rPr>
              <w:t>Mean diff. (95% CI)</w:t>
            </w:r>
          </w:p>
        </w:tc>
      </w:tr>
      <w:tr w:rsidR="002D14F0" w:rsidRPr="00EE11C8" w:rsidTr="00703981">
        <w:trPr>
          <w:trHeight w:val="232"/>
        </w:trPr>
        <w:tc>
          <w:tcPr>
            <w:tcW w:w="3357" w:type="dxa"/>
            <w:vMerge/>
            <w:tcBorders>
              <w:left w:val="single" w:sz="4" w:space="0" w:color="auto"/>
              <w:bottom w:val="single" w:sz="4" w:space="0" w:color="auto"/>
            </w:tcBorders>
            <w:tcMar>
              <w:top w:w="0" w:type="dxa"/>
              <w:left w:w="28" w:type="dxa"/>
              <w:bottom w:w="0" w:type="dxa"/>
              <w:right w:w="28" w:type="dxa"/>
            </w:tcMar>
            <w:vAlign w:val="center"/>
          </w:tcPr>
          <w:p w:rsidR="000C4889" w:rsidRPr="00EE11C8" w:rsidRDefault="000C4889" w:rsidP="0049320A">
            <w:pPr>
              <w:keepNext/>
              <w:keepLines/>
              <w:rPr>
                <w:rFonts w:ascii="Arial Narrow" w:hAnsi="Arial Narrow" w:cs="Calibri"/>
                <w:sz w:val="20"/>
                <w:szCs w:val="20"/>
                <w:lang w:eastAsia="en-US"/>
              </w:rPr>
            </w:pPr>
          </w:p>
        </w:tc>
        <w:tc>
          <w:tcPr>
            <w:tcW w:w="985" w:type="dxa"/>
            <w:vMerge/>
            <w:tcBorders>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p>
        </w:tc>
        <w:tc>
          <w:tcPr>
            <w:tcW w:w="985"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p>
        </w:tc>
        <w:tc>
          <w:tcPr>
            <w:tcW w:w="99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r w:rsidRPr="00EE11C8">
              <w:rPr>
                <w:rFonts w:ascii="Arial Narrow" w:hAnsi="Arial Narrow"/>
                <w:b/>
                <w:bCs/>
                <w:sz w:val="20"/>
                <w:szCs w:val="20"/>
                <w:lang w:eastAsia="en-US"/>
              </w:rPr>
              <w:t>FP vs MF</w:t>
            </w:r>
          </w:p>
        </w:tc>
      </w:tr>
      <w:tr w:rsidR="002D14F0" w:rsidRPr="00EE11C8" w:rsidTr="00703981">
        <w:tc>
          <w:tcPr>
            <w:tcW w:w="3357" w:type="dxa"/>
            <w:tcBorders>
              <w:top w:val="single" w:sz="4" w:space="0" w:color="auto"/>
              <w:left w:val="single" w:sz="4" w:space="0" w:color="auto"/>
            </w:tcBorders>
            <w:tcMar>
              <w:top w:w="0" w:type="dxa"/>
              <w:left w:w="28" w:type="dxa"/>
              <w:bottom w:w="0" w:type="dxa"/>
              <w:right w:w="28" w:type="dxa"/>
            </w:tcMar>
          </w:tcPr>
          <w:p w:rsidR="000C4889" w:rsidRPr="00EE11C8" w:rsidRDefault="000C4889" w:rsidP="0049320A">
            <w:pPr>
              <w:keepNext/>
              <w:keepLines/>
              <w:rPr>
                <w:rFonts w:ascii="Arial Narrow" w:hAnsi="Arial Narrow"/>
                <w:b/>
                <w:bCs/>
                <w:sz w:val="20"/>
                <w:szCs w:val="20"/>
                <w:lang w:eastAsia="en-US"/>
              </w:rPr>
            </w:pPr>
            <w:r w:rsidRPr="00EE11C8">
              <w:rPr>
                <w:rFonts w:ascii="Arial Narrow" w:hAnsi="Arial Narrow"/>
                <w:b/>
                <w:bCs/>
                <w:sz w:val="20"/>
                <w:szCs w:val="20"/>
                <w:lang w:eastAsia="en-US"/>
              </w:rPr>
              <w:t>Medium dose FP 250 BD vs MF</w:t>
            </w:r>
          </w:p>
        </w:tc>
        <w:tc>
          <w:tcPr>
            <w:tcW w:w="985" w:type="dxa"/>
            <w:tcBorders>
              <w:top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2698" w:type="dxa"/>
            <w:gridSpan w:val="2"/>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r>
      <w:tr w:rsidR="002D14F0" w:rsidRPr="00EE11C8" w:rsidTr="00703981">
        <w:tc>
          <w:tcPr>
            <w:tcW w:w="3357" w:type="dxa"/>
            <w:tcBorders>
              <w:left w:val="single" w:sz="4" w:space="0" w:color="auto"/>
            </w:tcBorders>
            <w:tcMar>
              <w:top w:w="0" w:type="dxa"/>
              <w:left w:w="28" w:type="dxa"/>
              <w:bottom w:w="0" w:type="dxa"/>
              <w:right w:w="28" w:type="dxa"/>
            </w:tcMar>
            <w:vAlign w:val="center"/>
          </w:tcPr>
          <w:p w:rsidR="000C4889" w:rsidRPr="00EE11C8" w:rsidRDefault="000C4889" w:rsidP="0049320A">
            <w:pPr>
              <w:keepNext/>
              <w:keepLines/>
              <w:ind w:left="720" w:hanging="614"/>
              <w:rPr>
                <w:rFonts w:ascii="Arial Narrow" w:hAnsi="Arial Narrow"/>
                <w:bCs/>
                <w:iCs/>
                <w:sz w:val="20"/>
                <w:szCs w:val="20"/>
                <w:lang w:eastAsia="en-US"/>
              </w:rPr>
            </w:pPr>
            <w:r w:rsidRPr="00EE11C8">
              <w:rPr>
                <w:rFonts w:ascii="Arial Narrow" w:hAnsi="Arial Narrow"/>
                <w:iCs/>
                <w:sz w:val="20"/>
                <w:szCs w:val="20"/>
                <w:lang w:eastAsia="en-US"/>
              </w:rPr>
              <w:t>vs MF 100 BD (O’Connor 2001 endpoint</w:t>
            </w:r>
            <w:r w:rsidR="008763D7" w:rsidRPr="00EE11C8">
              <w:rPr>
                <w:rFonts w:ascii="Arial Narrow" w:hAnsi="Arial Narrow"/>
                <w:iCs/>
                <w:sz w:val="20"/>
                <w:szCs w:val="20"/>
                <w:lang w:eastAsia="en-US"/>
              </w:rPr>
              <w:t>)</w:t>
            </w:r>
            <w:r w:rsidR="008763D7" w:rsidRPr="00EE11C8">
              <w:rPr>
                <w:rFonts w:ascii="Arial Narrow" w:hAnsi="Arial Narrow"/>
                <w:iCs/>
                <w:sz w:val="20"/>
                <w:szCs w:val="20"/>
                <w:vertAlign w:val="superscript"/>
                <w:lang w:eastAsia="en-US"/>
              </w:rPr>
              <w:t>a</w:t>
            </w:r>
          </w:p>
        </w:tc>
        <w:tc>
          <w:tcPr>
            <w:tcW w:w="985" w:type="dxa"/>
            <w:tcBorders>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iCs/>
                <w:sz w:val="20"/>
                <w:szCs w:val="20"/>
                <w:lang w:eastAsia="en-US"/>
              </w:rPr>
            </w:pP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iCs/>
                <w:sz w:val="20"/>
                <w:szCs w:val="20"/>
                <w:lang w:eastAsia="en-US"/>
              </w:rPr>
            </w:pPr>
            <w:r w:rsidRPr="00EE11C8">
              <w:rPr>
                <w:rFonts w:ascii="Arial Narrow" w:hAnsi="Arial Narrow"/>
                <w:iCs/>
                <w:sz w:val="20"/>
                <w:szCs w:val="20"/>
                <w:lang w:eastAsia="en-US"/>
              </w:rPr>
              <w:t>0.16 (0.04)</w:t>
            </w:r>
          </w:p>
        </w:tc>
        <w:tc>
          <w:tcPr>
            <w:tcW w:w="992"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iCs/>
                <w:sz w:val="20"/>
                <w:szCs w:val="20"/>
                <w:lang w:eastAsia="en-US"/>
              </w:rPr>
            </w:pPr>
            <w:r w:rsidRPr="00EE11C8">
              <w:rPr>
                <w:rFonts w:ascii="Arial Narrow" w:hAnsi="Arial Narrow"/>
                <w:iCs/>
                <w:sz w:val="20"/>
                <w:szCs w:val="20"/>
                <w:lang w:eastAsia="en-US"/>
              </w:rPr>
              <w:t>0.07 (0.04)</w:t>
            </w:r>
          </w:p>
        </w:tc>
        <w:tc>
          <w:tcPr>
            <w:tcW w:w="2698" w:type="dxa"/>
            <w:gridSpan w:val="2"/>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iCs/>
                <w:sz w:val="20"/>
                <w:szCs w:val="20"/>
                <w:lang w:eastAsia="en-US"/>
              </w:rPr>
            </w:pPr>
            <w:r w:rsidRPr="00EE11C8">
              <w:rPr>
                <w:rFonts w:ascii="Arial Narrow" w:hAnsi="Arial Narrow"/>
                <w:iCs/>
                <w:sz w:val="20"/>
                <w:szCs w:val="20"/>
                <w:lang w:eastAsia="en-US"/>
              </w:rPr>
              <w:t>0.09 (-0.02, 0.20)</w:t>
            </w:r>
          </w:p>
        </w:tc>
      </w:tr>
      <w:tr w:rsidR="002D14F0" w:rsidRPr="00EE11C8" w:rsidTr="00703981">
        <w:tc>
          <w:tcPr>
            <w:tcW w:w="3357" w:type="dxa"/>
            <w:tcBorders>
              <w:left w:val="single" w:sz="4" w:space="0" w:color="auto"/>
            </w:tcBorders>
            <w:tcMar>
              <w:top w:w="0" w:type="dxa"/>
              <w:left w:w="28" w:type="dxa"/>
              <w:bottom w:w="0" w:type="dxa"/>
              <w:right w:w="28" w:type="dxa"/>
            </w:tcMar>
            <w:vAlign w:val="center"/>
          </w:tcPr>
          <w:p w:rsidR="000C4889" w:rsidRPr="00EE11C8" w:rsidRDefault="000C4889" w:rsidP="0049320A">
            <w:pPr>
              <w:keepNext/>
              <w:keepLines/>
              <w:ind w:left="720" w:hanging="614"/>
              <w:rPr>
                <w:rFonts w:ascii="Arial Narrow" w:hAnsi="Arial Narrow"/>
                <w:bCs/>
                <w:sz w:val="20"/>
                <w:szCs w:val="20"/>
                <w:lang w:eastAsia="en-US"/>
              </w:rPr>
            </w:pPr>
            <w:r w:rsidRPr="00EE11C8">
              <w:rPr>
                <w:rFonts w:ascii="Arial Narrow" w:hAnsi="Arial Narrow"/>
                <w:sz w:val="20"/>
                <w:szCs w:val="20"/>
                <w:lang w:eastAsia="en-US"/>
              </w:rPr>
              <w:t xml:space="preserve">vs </w:t>
            </w:r>
            <w:r w:rsidRPr="00EE11C8">
              <w:rPr>
                <w:rFonts w:ascii="Arial Narrow" w:hAnsi="Arial Narrow"/>
                <w:sz w:val="20"/>
                <w:szCs w:val="20"/>
              </w:rPr>
              <w:t>MF</w:t>
            </w:r>
            <w:r w:rsidRPr="00EE11C8">
              <w:rPr>
                <w:rFonts w:ascii="Arial Narrow" w:hAnsi="Arial Narrow"/>
                <w:sz w:val="20"/>
                <w:szCs w:val="20"/>
                <w:lang w:eastAsia="en-US"/>
              </w:rPr>
              <w:t xml:space="preserve"> 200 BD (O’Connor 2001 endpoint)</w:t>
            </w:r>
          </w:p>
        </w:tc>
        <w:tc>
          <w:tcPr>
            <w:tcW w:w="985" w:type="dxa"/>
            <w:tcBorders>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0.16 (0.04)</w:t>
            </w:r>
          </w:p>
        </w:tc>
        <w:tc>
          <w:tcPr>
            <w:tcW w:w="992"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vertAlign w:val="superscript"/>
                <w:lang w:eastAsia="en-US"/>
              </w:rPr>
            </w:pPr>
            <w:r w:rsidRPr="00EE11C8">
              <w:rPr>
                <w:rFonts w:ascii="Arial Narrow" w:hAnsi="Arial Narrow"/>
                <w:sz w:val="20"/>
                <w:szCs w:val="20"/>
                <w:lang w:eastAsia="en-US"/>
              </w:rPr>
              <w:t>0.16 (0.04)</w:t>
            </w:r>
            <w:r w:rsidR="0096451B" w:rsidRPr="00EE11C8">
              <w:rPr>
                <w:rFonts w:ascii="Arial Narrow" w:hAnsi="Arial Narrow"/>
                <w:sz w:val="20"/>
                <w:szCs w:val="20"/>
                <w:vertAlign w:val="superscript"/>
                <w:lang w:eastAsia="en-US"/>
              </w:rPr>
              <w:t>b</w:t>
            </w:r>
          </w:p>
        </w:tc>
        <w:tc>
          <w:tcPr>
            <w:tcW w:w="2698" w:type="dxa"/>
            <w:gridSpan w:val="2"/>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0.00 (-0.11, 0.11)</w:t>
            </w:r>
            <w:r w:rsidRPr="00EE11C8">
              <w:rPr>
                <w:rFonts w:ascii="Arial Narrow" w:hAnsi="Arial Narrow"/>
                <w:sz w:val="20"/>
                <w:szCs w:val="20"/>
                <w:vertAlign w:val="superscript"/>
                <w:lang w:eastAsia="en-US"/>
              </w:rPr>
              <w:t>b</w:t>
            </w:r>
          </w:p>
        </w:tc>
      </w:tr>
      <w:tr w:rsidR="002D14F0" w:rsidRPr="00EE11C8" w:rsidTr="00703981">
        <w:tc>
          <w:tcPr>
            <w:tcW w:w="3357"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703981">
            <w:pPr>
              <w:keepNext/>
              <w:keepLines/>
              <w:rPr>
                <w:rFonts w:ascii="Arial Narrow" w:hAnsi="Arial Narrow"/>
                <w:b/>
                <w:sz w:val="20"/>
                <w:szCs w:val="20"/>
              </w:rPr>
            </w:pPr>
            <w:r w:rsidRPr="00EE11C8">
              <w:rPr>
                <w:rFonts w:ascii="Arial Narrow" w:hAnsi="Arial Narrow"/>
                <w:b/>
                <w:sz w:val="20"/>
                <w:szCs w:val="20"/>
              </w:rPr>
              <w:t xml:space="preserve">Trough FEV1 (L) </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b/>
                <w:bCs/>
                <w:sz w:val="20"/>
                <w:szCs w:val="20"/>
                <w:lang w:eastAsia="en-US"/>
              </w:rPr>
              <w:t>MF/IND</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bCs/>
                <w:sz w:val="20"/>
                <w:szCs w:val="20"/>
                <w:lang w:eastAsia="en-US"/>
              </w:rPr>
            </w:pPr>
            <w:r w:rsidRPr="00EE11C8">
              <w:rPr>
                <w:rFonts w:ascii="Arial Narrow" w:hAnsi="Arial Narrow"/>
                <w:b/>
                <w:bCs/>
                <w:sz w:val="20"/>
                <w:szCs w:val="20"/>
                <w:lang w:eastAsia="en-US"/>
              </w:rPr>
              <w:t>FP/SAL</w:t>
            </w: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b/>
                <w:bCs/>
                <w:sz w:val="20"/>
                <w:szCs w:val="20"/>
                <w:lang w:eastAsia="en-US"/>
              </w:rPr>
              <w:t>MF</w:t>
            </w:r>
          </w:p>
        </w:tc>
        <w:tc>
          <w:tcPr>
            <w:tcW w:w="1266"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b/>
                <w:sz w:val="20"/>
                <w:szCs w:val="20"/>
              </w:rPr>
            </w:pPr>
            <w:r w:rsidRPr="00EE11C8">
              <w:rPr>
                <w:rFonts w:ascii="Arial Narrow" w:hAnsi="Arial Narrow"/>
                <w:b/>
                <w:sz w:val="20"/>
                <w:szCs w:val="20"/>
              </w:rPr>
              <w:t xml:space="preserve">MF/IND </w:t>
            </w:r>
          </w:p>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b/>
                <w:sz w:val="20"/>
                <w:szCs w:val="20"/>
              </w:rPr>
              <w:t>v FP/SAL</w:t>
            </w:r>
          </w:p>
        </w:tc>
        <w:tc>
          <w:tcPr>
            <w:tcW w:w="1432" w:type="dxa"/>
            <w:tcBorders>
              <w:top w:val="single" w:sz="4" w:space="0" w:color="auto"/>
              <w:left w:val="single" w:sz="4" w:space="0" w:color="auto"/>
              <w:right w:val="single" w:sz="4" w:space="0" w:color="auto"/>
            </w:tcBorders>
          </w:tcPr>
          <w:p w:rsidR="000C4889" w:rsidRPr="00EE11C8" w:rsidRDefault="000C4889" w:rsidP="0049320A">
            <w:pPr>
              <w:keepNext/>
              <w:keepLines/>
              <w:jc w:val="center"/>
              <w:rPr>
                <w:rFonts w:ascii="Arial Narrow" w:hAnsi="Arial Narrow"/>
                <w:b/>
                <w:sz w:val="20"/>
                <w:szCs w:val="20"/>
              </w:rPr>
            </w:pPr>
            <w:r w:rsidRPr="00EE11C8">
              <w:rPr>
                <w:rFonts w:ascii="Arial Narrow" w:hAnsi="Arial Narrow"/>
                <w:b/>
                <w:sz w:val="20"/>
                <w:szCs w:val="20"/>
              </w:rPr>
              <w:t xml:space="preserve">MF/IND </w:t>
            </w:r>
          </w:p>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b/>
                <w:sz w:val="20"/>
                <w:szCs w:val="20"/>
              </w:rPr>
              <w:t>v MF or FP</w:t>
            </w:r>
          </w:p>
        </w:tc>
      </w:tr>
      <w:tr w:rsidR="002D14F0" w:rsidRPr="00EE11C8" w:rsidTr="00703981">
        <w:tc>
          <w:tcPr>
            <w:tcW w:w="3357" w:type="dxa"/>
            <w:tcBorders>
              <w:top w:val="single" w:sz="4" w:space="0" w:color="auto"/>
              <w:left w:val="single" w:sz="4" w:space="0" w:color="auto"/>
              <w:right w:val="single" w:sz="4" w:space="0" w:color="auto"/>
            </w:tcBorders>
            <w:tcMar>
              <w:top w:w="0" w:type="dxa"/>
              <w:left w:w="28" w:type="dxa"/>
              <w:bottom w:w="0" w:type="dxa"/>
              <w:right w:w="28" w:type="dxa"/>
            </w:tcMar>
          </w:tcPr>
          <w:p w:rsidR="000C4889" w:rsidRPr="00EE11C8" w:rsidRDefault="000C4889" w:rsidP="0049320A">
            <w:pPr>
              <w:keepNext/>
              <w:keepLines/>
              <w:rPr>
                <w:rFonts w:ascii="Arial Narrow" w:hAnsi="Arial Narrow"/>
                <w:b/>
                <w:bCs/>
                <w:sz w:val="20"/>
                <w:szCs w:val="20"/>
                <w:lang w:eastAsia="en-US"/>
              </w:rPr>
            </w:pPr>
            <w:r w:rsidRPr="00EE11C8">
              <w:rPr>
                <w:rFonts w:ascii="Arial Narrow" w:hAnsi="Arial Narrow"/>
                <w:b/>
                <w:bCs/>
                <w:sz w:val="20"/>
                <w:szCs w:val="20"/>
                <w:lang w:eastAsia="en-US"/>
              </w:rPr>
              <w:t>Low dose MF/IND 80/150 D</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432" w:type="dxa"/>
            <w:tcBorders>
              <w:top w:val="single" w:sz="4" w:space="0" w:color="auto"/>
              <w:left w:val="single" w:sz="4" w:space="0" w:color="auto"/>
              <w:right w:val="single" w:sz="4" w:space="0" w:color="auto"/>
            </w:tcBorders>
          </w:tcPr>
          <w:p w:rsidR="000C4889" w:rsidRPr="00EE11C8" w:rsidRDefault="000C4889" w:rsidP="0049320A">
            <w:pPr>
              <w:keepNext/>
              <w:keepLines/>
              <w:jc w:val="center"/>
              <w:rPr>
                <w:rFonts w:ascii="Arial Narrow" w:hAnsi="Arial Narrow"/>
                <w:sz w:val="20"/>
                <w:szCs w:val="20"/>
                <w:lang w:eastAsia="en-US"/>
              </w:rPr>
            </w:pPr>
          </w:p>
        </w:tc>
      </w:tr>
      <w:tr w:rsidR="002D14F0" w:rsidRPr="00EE11C8" w:rsidTr="00703981">
        <w:tc>
          <w:tcPr>
            <w:tcW w:w="3357" w:type="dxa"/>
            <w:tcBorders>
              <w:top w:val="nil"/>
              <w:left w:val="single" w:sz="4" w:space="0" w:color="auto"/>
              <w:right w:val="single" w:sz="4" w:space="0" w:color="auto"/>
            </w:tcBorders>
            <w:tcMar>
              <w:top w:w="0" w:type="dxa"/>
              <w:left w:w="28" w:type="dxa"/>
              <w:bottom w:w="0" w:type="dxa"/>
              <w:right w:w="28" w:type="dxa"/>
            </w:tcMar>
            <w:hideMark/>
          </w:tcPr>
          <w:p w:rsidR="000C4889" w:rsidRPr="00EE11C8" w:rsidRDefault="000C4889" w:rsidP="0049320A">
            <w:pPr>
              <w:keepNext/>
              <w:keepLines/>
              <w:ind w:left="720" w:hanging="614"/>
              <w:rPr>
                <w:rFonts w:ascii="Arial Narrow" w:hAnsi="Arial Narrow"/>
                <w:sz w:val="20"/>
                <w:szCs w:val="20"/>
                <w:lang w:eastAsia="en-US"/>
              </w:rPr>
            </w:pPr>
            <w:r w:rsidRPr="00EE11C8">
              <w:rPr>
                <w:rFonts w:ascii="Arial Narrow" w:hAnsi="Arial Narrow"/>
                <w:sz w:val="20"/>
                <w:szCs w:val="20"/>
                <w:lang w:eastAsia="en-US"/>
              </w:rPr>
              <w:t>vs MF 200 D (Quartz Wk 12)</w:t>
            </w:r>
          </w:p>
        </w:tc>
        <w:tc>
          <w:tcPr>
            <w:tcW w:w="985" w:type="dxa"/>
            <w:tcBorders>
              <w:top w:val="nil"/>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0.23 (0.013)</w:t>
            </w:r>
          </w:p>
        </w:tc>
        <w:tc>
          <w:tcPr>
            <w:tcW w:w="985" w:type="dxa"/>
            <w:tcBorders>
              <w:top w:val="nil"/>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992" w:type="dxa"/>
            <w:tcBorders>
              <w:top w:val="nil"/>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0.051(0.013)</w:t>
            </w:r>
          </w:p>
        </w:tc>
        <w:tc>
          <w:tcPr>
            <w:tcW w:w="1266" w:type="dxa"/>
            <w:tcBorders>
              <w:top w:val="nil"/>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432" w:type="dxa"/>
            <w:tcBorders>
              <w:top w:val="nil"/>
              <w:left w:val="single" w:sz="4" w:space="0" w:color="auto"/>
              <w:right w:val="single" w:sz="4" w:space="0" w:color="auto"/>
            </w:tcBorders>
            <w:vAlign w:val="center"/>
          </w:tcPr>
          <w:p w:rsidR="000C4889" w:rsidRPr="00EE11C8" w:rsidRDefault="000C4889" w:rsidP="0049320A">
            <w:pPr>
              <w:keepNext/>
              <w:keepLines/>
              <w:jc w:val="center"/>
              <w:rPr>
                <w:rFonts w:ascii="Arial Narrow" w:hAnsi="Arial Narrow"/>
                <w:b/>
                <w:bCs/>
                <w:sz w:val="20"/>
                <w:szCs w:val="20"/>
                <w:lang w:eastAsia="en-US"/>
              </w:rPr>
            </w:pPr>
            <w:r w:rsidRPr="00EE11C8">
              <w:rPr>
                <w:rFonts w:ascii="Arial Narrow" w:hAnsi="Arial Narrow"/>
                <w:b/>
                <w:bCs/>
                <w:sz w:val="20"/>
                <w:szCs w:val="20"/>
                <w:lang w:eastAsia="en-US"/>
              </w:rPr>
              <w:t>0.18 (0.15,0.22)</w:t>
            </w:r>
          </w:p>
        </w:tc>
      </w:tr>
      <w:tr w:rsidR="002D14F0" w:rsidRPr="00EE11C8" w:rsidTr="00703981">
        <w:tc>
          <w:tcPr>
            <w:tcW w:w="3357" w:type="dxa"/>
            <w:tcBorders>
              <w:left w:val="single" w:sz="4" w:space="0" w:color="auto"/>
              <w:bottom w:val="nil"/>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left"/>
              <w:rPr>
                <w:rFonts w:ascii="Arial Narrow" w:hAnsi="Arial Narrow"/>
                <w:sz w:val="20"/>
                <w:szCs w:val="20"/>
                <w:u w:val="single"/>
                <w:lang w:eastAsia="en-US"/>
              </w:rPr>
            </w:pPr>
            <w:r w:rsidRPr="00EE11C8">
              <w:rPr>
                <w:rFonts w:ascii="Arial Narrow" w:hAnsi="Arial Narrow"/>
                <w:sz w:val="20"/>
                <w:szCs w:val="20"/>
                <w:u w:val="single"/>
                <w:lang w:eastAsia="en-US"/>
              </w:rPr>
              <w:t>ITC: Quartz Wk 12, O’Connor 2001 endpoint</w:t>
            </w:r>
          </w:p>
        </w:tc>
        <w:tc>
          <w:tcPr>
            <w:tcW w:w="985"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85"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92"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left w:val="single" w:sz="4" w:space="0" w:color="auto"/>
              <w:bottom w:val="nil"/>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p>
        </w:tc>
        <w:tc>
          <w:tcPr>
            <w:tcW w:w="1432" w:type="dxa"/>
            <w:tcBorders>
              <w:left w:val="single" w:sz="4" w:space="0" w:color="auto"/>
              <w:bottom w:val="nil"/>
              <w:right w:val="single" w:sz="4" w:space="0" w:color="auto"/>
            </w:tcBorders>
          </w:tcPr>
          <w:p w:rsidR="000C4889" w:rsidRPr="00EE11C8" w:rsidRDefault="000C4889" w:rsidP="0049320A">
            <w:pPr>
              <w:keepNext/>
              <w:keepLines/>
              <w:jc w:val="center"/>
              <w:rPr>
                <w:rFonts w:ascii="Arial Narrow" w:hAnsi="Arial Narrow"/>
                <w:sz w:val="20"/>
                <w:szCs w:val="20"/>
                <w:lang w:eastAsia="en-US"/>
              </w:rPr>
            </w:pPr>
          </w:p>
        </w:tc>
      </w:tr>
      <w:tr w:rsidR="002D14F0" w:rsidRPr="00EE11C8" w:rsidTr="00703981">
        <w:tc>
          <w:tcPr>
            <w:tcW w:w="3357"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0C4889" w:rsidP="0049320A">
            <w:pPr>
              <w:keepNext/>
              <w:keepLines/>
              <w:ind w:left="112" w:hanging="6"/>
              <w:rPr>
                <w:rFonts w:ascii="Arial Narrow" w:hAnsi="Arial Narrow"/>
                <w:sz w:val="20"/>
                <w:szCs w:val="20"/>
                <w:lang w:eastAsia="en-US"/>
              </w:rPr>
            </w:pPr>
            <w:r w:rsidRPr="00EE11C8">
              <w:rPr>
                <w:rFonts w:ascii="Arial Narrow" w:hAnsi="Arial Narrow"/>
                <w:sz w:val="20"/>
                <w:szCs w:val="20"/>
                <w:lang w:eastAsia="en-US"/>
              </w:rPr>
              <w:t xml:space="preserve">vs FP 250 BD via </w:t>
            </w:r>
            <w:r w:rsidR="00D4600D" w:rsidRPr="00EE11C8">
              <w:rPr>
                <w:rFonts w:ascii="Arial Narrow" w:hAnsi="Arial Narrow"/>
                <w:sz w:val="20"/>
                <w:szCs w:val="20"/>
                <w:lang w:eastAsia="en-US"/>
              </w:rPr>
              <w:t xml:space="preserve">MF </w:t>
            </w:r>
            <w:r w:rsidRPr="00EE11C8">
              <w:rPr>
                <w:rFonts w:ascii="Arial Narrow" w:hAnsi="Arial Narrow"/>
                <w:sz w:val="20"/>
                <w:szCs w:val="20"/>
                <w:lang w:eastAsia="en-US"/>
              </w:rPr>
              <w:t xml:space="preserve">100 BD </w:t>
            </w:r>
          </w:p>
        </w:tc>
        <w:tc>
          <w:tcPr>
            <w:tcW w:w="985"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C54827"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985"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C54827"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992"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C54827"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1266" w:type="dxa"/>
            <w:tcBorders>
              <w:left w:val="single" w:sz="4" w:space="0" w:color="auto"/>
              <w:bottom w:val="nil"/>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432" w:type="dxa"/>
            <w:tcBorders>
              <w:left w:val="single" w:sz="4" w:space="0" w:color="auto"/>
              <w:bottom w:val="nil"/>
              <w:right w:val="single" w:sz="4" w:space="0" w:color="auto"/>
            </w:tcBorders>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0.09 (-0.03, 0.21)</w:t>
            </w:r>
            <w:r w:rsidRPr="00EE11C8">
              <w:rPr>
                <w:rFonts w:ascii="Arial Narrow" w:hAnsi="Arial Narrow"/>
                <w:sz w:val="20"/>
                <w:szCs w:val="20"/>
                <w:vertAlign w:val="superscript"/>
                <w:lang w:eastAsia="en-US"/>
              </w:rPr>
              <w:t>c</w:t>
            </w:r>
          </w:p>
        </w:tc>
      </w:tr>
      <w:tr w:rsidR="002D14F0" w:rsidRPr="00EE11C8" w:rsidTr="00703981">
        <w:tc>
          <w:tcPr>
            <w:tcW w:w="3357" w:type="dxa"/>
            <w:tcBorders>
              <w:top w:val="nil"/>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 xml:space="preserve">vs FP 250 BD via </w:t>
            </w:r>
            <w:r w:rsidR="00D4600D" w:rsidRPr="00EE11C8">
              <w:rPr>
                <w:rFonts w:ascii="Arial Narrow" w:hAnsi="Arial Narrow"/>
                <w:sz w:val="20"/>
                <w:szCs w:val="20"/>
                <w:lang w:eastAsia="en-US"/>
              </w:rPr>
              <w:t xml:space="preserve">MF </w:t>
            </w:r>
            <w:r w:rsidRPr="00EE11C8">
              <w:rPr>
                <w:rFonts w:ascii="Arial Narrow" w:hAnsi="Arial Narrow"/>
                <w:sz w:val="20"/>
                <w:szCs w:val="20"/>
                <w:lang w:eastAsia="en-US"/>
              </w:rPr>
              <w:t>200 BD</w:t>
            </w:r>
          </w:p>
        </w:tc>
        <w:tc>
          <w:tcPr>
            <w:tcW w:w="985" w:type="dxa"/>
            <w:tcBorders>
              <w:top w:val="nil"/>
              <w:left w:val="single" w:sz="4" w:space="0" w:color="auto"/>
              <w:right w:val="single" w:sz="4" w:space="0" w:color="auto"/>
            </w:tcBorders>
            <w:tcMar>
              <w:top w:w="0" w:type="dxa"/>
              <w:left w:w="28" w:type="dxa"/>
              <w:bottom w:w="0" w:type="dxa"/>
              <w:right w:w="28" w:type="dxa"/>
            </w:tcMar>
            <w:vAlign w:val="center"/>
          </w:tcPr>
          <w:p w:rsidR="000C4889" w:rsidRPr="00EE11C8" w:rsidRDefault="00C54827"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985" w:type="dxa"/>
            <w:tcBorders>
              <w:top w:val="nil"/>
              <w:left w:val="single" w:sz="4" w:space="0" w:color="auto"/>
              <w:right w:val="single" w:sz="4" w:space="0" w:color="auto"/>
            </w:tcBorders>
            <w:tcMar>
              <w:top w:w="0" w:type="dxa"/>
              <w:left w:w="28" w:type="dxa"/>
              <w:bottom w:w="0" w:type="dxa"/>
              <w:right w:w="28" w:type="dxa"/>
            </w:tcMar>
            <w:vAlign w:val="center"/>
          </w:tcPr>
          <w:p w:rsidR="000C4889" w:rsidRPr="00EE11C8" w:rsidRDefault="00C54827"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992" w:type="dxa"/>
            <w:tcBorders>
              <w:top w:val="nil"/>
              <w:left w:val="single" w:sz="4" w:space="0" w:color="auto"/>
              <w:right w:val="single" w:sz="4" w:space="0" w:color="auto"/>
            </w:tcBorders>
            <w:tcMar>
              <w:top w:w="0" w:type="dxa"/>
              <w:left w:w="28" w:type="dxa"/>
              <w:bottom w:w="0" w:type="dxa"/>
              <w:right w:w="28" w:type="dxa"/>
            </w:tcMar>
            <w:vAlign w:val="center"/>
          </w:tcPr>
          <w:p w:rsidR="000C4889" w:rsidRPr="00EE11C8" w:rsidRDefault="00C54827"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w:t>
            </w:r>
          </w:p>
        </w:tc>
        <w:tc>
          <w:tcPr>
            <w:tcW w:w="1266" w:type="dxa"/>
            <w:tcBorders>
              <w:top w:val="nil"/>
              <w:left w:val="single" w:sz="4" w:space="0" w:color="auto"/>
              <w:right w:val="single" w:sz="4" w:space="0" w:color="auto"/>
            </w:tcBorders>
            <w:tcMar>
              <w:top w:w="0" w:type="dxa"/>
              <w:left w:w="28" w:type="dxa"/>
              <w:bottom w:w="0" w:type="dxa"/>
              <w:right w:w="28" w:type="dxa"/>
            </w:tcMar>
          </w:tcPr>
          <w:p w:rsidR="000C4889" w:rsidRPr="00EE11C8" w:rsidRDefault="000C4889" w:rsidP="0049320A">
            <w:pPr>
              <w:keepNext/>
              <w:keepLines/>
              <w:jc w:val="center"/>
              <w:rPr>
                <w:rFonts w:ascii="Arial Narrow" w:hAnsi="Arial Narrow"/>
                <w:sz w:val="20"/>
                <w:szCs w:val="20"/>
                <w:lang w:eastAsia="en-US"/>
              </w:rPr>
            </w:pPr>
          </w:p>
        </w:tc>
        <w:tc>
          <w:tcPr>
            <w:tcW w:w="1432" w:type="dxa"/>
            <w:tcBorders>
              <w:top w:val="nil"/>
              <w:left w:val="single" w:sz="4" w:space="0" w:color="auto"/>
              <w:right w:val="single" w:sz="4" w:space="0" w:color="auto"/>
            </w:tcBorders>
          </w:tcPr>
          <w:p w:rsidR="000C4889" w:rsidRPr="00EE11C8" w:rsidRDefault="000C4889" w:rsidP="0049320A">
            <w:pPr>
              <w:keepNext/>
              <w:keepLines/>
              <w:jc w:val="center"/>
              <w:rPr>
                <w:rFonts w:ascii="Arial Narrow" w:hAnsi="Arial Narrow"/>
                <w:b/>
                <w:bCs/>
                <w:sz w:val="20"/>
                <w:szCs w:val="20"/>
                <w:lang w:eastAsia="en-US"/>
              </w:rPr>
            </w:pPr>
            <w:r w:rsidRPr="00EE11C8">
              <w:rPr>
                <w:rFonts w:ascii="Arial Narrow" w:hAnsi="Arial Narrow"/>
                <w:b/>
                <w:bCs/>
                <w:sz w:val="20"/>
                <w:szCs w:val="20"/>
                <w:lang w:eastAsia="en-US"/>
              </w:rPr>
              <w:t>0.18 (0.06, 0.30</w:t>
            </w:r>
            <w:r w:rsidRPr="00EE11C8">
              <w:rPr>
                <w:rFonts w:ascii="Arial Narrow" w:hAnsi="Arial Narrow"/>
                <w:b/>
                <w:bCs/>
                <w:sz w:val="20"/>
                <w:szCs w:val="20"/>
                <w:vertAlign w:val="superscript"/>
                <w:lang w:eastAsia="en-US"/>
              </w:rPr>
              <w:t>)</w:t>
            </w:r>
            <w:r w:rsidR="007A0B02" w:rsidRPr="00EE11C8">
              <w:rPr>
                <w:rFonts w:ascii="Arial Narrow" w:hAnsi="Arial Narrow"/>
                <w:b/>
                <w:bCs/>
                <w:sz w:val="20"/>
                <w:szCs w:val="20"/>
                <w:vertAlign w:val="superscript"/>
                <w:lang w:eastAsia="en-US"/>
              </w:rPr>
              <w:t>b</w:t>
            </w:r>
          </w:p>
        </w:tc>
      </w:tr>
      <w:tr w:rsidR="002D14F0" w:rsidRPr="00EE11C8" w:rsidTr="00703981">
        <w:tc>
          <w:tcPr>
            <w:tcW w:w="3357"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left"/>
              <w:rPr>
                <w:rFonts w:ascii="Arial Narrow" w:hAnsi="Arial Narrow"/>
                <w:sz w:val="20"/>
                <w:szCs w:val="20"/>
                <w:lang w:eastAsia="en-US"/>
              </w:rPr>
            </w:pPr>
            <w:r w:rsidRPr="00EE11C8">
              <w:rPr>
                <w:rFonts w:ascii="Arial Narrow" w:hAnsi="Arial Narrow"/>
                <w:b/>
                <w:bCs/>
                <w:sz w:val="20"/>
                <w:szCs w:val="20"/>
                <w:lang w:eastAsia="en-US"/>
              </w:rPr>
              <w:t>Medium dose MF/IND 160/150 D</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top w:val="single" w:sz="4" w:space="0" w:color="auto"/>
              <w:left w:val="single" w:sz="4" w:space="0" w:color="auto"/>
              <w:right w:val="single" w:sz="4" w:space="0" w:color="auto"/>
            </w:tcBorders>
            <w:tcMar>
              <w:top w:w="0" w:type="dxa"/>
              <w:left w:w="28" w:type="dxa"/>
              <w:bottom w:w="0" w:type="dxa"/>
              <w:right w:w="28" w:type="dxa"/>
            </w:tcMar>
          </w:tcPr>
          <w:p w:rsidR="000C4889" w:rsidRPr="00EE11C8" w:rsidRDefault="000C4889" w:rsidP="0049320A">
            <w:pPr>
              <w:keepNext/>
              <w:keepLines/>
              <w:jc w:val="center"/>
              <w:rPr>
                <w:rFonts w:ascii="Arial Narrow" w:hAnsi="Arial Narrow"/>
                <w:sz w:val="20"/>
                <w:szCs w:val="20"/>
                <w:lang w:eastAsia="en-US"/>
              </w:rPr>
            </w:pPr>
          </w:p>
        </w:tc>
        <w:tc>
          <w:tcPr>
            <w:tcW w:w="1432" w:type="dxa"/>
            <w:tcBorders>
              <w:top w:val="single" w:sz="4" w:space="0" w:color="auto"/>
              <w:left w:val="single" w:sz="4" w:space="0" w:color="auto"/>
              <w:right w:val="single" w:sz="4" w:space="0" w:color="auto"/>
            </w:tcBorders>
          </w:tcPr>
          <w:p w:rsidR="000C4889" w:rsidRPr="00EE11C8" w:rsidRDefault="000C4889" w:rsidP="0049320A">
            <w:pPr>
              <w:keepNext/>
              <w:keepLines/>
              <w:jc w:val="center"/>
              <w:rPr>
                <w:rFonts w:ascii="Arial Narrow" w:hAnsi="Arial Narrow"/>
                <w:sz w:val="20"/>
                <w:szCs w:val="20"/>
                <w:lang w:eastAsia="en-US"/>
              </w:rPr>
            </w:pPr>
          </w:p>
        </w:tc>
      </w:tr>
      <w:tr w:rsidR="002D14F0" w:rsidRPr="00EE11C8" w:rsidTr="00703981">
        <w:tc>
          <w:tcPr>
            <w:tcW w:w="3357" w:type="dxa"/>
            <w:tcBorders>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vs MF 400 D (Palladium Wk 26)</w:t>
            </w:r>
          </w:p>
        </w:tc>
        <w:tc>
          <w:tcPr>
            <w:tcW w:w="985" w:type="dxa"/>
            <w:tcBorders>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0.29 (0.016)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92" w:type="dxa"/>
            <w:tcBorders>
              <w:left w:val="single" w:sz="4" w:space="0" w:color="auto"/>
              <w:right w:val="single" w:sz="4" w:space="0" w:color="auto"/>
            </w:tcBorders>
            <w:tcMar>
              <w:top w:w="0" w:type="dxa"/>
              <w:left w:w="28" w:type="dxa"/>
              <w:bottom w:w="0" w:type="dxa"/>
              <w:right w:w="28" w:type="dxa"/>
            </w:tcMar>
            <w:vAlign w:val="center"/>
            <w:hideMark/>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0.075(0.016)</w:t>
            </w:r>
          </w:p>
        </w:tc>
        <w:tc>
          <w:tcPr>
            <w:tcW w:w="1266"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432" w:type="dxa"/>
            <w:tcBorders>
              <w:left w:val="single" w:sz="4" w:space="0" w:color="auto"/>
              <w:right w:val="single" w:sz="4" w:space="0" w:color="auto"/>
            </w:tcBorders>
            <w:vAlign w:val="center"/>
          </w:tcPr>
          <w:p w:rsidR="000C4889" w:rsidRPr="00EE11C8" w:rsidRDefault="000C4889" w:rsidP="0049320A">
            <w:pPr>
              <w:keepNext/>
              <w:keepLines/>
              <w:jc w:val="center"/>
              <w:rPr>
                <w:rFonts w:ascii="Arial Narrow" w:hAnsi="Arial Narrow"/>
                <w:b/>
                <w:sz w:val="20"/>
                <w:szCs w:val="20"/>
              </w:rPr>
            </w:pPr>
            <w:r w:rsidRPr="00EE11C8">
              <w:rPr>
                <w:rFonts w:ascii="Arial Narrow" w:hAnsi="Arial Narrow"/>
                <w:b/>
                <w:sz w:val="20"/>
                <w:szCs w:val="20"/>
              </w:rPr>
              <w:t>0.21 (0.17, 0.26)</w:t>
            </w:r>
          </w:p>
        </w:tc>
      </w:tr>
      <w:tr w:rsidR="002D14F0" w:rsidRPr="00EE11C8" w:rsidTr="00703981">
        <w:tc>
          <w:tcPr>
            <w:tcW w:w="3357"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vs FP/SAL 500/50 BD (Palladium Wk 26)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0.29 (0.016)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0.25 (0.016)</w:t>
            </w:r>
          </w:p>
        </w:tc>
        <w:tc>
          <w:tcPr>
            <w:tcW w:w="992"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703981">
            <w:pPr>
              <w:keepNext/>
              <w:keepLines/>
              <w:jc w:val="center"/>
              <w:rPr>
                <w:rFonts w:ascii="Arial Narrow" w:hAnsi="Arial Narrow"/>
                <w:sz w:val="20"/>
                <w:szCs w:val="20"/>
                <w:lang w:eastAsia="en-US"/>
              </w:rPr>
            </w:pPr>
            <w:r w:rsidRPr="00EE11C8">
              <w:rPr>
                <w:rFonts w:ascii="Arial Narrow" w:hAnsi="Arial Narrow"/>
                <w:sz w:val="20"/>
                <w:szCs w:val="20"/>
              </w:rPr>
              <w:t>0.04(-0.00,0.09)</w:t>
            </w:r>
          </w:p>
        </w:tc>
        <w:tc>
          <w:tcPr>
            <w:tcW w:w="1432" w:type="dxa"/>
            <w:tcBorders>
              <w:left w:val="single" w:sz="4" w:space="0" w:color="auto"/>
              <w:right w:val="single" w:sz="4" w:space="0" w:color="auto"/>
            </w:tcBorders>
            <w:vAlign w:val="center"/>
          </w:tcPr>
          <w:p w:rsidR="000C4889" w:rsidRPr="00EE11C8" w:rsidRDefault="000C4889" w:rsidP="0049320A">
            <w:pPr>
              <w:keepNext/>
              <w:keepLines/>
              <w:jc w:val="center"/>
              <w:rPr>
                <w:rFonts w:ascii="Arial Narrow" w:hAnsi="Arial Narrow"/>
                <w:sz w:val="20"/>
                <w:szCs w:val="20"/>
              </w:rPr>
            </w:pPr>
          </w:p>
        </w:tc>
      </w:tr>
      <w:tr w:rsidR="002D14F0" w:rsidRPr="00EE11C8" w:rsidTr="00703981">
        <w:tc>
          <w:tcPr>
            <w:tcW w:w="3357"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vs FP/SAL 500/50 BD (Iridium Wk 26)</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0.22 (0.013)</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0.20 (0.013)</w:t>
            </w:r>
          </w:p>
        </w:tc>
        <w:tc>
          <w:tcPr>
            <w:tcW w:w="992"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703981">
            <w:pPr>
              <w:keepNext/>
              <w:keepLines/>
              <w:jc w:val="center"/>
              <w:rPr>
                <w:rFonts w:ascii="Arial Narrow" w:hAnsi="Arial Narrow"/>
                <w:sz w:val="20"/>
                <w:szCs w:val="20"/>
                <w:lang w:eastAsia="en-US"/>
              </w:rPr>
            </w:pPr>
            <w:r w:rsidRPr="00EE11C8">
              <w:rPr>
                <w:rFonts w:ascii="Arial Narrow" w:hAnsi="Arial Narrow"/>
                <w:sz w:val="20"/>
                <w:szCs w:val="20"/>
              </w:rPr>
              <w:t>0.02(-0.01,0.06)</w:t>
            </w:r>
          </w:p>
        </w:tc>
        <w:tc>
          <w:tcPr>
            <w:tcW w:w="1432" w:type="dxa"/>
            <w:tcBorders>
              <w:left w:val="single" w:sz="4" w:space="0" w:color="auto"/>
              <w:bottom w:val="single" w:sz="4" w:space="0" w:color="auto"/>
              <w:right w:val="single" w:sz="4" w:space="0" w:color="auto"/>
            </w:tcBorders>
            <w:vAlign w:val="center"/>
          </w:tcPr>
          <w:p w:rsidR="000C4889" w:rsidRPr="00EE11C8" w:rsidRDefault="000C4889" w:rsidP="0049320A">
            <w:pPr>
              <w:keepNext/>
              <w:keepLines/>
              <w:jc w:val="center"/>
              <w:rPr>
                <w:rFonts w:ascii="Arial Narrow" w:hAnsi="Arial Narrow"/>
                <w:sz w:val="20"/>
                <w:szCs w:val="20"/>
              </w:rPr>
            </w:pPr>
          </w:p>
        </w:tc>
      </w:tr>
      <w:tr w:rsidR="002D14F0" w:rsidRPr="00EE11C8" w:rsidTr="00703981">
        <w:tc>
          <w:tcPr>
            <w:tcW w:w="3357"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rPr>
                <w:rFonts w:ascii="Arial Narrow" w:hAnsi="Arial Narrow"/>
                <w:sz w:val="20"/>
                <w:szCs w:val="20"/>
              </w:rPr>
            </w:pPr>
            <w:r w:rsidRPr="00EE11C8">
              <w:rPr>
                <w:rFonts w:ascii="Arial Narrow" w:hAnsi="Arial Narrow"/>
                <w:b/>
                <w:bCs/>
                <w:sz w:val="20"/>
                <w:szCs w:val="20"/>
                <w:lang w:eastAsia="en-US"/>
              </w:rPr>
              <w:t>High dose MF/IND 320/150 D</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rPr>
            </w:pP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rPr>
            </w:pPr>
          </w:p>
        </w:tc>
        <w:tc>
          <w:tcPr>
            <w:tcW w:w="992"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left w:val="single" w:sz="4" w:space="0" w:color="auto"/>
              <w:right w:val="single" w:sz="4" w:space="0" w:color="auto"/>
            </w:tcBorders>
            <w:tcMar>
              <w:top w:w="0" w:type="dxa"/>
              <w:left w:w="28" w:type="dxa"/>
              <w:bottom w:w="0" w:type="dxa"/>
              <w:right w:w="28" w:type="dxa"/>
            </w:tcMar>
          </w:tcPr>
          <w:p w:rsidR="000C4889" w:rsidRPr="00EE11C8" w:rsidRDefault="000C4889" w:rsidP="0049320A">
            <w:pPr>
              <w:keepNext/>
              <w:keepLines/>
              <w:jc w:val="center"/>
              <w:rPr>
                <w:rFonts w:ascii="Arial Narrow" w:hAnsi="Arial Narrow"/>
                <w:sz w:val="20"/>
                <w:szCs w:val="20"/>
              </w:rPr>
            </w:pPr>
          </w:p>
        </w:tc>
        <w:tc>
          <w:tcPr>
            <w:tcW w:w="1432" w:type="dxa"/>
            <w:tcBorders>
              <w:left w:val="single" w:sz="4" w:space="0" w:color="auto"/>
              <w:right w:val="single" w:sz="4" w:space="0" w:color="auto"/>
            </w:tcBorders>
          </w:tcPr>
          <w:p w:rsidR="000C4889" w:rsidRPr="00EE11C8" w:rsidRDefault="000C4889" w:rsidP="0049320A">
            <w:pPr>
              <w:keepNext/>
              <w:keepLines/>
              <w:jc w:val="center"/>
              <w:rPr>
                <w:rFonts w:ascii="Arial Narrow" w:hAnsi="Arial Narrow"/>
                <w:sz w:val="20"/>
                <w:szCs w:val="20"/>
              </w:rPr>
            </w:pPr>
          </w:p>
        </w:tc>
      </w:tr>
      <w:tr w:rsidR="002D14F0" w:rsidRPr="00EE11C8" w:rsidTr="00703981">
        <w:tc>
          <w:tcPr>
            <w:tcW w:w="3357"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vs MF 400 BD (Palladium Wk 26)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0.28 (0.016)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992"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0.15 (0.016)</w:t>
            </w:r>
          </w:p>
        </w:tc>
        <w:tc>
          <w:tcPr>
            <w:tcW w:w="1266"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432" w:type="dxa"/>
            <w:tcBorders>
              <w:left w:val="single" w:sz="4" w:space="0" w:color="auto"/>
              <w:right w:val="single" w:sz="4" w:space="0" w:color="auto"/>
            </w:tcBorders>
            <w:vAlign w:val="center"/>
          </w:tcPr>
          <w:p w:rsidR="000C4889" w:rsidRPr="00EE11C8" w:rsidRDefault="000C4889" w:rsidP="0049320A">
            <w:pPr>
              <w:keepNext/>
              <w:keepLines/>
              <w:jc w:val="center"/>
              <w:rPr>
                <w:rFonts w:ascii="Arial Narrow" w:hAnsi="Arial Narrow"/>
                <w:b/>
                <w:sz w:val="20"/>
                <w:szCs w:val="20"/>
              </w:rPr>
            </w:pPr>
            <w:r w:rsidRPr="00EE11C8">
              <w:rPr>
                <w:rFonts w:ascii="Arial Narrow" w:hAnsi="Arial Narrow"/>
                <w:b/>
                <w:sz w:val="20"/>
                <w:szCs w:val="20"/>
              </w:rPr>
              <w:t>0.13 (0.09, 0.1</w:t>
            </w:r>
            <w:r w:rsidR="007A0B02" w:rsidRPr="00EE11C8">
              <w:rPr>
                <w:rFonts w:ascii="Arial Narrow" w:hAnsi="Arial Narrow"/>
                <w:b/>
                <w:sz w:val="20"/>
                <w:szCs w:val="20"/>
              </w:rPr>
              <w:t>8</w:t>
            </w:r>
            <w:r w:rsidRPr="00EE11C8">
              <w:rPr>
                <w:rFonts w:ascii="Arial Narrow" w:hAnsi="Arial Narrow"/>
                <w:b/>
                <w:sz w:val="20"/>
                <w:szCs w:val="20"/>
              </w:rPr>
              <w:t>)</w:t>
            </w:r>
          </w:p>
        </w:tc>
      </w:tr>
      <w:tr w:rsidR="002D14F0" w:rsidRPr="00EE11C8" w:rsidTr="00703981">
        <w:tc>
          <w:tcPr>
            <w:tcW w:w="3357"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vs FP/SAL 500/50 BD Palladium (Wk 26)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0.28 (0.016)</w:t>
            </w:r>
          </w:p>
        </w:tc>
        <w:tc>
          <w:tcPr>
            <w:tcW w:w="985"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0.25 (0.016)</w:t>
            </w:r>
          </w:p>
        </w:tc>
        <w:tc>
          <w:tcPr>
            <w:tcW w:w="992"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left w:val="single" w:sz="4" w:space="0" w:color="auto"/>
              <w:right w:val="single" w:sz="4" w:space="0" w:color="auto"/>
            </w:tcBorders>
            <w:tcMar>
              <w:top w:w="0" w:type="dxa"/>
              <w:left w:w="28" w:type="dxa"/>
              <w:bottom w:w="0" w:type="dxa"/>
              <w:right w:w="28" w:type="dxa"/>
            </w:tcMar>
            <w:vAlign w:val="center"/>
          </w:tcPr>
          <w:p w:rsidR="000C4889" w:rsidRPr="00EE11C8" w:rsidRDefault="000C4889" w:rsidP="004D4072">
            <w:pPr>
              <w:keepNext/>
              <w:keepLines/>
              <w:jc w:val="center"/>
              <w:rPr>
                <w:rFonts w:ascii="Arial Narrow" w:hAnsi="Arial Narrow"/>
                <w:sz w:val="20"/>
                <w:szCs w:val="20"/>
                <w:lang w:eastAsia="en-US"/>
              </w:rPr>
            </w:pPr>
            <w:r w:rsidRPr="00EE11C8">
              <w:rPr>
                <w:rFonts w:ascii="Arial Narrow" w:hAnsi="Arial Narrow"/>
                <w:sz w:val="20"/>
                <w:szCs w:val="20"/>
              </w:rPr>
              <w:t>0.04(-0.01,0.08)</w:t>
            </w:r>
          </w:p>
        </w:tc>
        <w:tc>
          <w:tcPr>
            <w:tcW w:w="1432" w:type="dxa"/>
            <w:tcBorders>
              <w:left w:val="single" w:sz="4" w:space="0" w:color="auto"/>
              <w:right w:val="single" w:sz="4" w:space="0" w:color="auto"/>
            </w:tcBorders>
            <w:vAlign w:val="center"/>
          </w:tcPr>
          <w:p w:rsidR="000C4889" w:rsidRPr="00EE11C8" w:rsidRDefault="000C4889" w:rsidP="0049320A">
            <w:pPr>
              <w:keepNext/>
              <w:keepLines/>
              <w:jc w:val="center"/>
              <w:rPr>
                <w:rFonts w:ascii="Arial Narrow" w:hAnsi="Arial Narrow"/>
                <w:sz w:val="20"/>
                <w:szCs w:val="20"/>
              </w:rPr>
            </w:pPr>
          </w:p>
        </w:tc>
      </w:tr>
      <w:tr w:rsidR="002D14F0" w:rsidRPr="00EE11C8" w:rsidTr="00703981">
        <w:tc>
          <w:tcPr>
            <w:tcW w:w="3357"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ind w:left="112"/>
              <w:rPr>
                <w:rFonts w:ascii="Arial Narrow" w:hAnsi="Arial Narrow"/>
                <w:sz w:val="20"/>
                <w:szCs w:val="20"/>
                <w:lang w:eastAsia="en-US"/>
              </w:rPr>
            </w:pPr>
            <w:r w:rsidRPr="00EE11C8">
              <w:rPr>
                <w:rFonts w:ascii="Arial Narrow" w:hAnsi="Arial Narrow"/>
                <w:sz w:val="20"/>
                <w:szCs w:val="20"/>
                <w:lang w:eastAsia="en-US"/>
              </w:rPr>
              <w:t>vs FP/SAL: 500/50 BD (Iridium Wk 26)</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lang w:eastAsia="en-US"/>
              </w:rPr>
              <w:t>0.26 (0.013)</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r w:rsidRPr="00EE11C8">
              <w:rPr>
                <w:rFonts w:ascii="Arial Narrow" w:hAnsi="Arial Narrow"/>
                <w:sz w:val="20"/>
                <w:szCs w:val="20"/>
              </w:rPr>
              <w:t>0.20 (0.013)</w:t>
            </w:r>
          </w:p>
        </w:tc>
        <w:tc>
          <w:tcPr>
            <w:tcW w:w="992"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49320A">
            <w:pPr>
              <w:keepNext/>
              <w:keepLines/>
              <w:jc w:val="center"/>
              <w:rPr>
                <w:rFonts w:ascii="Arial Narrow" w:hAnsi="Arial Narrow"/>
                <w:sz w:val="20"/>
                <w:szCs w:val="20"/>
                <w:lang w:eastAsia="en-US"/>
              </w:rPr>
            </w:pPr>
          </w:p>
        </w:tc>
        <w:tc>
          <w:tcPr>
            <w:tcW w:w="1266"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0C4889" w:rsidRPr="00EE11C8" w:rsidRDefault="000C4889" w:rsidP="00703981">
            <w:pPr>
              <w:keepNext/>
              <w:keepLines/>
              <w:jc w:val="center"/>
              <w:rPr>
                <w:rFonts w:ascii="Arial Narrow" w:hAnsi="Arial Narrow"/>
                <w:sz w:val="20"/>
                <w:szCs w:val="20"/>
                <w:lang w:eastAsia="en-US"/>
              </w:rPr>
            </w:pPr>
            <w:r w:rsidRPr="00EE11C8">
              <w:rPr>
                <w:rFonts w:ascii="Arial Narrow" w:hAnsi="Arial Narrow"/>
                <w:b/>
                <w:sz w:val="20"/>
                <w:szCs w:val="20"/>
              </w:rPr>
              <w:t>0.05 (0.02,0.09)</w:t>
            </w:r>
          </w:p>
        </w:tc>
        <w:tc>
          <w:tcPr>
            <w:tcW w:w="1432" w:type="dxa"/>
            <w:tcBorders>
              <w:left w:val="single" w:sz="4" w:space="0" w:color="auto"/>
              <w:bottom w:val="single" w:sz="4" w:space="0" w:color="auto"/>
              <w:right w:val="single" w:sz="4" w:space="0" w:color="auto"/>
            </w:tcBorders>
            <w:vAlign w:val="center"/>
          </w:tcPr>
          <w:p w:rsidR="000C4889" w:rsidRPr="00EE11C8" w:rsidRDefault="000C4889" w:rsidP="0049320A">
            <w:pPr>
              <w:keepNext/>
              <w:keepLines/>
              <w:jc w:val="center"/>
              <w:rPr>
                <w:rFonts w:ascii="Arial Narrow" w:hAnsi="Arial Narrow"/>
                <w:b/>
                <w:sz w:val="20"/>
                <w:szCs w:val="20"/>
              </w:rPr>
            </w:pPr>
          </w:p>
        </w:tc>
      </w:tr>
      <w:tr w:rsidR="00703981" w:rsidRPr="00EE11C8" w:rsidTr="00703981">
        <w:tc>
          <w:tcPr>
            <w:tcW w:w="33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rPr>
                <w:rFonts w:ascii="Arial Narrow" w:hAnsi="Arial Narrow"/>
                <w:sz w:val="20"/>
                <w:szCs w:val="20"/>
                <w:lang w:eastAsia="en-US"/>
              </w:rPr>
            </w:pPr>
            <w:r w:rsidRPr="00EE11C8">
              <w:rPr>
                <w:rFonts w:ascii="Arial Narrow" w:hAnsi="Arial Narrow"/>
                <w:b/>
                <w:sz w:val="20"/>
                <w:szCs w:val="20"/>
              </w:rPr>
              <w:t>Pre-dose morning PEF (L/min)</w:t>
            </w:r>
          </w:p>
        </w:tc>
        <w:tc>
          <w:tcPr>
            <w:tcW w:w="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b/>
                <w:bCs/>
                <w:sz w:val="20"/>
                <w:szCs w:val="20"/>
                <w:lang w:eastAsia="en-US"/>
              </w:rPr>
              <w:t>MF/IND</w:t>
            </w:r>
          </w:p>
        </w:tc>
        <w:tc>
          <w:tcPr>
            <w:tcW w:w="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r w:rsidRPr="00EE11C8">
              <w:rPr>
                <w:rFonts w:ascii="Arial Narrow" w:hAnsi="Arial Narrow"/>
                <w:b/>
                <w:bCs/>
                <w:sz w:val="20"/>
                <w:szCs w:val="20"/>
                <w:lang w:eastAsia="en-US"/>
              </w:rPr>
              <w:t>FP/SAL</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b/>
                <w:bCs/>
                <w:sz w:val="20"/>
                <w:szCs w:val="20"/>
                <w:lang w:eastAsia="en-US"/>
              </w:rPr>
              <w:t>MF</w:t>
            </w:r>
          </w:p>
        </w:tc>
        <w:tc>
          <w:tcPr>
            <w:tcW w:w="12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 xml:space="preserve">MF/IND </w:t>
            </w:r>
          </w:p>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v FP/SAL</w:t>
            </w:r>
          </w:p>
        </w:tc>
        <w:tc>
          <w:tcPr>
            <w:tcW w:w="1432" w:type="dxa"/>
            <w:tcBorders>
              <w:top w:val="single" w:sz="4" w:space="0" w:color="auto"/>
              <w:left w:val="single" w:sz="4" w:space="0" w:color="auto"/>
              <w:bottom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 xml:space="preserve">MF/IND </w:t>
            </w:r>
          </w:p>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v MF or FP</w:t>
            </w:r>
          </w:p>
        </w:tc>
      </w:tr>
      <w:tr w:rsidR="00703981" w:rsidRPr="00EE11C8" w:rsidTr="00703981">
        <w:tc>
          <w:tcPr>
            <w:tcW w:w="3357" w:type="dxa"/>
            <w:tcBorders>
              <w:top w:val="single" w:sz="4" w:space="0" w:color="auto"/>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rPr>
                <w:rFonts w:ascii="Arial Narrow" w:hAnsi="Arial Narrow"/>
                <w:b/>
                <w:bCs/>
                <w:sz w:val="20"/>
                <w:szCs w:val="20"/>
                <w:lang w:eastAsia="en-US"/>
              </w:rPr>
            </w:pPr>
            <w:r w:rsidRPr="00EE11C8">
              <w:rPr>
                <w:rFonts w:ascii="Arial Narrow" w:hAnsi="Arial Narrow"/>
                <w:b/>
                <w:bCs/>
                <w:sz w:val="20"/>
                <w:szCs w:val="20"/>
              </w:rPr>
              <w:t>Low dose MF/IND 80/150 D</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p>
        </w:tc>
        <w:tc>
          <w:tcPr>
            <w:tcW w:w="1432" w:type="dxa"/>
            <w:tcBorders>
              <w:top w:val="single" w:sz="4" w:space="0" w:color="auto"/>
              <w:left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p>
        </w:tc>
      </w:tr>
      <w:tr w:rsidR="00703981" w:rsidRPr="00EE11C8" w:rsidTr="00703981">
        <w:tc>
          <w:tcPr>
            <w:tcW w:w="3357" w:type="dxa"/>
            <w:tcBorders>
              <w:left w:val="single" w:sz="4" w:space="0" w:color="auto"/>
              <w:bottom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MF 200 D (Quartz Wk 12)</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31.0 (2.0)</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p>
        </w:tc>
        <w:tc>
          <w:tcPr>
            <w:tcW w:w="992"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3.8 (2.0)</w:t>
            </w:r>
          </w:p>
        </w:tc>
        <w:tc>
          <w:tcPr>
            <w:tcW w:w="1266"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p>
        </w:tc>
        <w:tc>
          <w:tcPr>
            <w:tcW w:w="1432" w:type="dxa"/>
            <w:tcBorders>
              <w:left w:val="single" w:sz="4" w:space="0" w:color="auto"/>
              <w:bottom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27.2 (22.1, 32.4)</w:t>
            </w:r>
          </w:p>
        </w:tc>
      </w:tr>
      <w:tr w:rsidR="00703981" w:rsidRPr="00EE11C8" w:rsidTr="001E5EBF">
        <w:tc>
          <w:tcPr>
            <w:tcW w:w="3357" w:type="dxa"/>
            <w:tcBorders>
              <w:top w:val="single" w:sz="4" w:space="0" w:color="auto"/>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rPr>
                <w:rFonts w:ascii="Arial Narrow" w:hAnsi="Arial Narrow"/>
                <w:b/>
                <w:bCs/>
                <w:sz w:val="20"/>
                <w:szCs w:val="20"/>
                <w:lang w:eastAsia="en-US"/>
              </w:rPr>
            </w:pPr>
            <w:r w:rsidRPr="00EE11C8">
              <w:rPr>
                <w:rFonts w:ascii="Arial Narrow" w:hAnsi="Arial Narrow"/>
                <w:b/>
                <w:bCs/>
                <w:sz w:val="20"/>
                <w:szCs w:val="20"/>
              </w:rPr>
              <w:t>Medium dose MF/IND 160/150 D</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p>
        </w:tc>
        <w:tc>
          <w:tcPr>
            <w:tcW w:w="1432" w:type="dxa"/>
            <w:tcBorders>
              <w:top w:val="single" w:sz="4" w:space="0" w:color="auto"/>
              <w:left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p>
        </w:tc>
      </w:tr>
      <w:tr w:rsidR="00703981" w:rsidRPr="00EE11C8" w:rsidTr="001E5EBF">
        <w:tc>
          <w:tcPr>
            <w:tcW w:w="3357" w:type="dxa"/>
            <w:tcBorders>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MF 400 D (Palladium Wk 52)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36.9 (2.2)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p>
        </w:tc>
        <w:tc>
          <w:tcPr>
            <w:tcW w:w="992"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6.7 (2.2)</w:t>
            </w:r>
          </w:p>
        </w:tc>
        <w:tc>
          <w:tcPr>
            <w:tcW w:w="1266"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p>
        </w:tc>
        <w:tc>
          <w:tcPr>
            <w:tcW w:w="1432" w:type="dxa"/>
            <w:tcBorders>
              <w:left w:val="single" w:sz="4" w:space="0" w:color="auto"/>
              <w:right w:val="single" w:sz="4" w:space="0" w:color="auto"/>
            </w:tcBorders>
            <w:vAlign w:val="center"/>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30.2 (24.2, 36.3)</w:t>
            </w:r>
          </w:p>
        </w:tc>
      </w:tr>
      <w:tr w:rsidR="00703981" w:rsidRPr="00EE11C8" w:rsidTr="001E5EBF">
        <w:tc>
          <w:tcPr>
            <w:tcW w:w="3357" w:type="dxa"/>
            <w:tcBorders>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FP/SAL 500/50 BD (Palladium Wk 52)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36.9 (2.2)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r w:rsidRPr="00EE11C8">
              <w:rPr>
                <w:rFonts w:ascii="Arial Narrow" w:hAnsi="Arial Narrow"/>
                <w:sz w:val="20"/>
                <w:szCs w:val="20"/>
              </w:rPr>
              <w:t>28.3 (2.2)</w:t>
            </w:r>
          </w:p>
        </w:tc>
        <w:tc>
          <w:tcPr>
            <w:tcW w:w="992"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8.6 (2.4, 14.8)</w:t>
            </w:r>
          </w:p>
        </w:tc>
        <w:tc>
          <w:tcPr>
            <w:tcW w:w="1432" w:type="dxa"/>
            <w:tcBorders>
              <w:left w:val="single" w:sz="4" w:space="0" w:color="auto"/>
              <w:right w:val="single" w:sz="4" w:space="0" w:color="auto"/>
            </w:tcBorders>
            <w:vAlign w:val="center"/>
          </w:tcPr>
          <w:p w:rsidR="00703981" w:rsidRPr="00EE11C8" w:rsidRDefault="00703981" w:rsidP="00703981">
            <w:pPr>
              <w:keepNext/>
              <w:keepLines/>
              <w:jc w:val="center"/>
              <w:rPr>
                <w:rFonts w:ascii="Arial Narrow" w:hAnsi="Arial Narrow"/>
                <w:b/>
                <w:sz w:val="20"/>
                <w:szCs w:val="20"/>
              </w:rPr>
            </w:pPr>
          </w:p>
        </w:tc>
      </w:tr>
      <w:tr w:rsidR="00703981" w:rsidRPr="00EE11C8" w:rsidTr="00703981">
        <w:tc>
          <w:tcPr>
            <w:tcW w:w="3357" w:type="dxa"/>
            <w:tcBorders>
              <w:left w:val="single" w:sz="4" w:space="0" w:color="auto"/>
              <w:bottom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FP/SAL 500/50 BD (Iridium Wk 52)</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25.6 (2.1)</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r w:rsidRPr="00EE11C8">
              <w:rPr>
                <w:rFonts w:ascii="Arial Narrow" w:hAnsi="Arial Narrow"/>
                <w:sz w:val="20"/>
                <w:szCs w:val="20"/>
              </w:rPr>
              <w:t>12.7 (2.1)</w:t>
            </w:r>
          </w:p>
        </w:tc>
        <w:tc>
          <w:tcPr>
            <w:tcW w:w="992"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12.9 (7.2, 18.6)</w:t>
            </w:r>
          </w:p>
        </w:tc>
        <w:tc>
          <w:tcPr>
            <w:tcW w:w="1432" w:type="dxa"/>
            <w:tcBorders>
              <w:left w:val="single" w:sz="4" w:space="0" w:color="auto"/>
              <w:bottom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p>
        </w:tc>
      </w:tr>
      <w:tr w:rsidR="00703981" w:rsidRPr="00EE11C8" w:rsidTr="001E5EBF">
        <w:tc>
          <w:tcPr>
            <w:tcW w:w="3357" w:type="dxa"/>
            <w:tcBorders>
              <w:top w:val="single" w:sz="4" w:space="0" w:color="auto"/>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rPr>
                <w:rFonts w:ascii="Arial Narrow" w:hAnsi="Arial Narrow"/>
                <w:b/>
                <w:bCs/>
                <w:sz w:val="20"/>
                <w:szCs w:val="20"/>
                <w:lang w:eastAsia="en-US"/>
              </w:rPr>
            </w:pPr>
            <w:r w:rsidRPr="00EE11C8">
              <w:rPr>
                <w:rFonts w:ascii="Arial Narrow" w:hAnsi="Arial Narrow"/>
                <w:b/>
                <w:bCs/>
                <w:sz w:val="20"/>
                <w:szCs w:val="20"/>
              </w:rPr>
              <w:t>High dose MF/IND 320/150 D</w:t>
            </w: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98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p>
        </w:tc>
        <w:tc>
          <w:tcPr>
            <w:tcW w:w="1432" w:type="dxa"/>
            <w:tcBorders>
              <w:top w:val="single" w:sz="4" w:space="0" w:color="auto"/>
              <w:left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p>
        </w:tc>
      </w:tr>
      <w:tr w:rsidR="00703981" w:rsidRPr="00EE11C8" w:rsidTr="001E5EBF">
        <w:tc>
          <w:tcPr>
            <w:tcW w:w="3357" w:type="dxa"/>
            <w:tcBorders>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MF 400 BD (Palladium Wk 52)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42.1 (2.2)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p>
        </w:tc>
        <w:tc>
          <w:tcPr>
            <w:tcW w:w="992"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13.4 (2.2)</w:t>
            </w:r>
          </w:p>
        </w:tc>
        <w:tc>
          <w:tcPr>
            <w:tcW w:w="1266"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p>
        </w:tc>
        <w:tc>
          <w:tcPr>
            <w:tcW w:w="1432" w:type="dxa"/>
            <w:tcBorders>
              <w:left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28.7 (22.7, 34.8)</w:t>
            </w:r>
          </w:p>
        </w:tc>
      </w:tr>
      <w:tr w:rsidR="00703981" w:rsidRPr="00EE11C8" w:rsidTr="00703981">
        <w:tc>
          <w:tcPr>
            <w:tcW w:w="3357" w:type="dxa"/>
            <w:tcBorders>
              <w:left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FP/SAL 500/50 BD (Palladium Wk 52)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42.1 (2.2)</w:t>
            </w:r>
          </w:p>
        </w:tc>
        <w:tc>
          <w:tcPr>
            <w:tcW w:w="985"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r w:rsidRPr="00EE11C8">
              <w:rPr>
                <w:rFonts w:ascii="Arial Narrow" w:hAnsi="Arial Narrow"/>
                <w:sz w:val="20"/>
                <w:szCs w:val="20"/>
              </w:rPr>
              <w:t>28.3 (2.2)</w:t>
            </w:r>
          </w:p>
        </w:tc>
        <w:tc>
          <w:tcPr>
            <w:tcW w:w="992"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left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13.8 (7.7, 19.8)</w:t>
            </w:r>
          </w:p>
        </w:tc>
        <w:tc>
          <w:tcPr>
            <w:tcW w:w="1432" w:type="dxa"/>
            <w:tcBorders>
              <w:left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p>
        </w:tc>
      </w:tr>
      <w:tr w:rsidR="00703981" w:rsidRPr="00EE11C8" w:rsidTr="00703981">
        <w:tc>
          <w:tcPr>
            <w:tcW w:w="3357" w:type="dxa"/>
            <w:tcBorders>
              <w:left w:val="single" w:sz="4" w:space="0" w:color="auto"/>
              <w:bottom w:val="single" w:sz="4" w:space="0" w:color="auto"/>
              <w:right w:val="single" w:sz="4" w:space="0" w:color="auto"/>
            </w:tcBorders>
            <w:tcMar>
              <w:top w:w="0" w:type="dxa"/>
              <w:left w:w="28" w:type="dxa"/>
              <w:bottom w:w="0" w:type="dxa"/>
              <w:right w:w="28" w:type="dxa"/>
            </w:tcMar>
          </w:tcPr>
          <w:p w:rsidR="00703981" w:rsidRPr="00EE11C8" w:rsidRDefault="00703981" w:rsidP="00703981">
            <w:pPr>
              <w:keepNext/>
              <w:keepLines/>
              <w:ind w:left="112"/>
              <w:rPr>
                <w:rFonts w:ascii="Arial Narrow" w:hAnsi="Arial Narrow"/>
                <w:sz w:val="20"/>
                <w:szCs w:val="20"/>
                <w:lang w:eastAsia="en-US"/>
              </w:rPr>
            </w:pPr>
            <w:r w:rsidRPr="00EE11C8">
              <w:rPr>
                <w:rFonts w:ascii="Arial Narrow" w:hAnsi="Arial Narrow"/>
                <w:sz w:val="20"/>
                <w:szCs w:val="20"/>
              </w:rPr>
              <w:t>vs FP/SAL 500/50 BD (Iridium Wk 52)</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r w:rsidRPr="00EE11C8">
              <w:rPr>
                <w:rFonts w:ascii="Arial Narrow" w:hAnsi="Arial Narrow"/>
                <w:sz w:val="20"/>
                <w:szCs w:val="20"/>
              </w:rPr>
              <w:t>28.8 (2.1)</w:t>
            </w:r>
          </w:p>
        </w:tc>
        <w:tc>
          <w:tcPr>
            <w:tcW w:w="985"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rPr>
            </w:pPr>
            <w:r w:rsidRPr="00EE11C8">
              <w:rPr>
                <w:rFonts w:ascii="Arial Narrow" w:hAnsi="Arial Narrow"/>
                <w:sz w:val="20"/>
                <w:szCs w:val="20"/>
              </w:rPr>
              <w:t>12.7 (2.1)</w:t>
            </w:r>
          </w:p>
        </w:tc>
        <w:tc>
          <w:tcPr>
            <w:tcW w:w="992"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sz w:val="20"/>
                <w:szCs w:val="20"/>
                <w:lang w:eastAsia="en-US"/>
              </w:rPr>
            </w:pPr>
          </w:p>
        </w:tc>
        <w:tc>
          <w:tcPr>
            <w:tcW w:w="1266"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rsidR="00703981" w:rsidRPr="00EE11C8" w:rsidRDefault="00703981" w:rsidP="00703981">
            <w:pPr>
              <w:keepNext/>
              <w:keepLines/>
              <w:jc w:val="center"/>
              <w:rPr>
                <w:rFonts w:ascii="Arial Narrow" w:hAnsi="Arial Narrow"/>
                <w:b/>
                <w:sz w:val="20"/>
                <w:szCs w:val="20"/>
              </w:rPr>
            </w:pPr>
            <w:r w:rsidRPr="00EE11C8">
              <w:rPr>
                <w:rFonts w:ascii="Arial Narrow" w:hAnsi="Arial Narrow"/>
                <w:b/>
                <w:sz w:val="20"/>
                <w:szCs w:val="20"/>
              </w:rPr>
              <w:t>16.1 (10.4, 21.8)</w:t>
            </w:r>
          </w:p>
        </w:tc>
        <w:tc>
          <w:tcPr>
            <w:tcW w:w="1432" w:type="dxa"/>
            <w:tcBorders>
              <w:left w:val="single" w:sz="4" w:space="0" w:color="auto"/>
              <w:bottom w:val="single" w:sz="4" w:space="0" w:color="auto"/>
              <w:right w:val="single" w:sz="4" w:space="0" w:color="auto"/>
            </w:tcBorders>
          </w:tcPr>
          <w:p w:rsidR="00703981" w:rsidRPr="00EE11C8" w:rsidRDefault="00703981" w:rsidP="00703981">
            <w:pPr>
              <w:keepNext/>
              <w:keepLines/>
              <w:jc w:val="center"/>
              <w:rPr>
                <w:rFonts w:ascii="Arial Narrow" w:hAnsi="Arial Narrow"/>
                <w:b/>
                <w:sz w:val="20"/>
                <w:szCs w:val="20"/>
              </w:rPr>
            </w:pPr>
          </w:p>
        </w:tc>
      </w:tr>
    </w:tbl>
    <w:p w:rsidR="000C4889" w:rsidRPr="00EE11C8" w:rsidRDefault="000C4889" w:rsidP="0049320A">
      <w:pPr>
        <w:keepNext/>
        <w:keepLines/>
        <w:rPr>
          <w:rFonts w:ascii="Arial Narrow" w:hAnsi="Arial Narrow"/>
          <w:sz w:val="18"/>
          <w:szCs w:val="18"/>
        </w:rPr>
      </w:pPr>
      <w:r w:rsidRPr="00EE11C8">
        <w:rPr>
          <w:rFonts w:ascii="Arial Narrow" w:hAnsi="Arial Narrow"/>
          <w:sz w:val="18"/>
          <w:szCs w:val="18"/>
        </w:rPr>
        <w:t xml:space="preserve">Abbreviations: FAS=full analysis set; </w:t>
      </w:r>
      <w:r w:rsidR="00F472F4" w:rsidRPr="00EE11C8">
        <w:rPr>
          <w:rFonts w:ascii="Arial Narrow" w:hAnsi="Arial Narrow"/>
          <w:sz w:val="18"/>
          <w:szCs w:val="18"/>
        </w:rPr>
        <w:t xml:space="preserve">FEV1=forced expiratory volume in one second; </w:t>
      </w:r>
      <w:r w:rsidRPr="00EE11C8">
        <w:rPr>
          <w:rFonts w:ascii="Arial Narrow" w:hAnsi="Arial Narrow"/>
          <w:sz w:val="18"/>
          <w:szCs w:val="18"/>
        </w:rPr>
        <w:t xml:space="preserve">FP=fluticasone propionate; IND=indacaterol; </w:t>
      </w:r>
      <w:r w:rsidR="004D4072" w:rsidRPr="00EE11C8">
        <w:rPr>
          <w:rFonts w:ascii="Arial Narrow" w:hAnsi="Arial Narrow"/>
          <w:sz w:val="18"/>
          <w:szCs w:val="18"/>
        </w:rPr>
        <w:t xml:space="preserve">ITC=indirect treatment comparison; </w:t>
      </w:r>
      <w:r w:rsidRPr="00EE11C8">
        <w:rPr>
          <w:rFonts w:ascii="Arial Narrow" w:hAnsi="Arial Narrow"/>
          <w:sz w:val="18"/>
          <w:szCs w:val="18"/>
        </w:rPr>
        <w:t xml:space="preserve">MF=mometasone furoate; </w:t>
      </w:r>
      <w:r w:rsidR="008A510C" w:rsidRPr="00EE11C8">
        <w:rPr>
          <w:rFonts w:ascii="Arial Narrow" w:hAnsi="Arial Narrow"/>
          <w:sz w:val="18"/>
          <w:szCs w:val="18"/>
        </w:rPr>
        <w:t xml:space="preserve">PEF=peak expiratory flow; </w:t>
      </w:r>
      <w:r w:rsidRPr="00EE11C8">
        <w:rPr>
          <w:rFonts w:ascii="Arial Narrow" w:hAnsi="Arial Narrow"/>
          <w:sz w:val="18"/>
          <w:szCs w:val="18"/>
        </w:rPr>
        <w:t>SA=sensitivity analysis; SAL=salmeterol; BD=twice daily; D=once daily; wk=week;</w:t>
      </w:r>
    </w:p>
    <w:p w:rsidR="000C4889" w:rsidRPr="00EE11C8" w:rsidRDefault="000C4889" w:rsidP="0049320A">
      <w:pPr>
        <w:keepNext/>
        <w:keepLines/>
        <w:tabs>
          <w:tab w:val="left" w:pos="142"/>
        </w:tabs>
        <w:ind w:left="135" w:hanging="135"/>
        <w:rPr>
          <w:rFonts w:ascii="Arial Narrow" w:hAnsi="Arial Narrow"/>
          <w:sz w:val="18"/>
          <w:szCs w:val="18"/>
        </w:rPr>
      </w:pPr>
      <w:r w:rsidRPr="00EE11C8">
        <w:rPr>
          <w:rFonts w:ascii="Arial Narrow" w:hAnsi="Arial Narrow"/>
          <w:sz w:val="18"/>
          <w:szCs w:val="18"/>
        </w:rPr>
        <w:t>^</w:t>
      </w:r>
      <w:r w:rsidRPr="00EE11C8">
        <w:rPr>
          <w:rFonts w:ascii="Arial Narrow" w:hAnsi="Arial Narrow"/>
          <w:sz w:val="18"/>
          <w:szCs w:val="18"/>
        </w:rPr>
        <w:tab/>
        <w:t>The primary outcome reported in O’Connor et al 2001 is change from baseline in FEV1 at endpoint (last evaluable visit), which could be Wk 2, 4, 6, 8, 10 or 12</w:t>
      </w:r>
      <w:r w:rsidR="00EE11C8">
        <w:rPr>
          <w:rFonts w:ascii="Arial Narrow" w:hAnsi="Arial Narrow"/>
          <w:sz w:val="18"/>
          <w:szCs w:val="18"/>
        </w:rPr>
        <w:t xml:space="preserve">. </w:t>
      </w:r>
      <w:r w:rsidRPr="00EE11C8">
        <w:rPr>
          <w:rFonts w:ascii="Arial Narrow" w:hAnsi="Arial Narrow"/>
          <w:sz w:val="18"/>
          <w:szCs w:val="18"/>
        </w:rPr>
        <w:t>A sensitivity analysis was conducted during the evaluation in which data for mean change (SE) from baseline in FEV1 at Wk 12 was read from Figure 1 in O’Connor et al 2001.</w:t>
      </w:r>
    </w:p>
    <w:p w:rsidR="000C4889" w:rsidRPr="00EE11C8" w:rsidRDefault="000C4889" w:rsidP="0049320A">
      <w:pPr>
        <w:keepNext/>
        <w:keepLines/>
        <w:tabs>
          <w:tab w:val="left" w:pos="142"/>
        </w:tabs>
        <w:ind w:left="135" w:hanging="135"/>
        <w:rPr>
          <w:rFonts w:ascii="Arial Narrow" w:hAnsi="Arial Narrow"/>
          <w:sz w:val="18"/>
          <w:szCs w:val="18"/>
        </w:rPr>
      </w:pPr>
      <w:r w:rsidRPr="00EE11C8">
        <w:rPr>
          <w:rFonts w:ascii="Arial Narrow" w:hAnsi="Arial Narrow"/>
          <w:sz w:val="18"/>
          <w:szCs w:val="18"/>
          <w:vertAlign w:val="superscript"/>
        </w:rPr>
        <w:t>a</w:t>
      </w:r>
      <w:r w:rsidRPr="00EE11C8">
        <w:rPr>
          <w:rFonts w:ascii="Arial Narrow" w:hAnsi="Arial Narrow"/>
          <w:sz w:val="18"/>
          <w:szCs w:val="18"/>
        </w:rPr>
        <w:tab/>
        <w:t xml:space="preserve">The submission presented mean difference between MF 200 bd (medium dose) and FP 250 bd (medium dose) from O’Connor et al 2001 for its indirect comparison, however the common comparator between O’Connor et al 2001 and QUARTZ was MF 100 bd (low dose), hence mean difference between MF 100 bd and FP 250 bd was calculated during the evaluation. </w:t>
      </w:r>
    </w:p>
    <w:p w:rsidR="000C4889" w:rsidRPr="00EE11C8" w:rsidRDefault="000C4889" w:rsidP="0049320A">
      <w:pPr>
        <w:keepNext/>
        <w:keepLines/>
        <w:tabs>
          <w:tab w:val="left" w:pos="142"/>
        </w:tabs>
        <w:ind w:left="135" w:hanging="135"/>
        <w:rPr>
          <w:rFonts w:ascii="Arial Narrow" w:hAnsi="Arial Narrow"/>
          <w:sz w:val="18"/>
          <w:szCs w:val="18"/>
        </w:rPr>
      </w:pPr>
      <w:r w:rsidRPr="00EE11C8">
        <w:rPr>
          <w:rFonts w:ascii="Arial Narrow" w:hAnsi="Arial Narrow"/>
          <w:sz w:val="18"/>
          <w:szCs w:val="18"/>
          <w:vertAlign w:val="superscript"/>
        </w:rPr>
        <w:t>b</w:t>
      </w:r>
      <w:r w:rsidRPr="00EE11C8">
        <w:rPr>
          <w:rFonts w:ascii="Arial Narrow" w:hAnsi="Arial Narrow"/>
          <w:sz w:val="18"/>
          <w:szCs w:val="18"/>
        </w:rPr>
        <w:tab/>
        <w:t>corrected during the evaluation</w:t>
      </w:r>
      <w:r w:rsidR="00EE11C8">
        <w:rPr>
          <w:rFonts w:ascii="Arial Narrow" w:hAnsi="Arial Narrow"/>
          <w:sz w:val="18"/>
          <w:szCs w:val="18"/>
        </w:rPr>
        <w:t xml:space="preserve">. </w:t>
      </w:r>
      <w:r w:rsidRPr="00EE11C8">
        <w:rPr>
          <w:rFonts w:ascii="Arial Narrow" w:hAnsi="Arial Narrow"/>
          <w:sz w:val="18"/>
          <w:szCs w:val="18"/>
        </w:rPr>
        <w:t>O’Connor et al 2001 reported mean change (SE) from baseline at endpoint in FEV1 for MF 200 bd as 0.16 (0.04)</w:t>
      </w:r>
      <w:r w:rsidR="00EE11C8">
        <w:rPr>
          <w:rFonts w:ascii="Arial Narrow" w:hAnsi="Arial Narrow"/>
          <w:sz w:val="18"/>
          <w:szCs w:val="18"/>
        </w:rPr>
        <w:t xml:space="preserve">. </w:t>
      </w:r>
      <w:r w:rsidRPr="00EE11C8">
        <w:rPr>
          <w:rFonts w:ascii="Arial Narrow" w:hAnsi="Arial Narrow"/>
          <w:sz w:val="18"/>
          <w:szCs w:val="18"/>
        </w:rPr>
        <w:t>The submission incorrectly used 0.16 (0.05).</w:t>
      </w:r>
    </w:p>
    <w:p w:rsidR="000C4889" w:rsidRPr="00EE11C8" w:rsidRDefault="000C4889" w:rsidP="0049320A">
      <w:pPr>
        <w:keepNext/>
        <w:keepLines/>
        <w:tabs>
          <w:tab w:val="left" w:pos="142"/>
        </w:tabs>
        <w:rPr>
          <w:rFonts w:ascii="Arial Narrow" w:hAnsi="Arial Narrow"/>
          <w:sz w:val="18"/>
          <w:szCs w:val="18"/>
        </w:rPr>
      </w:pPr>
      <w:r w:rsidRPr="00EE11C8">
        <w:rPr>
          <w:rFonts w:ascii="Arial Narrow" w:hAnsi="Arial Narrow"/>
          <w:sz w:val="18"/>
          <w:szCs w:val="18"/>
          <w:vertAlign w:val="superscript"/>
        </w:rPr>
        <w:t>c</w:t>
      </w:r>
      <w:r w:rsidRPr="00EE11C8">
        <w:rPr>
          <w:rFonts w:ascii="Arial Narrow" w:hAnsi="Arial Narrow"/>
          <w:sz w:val="18"/>
          <w:szCs w:val="18"/>
        </w:rPr>
        <w:tab/>
        <w:t>Indirect comparison was derived during the evaluation for the common comparator (MF 100 bd).</w:t>
      </w:r>
    </w:p>
    <w:p w:rsidR="000C4889" w:rsidRPr="00EE11C8" w:rsidRDefault="000C4889" w:rsidP="0049320A">
      <w:pPr>
        <w:keepNext/>
        <w:keepLines/>
        <w:tabs>
          <w:tab w:val="left" w:pos="142"/>
        </w:tabs>
        <w:spacing w:after="120"/>
        <w:rPr>
          <w:rFonts w:ascii="Arial Narrow" w:hAnsi="Arial Narrow"/>
          <w:sz w:val="18"/>
          <w:szCs w:val="18"/>
        </w:rPr>
      </w:pPr>
      <w:r w:rsidRPr="00EE11C8">
        <w:rPr>
          <w:rFonts w:ascii="Arial Narrow" w:hAnsi="Arial Narrow"/>
          <w:sz w:val="18"/>
          <w:szCs w:val="18"/>
        </w:rPr>
        <w:t>Source: Table 2.35, pp86-87, Table 2.56, pp108-109, Table 2.83, p133, Tables 2.104-105, pp149-152 of the submission, Attachment 3 of the submission.</w:t>
      </w:r>
    </w:p>
    <w:p w:rsidR="000C4889" w:rsidRPr="00EE11C8" w:rsidRDefault="00127B27" w:rsidP="00127B27">
      <w:pPr>
        <w:pStyle w:val="3-BodyText"/>
        <w:rPr>
          <w:u w:val="single"/>
        </w:rPr>
      </w:pPr>
      <w:r w:rsidRPr="00EE11C8">
        <w:rPr>
          <w:u w:val="single"/>
        </w:rPr>
        <w:t>MF/IND</w:t>
      </w:r>
      <w:r w:rsidR="000C4889" w:rsidRPr="00EE11C8">
        <w:rPr>
          <w:u w:val="single"/>
        </w:rPr>
        <w:t xml:space="preserve"> versus MF</w:t>
      </w:r>
    </w:p>
    <w:p w:rsidR="00F26C76" w:rsidRPr="00EE11C8" w:rsidRDefault="00F26C76" w:rsidP="00CB64A7">
      <w:pPr>
        <w:pStyle w:val="3-BodyText"/>
        <w:numPr>
          <w:ilvl w:val="0"/>
          <w:numId w:val="0"/>
        </w:numPr>
        <w:ind w:left="720"/>
      </w:pPr>
      <w:r w:rsidRPr="00EE11C8">
        <w:t>T</w:t>
      </w:r>
      <w:r w:rsidR="000C4889" w:rsidRPr="00EE11C8">
        <w:t>he three doses of MF/IND (80/150 once daily, 160/150 once daily and 320/150</w:t>
      </w:r>
      <w:r w:rsidR="001531C9" w:rsidRPr="00EE11C8">
        <w:t xml:space="preserve"> </w:t>
      </w:r>
      <w:r w:rsidR="000C4889" w:rsidRPr="00EE11C8">
        <w:t>once daily) demonstrated a statistically significantly larger improvement in trough FEV1 compared to the corresponding doses of MF (200 once daily, 400 once daily, and 400 twice daily)</w:t>
      </w:r>
      <w:r w:rsidRPr="00EE11C8">
        <w:t>.</w:t>
      </w:r>
    </w:p>
    <w:p w:rsidR="00173109" w:rsidRPr="00EE11C8" w:rsidRDefault="000C4889" w:rsidP="000C4889">
      <w:pPr>
        <w:pStyle w:val="3-BodyText"/>
        <w:numPr>
          <w:ilvl w:val="0"/>
          <w:numId w:val="0"/>
        </w:numPr>
        <w:ind w:left="720"/>
      </w:pPr>
      <w:r w:rsidRPr="00EE11C8">
        <w:lastRenderedPageBreak/>
        <w:t>A number of secondary outcomes also demonstrated a statistically significant difference in favour of MF/IND, including change in pre-dose morning PEF.</w:t>
      </w:r>
    </w:p>
    <w:p w:rsidR="000C4889" w:rsidRPr="00EE11C8" w:rsidRDefault="000C4889" w:rsidP="00F26C76">
      <w:pPr>
        <w:pStyle w:val="3-BodyText"/>
        <w:rPr>
          <w:u w:val="single"/>
        </w:rPr>
      </w:pPr>
      <w:r w:rsidRPr="00EE11C8">
        <w:rPr>
          <w:u w:val="single"/>
        </w:rPr>
        <w:t xml:space="preserve">High dose MF/IND </w:t>
      </w:r>
      <w:r w:rsidR="00127B27" w:rsidRPr="00EE11C8">
        <w:rPr>
          <w:u w:val="single"/>
        </w:rPr>
        <w:t>versus high dose FP/SAL</w:t>
      </w:r>
      <w:r w:rsidR="001531C9" w:rsidRPr="00EE11C8">
        <w:rPr>
          <w:u w:val="single"/>
        </w:rPr>
        <w:t xml:space="preserve"> </w:t>
      </w:r>
    </w:p>
    <w:p w:rsidR="00F26C76" w:rsidRPr="00EE11C8" w:rsidRDefault="000C4889" w:rsidP="00F26C76">
      <w:pPr>
        <w:pStyle w:val="3-BodyText"/>
        <w:numPr>
          <w:ilvl w:val="0"/>
          <w:numId w:val="0"/>
        </w:numPr>
        <w:ind w:left="720"/>
      </w:pPr>
      <w:r w:rsidRPr="00EE11C8">
        <w:t xml:space="preserve">In Palladium, the treatment difference between MF/IND </w:t>
      </w:r>
      <w:r w:rsidR="008779CB" w:rsidRPr="00EE11C8">
        <w:t>(</w:t>
      </w:r>
      <w:r w:rsidRPr="00EE11C8">
        <w:t>320/150</w:t>
      </w:r>
      <w:r w:rsidR="008779CB" w:rsidRPr="00EE11C8">
        <w:t>)</w:t>
      </w:r>
      <w:r w:rsidRPr="00EE11C8">
        <w:t xml:space="preserve"> once daily and FP/SAL </w:t>
      </w:r>
      <w:r w:rsidR="001531C9" w:rsidRPr="00EE11C8">
        <w:t xml:space="preserve">DPI </w:t>
      </w:r>
      <w:r w:rsidR="008779CB" w:rsidRPr="00EE11C8">
        <w:t>(</w:t>
      </w:r>
      <w:r w:rsidRPr="00EE11C8">
        <w:t>500/50</w:t>
      </w:r>
      <w:r w:rsidR="008779CB" w:rsidRPr="00EE11C8">
        <w:t>)</w:t>
      </w:r>
      <w:r w:rsidRPr="00EE11C8">
        <w:t xml:space="preserve"> twice daily met the test for non-inferiority given the lower 95%CI of the primary endpoint (-0.0</w:t>
      </w:r>
      <w:r w:rsidR="00F26C76" w:rsidRPr="00EE11C8">
        <w:t>1 L) was greater than -0.09 L.</w:t>
      </w:r>
    </w:p>
    <w:p w:rsidR="00F26C76" w:rsidRPr="00EE11C8" w:rsidRDefault="000C4889" w:rsidP="00842489">
      <w:pPr>
        <w:pStyle w:val="3-BodyText"/>
        <w:numPr>
          <w:ilvl w:val="0"/>
          <w:numId w:val="0"/>
        </w:numPr>
        <w:ind w:left="720"/>
      </w:pPr>
      <w:r w:rsidRPr="00EE11C8">
        <w:t>A post-ho</w:t>
      </w:r>
      <w:r w:rsidR="00842489" w:rsidRPr="00EE11C8">
        <w:t>c analysis in the Iridium trial</w:t>
      </w:r>
      <w:r w:rsidRPr="00EE11C8">
        <w:t xml:space="preserve"> found MF/IND </w:t>
      </w:r>
      <w:r w:rsidR="008779CB" w:rsidRPr="00EE11C8">
        <w:t>(</w:t>
      </w:r>
      <w:r w:rsidRPr="00EE11C8">
        <w:t>320/150</w:t>
      </w:r>
      <w:r w:rsidR="008779CB" w:rsidRPr="00EE11C8">
        <w:t>)</w:t>
      </w:r>
      <w:r w:rsidRPr="00EE11C8">
        <w:t xml:space="preserve"> </w:t>
      </w:r>
      <w:r w:rsidR="00F26C76" w:rsidRPr="00EE11C8">
        <w:t xml:space="preserve">once daily </w:t>
      </w:r>
      <w:r w:rsidRPr="00EE11C8">
        <w:t xml:space="preserve">had a statistically significantly larger improvement in trough FEV1 compared to FP/SAL </w:t>
      </w:r>
      <w:r w:rsidR="001531C9" w:rsidRPr="00EE11C8">
        <w:t xml:space="preserve">DPI </w:t>
      </w:r>
      <w:r w:rsidRPr="00EE11C8">
        <w:t>500/50</w:t>
      </w:r>
      <w:r w:rsidR="00F26C76" w:rsidRPr="00EE11C8">
        <w:t xml:space="preserve"> twice daily.</w:t>
      </w:r>
    </w:p>
    <w:p w:rsidR="000C4889" w:rsidRPr="00EE11C8" w:rsidRDefault="000C4889" w:rsidP="00F26C76">
      <w:pPr>
        <w:pStyle w:val="3-BodyText"/>
        <w:numPr>
          <w:ilvl w:val="0"/>
          <w:numId w:val="0"/>
        </w:numPr>
        <w:ind w:left="720"/>
      </w:pPr>
      <w:r w:rsidRPr="00EE11C8">
        <w:t xml:space="preserve">A comparison of secondary outcomes (pre-specified and post-hoc) across both Palladium and Iridium generally favoured MF/IND </w:t>
      </w:r>
      <w:r w:rsidR="008779CB" w:rsidRPr="00EE11C8">
        <w:t>(</w:t>
      </w:r>
      <w:r w:rsidRPr="00EE11C8">
        <w:t>320/150</w:t>
      </w:r>
      <w:r w:rsidR="008779CB" w:rsidRPr="00EE11C8">
        <w:t>)</w:t>
      </w:r>
      <w:r w:rsidRPr="00EE11C8">
        <w:t xml:space="preserve"> compared to FP/SAL</w:t>
      </w:r>
      <w:r w:rsidR="001531C9" w:rsidRPr="00EE11C8">
        <w:t xml:space="preserve"> DPI</w:t>
      </w:r>
      <w:r w:rsidRPr="00EE11C8">
        <w:t xml:space="preserve"> </w:t>
      </w:r>
      <w:r w:rsidR="008779CB" w:rsidRPr="00EE11C8">
        <w:t>(</w:t>
      </w:r>
      <w:r w:rsidRPr="00EE11C8">
        <w:t>500/50</w:t>
      </w:r>
      <w:r w:rsidR="008779CB" w:rsidRPr="00EE11C8">
        <w:t>)</w:t>
      </w:r>
      <w:r w:rsidRPr="00EE11C8">
        <w:t>, including change in pre-dose</w:t>
      </w:r>
      <w:r w:rsidR="003F0A02" w:rsidRPr="00EE11C8">
        <w:t xml:space="preserve"> morning</w:t>
      </w:r>
      <w:r w:rsidRPr="00EE11C8">
        <w:t xml:space="preserve"> PEF</w:t>
      </w:r>
      <w:r w:rsidR="00EE11C8">
        <w:t xml:space="preserve">. </w:t>
      </w:r>
      <w:r w:rsidR="00653075" w:rsidRPr="00EE11C8">
        <w:rPr>
          <w:iCs/>
        </w:rPr>
        <w:t>The small statistically significant difference in PEF was unlikely to be clinically relevant</w:t>
      </w:r>
      <w:r w:rsidR="00EE11C8">
        <w:rPr>
          <w:iCs/>
        </w:rPr>
        <w:t xml:space="preserve">. </w:t>
      </w:r>
      <w:r w:rsidRPr="00EE11C8">
        <w:t>There was some variation in the magnitude of the treatment effect for secondary outcomes across the Palladium and Iridium trials, which was likely due to differences in the patient characteristics and trial design.</w:t>
      </w:r>
    </w:p>
    <w:p w:rsidR="000C4889" w:rsidRPr="00EE11C8" w:rsidRDefault="00F26C76" w:rsidP="00F26C76">
      <w:pPr>
        <w:pStyle w:val="3-BodyText"/>
        <w:rPr>
          <w:u w:val="single"/>
        </w:rPr>
      </w:pPr>
      <w:r w:rsidRPr="00EE11C8">
        <w:rPr>
          <w:u w:val="single"/>
        </w:rPr>
        <w:t xml:space="preserve">Medium dose MF/IND </w:t>
      </w:r>
      <w:r w:rsidR="000C4889" w:rsidRPr="00EE11C8">
        <w:rPr>
          <w:u w:val="single"/>
        </w:rPr>
        <w:t>versus high dose FP/SAL</w:t>
      </w:r>
    </w:p>
    <w:p w:rsidR="00CB64A7" w:rsidRPr="00EE11C8" w:rsidRDefault="000C4889" w:rsidP="005741F9">
      <w:pPr>
        <w:pStyle w:val="3-BodyText"/>
        <w:numPr>
          <w:ilvl w:val="0"/>
          <w:numId w:val="0"/>
        </w:numPr>
        <w:ind w:left="720"/>
        <w:rPr>
          <w:iCs/>
        </w:rPr>
      </w:pPr>
      <w:r w:rsidRPr="00EE11C8">
        <w:t xml:space="preserve">Post-hoc analysis of Palladium and Iridium showed there was no statistically significant difference between </w:t>
      </w:r>
      <w:r w:rsidR="003F0A02" w:rsidRPr="00EE11C8">
        <w:t xml:space="preserve">medium dose </w:t>
      </w:r>
      <w:r w:rsidRPr="00EE11C8">
        <w:t xml:space="preserve">MF/IND </w:t>
      </w:r>
      <w:r w:rsidR="003F0A02" w:rsidRPr="00EE11C8">
        <w:t>(</w:t>
      </w:r>
      <w:r w:rsidRPr="00EE11C8">
        <w:t>160/150</w:t>
      </w:r>
      <w:r w:rsidR="003F0A02" w:rsidRPr="00EE11C8">
        <w:t>)</w:t>
      </w:r>
      <w:r w:rsidRPr="00EE11C8">
        <w:t xml:space="preserve"> </w:t>
      </w:r>
      <w:r w:rsidR="00CB64A7" w:rsidRPr="00EE11C8">
        <w:t xml:space="preserve">once daily </w:t>
      </w:r>
      <w:r w:rsidRPr="00EE11C8">
        <w:t xml:space="preserve">and </w:t>
      </w:r>
      <w:r w:rsidR="003F0A02" w:rsidRPr="00EE11C8">
        <w:t xml:space="preserve">high dose </w:t>
      </w:r>
      <w:r w:rsidRPr="00EE11C8">
        <w:t xml:space="preserve">FP/SAL </w:t>
      </w:r>
      <w:r w:rsidR="003F0A02" w:rsidRPr="00EE11C8">
        <w:t xml:space="preserve">(500/50) </w:t>
      </w:r>
      <w:r w:rsidR="001531C9" w:rsidRPr="00EE11C8">
        <w:t xml:space="preserve">DPI </w:t>
      </w:r>
      <w:r w:rsidR="00CB64A7" w:rsidRPr="00EE11C8">
        <w:t>twice daily</w:t>
      </w:r>
      <w:r w:rsidRPr="00EE11C8">
        <w:t xml:space="preserve"> in regards to mean change in trough FEV1</w:t>
      </w:r>
      <w:r w:rsidR="00EE11C8">
        <w:t xml:space="preserve">. </w:t>
      </w:r>
      <w:r w:rsidR="00CB64A7" w:rsidRPr="00EE11C8">
        <w:t xml:space="preserve">There was however, </w:t>
      </w:r>
      <w:r w:rsidRPr="00EE11C8">
        <w:t xml:space="preserve">a significantly </w:t>
      </w:r>
      <w:r w:rsidR="00CB64A7" w:rsidRPr="00EE11C8">
        <w:t>larger</w:t>
      </w:r>
      <w:r w:rsidRPr="00EE11C8">
        <w:t xml:space="preserve"> improvement with MF/IND </w:t>
      </w:r>
      <w:r w:rsidR="008A510C" w:rsidRPr="00EE11C8">
        <w:t>(</w:t>
      </w:r>
      <w:r w:rsidRPr="00EE11C8">
        <w:t>160/150</w:t>
      </w:r>
      <w:r w:rsidR="008A510C" w:rsidRPr="00EE11C8">
        <w:t>)</w:t>
      </w:r>
      <w:r w:rsidRPr="00EE11C8">
        <w:t xml:space="preserve"> for pre-dose morning PEF and a numbe</w:t>
      </w:r>
      <w:r w:rsidR="00CB64A7" w:rsidRPr="00EE11C8">
        <w:t>r of other secondary outcomes</w:t>
      </w:r>
      <w:r w:rsidR="00EE11C8">
        <w:t xml:space="preserve">. </w:t>
      </w:r>
      <w:r w:rsidR="00EF6DBC" w:rsidRPr="00EE11C8">
        <w:rPr>
          <w:iCs/>
        </w:rPr>
        <w:t>Th</w:t>
      </w:r>
      <w:r w:rsidR="005741F9" w:rsidRPr="00EE11C8">
        <w:rPr>
          <w:iCs/>
        </w:rPr>
        <w:t>e small statistically significant difference in PEF was unlikely to be clinically relevant</w:t>
      </w:r>
      <w:r w:rsidR="00EF6DBC" w:rsidRPr="00EE11C8">
        <w:rPr>
          <w:iCs/>
        </w:rPr>
        <w:t>.</w:t>
      </w:r>
    </w:p>
    <w:p w:rsidR="000C4889" w:rsidRPr="00EE11C8" w:rsidRDefault="00CB64A7" w:rsidP="00EF6DBC">
      <w:pPr>
        <w:pStyle w:val="3-BodyText"/>
        <w:numPr>
          <w:ilvl w:val="0"/>
          <w:numId w:val="0"/>
        </w:numPr>
        <w:ind w:left="720"/>
      </w:pPr>
      <w:r w:rsidRPr="00EE11C8">
        <w:t>A</w:t>
      </w:r>
      <w:r w:rsidR="000C4889" w:rsidRPr="00EE11C8">
        <w:t>s discussed above, none of the trials were designed to compare the medium and high dose FDCs</w:t>
      </w:r>
      <w:r w:rsidR="00C77E69" w:rsidRPr="00EE11C8">
        <w:t xml:space="preserve"> and </w:t>
      </w:r>
      <w:r w:rsidR="000C4889" w:rsidRPr="00EE11C8">
        <w:t>therefore the results should be interpreted with caution</w:t>
      </w:r>
      <w:r w:rsidR="00EE11C8">
        <w:t xml:space="preserve">. </w:t>
      </w:r>
      <w:r w:rsidR="00DB44DD" w:rsidRPr="00EE11C8">
        <w:t>The</w:t>
      </w:r>
      <w:r w:rsidR="000C4889" w:rsidRPr="00EE11C8">
        <w:t xml:space="preserve"> results of these trials also showed there was a similar improvement in trough FEV1 (and other secondary outcomes) for the medium and high dose MF/IND.</w:t>
      </w:r>
    </w:p>
    <w:p w:rsidR="000C4889" w:rsidRPr="00EE11C8" w:rsidRDefault="00127B27" w:rsidP="000C4889">
      <w:pPr>
        <w:pStyle w:val="3-BodyText"/>
        <w:rPr>
          <w:u w:val="single"/>
        </w:rPr>
      </w:pPr>
      <w:r w:rsidRPr="00EE11C8">
        <w:rPr>
          <w:u w:val="single"/>
        </w:rPr>
        <w:t xml:space="preserve">Low dose MF/IND </w:t>
      </w:r>
      <w:r w:rsidR="000C4889" w:rsidRPr="00EE11C8">
        <w:rPr>
          <w:u w:val="single"/>
        </w:rPr>
        <w:t>v</w:t>
      </w:r>
      <w:r w:rsidRPr="00EE11C8">
        <w:rPr>
          <w:u w:val="single"/>
        </w:rPr>
        <w:t>ersus medium dose FP alone</w:t>
      </w:r>
    </w:p>
    <w:p w:rsidR="0003386C" w:rsidRPr="00EE11C8" w:rsidRDefault="000C4889" w:rsidP="0003386C">
      <w:pPr>
        <w:pStyle w:val="3-BodyText"/>
        <w:numPr>
          <w:ilvl w:val="0"/>
          <w:numId w:val="0"/>
        </w:numPr>
        <w:ind w:left="720"/>
      </w:pPr>
      <w:r w:rsidRPr="00EE11C8">
        <w:t xml:space="preserve">Based on the indirect comparison presented, the was a significantly larger improvement in trough FEV1 for MF/IND </w:t>
      </w:r>
      <w:r w:rsidR="003F0A02" w:rsidRPr="00EE11C8">
        <w:t>(</w:t>
      </w:r>
      <w:r w:rsidRPr="00EE11C8">
        <w:t>80/150</w:t>
      </w:r>
      <w:r w:rsidR="003F0A02" w:rsidRPr="00EE11C8">
        <w:t>)</w:t>
      </w:r>
      <w:r w:rsidR="0003386C" w:rsidRPr="00EE11C8">
        <w:t xml:space="preserve"> once daily</w:t>
      </w:r>
      <w:r w:rsidRPr="00EE11C8">
        <w:t xml:space="preserve"> compared to FP </w:t>
      </w:r>
      <w:r w:rsidR="003F0A02" w:rsidRPr="00EE11C8">
        <w:t>(</w:t>
      </w:r>
      <w:r w:rsidRPr="00EE11C8">
        <w:t>250</w:t>
      </w:r>
      <w:r w:rsidR="003F0A02" w:rsidRPr="00EE11C8">
        <w:t>)</w:t>
      </w:r>
      <w:r w:rsidR="0003386C" w:rsidRPr="00EE11C8">
        <w:t xml:space="preserve"> twice daily</w:t>
      </w:r>
      <w:r w:rsidR="00127B27" w:rsidRPr="00EE11C8">
        <w:t>.</w:t>
      </w:r>
    </w:p>
    <w:p w:rsidR="000C4889" w:rsidRPr="00EE11C8" w:rsidRDefault="0003386C" w:rsidP="00FA3BCE">
      <w:pPr>
        <w:pStyle w:val="3-BodyText"/>
        <w:numPr>
          <w:ilvl w:val="0"/>
          <w:numId w:val="0"/>
        </w:numPr>
        <w:ind w:left="720"/>
      </w:pPr>
      <w:r w:rsidRPr="00EE11C8">
        <w:t>T</w:t>
      </w:r>
      <w:r w:rsidR="000C4889" w:rsidRPr="00EE11C8">
        <w:t>he result require</w:t>
      </w:r>
      <w:r w:rsidR="00FA3BCE" w:rsidRPr="00EE11C8">
        <w:t>s</w:t>
      </w:r>
      <w:r w:rsidR="000C4889" w:rsidRPr="00EE11C8">
        <w:t xml:space="preserve"> consideration given there are some differences across the trials in terms of population and outcome, and the submission did not assume the same common reference arm from each trial</w:t>
      </w:r>
      <w:r w:rsidR="00EE11C8">
        <w:t xml:space="preserve">. </w:t>
      </w:r>
      <w:r w:rsidR="000C4889" w:rsidRPr="00EE11C8">
        <w:t xml:space="preserve">A sensitivity analysis assuming a total daily dose of MF </w:t>
      </w:r>
      <w:r w:rsidR="003F0A02" w:rsidRPr="00EE11C8">
        <w:t>(</w:t>
      </w:r>
      <w:r w:rsidR="000C4889" w:rsidRPr="00EE11C8">
        <w:t>200</w:t>
      </w:r>
      <w:r w:rsidR="003F0A02" w:rsidRPr="00EE11C8">
        <w:t>)</w:t>
      </w:r>
      <w:r w:rsidR="000C4889" w:rsidRPr="00EE11C8">
        <w:t xml:space="preserve"> as the common reference showed </w:t>
      </w:r>
      <w:r w:rsidR="00842489" w:rsidRPr="00EE11C8">
        <w:t xml:space="preserve">a smaller difference </w:t>
      </w:r>
      <w:r w:rsidR="000C4889" w:rsidRPr="00EE11C8">
        <w:t>favour</w:t>
      </w:r>
      <w:r w:rsidR="00842489" w:rsidRPr="00EE11C8">
        <w:t>ing</w:t>
      </w:r>
      <w:r w:rsidR="000C4889" w:rsidRPr="00EE11C8">
        <w:t xml:space="preserve"> MF/IND </w:t>
      </w:r>
      <w:r w:rsidR="003F0A02" w:rsidRPr="00EE11C8">
        <w:t>(</w:t>
      </w:r>
      <w:r w:rsidR="000C4889" w:rsidRPr="00EE11C8">
        <w:t>80/150</w:t>
      </w:r>
      <w:r w:rsidR="003F0A02" w:rsidRPr="00EE11C8">
        <w:t>)</w:t>
      </w:r>
      <w:r w:rsidR="000C4889" w:rsidRPr="00EE11C8">
        <w:t xml:space="preserve"> over FP </w:t>
      </w:r>
      <w:r w:rsidR="003F0A02" w:rsidRPr="00EE11C8">
        <w:t>(</w:t>
      </w:r>
      <w:r w:rsidR="000C4889" w:rsidRPr="00EE11C8">
        <w:t>250</w:t>
      </w:r>
      <w:r w:rsidR="003F0A02" w:rsidRPr="00EE11C8">
        <w:t>)</w:t>
      </w:r>
      <w:r w:rsidR="000C4889" w:rsidRPr="00EE11C8">
        <w:t xml:space="preserve"> </w:t>
      </w:r>
      <w:r w:rsidR="00842489" w:rsidRPr="00EE11C8">
        <w:t xml:space="preserve">that </w:t>
      </w:r>
      <w:r w:rsidR="000C4889" w:rsidRPr="00EE11C8">
        <w:t>did not reach statistical significance.</w:t>
      </w:r>
    </w:p>
    <w:p w:rsidR="00B60939" w:rsidRPr="00EE11C8" w:rsidRDefault="00B60939" w:rsidP="00D86231">
      <w:pPr>
        <w:pStyle w:val="4-SubsectionHeading"/>
      </w:pPr>
      <w:bookmarkStart w:id="22" w:name="_Toc22897642"/>
      <w:bookmarkStart w:id="23" w:name="_Toc40451844"/>
      <w:r w:rsidRPr="00EE11C8">
        <w:lastRenderedPageBreak/>
        <w:t>Comparative harms</w:t>
      </w:r>
      <w:bookmarkEnd w:id="22"/>
      <w:bookmarkEnd w:id="23"/>
    </w:p>
    <w:p w:rsidR="00DB44DD" w:rsidRPr="00EE11C8" w:rsidRDefault="009F5C6E" w:rsidP="009F5C6E">
      <w:pPr>
        <w:pStyle w:val="3-BodyText"/>
      </w:pPr>
      <w:r w:rsidRPr="00EE11C8">
        <w:t xml:space="preserve">The submission presented safety outcomes reported in Quartz, Palladium and Iridium by </w:t>
      </w:r>
      <w:r w:rsidR="004D7FD0" w:rsidRPr="00EE11C8">
        <w:t>treatment arm</w:t>
      </w:r>
      <w:r w:rsidR="00EE11C8">
        <w:t xml:space="preserve">. </w:t>
      </w:r>
      <w:r w:rsidRPr="00EE11C8">
        <w:rPr>
          <w:iCs/>
        </w:rPr>
        <w:t xml:space="preserve">Like efficacy outcomes, the trials did not provide a comparison between </w:t>
      </w:r>
      <w:r w:rsidR="00DB44DD" w:rsidRPr="00EE11C8">
        <w:rPr>
          <w:iCs/>
        </w:rPr>
        <w:t xml:space="preserve">low </w:t>
      </w:r>
      <w:r w:rsidR="00540914" w:rsidRPr="00EE11C8">
        <w:rPr>
          <w:iCs/>
        </w:rPr>
        <w:t xml:space="preserve">or medium </w:t>
      </w:r>
      <w:r w:rsidR="00DB44DD" w:rsidRPr="00EE11C8">
        <w:rPr>
          <w:iCs/>
        </w:rPr>
        <w:t xml:space="preserve">dose MF/IND </w:t>
      </w:r>
      <w:r w:rsidR="00540914" w:rsidRPr="00EE11C8">
        <w:rPr>
          <w:iCs/>
        </w:rPr>
        <w:t xml:space="preserve">with low or medium dose </w:t>
      </w:r>
      <w:r w:rsidR="00DB44DD" w:rsidRPr="00EE11C8">
        <w:rPr>
          <w:iCs/>
        </w:rPr>
        <w:t>FP/SAL for safety outcomes.</w:t>
      </w:r>
    </w:p>
    <w:p w:rsidR="00540914" w:rsidRPr="00EE11C8" w:rsidRDefault="00DB44DD" w:rsidP="00540914">
      <w:pPr>
        <w:pStyle w:val="3-BodyText"/>
      </w:pPr>
      <w:r w:rsidRPr="00EE11C8">
        <w:t xml:space="preserve">Overall, there were no significant safety issues identified for MF/IND, however across the trials there were variations, with </w:t>
      </w:r>
      <w:r w:rsidR="00AC4A8A" w:rsidRPr="00EE11C8">
        <w:t xml:space="preserve">a </w:t>
      </w:r>
      <w:r w:rsidRPr="00EE11C8">
        <w:t xml:space="preserve">higher proportion of patients with ≥1 </w:t>
      </w:r>
      <w:r w:rsidR="00AC4A8A" w:rsidRPr="00EE11C8">
        <w:t>adverse events (</w:t>
      </w:r>
      <w:r w:rsidRPr="00EE11C8">
        <w:t>AEs</w:t>
      </w:r>
      <w:r w:rsidR="00AC4A8A" w:rsidRPr="00EE11C8">
        <w:t>)</w:t>
      </w:r>
      <w:r w:rsidRPr="00EE11C8">
        <w:t xml:space="preserve"> in Palladium (68%) and Iridium (76%), which were reported to 52 weeks compared to Quartz (35%) and O’C</w:t>
      </w:r>
      <w:r w:rsidR="009F5C6E" w:rsidRPr="00EE11C8">
        <w:t>onnor et al (26%) at 12 weeks.</w:t>
      </w:r>
    </w:p>
    <w:p w:rsidR="00DB44DD" w:rsidRPr="00EE11C8" w:rsidRDefault="00DB44DD" w:rsidP="00540914">
      <w:pPr>
        <w:pStyle w:val="3-BodyText"/>
      </w:pPr>
      <w:r w:rsidRPr="00EE11C8">
        <w:t>The majority of AEs were mild to moderate in severity</w:t>
      </w:r>
      <w:r w:rsidR="00EE11C8">
        <w:t xml:space="preserve">. </w:t>
      </w:r>
      <w:r w:rsidRPr="00EE11C8">
        <w:t xml:space="preserve">The most frequently reported serious AEs related to infections </w:t>
      </w:r>
      <w:r w:rsidR="00540914" w:rsidRPr="00EE11C8">
        <w:t>and respiratory disorders</w:t>
      </w:r>
      <w:r w:rsidR="00EE11C8">
        <w:t xml:space="preserve">. </w:t>
      </w:r>
      <w:r w:rsidR="00540914" w:rsidRPr="00EE11C8">
        <w:t>One</w:t>
      </w:r>
      <w:r w:rsidRPr="00EE11C8">
        <w:t xml:space="preserve"> death was reported for the </w:t>
      </w:r>
      <w:r w:rsidR="00540914" w:rsidRPr="00EE11C8">
        <w:t>MF</w:t>
      </w:r>
      <w:r w:rsidRPr="00EE11C8">
        <w:t xml:space="preserve"> </w:t>
      </w:r>
      <w:r w:rsidR="00540914" w:rsidRPr="00EE11C8">
        <w:t>arm</w:t>
      </w:r>
      <w:r w:rsidRPr="00EE11C8">
        <w:t xml:space="preserve"> in Palladium and </w:t>
      </w:r>
      <w:r w:rsidR="00540914" w:rsidRPr="00EE11C8">
        <w:t>four</w:t>
      </w:r>
      <w:r w:rsidRPr="00EE11C8">
        <w:t xml:space="preserve"> deaths for the high dose MF/IND group in Iridium, however none related to the trial treatments.</w:t>
      </w:r>
    </w:p>
    <w:p w:rsidR="007F1017" w:rsidRPr="00EE11C8" w:rsidRDefault="007F1017" w:rsidP="00D86231">
      <w:pPr>
        <w:pStyle w:val="4-SubsectionHeading"/>
      </w:pPr>
      <w:bookmarkStart w:id="24" w:name="_Toc22897643"/>
      <w:bookmarkStart w:id="25" w:name="_Toc40451845"/>
      <w:r w:rsidRPr="00EE11C8">
        <w:t>Benefits/harms</w:t>
      </w:r>
      <w:bookmarkEnd w:id="24"/>
      <w:bookmarkEnd w:id="25"/>
    </w:p>
    <w:p w:rsidR="00E569C7" w:rsidRPr="00EE11C8" w:rsidRDefault="00E569C7" w:rsidP="00E569C7">
      <w:pPr>
        <w:pStyle w:val="3-BodyText"/>
      </w:pPr>
      <w:r w:rsidRPr="00EE11C8">
        <w:t>There were no expected clinically meaningful differences between MF/IND and FP/SAL in efficacy and safety when used for the treatment of asthma in patients who experience exacerbations or uncontrolled asthma while receiving treatment with oral corticosteroids or optimal doses of ICS.</w:t>
      </w:r>
    </w:p>
    <w:p w:rsidR="00B60939" w:rsidRPr="00EE11C8" w:rsidRDefault="00B60939" w:rsidP="00E9094A">
      <w:pPr>
        <w:pStyle w:val="4-SubsectionHeading"/>
      </w:pPr>
      <w:bookmarkStart w:id="26" w:name="_Toc22897644"/>
      <w:bookmarkStart w:id="27" w:name="_Toc40451846"/>
      <w:r w:rsidRPr="00EE11C8">
        <w:t>Clinical claim</w:t>
      </w:r>
      <w:bookmarkEnd w:id="26"/>
      <w:bookmarkEnd w:id="27"/>
    </w:p>
    <w:p w:rsidR="004366F4" w:rsidRPr="00EE11C8" w:rsidRDefault="004366F4" w:rsidP="003935D7">
      <w:pPr>
        <w:pStyle w:val="3-BodyText"/>
      </w:pPr>
      <w:r w:rsidRPr="00EE11C8">
        <w:t>Based on the evidence presented, the submission described MF/IND as at least non-inferior/equivalent in terms of effectiveness and safety compared with equivalent doses of FP/SAL</w:t>
      </w:r>
      <w:r w:rsidR="003F7ADE" w:rsidRPr="00EE11C8">
        <w:t xml:space="preserve"> DPI</w:t>
      </w:r>
      <w:r w:rsidRPr="00EE11C8">
        <w:t xml:space="preserve"> in patients with asthma</w:t>
      </w:r>
      <w:r w:rsidR="00693CF4" w:rsidRPr="00EE11C8">
        <w:t>, and proposed the following</w:t>
      </w:r>
      <w:r w:rsidR="003935D7" w:rsidRPr="00EE11C8">
        <w:t>:</w:t>
      </w:r>
    </w:p>
    <w:p w:rsidR="004366F4" w:rsidRPr="00EE11C8" w:rsidRDefault="004366F4" w:rsidP="00CD6A6E">
      <w:pPr>
        <w:pStyle w:val="3-BodyText"/>
        <w:numPr>
          <w:ilvl w:val="0"/>
          <w:numId w:val="9"/>
        </w:numPr>
      </w:pPr>
      <w:r w:rsidRPr="00EE11C8">
        <w:t xml:space="preserve">MF/IND 80/150 </w:t>
      </w:r>
      <w:r w:rsidR="005134C3" w:rsidRPr="00EE11C8">
        <w:t xml:space="preserve">one actuation </w:t>
      </w:r>
      <w:r w:rsidRPr="00EE11C8">
        <w:t xml:space="preserve">once daily is equivalent to </w:t>
      </w:r>
      <w:r w:rsidR="003935D7" w:rsidRPr="00EE11C8">
        <w:t xml:space="preserve">FP/SAL </w:t>
      </w:r>
      <w:r w:rsidR="000D270D" w:rsidRPr="00EE11C8">
        <w:t xml:space="preserve">DPI </w:t>
      </w:r>
      <w:r w:rsidR="003935D7" w:rsidRPr="00EE11C8">
        <w:t>100/50</w:t>
      </w:r>
      <w:r w:rsidR="003F7ADE" w:rsidRPr="00EE11C8">
        <w:t xml:space="preserve"> </w:t>
      </w:r>
      <w:r w:rsidR="005134C3" w:rsidRPr="00EE11C8">
        <w:t xml:space="preserve">one actuation </w:t>
      </w:r>
      <w:r w:rsidR="003935D7" w:rsidRPr="00EE11C8">
        <w:t>twice daily.</w:t>
      </w:r>
    </w:p>
    <w:p w:rsidR="004366F4" w:rsidRPr="00EE11C8" w:rsidRDefault="004366F4" w:rsidP="00CD6A6E">
      <w:pPr>
        <w:pStyle w:val="3-BodyText"/>
        <w:numPr>
          <w:ilvl w:val="0"/>
          <w:numId w:val="9"/>
        </w:numPr>
      </w:pPr>
      <w:r w:rsidRPr="00EE11C8">
        <w:t xml:space="preserve">MF/IND </w:t>
      </w:r>
      <w:r w:rsidR="003935D7" w:rsidRPr="00EE11C8">
        <w:t>16</w:t>
      </w:r>
      <w:r w:rsidRPr="00EE11C8">
        <w:t xml:space="preserve">0/150 </w:t>
      </w:r>
      <w:r w:rsidR="005134C3" w:rsidRPr="00EE11C8">
        <w:t xml:space="preserve">one actuation </w:t>
      </w:r>
      <w:r w:rsidRPr="00EE11C8">
        <w:t xml:space="preserve">once daily is equivalent to FP/SAL </w:t>
      </w:r>
      <w:r w:rsidR="000D270D" w:rsidRPr="00EE11C8">
        <w:t xml:space="preserve">DPI </w:t>
      </w:r>
      <w:r w:rsidR="003935D7" w:rsidRPr="00EE11C8">
        <w:t xml:space="preserve">250/50 </w:t>
      </w:r>
      <w:r w:rsidR="005134C3" w:rsidRPr="00EE11C8">
        <w:t xml:space="preserve">one actuation </w:t>
      </w:r>
      <w:r w:rsidR="003935D7" w:rsidRPr="00EE11C8">
        <w:t>twice daily.</w:t>
      </w:r>
    </w:p>
    <w:p w:rsidR="004366F4" w:rsidRPr="00EE11C8" w:rsidRDefault="004366F4" w:rsidP="00CD6A6E">
      <w:pPr>
        <w:pStyle w:val="3-BodyText"/>
        <w:numPr>
          <w:ilvl w:val="0"/>
          <w:numId w:val="9"/>
        </w:numPr>
      </w:pPr>
      <w:r w:rsidRPr="00EE11C8">
        <w:t xml:space="preserve">MF/IND </w:t>
      </w:r>
      <w:r w:rsidR="003935D7" w:rsidRPr="00EE11C8">
        <w:t>32</w:t>
      </w:r>
      <w:r w:rsidRPr="00EE11C8">
        <w:t xml:space="preserve">0/150 </w:t>
      </w:r>
      <w:r w:rsidR="005134C3" w:rsidRPr="00EE11C8">
        <w:t xml:space="preserve">one actuation </w:t>
      </w:r>
      <w:r w:rsidRPr="00EE11C8">
        <w:t xml:space="preserve">once daily is equivalent to FP/SAL </w:t>
      </w:r>
      <w:r w:rsidR="000D270D" w:rsidRPr="00EE11C8">
        <w:t xml:space="preserve">DPI </w:t>
      </w:r>
      <w:r w:rsidR="003935D7" w:rsidRPr="00EE11C8">
        <w:t xml:space="preserve">500/50 </w:t>
      </w:r>
      <w:r w:rsidR="005134C3" w:rsidRPr="00EE11C8">
        <w:t xml:space="preserve">one actuation </w:t>
      </w:r>
      <w:r w:rsidR="003935D7" w:rsidRPr="00EE11C8">
        <w:t>twice daily.</w:t>
      </w:r>
    </w:p>
    <w:p w:rsidR="004366F4" w:rsidRPr="00EE11C8" w:rsidRDefault="004366F4" w:rsidP="00942055">
      <w:pPr>
        <w:pStyle w:val="3-BodyText"/>
        <w:rPr>
          <w:iCs/>
        </w:rPr>
      </w:pPr>
      <w:r w:rsidRPr="00EE11C8">
        <w:rPr>
          <w:iCs/>
        </w:rPr>
        <w:t xml:space="preserve">The </w:t>
      </w:r>
      <w:r w:rsidR="00F74540" w:rsidRPr="00EE11C8">
        <w:rPr>
          <w:iCs/>
        </w:rPr>
        <w:t xml:space="preserve">clinical </w:t>
      </w:r>
      <w:r w:rsidR="00942055" w:rsidRPr="00EE11C8">
        <w:rPr>
          <w:iCs/>
        </w:rPr>
        <w:t xml:space="preserve">trial evidence presented in the submission supported the </w:t>
      </w:r>
      <w:r w:rsidRPr="00EE11C8">
        <w:rPr>
          <w:iCs/>
        </w:rPr>
        <w:t xml:space="preserve">claim of non-inferior effectiveness for the high dose MF/IND </w:t>
      </w:r>
      <w:r w:rsidR="003935D7" w:rsidRPr="00EE11C8">
        <w:rPr>
          <w:iCs/>
        </w:rPr>
        <w:t>(320/150)</w:t>
      </w:r>
      <w:r w:rsidRPr="00EE11C8">
        <w:rPr>
          <w:iCs/>
        </w:rPr>
        <w:t xml:space="preserve">, but </w:t>
      </w:r>
      <w:r w:rsidR="00942055" w:rsidRPr="00EE11C8">
        <w:rPr>
          <w:iCs/>
        </w:rPr>
        <w:t xml:space="preserve">the claim </w:t>
      </w:r>
      <w:r w:rsidRPr="00EE11C8">
        <w:rPr>
          <w:iCs/>
        </w:rPr>
        <w:t>requires consideration for</w:t>
      </w:r>
      <w:r w:rsidR="003935D7" w:rsidRPr="00EE11C8">
        <w:rPr>
          <w:iCs/>
        </w:rPr>
        <w:t xml:space="preserve"> the other doses</w:t>
      </w:r>
      <w:r w:rsidR="009A755E" w:rsidRPr="00EE11C8">
        <w:rPr>
          <w:iCs/>
        </w:rPr>
        <w:t>.</w:t>
      </w:r>
    </w:p>
    <w:p w:rsidR="004366F4" w:rsidRPr="00EE11C8" w:rsidRDefault="004366F4" w:rsidP="009A755E">
      <w:pPr>
        <w:pStyle w:val="3-BodyText"/>
        <w:numPr>
          <w:ilvl w:val="0"/>
          <w:numId w:val="0"/>
        </w:numPr>
        <w:ind w:left="720" w:hanging="11"/>
      </w:pPr>
      <w:r w:rsidRPr="00EE11C8">
        <w:t xml:space="preserve">For </w:t>
      </w:r>
      <w:r w:rsidR="003935D7" w:rsidRPr="00EE11C8">
        <w:t xml:space="preserve">the </w:t>
      </w:r>
      <w:r w:rsidRPr="00EE11C8">
        <w:t xml:space="preserve">medium </w:t>
      </w:r>
      <w:r w:rsidR="003935D7" w:rsidRPr="00EE11C8">
        <w:t>dose</w:t>
      </w:r>
      <w:r w:rsidRPr="00EE11C8">
        <w:t xml:space="preserve">, the post-hoc </w:t>
      </w:r>
      <w:r w:rsidR="003935D7" w:rsidRPr="00EE11C8">
        <w:t>analyse</w:t>
      </w:r>
      <w:r w:rsidRPr="00EE11C8">
        <w:t>s showed similar efficacy between the medium dose MF/IND (160/150)</w:t>
      </w:r>
      <w:r w:rsidR="003935D7" w:rsidRPr="00EE11C8">
        <w:t xml:space="preserve"> once daily</w:t>
      </w:r>
      <w:r w:rsidRPr="00EE11C8">
        <w:t xml:space="preserve"> and high dose FP/SAL </w:t>
      </w:r>
      <w:r w:rsidR="000D270D" w:rsidRPr="00EE11C8">
        <w:t xml:space="preserve">DPI </w:t>
      </w:r>
      <w:r w:rsidRPr="00EE11C8">
        <w:t>(500/50)</w:t>
      </w:r>
      <w:r w:rsidR="003935D7" w:rsidRPr="00EE11C8">
        <w:t xml:space="preserve"> twice daily</w:t>
      </w:r>
      <w:r w:rsidR="00EE11C8">
        <w:t xml:space="preserve">. </w:t>
      </w:r>
      <w:r w:rsidRPr="00EE11C8">
        <w:t xml:space="preserve">The trials were not designed to compare those formulations and therefore the submission “accepted” equivalence between medium dose MF/IND (160/150) and medium dose FP/SAL </w:t>
      </w:r>
      <w:r w:rsidR="000D270D" w:rsidRPr="00EE11C8">
        <w:t xml:space="preserve">DPI </w:t>
      </w:r>
      <w:r w:rsidRPr="00EE11C8">
        <w:t>(250/50)</w:t>
      </w:r>
      <w:r w:rsidR="00EE11C8">
        <w:t xml:space="preserve">. </w:t>
      </w:r>
      <w:r w:rsidRPr="00EE11C8">
        <w:t>T</w:t>
      </w:r>
      <w:r w:rsidR="009A2B9D" w:rsidRPr="00EE11C8">
        <w:t>he PBAC considered t</w:t>
      </w:r>
      <w:r w:rsidRPr="00EE11C8">
        <w:t>his may be a reasonable conclusion based on the evidence available.</w:t>
      </w:r>
    </w:p>
    <w:p w:rsidR="009A2B9D" w:rsidRPr="00EE11C8" w:rsidRDefault="004366F4" w:rsidP="009A2B9D">
      <w:pPr>
        <w:pStyle w:val="3-BodyText"/>
        <w:numPr>
          <w:ilvl w:val="0"/>
          <w:numId w:val="0"/>
        </w:numPr>
        <w:ind w:left="720" w:hanging="11"/>
        <w:rPr>
          <w:bCs/>
        </w:rPr>
      </w:pPr>
      <w:r w:rsidRPr="00EE11C8">
        <w:lastRenderedPageBreak/>
        <w:t xml:space="preserve">For the low </w:t>
      </w:r>
      <w:r w:rsidR="003935D7" w:rsidRPr="00EE11C8">
        <w:t>dose</w:t>
      </w:r>
      <w:r w:rsidRPr="00EE11C8">
        <w:t xml:space="preserve">, the submission did not present any evidence linking low dose MF/IND (80/150) </w:t>
      </w:r>
      <w:r w:rsidR="0022126C" w:rsidRPr="00EE11C8">
        <w:t xml:space="preserve">once daily </w:t>
      </w:r>
      <w:r w:rsidRPr="00EE11C8">
        <w:t xml:space="preserve">to low dose FP/SAL </w:t>
      </w:r>
      <w:r w:rsidR="000D270D" w:rsidRPr="00EE11C8">
        <w:t xml:space="preserve">DPI </w:t>
      </w:r>
      <w:r w:rsidRPr="00EE11C8">
        <w:t>(100/50)</w:t>
      </w:r>
      <w:r w:rsidR="0022126C" w:rsidRPr="00EE11C8">
        <w:t xml:space="preserve"> twice daily</w:t>
      </w:r>
      <w:r w:rsidR="00EE11C8">
        <w:t xml:space="preserve">. </w:t>
      </w:r>
      <w:r w:rsidRPr="00EE11C8">
        <w:t>An indirect comparison conducted during the evaluation using the same common reference arm, suggested low dose MF/IND (80/150) had improved or similar efficacy to ‘medium’ dose FP (250)</w:t>
      </w:r>
      <w:r w:rsidR="00AB3FCE" w:rsidRPr="00EE11C8">
        <w:t xml:space="preserve"> twice daily</w:t>
      </w:r>
      <w:r w:rsidR="00EE11C8">
        <w:t xml:space="preserve">. </w:t>
      </w:r>
      <w:r w:rsidRPr="00EE11C8">
        <w:t xml:space="preserve">The clinical claim is therefore dependent on accepting that low dose FP/SAL (100/50) </w:t>
      </w:r>
      <w:r w:rsidR="0022126C" w:rsidRPr="00EE11C8">
        <w:t xml:space="preserve">is superior or at least not inferior to </w:t>
      </w:r>
      <w:r w:rsidRPr="00EE11C8">
        <w:t>FP (250), which may be a reasonable conclusion</w:t>
      </w:r>
      <w:r w:rsidR="00F76519" w:rsidRPr="00EE11C8">
        <w:rPr>
          <w:rStyle w:val="FootnoteReference"/>
        </w:rPr>
        <w:footnoteReference w:id="2"/>
      </w:r>
      <w:r w:rsidRPr="00EE11C8">
        <w:t>.</w:t>
      </w:r>
      <w:r w:rsidR="009A2B9D" w:rsidRPr="00EE11C8">
        <w:t xml:space="preserve"> The PBAC agreed with the evaluation that this may be a reasonable co</w:t>
      </w:r>
      <w:r w:rsidR="00070877" w:rsidRPr="00EE11C8">
        <w:t xml:space="preserve">nclusion based on the </w:t>
      </w:r>
      <w:r w:rsidR="009A2B9D" w:rsidRPr="00EE11C8">
        <w:t>evidence</w:t>
      </w:r>
      <w:r w:rsidR="00070877" w:rsidRPr="00EE11C8">
        <w:t xml:space="preserve"> available</w:t>
      </w:r>
      <w:r w:rsidR="009A2B9D" w:rsidRPr="00EE11C8">
        <w:t xml:space="preserve">. </w:t>
      </w:r>
    </w:p>
    <w:p w:rsidR="0086432E" w:rsidRPr="00EE11C8" w:rsidRDefault="0086432E" w:rsidP="009A2B9D">
      <w:pPr>
        <w:pStyle w:val="3-BodyText"/>
        <w:rPr>
          <w:bCs/>
        </w:rPr>
      </w:pPr>
      <w:r w:rsidRPr="00EE11C8">
        <w:rPr>
          <w:bCs/>
        </w:rPr>
        <w:t xml:space="preserve">The PBAC considered that the claim of </w:t>
      </w:r>
      <w:r w:rsidR="00B00A5C" w:rsidRPr="00EE11C8">
        <w:rPr>
          <w:bCs/>
        </w:rPr>
        <w:t xml:space="preserve">MF/IND </w:t>
      </w:r>
      <w:r w:rsidR="009A2B9D" w:rsidRPr="00EE11C8">
        <w:rPr>
          <w:bCs/>
        </w:rPr>
        <w:t xml:space="preserve">being at least non-inferior/equivalent in terms of comparative effectiveness with equivalent doses of FP/SAL DPI was reasonable. </w:t>
      </w:r>
    </w:p>
    <w:p w:rsidR="0086432E" w:rsidRPr="00EE11C8" w:rsidRDefault="0086432E" w:rsidP="0086432E">
      <w:pPr>
        <w:pStyle w:val="3-BodyText"/>
        <w:rPr>
          <w:bCs/>
        </w:rPr>
      </w:pPr>
      <w:r w:rsidRPr="00EE11C8">
        <w:rPr>
          <w:bCs/>
        </w:rPr>
        <w:t xml:space="preserve">The PBAC considered that the claim of </w:t>
      </w:r>
      <w:r w:rsidR="00771FA5" w:rsidRPr="00EE11C8">
        <w:rPr>
          <w:bCs/>
        </w:rPr>
        <w:t xml:space="preserve">MF/IND being at least </w:t>
      </w:r>
      <w:r w:rsidRPr="00EE11C8">
        <w:rPr>
          <w:bCs/>
        </w:rPr>
        <w:t>non-inferior/</w:t>
      </w:r>
      <w:r w:rsidR="00771FA5" w:rsidRPr="00EE11C8">
        <w:rPr>
          <w:bCs/>
        </w:rPr>
        <w:t xml:space="preserve">equivalent in terms of </w:t>
      </w:r>
      <w:r w:rsidRPr="00EE11C8">
        <w:rPr>
          <w:bCs/>
        </w:rPr>
        <w:t>comparative safety was reasonable.</w:t>
      </w:r>
    </w:p>
    <w:p w:rsidR="00B60939" w:rsidRPr="00EE11C8" w:rsidRDefault="00B60939" w:rsidP="00E9094A">
      <w:pPr>
        <w:pStyle w:val="4-SubsectionHeading"/>
      </w:pPr>
      <w:bookmarkStart w:id="28" w:name="_Toc22897645"/>
      <w:bookmarkStart w:id="29" w:name="_Toc40451847"/>
      <w:r w:rsidRPr="00EE11C8">
        <w:t>Economic analysis</w:t>
      </w:r>
      <w:bookmarkEnd w:id="28"/>
      <w:bookmarkEnd w:id="29"/>
      <w:r w:rsidR="00491B3A" w:rsidRPr="00EE11C8">
        <w:t xml:space="preserve"> </w:t>
      </w:r>
    </w:p>
    <w:p w:rsidR="00F76519" w:rsidRPr="00EE11C8" w:rsidRDefault="00F76519" w:rsidP="00FC4A33">
      <w:pPr>
        <w:pStyle w:val="3-BodyText"/>
        <w:rPr>
          <w:bCs/>
        </w:rPr>
      </w:pPr>
      <w:r w:rsidRPr="00EE11C8">
        <w:rPr>
          <w:bCs/>
        </w:rPr>
        <w:t xml:space="preserve">The submission presented a cost-minimisation analysis </w:t>
      </w:r>
      <w:r w:rsidR="00FC4A33" w:rsidRPr="00EE11C8">
        <w:rPr>
          <w:bCs/>
        </w:rPr>
        <w:t xml:space="preserve">based on AEMP (per day) </w:t>
      </w:r>
      <w:r w:rsidRPr="00EE11C8">
        <w:rPr>
          <w:bCs/>
        </w:rPr>
        <w:t xml:space="preserve">between the three formulations of MF/IND </w:t>
      </w:r>
      <w:r w:rsidR="000D270D" w:rsidRPr="00EE11C8">
        <w:rPr>
          <w:bCs/>
        </w:rPr>
        <w:t>and</w:t>
      </w:r>
      <w:r w:rsidRPr="00EE11C8">
        <w:rPr>
          <w:bCs/>
        </w:rPr>
        <w:t xml:space="preserve"> the corresponding formulations of FP/SAL DPI</w:t>
      </w:r>
      <w:r w:rsidR="00EE11C8">
        <w:rPr>
          <w:bCs/>
        </w:rPr>
        <w:t xml:space="preserve">. </w:t>
      </w:r>
      <w:r w:rsidR="008F6BBC" w:rsidRPr="00EE11C8">
        <w:rPr>
          <w:bCs/>
        </w:rPr>
        <w:t xml:space="preserve">The analysis </w:t>
      </w:r>
      <w:r w:rsidR="00FC4A33" w:rsidRPr="00EE11C8">
        <w:rPr>
          <w:bCs/>
        </w:rPr>
        <w:t>assumed no additional costs or cost-offsets</w:t>
      </w:r>
      <w:r w:rsidR="008F6BBC" w:rsidRPr="00EE11C8">
        <w:rPr>
          <w:bCs/>
        </w:rPr>
        <w:t>.</w:t>
      </w:r>
    </w:p>
    <w:p w:rsidR="00B81BFE" w:rsidRPr="00EE11C8" w:rsidRDefault="00B81BFE" w:rsidP="00B81BFE">
      <w:pPr>
        <w:pStyle w:val="3-BodyText"/>
        <w:rPr>
          <w:bCs/>
        </w:rPr>
      </w:pPr>
      <w:r w:rsidRPr="00EE11C8">
        <w:rPr>
          <w:bCs/>
        </w:rPr>
        <w:t>The submission proposed the following equi-effective doses based on the trial evidence presented:</w:t>
      </w:r>
    </w:p>
    <w:p w:rsidR="00B81BFE" w:rsidRPr="00EE11C8" w:rsidRDefault="00D25B83" w:rsidP="00CD6A6E">
      <w:pPr>
        <w:pStyle w:val="3-BodyText"/>
        <w:numPr>
          <w:ilvl w:val="0"/>
          <w:numId w:val="9"/>
        </w:numPr>
      </w:pPr>
      <w:r w:rsidRPr="00EE11C8">
        <w:t xml:space="preserve">MF/IND 80/150 </w:t>
      </w:r>
      <w:r w:rsidR="005134C3" w:rsidRPr="00EE11C8">
        <w:t>one</w:t>
      </w:r>
      <w:r w:rsidR="004F1E04" w:rsidRPr="00EE11C8">
        <w:t xml:space="preserve"> actuation once </w:t>
      </w:r>
      <w:r w:rsidR="00653F6D" w:rsidRPr="00EE11C8">
        <w:t>daily</w:t>
      </w:r>
      <w:r w:rsidR="00B81BFE" w:rsidRPr="00EE11C8">
        <w:t xml:space="preserve"> = FP/SAL 100/50 DPI </w:t>
      </w:r>
      <w:r w:rsidR="005134C3" w:rsidRPr="00EE11C8">
        <w:t xml:space="preserve">one </w:t>
      </w:r>
      <w:r w:rsidR="004F1E04" w:rsidRPr="00EE11C8">
        <w:t xml:space="preserve">actuation </w:t>
      </w:r>
      <w:r w:rsidR="00E70B4F" w:rsidRPr="00EE11C8">
        <w:t>twice daily</w:t>
      </w:r>
    </w:p>
    <w:p w:rsidR="00B81BFE" w:rsidRPr="00EE11C8" w:rsidRDefault="00B81BFE" w:rsidP="00CD6A6E">
      <w:pPr>
        <w:pStyle w:val="3-BodyText"/>
        <w:numPr>
          <w:ilvl w:val="0"/>
          <w:numId w:val="9"/>
        </w:numPr>
      </w:pPr>
      <w:r w:rsidRPr="00EE11C8">
        <w:t xml:space="preserve">MF/IND 160/150 </w:t>
      </w:r>
      <w:r w:rsidR="005134C3" w:rsidRPr="00EE11C8">
        <w:t>one actuation once</w:t>
      </w:r>
      <w:r w:rsidRPr="00EE11C8">
        <w:t xml:space="preserve"> </w:t>
      </w:r>
      <w:r w:rsidR="00653F6D" w:rsidRPr="00EE11C8">
        <w:t>daily</w:t>
      </w:r>
      <w:r w:rsidRPr="00EE11C8">
        <w:t xml:space="preserve"> = FP/SAL 250/50 DPI</w:t>
      </w:r>
      <w:r w:rsidR="000D270D" w:rsidRPr="00EE11C8">
        <w:t xml:space="preserve"> </w:t>
      </w:r>
      <w:r w:rsidR="005134C3" w:rsidRPr="00EE11C8">
        <w:t xml:space="preserve">one actuation </w:t>
      </w:r>
      <w:r w:rsidR="000D270D" w:rsidRPr="00EE11C8">
        <w:t>twice daily</w:t>
      </w:r>
    </w:p>
    <w:p w:rsidR="00B81BFE" w:rsidRPr="00EE11C8" w:rsidRDefault="00B81BFE" w:rsidP="00CD6A6E">
      <w:pPr>
        <w:pStyle w:val="3-BodyText"/>
        <w:numPr>
          <w:ilvl w:val="0"/>
          <w:numId w:val="9"/>
        </w:numPr>
      </w:pPr>
      <w:r w:rsidRPr="00EE11C8">
        <w:t xml:space="preserve">MF/IND 320/150 </w:t>
      </w:r>
      <w:r w:rsidR="005134C3" w:rsidRPr="00EE11C8">
        <w:t>one actuation once</w:t>
      </w:r>
      <w:r w:rsidRPr="00EE11C8">
        <w:t xml:space="preserve"> </w:t>
      </w:r>
      <w:r w:rsidR="00653F6D" w:rsidRPr="00EE11C8">
        <w:t>daily</w:t>
      </w:r>
      <w:r w:rsidRPr="00EE11C8">
        <w:t xml:space="preserve"> = FP/SAL 500/50 DPI </w:t>
      </w:r>
      <w:r w:rsidR="005134C3" w:rsidRPr="00EE11C8">
        <w:t xml:space="preserve">one actuation </w:t>
      </w:r>
      <w:r w:rsidR="000D270D" w:rsidRPr="00EE11C8">
        <w:t>twice daily</w:t>
      </w:r>
    </w:p>
    <w:p w:rsidR="00144A76" w:rsidRDefault="002B0BB8" w:rsidP="00CA1D13">
      <w:pPr>
        <w:pStyle w:val="3-BodyText"/>
        <w:rPr>
          <w:iCs/>
        </w:rPr>
      </w:pPr>
      <w:r w:rsidRPr="00EE11C8">
        <w:rPr>
          <w:bCs/>
          <w:iCs/>
        </w:rPr>
        <w:t>The submission did not explicitly nominate equi-effective doses for the other ICS/LABA FDC comparators, but assume</w:t>
      </w:r>
      <w:r w:rsidR="00CA1D13" w:rsidRPr="00EE11C8">
        <w:rPr>
          <w:bCs/>
          <w:iCs/>
        </w:rPr>
        <w:t>d</w:t>
      </w:r>
      <w:r w:rsidRPr="00EE11C8">
        <w:rPr>
          <w:bCs/>
          <w:iCs/>
        </w:rPr>
        <w:t xml:space="preserve"> that the MF/IND will substitute </w:t>
      </w:r>
      <w:r w:rsidR="00CA1D13" w:rsidRPr="00EE11C8">
        <w:rPr>
          <w:bCs/>
          <w:iCs/>
        </w:rPr>
        <w:t>1:1 for other DPI products in the financial estimates at the dose relativities shown in Table 5</w:t>
      </w:r>
      <w:r w:rsidR="00EE11C8">
        <w:rPr>
          <w:bCs/>
          <w:iCs/>
        </w:rPr>
        <w:t xml:space="preserve">. </w:t>
      </w:r>
      <w:r w:rsidR="00CA1D13" w:rsidRPr="00EE11C8">
        <w:rPr>
          <w:bCs/>
          <w:iCs/>
        </w:rPr>
        <w:t>B</w:t>
      </w:r>
      <w:r w:rsidRPr="00EE11C8">
        <w:rPr>
          <w:iCs/>
        </w:rPr>
        <w:t>ase</w:t>
      </w:r>
      <w:r w:rsidR="00CA1D13" w:rsidRPr="00EE11C8">
        <w:rPr>
          <w:iCs/>
        </w:rPr>
        <w:t xml:space="preserve">d </w:t>
      </w:r>
      <w:r w:rsidR="004D7FD0" w:rsidRPr="00EE11C8">
        <w:rPr>
          <w:iCs/>
        </w:rPr>
        <w:t>on the Therapeutic Relativities</w:t>
      </w:r>
      <w:r w:rsidR="00CA1D13" w:rsidRPr="00EE11C8">
        <w:rPr>
          <w:iCs/>
        </w:rPr>
        <w:t>, the following dose relativities to MDI products would also apply.</w:t>
      </w:r>
    </w:p>
    <w:p w:rsidR="00144A76" w:rsidRDefault="00144A76">
      <w:pPr>
        <w:jc w:val="left"/>
        <w:rPr>
          <w:rFonts w:asciiTheme="minorHAnsi" w:hAnsiTheme="minorHAnsi"/>
          <w:iCs/>
          <w:snapToGrid w:val="0"/>
        </w:rPr>
      </w:pPr>
      <w:r>
        <w:rPr>
          <w:iCs/>
        </w:rPr>
        <w:br w:type="page"/>
      </w:r>
    </w:p>
    <w:p w:rsidR="002B0BB8" w:rsidRPr="00EE11C8" w:rsidRDefault="002B0BB8" w:rsidP="00144A76">
      <w:pPr>
        <w:pStyle w:val="3-BodyText"/>
        <w:numPr>
          <w:ilvl w:val="0"/>
          <w:numId w:val="0"/>
        </w:numPr>
        <w:ind w:left="720" w:hanging="720"/>
        <w:rPr>
          <w:iCs/>
        </w:rPr>
      </w:pPr>
    </w:p>
    <w:p w:rsidR="00EC3B7E" w:rsidRPr="00EE11C8" w:rsidRDefault="00EC3B7E" w:rsidP="00EC3B7E">
      <w:pPr>
        <w:rPr>
          <w:b/>
        </w:rPr>
      </w:pPr>
      <w:r w:rsidRPr="00EE11C8">
        <w:rPr>
          <w:rFonts w:ascii="Arial Narrow" w:hAnsi="Arial Narrow"/>
          <w:b/>
          <w:sz w:val="20"/>
          <w:szCs w:val="20"/>
        </w:rPr>
        <w:t>Table 5: Available ICS/LABA FDCs on the PBS, at comparable doses to Atectura® Breezhaler® DPI capsules</w:t>
      </w:r>
    </w:p>
    <w:tbl>
      <w:tblPr>
        <w:tblStyle w:val="TableGrid"/>
        <w:tblW w:w="0" w:type="auto"/>
        <w:tblCellMar>
          <w:left w:w="28" w:type="dxa"/>
          <w:right w:w="28" w:type="dxa"/>
        </w:tblCellMar>
        <w:tblLook w:val="04A0" w:firstRow="1" w:lastRow="0" w:firstColumn="1" w:lastColumn="0" w:noHBand="0" w:noVBand="1"/>
        <w:tblCaption w:val="Table 5"/>
      </w:tblPr>
      <w:tblGrid>
        <w:gridCol w:w="1555"/>
        <w:gridCol w:w="3827"/>
        <w:gridCol w:w="3635"/>
      </w:tblGrid>
      <w:tr w:rsidR="00EC3B7E" w:rsidRPr="00EE11C8" w:rsidTr="00DC3A3F">
        <w:trPr>
          <w:tblHeader/>
        </w:trPr>
        <w:tc>
          <w:tcPr>
            <w:tcW w:w="1555" w:type="dxa"/>
            <w:tcBorders>
              <w:bottom w:val="single" w:sz="4" w:space="0" w:color="auto"/>
            </w:tcBorders>
          </w:tcPr>
          <w:p w:rsidR="00EC3B7E" w:rsidRPr="00EE11C8" w:rsidRDefault="00EC3B7E" w:rsidP="00096664">
            <w:pPr>
              <w:rPr>
                <w:rFonts w:ascii="Arial Narrow" w:hAnsi="Arial Narrow"/>
                <w:sz w:val="20"/>
                <w:szCs w:val="20"/>
                <w:u w:val="single"/>
              </w:rPr>
            </w:pPr>
          </w:p>
        </w:tc>
        <w:tc>
          <w:tcPr>
            <w:tcW w:w="3827" w:type="dxa"/>
            <w:tcBorders>
              <w:bottom w:val="single" w:sz="4" w:space="0" w:color="auto"/>
            </w:tcBorders>
            <w:vAlign w:val="center"/>
          </w:tcPr>
          <w:p w:rsidR="00EC3B7E" w:rsidRPr="00EE11C8" w:rsidRDefault="00EC3B7E" w:rsidP="00096664">
            <w:pPr>
              <w:jc w:val="center"/>
              <w:rPr>
                <w:rFonts w:ascii="Arial Narrow" w:hAnsi="Arial Narrow"/>
                <w:b/>
                <w:sz w:val="20"/>
                <w:szCs w:val="20"/>
                <w:u w:val="single"/>
              </w:rPr>
            </w:pPr>
            <w:r w:rsidRPr="00EE11C8">
              <w:rPr>
                <w:rFonts w:ascii="Arial Narrow" w:hAnsi="Arial Narrow"/>
                <w:b/>
                <w:sz w:val="20"/>
                <w:szCs w:val="20"/>
                <w:u w:val="single"/>
              </w:rPr>
              <w:t>Comparable DPI formulations &amp; doses</w:t>
            </w:r>
          </w:p>
        </w:tc>
        <w:tc>
          <w:tcPr>
            <w:tcW w:w="3635" w:type="dxa"/>
            <w:tcBorders>
              <w:bottom w:val="single" w:sz="4" w:space="0" w:color="auto"/>
            </w:tcBorders>
            <w:vAlign w:val="center"/>
          </w:tcPr>
          <w:p w:rsidR="00EC3B7E" w:rsidRPr="00EE11C8" w:rsidRDefault="00EC3B7E" w:rsidP="00096664">
            <w:pPr>
              <w:jc w:val="center"/>
              <w:rPr>
                <w:rFonts w:ascii="Arial Narrow" w:hAnsi="Arial Narrow"/>
                <w:b/>
                <w:sz w:val="20"/>
                <w:szCs w:val="20"/>
                <w:u w:val="single"/>
              </w:rPr>
            </w:pPr>
            <w:r w:rsidRPr="00EE11C8">
              <w:rPr>
                <w:rFonts w:ascii="Arial Narrow" w:hAnsi="Arial Narrow"/>
                <w:b/>
                <w:sz w:val="20"/>
                <w:szCs w:val="20"/>
                <w:u w:val="single"/>
              </w:rPr>
              <w:t>Comparable MDI formulations &amp; doses</w:t>
            </w:r>
          </w:p>
        </w:tc>
      </w:tr>
      <w:tr w:rsidR="00EC3B7E" w:rsidRPr="00EE11C8" w:rsidTr="00096664">
        <w:tc>
          <w:tcPr>
            <w:tcW w:w="1555" w:type="dxa"/>
            <w:tcBorders>
              <w:bottom w:val="nil"/>
            </w:tcBorders>
            <w:vAlign w:val="center"/>
          </w:tcPr>
          <w:p w:rsidR="00EC3B7E" w:rsidRPr="00EE11C8" w:rsidRDefault="00EC3B7E" w:rsidP="00096664">
            <w:pPr>
              <w:jc w:val="left"/>
              <w:rPr>
                <w:rFonts w:ascii="Arial Narrow" w:hAnsi="Arial Narrow"/>
                <w:sz w:val="20"/>
                <w:szCs w:val="20"/>
              </w:rPr>
            </w:pPr>
            <w:r w:rsidRPr="00EE11C8">
              <w:rPr>
                <w:rFonts w:ascii="Arial Narrow" w:hAnsi="Arial Narrow"/>
                <w:sz w:val="20"/>
                <w:szCs w:val="20"/>
              </w:rPr>
              <w:t xml:space="preserve">MF/IND 80/150, D </w:t>
            </w:r>
          </w:p>
        </w:tc>
        <w:tc>
          <w:tcPr>
            <w:tcW w:w="3827" w:type="dxa"/>
            <w:tcBorders>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FP/SAL 100/50 (Seretide Accuhaler®), BD</w:t>
            </w:r>
          </w:p>
        </w:tc>
        <w:tc>
          <w:tcPr>
            <w:tcW w:w="3635" w:type="dxa"/>
            <w:tcBorders>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FP/SAL 50/25 (Seretide®), 2 BD</w:t>
            </w:r>
          </w:p>
        </w:tc>
      </w:tr>
      <w:tr w:rsidR="00EC3B7E" w:rsidRPr="00EE11C8" w:rsidTr="00096664">
        <w:tc>
          <w:tcPr>
            <w:tcW w:w="1555" w:type="dxa"/>
            <w:tcBorders>
              <w:top w:val="nil"/>
              <w:bottom w:val="nil"/>
            </w:tcBorders>
            <w:vAlign w:val="center"/>
          </w:tcPr>
          <w:p w:rsidR="00EC3B7E" w:rsidRPr="00EE11C8" w:rsidRDefault="00EC3B7E" w:rsidP="00096664">
            <w:pPr>
              <w:jc w:val="left"/>
              <w:rPr>
                <w:rFonts w:ascii="Arial Narrow" w:hAnsi="Arial Narrow"/>
                <w:sz w:val="20"/>
                <w:szCs w:val="20"/>
              </w:rPr>
            </w:pPr>
          </w:p>
        </w:tc>
        <w:tc>
          <w:tcPr>
            <w:tcW w:w="3827" w:type="dxa"/>
            <w:tcBorders>
              <w:top w:val="nil"/>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BUD/FOR 100/6 (Symbicort® Turbuhaler®), 2 BD</w:t>
            </w:r>
          </w:p>
        </w:tc>
        <w:tc>
          <w:tcPr>
            <w:tcW w:w="3635" w:type="dxa"/>
            <w:tcBorders>
              <w:top w:val="nil"/>
              <w:bottom w:val="nil"/>
            </w:tcBorders>
            <w:vAlign w:val="center"/>
          </w:tcPr>
          <w:p w:rsidR="00EC3B7E" w:rsidRPr="00EE11C8" w:rsidRDefault="00EC3B7E" w:rsidP="00096664">
            <w:pPr>
              <w:pStyle w:val="TableText0"/>
              <w:keepNext w:val="0"/>
              <w:jc w:val="center"/>
              <w:rPr>
                <w:rFonts w:eastAsia="Times New Roman" w:cs="Arial"/>
                <w:bCs w:val="0"/>
                <w:szCs w:val="20"/>
              </w:rPr>
            </w:pPr>
            <w:r w:rsidRPr="00EE11C8">
              <w:rPr>
                <w:rFonts w:eastAsia="Times New Roman" w:cs="Arial"/>
                <w:bCs w:val="0"/>
                <w:szCs w:val="20"/>
              </w:rPr>
              <w:t>BUD/FOR 50/3 (Symbicort Rapihaler®), 4 BD</w:t>
            </w:r>
          </w:p>
        </w:tc>
      </w:tr>
      <w:tr w:rsidR="00EC3B7E" w:rsidRPr="00EE11C8" w:rsidTr="00096664">
        <w:tc>
          <w:tcPr>
            <w:tcW w:w="1555" w:type="dxa"/>
            <w:tcBorders>
              <w:top w:val="nil"/>
              <w:bottom w:val="single" w:sz="4" w:space="0" w:color="auto"/>
            </w:tcBorders>
            <w:vAlign w:val="center"/>
          </w:tcPr>
          <w:p w:rsidR="00EC3B7E" w:rsidRPr="00EE11C8" w:rsidRDefault="00EC3B7E" w:rsidP="00096664">
            <w:pPr>
              <w:jc w:val="left"/>
              <w:rPr>
                <w:rFonts w:ascii="Arial Narrow" w:hAnsi="Arial Narrow"/>
                <w:sz w:val="20"/>
                <w:szCs w:val="20"/>
              </w:rPr>
            </w:pPr>
          </w:p>
        </w:tc>
        <w:tc>
          <w:tcPr>
            <w:tcW w:w="3827" w:type="dxa"/>
            <w:tcBorders>
              <w:top w:val="nil"/>
              <w:bottom w:val="single" w:sz="4" w:space="0" w:color="auto"/>
            </w:tcBorders>
            <w:vAlign w:val="center"/>
          </w:tcPr>
          <w:p w:rsidR="00EC3B7E" w:rsidRPr="00EE11C8" w:rsidRDefault="00EC3B7E" w:rsidP="00096664">
            <w:pPr>
              <w:jc w:val="center"/>
              <w:rPr>
                <w:rFonts w:ascii="Arial Narrow" w:hAnsi="Arial Narrow"/>
                <w:sz w:val="20"/>
                <w:szCs w:val="20"/>
              </w:rPr>
            </w:pPr>
          </w:p>
        </w:tc>
        <w:tc>
          <w:tcPr>
            <w:tcW w:w="3635" w:type="dxa"/>
            <w:tcBorders>
              <w:top w:val="nil"/>
              <w:bottom w:val="single" w:sz="4" w:space="0" w:color="auto"/>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FP/FOR 50/5 (Flutiform®), 2 BD</w:t>
            </w:r>
          </w:p>
        </w:tc>
      </w:tr>
      <w:tr w:rsidR="00EC3B7E" w:rsidRPr="00EE11C8" w:rsidTr="00096664">
        <w:tc>
          <w:tcPr>
            <w:tcW w:w="1555" w:type="dxa"/>
            <w:tcBorders>
              <w:bottom w:val="nil"/>
            </w:tcBorders>
            <w:vAlign w:val="center"/>
          </w:tcPr>
          <w:p w:rsidR="00EC3B7E" w:rsidRPr="00EE11C8" w:rsidRDefault="00EC3B7E" w:rsidP="00096664">
            <w:pPr>
              <w:jc w:val="left"/>
              <w:rPr>
                <w:rFonts w:ascii="Arial Narrow" w:hAnsi="Arial Narrow"/>
                <w:sz w:val="20"/>
                <w:szCs w:val="20"/>
              </w:rPr>
            </w:pPr>
            <w:r w:rsidRPr="00EE11C8">
              <w:rPr>
                <w:rFonts w:ascii="Arial Narrow" w:hAnsi="Arial Narrow"/>
                <w:sz w:val="20"/>
                <w:szCs w:val="20"/>
              </w:rPr>
              <w:t xml:space="preserve">MF/IND 160/150, D </w:t>
            </w:r>
          </w:p>
        </w:tc>
        <w:tc>
          <w:tcPr>
            <w:tcW w:w="3827" w:type="dxa"/>
            <w:tcBorders>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FP/SAL 250/50 (Seretide Accuhaler®), BD</w:t>
            </w:r>
          </w:p>
        </w:tc>
        <w:tc>
          <w:tcPr>
            <w:tcW w:w="3635" w:type="dxa"/>
            <w:tcBorders>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FP/SAL 125/25 (Seretide®), 2 BD</w:t>
            </w:r>
          </w:p>
        </w:tc>
      </w:tr>
      <w:tr w:rsidR="00EC3B7E" w:rsidRPr="00EE11C8" w:rsidTr="00096664">
        <w:tc>
          <w:tcPr>
            <w:tcW w:w="1555" w:type="dxa"/>
            <w:tcBorders>
              <w:top w:val="nil"/>
              <w:bottom w:val="nil"/>
            </w:tcBorders>
            <w:vAlign w:val="center"/>
          </w:tcPr>
          <w:p w:rsidR="00EC3B7E" w:rsidRPr="00EE11C8" w:rsidRDefault="00EC3B7E" w:rsidP="00096664">
            <w:pPr>
              <w:jc w:val="left"/>
              <w:rPr>
                <w:rFonts w:ascii="Arial Narrow" w:hAnsi="Arial Narrow"/>
                <w:sz w:val="20"/>
                <w:szCs w:val="20"/>
              </w:rPr>
            </w:pPr>
          </w:p>
        </w:tc>
        <w:tc>
          <w:tcPr>
            <w:tcW w:w="3827" w:type="dxa"/>
            <w:tcBorders>
              <w:top w:val="nil"/>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BUD/FOR 200/6 (Symbicort® Turbuhaler®), 2 BD</w:t>
            </w:r>
          </w:p>
        </w:tc>
        <w:tc>
          <w:tcPr>
            <w:tcW w:w="3635" w:type="dxa"/>
            <w:tcBorders>
              <w:top w:val="nil"/>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BUD/FOR 100/3 (Symbicort Rapihaler®), 4 BD</w:t>
            </w:r>
          </w:p>
        </w:tc>
      </w:tr>
      <w:tr w:rsidR="00EC3B7E" w:rsidRPr="00EE11C8" w:rsidTr="00096664">
        <w:tc>
          <w:tcPr>
            <w:tcW w:w="1555" w:type="dxa"/>
            <w:tcBorders>
              <w:top w:val="nil"/>
              <w:bottom w:val="single" w:sz="4" w:space="0" w:color="auto"/>
            </w:tcBorders>
            <w:vAlign w:val="center"/>
          </w:tcPr>
          <w:p w:rsidR="00EC3B7E" w:rsidRPr="00EE11C8" w:rsidRDefault="00EC3B7E" w:rsidP="00096664">
            <w:pPr>
              <w:jc w:val="left"/>
              <w:rPr>
                <w:rFonts w:ascii="Arial Narrow" w:hAnsi="Arial Narrow"/>
                <w:sz w:val="20"/>
                <w:szCs w:val="20"/>
              </w:rPr>
            </w:pPr>
          </w:p>
        </w:tc>
        <w:tc>
          <w:tcPr>
            <w:tcW w:w="3827" w:type="dxa"/>
            <w:tcBorders>
              <w:top w:val="nil"/>
              <w:bottom w:val="single" w:sz="4" w:space="0" w:color="auto"/>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FF/VI 100/25 (Breo Ellipta®), D</w:t>
            </w:r>
          </w:p>
        </w:tc>
        <w:tc>
          <w:tcPr>
            <w:tcW w:w="3635" w:type="dxa"/>
            <w:tcBorders>
              <w:top w:val="nil"/>
              <w:bottom w:val="single" w:sz="4" w:space="0" w:color="auto"/>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FP/FOR 125/5 (Flutiform®), 2 BD</w:t>
            </w:r>
          </w:p>
        </w:tc>
      </w:tr>
      <w:tr w:rsidR="00EC3B7E" w:rsidRPr="00EE11C8" w:rsidTr="00096664">
        <w:tc>
          <w:tcPr>
            <w:tcW w:w="1555" w:type="dxa"/>
            <w:tcBorders>
              <w:bottom w:val="nil"/>
            </w:tcBorders>
            <w:vAlign w:val="center"/>
          </w:tcPr>
          <w:p w:rsidR="00EC3B7E" w:rsidRPr="00EE11C8" w:rsidRDefault="00EC3B7E" w:rsidP="00096664">
            <w:pPr>
              <w:jc w:val="left"/>
              <w:rPr>
                <w:rFonts w:ascii="Arial Narrow" w:hAnsi="Arial Narrow"/>
                <w:sz w:val="20"/>
                <w:szCs w:val="20"/>
              </w:rPr>
            </w:pPr>
            <w:r w:rsidRPr="00EE11C8">
              <w:rPr>
                <w:rFonts w:ascii="Arial Narrow" w:hAnsi="Arial Narrow"/>
                <w:sz w:val="20"/>
                <w:szCs w:val="20"/>
              </w:rPr>
              <w:t xml:space="preserve">MF/IND 360/150, D </w:t>
            </w:r>
          </w:p>
        </w:tc>
        <w:tc>
          <w:tcPr>
            <w:tcW w:w="3827" w:type="dxa"/>
            <w:tcBorders>
              <w:bottom w:val="nil"/>
            </w:tcBorders>
            <w:vAlign w:val="center"/>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FP/SAL 500/50 (Seretide Accuhaler®), BD</w:t>
            </w:r>
          </w:p>
        </w:tc>
        <w:tc>
          <w:tcPr>
            <w:tcW w:w="3635" w:type="dxa"/>
            <w:tcBorders>
              <w:bottom w:val="nil"/>
            </w:tcBorders>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FP/SAL 250/50 (Seretide®), 2 BD</w:t>
            </w:r>
          </w:p>
        </w:tc>
      </w:tr>
      <w:tr w:rsidR="00EC3B7E" w:rsidRPr="00EE11C8" w:rsidTr="00096664">
        <w:tc>
          <w:tcPr>
            <w:tcW w:w="1555" w:type="dxa"/>
            <w:tcBorders>
              <w:top w:val="nil"/>
              <w:bottom w:val="nil"/>
            </w:tcBorders>
            <w:vAlign w:val="center"/>
          </w:tcPr>
          <w:p w:rsidR="00EC3B7E" w:rsidRPr="00EE11C8" w:rsidRDefault="00EC3B7E" w:rsidP="00096664">
            <w:pPr>
              <w:jc w:val="left"/>
              <w:rPr>
                <w:rFonts w:ascii="Arial Narrow" w:hAnsi="Arial Narrow"/>
                <w:sz w:val="20"/>
                <w:szCs w:val="20"/>
                <w:u w:val="single"/>
              </w:rPr>
            </w:pPr>
          </w:p>
        </w:tc>
        <w:tc>
          <w:tcPr>
            <w:tcW w:w="3827" w:type="dxa"/>
            <w:tcBorders>
              <w:top w:val="nil"/>
              <w:bottom w:val="nil"/>
            </w:tcBorders>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BUD/FOR 400/12 (Symbicort® Turbuhaler®), 2 BD</w:t>
            </w:r>
          </w:p>
        </w:tc>
        <w:tc>
          <w:tcPr>
            <w:tcW w:w="3635" w:type="dxa"/>
            <w:tcBorders>
              <w:top w:val="nil"/>
              <w:bottom w:val="nil"/>
            </w:tcBorders>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BUD/FOR 200/6 (Symbicort Rapihaler®), 4 BD</w:t>
            </w:r>
          </w:p>
        </w:tc>
      </w:tr>
      <w:tr w:rsidR="00EC3B7E" w:rsidRPr="00EE11C8" w:rsidTr="00096664">
        <w:tc>
          <w:tcPr>
            <w:tcW w:w="1555" w:type="dxa"/>
            <w:tcBorders>
              <w:top w:val="nil"/>
            </w:tcBorders>
            <w:vAlign w:val="center"/>
          </w:tcPr>
          <w:p w:rsidR="00EC3B7E" w:rsidRPr="00EE11C8" w:rsidRDefault="00EC3B7E" w:rsidP="00096664">
            <w:pPr>
              <w:jc w:val="left"/>
              <w:rPr>
                <w:rFonts w:ascii="Arial Narrow" w:hAnsi="Arial Narrow"/>
                <w:sz w:val="20"/>
                <w:szCs w:val="20"/>
                <w:u w:val="single"/>
              </w:rPr>
            </w:pPr>
          </w:p>
        </w:tc>
        <w:tc>
          <w:tcPr>
            <w:tcW w:w="3827" w:type="dxa"/>
            <w:tcBorders>
              <w:top w:val="nil"/>
            </w:tcBorders>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FF/VI 200/25 (Breo Ellipta®), D</w:t>
            </w:r>
          </w:p>
        </w:tc>
        <w:tc>
          <w:tcPr>
            <w:tcW w:w="3635" w:type="dxa"/>
            <w:tcBorders>
              <w:top w:val="nil"/>
            </w:tcBorders>
          </w:tcPr>
          <w:p w:rsidR="00EC3B7E" w:rsidRPr="00EE11C8" w:rsidRDefault="00EC3B7E" w:rsidP="00096664">
            <w:pPr>
              <w:jc w:val="center"/>
              <w:rPr>
                <w:rFonts w:ascii="Arial Narrow" w:hAnsi="Arial Narrow"/>
                <w:sz w:val="20"/>
                <w:szCs w:val="20"/>
              </w:rPr>
            </w:pPr>
            <w:r w:rsidRPr="00EE11C8">
              <w:rPr>
                <w:rFonts w:ascii="Arial Narrow" w:hAnsi="Arial Narrow"/>
                <w:sz w:val="20"/>
                <w:szCs w:val="20"/>
              </w:rPr>
              <w:t>FP/FOR 250/10 (Flutiform®), 2 BD</w:t>
            </w:r>
          </w:p>
        </w:tc>
      </w:tr>
    </w:tbl>
    <w:p w:rsidR="00EC3B7E" w:rsidRPr="00EE11C8" w:rsidRDefault="00EC3B7E" w:rsidP="00EC3B7E">
      <w:pPr>
        <w:rPr>
          <w:rFonts w:ascii="Arial Narrow" w:hAnsi="Arial Narrow"/>
          <w:sz w:val="18"/>
          <w:szCs w:val="18"/>
        </w:rPr>
      </w:pPr>
      <w:r w:rsidRPr="00EE11C8">
        <w:rPr>
          <w:rFonts w:ascii="Arial Narrow" w:hAnsi="Arial Narrow"/>
          <w:sz w:val="18"/>
          <w:szCs w:val="18"/>
        </w:rPr>
        <w:t xml:space="preserve">Abbreviations: BUD=budesonide; DPI=dry powder inhaler; FOR=eformoterol; FF=fluticasone furoate; FP=fluticasone propionate; ICS inhaled corticosteroid; IND=indacaterol; LABA=long acting beta2-adrenergic agonist; MDI=metered dose inhaler; MF=mometasone furoate; SAL=salmeterol; </w:t>
      </w:r>
      <w:r w:rsidR="00714B40" w:rsidRPr="00EE11C8">
        <w:rPr>
          <w:rFonts w:ascii="Arial Narrow" w:hAnsi="Arial Narrow"/>
          <w:sz w:val="18"/>
          <w:szCs w:val="18"/>
        </w:rPr>
        <w:t xml:space="preserve">VI=vilanterol; </w:t>
      </w:r>
      <w:r w:rsidRPr="00EE11C8">
        <w:rPr>
          <w:rFonts w:ascii="Arial Narrow" w:hAnsi="Arial Narrow"/>
          <w:sz w:val="18"/>
          <w:szCs w:val="18"/>
        </w:rPr>
        <w:t>D=</w:t>
      </w:r>
      <w:r w:rsidR="00D83702" w:rsidRPr="00EE11C8">
        <w:rPr>
          <w:rFonts w:ascii="Arial Narrow" w:hAnsi="Arial Narrow"/>
          <w:sz w:val="18"/>
          <w:szCs w:val="18"/>
        </w:rPr>
        <w:t xml:space="preserve">once </w:t>
      </w:r>
      <w:r w:rsidRPr="00EE11C8">
        <w:rPr>
          <w:rFonts w:ascii="Arial Narrow" w:hAnsi="Arial Narrow"/>
          <w:sz w:val="18"/>
          <w:szCs w:val="18"/>
        </w:rPr>
        <w:t>daily; BD=twice daily;</w:t>
      </w:r>
    </w:p>
    <w:p w:rsidR="00EC3B7E" w:rsidRPr="00EE11C8" w:rsidRDefault="00EC3B7E" w:rsidP="00EC3B7E">
      <w:pPr>
        <w:rPr>
          <w:rFonts w:ascii="Arial Narrow" w:hAnsi="Arial Narrow"/>
          <w:sz w:val="18"/>
          <w:szCs w:val="18"/>
        </w:rPr>
      </w:pPr>
      <w:r w:rsidRPr="00EE11C8">
        <w:rPr>
          <w:rFonts w:ascii="Arial Narrow" w:hAnsi="Arial Narrow"/>
          <w:sz w:val="18"/>
          <w:szCs w:val="18"/>
        </w:rPr>
        <w:t>Source: Table 1.4, p34 of the submission, Therapeutic Relativity Sheets and available PSDs</w:t>
      </w:r>
    </w:p>
    <w:p w:rsidR="00EC3B7E" w:rsidRPr="00EE11C8" w:rsidRDefault="00EC3B7E" w:rsidP="00F228A0"/>
    <w:p w:rsidR="00FC4A33" w:rsidRPr="00EE11C8" w:rsidRDefault="008F6BBC" w:rsidP="005134C3">
      <w:pPr>
        <w:pStyle w:val="3-BodyText"/>
        <w:rPr>
          <w:snapToGrid/>
        </w:rPr>
      </w:pPr>
      <w:r w:rsidRPr="00EE11C8">
        <w:rPr>
          <w:snapToGrid/>
        </w:rPr>
        <w:t xml:space="preserve">At the requested price, </w:t>
      </w:r>
      <w:r w:rsidR="00EC3B7E" w:rsidRPr="00EE11C8">
        <w:rPr>
          <w:snapToGrid/>
        </w:rPr>
        <w:t xml:space="preserve">the three formulations of MF/IND are cost equivalent to the corresponding formulations of </w:t>
      </w:r>
      <w:r w:rsidR="001119E6" w:rsidRPr="00EE11C8">
        <w:rPr>
          <w:snapToGrid/>
        </w:rPr>
        <w:t>FP/SAL</w:t>
      </w:r>
      <w:r w:rsidR="00EC3B7E" w:rsidRPr="00EE11C8">
        <w:rPr>
          <w:snapToGrid/>
        </w:rPr>
        <w:t xml:space="preserve"> DPI</w:t>
      </w:r>
      <w:r w:rsidRPr="00EE11C8">
        <w:rPr>
          <w:snapToGrid/>
        </w:rPr>
        <w:t xml:space="preserve">, </w:t>
      </w:r>
      <w:r w:rsidR="00FC4A33" w:rsidRPr="00EE11C8">
        <w:rPr>
          <w:snapToGrid/>
        </w:rPr>
        <w:t>and each provide</w:t>
      </w:r>
      <w:r w:rsidR="003453B8" w:rsidRPr="00EE11C8">
        <w:rPr>
          <w:snapToGrid/>
        </w:rPr>
        <w:t>s</w:t>
      </w:r>
      <w:r w:rsidR="00FC4A33" w:rsidRPr="00EE11C8">
        <w:rPr>
          <w:snapToGrid/>
        </w:rPr>
        <w:t xml:space="preserve"> 30 days of treatment.</w:t>
      </w:r>
    </w:p>
    <w:p w:rsidR="00EC3B7E" w:rsidRPr="00EE11C8" w:rsidRDefault="00FC4A33" w:rsidP="00A96525">
      <w:pPr>
        <w:pStyle w:val="3-BodyText"/>
        <w:rPr>
          <w:iCs/>
          <w:snapToGrid/>
        </w:rPr>
      </w:pPr>
      <w:r w:rsidRPr="00EE11C8">
        <w:rPr>
          <w:iCs/>
          <w:snapToGrid/>
        </w:rPr>
        <w:t>A cost-minimisation analysis conducted during the evaluation versus other ICS/LABA FDCs at comparable doses (see Table 5) indicated the following comparators are less costl</w:t>
      </w:r>
      <w:r w:rsidR="00486B2B" w:rsidRPr="00EE11C8">
        <w:rPr>
          <w:iCs/>
          <w:snapToGrid/>
        </w:rPr>
        <w:t>y</w:t>
      </w:r>
      <w:r w:rsidRPr="00EE11C8">
        <w:rPr>
          <w:iCs/>
          <w:snapToGrid/>
        </w:rPr>
        <w:t>:</w:t>
      </w:r>
    </w:p>
    <w:p w:rsidR="003453B8" w:rsidRPr="00EE11C8" w:rsidRDefault="003453B8" w:rsidP="00CD6A6E">
      <w:pPr>
        <w:pStyle w:val="ListParagraph"/>
        <w:numPr>
          <w:ilvl w:val="0"/>
          <w:numId w:val="9"/>
        </w:numPr>
      </w:pPr>
      <w:r w:rsidRPr="00EE11C8">
        <w:t>For low dose MF/IND (80/150): fluticasone propionate with formoterol (FP/FOR) 50/5, DPMQ = $37.30.</w:t>
      </w:r>
    </w:p>
    <w:p w:rsidR="003453B8" w:rsidRPr="00EE11C8" w:rsidRDefault="003453B8" w:rsidP="00CD6A6E">
      <w:pPr>
        <w:pStyle w:val="ListParagraph"/>
        <w:numPr>
          <w:ilvl w:val="0"/>
          <w:numId w:val="9"/>
        </w:numPr>
      </w:pPr>
      <w:r w:rsidRPr="00EE11C8">
        <w:t>For medium dose MF/IND (160/150): budesonide with formoterol (BUD/FOR) 200/6 DPI, DPMQ = $44.79; and FP/FOR 125/5, DPMQ = $45.16.</w:t>
      </w:r>
    </w:p>
    <w:p w:rsidR="003453B8" w:rsidRPr="00EE11C8" w:rsidRDefault="003453B8" w:rsidP="00CD6A6E">
      <w:pPr>
        <w:pStyle w:val="ListParagraph"/>
        <w:numPr>
          <w:ilvl w:val="0"/>
          <w:numId w:val="9"/>
        </w:numPr>
      </w:pPr>
      <w:r w:rsidRPr="00EE11C8">
        <w:t>For high dose MF/IND (320/150): FP/FOR 250/10, DPMQ = $60.07.</w:t>
      </w:r>
    </w:p>
    <w:p w:rsidR="00C25D9C" w:rsidRPr="00EE11C8" w:rsidRDefault="00C25D9C" w:rsidP="00BB732D">
      <w:pPr>
        <w:pStyle w:val="4-SubsectionHeading"/>
      </w:pPr>
      <w:bookmarkStart w:id="30" w:name="_Toc22897646"/>
      <w:bookmarkStart w:id="31" w:name="_Toc40451848"/>
      <w:r w:rsidRPr="00EE11C8">
        <w:t>Drug</w:t>
      </w:r>
      <w:r w:rsidR="00074D4B" w:rsidRPr="00EE11C8">
        <w:t xml:space="preserve"> </w:t>
      </w:r>
      <w:r w:rsidRPr="00EE11C8">
        <w:t>cost/patient/year</w:t>
      </w:r>
      <w:bookmarkEnd w:id="30"/>
      <w:bookmarkEnd w:id="31"/>
    </w:p>
    <w:p w:rsidR="00EC3B7E" w:rsidRPr="00EE11C8" w:rsidRDefault="00EC3B7E" w:rsidP="0026200C">
      <w:pPr>
        <w:pStyle w:val="3-BodyText"/>
        <w:rPr>
          <w:snapToGrid/>
        </w:rPr>
      </w:pPr>
      <w:r w:rsidRPr="00EE11C8">
        <w:rPr>
          <w:snapToGrid/>
        </w:rPr>
        <w:t>The annual cost</w:t>
      </w:r>
      <w:r w:rsidR="00074D4B" w:rsidRPr="00EE11C8">
        <w:rPr>
          <w:snapToGrid/>
        </w:rPr>
        <w:t xml:space="preserve"> of MF/IND</w:t>
      </w:r>
      <w:r w:rsidRPr="00EE11C8">
        <w:rPr>
          <w:snapToGrid/>
        </w:rPr>
        <w:t xml:space="preserve"> per patient </w:t>
      </w:r>
      <w:r w:rsidR="0026200C" w:rsidRPr="00EE11C8">
        <w:rPr>
          <w:snapToGrid/>
        </w:rPr>
        <w:t>is</w:t>
      </w:r>
      <w:r w:rsidRPr="00EE11C8">
        <w:rPr>
          <w:snapToGrid/>
        </w:rPr>
        <w:t xml:space="preserve"> $</w:t>
      </w:r>
      <w:r w:rsidR="000F23E2" w:rsidRPr="00EE11C8">
        <w:rPr>
          <w:snapToGrid/>
        </w:rPr>
        <w:t>510.74</w:t>
      </w:r>
      <w:r w:rsidR="0026200C" w:rsidRPr="00EE11C8">
        <w:rPr>
          <w:snapToGrid/>
        </w:rPr>
        <w:t xml:space="preserve"> for low dose formulation, </w:t>
      </w:r>
      <w:r w:rsidR="00074D4B" w:rsidRPr="00EE11C8">
        <w:rPr>
          <w:snapToGrid/>
        </w:rPr>
        <w:t>$</w:t>
      </w:r>
      <w:r w:rsidR="000F23E2" w:rsidRPr="00EE11C8">
        <w:rPr>
          <w:snapToGrid/>
        </w:rPr>
        <w:t>592.19</w:t>
      </w:r>
      <w:r w:rsidR="00074D4B" w:rsidRPr="00EE11C8">
        <w:rPr>
          <w:snapToGrid/>
        </w:rPr>
        <w:t xml:space="preserve"> </w:t>
      </w:r>
      <w:r w:rsidR="0026200C" w:rsidRPr="00EE11C8">
        <w:rPr>
          <w:snapToGrid/>
        </w:rPr>
        <w:t xml:space="preserve">for medium dose formulation and </w:t>
      </w:r>
      <w:r w:rsidR="00074D4B" w:rsidRPr="00EE11C8">
        <w:rPr>
          <w:snapToGrid/>
        </w:rPr>
        <w:t>$</w:t>
      </w:r>
      <w:r w:rsidR="000F23E2" w:rsidRPr="00EE11C8">
        <w:rPr>
          <w:snapToGrid/>
        </w:rPr>
        <w:t>752.17</w:t>
      </w:r>
      <w:r w:rsidR="0026200C" w:rsidRPr="00EE11C8">
        <w:rPr>
          <w:snapToGrid/>
        </w:rPr>
        <w:t xml:space="preserve"> for the high dose formulation</w:t>
      </w:r>
      <w:r w:rsidR="00EE11C8">
        <w:rPr>
          <w:snapToGrid/>
        </w:rPr>
        <w:t xml:space="preserve">. </w:t>
      </w:r>
      <w:r w:rsidR="0026200C" w:rsidRPr="00EE11C8">
        <w:rPr>
          <w:snapToGrid/>
        </w:rPr>
        <w:t xml:space="preserve">These calculations assume </w:t>
      </w:r>
      <w:r w:rsidR="00074D4B" w:rsidRPr="00EE11C8">
        <w:rPr>
          <w:snapToGrid/>
        </w:rPr>
        <w:t xml:space="preserve">12.18 scripts </w:t>
      </w:r>
      <w:r w:rsidR="0026200C" w:rsidRPr="00EE11C8">
        <w:rPr>
          <w:snapToGrid/>
        </w:rPr>
        <w:t xml:space="preserve">per year </w:t>
      </w:r>
      <w:r w:rsidR="00074D4B" w:rsidRPr="00EE11C8">
        <w:rPr>
          <w:snapToGrid/>
        </w:rPr>
        <w:t>at the requested DPMQs.</w:t>
      </w:r>
    </w:p>
    <w:p w:rsidR="00B60939" w:rsidRPr="00EE11C8" w:rsidRDefault="00B60939" w:rsidP="002B05A1">
      <w:pPr>
        <w:pStyle w:val="4-SubsectionHeading"/>
      </w:pPr>
      <w:bookmarkStart w:id="32" w:name="_Toc22897647"/>
      <w:bookmarkStart w:id="33" w:name="_Toc40451849"/>
      <w:r w:rsidRPr="00EE11C8">
        <w:t>Estimated PBS usage &amp; financial implications</w:t>
      </w:r>
      <w:bookmarkEnd w:id="32"/>
      <w:bookmarkEnd w:id="33"/>
    </w:p>
    <w:p w:rsidR="00917D71" w:rsidRPr="00EE11C8" w:rsidRDefault="00C25D9C" w:rsidP="000622DF">
      <w:pPr>
        <w:pStyle w:val="3-BodyText"/>
      </w:pPr>
      <w:r w:rsidRPr="00EE11C8">
        <w:t xml:space="preserve">This submission </w:t>
      </w:r>
      <w:r w:rsidR="00B201A4" w:rsidRPr="00EE11C8">
        <w:t>w</w:t>
      </w:r>
      <w:r w:rsidR="004D7FD0" w:rsidRPr="00EE11C8">
        <w:t>as</w:t>
      </w:r>
      <w:r w:rsidRPr="00EE11C8">
        <w:t xml:space="preserve"> </w:t>
      </w:r>
      <w:r w:rsidR="004D7FD0" w:rsidRPr="00EE11C8">
        <w:t xml:space="preserve">not </w:t>
      </w:r>
      <w:r w:rsidRPr="00EE11C8">
        <w:t>considered by DUSC</w:t>
      </w:r>
      <w:r w:rsidR="00EE11C8">
        <w:t xml:space="preserve">. </w:t>
      </w:r>
      <w:r w:rsidR="00CF180F" w:rsidRPr="00EE11C8">
        <w:t>The estimated financial impact of the proposed listing assumed a market share approach with other</w:t>
      </w:r>
      <w:r w:rsidR="00917D71" w:rsidRPr="00EE11C8">
        <w:t xml:space="preserve"> ICS/LABA FDC products delivered via DPI formulations.</w:t>
      </w:r>
    </w:p>
    <w:p w:rsidR="00917D71" w:rsidRPr="00EE11C8" w:rsidRDefault="00917D71" w:rsidP="00917D71">
      <w:pPr>
        <w:pStyle w:val="3-BodyText"/>
      </w:pPr>
      <w:r w:rsidRPr="00EE11C8">
        <w:t>Table 6 summarises the key inputs used in the financial estimates.</w:t>
      </w:r>
    </w:p>
    <w:p w:rsidR="00E42F73" w:rsidRPr="00EE11C8" w:rsidRDefault="00E42F73" w:rsidP="00070877">
      <w:pPr>
        <w:pStyle w:val="TableFigureHeading"/>
        <w:keepLines/>
        <w:rPr>
          <w:rStyle w:val="CommentReference"/>
          <w:b/>
          <w:szCs w:val="24"/>
        </w:rPr>
      </w:pPr>
      <w:r w:rsidRPr="00EE11C8">
        <w:rPr>
          <w:rStyle w:val="CommentReference"/>
          <w:b/>
          <w:szCs w:val="24"/>
        </w:rPr>
        <w:t xml:space="preserve">Table </w:t>
      </w:r>
      <w:r w:rsidR="00917D71" w:rsidRPr="00EE11C8">
        <w:rPr>
          <w:rStyle w:val="CommentReference"/>
          <w:b/>
          <w:szCs w:val="24"/>
        </w:rPr>
        <w:t>6</w:t>
      </w:r>
      <w:r w:rsidRPr="00EE11C8">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402"/>
        <w:gridCol w:w="3919"/>
      </w:tblGrid>
      <w:tr w:rsidR="00E42F73" w:rsidRPr="00EE11C8" w:rsidTr="003B2905">
        <w:trPr>
          <w:tblHeader/>
        </w:trPr>
        <w:tc>
          <w:tcPr>
            <w:tcW w:w="940" w:type="pct"/>
            <w:shd w:val="clear" w:color="auto" w:fill="auto"/>
            <w:vAlign w:val="center"/>
          </w:tcPr>
          <w:p w:rsidR="00E42F73" w:rsidRPr="00EE11C8" w:rsidRDefault="004658B5" w:rsidP="00070877">
            <w:pPr>
              <w:pStyle w:val="In-tableHeading"/>
              <w:keepLines/>
              <w:rPr>
                <w:lang w:val="en-AU"/>
              </w:rPr>
            </w:pPr>
            <w:r w:rsidRPr="00EE11C8">
              <w:rPr>
                <w:lang w:val="en-AU"/>
              </w:rPr>
              <w:t>Parameter</w:t>
            </w:r>
          </w:p>
        </w:tc>
        <w:tc>
          <w:tcPr>
            <w:tcW w:w="1886" w:type="pct"/>
            <w:shd w:val="clear" w:color="auto" w:fill="auto"/>
            <w:vAlign w:val="center"/>
          </w:tcPr>
          <w:p w:rsidR="00E42F73" w:rsidRPr="00EE11C8" w:rsidRDefault="004658B5" w:rsidP="00070877">
            <w:pPr>
              <w:pStyle w:val="In-tableHeading"/>
              <w:keepLines/>
              <w:rPr>
                <w:lang w:val="en-AU"/>
              </w:rPr>
            </w:pPr>
            <w:r w:rsidRPr="00EE11C8">
              <w:rPr>
                <w:lang w:val="en-AU"/>
              </w:rPr>
              <w:t>Value applied and source</w:t>
            </w:r>
          </w:p>
        </w:tc>
        <w:tc>
          <w:tcPr>
            <w:tcW w:w="2173" w:type="pct"/>
            <w:shd w:val="clear" w:color="auto" w:fill="auto"/>
            <w:vAlign w:val="center"/>
          </w:tcPr>
          <w:p w:rsidR="00E42F73" w:rsidRPr="00EE11C8" w:rsidRDefault="004658B5" w:rsidP="00070877">
            <w:pPr>
              <w:pStyle w:val="In-tableHeading"/>
              <w:keepLines/>
              <w:rPr>
                <w:lang w:val="en-AU"/>
              </w:rPr>
            </w:pPr>
            <w:r w:rsidRPr="00EE11C8">
              <w:rPr>
                <w:lang w:val="en-AU"/>
              </w:rPr>
              <w:t>Comment</w:t>
            </w:r>
          </w:p>
        </w:tc>
      </w:tr>
      <w:tr w:rsidR="00E42F73" w:rsidRPr="00EE11C8" w:rsidTr="003B2905">
        <w:tc>
          <w:tcPr>
            <w:tcW w:w="940" w:type="pct"/>
            <w:shd w:val="clear" w:color="auto" w:fill="auto"/>
            <w:vAlign w:val="center"/>
          </w:tcPr>
          <w:p w:rsidR="00E42F73" w:rsidRPr="00EE11C8" w:rsidRDefault="00917D71" w:rsidP="00BB3D0E">
            <w:pPr>
              <w:pStyle w:val="TableText0"/>
              <w:keepNext w:val="0"/>
            </w:pPr>
            <w:r w:rsidRPr="00EE11C8">
              <w:t>Annual market growth of ICS/LABA DPI</w:t>
            </w:r>
          </w:p>
        </w:tc>
        <w:tc>
          <w:tcPr>
            <w:tcW w:w="1886" w:type="pct"/>
            <w:shd w:val="clear" w:color="auto" w:fill="auto"/>
            <w:vAlign w:val="center"/>
          </w:tcPr>
          <w:p w:rsidR="00E42F73" w:rsidRPr="00EE11C8" w:rsidRDefault="00917D71" w:rsidP="00BB3D0E">
            <w:pPr>
              <w:pStyle w:val="TableText0"/>
              <w:keepNext w:val="0"/>
            </w:pPr>
            <w:r w:rsidRPr="00EE11C8">
              <w:t>Average decline 3-5% per year; Source: PBS statistics 2015 to 2019</w:t>
            </w:r>
            <w:r w:rsidR="00EE11C8">
              <w:t xml:space="preserve">. </w:t>
            </w:r>
            <w:r w:rsidRPr="00EE11C8">
              <w:t>Average script numbers from the past 5 years (2016 to 2019)</w:t>
            </w:r>
          </w:p>
        </w:tc>
        <w:tc>
          <w:tcPr>
            <w:tcW w:w="2173" w:type="pct"/>
            <w:shd w:val="clear" w:color="auto" w:fill="auto"/>
            <w:vAlign w:val="center"/>
          </w:tcPr>
          <w:p w:rsidR="00E42F73" w:rsidRPr="00EE11C8" w:rsidRDefault="00917D71" w:rsidP="00BB3D0E">
            <w:pPr>
              <w:pStyle w:val="TableText0"/>
              <w:keepNext w:val="0"/>
            </w:pPr>
            <w:r w:rsidRPr="00EE11C8">
              <w:t>Annual market growth of FF/VI DPI may be an underestimate</w:t>
            </w:r>
            <w:r w:rsidR="00EE11C8">
              <w:t xml:space="preserve">. </w:t>
            </w:r>
            <w:r w:rsidRPr="00EE11C8">
              <w:t xml:space="preserve">PBS items serviced for asthma and dual restriction asthma and COPD from 2016 to </w:t>
            </w:r>
            <w:r w:rsidRPr="00EE11C8">
              <w:lastRenderedPageBreak/>
              <w:t>2019 indicate FF/VI scripts was increasing (15% in 2017, 19.7% in 2018, and 21.6% in 2019).</w:t>
            </w:r>
          </w:p>
        </w:tc>
      </w:tr>
      <w:tr w:rsidR="00A05C32" w:rsidRPr="00EE11C8" w:rsidTr="003B2905">
        <w:tc>
          <w:tcPr>
            <w:tcW w:w="940" w:type="pct"/>
            <w:shd w:val="clear" w:color="auto" w:fill="auto"/>
            <w:vAlign w:val="center"/>
          </w:tcPr>
          <w:p w:rsidR="00A05C32" w:rsidRPr="00EE11C8" w:rsidRDefault="00917D71" w:rsidP="00BB3D0E">
            <w:pPr>
              <w:pStyle w:val="TableText0"/>
              <w:keepNext w:val="0"/>
            </w:pPr>
            <w:r w:rsidRPr="00EE11C8">
              <w:lastRenderedPageBreak/>
              <w:t>Substitution rates for ICS/LABA DPI</w:t>
            </w:r>
          </w:p>
        </w:tc>
        <w:tc>
          <w:tcPr>
            <w:tcW w:w="1886" w:type="pct"/>
            <w:shd w:val="clear" w:color="auto" w:fill="auto"/>
            <w:vAlign w:val="center"/>
          </w:tcPr>
          <w:p w:rsidR="00A05C32" w:rsidRPr="00EE11C8" w:rsidRDefault="00917D71" w:rsidP="00BB3D0E">
            <w:pPr>
              <w:pStyle w:val="TableText0"/>
              <w:keepNext w:val="0"/>
            </w:pPr>
            <w:r w:rsidRPr="00EE11C8">
              <w:t xml:space="preserve">FP/SAL DPI and BUD/FOR DPI: 12-20% </w:t>
            </w:r>
            <w:r w:rsidR="00A37C80" w:rsidRPr="00EE11C8">
              <w:br/>
            </w:r>
            <w:r w:rsidRPr="00EE11C8">
              <w:t>(Yr 1 to Yr 6)</w:t>
            </w:r>
          </w:p>
          <w:p w:rsidR="00917D71" w:rsidRPr="00EE11C8" w:rsidRDefault="00917D71" w:rsidP="00BB3D0E">
            <w:pPr>
              <w:pStyle w:val="TableText0"/>
              <w:keepNext w:val="0"/>
            </w:pPr>
            <w:r w:rsidRPr="00EE11C8">
              <w:t>FF/VI DPI: 6-10% (Yr 1 to Yr 6)</w:t>
            </w:r>
          </w:p>
          <w:p w:rsidR="00917D71" w:rsidRPr="00EE11C8" w:rsidRDefault="00917D71" w:rsidP="00BB3D0E">
            <w:pPr>
              <w:pStyle w:val="TableText0"/>
              <w:keepNext w:val="0"/>
            </w:pPr>
            <w:r w:rsidRPr="00EE11C8">
              <w:t>Source: assumed higher rate of substitution for FP/SAL and BUD/FOR as older products and less switching from FF/VI given its more recent PBS listing in 2017.</w:t>
            </w:r>
          </w:p>
        </w:tc>
        <w:tc>
          <w:tcPr>
            <w:tcW w:w="2173" w:type="pct"/>
            <w:shd w:val="clear" w:color="auto" w:fill="auto"/>
            <w:vAlign w:val="center"/>
          </w:tcPr>
          <w:p w:rsidR="00A05C32" w:rsidRPr="00EE11C8" w:rsidRDefault="00917D71" w:rsidP="00BB3D0E">
            <w:pPr>
              <w:pStyle w:val="TableText0"/>
              <w:keepNext w:val="0"/>
            </w:pPr>
            <w:r w:rsidRPr="00EE11C8">
              <w:t>Could not be verified</w:t>
            </w:r>
            <w:r w:rsidR="00EE11C8">
              <w:t xml:space="preserve">. </w:t>
            </w:r>
            <w:r w:rsidRPr="00EE11C8">
              <w:t>However, doubling the substitution rate increases the net savings to the PBS/RPBS by 76% (corrected for 1:1 substitution).</w:t>
            </w:r>
          </w:p>
        </w:tc>
      </w:tr>
      <w:tr w:rsidR="00917D71" w:rsidRPr="00EE11C8" w:rsidTr="003B2905">
        <w:tc>
          <w:tcPr>
            <w:tcW w:w="940" w:type="pct"/>
            <w:shd w:val="clear" w:color="auto" w:fill="auto"/>
            <w:vAlign w:val="center"/>
          </w:tcPr>
          <w:p w:rsidR="00917D71" w:rsidRPr="00EE11C8" w:rsidRDefault="00917D71" w:rsidP="00BB3D0E">
            <w:pPr>
              <w:pStyle w:val="TableText0"/>
              <w:keepNext w:val="0"/>
            </w:pPr>
            <w:r w:rsidRPr="00EE11C8">
              <w:t>% asthma use in dual restriction (asthma and COPD)</w:t>
            </w:r>
          </w:p>
        </w:tc>
        <w:tc>
          <w:tcPr>
            <w:tcW w:w="1886" w:type="pct"/>
            <w:shd w:val="clear" w:color="auto" w:fill="auto"/>
            <w:vAlign w:val="center"/>
          </w:tcPr>
          <w:p w:rsidR="003B2905" w:rsidRPr="00EE11C8" w:rsidRDefault="003B2905" w:rsidP="00BB3D0E">
            <w:pPr>
              <w:pStyle w:val="TableText0"/>
              <w:keepNext w:val="0"/>
            </w:pPr>
            <w:r w:rsidRPr="00EE11C8">
              <w:t>2015 - 2017: 36-38%</w:t>
            </w:r>
          </w:p>
          <w:p w:rsidR="00917D71" w:rsidRPr="00EE11C8" w:rsidRDefault="003B2905" w:rsidP="00BB3D0E">
            <w:pPr>
              <w:pStyle w:val="TableText0"/>
              <w:keepNext w:val="0"/>
            </w:pPr>
            <w:r w:rsidRPr="00EE11C8">
              <w:t>2018 - 2019 (projected): 42-44%</w:t>
            </w:r>
          </w:p>
          <w:p w:rsidR="003B2905" w:rsidRPr="00EE11C8" w:rsidRDefault="003B2905" w:rsidP="00BB3D0E">
            <w:pPr>
              <w:pStyle w:val="TableText0"/>
              <w:keepNext w:val="0"/>
            </w:pPr>
            <w:r w:rsidRPr="00EE11C8">
              <w:t>Source: PBS 10% sample data</w:t>
            </w:r>
            <w:r w:rsidRPr="00EE11C8">
              <w:rPr>
                <w:vertAlign w:val="superscript"/>
              </w:rPr>
              <w:t>a</w:t>
            </w:r>
          </w:p>
        </w:tc>
        <w:tc>
          <w:tcPr>
            <w:tcW w:w="2173" w:type="pct"/>
            <w:shd w:val="clear" w:color="auto" w:fill="auto"/>
            <w:vAlign w:val="center"/>
          </w:tcPr>
          <w:p w:rsidR="00917D71" w:rsidRPr="00EE11C8" w:rsidRDefault="003B2905" w:rsidP="00BB3D0E">
            <w:pPr>
              <w:pStyle w:val="TableText0"/>
              <w:keepNext w:val="0"/>
            </w:pPr>
            <w:r w:rsidRPr="00EE11C8">
              <w:t>Could not be verified</w:t>
            </w:r>
            <w:r w:rsidR="00EE11C8">
              <w:t xml:space="preserve">. </w:t>
            </w:r>
            <w:r w:rsidRPr="00EE11C8">
              <w:t>However</w:t>
            </w:r>
            <w:r w:rsidR="002E6C17" w:rsidRPr="00EE11C8">
              <w:t>,</w:t>
            </w:r>
            <w:r w:rsidRPr="00EE11C8">
              <w:t xml:space="preserve"> assuming 100% asthma use in dual restriction PBS items (i.e. more expensive items including FP/SAL 500/50, BUD/FOR 400/12 and FF/VI 100/25 are substituted for MF/IND) increases the net savings to the PBS by 142%.</w:t>
            </w:r>
          </w:p>
        </w:tc>
      </w:tr>
      <w:tr w:rsidR="003B2905" w:rsidRPr="00EE11C8" w:rsidTr="003B2905">
        <w:tc>
          <w:tcPr>
            <w:tcW w:w="940" w:type="pct"/>
            <w:shd w:val="clear" w:color="auto" w:fill="auto"/>
            <w:vAlign w:val="center"/>
          </w:tcPr>
          <w:p w:rsidR="003B2905" w:rsidRPr="00EE11C8" w:rsidRDefault="003B2905" w:rsidP="00BB3D0E">
            <w:pPr>
              <w:pStyle w:val="TableText0"/>
              <w:keepNext w:val="0"/>
            </w:pPr>
            <w:r w:rsidRPr="00EE11C8">
              <w:t>MF/IND DPI dose form substitution</w:t>
            </w:r>
          </w:p>
        </w:tc>
        <w:tc>
          <w:tcPr>
            <w:tcW w:w="1886" w:type="pct"/>
            <w:shd w:val="clear" w:color="auto" w:fill="auto"/>
            <w:vAlign w:val="center"/>
          </w:tcPr>
          <w:p w:rsidR="003B2905" w:rsidRPr="00EE11C8" w:rsidRDefault="003B2905" w:rsidP="00BB3D0E">
            <w:pPr>
              <w:pStyle w:val="TableText0"/>
              <w:keepNext w:val="0"/>
            </w:pPr>
            <w:r w:rsidRPr="00EE11C8">
              <w:t>Assumed 1:1 replacement</w:t>
            </w:r>
          </w:p>
          <w:tbl>
            <w:tblPr>
              <w:tblStyle w:val="TableGrid"/>
              <w:tblW w:w="0" w:type="auto"/>
              <w:tblLayout w:type="fixed"/>
              <w:tblCellMar>
                <w:left w:w="28" w:type="dxa"/>
                <w:right w:w="28" w:type="dxa"/>
              </w:tblCellMar>
              <w:tblLook w:val="04A0" w:firstRow="1" w:lastRow="0" w:firstColumn="1" w:lastColumn="0" w:noHBand="0" w:noVBand="1"/>
              <w:tblCaption w:val="Internal table"/>
            </w:tblPr>
            <w:tblGrid>
              <w:gridCol w:w="797"/>
              <w:gridCol w:w="1701"/>
            </w:tblGrid>
            <w:tr w:rsidR="003B2905" w:rsidRPr="00EE11C8" w:rsidTr="00DC3A3F">
              <w:trPr>
                <w:tblHeader/>
              </w:trPr>
              <w:tc>
                <w:tcPr>
                  <w:tcW w:w="797" w:type="dxa"/>
                  <w:vAlign w:val="center"/>
                </w:tcPr>
                <w:p w:rsidR="003B2905" w:rsidRPr="00EE11C8" w:rsidRDefault="003B2905" w:rsidP="00BB3D0E">
                  <w:pPr>
                    <w:pStyle w:val="TableText0"/>
                    <w:keepNext w:val="0"/>
                    <w:jc w:val="center"/>
                  </w:pPr>
                  <w:r w:rsidRPr="00EE11C8">
                    <w:t>MF/IND</w:t>
                  </w:r>
                </w:p>
              </w:tc>
              <w:tc>
                <w:tcPr>
                  <w:tcW w:w="1701" w:type="dxa"/>
                  <w:vAlign w:val="center"/>
                </w:tcPr>
                <w:p w:rsidR="003B2905" w:rsidRPr="00EE11C8" w:rsidRDefault="003B2905" w:rsidP="00BB3D0E">
                  <w:pPr>
                    <w:pStyle w:val="TableText0"/>
                    <w:keepNext w:val="0"/>
                    <w:jc w:val="center"/>
                  </w:pPr>
                  <w:r w:rsidRPr="00EE11C8">
                    <w:t>ICS/LABA</w:t>
                  </w:r>
                </w:p>
              </w:tc>
            </w:tr>
            <w:tr w:rsidR="003B2905" w:rsidRPr="00EE11C8" w:rsidTr="003B2905">
              <w:tc>
                <w:tcPr>
                  <w:tcW w:w="797" w:type="dxa"/>
                  <w:vAlign w:val="center"/>
                </w:tcPr>
                <w:p w:rsidR="003B2905" w:rsidRPr="00EE11C8" w:rsidRDefault="003B2905" w:rsidP="00BB3D0E">
                  <w:pPr>
                    <w:pStyle w:val="TableText0"/>
                    <w:keepNext w:val="0"/>
                    <w:jc w:val="center"/>
                  </w:pPr>
                  <w:r w:rsidRPr="00EE11C8">
                    <w:t>80/150</w:t>
                  </w:r>
                </w:p>
              </w:tc>
              <w:tc>
                <w:tcPr>
                  <w:tcW w:w="1701" w:type="dxa"/>
                  <w:vAlign w:val="center"/>
                </w:tcPr>
                <w:p w:rsidR="003B2905" w:rsidRPr="00EE11C8" w:rsidRDefault="003B2905" w:rsidP="00BB3D0E">
                  <w:pPr>
                    <w:pStyle w:val="TableText0"/>
                    <w:keepNext w:val="0"/>
                    <w:jc w:val="center"/>
                  </w:pPr>
                  <w:r w:rsidRPr="00EE11C8">
                    <w:t>FP/SAL 100/50</w:t>
                  </w:r>
                </w:p>
                <w:p w:rsidR="003B2905" w:rsidRPr="00EE11C8" w:rsidRDefault="003B2905" w:rsidP="00BB3D0E">
                  <w:pPr>
                    <w:pStyle w:val="TableText0"/>
                    <w:keepNext w:val="0"/>
                    <w:jc w:val="center"/>
                  </w:pPr>
                  <w:r w:rsidRPr="00EE11C8">
                    <w:t>BUD/FOR 100/6</w:t>
                  </w:r>
                </w:p>
              </w:tc>
            </w:tr>
            <w:tr w:rsidR="003B2905" w:rsidRPr="00EE11C8" w:rsidTr="003B2905">
              <w:tc>
                <w:tcPr>
                  <w:tcW w:w="797" w:type="dxa"/>
                  <w:vAlign w:val="center"/>
                </w:tcPr>
                <w:p w:rsidR="003B2905" w:rsidRPr="00EE11C8" w:rsidRDefault="003B2905" w:rsidP="00BB3D0E">
                  <w:pPr>
                    <w:pStyle w:val="TableText0"/>
                    <w:keepNext w:val="0"/>
                    <w:jc w:val="center"/>
                  </w:pPr>
                  <w:r w:rsidRPr="00EE11C8">
                    <w:t>160/150</w:t>
                  </w:r>
                </w:p>
              </w:tc>
              <w:tc>
                <w:tcPr>
                  <w:tcW w:w="1701" w:type="dxa"/>
                  <w:vAlign w:val="center"/>
                </w:tcPr>
                <w:p w:rsidR="003B2905" w:rsidRPr="00EE11C8" w:rsidRDefault="003B2905" w:rsidP="00BB3D0E">
                  <w:pPr>
                    <w:pStyle w:val="TableText0"/>
                    <w:keepNext w:val="0"/>
                    <w:jc w:val="center"/>
                  </w:pPr>
                  <w:r w:rsidRPr="00EE11C8">
                    <w:t>FP/SAL 250/50</w:t>
                  </w:r>
                </w:p>
                <w:p w:rsidR="003B2905" w:rsidRPr="00EE11C8" w:rsidRDefault="003B2905" w:rsidP="00BB3D0E">
                  <w:pPr>
                    <w:pStyle w:val="TableText0"/>
                    <w:keepNext w:val="0"/>
                    <w:jc w:val="center"/>
                  </w:pPr>
                  <w:r w:rsidRPr="00EE11C8">
                    <w:t>BUD/FOR 200/6</w:t>
                  </w:r>
                </w:p>
                <w:p w:rsidR="003B2905" w:rsidRPr="00EE11C8" w:rsidRDefault="003B2905" w:rsidP="00BB3D0E">
                  <w:pPr>
                    <w:pStyle w:val="TableText0"/>
                    <w:keepNext w:val="0"/>
                    <w:jc w:val="center"/>
                  </w:pPr>
                  <w:r w:rsidRPr="00EE11C8">
                    <w:t>FF/VI 100/25</w:t>
                  </w:r>
                </w:p>
              </w:tc>
            </w:tr>
            <w:tr w:rsidR="003B2905" w:rsidRPr="00EE11C8" w:rsidTr="003B2905">
              <w:tc>
                <w:tcPr>
                  <w:tcW w:w="797" w:type="dxa"/>
                  <w:vAlign w:val="center"/>
                </w:tcPr>
                <w:p w:rsidR="003B2905" w:rsidRPr="00EE11C8" w:rsidRDefault="003B2905" w:rsidP="00BB3D0E">
                  <w:pPr>
                    <w:pStyle w:val="TableText0"/>
                    <w:keepNext w:val="0"/>
                    <w:jc w:val="center"/>
                  </w:pPr>
                  <w:r w:rsidRPr="00EE11C8">
                    <w:t>320/150</w:t>
                  </w:r>
                </w:p>
              </w:tc>
              <w:tc>
                <w:tcPr>
                  <w:tcW w:w="1701" w:type="dxa"/>
                  <w:vAlign w:val="center"/>
                </w:tcPr>
                <w:p w:rsidR="003B2905" w:rsidRPr="00EE11C8" w:rsidRDefault="003B2905" w:rsidP="00BB3D0E">
                  <w:pPr>
                    <w:pStyle w:val="TableText0"/>
                    <w:keepNext w:val="0"/>
                    <w:jc w:val="center"/>
                  </w:pPr>
                  <w:r w:rsidRPr="00EE11C8">
                    <w:t>FP/SAL 500/50</w:t>
                  </w:r>
                </w:p>
                <w:p w:rsidR="003B2905" w:rsidRPr="00EE11C8" w:rsidRDefault="003B2905" w:rsidP="00BB3D0E">
                  <w:pPr>
                    <w:pStyle w:val="TableText0"/>
                    <w:keepNext w:val="0"/>
                    <w:jc w:val="center"/>
                  </w:pPr>
                  <w:r w:rsidRPr="00EE11C8">
                    <w:t>BUD/FOR 400/12</w:t>
                  </w:r>
                </w:p>
                <w:p w:rsidR="003B2905" w:rsidRPr="00EE11C8" w:rsidRDefault="003B2905" w:rsidP="00BB3D0E">
                  <w:pPr>
                    <w:pStyle w:val="TableText0"/>
                    <w:keepNext w:val="0"/>
                    <w:jc w:val="center"/>
                  </w:pPr>
                  <w:r w:rsidRPr="00EE11C8">
                    <w:t>FF/VI 200/25</w:t>
                  </w:r>
                </w:p>
              </w:tc>
            </w:tr>
          </w:tbl>
          <w:p w:rsidR="003B2905" w:rsidRPr="00EE11C8" w:rsidRDefault="003B2905" w:rsidP="00BB3D0E">
            <w:pPr>
              <w:pStyle w:val="TableText0"/>
              <w:keepNext w:val="0"/>
            </w:pPr>
          </w:p>
        </w:tc>
        <w:tc>
          <w:tcPr>
            <w:tcW w:w="2173" w:type="pct"/>
            <w:shd w:val="clear" w:color="auto" w:fill="auto"/>
            <w:vAlign w:val="center"/>
          </w:tcPr>
          <w:p w:rsidR="003B2905" w:rsidRPr="00EE11C8" w:rsidRDefault="003B2905" w:rsidP="00BB3D0E">
            <w:pPr>
              <w:pStyle w:val="TableText0"/>
              <w:keepNext w:val="0"/>
            </w:pPr>
            <w:r w:rsidRPr="00EE11C8">
              <w:t>Despite the lack of clinical evidence in the submission, the proposed dose equivalence between MF/IND and other substituted ICS/LABA DPI FDCs (aside from FP/SAL) was generally reasonable based on Therapeutic Relativities</w:t>
            </w:r>
            <w:r w:rsidR="00EE11C8">
              <w:t xml:space="preserve">. </w:t>
            </w:r>
            <w:r w:rsidRPr="00EE11C8">
              <w:t>Despite the assumed 1:1 substitution, the submission inconsistently estimated the number of substituted MF/IND scripts from a proportional ‘split’ of the projected ICS/LABA market, which underestimated the impact of listing MF/IND.</w:t>
            </w:r>
          </w:p>
        </w:tc>
      </w:tr>
      <w:tr w:rsidR="003B2905" w:rsidRPr="00EE11C8" w:rsidTr="003B2905">
        <w:tc>
          <w:tcPr>
            <w:tcW w:w="940" w:type="pct"/>
            <w:shd w:val="clear" w:color="auto" w:fill="auto"/>
            <w:vAlign w:val="center"/>
          </w:tcPr>
          <w:p w:rsidR="003B2905" w:rsidRPr="00EE11C8" w:rsidRDefault="003B2905" w:rsidP="00BB3D0E">
            <w:pPr>
              <w:pStyle w:val="TableText0"/>
              <w:keepNext w:val="0"/>
            </w:pPr>
            <w:r w:rsidRPr="00EE11C8">
              <w:t>DPMQ MF/IND DPI</w:t>
            </w:r>
          </w:p>
        </w:tc>
        <w:tc>
          <w:tcPr>
            <w:tcW w:w="1886" w:type="pct"/>
            <w:shd w:val="clear" w:color="auto" w:fill="auto"/>
            <w:vAlign w:val="center"/>
          </w:tcPr>
          <w:p w:rsidR="003B2905" w:rsidRPr="00EE11C8" w:rsidRDefault="003B2905" w:rsidP="00BB3D0E">
            <w:pPr>
              <w:pStyle w:val="TableText0"/>
              <w:keepNext w:val="0"/>
            </w:pPr>
            <w:r w:rsidRPr="00EE11C8">
              <w:t>Requested price: 80/150 = $41.95; 160/150 = $48.64; 320/150 = $61.78</w:t>
            </w:r>
          </w:p>
        </w:tc>
        <w:tc>
          <w:tcPr>
            <w:tcW w:w="2173" w:type="pct"/>
            <w:shd w:val="clear" w:color="auto" w:fill="auto"/>
            <w:vAlign w:val="center"/>
          </w:tcPr>
          <w:p w:rsidR="003B2905" w:rsidRPr="00EE11C8" w:rsidRDefault="003B2905" w:rsidP="00BB3D0E">
            <w:pPr>
              <w:pStyle w:val="TableText0"/>
              <w:keepNext w:val="0"/>
            </w:pPr>
            <w:r w:rsidRPr="00EE11C8">
              <w:t>Reasonable</w:t>
            </w:r>
          </w:p>
        </w:tc>
      </w:tr>
      <w:tr w:rsidR="003B2905" w:rsidRPr="00EE11C8" w:rsidTr="003B2905">
        <w:tc>
          <w:tcPr>
            <w:tcW w:w="940" w:type="pct"/>
            <w:shd w:val="clear" w:color="auto" w:fill="auto"/>
            <w:vAlign w:val="center"/>
          </w:tcPr>
          <w:p w:rsidR="003B2905" w:rsidRPr="00EE11C8" w:rsidRDefault="003B2905" w:rsidP="00BB3D0E">
            <w:pPr>
              <w:pStyle w:val="TableText0"/>
              <w:keepNext w:val="0"/>
            </w:pPr>
            <w:r w:rsidRPr="00EE11C8">
              <w:t>DPMQ ICS/LABA DPI</w:t>
            </w:r>
          </w:p>
        </w:tc>
        <w:tc>
          <w:tcPr>
            <w:tcW w:w="1886" w:type="pct"/>
            <w:shd w:val="clear" w:color="auto" w:fill="auto"/>
            <w:vAlign w:val="center"/>
          </w:tcPr>
          <w:p w:rsidR="003B2905" w:rsidRPr="00EE11C8" w:rsidRDefault="003B2905" w:rsidP="00BB3D0E">
            <w:pPr>
              <w:pStyle w:val="TableText0"/>
              <w:keepNext w:val="0"/>
            </w:pPr>
            <w:r w:rsidRPr="00EE11C8">
              <w:t>FP/SAL: 100/50 = $41.95; 250/50 = $48.64; 500/50 = $61.78</w:t>
            </w:r>
          </w:p>
          <w:p w:rsidR="003B2905" w:rsidRPr="00EE11C8" w:rsidRDefault="003B2905" w:rsidP="00BB3D0E">
            <w:pPr>
              <w:pStyle w:val="TableText0"/>
              <w:keepNext w:val="0"/>
            </w:pPr>
            <w:r w:rsidRPr="00EE11C8">
              <w:t>BUD/FOR: 100/6 = $48.06; 200/6 = $44.79; 400/12 = $64.06</w:t>
            </w:r>
          </w:p>
          <w:p w:rsidR="003B2905" w:rsidRPr="00EE11C8" w:rsidRDefault="003B2905" w:rsidP="00BB3D0E">
            <w:pPr>
              <w:pStyle w:val="TableText0"/>
              <w:keepNext w:val="0"/>
            </w:pPr>
            <w:r w:rsidRPr="00EE11C8">
              <w:t>FF/VI: 100/25 = $56.51; 200/25 = $72.01</w:t>
            </w:r>
          </w:p>
          <w:p w:rsidR="003B2905" w:rsidRPr="00EE11C8" w:rsidRDefault="003B2905" w:rsidP="00BB3D0E">
            <w:pPr>
              <w:pStyle w:val="TableText0"/>
              <w:keepNext w:val="0"/>
            </w:pPr>
            <w:r w:rsidRPr="00EE11C8">
              <w:t>Source: PBS items 8430Q, 8431R, 8432T, 8796Y, 8750M, 11301T, 8625Y, 11273H, 11129R, 11124L</w:t>
            </w:r>
          </w:p>
        </w:tc>
        <w:tc>
          <w:tcPr>
            <w:tcW w:w="2173" w:type="pct"/>
            <w:shd w:val="clear" w:color="auto" w:fill="auto"/>
            <w:vAlign w:val="center"/>
          </w:tcPr>
          <w:p w:rsidR="003B2905" w:rsidRPr="00EE11C8" w:rsidRDefault="003B2905" w:rsidP="00BB3D0E">
            <w:pPr>
              <w:pStyle w:val="TableText0"/>
              <w:keepNext w:val="0"/>
            </w:pPr>
            <w:r w:rsidRPr="00EE11C8">
              <w:t>Reasonable</w:t>
            </w:r>
          </w:p>
        </w:tc>
      </w:tr>
      <w:tr w:rsidR="003B2905" w:rsidRPr="00EE11C8" w:rsidTr="003B2905">
        <w:tc>
          <w:tcPr>
            <w:tcW w:w="940" w:type="pct"/>
            <w:shd w:val="clear" w:color="auto" w:fill="auto"/>
            <w:vAlign w:val="center"/>
          </w:tcPr>
          <w:p w:rsidR="003B2905" w:rsidRPr="00EE11C8" w:rsidRDefault="003B2905" w:rsidP="00BB3D0E">
            <w:pPr>
              <w:pStyle w:val="TableText0"/>
              <w:keepNext w:val="0"/>
            </w:pPr>
            <w:r w:rsidRPr="00EE11C8">
              <w:t>Patient copayment</w:t>
            </w:r>
          </w:p>
        </w:tc>
        <w:tc>
          <w:tcPr>
            <w:tcW w:w="1886" w:type="pct"/>
            <w:shd w:val="clear" w:color="auto" w:fill="auto"/>
            <w:vAlign w:val="center"/>
          </w:tcPr>
          <w:p w:rsidR="003B2905" w:rsidRPr="00EE11C8" w:rsidRDefault="003B2905" w:rsidP="00BB3D0E">
            <w:pPr>
              <w:pStyle w:val="TableText0"/>
              <w:keepNext w:val="0"/>
            </w:pPr>
            <w:r w:rsidRPr="00EE11C8">
              <w:t>PBS: $20.02; RPBS: $4.80</w:t>
            </w:r>
          </w:p>
          <w:p w:rsidR="003B2905" w:rsidRPr="00EE11C8" w:rsidRDefault="003B2905" w:rsidP="00BB3D0E">
            <w:pPr>
              <w:pStyle w:val="TableText0"/>
              <w:keepNext w:val="0"/>
            </w:pPr>
            <w:r w:rsidRPr="00EE11C8">
              <w:t>Source: Weighted average across general and concessional PBS/RPBS services</w:t>
            </w:r>
          </w:p>
        </w:tc>
        <w:tc>
          <w:tcPr>
            <w:tcW w:w="2173" w:type="pct"/>
            <w:shd w:val="clear" w:color="auto" w:fill="auto"/>
            <w:vAlign w:val="center"/>
          </w:tcPr>
          <w:p w:rsidR="003B2905" w:rsidRPr="00EE11C8" w:rsidRDefault="003B2905" w:rsidP="00BB3D0E">
            <w:pPr>
              <w:pStyle w:val="TableText0"/>
              <w:keepNext w:val="0"/>
            </w:pPr>
            <w:r w:rsidRPr="00EE11C8">
              <w:t>Reasonable</w:t>
            </w:r>
          </w:p>
        </w:tc>
      </w:tr>
      <w:tr w:rsidR="004658B5" w:rsidRPr="00EE11C8" w:rsidTr="003B2905">
        <w:tc>
          <w:tcPr>
            <w:tcW w:w="940" w:type="pct"/>
            <w:shd w:val="clear" w:color="auto" w:fill="auto"/>
            <w:vAlign w:val="center"/>
          </w:tcPr>
          <w:p w:rsidR="004658B5" w:rsidRPr="00EE11C8" w:rsidRDefault="004658B5" w:rsidP="00BB3D0E">
            <w:pPr>
              <w:pStyle w:val="TableText0"/>
              <w:keepNext w:val="0"/>
            </w:pPr>
            <w:r w:rsidRPr="00EE11C8">
              <w:t xml:space="preserve">MBS </w:t>
            </w:r>
            <w:r w:rsidR="00BB3D0E" w:rsidRPr="00EE11C8">
              <w:t>costs</w:t>
            </w:r>
          </w:p>
        </w:tc>
        <w:tc>
          <w:tcPr>
            <w:tcW w:w="1886" w:type="pct"/>
            <w:shd w:val="clear" w:color="auto" w:fill="auto"/>
            <w:vAlign w:val="center"/>
          </w:tcPr>
          <w:p w:rsidR="004658B5" w:rsidRPr="00EE11C8" w:rsidRDefault="00BB3D0E" w:rsidP="00BB3D0E">
            <w:pPr>
              <w:pStyle w:val="TableText0"/>
              <w:keepNext w:val="0"/>
            </w:pPr>
            <w:r w:rsidRPr="00EE11C8">
              <w:t>$0</w:t>
            </w:r>
          </w:p>
        </w:tc>
        <w:tc>
          <w:tcPr>
            <w:tcW w:w="2173" w:type="pct"/>
            <w:shd w:val="clear" w:color="auto" w:fill="auto"/>
            <w:vAlign w:val="center"/>
          </w:tcPr>
          <w:p w:rsidR="004658B5" w:rsidRPr="00EE11C8" w:rsidRDefault="00BB3D0E" w:rsidP="00BB3D0E">
            <w:pPr>
              <w:pStyle w:val="TableText0"/>
              <w:keepNext w:val="0"/>
            </w:pPr>
            <w:r w:rsidRPr="00EE11C8">
              <w:t>Reasonable</w:t>
            </w:r>
          </w:p>
        </w:tc>
      </w:tr>
    </w:tbl>
    <w:p w:rsidR="003B2905" w:rsidRPr="00EE11C8" w:rsidRDefault="003B2905" w:rsidP="00BB3D0E">
      <w:pPr>
        <w:pStyle w:val="TableFigureFooter"/>
        <w:rPr>
          <w:szCs w:val="18"/>
        </w:rPr>
      </w:pPr>
      <w:r w:rsidRPr="00EE11C8">
        <w:rPr>
          <w:szCs w:val="18"/>
        </w:rPr>
        <w:t>Abbreviations: BUD=budesonide; DPI=dry powder inhalation; FOR=formoterol; FDC=fixed dose combination; FF=fluticasone furoate; FP=fluticasone propionate; ICS=inhaled corticosteroid; LABA=long acting beta2-agonst; IND=indacaterol; MF=mometasone furoate; VI=vilanterol; SAL=salmeterol; Yr=year;</w:t>
      </w:r>
    </w:p>
    <w:p w:rsidR="003B2905" w:rsidRPr="00EE11C8" w:rsidRDefault="003B2905" w:rsidP="00BB3D0E">
      <w:pPr>
        <w:pStyle w:val="TableFigureFooter"/>
        <w:tabs>
          <w:tab w:val="left" w:pos="142"/>
        </w:tabs>
        <w:ind w:left="140" w:hanging="140"/>
      </w:pPr>
      <w:r w:rsidRPr="00EE11C8">
        <w:rPr>
          <w:vertAlign w:val="superscript"/>
        </w:rPr>
        <w:t>a</w:t>
      </w:r>
      <w:r w:rsidRPr="00EE11C8">
        <w:tab/>
        <w:t>Weighted average calculated from known usage in Asthma-only restriction and Total market</w:t>
      </w:r>
      <w:r w:rsidR="00EE11C8">
        <w:t xml:space="preserve">. </w:t>
      </w:r>
      <w:r w:rsidRPr="00EE11C8">
        <w:t>Used to adjust Medicare statistics data to exclude COPD usage from the defined market</w:t>
      </w:r>
      <w:r w:rsidR="00EE11C8">
        <w:t xml:space="preserve">. </w:t>
      </w:r>
      <w:r w:rsidRPr="00EE11C8">
        <w:t>Details of calculation are provided in Attachment 9; PBS summary worksheet.</w:t>
      </w:r>
    </w:p>
    <w:p w:rsidR="003B2905" w:rsidRPr="00EE11C8" w:rsidRDefault="003B2905" w:rsidP="00BB3D0E">
      <w:pPr>
        <w:pStyle w:val="TableFigureFooter"/>
        <w:tabs>
          <w:tab w:val="left" w:pos="142"/>
        </w:tabs>
        <w:ind w:left="140" w:hanging="140"/>
      </w:pPr>
      <w:r w:rsidRPr="00EE11C8">
        <w:rPr>
          <w:vertAlign w:val="superscript"/>
        </w:rPr>
        <w:t>b</w:t>
      </w:r>
      <w:r w:rsidRPr="00EE11C8">
        <w:tab/>
        <w:t>100% total usage from dual restriction (asthma and COPD).</w:t>
      </w:r>
    </w:p>
    <w:p w:rsidR="003B2905" w:rsidRPr="00EE11C8" w:rsidRDefault="003B2905" w:rsidP="00BB3D0E">
      <w:pPr>
        <w:pStyle w:val="TableFigureFooter"/>
      </w:pPr>
      <w:r w:rsidRPr="00EE11C8">
        <w:t>Source: Sections 4.1 to 4.2, pp158-165 of the submission and Attachment 9 Utilisation and cost model.xlsm</w:t>
      </w:r>
    </w:p>
    <w:p w:rsidR="00A8717C" w:rsidRPr="00EE11C8" w:rsidRDefault="00AE0855" w:rsidP="00AE0855">
      <w:pPr>
        <w:pStyle w:val="3-BodyText"/>
      </w:pPr>
      <w:r w:rsidRPr="00EE11C8">
        <w:rPr>
          <w:iCs/>
        </w:rPr>
        <w:t>The financial estimates presented in the submission included a calculation error associated with the substitution of the nominated comparators</w:t>
      </w:r>
      <w:r w:rsidR="00EE11C8">
        <w:rPr>
          <w:iCs/>
        </w:rPr>
        <w:t xml:space="preserve">. </w:t>
      </w:r>
      <w:r w:rsidR="00CC114B" w:rsidRPr="00EE11C8">
        <w:rPr>
          <w:iCs/>
        </w:rPr>
        <w:t>The submission</w:t>
      </w:r>
      <w:r w:rsidR="00A8717C" w:rsidRPr="00EE11C8">
        <w:rPr>
          <w:iCs/>
        </w:rPr>
        <w:t xml:space="preserve"> </w:t>
      </w:r>
      <w:r w:rsidRPr="00EE11C8">
        <w:rPr>
          <w:iCs/>
        </w:rPr>
        <w:t xml:space="preserve">correctly </w:t>
      </w:r>
      <w:r w:rsidR="00CC114B" w:rsidRPr="00EE11C8">
        <w:rPr>
          <w:iCs/>
        </w:rPr>
        <w:t xml:space="preserve">estimated the reduction in ICS/LABA scripts based on the assumed uptake rate (or % ICS/LABA FDCs displaced) for MF/IND, but </w:t>
      </w:r>
      <w:r w:rsidRPr="00EE11C8">
        <w:rPr>
          <w:iCs/>
        </w:rPr>
        <w:t xml:space="preserve">incorrectly </w:t>
      </w:r>
      <w:r w:rsidR="00693CF4" w:rsidRPr="00EE11C8">
        <w:rPr>
          <w:iCs/>
        </w:rPr>
        <w:t xml:space="preserve">estimated </w:t>
      </w:r>
      <w:r w:rsidR="00CC114B" w:rsidRPr="00EE11C8">
        <w:rPr>
          <w:iCs/>
        </w:rPr>
        <w:t xml:space="preserve">the increase in the number of MF/IND scripts by </w:t>
      </w:r>
      <w:r w:rsidR="00CC114B" w:rsidRPr="00EE11C8">
        <w:t>multiplying the annual total scripts displaced by the proportional ‘split’ of the project</w:t>
      </w:r>
      <w:r w:rsidR="00693CF4" w:rsidRPr="00EE11C8">
        <w:t>ed</w:t>
      </w:r>
      <w:r w:rsidR="00CC114B" w:rsidRPr="00EE11C8">
        <w:t xml:space="preserve"> annual script numbers</w:t>
      </w:r>
      <w:r w:rsidR="00A8717C" w:rsidRPr="00EE11C8">
        <w:t>.</w:t>
      </w:r>
    </w:p>
    <w:p w:rsidR="00CC114B" w:rsidRPr="00EE11C8" w:rsidRDefault="00A8717C" w:rsidP="001D48AA">
      <w:pPr>
        <w:pStyle w:val="3-BodyText"/>
      </w:pPr>
      <w:r w:rsidRPr="00EE11C8">
        <w:lastRenderedPageBreak/>
        <w:t>Overall, this error did not favour MF/IND because the submission overestimated the net cost of MF/IND to the PBS</w:t>
      </w:r>
      <w:r w:rsidR="00EE11C8">
        <w:t xml:space="preserve">. </w:t>
      </w:r>
      <w:r w:rsidR="00CC114B" w:rsidRPr="00EE11C8">
        <w:t xml:space="preserve">Table 7 provides </w:t>
      </w:r>
      <w:r w:rsidRPr="00EE11C8">
        <w:t xml:space="preserve">the </w:t>
      </w:r>
      <w:r w:rsidR="00CC114B" w:rsidRPr="00EE11C8">
        <w:t xml:space="preserve">uncorrected </w:t>
      </w:r>
      <w:r w:rsidRPr="00EE11C8">
        <w:t xml:space="preserve">results </w:t>
      </w:r>
      <w:r w:rsidR="00CC114B" w:rsidRPr="00EE11C8">
        <w:t>presented in the submission and corrected results assuming the stated 1:1 substitution rate to comparator ICS/LABA FDCs.</w:t>
      </w:r>
    </w:p>
    <w:p w:rsidR="00BB3D0E" w:rsidRPr="00EE11C8" w:rsidRDefault="00BB3D0E" w:rsidP="007A3413">
      <w:pPr>
        <w:pStyle w:val="TableFigureHeading"/>
        <w:keepLines/>
        <w:rPr>
          <w:rStyle w:val="CommentReference"/>
          <w:b/>
          <w:szCs w:val="24"/>
        </w:rPr>
      </w:pPr>
      <w:r w:rsidRPr="00EE11C8">
        <w:rPr>
          <w:rStyle w:val="CommentReference"/>
          <w:b/>
          <w:szCs w:val="24"/>
        </w:rPr>
        <w:t>Table 7: Estimated use and financial implications to the PBS/RPBS of MF/IND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10"/>
        <w:gridCol w:w="1110"/>
        <w:gridCol w:w="1111"/>
        <w:gridCol w:w="1110"/>
        <w:gridCol w:w="1110"/>
        <w:gridCol w:w="1111"/>
      </w:tblGrid>
      <w:tr w:rsidR="00BB3D0E" w:rsidRPr="00EE11C8" w:rsidTr="00096664">
        <w:tc>
          <w:tcPr>
            <w:tcW w:w="2405" w:type="dxa"/>
            <w:shd w:val="clear" w:color="auto" w:fill="auto"/>
            <w:vAlign w:val="center"/>
          </w:tcPr>
          <w:p w:rsidR="00BB3D0E" w:rsidRPr="00EE11C8" w:rsidRDefault="00BB3D0E" w:rsidP="007A3413">
            <w:pPr>
              <w:pStyle w:val="In-tableHeading"/>
              <w:keepLines/>
              <w:rPr>
                <w:lang w:val="en-AU"/>
              </w:rPr>
            </w:pPr>
          </w:p>
        </w:tc>
        <w:tc>
          <w:tcPr>
            <w:tcW w:w="1110" w:type="dxa"/>
            <w:shd w:val="clear" w:color="auto" w:fill="auto"/>
            <w:vAlign w:val="center"/>
          </w:tcPr>
          <w:p w:rsidR="00BB3D0E" w:rsidRPr="00EE11C8" w:rsidRDefault="00BB3D0E" w:rsidP="007A3413">
            <w:pPr>
              <w:pStyle w:val="In-tableHeading"/>
              <w:keepLines/>
              <w:jc w:val="center"/>
              <w:rPr>
                <w:lang w:val="en-AU"/>
              </w:rPr>
            </w:pPr>
            <w:r w:rsidRPr="00EE11C8">
              <w:rPr>
                <w:lang w:val="en-AU"/>
              </w:rPr>
              <w:t>Year 1</w:t>
            </w:r>
          </w:p>
        </w:tc>
        <w:tc>
          <w:tcPr>
            <w:tcW w:w="1110" w:type="dxa"/>
            <w:shd w:val="clear" w:color="auto" w:fill="auto"/>
            <w:vAlign w:val="center"/>
          </w:tcPr>
          <w:p w:rsidR="00BB3D0E" w:rsidRPr="00EE11C8" w:rsidRDefault="00BB3D0E" w:rsidP="007A3413">
            <w:pPr>
              <w:pStyle w:val="In-tableHeading"/>
              <w:keepLines/>
              <w:jc w:val="center"/>
              <w:rPr>
                <w:lang w:val="en-AU"/>
              </w:rPr>
            </w:pPr>
            <w:r w:rsidRPr="00EE11C8">
              <w:rPr>
                <w:lang w:val="en-AU"/>
              </w:rPr>
              <w:t>Year 2</w:t>
            </w:r>
          </w:p>
        </w:tc>
        <w:tc>
          <w:tcPr>
            <w:tcW w:w="1111" w:type="dxa"/>
            <w:shd w:val="clear" w:color="auto" w:fill="auto"/>
            <w:vAlign w:val="center"/>
          </w:tcPr>
          <w:p w:rsidR="00BB3D0E" w:rsidRPr="00EE11C8" w:rsidRDefault="00BB3D0E" w:rsidP="007A3413">
            <w:pPr>
              <w:pStyle w:val="In-tableHeading"/>
              <w:keepLines/>
              <w:jc w:val="center"/>
              <w:rPr>
                <w:lang w:val="en-AU"/>
              </w:rPr>
            </w:pPr>
            <w:r w:rsidRPr="00EE11C8">
              <w:rPr>
                <w:lang w:val="en-AU"/>
              </w:rPr>
              <w:t>Year 3</w:t>
            </w:r>
          </w:p>
        </w:tc>
        <w:tc>
          <w:tcPr>
            <w:tcW w:w="1110" w:type="dxa"/>
            <w:shd w:val="clear" w:color="auto" w:fill="auto"/>
            <w:vAlign w:val="center"/>
          </w:tcPr>
          <w:p w:rsidR="00BB3D0E" w:rsidRPr="00EE11C8" w:rsidRDefault="00BB3D0E" w:rsidP="007A3413">
            <w:pPr>
              <w:pStyle w:val="In-tableHeading"/>
              <w:keepLines/>
              <w:jc w:val="center"/>
              <w:rPr>
                <w:lang w:val="en-AU"/>
              </w:rPr>
            </w:pPr>
            <w:r w:rsidRPr="00EE11C8">
              <w:rPr>
                <w:lang w:val="en-AU"/>
              </w:rPr>
              <w:t>Year 4</w:t>
            </w:r>
          </w:p>
        </w:tc>
        <w:tc>
          <w:tcPr>
            <w:tcW w:w="1110" w:type="dxa"/>
            <w:shd w:val="clear" w:color="auto" w:fill="auto"/>
            <w:vAlign w:val="center"/>
          </w:tcPr>
          <w:p w:rsidR="00BB3D0E" w:rsidRPr="00EE11C8" w:rsidRDefault="00BB3D0E" w:rsidP="007A3413">
            <w:pPr>
              <w:pStyle w:val="In-tableHeading"/>
              <w:keepLines/>
              <w:jc w:val="center"/>
              <w:rPr>
                <w:lang w:val="en-AU"/>
              </w:rPr>
            </w:pPr>
            <w:r w:rsidRPr="00EE11C8">
              <w:rPr>
                <w:lang w:val="en-AU"/>
              </w:rPr>
              <w:t>Year 5</w:t>
            </w:r>
          </w:p>
        </w:tc>
        <w:tc>
          <w:tcPr>
            <w:tcW w:w="1111" w:type="dxa"/>
            <w:shd w:val="clear" w:color="auto" w:fill="auto"/>
            <w:vAlign w:val="center"/>
          </w:tcPr>
          <w:p w:rsidR="00BB3D0E" w:rsidRPr="00EE11C8" w:rsidRDefault="00BB3D0E" w:rsidP="007A3413">
            <w:pPr>
              <w:pStyle w:val="In-tableHeading"/>
              <w:keepLines/>
              <w:jc w:val="center"/>
              <w:rPr>
                <w:lang w:val="en-AU"/>
              </w:rPr>
            </w:pPr>
            <w:r w:rsidRPr="00EE11C8">
              <w:rPr>
                <w:lang w:val="en-AU"/>
              </w:rPr>
              <w:t>Year 6</w:t>
            </w:r>
          </w:p>
        </w:tc>
      </w:tr>
      <w:tr w:rsidR="00BB3D0E" w:rsidRPr="00EE11C8" w:rsidTr="00096664">
        <w:tc>
          <w:tcPr>
            <w:tcW w:w="9067" w:type="dxa"/>
            <w:gridSpan w:val="7"/>
            <w:shd w:val="clear" w:color="auto" w:fill="auto"/>
            <w:vAlign w:val="center"/>
          </w:tcPr>
          <w:p w:rsidR="00BB3D0E" w:rsidRPr="00EE11C8" w:rsidRDefault="00BB3D0E" w:rsidP="007A3413">
            <w:pPr>
              <w:pStyle w:val="In-tableHeading"/>
              <w:keepLines/>
              <w:rPr>
                <w:lang w:val="en-AU"/>
              </w:rPr>
            </w:pPr>
            <w:r w:rsidRPr="00EE11C8">
              <w:rPr>
                <w:lang w:val="en-AU"/>
              </w:rPr>
              <w:t>Estimated number of substituted scripts</w:t>
            </w:r>
          </w:p>
        </w:tc>
      </w:tr>
      <w:tr w:rsidR="00BB3D0E" w:rsidRPr="00EE11C8" w:rsidTr="00096664">
        <w:tc>
          <w:tcPr>
            <w:tcW w:w="2405" w:type="dxa"/>
            <w:tcBorders>
              <w:bottom w:val="nil"/>
            </w:tcBorders>
            <w:shd w:val="clear" w:color="auto" w:fill="auto"/>
            <w:vAlign w:val="center"/>
          </w:tcPr>
          <w:p w:rsidR="00BB3D0E" w:rsidRPr="00EE11C8" w:rsidRDefault="00BB3D0E" w:rsidP="007A3413">
            <w:pPr>
              <w:pStyle w:val="TableText0"/>
              <w:keepLines/>
              <w:rPr>
                <w:rFonts w:cs="Arial"/>
                <w:b/>
                <w:color w:val="000000"/>
              </w:rPr>
            </w:pPr>
            <w:r w:rsidRPr="00EE11C8">
              <w:rPr>
                <w:b/>
              </w:rPr>
              <w:t>Total scripts displaced from existing ICS/LABA FDC</w:t>
            </w:r>
          </w:p>
        </w:tc>
        <w:tc>
          <w:tcPr>
            <w:tcW w:w="1110" w:type="dxa"/>
            <w:tcBorders>
              <w:bottom w:val="nil"/>
            </w:tcBorders>
            <w:shd w:val="clear" w:color="auto" w:fill="auto"/>
            <w:vAlign w:val="center"/>
          </w:tcPr>
          <w:p w:rsidR="00BB3D0E" w:rsidRPr="00240E17" w:rsidRDefault="00240E17" w:rsidP="007A3413">
            <w:pPr>
              <w:pStyle w:val="TableText0"/>
              <w:keepLines/>
              <w:jc w:val="center"/>
              <w:rPr>
                <w:rFonts w:cs="Arial"/>
                <w:b/>
                <w:color w:val="000000"/>
                <w:highlight w:val="black"/>
              </w:rPr>
            </w:pPr>
            <w:r>
              <w:rPr>
                <w:b/>
                <w:noProof/>
                <w:color w:val="000000"/>
                <w:highlight w:val="black"/>
              </w:rPr>
              <w:t>''''''''''''''''</w:t>
            </w:r>
          </w:p>
        </w:tc>
        <w:tc>
          <w:tcPr>
            <w:tcW w:w="1110" w:type="dxa"/>
            <w:tcBorders>
              <w:bottom w:val="nil"/>
            </w:tcBorders>
            <w:shd w:val="clear" w:color="auto" w:fill="auto"/>
            <w:vAlign w:val="center"/>
          </w:tcPr>
          <w:p w:rsidR="00BB3D0E" w:rsidRPr="00240E17" w:rsidRDefault="00240E17" w:rsidP="007A3413">
            <w:pPr>
              <w:pStyle w:val="TableText0"/>
              <w:keepLines/>
              <w:jc w:val="center"/>
              <w:rPr>
                <w:rFonts w:cs="Arial"/>
                <w:b/>
                <w:color w:val="000000"/>
                <w:highlight w:val="black"/>
              </w:rPr>
            </w:pPr>
            <w:r>
              <w:rPr>
                <w:b/>
                <w:noProof/>
                <w:color w:val="000000"/>
                <w:highlight w:val="black"/>
              </w:rPr>
              <w:t>'''''''''''''''</w:t>
            </w:r>
          </w:p>
        </w:tc>
        <w:tc>
          <w:tcPr>
            <w:tcW w:w="1111" w:type="dxa"/>
            <w:tcBorders>
              <w:bottom w:val="nil"/>
            </w:tcBorders>
            <w:shd w:val="clear" w:color="auto" w:fill="auto"/>
            <w:vAlign w:val="center"/>
          </w:tcPr>
          <w:p w:rsidR="00BB3D0E" w:rsidRPr="00240E17" w:rsidRDefault="00240E17" w:rsidP="007A3413">
            <w:pPr>
              <w:pStyle w:val="TableText0"/>
              <w:keepLines/>
              <w:jc w:val="center"/>
              <w:rPr>
                <w:rFonts w:cs="Arial"/>
                <w:b/>
                <w:color w:val="000000"/>
                <w:highlight w:val="black"/>
              </w:rPr>
            </w:pPr>
            <w:r>
              <w:rPr>
                <w:b/>
                <w:noProof/>
                <w:color w:val="000000"/>
                <w:highlight w:val="black"/>
              </w:rPr>
              <w:t>'''''''''''''''''</w:t>
            </w:r>
          </w:p>
        </w:tc>
        <w:tc>
          <w:tcPr>
            <w:tcW w:w="1110" w:type="dxa"/>
            <w:tcBorders>
              <w:bottom w:val="nil"/>
            </w:tcBorders>
            <w:shd w:val="clear" w:color="auto" w:fill="auto"/>
            <w:vAlign w:val="center"/>
          </w:tcPr>
          <w:p w:rsidR="00BB3D0E" w:rsidRPr="00240E17" w:rsidRDefault="00240E17" w:rsidP="007A3413">
            <w:pPr>
              <w:pStyle w:val="TableText0"/>
              <w:keepLines/>
              <w:jc w:val="center"/>
              <w:rPr>
                <w:rFonts w:cs="Arial"/>
                <w:b/>
                <w:color w:val="000000"/>
                <w:highlight w:val="black"/>
              </w:rPr>
            </w:pPr>
            <w:r>
              <w:rPr>
                <w:b/>
                <w:noProof/>
                <w:color w:val="000000"/>
                <w:highlight w:val="black"/>
              </w:rPr>
              <w:t>''''''''''''''''</w:t>
            </w:r>
          </w:p>
        </w:tc>
        <w:tc>
          <w:tcPr>
            <w:tcW w:w="1110" w:type="dxa"/>
            <w:tcBorders>
              <w:bottom w:val="nil"/>
            </w:tcBorders>
            <w:shd w:val="clear" w:color="auto" w:fill="auto"/>
            <w:vAlign w:val="center"/>
          </w:tcPr>
          <w:p w:rsidR="00BB3D0E" w:rsidRPr="00240E17" w:rsidRDefault="00240E17" w:rsidP="007A3413">
            <w:pPr>
              <w:pStyle w:val="TableText0"/>
              <w:keepLines/>
              <w:jc w:val="center"/>
              <w:rPr>
                <w:rFonts w:cs="Arial"/>
                <w:b/>
                <w:color w:val="000000"/>
                <w:highlight w:val="black"/>
              </w:rPr>
            </w:pPr>
            <w:r>
              <w:rPr>
                <w:b/>
                <w:noProof/>
                <w:color w:val="000000"/>
                <w:highlight w:val="black"/>
              </w:rPr>
              <w:t>''''''''''''''''</w:t>
            </w:r>
          </w:p>
        </w:tc>
        <w:tc>
          <w:tcPr>
            <w:tcW w:w="1111" w:type="dxa"/>
            <w:tcBorders>
              <w:bottom w:val="nil"/>
            </w:tcBorders>
            <w:shd w:val="clear" w:color="auto" w:fill="auto"/>
            <w:vAlign w:val="center"/>
          </w:tcPr>
          <w:p w:rsidR="00BB3D0E" w:rsidRPr="00240E17" w:rsidRDefault="00240E17" w:rsidP="007A3413">
            <w:pPr>
              <w:pStyle w:val="TableText0"/>
              <w:keepLines/>
              <w:jc w:val="center"/>
              <w:rPr>
                <w:rFonts w:cs="Arial"/>
                <w:b/>
                <w:color w:val="000000"/>
                <w:highlight w:val="black"/>
              </w:rPr>
            </w:pPr>
            <w:r>
              <w:rPr>
                <w:b/>
                <w:noProof/>
                <w:color w:val="000000"/>
                <w:highlight w:val="black"/>
              </w:rPr>
              <w:t>'''''''''''''''''</w:t>
            </w:r>
          </w:p>
        </w:tc>
      </w:tr>
      <w:tr w:rsidR="002F1072" w:rsidRPr="00EE11C8" w:rsidTr="00096664">
        <w:tc>
          <w:tcPr>
            <w:tcW w:w="2405" w:type="dxa"/>
            <w:tcBorders>
              <w:top w:val="nil"/>
              <w:bottom w:val="nil"/>
            </w:tcBorders>
            <w:shd w:val="clear" w:color="auto" w:fill="auto"/>
            <w:vAlign w:val="center"/>
          </w:tcPr>
          <w:p w:rsidR="002F1072" w:rsidRPr="00EE11C8" w:rsidRDefault="002F1072" w:rsidP="007A3413">
            <w:pPr>
              <w:pStyle w:val="TableText0"/>
              <w:keepLines/>
              <w:ind w:left="112"/>
              <w:rPr>
                <w:color w:val="808080" w:themeColor="background1" w:themeShade="80"/>
              </w:rPr>
            </w:pPr>
            <w:bookmarkStart w:id="34" w:name="_Hlk38268341"/>
            <w:r w:rsidRPr="00EE11C8">
              <w:rPr>
                <w:color w:val="808080" w:themeColor="background1" w:themeShade="80"/>
              </w:rPr>
              <w:t>Low dose ICS/LABA FDCs</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1"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1"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r>
      <w:tr w:rsidR="002F1072" w:rsidRPr="00EE11C8" w:rsidTr="00096664">
        <w:tc>
          <w:tcPr>
            <w:tcW w:w="2405" w:type="dxa"/>
            <w:tcBorders>
              <w:top w:val="nil"/>
              <w:bottom w:val="nil"/>
            </w:tcBorders>
            <w:shd w:val="clear" w:color="auto" w:fill="auto"/>
            <w:vAlign w:val="center"/>
          </w:tcPr>
          <w:p w:rsidR="002F1072" w:rsidRPr="00EE11C8" w:rsidRDefault="002F1072" w:rsidP="007A3413">
            <w:pPr>
              <w:pStyle w:val="TableText0"/>
              <w:keepLines/>
              <w:ind w:left="112"/>
              <w:rPr>
                <w:color w:val="808080" w:themeColor="background1" w:themeShade="80"/>
              </w:rPr>
            </w:pPr>
            <w:r w:rsidRPr="00EE11C8">
              <w:rPr>
                <w:color w:val="808080" w:themeColor="background1" w:themeShade="80"/>
              </w:rPr>
              <w:t>Medium dose ICS/LABA FDCs</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1"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1"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r>
      <w:tr w:rsidR="002F1072" w:rsidRPr="00EE11C8" w:rsidTr="00096664">
        <w:tc>
          <w:tcPr>
            <w:tcW w:w="2405" w:type="dxa"/>
            <w:tcBorders>
              <w:top w:val="nil"/>
              <w:bottom w:val="nil"/>
            </w:tcBorders>
            <w:shd w:val="clear" w:color="auto" w:fill="auto"/>
            <w:vAlign w:val="center"/>
          </w:tcPr>
          <w:p w:rsidR="002F1072" w:rsidRPr="00EE11C8" w:rsidRDefault="002F1072" w:rsidP="007A3413">
            <w:pPr>
              <w:pStyle w:val="TableText0"/>
              <w:keepLines/>
              <w:ind w:left="112"/>
              <w:rPr>
                <w:color w:val="808080" w:themeColor="background1" w:themeShade="80"/>
              </w:rPr>
            </w:pPr>
            <w:r w:rsidRPr="00EE11C8">
              <w:rPr>
                <w:color w:val="808080" w:themeColor="background1" w:themeShade="80"/>
              </w:rPr>
              <w:t>High dose ICS/LABA FDCs</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1"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0"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c>
          <w:tcPr>
            <w:tcW w:w="1111" w:type="dxa"/>
            <w:tcBorders>
              <w:top w:val="nil"/>
              <w:bottom w:val="nil"/>
            </w:tcBorders>
            <w:shd w:val="clear" w:color="auto" w:fill="auto"/>
            <w:vAlign w:val="center"/>
          </w:tcPr>
          <w:p w:rsidR="002F1072" w:rsidRPr="00EE11C8" w:rsidRDefault="002F1072" w:rsidP="007A3413">
            <w:pPr>
              <w:pStyle w:val="TableText0"/>
              <w:keepLines/>
              <w:jc w:val="center"/>
              <w:rPr>
                <w:iCs/>
              </w:rPr>
            </w:pPr>
            <w:r w:rsidRPr="00EE11C8">
              <w:rPr>
                <w:iCs/>
                <w:color w:val="808080" w:themeColor="background1" w:themeShade="80"/>
              </w:rPr>
              <w:t>-</w:t>
            </w:r>
            <w:r w:rsidR="00240E17">
              <w:rPr>
                <w:iCs/>
                <w:noProof/>
                <w:color w:val="000000"/>
                <w:highlight w:val="black"/>
              </w:rPr>
              <w:t>'''''''''''''''</w:t>
            </w:r>
          </w:p>
        </w:tc>
      </w:tr>
      <w:bookmarkEnd w:id="34"/>
      <w:tr w:rsidR="00BB3D0E" w:rsidRPr="00EE11C8" w:rsidTr="00096664">
        <w:tc>
          <w:tcPr>
            <w:tcW w:w="2405" w:type="dxa"/>
            <w:tcBorders>
              <w:top w:val="nil"/>
            </w:tcBorders>
            <w:shd w:val="clear" w:color="auto" w:fill="auto"/>
            <w:vAlign w:val="center"/>
          </w:tcPr>
          <w:p w:rsidR="00BB3D0E" w:rsidRPr="00EE11C8" w:rsidRDefault="00BB3D0E" w:rsidP="007A3413">
            <w:pPr>
              <w:pStyle w:val="TableText0"/>
              <w:keepLines/>
              <w:rPr>
                <w:b/>
              </w:rPr>
            </w:pPr>
            <w:r w:rsidRPr="00EE11C8">
              <w:rPr>
                <w:b/>
              </w:rPr>
              <w:t>ICS/LABA net PBS/RPBS cost</w:t>
            </w:r>
          </w:p>
        </w:tc>
        <w:tc>
          <w:tcPr>
            <w:tcW w:w="1110" w:type="dxa"/>
            <w:tcBorders>
              <w:top w:val="nil"/>
            </w:tcBorders>
            <w:shd w:val="clear" w:color="auto" w:fill="auto"/>
            <w:vAlign w:val="center"/>
          </w:tcPr>
          <w:p w:rsidR="00BB3D0E" w:rsidRPr="00EE11C8" w:rsidRDefault="00BB3D0E" w:rsidP="007A3413">
            <w:pPr>
              <w:pStyle w:val="TableText0"/>
              <w:keepLines/>
              <w:jc w:val="center"/>
              <w:rPr>
                <w:b/>
              </w:rPr>
            </w:pPr>
            <w:r w:rsidRPr="00EE11C8">
              <w:rPr>
                <w:b/>
              </w:rPr>
              <w:t>-$</w:t>
            </w:r>
            <w:r w:rsidR="00240E17">
              <w:rPr>
                <w:b/>
                <w:noProof/>
                <w:color w:val="000000"/>
                <w:highlight w:val="black"/>
              </w:rPr>
              <w:t>''''''''''''''''''</w:t>
            </w:r>
          </w:p>
        </w:tc>
        <w:tc>
          <w:tcPr>
            <w:tcW w:w="1110" w:type="dxa"/>
            <w:tcBorders>
              <w:top w:val="nil"/>
            </w:tcBorders>
            <w:shd w:val="clear" w:color="auto" w:fill="auto"/>
            <w:vAlign w:val="center"/>
          </w:tcPr>
          <w:p w:rsidR="00BB3D0E" w:rsidRPr="00EE11C8" w:rsidRDefault="00BB3D0E" w:rsidP="007A3413">
            <w:pPr>
              <w:pStyle w:val="TableText0"/>
              <w:keepLines/>
              <w:jc w:val="center"/>
              <w:rPr>
                <w:b/>
              </w:rPr>
            </w:pPr>
            <w:r w:rsidRPr="00EE11C8">
              <w:rPr>
                <w:b/>
              </w:rPr>
              <w:t>-$</w:t>
            </w:r>
            <w:r w:rsidR="00240E17">
              <w:rPr>
                <w:b/>
                <w:noProof/>
                <w:color w:val="000000"/>
                <w:highlight w:val="black"/>
              </w:rPr>
              <w:t>''''''''''''''''''''</w:t>
            </w:r>
          </w:p>
        </w:tc>
        <w:tc>
          <w:tcPr>
            <w:tcW w:w="1111" w:type="dxa"/>
            <w:tcBorders>
              <w:top w:val="nil"/>
            </w:tcBorders>
            <w:shd w:val="clear" w:color="auto" w:fill="auto"/>
            <w:vAlign w:val="center"/>
          </w:tcPr>
          <w:p w:rsidR="00BB3D0E" w:rsidRPr="00EE11C8" w:rsidRDefault="00BB3D0E" w:rsidP="007A3413">
            <w:pPr>
              <w:pStyle w:val="TableText0"/>
              <w:keepLines/>
              <w:jc w:val="center"/>
              <w:rPr>
                <w:b/>
              </w:rPr>
            </w:pPr>
            <w:r w:rsidRPr="00EE11C8">
              <w:rPr>
                <w:b/>
              </w:rPr>
              <w:t>-$</w:t>
            </w:r>
            <w:r w:rsidR="00240E17">
              <w:rPr>
                <w:b/>
                <w:noProof/>
                <w:color w:val="000000"/>
                <w:highlight w:val="black"/>
              </w:rPr>
              <w:t>''''''''''''''''''</w:t>
            </w:r>
          </w:p>
        </w:tc>
        <w:tc>
          <w:tcPr>
            <w:tcW w:w="1110" w:type="dxa"/>
            <w:tcBorders>
              <w:top w:val="nil"/>
            </w:tcBorders>
            <w:shd w:val="clear" w:color="auto" w:fill="auto"/>
            <w:vAlign w:val="center"/>
          </w:tcPr>
          <w:p w:rsidR="00BB3D0E" w:rsidRPr="00EE11C8" w:rsidRDefault="00BB3D0E" w:rsidP="007A3413">
            <w:pPr>
              <w:pStyle w:val="TableText0"/>
              <w:keepLines/>
              <w:jc w:val="center"/>
              <w:rPr>
                <w:b/>
              </w:rPr>
            </w:pPr>
            <w:r w:rsidRPr="00EE11C8">
              <w:rPr>
                <w:b/>
              </w:rPr>
              <w:t>-$</w:t>
            </w:r>
            <w:r w:rsidR="00240E17">
              <w:rPr>
                <w:b/>
                <w:noProof/>
                <w:color w:val="000000"/>
                <w:highlight w:val="black"/>
              </w:rPr>
              <w:t>'''''''''''''''''''''''</w:t>
            </w:r>
          </w:p>
        </w:tc>
        <w:tc>
          <w:tcPr>
            <w:tcW w:w="1110" w:type="dxa"/>
            <w:tcBorders>
              <w:top w:val="nil"/>
            </w:tcBorders>
            <w:shd w:val="clear" w:color="auto" w:fill="auto"/>
            <w:vAlign w:val="center"/>
          </w:tcPr>
          <w:p w:rsidR="00BB3D0E" w:rsidRPr="00EE11C8" w:rsidRDefault="00BB3D0E" w:rsidP="007A3413">
            <w:pPr>
              <w:pStyle w:val="TableText0"/>
              <w:keepLines/>
              <w:jc w:val="center"/>
              <w:rPr>
                <w:b/>
              </w:rPr>
            </w:pPr>
            <w:r w:rsidRPr="00EE11C8">
              <w:rPr>
                <w:b/>
              </w:rPr>
              <w:t>-$</w:t>
            </w:r>
            <w:r w:rsidR="00240E17">
              <w:rPr>
                <w:b/>
                <w:noProof/>
                <w:color w:val="000000"/>
                <w:highlight w:val="black"/>
              </w:rPr>
              <w:t>''''''''''''''''''''</w:t>
            </w:r>
          </w:p>
        </w:tc>
        <w:tc>
          <w:tcPr>
            <w:tcW w:w="1111" w:type="dxa"/>
            <w:tcBorders>
              <w:top w:val="nil"/>
            </w:tcBorders>
            <w:shd w:val="clear" w:color="auto" w:fill="auto"/>
            <w:vAlign w:val="center"/>
          </w:tcPr>
          <w:p w:rsidR="00BB3D0E" w:rsidRPr="00EE11C8" w:rsidRDefault="00BB3D0E" w:rsidP="007A3413">
            <w:pPr>
              <w:pStyle w:val="TableText0"/>
              <w:keepLines/>
              <w:jc w:val="center"/>
              <w:rPr>
                <w:b/>
              </w:rPr>
            </w:pPr>
            <w:r w:rsidRPr="00EE11C8">
              <w:rPr>
                <w:b/>
              </w:rPr>
              <w:t>-$</w:t>
            </w:r>
            <w:r w:rsidR="00240E17">
              <w:rPr>
                <w:b/>
                <w:noProof/>
                <w:color w:val="000000"/>
                <w:highlight w:val="black"/>
              </w:rPr>
              <w:t>''''''''''''''''''</w:t>
            </w:r>
          </w:p>
        </w:tc>
      </w:tr>
      <w:tr w:rsidR="00BB3D0E" w:rsidRPr="00EE11C8" w:rsidTr="00096664">
        <w:tc>
          <w:tcPr>
            <w:tcW w:w="9067" w:type="dxa"/>
            <w:gridSpan w:val="7"/>
            <w:shd w:val="clear" w:color="auto" w:fill="auto"/>
            <w:vAlign w:val="center"/>
          </w:tcPr>
          <w:p w:rsidR="00BB3D0E" w:rsidRPr="00EE11C8" w:rsidRDefault="00BB3D0E" w:rsidP="007A3413">
            <w:pPr>
              <w:pStyle w:val="TableText0"/>
              <w:keepLines/>
              <w:rPr>
                <w:b/>
              </w:rPr>
            </w:pPr>
            <w:r w:rsidRPr="00EE11C8">
              <w:rPr>
                <w:b/>
              </w:rPr>
              <w:t>Estimated number of MF/IND scripts</w:t>
            </w:r>
            <w:r w:rsidRPr="00EE11C8">
              <w:rPr>
                <w:b/>
                <w:vertAlign w:val="superscript"/>
              </w:rPr>
              <w:t>#</w:t>
            </w:r>
          </w:p>
        </w:tc>
      </w:tr>
      <w:tr w:rsidR="00BB3D0E" w:rsidRPr="00EE11C8" w:rsidTr="00096664">
        <w:tc>
          <w:tcPr>
            <w:tcW w:w="2405" w:type="dxa"/>
            <w:tcBorders>
              <w:bottom w:val="nil"/>
            </w:tcBorders>
            <w:shd w:val="clear" w:color="auto" w:fill="auto"/>
            <w:vAlign w:val="center"/>
          </w:tcPr>
          <w:p w:rsidR="00BB3D0E" w:rsidRPr="00EE11C8" w:rsidRDefault="00BB3D0E" w:rsidP="007A3413">
            <w:pPr>
              <w:pStyle w:val="TableText0"/>
              <w:keepLines/>
              <w:rPr>
                <w:b/>
              </w:rPr>
            </w:pPr>
            <w:r w:rsidRPr="00EE11C8">
              <w:rPr>
                <w:b/>
              </w:rPr>
              <w:t>Total scripts replaced and substituted by MF/IND</w:t>
            </w:r>
          </w:p>
        </w:tc>
        <w:tc>
          <w:tcPr>
            <w:tcW w:w="1110" w:type="dxa"/>
            <w:tcBorders>
              <w:bottom w:val="nil"/>
            </w:tcBorders>
            <w:shd w:val="clear" w:color="auto" w:fill="auto"/>
            <w:vAlign w:val="center"/>
          </w:tcPr>
          <w:p w:rsidR="00BB3D0E" w:rsidRPr="00240E17" w:rsidRDefault="00240E17" w:rsidP="007A3413">
            <w:pPr>
              <w:pStyle w:val="TableText0"/>
              <w:keepLines/>
              <w:jc w:val="center"/>
              <w:rPr>
                <w:b/>
                <w:highlight w:val="black"/>
              </w:rPr>
            </w:pPr>
            <w:r>
              <w:rPr>
                <w:b/>
                <w:noProof/>
                <w:color w:val="000000"/>
                <w:highlight w:val="black"/>
              </w:rPr>
              <w:t>''''''''''''''''</w:t>
            </w:r>
          </w:p>
        </w:tc>
        <w:tc>
          <w:tcPr>
            <w:tcW w:w="1110" w:type="dxa"/>
            <w:tcBorders>
              <w:bottom w:val="nil"/>
            </w:tcBorders>
            <w:shd w:val="clear" w:color="auto" w:fill="auto"/>
            <w:vAlign w:val="center"/>
          </w:tcPr>
          <w:p w:rsidR="00BB3D0E" w:rsidRPr="00240E17" w:rsidRDefault="00240E17" w:rsidP="007A3413">
            <w:pPr>
              <w:pStyle w:val="TableText0"/>
              <w:keepLines/>
              <w:jc w:val="center"/>
              <w:rPr>
                <w:b/>
                <w:highlight w:val="black"/>
              </w:rPr>
            </w:pPr>
            <w:r>
              <w:rPr>
                <w:b/>
                <w:noProof/>
                <w:color w:val="000000"/>
                <w:highlight w:val="black"/>
              </w:rPr>
              <w:t>'''''''''''''''</w:t>
            </w:r>
          </w:p>
        </w:tc>
        <w:tc>
          <w:tcPr>
            <w:tcW w:w="1111" w:type="dxa"/>
            <w:tcBorders>
              <w:bottom w:val="nil"/>
            </w:tcBorders>
            <w:shd w:val="clear" w:color="auto" w:fill="auto"/>
            <w:vAlign w:val="center"/>
          </w:tcPr>
          <w:p w:rsidR="00BB3D0E" w:rsidRPr="00240E17" w:rsidRDefault="00240E17" w:rsidP="007A3413">
            <w:pPr>
              <w:pStyle w:val="TableText0"/>
              <w:keepLines/>
              <w:jc w:val="center"/>
              <w:rPr>
                <w:b/>
                <w:highlight w:val="black"/>
              </w:rPr>
            </w:pPr>
            <w:r>
              <w:rPr>
                <w:b/>
                <w:noProof/>
                <w:color w:val="000000"/>
                <w:highlight w:val="black"/>
              </w:rPr>
              <w:t>'''''''''''''''''</w:t>
            </w:r>
          </w:p>
        </w:tc>
        <w:tc>
          <w:tcPr>
            <w:tcW w:w="1110" w:type="dxa"/>
            <w:tcBorders>
              <w:bottom w:val="nil"/>
            </w:tcBorders>
            <w:shd w:val="clear" w:color="auto" w:fill="auto"/>
            <w:vAlign w:val="center"/>
          </w:tcPr>
          <w:p w:rsidR="00BB3D0E" w:rsidRPr="00240E17" w:rsidRDefault="00240E17" w:rsidP="007A3413">
            <w:pPr>
              <w:pStyle w:val="TableText0"/>
              <w:keepLines/>
              <w:jc w:val="center"/>
              <w:rPr>
                <w:b/>
                <w:highlight w:val="black"/>
              </w:rPr>
            </w:pPr>
            <w:r>
              <w:rPr>
                <w:b/>
                <w:noProof/>
                <w:color w:val="000000"/>
                <w:highlight w:val="black"/>
              </w:rPr>
              <w:t>'''''''''''''''''</w:t>
            </w:r>
          </w:p>
        </w:tc>
        <w:tc>
          <w:tcPr>
            <w:tcW w:w="1110" w:type="dxa"/>
            <w:tcBorders>
              <w:bottom w:val="nil"/>
            </w:tcBorders>
            <w:shd w:val="clear" w:color="auto" w:fill="auto"/>
            <w:vAlign w:val="center"/>
          </w:tcPr>
          <w:p w:rsidR="00BB3D0E" w:rsidRPr="00240E17" w:rsidRDefault="00240E17" w:rsidP="007A3413">
            <w:pPr>
              <w:pStyle w:val="TableText0"/>
              <w:keepLines/>
              <w:jc w:val="center"/>
              <w:rPr>
                <w:b/>
                <w:highlight w:val="black"/>
              </w:rPr>
            </w:pPr>
            <w:r>
              <w:rPr>
                <w:b/>
                <w:noProof/>
                <w:color w:val="000000"/>
                <w:highlight w:val="black"/>
              </w:rPr>
              <w:t>'''''''''''''''''</w:t>
            </w:r>
          </w:p>
        </w:tc>
        <w:tc>
          <w:tcPr>
            <w:tcW w:w="1111" w:type="dxa"/>
            <w:tcBorders>
              <w:bottom w:val="nil"/>
            </w:tcBorders>
            <w:shd w:val="clear" w:color="auto" w:fill="auto"/>
            <w:vAlign w:val="center"/>
          </w:tcPr>
          <w:p w:rsidR="00BB3D0E" w:rsidRPr="00240E17" w:rsidRDefault="00240E17" w:rsidP="007A3413">
            <w:pPr>
              <w:pStyle w:val="TableText0"/>
              <w:keepLines/>
              <w:jc w:val="center"/>
              <w:rPr>
                <w:b/>
                <w:highlight w:val="black"/>
              </w:rPr>
            </w:pPr>
            <w:r>
              <w:rPr>
                <w:b/>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ind w:left="112"/>
              <w:rPr>
                <w:color w:val="808080" w:themeColor="background1" w:themeShade="80"/>
              </w:rPr>
            </w:pPr>
            <w:r w:rsidRPr="00EE11C8">
              <w:rPr>
                <w:color w:val="808080" w:themeColor="background1" w:themeShade="80"/>
              </w:rPr>
              <w:t>MF/IND 80/150</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ind w:left="112"/>
              <w:rPr>
                <w:color w:val="808080" w:themeColor="background1" w:themeShade="80"/>
              </w:rPr>
            </w:pPr>
            <w:r w:rsidRPr="00EE11C8">
              <w:rPr>
                <w:color w:val="808080" w:themeColor="background1" w:themeShade="80"/>
              </w:rPr>
              <w:t>MF/IND 160/150</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ind w:left="112"/>
              <w:rPr>
                <w:color w:val="808080" w:themeColor="background1" w:themeShade="80"/>
              </w:rPr>
            </w:pPr>
            <w:r w:rsidRPr="00EE11C8">
              <w:rPr>
                <w:color w:val="808080" w:themeColor="background1" w:themeShade="80"/>
              </w:rPr>
              <w:t>MF/IND 320/150</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color w:val="808080" w:themeColor="background1" w:themeShade="80"/>
                <w:highlight w:val="black"/>
              </w:rPr>
            </w:pPr>
            <w:r>
              <w:rPr>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pPr>
            <w:r w:rsidRPr="00EE11C8">
              <w:t>MF/IND PBS/RPBS cost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pPr>
            <w:r w:rsidRPr="00EE11C8">
              <w:t>MF/IND patient co-payment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r>
      <w:tr w:rsidR="00BB3D0E" w:rsidRPr="00EE11C8" w:rsidTr="00096664">
        <w:tc>
          <w:tcPr>
            <w:tcW w:w="2405" w:type="dxa"/>
            <w:tcBorders>
              <w:top w:val="nil"/>
            </w:tcBorders>
            <w:shd w:val="clear" w:color="auto" w:fill="auto"/>
            <w:vAlign w:val="center"/>
          </w:tcPr>
          <w:p w:rsidR="00BB3D0E" w:rsidRPr="00EE11C8" w:rsidRDefault="00BB3D0E" w:rsidP="003453B8">
            <w:pPr>
              <w:pStyle w:val="TableText0"/>
              <w:keepNext w:val="0"/>
              <w:rPr>
                <w:b/>
              </w:rPr>
            </w:pPr>
            <w:r w:rsidRPr="00EE11C8">
              <w:rPr>
                <w:b/>
              </w:rPr>
              <w:t>MF/IND net PBS/RPBS cost</w:t>
            </w:r>
          </w:p>
        </w:tc>
        <w:tc>
          <w:tcPr>
            <w:tcW w:w="1110" w:type="dxa"/>
            <w:tcBorders>
              <w:top w:val="nil"/>
            </w:tcBorders>
            <w:shd w:val="clear" w:color="auto" w:fill="auto"/>
            <w:vAlign w:val="center"/>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0" w:type="dxa"/>
            <w:tcBorders>
              <w:top w:val="nil"/>
            </w:tcBorders>
            <w:shd w:val="clear" w:color="auto" w:fill="auto"/>
            <w:vAlign w:val="center"/>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1" w:type="dxa"/>
            <w:tcBorders>
              <w:top w:val="nil"/>
            </w:tcBorders>
            <w:shd w:val="clear" w:color="auto" w:fill="auto"/>
            <w:vAlign w:val="center"/>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0" w:type="dxa"/>
            <w:tcBorders>
              <w:top w:val="nil"/>
            </w:tcBorders>
            <w:shd w:val="clear" w:color="auto" w:fill="auto"/>
            <w:vAlign w:val="center"/>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0" w:type="dxa"/>
            <w:tcBorders>
              <w:top w:val="nil"/>
            </w:tcBorders>
            <w:shd w:val="clear" w:color="auto" w:fill="auto"/>
            <w:vAlign w:val="center"/>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1" w:type="dxa"/>
            <w:tcBorders>
              <w:top w:val="nil"/>
            </w:tcBorders>
            <w:shd w:val="clear" w:color="auto" w:fill="auto"/>
            <w:vAlign w:val="center"/>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r>
      <w:tr w:rsidR="00BB3D0E" w:rsidRPr="00EE11C8" w:rsidTr="00096664">
        <w:tc>
          <w:tcPr>
            <w:tcW w:w="9067" w:type="dxa"/>
            <w:gridSpan w:val="7"/>
            <w:tcBorders>
              <w:top w:val="nil"/>
            </w:tcBorders>
            <w:shd w:val="clear" w:color="auto" w:fill="auto"/>
            <w:vAlign w:val="center"/>
          </w:tcPr>
          <w:p w:rsidR="00BB3D0E" w:rsidRPr="00EE11C8" w:rsidRDefault="00BB3D0E" w:rsidP="003453B8">
            <w:pPr>
              <w:pStyle w:val="TableText0"/>
              <w:keepNext w:val="0"/>
              <w:rPr>
                <w:b/>
              </w:rPr>
            </w:pPr>
            <w:r w:rsidRPr="00EE11C8">
              <w:rPr>
                <w:b/>
              </w:rPr>
              <w:t>Estimated number of MF/IND scripts (corrected for 1:1 substitution)^</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rPr>
                <w:b/>
              </w:rPr>
            </w:pPr>
            <w:r w:rsidRPr="00EE11C8">
              <w:rPr>
                <w:b/>
              </w:rPr>
              <w:t>Total scripts replaced and substituted by MF/IND</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highlight w:val="black"/>
              </w:rPr>
            </w:pPr>
            <w:r>
              <w:rPr>
                <w:b/>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highlight w:val="black"/>
              </w:rPr>
            </w:pPr>
            <w:r>
              <w:rPr>
                <w:b/>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highlight w:val="black"/>
              </w:rPr>
            </w:pPr>
            <w:r>
              <w:rPr>
                <w:b/>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highlight w:val="black"/>
              </w:rPr>
            </w:pPr>
            <w:r>
              <w:rPr>
                <w:b/>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highlight w:val="black"/>
              </w:rPr>
            </w:pPr>
            <w:r>
              <w:rPr>
                <w:b/>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highlight w:val="black"/>
              </w:rPr>
            </w:pPr>
            <w:r>
              <w:rPr>
                <w:b/>
                <w:noProof/>
                <w:color w:val="000000"/>
                <w:highlight w:val="black"/>
              </w:rPr>
              <w:t>''''''''''''''''</w:t>
            </w:r>
          </w:p>
        </w:tc>
      </w:tr>
      <w:tr w:rsidR="00BB3D0E" w:rsidRPr="00EE11C8" w:rsidTr="00096664">
        <w:tc>
          <w:tcPr>
            <w:tcW w:w="2405" w:type="dxa"/>
            <w:tcBorders>
              <w:top w:val="nil"/>
              <w:bottom w:val="nil"/>
            </w:tcBorders>
            <w:shd w:val="clear" w:color="auto" w:fill="auto"/>
          </w:tcPr>
          <w:p w:rsidR="00BB3D0E" w:rsidRPr="00EE11C8" w:rsidRDefault="00BB3D0E" w:rsidP="003453B8">
            <w:pPr>
              <w:pStyle w:val="TableText0"/>
              <w:keepNext w:val="0"/>
              <w:ind w:left="112"/>
              <w:rPr>
                <w:color w:val="808080" w:themeColor="background1" w:themeShade="80"/>
              </w:rPr>
            </w:pPr>
            <w:r w:rsidRPr="00EE11C8">
              <w:rPr>
                <w:color w:val="808080" w:themeColor="background1" w:themeShade="80"/>
              </w:rPr>
              <w:t>MF/IND 80/150</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r>
      <w:tr w:rsidR="00BB3D0E" w:rsidRPr="00EE11C8" w:rsidTr="00096664">
        <w:tc>
          <w:tcPr>
            <w:tcW w:w="2405" w:type="dxa"/>
            <w:tcBorders>
              <w:top w:val="nil"/>
              <w:bottom w:val="nil"/>
            </w:tcBorders>
            <w:shd w:val="clear" w:color="auto" w:fill="auto"/>
          </w:tcPr>
          <w:p w:rsidR="00BB3D0E" w:rsidRPr="00EE11C8" w:rsidRDefault="00BB3D0E" w:rsidP="003453B8">
            <w:pPr>
              <w:pStyle w:val="TableText0"/>
              <w:keepNext w:val="0"/>
              <w:ind w:left="112"/>
              <w:rPr>
                <w:color w:val="808080" w:themeColor="background1" w:themeShade="80"/>
              </w:rPr>
            </w:pPr>
            <w:r w:rsidRPr="00EE11C8">
              <w:rPr>
                <w:color w:val="808080" w:themeColor="background1" w:themeShade="80"/>
              </w:rPr>
              <w:t>MF/IND 160/150</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r>
      <w:tr w:rsidR="00BB3D0E" w:rsidRPr="00EE11C8" w:rsidTr="00096664">
        <w:tc>
          <w:tcPr>
            <w:tcW w:w="2405" w:type="dxa"/>
            <w:tcBorders>
              <w:top w:val="nil"/>
              <w:bottom w:val="nil"/>
            </w:tcBorders>
            <w:shd w:val="clear" w:color="auto" w:fill="auto"/>
          </w:tcPr>
          <w:p w:rsidR="00BB3D0E" w:rsidRPr="00EE11C8" w:rsidRDefault="00BB3D0E" w:rsidP="003453B8">
            <w:pPr>
              <w:pStyle w:val="TableText0"/>
              <w:keepNext w:val="0"/>
              <w:ind w:left="112"/>
              <w:rPr>
                <w:color w:val="808080" w:themeColor="background1" w:themeShade="80"/>
              </w:rPr>
            </w:pPr>
            <w:r w:rsidRPr="00EE11C8">
              <w:rPr>
                <w:color w:val="808080" w:themeColor="background1" w:themeShade="80"/>
              </w:rPr>
              <w:t>MF/IND 320/150</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0"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c>
          <w:tcPr>
            <w:tcW w:w="1111" w:type="dxa"/>
            <w:tcBorders>
              <w:top w:val="nil"/>
              <w:bottom w:val="nil"/>
            </w:tcBorders>
            <w:shd w:val="clear" w:color="auto" w:fill="auto"/>
            <w:vAlign w:val="center"/>
          </w:tcPr>
          <w:p w:rsidR="00BB3D0E" w:rsidRPr="00240E17" w:rsidRDefault="00240E17" w:rsidP="003453B8">
            <w:pPr>
              <w:pStyle w:val="TableText0"/>
              <w:keepNext w:val="0"/>
              <w:jc w:val="center"/>
              <w:rPr>
                <w:b/>
                <w:color w:val="808080" w:themeColor="background1" w:themeShade="80"/>
                <w:highlight w:val="black"/>
              </w:rPr>
            </w:pPr>
            <w:r>
              <w:rPr>
                <w:noProof/>
                <w:color w:val="000000"/>
                <w:highlight w:val="black"/>
              </w:rPr>
              <w:t>'''''''''''''''''</w:t>
            </w:r>
          </w:p>
        </w:tc>
      </w:tr>
      <w:tr w:rsidR="00BB3D0E" w:rsidRPr="00EE11C8" w:rsidTr="00096664">
        <w:tc>
          <w:tcPr>
            <w:tcW w:w="2405" w:type="dxa"/>
            <w:tcBorders>
              <w:top w:val="nil"/>
              <w:bottom w:val="nil"/>
            </w:tcBorders>
            <w:shd w:val="clear" w:color="auto" w:fill="auto"/>
          </w:tcPr>
          <w:p w:rsidR="00BB3D0E" w:rsidRPr="00EE11C8" w:rsidRDefault="00BB3D0E" w:rsidP="003453B8">
            <w:pPr>
              <w:pStyle w:val="TableText0"/>
              <w:keepNext w:val="0"/>
              <w:rPr>
                <w:b/>
              </w:rPr>
            </w:pPr>
            <w:r w:rsidRPr="00EE11C8">
              <w:t>MF/IND PBS/RPBS cost</w:t>
            </w:r>
          </w:p>
        </w:tc>
        <w:tc>
          <w:tcPr>
            <w:tcW w:w="1110" w:type="dxa"/>
            <w:tcBorders>
              <w:top w:val="nil"/>
              <w:bottom w:val="nil"/>
            </w:tcBorders>
            <w:shd w:val="clear" w:color="auto" w:fill="auto"/>
          </w:tcPr>
          <w:p w:rsidR="00BB3D0E" w:rsidRPr="00EE11C8" w:rsidRDefault="00BB3D0E" w:rsidP="003453B8">
            <w:pPr>
              <w:pStyle w:val="TableText0"/>
              <w:keepNext w:val="0"/>
              <w:jc w:val="center"/>
              <w:rPr>
                <w:b/>
              </w:rPr>
            </w:pPr>
            <w:r w:rsidRPr="00EE11C8">
              <w:t>$</w:t>
            </w:r>
            <w:r w:rsidR="00240E17">
              <w:rPr>
                <w:noProof/>
                <w:color w:val="000000"/>
                <w:highlight w:val="black"/>
              </w:rPr>
              <w:t>''''''''''''''''''''''''''</w:t>
            </w:r>
            <w:r w:rsidRPr="00EE11C8">
              <w:t xml:space="preserve"> </w:t>
            </w:r>
          </w:p>
        </w:tc>
        <w:tc>
          <w:tcPr>
            <w:tcW w:w="1110" w:type="dxa"/>
            <w:tcBorders>
              <w:top w:val="nil"/>
              <w:bottom w:val="nil"/>
            </w:tcBorders>
            <w:shd w:val="clear" w:color="auto" w:fill="auto"/>
          </w:tcPr>
          <w:p w:rsidR="00BB3D0E" w:rsidRPr="00EE11C8" w:rsidRDefault="00BB3D0E" w:rsidP="003453B8">
            <w:pPr>
              <w:pStyle w:val="TableText0"/>
              <w:keepNext w:val="0"/>
              <w:jc w:val="center"/>
              <w:rPr>
                <w:b/>
              </w:rPr>
            </w:pPr>
            <w:r w:rsidRPr="00EE11C8">
              <w:t>$</w:t>
            </w:r>
            <w:r w:rsidR="00240E17">
              <w:rPr>
                <w:noProof/>
                <w:color w:val="000000"/>
                <w:highlight w:val="black"/>
              </w:rPr>
              <w:t>''''''''''''''''''''''''</w:t>
            </w:r>
            <w:r w:rsidRPr="00EE11C8">
              <w:t xml:space="preserve"> </w:t>
            </w:r>
          </w:p>
        </w:tc>
        <w:tc>
          <w:tcPr>
            <w:tcW w:w="1111" w:type="dxa"/>
            <w:tcBorders>
              <w:top w:val="nil"/>
              <w:bottom w:val="nil"/>
            </w:tcBorders>
            <w:shd w:val="clear" w:color="auto" w:fill="auto"/>
          </w:tcPr>
          <w:p w:rsidR="00BB3D0E" w:rsidRPr="00EE11C8" w:rsidRDefault="00BB3D0E" w:rsidP="003453B8">
            <w:pPr>
              <w:pStyle w:val="TableText0"/>
              <w:keepNext w:val="0"/>
              <w:jc w:val="center"/>
              <w:rPr>
                <w:b/>
              </w:rPr>
            </w:pPr>
            <w:r w:rsidRPr="00EE11C8">
              <w:t>$</w:t>
            </w:r>
            <w:r w:rsidR="00240E17">
              <w:rPr>
                <w:noProof/>
                <w:color w:val="000000"/>
                <w:highlight w:val="black"/>
              </w:rPr>
              <w:t>''''''''''''''''''''''''</w:t>
            </w:r>
            <w:r w:rsidRPr="00EE11C8">
              <w:t xml:space="preserve"> </w:t>
            </w:r>
          </w:p>
        </w:tc>
        <w:tc>
          <w:tcPr>
            <w:tcW w:w="1110" w:type="dxa"/>
            <w:tcBorders>
              <w:top w:val="nil"/>
              <w:bottom w:val="nil"/>
            </w:tcBorders>
            <w:shd w:val="clear" w:color="auto" w:fill="auto"/>
          </w:tcPr>
          <w:p w:rsidR="00BB3D0E" w:rsidRPr="00EE11C8" w:rsidRDefault="00BB3D0E" w:rsidP="003453B8">
            <w:pPr>
              <w:pStyle w:val="TableText0"/>
              <w:keepNext w:val="0"/>
              <w:jc w:val="center"/>
              <w:rPr>
                <w:b/>
              </w:rPr>
            </w:pPr>
            <w:r w:rsidRPr="00EE11C8">
              <w:t>$</w:t>
            </w:r>
            <w:r w:rsidR="00240E17">
              <w:rPr>
                <w:noProof/>
                <w:color w:val="000000"/>
                <w:highlight w:val="black"/>
              </w:rPr>
              <w:t>''''''''''''''''''''''''</w:t>
            </w:r>
            <w:r w:rsidRPr="00EE11C8">
              <w:t xml:space="preserve"> </w:t>
            </w:r>
          </w:p>
        </w:tc>
        <w:tc>
          <w:tcPr>
            <w:tcW w:w="1110" w:type="dxa"/>
            <w:tcBorders>
              <w:top w:val="nil"/>
              <w:bottom w:val="nil"/>
            </w:tcBorders>
            <w:shd w:val="clear" w:color="auto" w:fill="auto"/>
          </w:tcPr>
          <w:p w:rsidR="00BB3D0E" w:rsidRPr="00EE11C8" w:rsidRDefault="00BB3D0E" w:rsidP="003453B8">
            <w:pPr>
              <w:pStyle w:val="TableText0"/>
              <w:keepNext w:val="0"/>
              <w:jc w:val="center"/>
              <w:rPr>
                <w:b/>
              </w:rPr>
            </w:pPr>
            <w:r w:rsidRPr="00EE11C8">
              <w:t>$</w:t>
            </w:r>
            <w:r w:rsidR="00240E17">
              <w:rPr>
                <w:noProof/>
                <w:color w:val="000000"/>
                <w:highlight w:val="black"/>
              </w:rPr>
              <w:t>'''''''''''''''''''''''''''</w:t>
            </w:r>
            <w:r w:rsidRPr="00EE11C8">
              <w:t xml:space="preserve"> </w:t>
            </w:r>
          </w:p>
        </w:tc>
        <w:tc>
          <w:tcPr>
            <w:tcW w:w="1111" w:type="dxa"/>
            <w:tcBorders>
              <w:top w:val="nil"/>
              <w:bottom w:val="nil"/>
            </w:tcBorders>
            <w:shd w:val="clear" w:color="auto" w:fill="auto"/>
          </w:tcPr>
          <w:p w:rsidR="00BB3D0E" w:rsidRPr="00EE11C8" w:rsidRDefault="00BB3D0E" w:rsidP="003453B8">
            <w:pPr>
              <w:pStyle w:val="TableText0"/>
              <w:keepNext w:val="0"/>
              <w:jc w:val="center"/>
              <w:rPr>
                <w:b/>
              </w:rPr>
            </w:pPr>
            <w:r w:rsidRPr="00EE11C8">
              <w:t>$</w:t>
            </w:r>
            <w:r w:rsidR="00240E17">
              <w:rPr>
                <w:noProof/>
                <w:color w:val="000000"/>
                <w:highlight w:val="black"/>
              </w:rPr>
              <w:t>''''''''''''''''''''''''''</w:t>
            </w:r>
            <w:r w:rsidRPr="00EE11C8">
              <w:t xml:space="preserve"> </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pPr>
            <w:r w:rsidRPr="00EE11C8">
              <w:t>MF/IND patient co-payment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vAlign w:val="center"/>
          </w:tcPr>
          <w:p w:rsidR="00BB3D0E" w:rsidRPr="00EE11C8" w:rsidRDefault="00BB3D0E" w:rsidP="003453B8">
            <w:pPr>
              <w:pStyle w:val="TableText0"/>
              <w:keepNext w:val="0"/>
              <w:jc w:val="center"/>
            </w:pPr>
            <w:r w:rsidRPr="00EE11C8">
              <w:t>$</w:t>
            </w:r>
            <w:r w:rsidR="00240E17">
              <w:rPr>
                <w:noProof/>
                <w:color w:val="000000"/>
                <w:highlight w:val="black"/>
              </w:rPr>
              <w:t>'''''''''''''''''''''''''</w:t>
            </w:r>
          </w:p>
        </w:tc>
      </w:tr>
      <w:tr w:rsidR="00BB3D0E" w:rsidRPr="00EE11C8" w:rsidTr="00096664">
        <w:tc>
          <w:tcPr>
            <w:tcW w:w="2405" w:type="dxa"/>
            <w:tcBorders>
              <w:top w:val="nil"/>
            </w:tcBorders>
            <w:shd w:val="clear" w:color="auto" w:fill="auto"/>
          </w:tcPr>
          <w:p w:rsidR="00BB3D0E" w:rsidRPr="00EE11C8" w:rsidRDefault="00BB3D0E" w:rsidP="003453B8">
            <w:pPr>
              <w:pStyle w:val="TableText0"/>
              <w:keepNext w:val="0"/>
              <w:rPr>
                <w:b/>
              </w:rPr>
            </w:pPr>
            <w:r w:rsidRPr="00EE11C8">
              <w:rPr>
                <w:b/>
              </w:rPr>
              <w:t>MF/IND net PBS/RPBS cost</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r w:rsidRPr="00EE11C8">
              <w:rPr>
                <w:b/>
              </w:rPr>
              <w:t xml:space="preserve"> </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r w:rsidRPr="00EE11C8">
              <w:rPr>
                <w:b/>
              </w:rPr>
              <w:t xml:space="preserve"> </w:t>
            </w:r>
          </w:p>
        </w:tc>
        <w:tc>
          <w:tcPr>
            <w:tcW w:w="1111"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r w:rsidRPr="00EE11C8">
              <w:rPr>
                <w:b/>
              </w:rPr>
              <w:t xml:space="preserve"> </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r w:rsidRPr="00EE11C8">
              <w:rPr>
                <w:b/>
              </w:rPr>
              <w:t xml:space="preserve"> </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r w:rsidRPr="00EE11C8">
              <w:rPr>
                <w:b/>
              </w:rPr>
              <w:t xml:space="preserve"> </w:t>
            </w:r>
          </w:p>
        </w:tc>
        <w:tc>
          <w:tcPr>
            <w:tcW w:w="1111"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r w:rsidRPr="00EE11C8">
              <w:rPr>
                <w:b/>
              </w:rPr>
              <w:t xml:space="preserve"> </w:t>
            </w:r>
          </w:p>
        </w:tc>
      </w:tr>
      <w:tr w:rsidR="00BB3D0E" w:rsidRPr="00EE11C8" w:rsidTr="00096664">
        <w:tc>
          <w:tcPr>
            <w:tcW w:w="9067" w:type="dxa"/>
            <w:gridSpan w:val="7"/>
            <w:shd w:val="clear" w:color="auto" w:fill="auto"/>
            <w:vAlign w:val="center"/>
          </w:tcPr>
          <w:p w:rsidR="00BB3D0E" w:rsidRPr="00EE11C8" w:rsidRDefault="00BB3D0E" w:rsidP="003453B8">
            <w:pPr>
              <w:pStyle w:val="TableText0"/>
              <w:keepNext w:val="0"/>
              <w:rPr>
                <w:b/>
              </w:rPr>
            </w:pPr>
            <w:r w:rsidRPr="00EE11C8">
              <w:rPr>
                <w:b/>
              </w:rPr>
              <w:t>Estimated financial implication to government</w:t>
            </w:r>
          </w:p>
        </w:tc>
      </w:tr>
      <w:tr w:rsidR="00BB3D0E" w:rsidRPr="00EE11C8" w:rsidTr="00096664">
        <w:tc>
          <w:tcPr>
            <w:tcW w:w="2405" w:type="dxa"/>
            <w:tcBorders>
              <w:bottom w:val="nil"/>
            </w:tcBorders>
            <w:shd w:val="clear" w:color="auto" w:fill="auto"/>
            <w:vAlign w:val="center"/>
          </w:tcPr>
          <w:p w:rsidR="00BB3D0E" w:rsidRPr="00EE11C8" w:rsidRDefault="00BB3D0E" w:rsidP="003453B8">
            <w:pPr>
              <w:pStyle w:val="TableText0"/>
              <w:keepNext w:val="0"/>
            </w:pPr>
            <w:r w:rsidRPr="00EE11C8">
              <w:t xml:space="preserve">PBS/RPBS cost </w:t>
            </w:r>
          </w:p>
        </w:tc>
        <w:tc>
          <w:tcPr>
            <w:tcW w:w="1110" w:type="dxa"/>
            <w:tcBorders>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0" w:type="dxa"/>
            <w:tcBorders>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1" w:type="dxa"/>
            <w:tcBorders>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0" w:type="dxa"/>
            <w:tcBorders>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0" w:type="dxa"/>
            <w:tcBorders>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1" w:type="dxa"/>
            <w:tcBorders>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pPr>
            <w:r w:rsidRPr="00EE11C8">
              <w:t>Net cost to PBS/RPBS</w:t>
            </w:r>
          </w:p>
        </w:tc>
        <w:tc>
          <w:tcPr>
            <w:tcW w:w="1110" w:type="dxa"/>
            <w:tcBorders>
              <w:top w:val="nil"/>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rPr>
                <w:rFonts w:cs="Arial"/>
              </w:rPr>
            </w:pPr>
            <w:r w:rsidRPr="00EE11C8">
              <w:t>$</w:t>
            </w:r>
            <w:r w:rsidR="00240E17">
              <w:rPr>
                <w:noProof/>
                <w:color w:val="000000"/>
                <w:highlight w:val="black"/>
              </w:rPr>
              <w:t>'''''''''''''''</w:t>
            </w:r>
          </w:p>
        </w:tc>
      </w:tr>
      <w:tr w:rsidR="00BB3D0E" w:rsidRPr="00EE11C8" w:rsidTr="00096664">
        <w:tc>
          <w:tcPr>
            <w:tcW w:w="2405" w:type="dxa"/>
            <w:tcBorders>
              <w:top w:val="nil"/>
              <w:bottom w:val="single" w:sz="4" w:space="0" w:color="auto"/>
            </w:tcBorders>
            <w:shd w:val="clear" w:color="auto" w:fill="auto"/>
            <w:vAlign w:val="center"/>
          </w:tcPr>
          <w:p w:rsidR="00BB3D0E" w:rsidRPr="00EE11C8" w:rsidRDefault="00BB3D0E" w:rsidP="003453B8">
            <w:pPr>
              <w:pStyle w:val="TableText0"/>
              <w:keepNext w:val="0"/>
              <w:rPr>
                <w:b/>
              </w:rPr>
            </w:pPr>
            <w:r w:rsidRPr="00EE11C8">
              <w:rPr>
                <w:b/>
              </w:rPr>
              <w:t>Net cost to health budget</w:t>
            </w:r>
          </w:p>
        </w:tc>
        <w:tc>
          <w:tcPr>
            <w:tcW w:w="1110" w:type="dxa"/>
            <w:tcBorders>
              <w:top w:val="nil"/>
              <w:bottom w:val="single" w:sz="4" w:space="0" w:color="auto"/>
            </w:tcBorders>
            <w:shd w:val="clear" w:color="auto" w:fill="auto"/>
          </w:tcPr>
          <w:p w:rsidR="00BB3D0E" w:rsidRPr="00EE11C8" w:rsidRDefault="00BB3D0E" w:rsidP="003453B8">
            <w:pPr>
              <w:pStyle w:val="TableText0"/>
              <w:keepNext w:val="0"/>
              <w:jc w:val="center"/>
              <w:rPr>
                <w:rFonts w:cs="Arial"/>
                <w:b/>
              </w:rPr>
            </w:pPr>
            <w:r w:rsidRPr="00EE11C8">
              <w:rPr>
                <w:b/>
              </w:rPr>
              <w:t>$</w:t>
            </w:r>
            <w:r w:rsidR="00240E17">
              <w:rPr>
                <w:b/>
                <w:noProof/>
                <w:color w:val="000000"/>
                <w:highlight w:val="black"/>
              </w:rPr>
              <w:t>'''''''''''''''</w:t>
            </w:r>
          </w:p>
        </w:tc>
        <w:tc>
          <w:tcPr>
            <w:tcW w:w="1110" w:type="dxa"/>
            <w:tcBorders>
              <w:top w:val="nil"/>
              <w:bottom w:val="single" w:sz="4" w:space="0" w:color="auto"/>
            </w:tcBorders>
            <w:shd w:val="clear" w:color="auto" w:fill="auto"/>
          </w:tcPr>
          <w:p w:rsidR="00BB3D0E" w:rsidRPr="00EE11C8" w:rsidRDefault="00BB3D0E" w:rsidP="003453B8">
            <w:pPr>
              <w:pStyle w:val="TableText0"/>
              <w:keepNext w:val="0"/>
              <w:jc w:val="center"/>
              <w:rPr>
                <w:rFonts w:cs="Arial"/>
                <w:b/>
              </w:rPr>
            </w:pPr>
            <w:r w:rsidRPr="00EE11C8">
              <w:rPr>
                <w:b/>
              </w:rPr>
              <w:t>$</w:t>
            </w:r>
            <w:r w:rsidR="00240E17">
              <w:rPr>
                <w:b/>
                <w:noProof/>
                <w:color w:val="000000"/>
                <w:highlight w:val="black"/>
              </w:rPr>
              <w:t>'''''''''''''''''</w:t>
            </w:r>
          </w:p>
        </w:tc>
        <w:tc>
          <w:tcPr>
            <w:tcW w:w="1111" w:type="dxa"/>
            <w:tcBorders>
              <w:top w:val="nil"/>
              <w:bottom w:val="single" w:sz="4" w:space="0" w:color="auto"/>
            </w:tcBorders>
            <w:shd w:val="clear" w:color="auto" w:fill="auto"/>
          </w:tcPr>
          <w:p w:rsidR="00BB3D0E" w:rsidRPr="00EE11C8" w:rsidRDefault="00BB3D0E" w:rsidP="003453B8">
            <w:pPr>
              <w:pStyle w:val="TableText0"/>
              <w:keepNext w:val="0"/>
              <w:jc w:val="center"/>
              <w:rPr>
                <w:rFonts w:cs="Arial"/>
                <w:b/>
              </w:rPr>
            </w:pPr>
            <w:r w:rsidRPr="00EE11C8">
              <w:rPr>
                <w:b/>
              </w:rPr>
              <w:t>$</w:t>
            </w:r>
            <w:r w:rsidR="00240E17">
              <w:rPr>
                <w:b/>
                <w:noProof/>
                <w:color w:val="000000"/>
                <w:highlight w:val="black"/>
              </w:rPr>
              <w:t>'''''''''''''''</w:t>
            </w:r>
          </w:p>
        </w:tc>
        <w:tc>
          <w:tcPr>
            <w:tcW w:w="1110" w:type="dxa"/>
            <w:tcBorders>
              <w:top w:val="nil"/>
              <w:bottom w:val="single" w:sz="4" w:space="0" w:color="auto"/>
            </w:tcBorders>
            <w:shd w:val="clear" w:color="auto" w:fill="auto"/>
          </w:tcPr>
          <w:p w:rsidR="00BB3D0E" w:rsidRPr="00EE11C8" w:rsidRDefault="00BB3D0E" w:rsidP="003453B8">
            <w:pPr>
              <w:pStyle w:val="TableText0"/>
              <w:keepNext w:val="0"/>
              <w:jc w:val="center"/>
              <w:rPr>
                <w:rFonts w:cs="Arial"/>
                <w:b/>
              </w:rPr>
            </w:pPr>
            <w:r w:rsidRPr="00EE11C8">
              <w:rPr>
                <w:b/>
              </w:rPr>
              <w:t>$</w:t>
            </w:r>
            <w:r w:rsidR="00240E17">
              <w:rPr>
                <w:b/>
                <w:noProof/>
                <w:color w:val="000000"/>
                <w:highlight w:val="black"/>
              </w:rPr>
              <w:t>'''''''''''''''</w:t>
            </w:r>
          </w:p>
        </w:tc>
        <w:tc>
          <w:tcPr>
            <w:tcW w:w="1110" w:type="dxa"/>
            <w:tcBorders>
              <w:top w:val="nil"/>
              <w:bottom w:val="single" w:sz="4" w:space="0" w:color="auto"/>
            </w:tcBorders>
            <w:shd w:val="clear" w:color="auto" w:fill="auto"/>
          </w:tcPr>
          <w:p w:rsidR="00BB3D0E" w:rsidRPr="00EE11C8" w:rsidRDefault="00BB3D0E" w:rsidP="003453B8">
            <w:pPr>
              <w:pStyle w:val="TableText0"/>
              <w:keepNext w:val="0"/>
              <w:jc w:val="center"/>
              <w:rPr>
                <w:rFonts w:cs="Arial"/>
                <w:b/>
              </w:rPr>
            </w:pPr>
            <w:r w:rsidRPr="00EE11C8">
              <w:rPr>
                <w:b/>
              </w:rPr>
              <w:t>$</w:t>
            </w:r>
            <w:r w:rsidR="00240E17">
              <w:rPr>
                <w:b/>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rPr>
                <w:rFonts w:cs="Arial"/>
                <w:b/>
              </w:rPr>
            </w:pPr>
            <w:r w:rsidRPr="00EE11C8">
              <w:rPr>
                <w:b/>
              </w:rPr>
              <w:t>$</w:t>
            </w:r>
            <w:r w:rsidR="00240E17">
              <w:rPr>
                <w:b/>
                <w:noProof/>
                <w:color w:val="000000"/>
                <w:highlight w:val="black"/>
              </w:rPr>
              <w:t>'''''''''''''''</w:t>
            </w:r>
          </w:p>
        </w:tc>
      </w:tr>
      <w:tr w:rsidR="00BB3D0E" w:rsidRPr="00EE11C8" w:rsidTr="00096664">
        <w:tc>
          <w:tcPr>
            <w:tcW w:w="9067" w:type="dxa"/>
            <w:gridSpan w:val="7"/>
            <w:tcBorders>
              <w:top w:val="single" w:sz="4" w:space="0" w:color="auto"/>
            </w:tcBorders>
            <w:shd w:val="clear" w:color="auto" w:fill="auto"/>
            <w:vAlign w:val="center"/>
          </w:tcPr>
          <w:p w:rsidR="00BB3D0E" w:rsidRPr="00EE11C8" w:rsidRDefault="00BB3D0E" w:rsidP="003453B8">
            <w:pPr>
              <w:pStyle w:val="TableText0"/>
              <w:keepNext w:val="0"/>
              <w:rPr>
                <w:b/>
              </w:rPr>
            </w:pPr>
            <w:r w:rsidRPr="00EE11C8">
              <w:rPr>
                <w:b/>
              </w:rPr>
              <w:t>Estimated financial implication to government (corrected for 1:1 substitution)</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pPr>
            <w:r w:rsidRPr="00EE11C8">
              <w:t>PBS/RPBS cost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r>
      <w:tr w:rsidR="00BB3D0E" w:rsidRPr="00EE11C8" w:rsidTr="00096664">
        <w:tc>
          <w:tcPr>
            <w:tcW w:w="2405" w:type="dxa"/>
            <w:tcBorders>
              <w:top w:val="nil"/>
              <w:bottom w:val="nil"/>
            </w:tcBorders>
            <w:shd w:val="clear" w:color="auto" w:fill="auto"/>
            <w:vAlign w:val="center"/>
          </w:tcPr>
          <w:p w:rsidR="00BB3D0E" w:rsidRPr="00EE11C8" w:rsidRDefault="00BB3D0E" w:rsidP="003453B8">
            <w:pPr>
              <w:pStyle w:val="TableText0"/>
              <w:keepNext w:val="0"/>
            </w:pPr>
            <w:r w:rsidRPr="00EE11C8">
              <w:t>Net cost to PBS/RPBS</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0"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c>
          <w:tcPr>
            <w:tcW w:w="1111" w:type="dxa"/>
            <w:tcBorders>
              <w:top w:val="nil"/>
              <w:bottom w:val="nil"/>
            </w:tcBorders>
            <w:shd w:val="clear" w:color="auto" w:fill="auto"/>
          </w:tcPr>
          <w:p w:rsidR="00BB3D0E" w:rsidRPr="00EE11C8" w:rsidRDefault="00BB3D0E" w:rsidP="003453B8">
            <w:pPr>
              <w:pStyle w:val="TableText0"/>
              <w:keepNext w:val="0"/>
              <w:jc w:val="center"/>
            </w:pPr>
            <w:r w:rsidRPr="00EE11C8">
              <w:t>-$</w:t>
            </w:r>
            <w:r w:rsidR="00240E17">
              <w:rPr>
                <w:noProof/>
                <w:color w:val="000000"/>
                <w:highlight w:val="black"/>
              </w:rPr>
              <w:t>''''''''''''''''''''</w:t>
            </w:r>
          </w:p>
        </w:tc>
      </w:tr>
      <w:tr w:rsidR="00BB3D0E" w:rsidRPr="00EE11C8" w:rsidTr="00096664">
        <w:tc>
          <w:tcPr>
            <w:tcW w:w="2405" w:type="dxa"/>
            <w:tcBorders>
              <w:top w:val="nil"/>
            </w:tcBorders>
            <w:shd w:val="clear" w:color="auto" w:fill="auto"/>
            <w:vAlign w:val="center"/>
          </w:tcPr>
          <w:p w:rsidR="00BB3D0E" w:rsidRPr="00EE11C8" w:rsidRDefault="00BB3D0E" w:rsidP="003453B8">
            <w:pPr>
              <w:pStyle w:val="TableText0"/>
              <w:keepNext w:val="0"/>
              <w:rPr>
                <w:b/>
              </w:rPr>
            </w:pPr>
            <w:r w:rsidRPr="00EE11C8">
              <w:rPr>
                <w:b/>
              </w:rPr>
              <w:t>Net cost to health budget</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1"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0"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c>
          <w:tcPr>
            <w:tcW w:w="1111" w:type="dxa"/>
            <w:tcBorders>
              <w:top w:val="nil"/>
            </w:tcBorders>
            <w:shd w:val="clear" w:color="auto" w:fill="auto"/>
          </w:tcPr>
          <w:p w:rsidR="00BB3D0E" w:rsidRPr="00EE11C8" w:rsidRDefault="00BB3D0E" w:rsidP="003453B8">
            <w:pPr>
              <w:pStyle w:val="TableText0"/>
              <w:keepNext w:val="0"/>
              <w:jc w:val="center"/>
              <w:rPr>
                <w:b/>
              </w:rPr>
            </w:pPr>
            <w:r w:rsidRPr="00EE11C8">
              <w:rPr>
                <w:b/>
              </w:rPr>
              <w:t>-$</w:t>
            </w:r>
            <w:r w:rsidR="00240E17">
              <w:rPr>
                <w:b/>
                <w:noProof/>
                <w:color w:val="000000"/>
                <w:highlight w:val="black"/>
              </w:rPr>
              <w:t>''''''''''''''</w:t>
            </w:r>
          </w:p>
        </w:tc>
      </w:tr>
    </w:tbl>
    <w:p w:rsidR="00BB3D0E" w:rsidRPr="00EE11C8" w:rsidRDefault="00BB3D0E" w:rsidP="003453B8">
      <w:pPr>
        <w:pStyle w:val="TableFigureFooter"/>
        <w:rPr>
          <w:szCs w:val="18"/>
        </w:rPr>
      </w:pPr>
      <w:r w:rsidRPr="00EE11C8">
        <w:rPr>
          <w:szCs w:val="18"/>
        </w:rPr>
        <w:t>Abbreviations: BUD=budesonide; DPI=dry powder inhalation; FOR=formoterol; FDC=fixed dose combination; FF=fluticasone furoate; FP=fluticasone propionate; ICS=inhaled corticosteroid; LABA=long acting beta2-agonst; IND=indacaterol; MF=mometasone furoate; VI=vilanterol; SAL=salmeterol; Yr=year;</w:t>
      </w:r>
    </w:p>
    <w:p w:rsidR="00BB3D0E" w:rsidRPr="00EE11C8" w:rsidRDefault="00BB3D0E" w:rsidP="003453B8">
      <w:pPr>
        <w:pStyle w:val="TableFigureFooter"/>
        <w:tabs>
          <w:tab w:val="left" w:pos="142"/>
        </w:tabs>
        <w:ind w:left="140" w:hanging="140"/>
      </w:pPr>
      <w:r w:rsidRPr="00EE11C8">
        <w:t>#</w:t>
      </w:r>
      <w:r w:rsidRPr="00EE11C8">
        <w:tab/>
        <w:t>The submission estimated the number of MF/IND scripts from the proportional ‘split’ of the projected annual ICS/LABA DPI market that will be substituted</w:t>
      </w:r>
      <w:r w:rsidR="00EE11C8">
        <w:t xml:space="preserve">. </w:t>
      </w:r>
      <w:r w:rsidRPr="00EE11C8">
        <w:t>Further, the submission erroneously applied the (Yr-1) proportions i.e. Yr6 had used Yr5 proportions (3a. Script-new tab -&gt; cells L113 to Q120 should reference 2d. Scripts-market tab -&gt; cells S245 to X252 in), which was corrected during the evaluation</w:t>
      </w:r>
      <w:r w:rsidR="00EE11C8">
        <w:t xml:space="preserve">. </w:t>
      </w:r>
      <w:r w:rsidRPr="00EE11C8">
        <w:t>The error became obsolete when the financial estimates were corrected for the submission’s assumed 1:1 substitution of MF/IND scripts.</w:t>
      </w:r>
    </w:p>
    <w:p w:rsidR="00BB3D0E" w:rsidRPr="00EE11C8" w:rsidRDefault="00BB3D0E" w:rsidP="003453B8">
      <w:pPr>
        <w:pStyle w:val="TableFigureFooter"/>
        <w:tabs>
          <w:tab w:val="left" w:pos="142"/>
        </w:tabs>
        <w:ind w:left="140" w:hanging="140"/>
      </w:pPr>
      <w:r w:rsidRPr="00EE11C8">
        <w:t>^</w:t>
      </w:r>
      <w:r w:rsidRPr="00EE11C8">
        <w:tab/>
        <w:t xml:space="preserve">Corrected for the assumed 1:1 substitution between the equivalent dose inhalers, </w:t>
      </w:r>
      <w:r w:rsidR="00D6247D" w:rsidRPr="00EE11C8">
        <w:t>i.e.</w:t>
      </w:r>
      <w:r w:rsidRPr="00EE11C8">
        <w:t>, low/median/high dose of ICS/LABA DPI displaced is equivalent to the number of scripts for MF/IND replaced</w:t>
      </w:r>
      <w:r w:rsidR="00EE11C8">
        <w:t xml:space="preserve">. </w:t>
      </w:r>
    </w:p>
    <w:p w:rsidR="00BB3D0E" w:rsidRPr="00EE11C8" w:rsidRDefault="00BB3D0E" w:rsidP="003453B8">
      <w:pPr>
        <w:pStyle w:val="TableFigureFooter"/>
        <w:tabs>
          <w:tab w:val="left" w:pos="142"/>
        </w:tabs>
        <w:ind w:left="140" w:hanging="140"/>
      </w:pPr>
      <w:r w:rsidRPr="00EE11C8">
        <w:t>Source: Tables 4.15 to 4.18, pp168-171 of the submission and Attachment 9; PBS summary worksheet.</w:t>
      </w:r>
    </w:p>
    <w:p w:rsidR="00AD2258" w:rsidRPr="00EE11C8" w:rsidRDefault="00AD2258" w:rsidP="00AD2258">
      <w:pPr>
        <w:pStyle w:val="3-BodyText"/>
      </w:pPr>
      <w:r w:rsidRPr="00EE11C8">
        <w:t>At the requested price, t</w:t>
      </w:r>
      <w:r w:rsidR="00BB3D0E" w:rsidRPr="00EE11C8">
        <w:t xml:space="preserve">he </w:t>
      </w:r>
      <w:r w:rsidRPr="00EE11C8">
        <w:t xml:space="preserve">submission estimated the net cost to the PBS/RPBS for the proposed listing of </w:t>
      </w:r>
      <w:r w:rsidR="00AE0855" w:rsidRPr="00EE11C8">
        <w:t xml:space="preserve">MF/IND </w:t>
      </w:r>
      <w:r w:rsidRPr="00EE11C8">
        <w:t xml:space="preserve">was </w:t>
      </w:r>
      <w:r w:rsidR="00A7662C">
        <w:t>less than $10 million</w:t>
      </w:r>
      <w:r w:rsidRPr="00EE11C8">
        <w:t xml:space="preserve"> (uncorrected) over the first 6 </w:t>
      </w:r>
      <w:r w:rsidRPr="00EE11C8">
        <w:lastRenderedPageBreak/>
        <w:t>years</w:t>
      </w:r>
      <w:r w:rsidR="00EE11C8">
        <w:t xml:space="preserve">. </w:t>
      </w:r>
      <w:r w:rsidRPr="00EE11C8">
        <w:rPr>
          <w:iCs/>
        </w:rPr>
        <w:t xml:space="preserve">After correcting for the assumed 1:1 substitution </w:t>
      </w:r>
      <w:r w:rsidR="00693CF4" w:rsidRPr="00EE11C8">
        <w:rPr>
          <w:iCs/>
        </w:rPr>
        <w:t>rate</w:t>
      </w:r>
      <w:r w:rsidRPr="00EE11C8">
        <w:rPr>
          <w:iCs/>
        </w:rPr>
        <w:t xml:space="preserve"> with comparator DPI formulations, the net cost was -</w:t>
      </w:r>
      <w:r w:rsidR="003972A9">
        <w:rPr>
          <w:iCs/>
        </w:rPr>
        <w:t xml:space="preserve">less than $10 million </w:t>
      </w:r>
      <w:r w:rsidRPr="00EE11C8">
        <w:rPr>
          <w:iCs/>
        </w:rPr>
        <w:t>(cost saving) over the first 6 years</w:t>
      </w:r>
      <w:r w:rsidR="00EE11C8">
        <w:rPr>
          <w:iCs/>
        </w:rPr>
        <w:t xml:space="preserve">. </w:t>
      </w:r>
      <w:r w:rsidR="00BB3D0E" w:rsidRPr="00EE11C8">
        <w:t>At the requested price, MF/IND will mostly substitute for costl</w:t>
      </w:r>
      <w:r w:rsidRPr="00EE11C8">
        <w:t>ier ICS/LABA DPI formulations.</w:t>
      </w:r>
      <w:r w:rsidR="009060D6" w:rsidRPr="00EE11C8">
        <w:t xml:space="preserve"> </w:t>
      </w:r>
    </w:p>
    <w:p w:rsidR="00BB3D0E" w:rsidRPr="00EE11C8" w:rsidRDefault="00AE0855" w:rsidP="00AE0855">
      <w:pPr>
        <w:pStyle w:val="3-BodyText"/>
      </w:pPr>
      <w:r w:rsidRPr="00EE11C8">
        <w:t>T</w:t>
      </w:r>
      <w:r w:rsidR="00BB3D0E" w:rsidRPr="00EE11C8">
        <w:t>he financial estimates do not take account of the following uncertainties:</w:t>
      </w:r>
    </w:p>
    <w:p w:rsidR="00BB3D0E" w:rsidRPr="00EE11C8" w:rsidRDefault="00BB3D0E" w:rsidP="00CD6A6E">
      <w:pPr>
        <w:pStyle w:val="ListParagraph"/>
        <w:numPr>
          <w:ilvl w:val="0"/>
          <w:numId w:val="6"/>
        </w:numPr>
        <w:ind w:left="1134" w:hanging="425"/>
      </w:pPr>
      <w:r w:rsidRPr="00EE11C8">
        <w:t xml:space="preserve">The </w:t>
      </w:r>
      <w:r w:rsidR="00AD2258" w:rsidRPr="00EE11C8">
        <w:t>estimates do not include potential substitution with MDI products.</w:t>
      </w:r>
    </w:p>
    <w:p w:rsidR="000622DF" w:rsidRPr="00EE11C8" w:rsidRDefault="002B665B" w:rsidP="00CD6A6E">
      <w:pPr>
        <w:pStyle w:val="ListParagraph"/>
        <w:numPr>
          <w:ilvl w:val="0"/>
          <w:numId w:val="6"/>
        </w:numPr>
        <w:ind w:left="1134" w:hanging="425"/>
      </w:pPr>
      <w:r w:rsidRPr="00EE11C8">
        <w:t>T</w:t>
      </w:r>
      <w:r w:rsidR="001563EA" w:rsidRPr="00EE11C8">
        <w:t xml:space="preserve">he </w:t>
      </w:r>
      <w:r w:rsidR="000622DF" w:rsidRPr="00EE11C8">
        <w:t xml:space="preserve">requested price for MF/IND is higher than corresponding doses of </w:t>
      </w:r>
      <w:r w:rsidRPr="00EE11C8">
        <w:t xml:space="preserve">some </w:t>
      </w:r>
      <w:r w:rsidR="000622DF" w:rsidRPr="00EE11C8">
        <w:t>other ICS/LABA FDCs.</w:t>
      </w:r>
    </w:p>
    <w:p w:rsidR="00A774EB" w:rsidRPr="00EE11C8" w:rsidRDefault="00A774EB" w:rsidP="00CD6A6E">
      <w:pPr>
        <w:pStyle w:val="ListParagraph"/>
        <w:numPr>
          <w:ilvl w:val="0"/>
          <w:numId w:val="6"/>
        </w:numPr>
        <w:ind w:left="1134" w:hanging="425"/>
      </w:pPr>
      <w:r w:rsidRPr="00EE11C8">
        <w:t>The results are sensitive to the assumed decline and growth of different comparator ICS/LABA FDCs</w:t>
      </w:r>
      <w:r w:rsidR="00EE11C8">
        <w:t xml:space="preserve">. </w:t>
      </w:r>
      <w:r w:rsidRPr="00EE11C8">
        <w:t>Assuming no change in the market reduces the estimated cost offsets by substituting less for the most expensive alternatives that were predicted to grow (e.g. Breo® Ellipta®</w:t>
      </w:r>
      <w:r w:rsidR="00EF6BE3" w:rsidRPr="00EE11C8">
        <w:t>(FF/VI)</w:t>
      </w:r>
      <w:r w:rsidRPr="00EE11C8">
        <w:t>).</w:t>
      </w:r>
    </w:p>
    <w:p w:rsidR="00967C85" w:rsidRPr="00EE11C8" w:rsidRDefault="00967C85" w:rsidP="00967C85">
      <w:pPr>
        <w:pStyle w:val="3-BodyText"/>
      </w:pPr>
      <w:r w:rsidRPr="00EE11C8">
        <w:t xml:space="preserve">The PBAC noted that the financial estimates would need to be recalculated to take into account the outcome of its considerations regarding the cost-minimisation analysis. The PBAC considered that on this basis, </w:t>
      </w:r>
      <w:r w:rsidR="00254484" w:rsidRPr="00EE11C8">
        <w:t xml:space="preserve">the </w:t>
      </w:r>
      <w:r w:rsidRPr="00EE11C8">
        <w:t xml:space="preserve">concerns </w:t>
      </w:r>
      <w:r w:rsidR="00254484" w:rsidRPr="00EE11C8">
        <w:t xml:space="preserve">raised in paragraph 6.40 were </w:t>
      </w:r>
      <w:r w:rsidRPr="00EE11C8">
        <w:t>adequately addressed.</w:t>
      </w:r>
    </w:p>
    <w:p w:rsidR="00576972" w:rsidRPr="00EE11C8" w:rsidRDefault="00576972" w:rsidP="00606FBA">
      <w:pPr>
        <w:pStyle w:val="4-SubsectionHeading"/>
      </w:pPr>
      <w:bookmarkStart w:id="35" w:name="_Toc22897648"/>
      <w:bookmarkStart w:id="36" w:name="_Toc40451850"/>
      <w:r w:rsidRPr="00EE11C8">
        <w:t>Quality Use of Medicines</w:t>
      </w:r>
      <w:bookmarkEnd w:id="35"/>
      <w:bookmarkEnd w:id="36"/>
    </w:p>
    <w:p w:rsidR="00576972" w:rsidRPr="00EE11C8" w:rsidRDefault="00665F07" w:rsidP="00606FBA">
      <w:pPr>
        <w:pStyle w:val="3-BodyText"/>
      </w:pPr>
      <w:r w:rsidRPr="00EE11C8">
        <w:t xml:space="preserve">The </w:t>
      </w:r>
      <w:r w:rsidR="00A774EB" w:rsidRPr="00EE11C8">
        <w:t xml:space="preserve">submission stated that the </w:t>
      </w:r>
      <w:r w:rsidRPr="00EE11C8">
        <w:t>Sponsor has no quality use of medicine activities planned for MF/IND</w:t>
      </w:r>
      <w:r w:rsidR="00EE11C8">
        <w:t xml:space="preserve">. </w:t>
      </w:r>
      <w:r w:rsidR="00A774EB" w:rsidRPr="00EE11C8">
        <w:t>The Breezhaler® device is not new to Australian prescribers, and is available for COPD treatments (Onbrez® containing IND, and Ultibro® FDC containing IND/glycopyrronium).</w:t>
      </w:r>
    </w:p>
    <w:p w:rsidR="00524C11" w:rsidRPr="00EE11C8" w:rsidRDefault="00524C11" w:rsidP="00524C11">
      <w:pPr>
        <w:pStyle w:val="3-BodyText"/>
      </w:pPr>
      <w:r w:rsidRPr="00EE11C8">
        <w:t>In 2015, DUSC considered that given there are “already many different inhalers available which require different inhaler techniques… adding to the number of inhalers available can cause confusion and increases the likelihood of poor inhaler technique” (Tiotropium DUSC ADV July 2015</w:t>
      </w:r>
      <w:r w:rsidR="008779CB" w:rsidRPr="00EE11C8">
        <w:t xml:space="preserve"> PBAC meeting</w:t>
      </w:r>
      <w:r w:rsidRPr="00EE11C8">
        <w:t>)</w:t>
      </w:r>
      <w:r w:rsidR="00EE11C8">
        <w:t xml:space="preserve">. </w:t>
      </w:r>
      <w:r w:rsidRPr="00EE11C8">
        <w:t>If listed, Atectura® Breezhaler® will be the first ICS/LABA FDC listed for asthma that requires capsules to be loaded by the patient prior to use, which may add to this confusion for patients.</w:t>
      </w:r>
      <w:r w:rsidR="00254484" w:rsidRPr="00EE11C8">
        <w:t xml:space="preserve"> The pre-PBAC response stated that the National Asthma Council is aware of the upcoming asthma indication and </w:t>
      </w:r>
      <w:r w:rsidR="00E31172" w:rsidRPr="00EE11C8">
        <w:t>an instruction video on use of the device is available on their webpage</w:t>
      </w:r>
      <w:r w:rsidR="00EE11C8">
        <w:t xml:space="preserve">. </w:t>
      </w:r>
      <w:r w:rsidRPr="00EE11C8">
        <w:t xml:space="preserve"> </w:t>
      </w:r>
    </w:p>
    <w:p w:rsidR="00576972" w:rsidRPr="00EE11C8" w:rsidRDefault="00576972" w:rsidP="00606FBA">
      <w:pPr>
        <w:pStyle w:val="4-SubsectionHeading"/>
      </w:pPr>
      <w:bookmarkStart w:id="37" w:name="_Toc22897649"/>
      <w:bookmarkStart w:id="38" w:name="_Toc40451851"/>
      <w:r w:rsidRPr="00EE11C8">
        <w:t>Financial Management – Risk Sharing Arrangements</w:t>
      </w:r>
      <w:bookmarkEnd w:id="37"/>
      <w:bookmarkEnd w:id="38"/>
    </w:p>
    <w:p w:rsidR="00766868" w:rsidRPr="00EE11C8" w:rsidRDefault="00665F07" w:rsidP="00766868">
      <w:pPr>
        <w:pStyle w:val="ListParagraph"/>
        <w:numPr>
          <w:ilvl w:val="1"/>
          <w:numId w:val="1"/>
        </w:numPr>
      </w:pPr>
      <w:r w:rsidRPr="00EE11C8">
        <w:t>The Sponsor stated that the proposed listing was not expected to require additional risk sharing arrangements</w:t>
      </w:r>
      <w:r w:rsidR="00EE11C8">
        <w:t xml:space="preserve">. </w:t>
      </w:r>
      <w:r w:rsidRPr="00EE11C8">
        <w:t>The listing of MF/IND is proposed on a cost-minimisation basis in a market with drugs which currently do not have ‘list and effective’ prices or expenditure caps, and the Commonwealth is not expected to be exposed to any greater risk or expenditure than from currently listed drugs if MF/IND is listed.</w:t>
      </w:r>
    </w:p>
    <w:p w:rsidR="00DF0597" w:rsidRPr="00EE11C8" w:rsidRDefault="00F8420B" w:rsidP="00D6247D">
      <w:pPr>
        <w:pStyle w:val="ListBullet"/>
        <w:numPr>
          <w:ilvl w:val="0"/>
          <w:numId w:val="0"/>
        </w:numPr>
        <w:ind w:left="360" w:firstLine="360"/>
      </w:pPr>
      <w:r w:rsidRPr="00EE11C8">
        <w:rPr>
          <w:i/>
        </w:rPr>
        <w:t>For more detail on PBAC’s view, see section 7 PBAC outcome.</w:t>
      </w:r>
    </w:p>
    <w:p w:rsidR="00954E2D" w:rsidRPr="00EE11C8" w:rsidRDefault="00954E2D" w:rsidP="00D6247D">
      <w:pPr>
        <w:pStyle w:val="2-SectionHeading"/>
      </w:pPr>
      <w:r w:rsidRPr="00EE11C8">
        <w:lastRenderedPageBreak/>
        <w:t>PBAC Outcome</w:t>
      </w:r>
    </w:p>
    <w:p w:rsidR="00954E2D" w:rsidRPr="00EE11C8" w:rsidRDefault="00954E2D" w:rsidP="00954E2D">
      <w:pPr>
        <w:widowControl w:val="0"/>
        <w:numPr>
          <w:ilvl w:val="1"/>
          <w:numId w:val="1"/>
        </w:numPr>
        <w:spacing w:after="120"/>
        <w:rPr>
          <w:rFonts w:asciiTheme="minorHAnsi" w:hAnsiTheme="minorHAnsi" w:cstheme="minorHAnsi"/>
          <w:bCs/>
          <w:snapToGrid w:val="0"/>
        </w:rPr>
      </w:pPr>
      <w:r w:rsidRPr="00EE11C8">
        <w:rPr>
          <w:rFonts w:asciiTheme="minorHAnsi" w:hAnsiTheme="minorHAnsi" w:cstheme="minorHAnsi"/>
          <w:bCs/>
          <w:snapToGrid w:val="0"/>
        </w:rPr>
        <w:t xml:space="preserve">The PBAC recommended the </w:t>
      </w:r>
      <w:r w:rsidR="000C5B4B" w:rsidRPr="00EE11C8">
        <w:rPr>
          <w:rFonts w:asciiTheme="minorHAnsi" w:hAnsiTheme="minorHAnsi" w:cstheme="minorHAnsi"/>
          <w:bCs/>
          <w:snapToGrid w:val="0"/>
        </w:rPr>
        <w:t xml:space="preserve">Authority Required (STREAMLINED) </w:t>
      </w:r>
      <w:r w:rsidRPr="00EE11C8">
        <w:rPr>
          <w:rFonts w:asciiTheme="minorHAnsi" w:hAnsiTheme="minorHAnsi" w:cstheme="minorHAnsi"/>
          <w:bCs/>
          <w:snapToGrid w:val="0"/>
        </w:rPr>
        <w:t xml:space="preserve">listing of </w:t>
      </w:r>
      <w:r w:rsidR="000C5B4B" w:rsidRPr="00EE11C8">
        <w:rPr>
          <w:rFonts w:asciiTheme="minorHAnsi" w:hAnsiTheme="minorHAnsi" w:cstheme="minorHAnsi"/>
          <w:bCs/>
          <w:snapToGrid w:val="0"/>
        </w:rPr>
        <w:t xml:space="preserve">the fixed dose combination (FDC) of </w:t>
      </w:r>
      <w:r w:rsidR="00C77B50" w:rsidRPr="00EE11C8">
        <w:rPr>
          <w:rFonts w:asciiTheme="minorHAnsi" w:hAnsiTheme="minorHAnsi" w:cstheme="minorHAnsi"/>
          <w:bCs/>
          <w:snapToGrid w:val="0"/>
        </w:rPr>
        <w:t>mometasone furoate</w:t>
      </w:r>
      <w:r w:rsidR="000C5B4B" w:rsidRPr="00EE11C8">
        <w:rPr>
          <w:rFonts w:asciiTheme="minorHAnsi" w:hAnsiTheme="minorHAnsi" w:cstheme="minorHAnsi"/>
          <w:bCs/>
          <w:snapToGrid w:val="0"/>
        </w:rPr>
        <w:t xml:space="preserve"> (MF)</w:t>
      </w:r>
      <w:r w:rsidR="00C77B50" w:rsidRPr="00EE11C8">
        <w:rPr>
          <w:rFonts w:asciiTheme="minorHAnsi" w:hAnsiTheme="minorHAnsi" w:cstheme="minorHAnsi"/>
          <w:bCs/>
          <w:snapToGrid w:val="0"/>
        </w:rPr>
        <w:t xml:space="preserve"> with indacaterol</w:t>
      </w:r>
      <w:r w:rsidR="000C5B4B" w:rsidRPr="00EE11C8">
        <w:rPr>
          <w:rFonts w:asciiTheme="minorHAnsi" w:hAnsiTheme="minorHAnsi" w:cstheme="minorHAnsi"/>
          <w:bCs/>
          <w:snapToGrid w:val="0"/>
        </w:rPr>
        <w:t xml:space="preserve"> (IND)</w:t>
      </w:r>
      <w:r w:rsidR="00C77B50" w:rsidRPr="00EE11C8">
        <w:rPr>
          <w:rFonts w:asciiTheme="minorHAnsi" w:hAnsiTheme="minorHAnsi" w:cstheme="minorHAnsi"/>
          <w:bCs/>
          <w:snapToGrid w:val="0"/>
        </w:rPr>
        <w:t xml:space="preserve"> for the maintenance treatment of asthma</w:t>
      </w:r>
      <w:r w:rsidR="000C5B4B" w:rsidRPr="00EE11C8">
        <w:rPr>
          <w:rFonts w:asciiTheme="minorHAnsi" w:hAnsiTheme="minorHAnsi" w:cstheme="minorHAnsi"/>
          <w:bCs/>
          <w:snapToGrid w:val="0"/>
        </w:rPr>
        <w:t>. The PBAC’s recommendation for listing</w:t>
      </w:r>
      <w:r w:rsidR="00C77B50" w:rsidRPr="00EE11C8">
        <w:rPr>
          <w:rFonts w:asciiTheme="minorHAnsi" w:hAnsiTheme="minorHAnsi" w:cstheme="minorHAnsi"/>
          <w:bCs/>
          <w:snapToGrid w:val="0"/>
        </w:rPr>
        <w:t xml:space="preserve"> </w:t>
      </w:r>
      <w:r w:rsidR="000C5B4B" w:rsidRPr="00EE11C8">
        <w:rPr>
          <w:rFonts w:asciiTheme="minorHAnsi" w:hAnsiTheme="minorHAnsi" w:cstheme="minorHAnsi"/>
          <w:bCs/>
          <w:snapToGrid w:val="0"/>
        </w:rPr>
        <w:t>was based on, among other matters, its assessment that the cost-effectiveness of MF/IND would be acceptable if it were cost-minimised against the least</w:t>
      </w:r>
      <w:r w:rsidR="00A277A2" w:rsidRPr="00EE11C8">
        <w:rPr>
          <w:rFonts w:asciiTheme="minorHAnsi" w:hAnsiTheme="minorHAnsi" w:cstheme="minorHAnsi"/>
          <w:bCs/>
          <w:snapToGrid w:val="0"/>
        </w:rPr>
        <w:t xml:space="preserve"> costly inhaled corticosteroid </w:t>
      </w:r>
      <w:r w:rsidR="000C5B4B" w:rsidRPr="00EE11C8">
        <w:rPr>
          <w:rFonts w:asciiTheme="minorHAnsi" w:hAnsiTheme="minorHAnsi" w:cstheme="minorHAnsi"/>
          <w:bCs/>
          <w:snapToGrid w:val="0"/>
        </w:rPr>
        <w:t xml:space="preserve">(ICS) with long-acting beta2 agonist (LABA) </w:t>
      </w:r>
      <w:r w:rsidR="008D75C8" w:rsidRPr="00EE11C8">
        <w:rPr>
          <w:rFonts w:asciiTheme="minorHAnsi" w:hAnsiTheme="minorHAnsi" w:cstheme="minorHAnsi"/>
        </w:rPr>
        <w:t xml:space="preserve">FDC </w:t>
      </w:r>
      <w:r w:rsidR="00A277A2" w:rsidRPr="00EE11C8">
        <w:rPr>
          <w:rFonts w:asciiTheme="minorHAnsi" w:hAnsiTheme="minorHAnsi" w:cstheme="minorHAnsi"/>
        </w:rPr>
        <w:t xml:space="preserve">product </w:t>
      </w:r>
      <w:r w:rsidR="008D75C8" w:rsidRPr="00EE11C8">
        <w:rPr>
          <w:rFonts w:asciiTheme="minorHAnsi" w:hAnsiTheme="minorHAnsi" w:cstheme="minorHAnsi"/>
        </w:rPr>
        <w:t xml:space="preserve">for each </w:t>
      </w:r>
      <w:r w:rsidR="000C5B4B" w:rsidRPr="00EE11C8">
        <w:rPr>
          <w:rFonts w:asciiTheme="minorHAnsi" w:hAnsiTheme="minorHAnsi" w:cstheme="minorHAnsi"/>
        </w:rPr>
        <w:t xml:space="preserve">MF/IND </w:t>
      </w:r>
      <w:r w:rsidR="008D75C8" w:rsidRPr="00EE11C8">
        <w:rPr>
          <w:rFonts w:asciiTheme="minorHAnsi" w:hAnsiTheme="minorHAnsi" w:cstheme="minorHAnsi"/>
        </w:rPr>
        <w:t>strength</w:t>
      </w:r>
      <w:r w:rsidRPr="00EE11C8">
        <w:rPr>
          <w:rFonts w:asciiTheme="minorHAnsi" w:hAnsiTheme="minorHAnsi" w:cstheme="minorHAnsi"/>
          <w:bCs/>
          <w:snapToGrid w:val="0"/>
        </w:rPr>
        <w:t>.</w:t>
      </w:r>
    </w:p>
    <w:p w:rsidR="00A277A2" w:rsidRPr="00EE11C8" w:rsidRDefault="00A277A2" w:rsidP="001F10BD">
      <w:pPr>
        <w:pStyle w:val="3-BodyText"/>
        <w:rPr>
          <w:rFonts w:cstheme="minorHAnsi"/>
        </w:rPr>
      </w:pPr>
      <w:r w:rsidRPr="00EE11C8">
        <w:rPr>
          <w:rFonts w:cstheme="minorHAnsi"/>
          <w:bCs/>
        </w:rPr>
        <w:t>The PBAC noted the input from Asthma Australia supporting</w:t>
      </w:r>
      <w:r w:rsidR="00070877" w:rsidRPr="00EE11C8">
        <w:rPr>
          <w:rFonts w:cstheme="minorHAnsi"/>
          <w:bCs/>
        </w:rPr>
        <w:t xml:space="preserve"> MF/IND</w:t>
      </w:r>
      <w:r w:rsidRPr="00EE11C8">
        <w:rPr>
          <w:rFonts w:cstheme="minorHAnsi"/>
          <w:bCs/>
        </w:rPr>
        <w:t xml:space="preserve"> listing for maintenance treatment of asthma.</w:t>
      </w:r>
    </w:p>
    <w:p w:rsidR="004C1AED" w:rsidRPr="00EE11C8" w:rsidRDefault="004C1AED" w:rsidP="001F10BD">
      <w:pPr>
        <w:pStyle w:val="3-BodyText"/>
        <w:rPr>
          <w:rFonts w:cstheme="minorHAnsi"/>
        </w:rPr>
      </w:pPr>
      <w:r w:rsidRPr="00EE11C8">
        <w:rPr>
          <w:rFonts w:cstheme="minorHAnsi"/>
          <w:snapToGrid/>
        </w:rPr>
        <w:t xml:space="preserve">The </w:t>
      </w:r>
      <w:r w:rsidR="00C159AE" w:rsidRPr="00EE11C8">
        <w:rPr>
          <w:rFonts w:cstheme="minorHAnsi"/>
          <w:snapToGrid/>
        </w:rPr>
        <w:t xml:space="preserve">PBAC noted </w:t>
      </w:r>
      <w:r w:rsidR="00481532" w:rsidRPr="00EE11C8">
        <w:rPr>
          <w:rFonts w:cstheme="minorHAnsi"/>
          <w:snapToGrid/>
        </w:rPr>
        <w:t xml:space="preserve">the nomination of fluticasone propionate (FP)/salmeterol (SAL) FDC dry powder inhaler (DPI) as the primary comparator and the </w:t>
      </w:r>
      <w:r w:rsidRPr="00EE11C8">
        <w:rPr>
          <w:rFonts w:cstheme="minorHAnsi"/>
          <w:snapToGrid/>
        </w:rPr>
        <w:t>submission</w:t>
      </w:r>
      <w:r w:rsidR="00481532" w:rsidRPr="00EE11C8">
        <w:rPr>
          <w:rFonts w:cstheme="minorHAnsi"/>
          <w:snapToGrid/>
        </w:rPr>
        <w:t>s argument</w:t>
      </w:r>
      <w:r w:rsidRPr="00EE11C8">
        <w:rPr>
          <w:rFonts w:cstheme="minorHAnsi"/>
          <w:snapToGrid/>
        </w:rPr>
        <w:t xml:space="preserve"> that the most likely replacements</w:t>
      </w:r>
      <w:r w:rsidR="0055174D" w:rsidRPr="00EE11C8">
        <w:rPr>
          <w:rFonts w:cstheme="minorHAnsi"/>
          <w:snapToGrid/>
        </w:rPr>
        <w:t xml:space="preserve"> for </w:t>
      </w:r>
      <w:r w:rsidR="00481532" w:rsidRPr="00EE11C8">
        <w:rPr>
          <w:rFonts w:cstheme="minorHAnsi"/>
          <w:snapToGrid/>
        </w:rPr>
        <w:t>MF/IND</w:t>
      </w:r>
      <w:r w:rsidR="00481532" w:rsidRPr="00EE11C8">
        <w:rPr>
          <w:rFonts w:cstheme="minorHAnsi"/>
          <w:bCs/>
          <w:snapToGrid/>
        </w:rPr>
        <w:t xml:space="preserve"> </w:t>
      </w:r>
      <w:r w:rsidR="005277C3" w:rsidRPr="00EE11C8">
        <w:rPr>
          <w:rFonts w:cstheme="minorHAnsi"/>
          <w:bCs/>
          <w:snapToGrid/>
        </w:rPr>
        <w:t>would</w:t>
      </w:r>
      <w:r w:rsidRPr="00EE11C8">
        <w:rPr>
          <w:rFonts w:cstheme="minorHAnsi"/>
          <w:snapToGrid/>
        </w:rPr>
        <w:t xml:space="preserve"> be within DPI formulations</w:t>
      </w:r>
      <w:r w:rsidR="0055174D" w:rsidRPr="00EE11C8">
        <w:rPr>
          <w:rFonts w:cstheme="minorHAnsi"/>
          <w:snapToGrid/>
        </w:rPr>
        <w:t xml:space="preserve">. The PBAC </w:t>
      </w:r>
      <w:r w:rsidR="00481532" w:rsidRPr="00EE11C8">
        <w:rPr>
          <w:rFonts w:cstheme="minorHAnsi"/>
          <w:snapToGrid/>
        </w:rPr>
        <w:t>reaffirmed</w:t>
      </w:r>
      <w:r w:rsidR="005277C3" w:rsidRPr="00EE11C8">
        <w:rPr>
          <w:rFonts w:cstheme="minorHAnsi"/>
          <w:snapToGrid/>
        </w:rPr>
        <w:t xml:space="preserve"> </w:t>
      </w:r>
      <w:r w:rsidR="00047D54" w:rsidRPr="00EE11C8">
        <w:rPr>
          <w:rFonts w:cstheme="minorHAnsi"/>
          <w:snapToGrid/>
        </w:rPr>
        <w:t xml:space="preserve">its previous recommendation that </w:t>
      </w:r>
      <w:r w:rsidR="005277C3" w:rsidRPr="00EE11C8">
        <w:rPr>
          <w:rFonts w:cstheme="minorHAnsi"/>
          <w:snapToGrid/>
        </w:rPr>
        <w:t>all</w:t>
      </w:r>
      <w:r w:rsidRPr="00EE11C8">
        <w:rPr>
          <w:rFonts w:cstheme="minorHAnsi"/>
        </w:rPr>
        <w:t xml:space="preserve"> ICS/LABA FDCs including </w:t>
      </w:r>
      <w:r w:rsidR="00164DBF" w:rsidRPr="00EE11C8">
        <w:t xml:space="preserve">metered dose inhaler (MDI) </w:t>
      </w:r>
      <w:r w:rsidRPr="00EE11C8">
        <w:rPr>
          <w:rFonts w:cstheme="minorHAnsi"/>
        </w:rPr>
        <w:t>and DPI formulations at comparable doses are</w:t>
      </w:r>
      <w:r w:rsidR="00481532" w:rsidRPr="00EE11C8">
        <w:rPr>
          <w:rFonts w:cstheme="minorHAnsi"/>
        </w:rPr>
        <w:t xml:space="preserve"> relevant</w:t>
      </w:r>
      <w:r w:rsidRPr="00EE11C8">
        <w:rPr>
          <w:rFonts w:cstheme="minorHAnsi"/>
        </w:rPr>
        <w:t xml:space="preserve"> comparators</w:t>
      </w:r>
      <w:r w:rsidR="00070877" w:rsidRPr="00EE11C8">
        <w:rPr>
          <w:rFonts w:cstheme="minorHAnsi"/>
        </w:rPr>
        <w:t xml:space="preserve"> </w:t>
      </w:r>
      <w:r w:rsidR="00567551" w:rsidRPr="00EE11C8">
        <w:rPr>
          <w:rFonts w:cstheme="minorHAnsi"/>
        </w:rPr>
        <w:t>(see paragraph 5.2)</w:t>
      </w:r>
      <w:r w:rsidR="0055174D" w:rsidRPr="00EE11C8">
        <w:rPr>
          <w:rFonts w:cstheme="minorHAnsi"/>
        </w:rPr>
        <w:t>.</w:t>
      </w:r>
    </w:p>
    <w:p w:rsidR="0074114A" w:rsidRPr="00EE11C8" w:rsidRDefault="00893CDC" w:rsidP="00D35AD1">
      <w:pPr>
        <w:pStyle w:val="3-BodyText"/>
        <w:rPr>
          <w:rFonts w:cstheme="minorHAnsi"/>
        </w:rPr>
      </w:pPr>
      <w:r w:rsidRPr="00EE11C8">
        <w:rPr>
          <w:rFonts w:cstheme="minorHAnsi"/>
        </w:rPr>
        <w:t xml:space="preserve">The </w:t>
      </w:r>
      <w:r w:rsidR="00BB0634" w:rsidRPr="00EE11C8">
        <w:rPr>
          <w:rFonts w:cstheme="minorHAnsi"/>
        </w:rPr>
        <w:t xml:space="preserve">PBAC noted </w:t>
      </w:r>
      <w:r w:rsidR="0074114A" w:rsidRPr="00EE11C8">
        <w:rPr>
          <w:rFonts w:cstheme="minorHAnsi"/>
        </w:rPr>
        <w:t xml:space="preserve">the data presented from </w:t>
      </w:r>
      <w:r w:rsidR="008F341C" w:rsidRPr="00EE11C8">
        <w:rPr>
          <w:rFonts w:cstheme="minorHAnsi"/>
        </w:rPr>
        <w:t>t</w:t>
      </w:r>
      <w:r w:rsidRPr="00EE11C8">
        <w:rPr>
          <w:rFonts w:cstheme="minorHAnsi"/>
        </w:rPr>
        <w:t>hree head-to-head randomised clinical trials comparing MF/IND to MF and/or FP/SAL DPI (Palladium, Iridium, Quartz), and one head-to-head clinical trial comparing MF to FP</w:t>
      </w:r>
      <w:r w:rsidR="00746ABC">
        <w:rPr>
          <w:rFonts w:cstheme="minorHAnsi"/>
        </w:rPr>
        <w:t xml:space="preserve"> </w:t>
      </w:r>
      <w:r w:rsidR="0090561E" w:rsidRPr="00EE11C8">
        <w:t>(O’Connor et al 2001)</w:t>
      </w:r>
      <w:r w:rsidRPr="00EE11C8">
        <w:rPr>
          <w:rFonts w:cstheme="minorHAnsi"/>
        </w:rPr>
        <w:t>.</w:t>
      </w:r>
      <w:r w:rsidR="00BB0634" w:rsidRPr="00EE11C8">
        <w:rPr>
          <w:rFonts w:cstheme="minorHAnsi"/>
        </w:rPr>
        <w:t xml:space="preserve"> </w:t>
      </w:r>
      <w:r w:rsidR="0074114A" w:rsidRPr="00EE11C8">
        <w:rPr>
          <w:rFonts w:cstheme="minorHAnsi"/>
        </w:rPr>
        <w:t xml:space="preserve">The PBAC considered that the data presented adequately supported </w:t>
      </w:r>
      <w:r w:rsidR="0074114A" w:rsidRPr="00EE11C8">
        <w:rPr>
          <w:bCs/>
        </w:rPr>
        <w:t xml:space="preserve">the claim of MF/IND being at least non-inferior/equivalent in terms of comparative effectiveness and safety when compared to equivalent doses of FP/SAL DPI. </w:t>
      </w:r>
    </w:p>
    <w:p w:rsidR="009D3584" w:rsidRPr="00EE11C8" w:rsidRDefault="00161856" w:rsidP="004C2624">
      <w:pPr>
        <w:pStyle w:val="ExecSumBodyText"/>
        <w:numPr>
          <w:ilvl w:val="1"/>
          <w:numId w:val="1"/>
        </w:numPr>
        <w:rPr>
          <w:rFonts w:cstheme="minorHAnsi"/>
        </w:rPr>
      </w:pPr>
      <w:r w:rsidRPr="00EE11C8">
        <w:rPr>
          <w:rFonts w:cstheme="minorHAnsi"/>
        </w:rPr>
        <w:t xml:space="preserve">The PBAC noted that the submission presented a cost-minimisation analysis </w:t>
      </w:r>
      <w:r w:rsidR="005277C3" w:rsidRPr="00EE11C8">
        <w:rPr>
          <w:rFonts w:cstheme="minorHAnsi"/>
        </w:rPr>
        <w:t>between the</w:t>
      </w:r>
      <w:r w:rsidRPr="00EE11C8">
        <w:rPr>
          <w:rFonts w:cstheme="minorHAnsi"/>
          <w:bCs/>
        </w:rPr>
        <w:t xml:space="preserve"> three formulations of MF/IND and the corresponding formulations of FP/SAL DP</w:t>
      </w:r>
      <w:r w:rsidR="00567551" w:rsidRPr="00EE11C8">
        <w:rPr>
          <w:rFonts w:cstheme="minorHAnsi"/>
          <w:bCs/>
        </w:rPr>
        <w:t>I</w:t>
      </w:r>
      <w:r w:rsidR="00954EA6" w:rsidRPr="00EE11C8">
        <w:rPr>
          <w:rFonts w:cstheme="minorHAnsi"/>
          <w:bCs/>
        </w:rPr>
        <w:t xml:space="preserve">. </w:t>
      </w:r>
      <w:r w:rsidR="009D3584" w:rsidRPr="00EE11C8">
        <w:rPr>
          <w:rFonts w:cstheme="minorHAnsi"/>
          <w:bCs/>
        </w:rPr>
        <w:t>The PBAC accepted the following equi-effective doses</w:t>
      </w:r>
      <w:r w:rsidR="004C2624" w:rsidRPr="00EE11C8">
        <w:rPr>
          <w:rFonts w:cstheme="minorHAnsi"/>
          <w:bCs/>
        </w:rPr>
        <w:t xml:space="preserve"> as the basis for the analysis</w:t>
      </w:r>
      <w:r w:rsidR="009D3584" w:rsidRPr="00EE11C8">
        <w:rPr>
          <w:rFonts w:cstheme="minorHAnsi"/>
          <w:bCs/>
        </w:rPr>
        <w:t>:</w:t>
      </w:r>
    </w:p>
    <w:p w:rsidR="009D3584" w:rsidRPr="00EE11C8" w:rsidRDefault="009D3584" w:rsidP="009D3584">
      <w:pPr>
        <w:pStyle w:val="3-BodyText"/>
        <w:numPr>
          <w:ilvl w:val="0"/>
          <w:numId w:val="9"/>
        </w:numPr>
      </w:pPr>
      <w:r w:rsidRPr="00EE11C8">
        <w:t>MF/IND 80/150 one actuation once daily = FP/SAL 100/50 DPI one actuation twice daily</w:t>
      </w:r>
    </w:p>
    <w:p w:rsidR="009D3584" w:rsidRPr="00EE11C8" w:rsidRDefault="009D3584" w:rsidP="009D3584">
      <w:pPr>
        <w:pStyle w:val="3-BodyText"/>
        <w:numPr>
          <w:ilvl w:val="0"/>
          <w:numId w:val="9"/>
        </w:numPr>
      </w:pPr>
      <w:r w:rsidRPr="00EE11C8">
        <w:t>MF/IND 160/150 one actuation once daily = FP/SAL 250/50 DPI one actuation twice daily</w:t>
      </w:r>
    </w:p>
    <w:p w:rsidR="009D3584" w:rsidRPr="00EE11C8" w:rsidRDefault="009D3584" w:rsidP="009D3584">
      <w:pPr>
        <w:pStyle w:val="3-BodyText"/>
        <w:numPr>
          <w:ilvl w:val="0"/>
          <w:numId w:val="9"/>
        </w:numPr>
      </w:pPr>
      <w:r w:rsidRPr="00EE11C8">
        <w:t>MF/IND 320/150 one actuation once daily = FP/SAL 500/50 DPI one actuation twice daily</w:t>
      </w:r>
      <w:r w:rsidR="004C2624" w:rsidRPr="00EE11C8">
        <w:t>.</w:t>
      </w:r>
    </w:p>
    <w:p w:rsidR="004C2624" w:rsidRPr="00EE11C8" w:rsidRDefault="004C2624" w:rsidP="004C2624">
      <w:pPr>
        <w:pStyle w:val="3-BodyText"/>
        <w:numPr>
          <w:ilvl w:val="0"/>
          <w:numId w:val="0"/>
        </w:numPr>
        <w:ind w:left="709"/>
      </w:pPr>
      <w:r w:rsidRPr="00EE11C8">
        <w:t xml:space="preserve">However, </w:t>
      </w:r>
      <w:r w:rsidRPr="00EE11C8">
        <w:rPr>
          <w:rFonts w:cstheme="minorHAnsi"/>
        </w:rPr>
        <w:t>the PBAC considered that the cost-minimisation analysis should</w:t>
      </w:r>
      <w:r w:rsidRPr="00EE11C8">
        <w:rPr>
          <w:rFonts w:cstheme="minorHAnsi"/>
          <w:bCs/>
        </w:rPr>
        <w:t xml:space="preserve"> be against the </w:t>
      </w:r>
      <w:r w:rsidRPr="00EE11C8">
        <w:rPr>
          <w:rFonts w:cstheme="minorHAnsi"/>
        </w:rPr>
        <w:t>least costly ICS/LABA FDC product for each MF/IND strength</w:t>
      </w:r>
      <w:r w:rsidRPr="00EE11C8">
        <w:rPr>
          <w:rFonts w:cstheme="minorHAnsi"/>
          <w:bCs/>
        </w:rPr>
        <w:t xml:space="preserve"> at the comparable doses outlined in Table 5.</w:t>
      </w:r>
    </w:p>
    <w:p w:rsidR="003E02D4" w:rsidRPr="00EE11C8" w:rsidRDefault="00E31172" w:rsidP="00E31172">
      <w:pPr>
        <w:pStyle w:val="ExecSumBodyText"/>
        <w:numPr>
          <w:ilvl w:val="1"/>
          <w:numId w:val="1"/>
        </w:numPr>
        <w:rPr>
          <w:rFonts w:cstheme="minorHAnsi"/>
          <w:bCs/>
        </w:rPr>
      </w:pPr>
      <w:r w:rsidRPr="00EE11C8">
        <w:rPr>
          <w:rFonts w:cstheme="minorHAnsi"/>
          <w:bCs/>
          <w:snapToGrid/>
        </w:rPr>
        <w:t>T</w:t>
      </w:r>
      <w:r w:rsidR="0082445E" w:rsidRPr="00EE11C8">
        <w:rPr>
          <w:rFonts w:cstheme="minorHAnsi"/>
          <w:bCs/>
          <w:snapToGrid/>
        </w:rPr>
        <w:t xml:space="preserve">he PBAC </w:t>
      </w:r>
      <w:r w:rsidRPr="00EE11C8">
        <w:rPr>
          <w:rFonts w:cstheme="minorHAnsi"/>
          <w:bCs/>
          <w:snapToGrid/>
        </w:rPr>
        <w:t xml:space="preserve">noted the concerns raised regarding the </w:t>
      </w:r>
      <w:r w:rsidR="003E02D4" w:rsidRPr="00EE11C8">
        <w:rPr>
          <w:rFonts w:cstheme="minorHAnsi"/>
          <w:bCs/>
          <w:snapToGrid/>
        </w:rPr>
        <w:t>financial estimates not includ</w:t>
      </w:r>
      <w:r w:rsidRPr="00EE11C8">
        <w:rPr>
          <w:rFonts w:cstheme="minorHAnsi"/>
          <w:bCs/>
          <w:snapToGrid/>
        </w:rPr>
        <w:t>ing</w:t>
      </w:r>
      <w:r w:rsidR="003E02D4" w:rsidRPr="00EE11C8">
        <w:rPr>
          <w:rFonts w:cstheme="minorHAnsi"/>
          <w:bCs/>
          <w:snapToGrid/>
        </w:rPr>
        <w:t xml:space="preserve"> potential substitution with MDI products and t</w:t>
      </w:r>
      <w:r w:rsidR="003E02D4" w:rsidRPr="00EE11C8">
        <w:rPr>
          <w:rFonts w:cstheme="minorHAnsi"/>
          <w:bCs/>
        </w:rPr>
        <w:t xml:space="preserve">he requested price for MF/IND </w:t>
      </w:r>
      <w:r w:rsidRPr="00EE11C8">
        <w:rPr>
          <w:rFonts w:cstheme="minorHAnsi"/>
          <w:bCs/>
        </w:rPr>
        <w:t xml:space="preserve">(see paragraph 6.40) and considered these were addressed by </w:t>
      </w:r>
      <w:r w:rsidRPr="00EE11C8">
        <w:rPr>
          <w:rFonts w:cstheme="minorHAnsi"/>
          <w:bCs/>
          <w:snapToGrid/>
        </w:rPr>
        <w:t>the Committee</w:t>
      </w:r>
      <w:r w:rsidR="00612ACE" w:rsidRPr="00EE11C8">
        <w:rPr>
          <w:rFonts w:cstheme="minorHAnsi"/>
          <w:bCs/>
          <w:snapToGrid/>
        </w:rPr>
        <w:t>’</w:t>
      </w:r>
      <w:r w:rsidRPr="00EE11C8">
        <w:rPr>
          <w:rFonts w:cstheme="minorHAnsi"/>
          <w:bCs/>
          <w:snapToGrid/>
        </w:rPr>
        <w:t xml:space="preserve">s recommendation that listing should be </w:t>
      </w:r>
      <w:r w:rsidR="00164DBF" w:rsidRPr="00EE11C8">
        <w:rPr>
          <w:rFonts w:cstheme="minorHAnsi"/>
          <w:bCs/>
          <w:snapToGrid/>
        </w:rPr>
        <w:t>on a cost-min</w:t>
      </w:r>
      <w:r w:rsidRPr="00EE11C8">
        <w:rPr>
          <w:rFonts w:cstheme="minorHAnsi"/>
          <w:bCs/>
          <w:snapToGrid/>
        </w:rPr>
        <w:t>i</w:t>
      </w:r>
      <w:r w:rsidR="00164DBF" w:rsidRPr="00EE11C8">
        <w:rPr>
          <w:rFonts w:cstheme="minorHAnsi"/>
          <w:bCs/>
          <w:snapToGrid/>
        </w:rPr>
        <w:t>mi</w:t>
      </w:r>
      <w:r w:rsidRPr="00EE11C8">
        <w:rPr>
          <w:rFonts w:cstheme="minorHAnsi"/>
          <w:bCs/>
          <w:snapToGrid/>
        </w:rPr>
        <w:t xml:space="preserve">sation basis against the least costly ICS/LABA FDC </w:t>
      </w:r>
      <w:r w:rsidR="00164DBF" w:rsidRPr="00EE11C8">
        <w:rPr>
          <w:rFonts w:cstheme="minorHAnsi"/>
          <w:bCs/>
          <w:snapToGrid/>
        </w:rPr>
        <w:t xml:space="preserve">as outlined in the paragraph 7.5. </w:t>
      </w:r>
    </w:p>
    <w:p w:rsidR="00ED3843" w:rsidRPr="00EE11C8" w:rsidRDefault="00ED3843" w:rsidP="00ED3843">
      <w:pPr>
        <w:pStyle w:val="3-BodyText"/>
        <w:rPr>
          <w:rFonts w:cstheme="minorHAnsi"/>
          <w:bCs/>
          <w:snapToGrid/>
        </w:rPr>
      </w:pPr>
      <w:r w:rsidRPr="00EE11C8">
        <w:rPr>
          <w:rFonts w:cstheme="minorHAnsi"/>
          <w:bCs/>
          <w:snapToGrid/>
        </w:rPr>
        <w:lastRenderedPageBreak/>
        <w:t xml:space="preserve">The PBAC advised that under Section 101(3BA) of the </w:t>
      </w:r>
      <w:r w:rsidRPr="00EC651B">
        <w:rPr>
          <w:rFonts w:cstheme="minorHAnsi"/>
          <w:bCs/>
          <w:i/>
          <w:snapToGrid/>
        </w:rPr>
        <w:t>National Health Act 1953</w:t>
      </w:r>
      <w:r w:rsidRPr="00EE11C8">
        <w:rPr>
          <w:rFonts w:cstheme="minorHAnsi"/>
          <w:bCs/>
          <w:snapToGrid/>
        </w:rPr>
        <w:t xml:space="preserve"> </w:t>
      </w:r>
      <w:r w:rsidR="00771FA5" w:rsidRPr="00EE11C8">
        <w:rPr>
          <w:rFonts w:cstheme="minorHAnsi"/>
          <w:bCs/>
          <w:snapToGrid/>
        </w:rPr>
        <w:t>MF/IND</w:t>
      </w:r>
      <w:r w:rsidR="003156F1" w:rsidRPr="00EE11C8">
        <w:rPr>
          <w:rFonts w:cstheme="minorHAnsi"/>
          <w:bCs/>
          <w:snapToGrid/>
        </w:rPr>
        <w:t xml:space="preserve"> should</w:t>
      </w:r>
      <w:r w:rsidRPr="00EE11C8">
        <w:rPr>
          <w:rFonts w:cstheme="minorHAnsi"/>
          <w:bCs/>
          <w:snapToGrid/>
        </w:rPr>
        <w:t xml:space="preserve"> be treated as interchangeable </w:t>
      </w:r>
      <w:r w:rsidR="00EC651B">
        <w:rPr>
          <w:rFonts w:cstheme="minorHAnsi"/>
          <w:bCs/>
          <w:snapToGrid/>
        </w:rPr>
        <w:t xml:space="preserve">on an individual basis </w:t>
      </w:r>
      <w:r w:rsidRPr="00EE11C8">
        <w:rPr>
          <w:rFonts w:cstheme="minorHAnsi"/>
          <w:bCs/>
          <w:snapToGrid/>
        </w:rPr>
        <w:t xml:space="preserve">with </w:t>
      </w:r>
      <w:r w:rsidR="00EC651B">
        <w:rPr>
          <w:rFonts w:cstheme="minorHAnsi"/>
          <w:bCs/>
          <w:snapToGrid/>
        </w:rPr>
        <w:t>other ICS/LABA FDC products on the PBS including FP/SAL, BUD/FOR, FP/FOR and FF/VIL</w:t>
      </w:r>
      <w:r w:rsidRPr="00EE11C8">
        <w:rPr>
          <w:rFonts w:cstheme="minorHAnsi"/>
          <w:bCs/>
          <w:snapToGrid/>
        </w:rPr>
        <w:t xml:space="preserve">. </w:t>
      </w:r>
    </w:p>
    <w:p w:rsidR="00E35623" w:rsidRPr="00EE11C8" w:rsidRDefault="00E35623" w:rsidP="00E35623">
      <w:pPr>
        <w:pStyle w:val="3-BodyText"/>
        <w:rPr>
          <w:rFonts w:cstheme="minorHAnsi"/>
          <w:bCs/>
          <w:snapToGrid/>
        </w:rPr>
      </w:pPr>
      <w:r w:rsidRPr="00EE11C8">
        <w:rPr>
          <w:rFonts w:cstheme="minorHAnsi"/>
          <w:bCs/>
          <w:snapToGrid/>
        </w:rPr>
        <w:t xml:space="preserve">The PBAC advised that </w:t>
      </w:r>
      <w:r w:rsidR="00771FA5" w:rsidRPr="00EE11C8">
        <w:rPr>
          <w:rFonts w:cstheme="minorHAnsi"/>
          <w:bCs/>
          <w:snapToGrid/>
        </w:rPr>
        <w:t>MF/IND</w:t>
      </w:r>
      <w:r w:rsidR="00B64BEF" w:rsidRPr="00EE11C8">
        <w:rPr>
          <w:rFonts w:cstheme="minorHAnsi"/>
          <w:bCs/>
          <w:snapToGrid/>
        </w:rPr>
        <w:t xml:space="preserve"> </w:t>
      </w:r>
      <w:r w:rsidR="003156F1" w:rsidRPr="00EE11C8">
        <w:rPr>
          <w:rFonts w:cstheme="minorHAnsi"/>
          <w:bCs/>
          <w:snapToGrid/>
        </w:rPr>
        <w:t>is</w:t>
      </w:r>
      <w:r w:rsidRPr="00EE11C8">
        <w:rPr>
          <w:rFonts w:cstheme="minorHAnsi"/>
          <w:bCs/>
          <w:snapToGrid/>
        </w:rPr>
        <w:t xml:space="preserve"> suitable for prescribing by </w:t>
      </w:r>
      <w:r w:rsidR="00070877" w:rsidRPr="00EE11C8">
        <w:rPr>
          <w:rFonts w:cstheme="minorHAnsi"/>
          <w:bCs/>
          <w:snapToGrid/>
        </w:rPr>
        <w:t>nurse p</w:t>
      </w:r>
      <w:r w:rsidRPr="00EE11C8">
        <w:rPr>
          <w:rFonts w:cstheme="minorHAnsi"/>
          <w:bCs/>
          <w:snapToGrid/>
        </w:rPr>
        <w:t>ractitioner</w:t>
      </w:r>
      <w:r w:rsidR="00070877" w:rsidRPr="00EE11C8">
        <w:rPr>
          <w:rFonts w:cstheme="minorHAnsi"/>
          <w:bCs/>
          <w:snapToGrid/>
        </w:rPr>
        <w:t>s</w:t>
      </w:r>
      <w:r w:rsidRPr="00EE11C8">
        <w:rPr>
          <w:rFonts w:cstheme="minorHAnsi"/>
          <w:bCs/>
          <w:snapToGrid/>
        </w:rPr>
        <w:t>.</w:t>
      </w:r>
    </w:p>
    <w:p w:rsidR="00E35623" w:rsidRPr="00EE11C8" w:rsidRDefault="00E35623" w:rsidP="00E35623">
      <w:pPr>
        <w:pStyle w:val="3-BodyText"/>
        <w:rPr>
          <w:rFonts w:cstheme="minorHAnsi"/>
          <w:bCs/>
          <w:snapToGrid/>
        </w:rPr>
      </w:pPr>
      <w:r w:rsidRPr="00EE11C8">
        <w:rPr>
          <w:rFonts w:cstheme="minorHAnsi"/>
          <w:bCs/>
          <w:snapToGrid/>
        </w:rPr>
        <w:t xml:space="preserve">The PBAC recommended that the Early Supply Rule should </w:t>
      </w:r>
      <w:r w:rsidR="00B64BEF" w:rsidRPr="00EE11C8">
        <w:rPr>
          <w:rFonts w:cstheme="minorHAnsi"/>
          <w:bCs/>
          <w:snapToGrid/>
        </w:rPr>
        <w:t xml:space="preserve">not </w:t>
      </w:r>
      <w:r w:rsidRPr="00EE11C8">
        <w:rPr>
          <w:rFonts w:cstheme="minorHAnsi"/>
          <w:bCs/>
          <w:snapToGrid/>
        </w:rPr>
        <w:t xml:space="preserve">apply. </w:t>
      </w:r>
    </w:p>
    <w:p w:rsidR="00980FBC" w:rsidRPr="00EE11C8" w:rsidRDefault="00980FBC" w:rsidP="00980FBC">
      <w:pPr>
        <w:pStyle w:val="3-BodyText"/>
        <w:rPr>
          <w:rFonts w:cstheme="minorHAnsi"/>
          <w:bCs/>
        </w:rPr>
      </w:pPr>
      <w:r w:rsidRPr="00EE11C8">
        <w:rPr>
          <w:rFonts w:cstheme="minorHAnsi"/>
          <w:bCs/>
        </w:rPr>
        <w:t>The PBAC noted that its recommendation was on a cost-minimisation basis and advised that, because</w:t>
      </w:r>
      <w:r w:rsidRPr="00EE11C8">
        <w:rPr>
          <w:rFonts w:cstheme="minorHAnsi"/>
          <w:bCs/>
          <w:snapToGrid/>
        </w:rPr>
        <w:t xml:space="preserve"> </w:t>
      </w:r>
      <w:r w:rsidR="006B26DC" w:rsidRPr="00EE11C8">
        <w:rPr>
          <w:rFonts w:cstheme="minorHAnsi"/>
          <w:bCs/>
        </w:rPr>
        <w:t>MF/IND</w:t>
      </w:r>
      <w:r w:rsidRPr="00EE11C8">
        <w:rPr>
          <w:rFonts w:cstheme="minorHAnsi"/>
          <w:bCs/>
        </w:rPr>
        <w:t xml:space="preserve"> is not expected to provide a substantial and clinically relevant improvement in efficacy, or reduction of toxicity, over </w:t>
      </w:r>
      <w:r w:rsidR="00771FA5" w:rsidRPr="00EE11C8">
        <w:rPr>
          <w:rFonts w:cstheme="minorHAnsi"/>
          <w:bCs/>
        </w:rPr>
        <w:t>FP/SAL</w:t>
      </w:r>
      <w:r w:rsidRPr="00EE11C8">
        <w:rPr>
          <w:rFonts w:cstheme="minorHAnsi"/>
          <w:bCs/>
        </w:rPr>
        <w:t xml:space="preserve">, or not expected to address a high and urgent unmet clinical need given the presence of an alternative therapy, the criteria prescribed by the </w:t>
      </w:r>
      <w:r w:rsidRPr="00EE11C8">
        <w:rPr>
          <w:rFonts w:cstheme="minorHAnsi"/>
          <w:bCs/>
          <w:i/>
        </w:rPr>
        <w:t>National Health (Pharmaceuticals and Vaccines – Cost Recovery) Regulations 2009</w:t>
      </w:r>
      <w:r w:rsidRPr="00EE11C8">
        <w:rPr>
          <w:rFonts w:cstheme="minorHAnsi"/>
          <w:bCs/>
        </w:rPr>
        <w:t xml:space="preserve"> for Pricing Pathway A were not met.</w:t>
      </w:r>
    </w:p>
    <w:p w:rsidR="00961961" w:rsidRPr="00EE11C8" w:rsidRDefault="00961961" w:rsidP="00961961">
      <w:pPr>
        <w:pStyle w:val="3-BodyText"/>
        <w:rPr>
          <w:rFonts w:cstheme="minorHAnsi"/>
          <w:bCs/>
        </w:rPr>
      </w:pPr>
      <w:r w:rsidRPr="00EE11C8">
        <w:rPr>
          <w:rFonts w:cstheme="minorHAnsi"/>
          <w:bCs/>
        </w:rPr>
        <w:t>The PBAC noted that this submission is not eligible for an Independent Review, as it received a positive recommendation.</w:t>
      </w:r>
    </w:p>
    <w:p w:rsidR="00954E2D" w:rsidRPr="00EE11C8" w:rsidRDefault="00954E2D" w:rsidP="00954E2D">
      <w:pPr>
        <w:spacing w:before="240"/>
        <w:rPr>
          <w:rFonts w:asciiTheme="minorHAnsi" w:hAnsiTheme="minorHAnsi"/>
          <w:b/>
          <w:bCs/>
          <w:snapToGrid w:val="0"/>
        </w:rPr>
      </w:pPr>
      <w:r w:rsidRPr="00EE11C8">
        <w:rPr>
          <w:rFonts w:asciiTheme="minorHAnsi" w:hAnsiTheme="minorHAnsi"/>
          <w:b/>
          <w:bCs/>
          <w:snapToGrid w:val="0"/>
        </w:rPr>
        <w:t>Outcome:</w:t>
      </w:r>
    </w:p>
    <w:p w:rsidR="00954E2D" w:rsidRPr="00F228A0" w:rsidRDefault="00F228A0" w:rsidP="00F228A0">
      <w:pPr>
        <w:rPr>
          <w:rFonts w:asciiTheme="minorHAnsi" w:hAnsiTheme="minorHAnsi"/>
          <w:bCs/>
          <w:snapToGrid w:val="0"/>
        </w:rPr>
      </w:pPr>
      <w:r>
        <w:rPr>
          <w:rFonts w:asciiTheme="minorHAnsi" w:hAnsiTheme="minorHAnsi"/>
          <w:bCs/>
          <w:snapToGrid w:val="0"/>
        </w:rPr>
        <w:t>Recommended</w:t>
      </w:r>
    </w:p>
    <w:p w:rsidR="00954E2D" w:rsidRPr="00EE11C8" w:rsidRDefault="00954E2D" w:rsidP="00D6247D">
      <w:pPr>
        <w:pStyle w:val="2-SectionHeading"/>
      </w:pPr>
      <w:r w:rsidRPr="00EE11C8">
        <w:t>Recommended listing</w:t>
      </w:r>
    </w:p>
    <w:p w:rsidR="00766868" w:rsidRPr="00EE11C8" w:rsidRDefault="00766868" w:rsidP="00766868">
      <w:pPr>
        <w:rPr>
          <w:sz w:val="22"/>
          <w:szCs w:val="22"/>
        </w:rPr>
      </w:pPr>
      <w:r w:rsidRPr="00EE11C8">
        <w:rPr>
          <w:sz w:val="22"/>
          <w:szCs w:val="22"/>
        </w:rPr>
        <w:t xml:space="preserve">Add new </w:t>
      </w:r>
      <w:r w:rsidR="00EC651B">
        <w:rPr>
          <w:sz w:val="22"/>
          <w:szCs w:val="22"/>
        </w:rPr>
        <w:t>medicinal product</w:t>
      </w:r>
      <w:r w:rsidRPr="00EE11C8">
        <w:rPr>
          <w:sz w:val="22"/>
          <w:szCs w:val="22"/>
        </w:rPr>
        <w:t xml:space="preserve"> as follows:</w:t>
      </w:r>
    </w:p>
    <w:p w:rsidR="00766868" w:rsidRPr="00EE11C8" w:rsidRDefault="00766868" w:rsidP="00766868">
      <w:pPr>
        <w:rPr>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1"/>
        <w:gridCol w:w="709"/>
        <w:gridCol w:w="708"/>
        <w:gridCol w:w="567"/>
        <w:gridCol w:w="1560"/>
        <w:gridCol w:w="850"/>
      </w:tblGrid>
      <w:tr w:rsidR="00766868" w:rsidRPr="00EE11C8" w:rsidTr="00766868">
        <w:trPr>
          <w:cantSplit/>
          <w:trHeight w:val="471"/>
        </w:trPr>
        <w:tc>
          <w:tcPr>
            <w:tcW w:w="3510" w:type="dxa"/>
          </w:tcPr>
          <w:p w:rsidR="00766868" w:rsidRPr="00EE11C8" w:rsidRDefault="00766868" w:rsidP="00766868">
            <w:pPr>
              <w:keepNext/>
              <w:ind w:left="-108"/>
              <w:rPr>
                <w:rFonts w:ascii="Arial Narrow" w:eastAsia="Calibri" w:hAnsi="Arial Narrow"/>
                <w:b/>
                <w:sz w:val="18"/>
                <w:szCs w:val="18"/>
                <w:lang w:eastAsia="en-US"/>
              </w:rPr>
            </w:pPr>
            <w:r w:rsidRPr="00EE11C8">
              <w:rPr>
                <w:rFonts w:ascii="Arial Narrow" w:eastAsia="Calibri" w:hAnsi="Arial Narrow"/>
                <w:b/>
                <w:sz w:val="18"/>
                <w:szCs w:val="18"/>
                <w:lang w:eastAsia="en-US"/>
              </w:rPr>
              <w:t>Name, Restriction,</w:t>
            </w:r>
          </w:p>
          <w:p w:rsidR="00766868" w:rsidRPr="00EE11C8" w:rsidRDefault="00766868" w:rsidP="00766868">
            <w:pPr>
              <w:keepNext/>
              <w:ind w:left="-108"/>
              <w:rPr>
                <w:rFonts w:ascii="Arial Narrow" w:eastAsia="Calibri" w:hAnsi="Arial Narrow"/>
                <w:b/>
                <w:sz w:val="18"/>
                <w:szCs w:val="18"/>
                <w:lang w:eastAsia="en-US"/>
              </w:rPr>
            </w:pPr>
            <w:r w:rsidRPr="00EE11C8">
              <w:rPr>
                <w:rFonts w:ascii="Arial Narrow" w:eastAsia="Calibri" w:hAnsi="Arial Narrow"/>
                <w:b/>
                <w:sz w:val="18"/>
                <w:szCs w:val="18"/>
                <w:lang w:eastAsia="en-US"/>
              </w:rPr>
              <w:t>Manner of administration and form</w:t>
            </w:r>
          </w:p>
        </w:tc>
        <w:tc>
          <w:tcPr>
            <w:tcW w:w="851" w:type="dxa"/>
          </w:tcPr>
          <w:p w:rsidR="00766868" w:rsidRPr="00EE11C8" w:rsidRDefault="00766868" w:rsidP="00766868">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PBS item code</w:t>
            </w:r>
          </w:p>
        </w:tc>
        <w:tc>
          <w:tcPr>
            <w:tcW w:w="709" w:type="dxa"/>
          </w:tcPr>
          <w:p w:rsidR="00766868" w:rsidRPr="00EE11C8" w:rsidRDefault="00766868" w:rsidP="00766868">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Max. qty packs</w:t>
            </w:r>
          </w:p>
        </w:tc>
        <w:tc>
          <w:tcPr>
            <w:tcW w:w="708" w:type="dxa"/>
          </w:tcPr>
          <w:p w:rsidR="00766868" w:rsidRPr="00EE11C8" w:rsidRDefault="00766868" w:rsidP="00766868">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Max. qty units</w:t>
            </w:r>
          </w:p>
        </w:tc>
        <w:tc>
          <w:tcPr>
            <w:tcW w:w="567" w:type="dxa"/>
          </w:tcPr>
          <w:p w:rsidR="00766868" w:rsidRPr="00EE11C8" w:rsidRDefault="00766868" w:rsidP="00766868">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№.of</w:t>
            </w:r>
          </w:p>
          <w:p w:rsidR="00766868" w:rsidRPr="00EE11C8" w:rsidRDefault="00766868" w:rsidP="00766868">
            <w:pPr>
              <w:keepNext/>
              <w:ind w:left="-108"/>
              <w:jc w:val="center"/>
              <w:rPr>
                <w:rFonts w:ascii="Arial Narrow" w:eastAsia="Calibri" w:hAnsi="Arial Narrow"/>
                <w:b/>
                <w:sz w:val="18"/>
                <w:szCs w:val="18"/>
                <w:lang w:eastAsia="en-US"/>
              </w:rPr>
            </w:pPr>
            <w:r w:rsidRPr="00EE11C8">
              <w:rPr>
                <w:rFonts w:ascii="Arial Narrow" w:eastAsia="Calibri" w:hAnsi="Arial Narrow"/>
                <w:b/>
                <w:sz w:val="18"/>
                <w:szCs w:val="18"/>
                <w:lang w:eastAsia="en-US"/>
              </w:rPr>
              <w:t>Rpts</w:t>
            </w:r>
          </w:p>
        </w:tc>
        <w:tc>
          <w:tcPr>
            <w:tcW w:w="2410" w:type="dxa"/>
            <w:gridSpan w:val="2"/>
          </w:tcPr>
          <w:p w:rsidR="00766868" w:rsidRPr="00EE11C8" w:rsidRDefault="00766868" w:rsidP="00766868">
            <w:pPr>
              <w:tabs>
                <w:tab w:val="left" w:pos="426"/>
                <w:tab w:val="left" w:pos="567"/>
              </w:tabs>
              <w:autoSpaceDE w:val="0"/>
              <w:autoSpaceDN w:val="0"/>
              <w:adjustRightInd w:val="0"/>
              <w:rPr>
                <w:rFonts w:ascii="Arial Narrow" w:hAnsi="Arial Narrow" w:cs="Arial Narrow"/>
                <w:b/>
                <w:bCs/>
                <w:sz w:val="18"/>
                <w:szCs w:val="18"/>
              </w:rPr>
            </w:pPr>
            <w:r w:rsidRPr="00EE11C8">
              <w:rPr>
                <w:rFonts w:ascii="Arial Narrow" w:hAnsi="Arial Narrow" w:cs="Arial Narrow"/>
                <w:b/>
                <w:bCs/>
                <w:sz w:val="18"/>
                <w:szCs w:val="18"/>
              </w:rPr>
              <w:t xml:space="preserve">Proprietary Name and </w:t>
            </w:r>
          </w:p>
          <w:p w:rsidR="00766868" w:rsidRPr="00EE11C8" w:rsidRDefault="00766868" w:rsidP="00766868">
            <w:pPr>
              <w:keepNext/>
              <w:rPr>
                <w:rFonts w:ascii="Arial Narrow" w:eastAsia="Calibri" w:hAnsi="Arial Narrow"/>
                <w:b/>
                <w:sz w:val="18"/>
                <w:szCs w:val="18"/>
                <w:lang w:eastAsia="en-US"/>
              </w:rPr>
            </w:pPr>
            <w:r w:rsidRPr="00EE11C8">
              <w:rPr>
                <w:rFonts w:ascii="Arial Narrow" w:eastAsia="Calibri" w:hAnsi="Arial Narrow"/>
                <w:b/>
                <w:sz w:val="18"/>
                <w:szCs w:val="18"/>
                <w:lang w:eastAsia="en-US"/>
              </w:rPr>
              <w:t>Manufacturer</w:t>
            </w:r>
          </w:p>
        </w:tc>
      </w:tr>
      <w:tr w:rsidR="00766868" w:rsidRPr="00EE11C8" w:rsidTr="00F228A0">
        <w:trPr>
          <w:cantSplit/>
          <w:trHeight w:val="704"/>
        </w:trPr>
        <w:tc>
          <w:tcPr>
            <w:tcW w:w="3510" w:type="dxa"/>
          </w:tcPr>
          <w:p w:rsidR="00766868" w:rsidRPr="00EE11C8" w:rsidRDefault="00766868" w:rsidP="00766868">
            <w:pPr>
              <w:keepNext/>
              <w:ind w:left="-108"/>
              <w:rPr>
                <w:rFonts w:ascii="Arial Narrow" w:eastAsia="Calibri" w:hAnsi="Arial Narrow"/>
                <w:sz w:val="18"/>
                <w:szCs w:val="18"/>
                <w:lang w:eastAsia="en-US"/>
              </w:rPr>
            </w:pPr>
            <w:r w:rsidRPr="00EE11C8">
              <w:rPr>
                <w:rFonts w:ascii="Arial Narrow" w:eastAsia="Calibri" w:hAnsi="Arial Narrow"/>
                <w:sz w:val="18"/>
                <w:szCs w:val="18"/>
                <w:lang w:eastAsia="en-US"/>
              </w:rPr>
              <w:t>MOMETASONE FUROATE + INDACATEROL</w:t>
            </w:r>
          </w:p>
          <w:p w:rsidR="00766868" w:rsidRPr="00EE11C8" w:rsidRDefault="00766868" w:rsidP="00766868">
            <w:pPr>
              <w:keepNext/>
              <w:ind w:left="-108"/>
              <w:rPr>
                <w:rFonts w:ascii="Arial Narrow" w:eastAsia="Calibri" w:hAnsi="Arial Narrow"/>
                <w:sz w:val="18"/>
                <w:szCs w:val="18"/>
                <w:lang w:eastAsia="en-US"/>
              </w:rPr>
            </w:pPr>
          </w:p>
          <w:p w:rsidR="00766868" w:rsidRPr="00EE11C8" w:rsidRDefault="00766868" w:rsidP="00766868">
            <w:pPr>
              <w:keepNext/>
              <w:ind w:left="-108"/>
              <w:rPr>
                <w:rFonts w:ascii="Arial Narrow" w:eastAsia="Calibri" w:hAnsi="Arial Narrow"/>
                <w:sz w:val="18"/>
                <w:szCs w:val="18"/>
                <w:lang w:eastAsia="en-US"/>
              </w:rPr>
            </w:pPr>
            <w:r w:rsidRPr="00EE11C8">
              <w:rPr>
                <w:rFonts w:ascii="Arial Narrow" w:hAnsi="Arial Narrow" w:cs="Calibri"/>
                <w:sz w:val="18"/>
                <w:szCs w:val="18"/>
              </w:rPr>
              <w:t>indacaterol 150 microgram + mometasone furoate 80 microgram powder for inhalation, 30 capsules</w:t>
            </w:r>
          </w:p>
        </w:tc>
        <w:tc>
          <w:tcPr>
            <w:tcW w:w="851" w:type="dxa"/>
          </w:tcPr>
          <w:p w:rsidR="00766868" w:rsidRPr="00EE11C8" w:rsidRDefault="00766868" w:rsidP="00766868">
            <w:pPr>
              <w:keepNext/>
              <w:ind w:left="-108"/>
              <w:jc w:val="center"/>
              <w:rPr>
                <w:rFonts w:ascii="Arial Narrow" w:eastAsia="Calibri" w:hAnsi="Arial Narrow"/>
                <w:sz w:val="18"/>
                <w:szCs w:val="18"/>
                <w:lang w:eastAsia="en-US"/>
              </w:rPr>
            </w:pPr>
          </w:p>
          <w:p w:rsidR="00766868" w:rsidRPr="00EE11C8" w:rsidRDefault="00766868" w:rsidP="00766868">
            <w:pPr>
              <w:keepNext/>
              <w:rPr>
                <w:rFonts w:ascii="Arial Narrow" w:eastAsia="Calibri" w:hAnsi="Arial Narrow"/>
                <w:sz w:val="18"/>
                <w:szCs w:val="18"/>
                <w:lang w:eastAsia="en-US"/>
              </w:rPr>
            </w:pPr>
          </w:p>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NEW</w:t>
            </w:r>
          </w:p>
        </w:tc>
        <w:tc>
          <w:tcPr>
            <w:tcW w:w="709" w:type="dxa"/>
          </w:tcPr>
          <w:p w:rsidR="00766868" w:rsidRPr="00EE11C8" w:rsidRDefault="00766868" w:rsidP="00766868">
            <w:pPr>
              <w:keepNext/>
              <w:jc w:val="center"/>
              <w:rPr>
                <w:rFonts w:ascii="Arial Narrow" w:eastAsia="Calibri" w:hAnsi="Arial Narrow"/>
                <w:sz w:val="18"/>
                <w:szCs w:val="18"/>
                <w:lang w:eastAsia="en-US"/>
              </w:rPr>
            </w:pPr>
          </w:p>
          <w:p w:rsidR="00766868" w:rsidRPr="00EE11C8" w:rsidRDefault="00766868" w:rsidP="00766868">
            <w:pPr>
              <w:keepNext/>
              <w:ind w:left="-108"/>
              <w:jc w:val="center"/>
              <w:rPr>
                <w:rFonts w:ascii="Arial Narrow" w:eastAsia="Calibri" w:hAnsi="Arial Narrow"/>
                <w:sz w:val="18"/>
                <w:szCs w:val="18"/>
                <w:lang w:eastAsia="en-US"/>
              </w:rPr>
            </w:pPr>
          </w:p>
          <w:p w:rsidR="00766868" w:rsidRPr="00EE11C8" w:rsidRDefault="00766868" w:rsidP="00766868">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8" w:type="dxa"/>
          </w:tcPr>
          <w:p w:rsidR="00766868" w:rsidRPr="00EE11C8" w:rsidRDefault="00766868" w:rsidP="00766868">
            <w:pPr>
              <w:keepNext/>
              <w:jc w:val="center"/>
              <w:rPr>
                <w:rFonts w:ascii="Arial Narrow" w:eastAsia="Calibri" w:hAnsi="Arial Narrow"/>
                <w:sz w:val="18"/>
                <w:szCs w:val="18"/>
                <w:lang w:eastAsia="en-US"/>
              </w:rPr>
            </w:pPr>
          </w:p>
          <w:p w:rsidR="00766868" w:rsidRPr="00EE11C8" w:rsidRDefault="00766868" w:rsidP="00766868">
            <w:pPr>
              <w:keepNext/>
              <w:rPr>
                <w:rFonts w:ascii="Arial Narrow" w:eastAsia="Calibri" w:hAnsi="Arial Narrow"/>
                <w:sz w:val="18"/>
                <w:szCs w:val="18"/>
                <w:lang w:eastAsia="en-US"/>
              </w:rPr>
            </w:pPr>
          </w:p>
          <w:p w:rsidR="00766868" w:rsidRPr="00EE11C8" w:rsidRDefault="00766868" w:rsidP="00766868">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567" w:type="dxa"/>
          </w:tcPr>
          <w:p w:rsidR="00766868" w:rsidRPr="00EE11C8" w:rsidRDefault="00766868" w:rsidP="00766868">
            <w:pPr>
              <w:keepNext/>
              <w:ind w:left="-108"/>
              <w:jc w:val="center"/>
              <w:rPr>
                <w:rFonts w:ascii="Arial Narrow" w:eastAsia="Calibri" w:hAnsi="Arial Narrow"/>
                <w:sz w:val="18"/>
                <w:szCs w:val="18"/>
                <w:lang w:eastAsia="en-US"/>
              </w:rPr>
            </w:pPr>
          </w:p>
          <w:p w:rsidR="00766868" w:rsidRPr="00EE11C8" w:rsidRDefault="00766868" w:rsidP="00766868">
            <w:pPr>
              <w:keepNext/>
              <w:rPr>
                <w:rFonts w:ascii="Arial Narrow" w:eastAsia="Calibri" w:hAnsi="Arial Narrow"/>
                <w:sz w:val="18"/>
                <w:szCs w:val="18"/>
                <w:lang w:eastAsia="en-US"/>
              </w:rPr>
            </w:pPr>
          </w:p>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5</w:t>
            </w:r>
          </w:p>
        </w:tc>
        <w:tc>
          <w:tcPr>
            <w:tcW w:w="1560" w:type="dxa"/>
            <w:vMerge w:val="restart"/>
          </w:tcPr>
          <w:p w:rsidR="00F228A0" w:rsidRDefault="00F228A0" w:rsidP="00766868">
            <w:pPr>
              <w:keepNext/>
              <w:ind w:right="-111"/>
              <w:rPr>
                <w:rFonts w:ascii="Arial Narrow" w:eastAsia="Calibri" w:hAnsi="Arial Narrow"/>
                <w:sz w:val="18"/>
                <w:szCs w:val="18"/>
                <w:lang w:eastAsia="en-US"/>
              </w:rPr>
            </w:pPr>
          </w:p>
          <w:p w:rsidR="00F228A0" w:rsidRDefault="00F228A0" w:rsidP="00766868">
            <w:pPr>
              <w:keepNext/>
              <w:ind w:right="-111"/>
              <w:rPr>
                <w:rFonts w:ascii="Arial Narrow" w:eastAsia="Calibri" w:hAnsi="Arial Narrow"/>
                <w:sz w:val="18"/>
                <w:szCs w:val="18"/>
                <w:lang w:eastAsia="en-US"/>
              </w:rPr>
            </w:pPr>
          </w:p>
          <w:p w:rsidR="00766868" w:rsidRPr="00EE11C8" w:rsidRDefault="00766868" w:rsidP="00F228A0">
            <w:pPr>
              <w:keepNext/>
              <w:ind w:right="-111"/>
              <w:jc w:val="left"/>
              <w:rPr>
                <w:rFonts w:ascii="Arial Narrow" w:eastAsia="Calibri" w:hAnsi="Arial Narrow"/>
                <w:sz w:val="18"/>
                <w:szCs w:val="18"/>
                <w:lang w:eastAsia="en-US"/>
              </w:rPr>
            </w:pPr>
            <w:r w:rsidRPr="00EE11C8">
              <w:rPr>
                <w:rFonts w:ascii="Arial Narrow" w:eastAsia="Calibri" w:hAnsi="Arial Narrow"/>
                <w:sz w:val="18"/>
                <w:szCs w:val="18"/>
                <w:lang w:eastAsia="en-US"/>
              </w:rPr>
              <w:t>Atectura Breezhaler 150/80</w:t>
            </w:r>
          </w:p>
          <w:p w:rsidR="00766868" w:rsidRPr="00EE11C8" w:rsidRDefault="00766868" w:rsidP="00F228A0">
            <w:pPr>
              <w:keepNext/>
              <w:ind w:right="-111"/>
              <w:jc w:val="left"/>
              <w:rPr>
                <w:rFonts w:ascii="Arial Narrow" w:eastAsia="Calibri" w:hAnsi="Arial Narrow"/>
                <w:sz w:val="18"/>
                <w:szCs w:val="18"/>
                <w:lang w:eastAsia="en-US"/>
              </w:rPr>
            </w:pPr>
            <w:r w:rsidRPr="00EE11C8">
              <w:rPr>
                <w:rFonts w:ascii="Arial Narrow" w:eastAsia="Calibri" w:hAnsi="Arial Narrow"/>
                <w:sz w:val="18"/>
                <w:szCs w:val="18"/>
                <w:lang w:eastAsia="en-US"/>
              </w:rPr>
              <w:t>Atectura Breezhaler 150/160</w:t>
            </w:r>
          </w:p>
          <w:p w:rsidR="00766868" w:rsidRPr="00EE11C8" w:rsidRDefault="00766868" w:rsidP="00F228A0">
            <w:pPr>
              <w:keepNext/>
              <w:ind w:right="-111"/>
              <w:jc w:val="left"/>
              <w:rPr>
                <w:rFonts w:ascii="Arial Narrow" w:eastAsia="Calibri" w:hAnsi="Arial Narrow"/>
                <w:sz w:val="18"/>
                <w:szCs w:val="18"/>
                <w:lang w:eastAsia="en-US"/>
              </w:rPr>
            </w:pPr>
            <w:r w:rsidRPr="00EE11C8">
              <w:rPr>
                <w:rFonts w:ascii="Arial Narrow" w:eastAsia="Calibri" w:hAnsi="Arial Narrow"/>
                <w:sz w:val="18"/>
                <w:szCs w:val="18"/>
                <w:lang w:eastAsia="en-US"/>
              </w:rPr>
              <w:t>Atec</w:t>
            </w:r>
            <w:r w:rsidR="00F228A0">
              <w:rPr>
                <w:rFonts w:ascii="Arial Narrow" w:eastAsia="Calibri" w:hAnsi="Arial Narrow"/>
                <w:sz w:val="18"/>
                <w:szCs w:val="18"/>
                <w:lang w:eastAsia="en-US"/>
              </w:rPr>
              <w:t>tura Breezhaler 150/320</w:t>
            </w:r>
          </w:p>
        </w:tc>
        <w:tc>
          <w:tcPr>
            <w:tcW w:w="850" w:type="dxa"/>
            <w:vMerge w:val="restart"/>
          </w:tcPr>
          <w:p w:rsidR="00766868" w:rsidRPr="00EE11C8" w:rsidRDefault="00766868" w:rsidP="00766868">
            <w:pPr>
              <w:keepNext/>
              <w:rPr>
                <w:rFonts w:ascii="Arial Narrow" w:eastAsia="Calibri" w:hAnsi="Arial Narrow"/>
                <w:sz w:val="18"/>
                <w:szCs w:val="18"/>
                <w:lang w:eastAsia="en-US"/>
              </w:rPr>
            </w:pPr>
          </w:p>
          <w:p w:rsidR="00766868" w:rsidRPr="00EE11C8" w:rsidRDefault="00766868" w:rsidP="00766868">
            <w:pPr>
              <w:keepNext/>
              <w:rPr>
                <w:rFonts w:ascii="Arial Narrow" w:eastAsia="Calibri" w:hAnsi="Arial Narrow"/>
                <w:sz w:val="18"/>
                <w:szCs w:val="18"/>
                <w:lang w:eastAsia="en-US"/>
              </w:rPr>
            </w:pPr>
          </w:p>
          <w:p w:rsidR="00766868" w:rsidRPr="00EE11C8" w:rsidRDefault="00766868" w:rsidP="00766868">
            <w:pPr>
              <w:keepNext/>
              <w:ind w:right="-111"/>
              <w:rPr>
                <w:rFonts w:ascii="Arial Narrow" w:eastAsia="Calibri" w:hAnsi="Arial Narrow"/>
                <w:sz w:val="18"/>
                <w:szCs w:val="18"/>
                <w:lang w:eastAsia="en-US"/>
              </w:rPr>
            </w:pPr>
            <w:r w:rsidRPr="00EE11C8">
              <w:rPr>
                <w:rFonts w:ascii="Arial Narrow" w:eastAsia="Calibri" w:hAnsi="Arial Narrow"/>
                <w:sz w:val="18"/>
                <w:szCs w:val="18"/>
                <w:lang w:eastAsia="en-US"/>
              </w:rPr>
              <w:t xml:space="preserve">Novartis </w:t>
            </w:r>
          </w:p>
        </w:tc>
      </w:tr>
      <w:tr w:rsidR="00766868" w:rsidRPr="00EE11C8" w:rsidTr="00F228A0">
        <w:trPr>
          <w:cantSplit/>
          <w:trHeight w:val="291"/>
        </w:trPr>
        <w:tc>
          <w:tcPr>
            <w:tcW w:w="3510" w:type="dxa"/>
          </w:tcPr>
          <w:p w:rsidR="00766868" w:rsidRPr="00F228A0" w:rsidRDefault="00766868" w:rsidP="00F228A0">
            <w:pPr>
              <w:keepNext/>
              <w:ind w:left="-108"/>
              <w:rPr>
                <w:rFonts w:ascii="Arial Narrow" w:hAnsi="Arial Narrow" w:cs="Calibri"/>
                <w:sz w:val="18"/>
                <w:szCs w:val="18"/>
              </w:rPr>
            </w:pPr>
            <w:r w:rsidRPr="00EE11C8">
              <w:rPr>
                <w:rFonts w:ascii="Arial Narrow" w:hAnsi="Arial Narrow" w:cs="Calibri"/>
                <w:sz w:val="18"/>
                <w:szCs w:val="18"/>
              </w:rPr>
              <w:t>indacaterol 150 microgram + mometasone furoate 160 microgram pow</w:t>
            </w:r>
            <w:r w:rsidR="00F228A0">
              <w:rPr>
                <w:rFonts w:ascii="Arial Narrow" w:hAnsi="Arial Narrow" w:cs="Calibri"/>
                <w:sz w:val="18"/>
                <w:szCs w:val="18"/>
              </w:rPr>
              <w:t>der for inhalation, 30 capsules</w:t>
            </w:r>
          </w:p>
        </w:tc>
        <w:tc>
          <w:tcPr>
            <w:tcW w:w="851" w:type="dxa"/>
          </w:tcPr>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NEW</w:t>
            </w:r>
          </w:p>
        </w:tc>
        <w:tc>
          <w:tcPr>
            <w:tcW w:w="709" w:type="dxa"/>
          </w:tcPr>
          <w:p w:rsidR="00766868" w:rsidRPr="00EE11C8" w:rsidRDefault="00766868" w:rsidP="00766868">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8" w:type="dxa"/>
          </w:tcPr>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567" w:type="dxa"/>
          </w:tcPr>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5</w:t>
            </w:r>
          </w:p>
        </w:tc>
        <w:tc>
          <w:tcPr>
            <w:tcW w:w="1560" w:type="dxa"/>
            <w:vMerge/>
          </w:tcPr>
          <w:p w:rsidR="00766868" w:rsidRPr="00EE11C8" w:rsidRDefault="00766868" w:rsidP="00766868">
            <w:pPr>
              <w:keepNext/>
              <w:rPr>
                <w:rFonts w:ascii="Arial Narrow" w:eastAsia="Calibri" w:hAnsi="Arial Narrow"/>
                <w:sz w:val="18"/>
                <w:szCs w:val="18"/>
                <w:lang w:eastAsia="en-US"/>
              </w:rPr>
            </w:pPr>
          </w:p>
        </w:tc>
        <w:tc>
          <w:tcPr>
            <w:tcW w:w="850" w:type="dxa"/>
            <w:vMerge/>
          </w:tcPr>
          <w:p w:rsidR="00766868" w:rsidRPr="00EE11C8" w:rsidRDefault="00766868" w:rsidP="00766868">
            <w:pPr>
              <w:keepNext/>
              <w:rPr>
                <w:rFonts w:ascii="Arial Narrow" w:eastAsia="Calibri" w:hAnsi="Arial Narrow"/>
                <w:sz w:val="18"/>
                <w:szCs w:val="18"/>
                <w:lang w:eastAsia="en-US"/>
              </w:rPr>
            </w:pPr>
          </w:p>
        </w:tc>
      </w:tr>
      <w:tr w:rsidR="00766868" w:rsidRPr="00EE11C8" w:rsidTr="00F228A0">
        <w:trPr>
          <w:cantSplit/>
          <w:trHeight w:val="297"/>
        </w:trPr>
        <w:tc>
          <w:tcPr>
            <w:tcW w:w="3510" w:type="dxa"/>
          </w:tcPr>
          <w:p w:rsidR="00766868" w:rsidRPr="00EE11C8" w:rsidRDefault="00766868" w:rsidP="00766868">
            <w:pPr>
              <w:keepNext/>
              <w:ind w:left="-108"/>
              <w:rPr>
                <w:rFonts w:ascii="Arial Narrow" w:eastAsia="Calibri" w:hAnsi="Arial Narrow"/>
                <w:sz w:val="18"/>
                <w:szCs w:val="18"/>
                <w:lang w:eastAsia="en-US"/>
              </w:rPr>
            </w:pPr>
            <w:r w:rsidRPr="00EE11C8">
              <w:rPr>
                <w:rFonts w:ascii="Arial Narrow" w:hAnsi="Arial Narrow" w:cs="Calibri"/>
                <w:sz w:val="18"/>
                <w:szCs w:val="18"/>
              </w:rPr>
              <w:t>indacaterol 150 microgram + mometasone furoate 320 microgram powder for inhalation, 30 capsules</w:t>
            </w:r>
          </w:p>
        </w:tc>
        <w:tc>
          <w:tcPr>
            <w:tcW w:w="851" w:type="dxa"/>
          </w:tcPr>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NEW</w:t>
            </w:r>
          </w:p>
        </w:tc>
        <w:tc>
          <w:tcPr>
            <w:tcW w:w="709" w:type="dxa"/>
          </w:tcPr>
          <w:p w:rsidR="00766868" w:rsidRPr="00EE11C8" w:rsidRDefault="00766868" w:rsidP="00766868">
            <w:pPr>
              <w:keepNext/>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708" w:type="dxa"/>
          </w:tcPr>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1</w:t>
            </w:r>
          </w:p>
        </w:tc>
        <w:tc>
          <w:tcPr>
            <w:tcW w:w="567" w:type="dxa"/>
          </w:tcPr>
          <w:p w:rsidR="00766868" w:rsidRPr="00EE11C8" w:rsidRDefault="00766868" w:rsidP="00766868">
            <w:pPr>
              <w:keepNext/>
              <w:ind w:left="-108"/>
              <w:jc w:val="center"/>
              <w:rPr>
                <w:rFonts w:ascii="Arial Narrow" w:eastAsia="Calibri" w:hAnsi="Arial Narrow"/>
                <w:sz w:val="18"/>
                <w:szCs w:val="18"/>
                <w:lang w:eastAsia="en-US"/>
              </w:rPr>
            </w:pPr>
            <w:r w:rsidRPr="00EE11C8">
              <w:rPr>
                <w:rFonts w:ascii="Arial Narrow" w:eastAsia="Calibri" w:hAnsi="Arial Narrow"/>
                <w:sz w:val="18"/>
                <w:szCs w:val="18"/>
                <w:lang w:eastAsia="en-US"/>
              </w:rPr>
              <w:t>5</w:t>
            </w:r>
          </w:p>
        </w:tc>
        <w:tc>
          <w:tcPr>
            <w:tcW w:w="1560" w:type="dxa"/>
            <w:vMerge/>
          </w:tcPr>
          <w:p w:rsidR="00766868" w:rsidRPr="00EE11C8" w:rsidRDefault="00766868" w:rsidP="00766868">
            <w:pPr>
              <w:keepNext/>
              <w:rPr>
                <w:rFonts w:ascii="Arial Narrow" w:eastAsia="Calibri" w:hAnsi="Arial Narrow"/>
                <w:sz w:val="18"/>
                <w:szCs w:val="18"/>
                <w:lang w:eastAsia="en-US"/>
              </w:rPr>
            </w:pPr>
          </w:p>
        </w:tc>
        <w:tc>
          <w:tcPr>
            <w:tcW w:w="850" w:type="dxa"/>
            <w:vMerge/>
          </w:tcPr>
          <w:p w:rsidR="00766868" w:rsidRPr="00EE11C8" w:rsidRDefault="00766868" w:rsidP="00766868">
            <w:pPr>
              <w:keepNext/>
              <w:rPr>
                <w:rFonts w:ascii="Arial Narrow" w:eastAsia="Calibri" w:hAnsi="Arial Narrow"/>
                <w:sz w:val="18"/>
                <w:szCs w:val="18"/>
                <w:lang w:eastAsia="en-US"/>
              </w:rPr>
            </w:pPr>
          </w:p>
        </w:tc>
      </w:tr>
    </w:tbl>
    <w:p w:rsidR="00766868" w:rsidRPr="00EE11C8" w:rsidRDefault="00766868" w:rsidP="00766868">
      <w:pPr>
        <w:spacing w:after="160" w:line="259" w:lineRule="auto"/>
        <w:rPr>
          <w:rFonts w:ascii="Arial Narrow" w:eastAsia="Calibri" w:hAnsi="Arial Narrow"/>
          <w:b/>
          <w:sz w:val="18"/>
          <w:szCs w:val="18"/>
          <w:lang w:eastAsia="en-US"/>
        </w:rPr>
      </w:pPr>
    </w:p>
    <w:p w:rsidR="00766868" w:rsidRPr="00EE11C8" w:rsidRDefault="00766868" w:rsidP="00F228A0">
      <w:pPr>
        <w:keepNext/>
        <w:rPr>
          <w:rFonts w:ascii="Arial Narrow" w:eastAsia="Calibri" w:hAnsi="Arial Narrow"/>
          <w:b/>
          <w:sz w:val="18"/>
          <w:szCs w:val="18"/>
          <w:lang w:eastAsia="en-US"/>
        </w:rPr>
      </w:pPr>
      <w:r w:rsidRPr="00EE11C8">
        <w:rPr>
          <w:rFonts w:ascii="Arial Narrow" w:eastAsia="Calibri" w:hAnsi="Arial Narrow"/>
          <w:b/>
          <w:sz w:val="18"/>
          <w:szCs w:val="18"/>
          <w:lang w:eastAsia="en-US"/>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F0219F" w:rsidRPr="00EE11C8" w:rsidTr="00F0219F">
        <w:tc>
          <w:tcPr>
            <w:tcW w:w="5000" w:type="pct"/>
            <w:tcBorders>
              <w:top w:val="single" w:sz="4" w:space="0" w:color="auto"/>
              <w:left w:val="single" w:sz="4" w:space="0" w:color="auto"/>
              <w:bottom w:val="single" w:sz="4" w:space="0" w:color="auto"/>
              <w:right w:val="single" w:sz="4" w:space="0" w:color="auto"/>
            </w:tcBorders>
          </w:tcPr>
          <w:p w:rsidR="00F0219F" w:rsidRPr="00EE11C8" w:rsidRDefault="00F0219F" w:rsidP="00F228A0">
            <w:pPr>
              <w:keepNext/>
              <w:rPr>
                <w:rFonts w:ascii="Arial Narrow" w:eastAsia="Calibri" w:hAnsi="Arial Narrow"/>
                <w:sz w:val="18"/>
                <w:szCs w:val="18"/>
                <w:lang w:eastAsia="en-US"/>
              </w:rPr>
            </w:pPr>
            <w:r w:rsidRPr="00EE11C8">
              <w:rPr>
                <w:rFonts w:ascii="Arial Narrow" w:eastAsia="Calibri" w:hAnsi="Arial Narrow"/>
                <w:b/>
                <w:sz w:val="18"/>
                <w:szCs w:val="18"/>
                <w:lang w:eastAsia="en-US"/>
              </w:rPr>
              <w:t xml:space="preserve">Category / Program:   </w:t>
            </w:r>
            <w:r w:rsidRPr="00EE11C8">
              <w:rPr>
                <w:rFonts w:ascii="Arial Narrow" w:eastAsia="Calibri" w:hAnsi="Arial Narrow"/>
                <w:sz w:val="18"/>
                <w:szCs w:val="18"/>
                <w:lang w:eastAsia="en-US"/>
              </w:rPr>
              <w:t xml:space="preserve">GENERAL – General Schedule (Code GE) </w:t>
            </w:r>
          </w:p>
        </w:tc>
      </w:tr>
      <w:tr w:rsidR="00F0219F" w:rsidRPr="00EE11C8" w:rsidTr="00F0219F">
        <w:trPr>
          <w:trHeight w:val="65"/>
        </w:trPr>
        <w:tc>
          <w:tcPr>
            <w:tcW w:w="5000" w:type="pct"/>
            <w:tcBorders>
              <w:top w:val="single" w:sz="4" w:space="0" w:color="auto"/>
              <w:left w:val="single" w:sz="4" w:space="0" w:color="auto"/>
              <w:bottom w:val="single" w:sz="4" w:space="0" w:color="auto"/>
              <w:right w:val="single" w:sz="4" w:space="0" w:color="auto"/>
            </w:tcBorders>
          </w:tcPr>
          <w:p w:rsidR="00F0219F" w:rsidRPr="00EE11C8" w:rsidRDefault="00F0219F" w:rsidP="00F228A0">
            <w:pPr>
              <w:keepNext/>
              <w:rPr>
                <w:rFonts w:ascii="Arial Narrow" w:eastAsia="Calibri" w:hAnsi="Arial Narrow"/>
                <w:sz w:val="18"/>
                <w:szCs w:val="18"/>
                <w:lang w:eastAsia="en-US"/>
              </w:rPr>
            </w:pPr>
            <w:r w:rsidRPr="00EE11C8">
              <w:rPr>
                <w:rFonts w:ascii="Arial Narrow" w:eastAsia="Calibri" w:hAnsi="Arial Narrow"/>
                <w:b/>
                <w:sz w:val="18"/>
                <w:szCs w:val="18"/>
                <w:lang w:eastAsia="en-US"/>
              </w:rPr>
              <w:t xml:space="preserve">Prescriber type:  </w:t>
            </w:r>
            <w:r w:rsidRPr="00EE11C8">
              <w:rPr>
                <w:rFonts w:ascii="Arial Narrow" w:eastAsia="Calibri" w:hAnsi="Arial Narrow"/>
                <w:sz w:val="18"/>
                <w:szCs w:val="18"/>
                <w:lang w:eastAsia="en-US"/>
              </w:rPr>
              <w:fldChar w:fldCharType="begin">
                <w:ffData>
                  <w:name w:val=""/>
                  <w:enabled/>
                  <w:calcOnExit w:val="0"/>
                  <w:checkBox>
                    <w:sizeAuto/>
                    <w:default w:val="1"/>
                  </w:checkBox>
                </w:ffData>
              </w:fldChar>
            </w:r>
            <w:r w:rsidRPr="00EE11C8">
              <w:rPr>
                <w:rFonts w:ascii="Arial Narrow" w:eastAsia="Calibri" w:hAnsi="Arial Narrow"/>
                <w:sz w:val="18"/>
                <w:szCs w:val="18"/>
                <w:lang w:eastAsia="en-US"/>
              </w:rPr>
              <w:instrText xml:space="preserve"> FORMCHECKBOX </w:instrText>
            </w:r>
            <w:r w:rsidR="00DC3A3F">
              <w:rPr>
                <w:rFonts w:ascii="Arial Narrow" w:eastAsia="Calibri" w:hAnsi="Arial Narrow"/>
                <w:sz w:val="18"/>
                <w:szCs w:val="18"/>
                <w:lang w:eastAsia="en-US"/>
              </w:rPr>
            </w:r>
            <w:r w:rsidR="00DC3A3F">
              <w:rPr>
                <w:rFonts w:ascii="Arial Narrow" w:eastAsia="Calibri" w:hAnsi="Arial Narrow"/>
                <w:sz w:val="18"/>
                <w:szCs w:val="18"/>
                <w:lang w:eastAsia="en-US"/>
              </w:rPr>
              <w:fldChar w:fldCharType="separate"/>
            </w:r>
            <w:r w:rsidRPr="00EE11C8">
              <w:rPr>
                <w:rFonts w:ascii="Arial Narrow" w:eastAsia="Calibri" w:hAnsi="Arial Narrow"/>
                <w:sz w:val="18"/>
                <w:szCs w:val="18"/>
                <w:lang w:eastAsia="en-US"/>
              </w:rPr>
              <w:fldChar w:fldCharType="end"/>
            </w:r>
            <w:r w:rsidRPr="00EE11C8">
              <w:rPr>
                <w:rFonts w:ascii="Arial Narrow" w:eastAsia="Calibri" w:hAnsi="Arial Narrow"/>
                <w:sz w:val="18"/>
                <w:szCs w:val="18"/>
                <w:lang w:eastAsia="en-US"/>
              </w:rPr>
              <w:t xml:space="preserve">Medical Practitioners  </w:t>
            </w:r>
            <w:r w:rsidRPr="00EE11C8">
              <w:rPr>
                <w:rFonts w:ascii="Arial Narrow" w:eastAsia="Calibri" w:hAnsi="Arial Narrow"/>
                <w:sz w:val="18"/>
                <w:szCs w:val="18"/>
                <w:lang w:eastAsia="en-US"/>
              </w:rPr>
              <w:fldChar w:fldCharType="begin">
                <w:ffData>
                  <w:name w:val=""/>
                  <w:enabled/>
                  <w:calcOnExit w:val="0"/>
                  <w:checkBox>
                    <w:sizeAuto/>
                    <w:default w:val="1"/>
                  </w:checkBox>
                </w:ffData>
              </w:fldChar>
            </w:r>
            <w:r w:rsidRPr="00EE11C8">
              <w:rPr>
                <w:rFonts w:ascii="Arial Narrow" w:eastAsia="Calibri" w:hAnsi="Arial Narrow"/>
                <w:sz w:val="18"/>
                <w:szCs w:val="18"/>
                <w:lang w:eastAsia="en-US"/>
              </w:rPr>
              <w:instrText xml:space="preserve"> FORMCHECKBOX </w:instrText>
            </w:r>
            <w:r w:rsidR="00DC3A3F">
              <w:rPr>
                <w:rFonts w:ascii="Arial Narrow" w:eastAsia="Calibri" w:hAnsi="Arial Narrow"/>
                <w:sz w:val="18"/>
                <w:szCs w:val="18"/>
                <w:lang w:eastAsia="en-US"/>
              </w:rPr>
            </w:r>
            <w:r w:rsidR="00DC3A3F">
              <w:rPr>
                <w:rFonts w:ascii="Arial Narrow" w:eastAsia="Calibri" w:hAnsi="Arial Narrow"/>
                <w:sz w:val="18"/>
                <w:szCs w:val="18"/>
                <w:lang w:eastAsia="en-US"/>
              </w:rPr>
              <w:fldChar w:fldCharType="separate"/>
            </w:r>
            <w:r w:rsidRPr="00EE11C8">
              <w:rPr>
                <w:rFonts w:ascii="Arial Narrow" w:eastAsia="Calibri" w:hAnsi="Arial Narrow"/>
                <w:sz w:val="18"/>
                <w:szCs w:val="18"/>
                <w:lang w:eastAsia="en-US"/>
              </w:rPr>
              <w:fldChar w:fldCharType="end"/>
            </w:r>
            <w:r w:rsidRPr="00EE11C8">
              <w:rPr>
                <w:rFonts w:ascii="Arial Narrow" w:eastAsia="Calibri" w:hAnsi="Arial Narrow"/>
                <w:sz w:val="18"/>
                <w:szCs w:val="18"/>
                <w:lang w:eastAsia="en-US"/>
              </w:rPr>
              <w:t xml:space="preserve">Nurse practitioners  </w:t>
            </w:r>
          </w:p>
        </w:tc>
      </w:tr>
      <w:tr w:rsidR="00F0219F" w:rsidRPr="00EE11C8" w:rsidTr="00F0219F">
        <w:tc>
          <w:tcPr>
            <w:tcW w:w="5000" w:type="pct"/>
            <w:tcBorders>
              <w:top w:val="single" w:sz="4" w:space="0" w:color="auto"/>
              <w:left w:val="single" w:sz="4" w:space="0" w:color="auto"/>
              <w:bottom w:val="single" w:sz="4" w:space="0" w:color="auto"/>
              <w:right w:val="single" w:sz="4" w:space="0" w:color="auto"/>
            </w:tcBorders>
          </w:tcPr>
          <w:p w:rsidR="00F0219F" w:rsidRPr="00EE11C8" w:rsidRDefault="00F0219F" w:rsidP="00F228A0">
            <w:pPr>
              <w:keepNext/>
              <w:rPr>
                <w:rFonts w:ascii="Arial Narrow" w:eastAsia="Calibri" w:hAnsi="Arial Narrow"/>
                <w:b/>
                <w:sz w:val="18"/>
                <w:szCs w:val="18"/>
                <w:lang w:eastAsia="en-US"/>
              </w:rPr>
            </w:pPr>
            <w:r w:rsidRPr="00EE11C8">
              <w:rPr>
                <w:rFonts w:ascii="Arial Narrow" w:eastAsia="Calibri" w:hAnsi="Arial Narrow"/>
                <w:b/>
                <w:sz w:val="18"/>
                <w:szCs w:val="18"/>
                <w:lang w:eastAsia="en-US"/>
              </w:rPr>
              <w:t xml:space="preserve">Restriction Type/ Method: </w:t>
            </w:r>
            <w:r w:rsidRPr="00EE11C8">
              <w:rPr>
                <w:rFonts w:ascii="Arial Narrow" w:eastAsia="Calibri" w:hAnsi="Arial Narrow"/>
                <w:sz w:val="18"/>
                <w:szCs w:val="18"/>
                <w:lang w:eastAsia="en-US"/>
              </w:rPr>
              <w:fldChar w:fldCharType="begin">
                <w:ffData>
                  <w:name w:val=""/>
                  <w:enabled/>
                  <w:calcOnExit w:val="0"/>
                  <w:checkBox>
                    <w:sizeAuto/>
                    <w:default w:val="1"/>
                  </w:checkBox>
                </w:ffData>
              </w:fldChar>
            </w:r>
            <w:r w:rsidRPr="00EE11C8">
              <w:rPr>
                <w:rFonts w:ascii="Arial Narrow" w:eastAsia="Calibri" w:hAnsi="Arial Narrow"/>
                <w:sz w:val="18"/>
                <w:szCs w:val="18"/>
                <w:lang w:eastAsia="en-US"/>
              </w:rPr>
              <w:instrText xml:space="preserve"> FORMCHECKBOX </w:instrText>
            </w:r>
            <w:r w:rsidR="00DC3A3F">
              <w:rPr>
                <w:rFonts w:ascii="Arial Narrow" w:eastAsia="Calibri" w:hAnsi="Arial Narrow"/>
                <w:sz w:val="18"/>
                <w:szCs w:val="18"/>
                <w:lang w:eastAsia="en-US"/>
              </w:rPr>
            </w:r>
            <w:r w:rsidR="00DC3A3F">
              <w:rPr>
                <w:rFonts w:ascii="Arial Narrow" w:eastAsia="Calibri" w:hAnsi="Arial Narrow"/>
                <w:sz w:val="18"/>
                <w:szCs w:val="18"/>
                <w:lang w:eastAsia="en-US"/>
              </w:rPr>
              <w:fldChar w:fldCharType="separate"/>
            </w:r>
            <w:r w:rsidRPr="00EE11C8">
              <w:rPr>
                <w:rFonts w:ascii="Arial Narrow" w:eastAsia="Calibri" w:hAnsi="Arial Narrow"/>
                <w:sz w:val="18"/>
                <w:szCs w:val="18"/>
                <w:lang w:eastAsia="en-US"/>
              </w:rPr>
              <w:fldChar w:fldCharType="end"/>
            </w:r>
            <w:r w:rsidRPr="00EE11C8">
              <w:rPr>
                <w:rFonts w:ascii="Arial Narrow" w:eastAsia="Calibri" w:hAnsi="Arial Narrow"/>
                <w:sz w:val="18"/>
                <w:szCs w:val="18"/>
                <w:lang w:eastAsia="en-US"/>
              </w:rPr>
              <w:t>Authority Required – Streamlined (NEW CODE)</w:t>
            </w:r>
          </w:p>
        </w:tc>
      </w:tr>
      <w:tr w:rsidR="00F0219F" w:rsidRPr="00EE11C8" w:rsidTr="00F0219F">
        <w:tc>
          <w:tcPr>
            <w:tcW w:w="5000" w:type="pct"/>
            <w:vAlign w:val="center"/>
          </w:tcPr>
          <w:p w:rsidR="00F0219F" w:rsidRPr="00EE11C8" w:rsidRDefault="00F0219F" w:rsidP="00F228A0">
            <w:pPr>
              <w:keepNext/>
              <w:rPr>
                <w:rFonts w:ascii="Arial Narrow" w:hAnsi="Arial Narrow"/>
                <w:bCs/>
                <w:sz w:val="18"/>
                <w:szCs w:val="18"/>
              </w:rPr>
            </w:pPr>
            <w:r w:rsidRPr="00EE11C8">
              <w:rPr>
                <w:rFonts w:ascii="Arial Narrow" w:hAnsi="Arial Narrow"/>
                <w:b/>
                <w:bCs/>
                <w:sz w:val="18"/>
                <w:szCs w:val="18"/>
              </w:rPr>
              <w:t xml:space="preserve">Episodicity: </w:t>
            </w:r>
            <w:r w:rsidRPr="00EE11C8">
              <w:rPr>
                <w:rFonts w:ascii="Arial Narrow" w:hAnsi="Arial Narrow"/>
                <w:bCs/>
                <w:sz w:val="18"/>
                <w:szCs w:val="18"/>
              </w:rPr>
              <w:t>[blank]</w:t>
            </w:r>
          </w:p>
        </w:tc>
      </w:tr>
      <w:tr w:rsidR="00F0219F" w:rsidRPr="00EE11C8" w:rsidTr="00F0219F">
        <w:tc>
          <w:tcPr>
            <w:tcW w:w="5000" w:type="pct"/>
            <w:vAlign w:val="center"/>
          </w:tcPr>
          <w:p w:rsidR="00F0219F" w:rsidRPr="00EE11C8" w:rsidRDefault="00F0219F" w:rsidP="00F228A0">
            <w:pPr>
              <w:keepNext/>
              <w:rPr>
                <w:rFonts w:ascii="Arial Narrow" w:hAnsi="Arial Narrow"/>
                <w:b/>
                <w:bCs/>
                <w:sz w:val="18"/>
                <w:szCs w:val="18"/>
              </w:rPr>
            </w:pPr>
            <w:r w:rsidRPr="00EE11C8">
              <w:rPr>
                <w:rFonts w:ascii="Arial Narrow" w:hAnsi="Arial Narrow"/>
                <w:b/>
                <w:bCs/>
                <w:sz w:val="18"/>
                <w:szCs w:val="18"/>
              </w:rPr>
              <w:t xml:space="preserve">Severity: </w:t>
            </w:r>
            <w:r w:rsidRPr="00EE11C8">
              <w:rPr>
                <w:rFonts w:ascii="Arial Narrow" w:hAnsi="Arial Narrow"/>
                <w:bCs/>
                <w:sz w:val="18"/>
                <w:szCs w:val="18"/>
              </w:rPr>
              <w:t>[blank]</w:t>
            </w:r>
          </w:p>
        </w:tc>
      </w:tr>
      <w:tr w:rsidR="00F0219F" w:rsidRPr="00EE11C8" w:rsidTr="00F0219F">
        <w:tc>
          <w:tcPr>
            <w:tcW w:w="5000" w:type="pct"/>
            <w:vAlign w:val="center"/>
          </w:tcPr>
          <w:p w:rsidR="00F0219F" w:rsidRPr="00EE11C8" w:rsidRDefault="00F0219F" w:rsidP="00766868">
            <w:pPr>
              <w:rPr>
                <w:rFonts w:ascii="Arial Narrow" w:hAnsi="Arial Narrow"/>
                <w:b/>
                <w:bCs/>
                <w:sz w:val="18"/>
                <w:szCs w:val="18"/>
              </w:rPr>
            </w:pPr>
            <w:r w:rsidRPr="00EE11C8">
              <w:rPr>
                <w:rFonts w:ascii="Arial Narrow" w:hAnsi="Arial Narrow"/>
                <w:b/>
                <w:bCs/>
                <w:sz w:val="18"/>
                <w:szCs w:val="18"/>
              </w:rPr>
              <w:t xml:space="preserve">Condition: </w:t>
            </w:r>
            <w:r w:rsidRPr="00EE11C8">
              <w:rPr>
                <w:rFonts w:ascii="Arial Narrow" w:hAnsi="Arial Narrow"/>
                <w:bCs/>
                <w:sz w:val="18"/>
                <w:szCs w:val="18"/>
              </w:rPr>
              <w:t>Asthma</w:t>
            </w:r>
          </w:p>
        </w:tc>
      </w:tr>
      <w:tr w:rsidR="00F0219F" w:rsidRPr="00EE11C8" w:rsidTr="00F0219F">
        <w:tc>
          <w:tcPr>
            <w:tcW w:w="5000" w:type="pct"/>
            <w:vAlign w:val="center"/>
            <w:hideMark/>
          </w:tcPr>
          <w:p w:rsidR="00F0219F" w:rsidRPr="00EE11C8" w:rsidRDefault="00F0219F" w:rsidP="00766868">
            <w:pPr>
              <w:rPr>
                <w:rFonts w:ascii="Arial Narrow" w:hAnsi="Arial Narrow"/>
                <w:sz w:val="18"/>
                <w:szCs w:val="18"/>
              </w:rPr>
            </w:pPr>
            <w:r w:rsidRPr="00EE11C8">
              <w:rPr>
                <w:rFonts w:ascii="Arial Narrow" w:hAnsi="Arial Narrow"/>
                <w:b/>
                <w:bCs/>
                <w:sz w:val="18"/>
                <w:szCs w:val="18"/>
              </w:rPr>
              <w:t>Indication:</w:t>
            </w:r>
            <w:r w:rsidRPr="00EE11C8">
              <w:rPr>
                <w:rFonts w:ascii="Arial Narrow" w:hAnsi="Arial Narrow"/>
                <w:sz w:val="18"/>
                <w:szCs w:val="18"/>
              </w:rPr>
              <w:t xml:space="preserve"> Asthma</w:t>
            </w:r>
          </w:p>
        </w:tc>
      </w:tr>
      <w:tr w:rsidR="00F0219F" w:rsidRPr="00EE11C8" w:rsidTr="00F0219F">
        <w:tc>
          <w:tcPr>
            <w:tcW w:w="5000" w:type="pct"/>
            <w:vAlign w:val="center"/>
            <w:hideMark/>
          </w:tcPr>
          <w:p w:rsidR="00F0219F" w:rsidRPr="00EE11C8" w:rsidRDefault="00F0219F" w:rsidP="00766868">
            <w:pPr>
              <w:rPr>
                <w:rFonts w:ascii="Arial Narrow" w:hAnsi="Arial Narrow"/>
                <w:sz w:val="18"/>
                <w:szCs w:val="18"/>
              </w:rPr>
            </w:pPr>
            <w:r w:rsidRPr="00EE11C8">
              <w:rPr>
                <w:rFonts w:ascii="Arial Narrow" w:hAnsi="Arial Narrow"/>
                <w:b/>
                <w:bCs/>
                <w:sz w:val="18"/>
                <w:szCs w:val="18"/>
              </w:rPr>
              <w:t>Clinical criteria:</w:t>
            </w:r>
          </w:p>
        </w:tc>
      </w:tr>
      <w:tr w:rsidR="00F0219F" w:rsidRPr="00EE11C8" w:rsidTr="00F0219F">
        <w:tc>
          <w:tcPr>
            <w:tcW w:w="5000" w:type="pct"/>
            <w:vAlign w:val="center"/>
            <w:hideMark/>
          </w:tcPr>
          <w:p w:rsidR="00F0219F" w:rsidRPr="00EE11C8" w:rsidRDefault="00F0219F" w:rsidP="00766868">
            <w:pPr>
              <w:rPr>
                <w:rFonts w:ascii="Arial Narrow" w:hAnsi="Arial Narrow"/>
                <w:sz w:val="18"/>
                <w:szCs w:val="18"/>
              </w:rPr>
            </w:pPr>
            <w:r w:rsidRPr="00EE11C8">
              <w:rPr>
                <w:rFonts w:ascii="Arial Narrow" w:hAnsi="Arial Narrow"/>
                <w:sz w:val="18"/>
                <w:szCs w:val="18"/>
              </w:rPr>
              <w:t>Patient must have previously had frequent episodes of asthma while receiving treatment with oral corticosteroids or optimal doses of inhaled corticosteroids.</w:t>
            </w:r>
          </w:p>
        </w:tc>
      </w:tr>
      <w:tr w:rsidR="00F0219F" w:rsidRPr="00EE11C8" w:rsidTr="00F0219F">
        <w:tc>
          <w:tcPr>
            <w:tcW w:w="5000" w:type="pct"/>
            <w:vAlign w:val="center"/>
          </w:tcPr>
          <w:p w:rsidR="00F0219F" w:rsidRPr="00EE11C8" w:rsidRDefault="00F0219F" w:rsidP="00766868">
            <w:pPr>
              <w:rPr>
                <w:rFonts w:ascii="Arial Narrow" w:hAnsi="Arial Narrow"/>
                <w:b/>
                <w:sz w:val="18"/>
                <w:szCs w:val="18"/>
              </w:rPr>
            </w:pPr>
            <w:r w:rsidRPr="00EE11C8">
              <w:rPr>
                <w:rFonts w:ascii="Arial Narrow" w:hAnsi="Arial Narrow"/>
                <w:b/>
                <w:sz w:val="18"/>
                <w:szCs w:val="18"/>
              </w:rPr>
              <w:t>AND</w:t>
            </w:r>
          </w:p>
        </w:tc>
      </w:tr>
      <w:tr w:rsidR="00F0219F" w:rsidRPr="00EE11C8" w:rsidTr="00F0219F">
        <w:tc>
          <w:tcPr>
            <w:tcW w:w="5000" w:type="pct"/>
            <w:vAlign w:val="center"/>
            <w:hideMark/>
          </w:tcPr>
          <w:p w:rsidR="00F0219F" w:rsidRPr="00EE11C8" w:rsidRDefault="00F0219F" w:rsidP="00766868">
            <w:pPr>
              <w:rPr>
                <w:rFonts w:ascii="Arial Narrow" w:hAnsi="Arial Narrow"/>
                <w:sz w:val="18"/>
                <w:szCs w:val="18"/>
              </w:rPr>
            </w:pPr>
            <w:r w:rsidRPr="00EE11C8">
              <w:rPr>
                <w:rFonts w:ascii="Arial Narrow" w:hAnsi="Arial Narrow"/>
                <w:b/>
                <w:bCs/>
                <w:sz w:val="18"/>
                <w:szCs w:val="18"/>
              </w:rPr>
              <w:t>Population criteria:</w:t>
            </w:r>
          </w:p>
        </w:tc>
      </w:tr>
      <w:tr w:rsidR="00F0219F" w:rsidRPr="00EE11C8" w:rsidTr="00F0219F">
        <w:tc>
          <w:tcPr>
            <w:tcW w:w="5000" w:type="pct"/>
            <w:vAlign w:val="center"/>
            <w:hideMark/>
          </w:tcPr>
          <w:p w:rsidR="00F0219F" w:rsidRPr="00EE11C8" w:rsidRDefault="00F0219F" w:rsidP="00766868">
            <w:pPr>
              <w:rPr>
                <w:rFonts w:ascii="Arial Narrow" w:hAnsi="Arial Narrow"/>
                <w:sz w:val="18"/>
                <w:szCs w:val="18"/>
              </w:rPr>
            </w:pPr>
            <w:r w:rsidRPr="00EE11C8">
              <w:rPr>
                <w:rFonts w:ascii="Arial Narrow" w:hAnsi="Arial Narrow"/>
                <w:sz w:val="18"/>
                <w:szCs w:val="18"/>
              </w:rPr>
              <w:t>Patient must be aged 12 years or over.</w:t>
            </w:r>
          </w:p>
        </w:tc>
      </w:tr>
      <w:tr w:rsidR="00F0219F" w:rsidRPr="00EE11C8" w:rsidTr="00F0219F">
        <w:tc>
          <w:tcPr>
            <w:tcW w:w="5000" w:type="pct"/>
            <w:vAlign w:val="center"/>
          </w:tcPr>
          <w:p w:rsidR="00F0219F" w:rsidRPr="00EE11C8" w:rsidRDefault="00F0219F" w:rsidP="00766868">
            <w:pPr>
              <w:rPr>
                <w:rFonts w:ascii="Arial Narrow" w:hAnsi="Arial Narrow"/>
                <w:b/>
                <w:bCs/>
                <w:sz w:val="18"/>
                <w:szCs w:val="18"/>
              </w:rPr>
            </w:pPr>
            <w:r w:rsidRPr="00EE11C8">
              <w:rPr>
                <w:rFonts w:ascii="Arial Narrow" w:hAnsi="Arial Narrow"/>
                <w:b/>
                <w:bCs/>
                <w:sz w:val="18"/>
                <w:szCs w:val="18"/>
              </w:rPr>
              <w:lastRenderedPageBreak/>
              <w:t>Administrative Advice</w:t>
            </w:r>
          </w:p>
          <w:p w:rsidR="00F0219F" w:rsidRPr="00EE11C8" w:rsidRDefault="00F0219F" w:rsidP="00766868">
            <w:pPr>
              <w:rPr>
                <w:rFonts w:ascii="Arial Narrow" w:hAnsi="Arial Narrow"/>
                <w:sz w:val="18"/>
                <w:szCs w:val="18"/>
              </w:rPr>
            </w:pPr>
            <w:r w:rsidRPr="00EE11C8">
              <w:rPr>
                <w:rFonts w:ascii="Arial Narrow" w:hAnsi="Arial Narrow"/>
                <w:sz w:val="18"/>
                <w:szCs w:val="18"/>
              </w:rPr>
              <w:t>This product is not indicated for the initiation of treatment in asthma.</w:t>
            </w:r>
          </w:p>
        </w:tc>
      </w:tr>
      <w:tr w:rsidR="00F0219F" w:rsidRPr="00EE11C8" w:rsidTr="00F0219F">
        <w:tc>
          <w:tcPr>
            <w:tcW w:w="5000" w:type="pct"/>
            <w:vAlign w:val="center"/>
          </w:tcPr>
          <w:p w:rsidR="00F0219F" w:rsidRPr="00EE11C8" w:rsidRDefault="00F0219F" w:rsidP="00766868">
            <w:pPr>
              <w:rPr>
                <w:rFonts w:ascii="Arial Narrow" w:hAnsi="Arial Narrow"/>
                <w:b/>
                <w:bCs/>
                <w:sz w:val="18"/>
                <w:szCs w:val="18"/>
              </w:rPr>
            </w:pPr>
            <w:r w:rsidRPr="00EE11C8">
              <w:rPr>
                <w:rFonts w:ascii="Arial Narrow" w:hAnsi="Arial Narrow"/>
                <w:b/>
                <w:bCs/>
                <w:sz w:val="18"/>
                <w:szCs w:val="18"/>
              </w:rPr>
              <w:t>Administrative Advice</w:t>
            </w:r>
          </w:p>
          <w:p w:rsidR="00F0219F" w:rsidRPr="00EE11C8" w:rsidRDefault="00F0219F" w:rsidP="00766868">
            <w:pPr>
              <w:rPr>
                <w:rFonts w:ascii="Arial Narrow" w:hAnsi="Arial Narrow"/>
                <w:b/>
                <w:bCs/>
                <w:sz w:val="18"/>
                <w:szCs w:val="18"/>
              </w:rPr>
            </w:pPr>
            <w:r w:rsidRPr="00EE11C8">
              <w:rPr>
                <w:rFonts w:ascii="Arial Narrow" w:hAnsi="Arial Narrow"/>
                <w:bCs/>
                <w:sz w:val="18"/>
                <w:szCs w:val="18"/>
              </w:rPr>
              <w:t>This product is not PBS-subsidised for the treatment of chronic obstructive pulmonary disease (COPD).</w:t>
            </w:r>
          </w:p>
        </w:tc>
      </w:tr>
      <w:tr w:rsidR="00F0219F" w:rsidRPr="00EE11C8" w:rsidTr="00F0219F">
        <w:tc>
          <w:tcPr>
            <w:tcW w:w="5000" w:type="pct"/>
            <w:vAlign w:val="center"/>
            <w:hideMark/>
          </w:tcPr>
          <w:p w:rsidR="00F0219F" w:rsidRPr="00EE11C8" w:rsidRDefault="00F0219F" w:rsidP="00766868">
            <w:pPr>
              <w:rPr>
                <w:rFonts w:ascii="Arial Narrow" w:hAnsi="Arial Narrow"/>
                <w:b/>
                <w:bCs/>
                <w:sz w:val="18"/>
                <w:szCs w:val="18"/>
              </w:rPr>
            </w:pPr>
            <w:r w:rsidRPr="00EE11C8">
              <w:rPr>
                <w:rFonts w:ascii="Arial Narrow" w:hAnsi="Arial Narrow"/>
                <w:b/>
                <w:bCs/>
                <w:sz w:val="18"/>
                <w:szCs w:val="18"/>
              </w:rPr>
              <w:t>Administrative Advice:</w:t>
            </w:r>
          </w:p>
          <w:p w:rsidR="00F0219F" w:rsidRPr="00EE11C8" w:rsidRDefault="00F0219F" w:rsidP="00766868">
            <w:pPr>
              <w:rPr>
                <w:rFonts w:ascii="Arial Narrow" w:hAnsi="Arial Narrow"/>
                <w:sz w:val="18"/>
                <w:szCs w:val="18"/>
              </w:rPr>
            </w:pPr>
            <w:r w:rsidRPr="00EE11C8">
              <w:rPr>
                <w:rFonts w:ascii="Arial Narrow" w:hAnsi="Arial Narrow"/>
                <w:bCs/>
                <w:sz w:val="18"/>
                <w:szCs w:val="18"/>
              </w:rPr>
              <w:t xml:space="preserve">The patient must not be on a concomitant single agent long-acting-beta-2-agonist (LABA). </w:t>
            </w:r>
          </w:p>
        </w:tc>
      </w:tr>
      <w:tr w:rsidR="00F0219F" w:rsidRPr="00EE11C8" w:rsidTr="00F0219F">
        <w:tc>
          <w:tcPr>
            <w:tcW w:w="5000" w:type="pct"/>
            <w:vAlign w:val="center"/>
            <w:hideMark/>
          </w:tcPr>
          <w:p w:rsidR="00F0219F" w:rsidRPr="00EE11C8" w:rsidRDefault="00F0219F" w:rsidP="00766868">
            <w:pPr>
              <w:rPr>
                <w:rFonts w:ascii="Arial Narrow" w:hAnsi="Arial Narrow"/>
                <w:b/>
                <w:bCs/>
                <w:sz w:val="18"/>
                <w:szCs w:val="18"/>
              </w:rPr>
            </w:pPr>
            <w:r w:rsidRPr="00EE11C8">
              <w:rPr>
                <w:rFonts w:ascii="Arial Narrow" w:hAnsi="Arial Narrow"/>
                <w:b/>
                <w:bCs/>
                <w:sz w:val="18"/>
                <w:szCs w:val="18"/>
              </w:rPr>
              <w:t>Administrative Advice:</w:t>
            </w:r>
          </w:p>
          <w:p w:rsidR="00F0219F" w:rsidRPr="00EE11C8" w:rsidRDefault="00F0219F" w:rsidP="00766868">
            <w:pPr>
              <w:rPr>
                <w:rFonts w:ascii="Arial Narrow" w:hAnsi="Arial Narrow"/>
                <w:sz w:val="18"/>
                <w:szCs w:val="18"/>
              </w:rPr>
            </w:pPr>
            <w:r w:rsidRPr="00EE11C8">
              <w:rPr>
                <w:rFonts w:ascii="Arial Narrow" w:hAnsi="Arial Narrow"/>
                <w:sz w:val="18"/>
                <w:szCs w:val="18"/>
              </w:rPr>
              <w:t>A LABA includes olodaterol, indacaterol, salmeterol, formoterol or vilanterol.</w:t>
            </w:r>
          </w:p>
        </w:tc>
      </w:tr>
      <w:tr w:rsidR="00F0219F" w:rsidRPr="00EE11C8" w:rsidTr="00F0219F">
        <w:tc>
          <w:tcPr>
            <w:tcW w:w="5000" w:type="pct"/>
            <w:vAlign w:val="center"/>
          </w:tcPr>
          <w:p w:rsidR="00F0219F" w:rsidRPr="00EE11C8" w:rsidRDefault="00F0219F" w:rsidP="00766868">
            <w:pPr>
              <w:rPr>
                <w:rFonts w:ascii="Arial Narrow" w:hAnsi="Arial Narrow"/>
                <w:b/>
                <w:bCs/>
                <w:sz w:val="18"/>
                <w:szCs w:val="18"/>
              </w:rPr>
            </w:pPr>
            <w:r w:rsidRPr="00EE11C8">
              <w:rPr>
                <w:rFonts w:ascii="Arial Narrow" w:hAnsi="Arial Narrow"/>
                <w:b/>
                <w:bCs/>
                <w:sz w:val="18"/>
                <w:szCs w:val="18"/>
              </w:rPr>
              <w:t>Administrative Advice:</w:t>
            </w:r>
          </w:p>
          <w:p w:rsidR="00F0219F" w:rsidRPr="00EE11C8" w:rsidRDefault="00F0219F" w:rsidP="00766868">
            <w:pPr>
              <w:rPr>
                <w:rFonts w:ascii="Arial Narrow" w:hAnsi="Arial Narrow"/>
                <w:bCs/>
                <w:sz w:val="18"/>
                <w:szCs w:val="18"/>
              </w:rPr>
            </w:pPr>
            <w:r w:rsidRPr="00EE11C8">
              <w:rPr>
                <w:rFonts w:ascii="Arial Narrow" w:hAnsi="Arial Narrow"/>
                <w:bCs/>
                <w:sz w:val="18"/>
                <w:szCs w:val="18"/>
              </w:rPr>
              <w:t>Adherence to current treatment and device (inhaler) technique should be reviewed at each clinical visit and before "stepping up" a patient's medication regimen.</w:t>
            </w:r>
          </w:p>
        </w:tc>
      </w:tr>
    </w:tbl>
    <w:p w:rsidR="00F0219F" w:rsidRDefault="00F0219F" w:rsidP="00C811AD">
      <w:pPr>
        <w:pStyle w:val="Bodytextitalics"/>
        <w:rPr>
          <w:b/>
        </w:rPr>
      </w:pPr>
    </w:p>
    <w:p w:rsidR="00C811AD" w:rsidRPr="00EE11C8" w:rsidRDefault="00C811AD" w:rsidP="00C811AD">
      <w:pPr>
        <w:pStyle w:val="Bodytextitalics"/>
        <w:rPr>
          <w:b/>
          <w:color w:val="1F497D"/>
          <w:sz w:val="22"/>
        </w:rPr>
      </w:pPr>
      <w:r w:rsidRPr="00EE11C8">
        <w:rPr>
          <w:b/>
        </w:rPr>
        <w:t>This restriction may be subject to further review. Should there be any changes made to the restriction the Sponsor will be informed.</w:t>
      </w:r>
    </w:p>
    <w:p w:rsidR="00083AD6" w:rsidRPr="00083AD6" w:rsidRDefault="00083AD6" w:rsidP="00083AD6">
      <w:pPr>
        <w:pStyle w:val="2-SectionHeading"/>
      </w:pPr>
      <w:r w:rsidRPr="00083AD6">
        <w:t>Context for Decision</w:t>
      </w:r>
    </w:p>
    <w:p w:rsidR="00083AD6" w:rsidRPr="007129F2" w:rsidRDefault="00083AD6" w:rsidP="00DC3A3F">
      <w:pPr>
        <w:spacing w:after="120"/>
        <w:rPr>
          <w:rFonts w:asciiTheme="minorHAnsi" w:hAnsiTheme="minorHAnsi"/>
          <w:bCs/>
          <w:lang w:val="en-GB"/>
        </w:rPr>
      </w:pPr>
      <w:bookmarkStart w:id="39" w:name="_GoBack"/>
      <w:bookmarkEnd w:id="39"/>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83AD6" w:rsidRPr="00083AD6" w:rsidRDefault="00083AD6" w:rsidP="00083AD6">
      <w:pPr>
        <w:pStyle w:val="2-SectionHeading"/>
      </w:pPr>
      <w:r w:rsidRPr="00083AD6">
        <w:t>Sponsor’s Comment</w:t>
      </w:r>
    </w:p>
    <w:p w:rsidR="00C811AD" w:rsidRPr="00EE11C8" w:rsidRDefault="008C4021" w:rsidP="00766868">
      <w:pPr>
        <w:spacing w:after="160" w:line="259" w:lineRule="auto"/>
        <w:rPr>
          <w:szCs w:val="22"/>
        </w:rPr>
      </w:pPr>
      <w:r w:rsidRPr="008C4021">
        <w:rPr>
          <w:rFonts w:asciiTheme="minorHAnsi" w:hAnsiTheme="minorHAnsi"/>
          <w:bCs/>
        </w:rPr>
        <w:t>During the TGA evaluation the recommendation was that the MF/IND doses be changed from metered dose to delivered dose levels and the PSD does not reflect this change. As such, it is important to note that the doses referenced in the PI and the packaging will reflect the following changes:  MF/IND 80/150 mcg is now 567/125, MF/IND 160/150 mcg is now 127.5/125 and MF/IND 320/150 is now 260/125. Additionally while the PSD indicates an error in the estimates, discussions with the Department</w:t>
      </w:r>
      <w:r>
        <w:rPr>
          <w:rFonts w:asciiTheme="minorHAnsi" w:hAnsiTheme="minorHAnsi"/>
          <w:bCs/>
        </w:rPr>
        <w:t xml:space="preserve"> after PBAC consideration</w:t>
      </w:r>
      <w:r w:rsidRPr="008C4021">
        <w:rPr>
          <w:rFonts w:asciiTheme="minorHAnsi" w:hAnsiTheme="minorHAnsi"/>
          <w:bCs/>
        </w:rPr>
        <w:t xml:space="preserve"> confirmed there were no errors as reported in paragraphs 6.37 and 6.38.</w:t>
      </w:r>
    </w:p>
    <w:p w:rsidR="00766868" w:rsidRPr="00EE11C8" w:rsidRDefault="00766868" w:rsidP="00766868">
      <w:pPr>
        <w:pStyle w:val="ListBullet"/>
        <w:numPr>
          <w:ilvl w:val="0"/>
          <w:numId w:val="0"/>
        </w:numPr>
        <w:ind w:left="360" w:hanging="360"/>
      </w:pPr>
    </w:p>
    <w:sectPr w:rsidR="00766868" w:rsidRPr="00EE11C8" w:rsidSect="004D7FD0">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E17" w:rsidRDefault="00240E17" w:rsidP="00124A51">
      <w:r>
        <w:separator/>
      </w:r>
    </w:p>
    <w:p w:rsidR="00240E17" w:rsidRDefault="00240E17"/>
  </w:endnote>
  <w:endnote w:type="continuationSeparator" w:id="0">
    <w:p w:rsidR="00240E17" w:rsidRDefault="00240E17" w:rsidP="00124A51">
      <w:r>
        <w:continuationSeparator/>
      </w:r>
    </w:p>
    <w:p w:rsidR="00240E17" w:rsidRDefault="00240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FB" w:rsidRDefault="000315FB">
    <w:pPr>
      <w:pStyle w:val="Footer"/>
      <w:jc w:val="center"/>
    </w:pPr>
  </w:p>
  <w:p w:rsidR="000315FB" w:rsidRPr="0086432E" w:rsidRDefault="00DC3A3F">
    <w:pPr>
      <w:pStyle w:val="Footer"/>
      <w:jc w:val="center"/>
      <w:rPr>
        <w:b/>
      </w:rPr>
    </w:pPr>
    <w:sdt>
      <w:sdtPr>
        <w:id w:val="116733150"/>
        <w:docPartObj>
          <w:docPartGallery w:val="Page Numbers (Bottom of Page)"/>
          <w:docPartUnique/>
        </w:docPartObj>
      </w:sdtPr>
      <w:sdtEndPr>
        <w:rPr>
          <w:b/>
          <w:noProof/>
        </w:rPr>
      </w:sdtEndPr>
      <w:sdtContent>
        <w:r w:rsidR="000315FB" w:rsidRPr="0086432E">
          <w:rPr>
            <w:b/>
          </w:rPr>
          <w:fldChar w:fldCharType="begin"/>
        </w:r>
        <w:r w:rsidR="000315FB" w:rsidRPr="0086432E">
          <w:rPr>
            <w:b/>
          </w:rPr>
          <w:instrText xml:space="preserve"> PAGE   \* MERGEFORMAT </w:instrText>
        </w:r>
        <w:r w:rsidR="000315FB" w:rsidRPr="0086432E">
          <w:rPr>
            <w:b/>
          </w:rPr>
          <w:fldChar w:fldCharType="separate"/>
        </w:r>
        <w:r>
          <w:rPr>
            <w:b/>
            <w:noProof/>
          </w:rPr>
          <w:t>21</w:t>
        </w:r>
        <w:r w:rsidR="000315FB" w:rsidRPr="0086432E">
          <w:rPr>
            <w:b/>
            <w:noProof/>
          </w:rPr>
          <w:fldChar w:fldCharType="end"/>
        </w:r>
      </w:sdtContent>
    </w:sdt>
  </w:p>
  <w:p w:rsidR="000315FB" w:rsidRPr="007C1CD9" w:rsidRDefault="000315FB" w:rsidP="00015886">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E17" w:rsidRDefault="00240E17" w:rsidP="00124A51">
      <w:r>
        <w:separator/>
      </w:r>
    </w:p>
    <w:p w:rsidR="00240E17" w:rsidRDefault="00240E17"/>
  </w:footnote>
  <w:footnote w:type="continuationSeparator" w:id="0">
    <w:p w:rsidR="00240E17" w:rsidRDefault="00240E17" w:rsidP="00124A51">
      <w:r>
        <w:continuationSeparator/>
      </w:r>
    </w:p>
    <w:p w:rsidR="00240E17" w:rsidRDefault="00240E17"/>
  </w:footnote>
  <w:footnote w:id="1">
    <w:p w:rsidR="000315FB" w:rsidRDefault="000315FB" w:rsidP="00125139">
      <w:pPr>
        <w:pStyle w:val="FootnoteText"/>
      </w:pPr>
      <w:r>
        <w:rPr>
          <w:rStyle w:val="FootnoteReference"/>
        </w:rPr>
        <w:footnoteRef/>
      </w:r>
      <w:r>
        <w:t xml:space="preserve"> National Asthma Council Australia, 2019. The Australian Asthma Handbook. asthmahandbook.org.au [accessed 1 April 2020].</w:t>
      </w:r>
    </w:p>
  </w:footnote>
  <w:footnote w:id="2">
    <w:p w:rsidR="000315FB" w:rsidRPr="00D6247D" w:rsidRDefault="000315FB">
      <w:pPr>
        <w:rPr>
          <w:sz w:val="20"/>
          <w:szCs w:val="20"/>
        </w:rPr>
      </w:pPr>
      <w:r w:rsidRPr="00D6247D">
        <w:rPr>
          <w:rStyle w:val="FootnoteReference"/>
          <w:sz w:val="20"/>
          <w:szCs w:val="20"/>
        </w:rPr>
        <w:footnoteRef/>
      </w:r>
      <w:r w:rsidRPr="00D6247D">
        <w:rPr>
          <w:sz w:val="20"/>
          <w:szCs w:val="20"/>
        </w:rPr>
        <w:t xml:space="preserve"> Condemi et al. 1999. The addition of salmeterol to fluticasone propionate versus increasing the dose of fluticasone propionate in patients with persistent asthma. </w:t>
      </w:r>
      <w:r w:rsidRPr="00D6247D">
        <w:rPr>
          <w:i/>
          <w:sz w:val="20"/>
          <w:szCs w:val="20"/>
        </w:rPr>
        <w:t>Annals of Allergy, Asthma &amp; Immunology</w:t>
      </w:r>
      <w:r w:rsidRPr="00D6247D">
        <w:rPr>
          <w:sz w:val="20"/>
          <w:szCs w:val="20"/>
        </w:rPr>
        <w:t xml:space="preserve"> 82(4): 383-389.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FB" w:rsidRPr="00366211" w:rsidRDefault="000315FB" w:rsidP="00C11AE3">
    <w:pPr>
      <w:keepNext/>
      <w:tabs>
        <w:tab w:val="center" w:pos="4153"/>
        <w:tab w:val="right" w:pos="8306"/>
      </w:tabs>
      <w:ind w:left="360"/>
      <w:jc w:val="center"/>
      <w:rPr>
        <w:rFonts w:asciiTheme="minorHAnsi" w:hAnsiTheme="minorHAnsi"/>
        <w:i/>
        <w:color w:val="000000" w:themeColor="text1"/>
        <w:lang w:eastAsia="en-US"/>
      </w:rPr>
    </w:pPr>
    <w:r>
      <w:rPr>
        <w:rFonts w:asciiTheme="minorHAnsi" w:hAnsiTheme="minorHAnsi"/>
        <w:i/>
        <w:color w:val="000000" w:themeColor="text1"/>
        <w:lang w:eastAsia="en-US"/>
      </w:rPr>
      <w:t xml:space="preserve">Public Summary Document </w:t>
    </w:r>
    <w:r w:rsidRPr="00366211">
      <w:rPr>
        <w:rFonts w:asciiTheme="minorHAnsi" w:hAnsiTheme="minorHAnsi"/>
        <w:i/>
        <w:color w:val="000000" w:themeColor="text1"/>
        <w:lang w:eastAsia="en-US"/>
      </w:rPr>
      <w:t xml:space="preserve">– </w:t>
    </w:r>
    <w:r>
      <w:rPr>
        <w:rFonts w:asciiTheme="minorHAnsi" w:hAnsiTheme="minorHAnsi"/>
        <w:i/>
        <w:color w:val="000000" w:themeColor="text1"/>
        <w:lang w:eastAsia="en-US"/>
      </w:rPr>
      <w:t>July 2020</w:t>
    </w:r>
    <w:r w:rsidRPr="00366211">
      <w:rPr>
        <w:rFonts w:asciiTheme="minorHAnsi" w:hAnsiTheme="minorHAnsi"/>
        <w:i/>
        <w:color w:val="000000" w:themeColor="text1"/>
        <w:lang w:eastAsia="en-US"/>
      </w:rPr>
      <w:t xml:space="preserve"> PBAC Meeting</w:t>
    </w:r>
  </w:p>
  <w:p w:rsidR="000315FB" w:rsidRPr="008C7ECB" w:rsidRDefault="0003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EAC2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2575"/>
    <w:multiLevelType w:val="hybridMultilevel"/>
    <w:tmpl w:val="57FE2E0A"/>
    <w:lvl w:ilvl="0" w:tplc="64AA2AD6">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3D59B0"/>
    <w:multiLevelType w:val="hybridMultilevel"/>
    <w:tmpl w:val="EF706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8B3791"/>
    <w:multiLevelType w:val="multilevel"/>
    <w:tmpl w:val="BF0E1E7A"/>
    <w:lvl w:ilvl="0">
      <w:start w:val="1"/>
      <w:numFmt w:val="decimal"/>
      <w:lvlText w:val="%1"/>
      <w:lvlJc w:val="left"/>
      <w:pPr>
        <w:ind w:left="720" w:hanging="720"/>
      </w:pPr>
      <w:rPr>
        <w:rFonts w:hint="default"/>
        <w:b/>
      </w:rPr>
    </w:lvl>
    <w:lvl w:ilvl="1">
      <w:start w:val="1"/>
      <w:numFmt w:val="lowerRoman"/>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957530"/>
    <w:multiLevelType w:val="hybridMultilevel"/>
    <w:tmpl w:val="EB0A9DF8"/>
    <w:lvl w:ilvl="0" w:tplc="A484C43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029236F"/>
    <w:multiLevelType w:val="multilevel"/>
    <w:tmpl w:val="BF0E1E7A"/>
    <w:lvl w:ilvl="0">
      <w:start w:val="1"/>
      <w:numFmt w:val="decimal"/>
      <w:lvlText w:val="%1"/>
      <w:lvlJc w:val="left"/>
      <w:pPr>
        <w:ind w:left="720" w:hanging="720"/>
      </w:pPr>
      <w:rPr>
        <w:rFonts w:hint="default"/>
        <w:b/>
      </w:rPr>
    </w:lvl>
    <w:lvl w:ilvl="1">
      <w:start w:val="1"/>
      <w:numFmt w:val="lowerRoman"/>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604B45"/>
    <w:multiLevelType w:val="hybridMultilevel"/>
    <w:tmpl w:val="D4A8ED0E"/>
    <w:lvl w:ilvl="0" w:tplc="8156535A">
      <w:numFmt w:val="bullet"/>
      <w:lvlText w:val="-"/>
      <w:lvlJc w:val="left"/>
      <w:pPr>
        <w:ind w:left="1069" w:hanging="360"/>
      </w:pPr>
      <w:rPr>
        <w:rFonts w:ascii="Times New Roman" w:eastAsia="Times New Roman" w:hAnsi="Times New Roman" w:cs="Times New Roman"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D294A"/>
    <w:multiLevelType w:val="hybridMultilevel"/>
    <w:tmpl w:val="103AC928"/>
    <w:lvl w:ilvl="0" w:tplc="3DBE33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157F8"/>
    <w:multiLevelType w:val="hybridMultilevel"/>
    <w:tmpl w:val="C6203E82"/>
    <w:lvl w:ilvl="0" w:tplc="5D5CFDE0">
      <w:start w:val="1"/>
      <w:numFmt w:val="bullet"/>
      <w:pStyle w:val="PBAC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335DF"/>
    <w:multiLevelType w:val="hybridMultilevel"/>
    <w:tmpl w:val="B93A9116"/>
    <w:lvl w:ilvl="0" w:tplc="6254C846">
      <w:numFmt w:val="bullet"/>
      <w:lvlText w:val="-"/>
      <w:lvlJc w:val="left"/>
      <w:pPr>
        <w:ind w:left="1998" w:hanging="360"/>
      </w:pPr>
      <w:rPr>
        <w:rFonts w:ascii="Calibri" w:eastAsiaTheme="minorHAnsi" w:hAnsi="Calibri" w:cstheme="minorBidi" w:hint="default"/>
      </w:rPr>
    </w:lvl>
    <w:lvl w:ilvl="1" w:tplc="0C090003" w:tentative="1">
      <w:start w:val="1"/>
      <w:numFmt w:val="bullet"/>
      <w:lvlText w:val="o"/>
      <w:lvlJc w:val="left"/>
      <w:pPr>
        <w:ind w:left="2718" w:hanging="360"/>
      </w:pPr>
      <w:rPr>
        <w:rFonts w:ascii="Courier New" w:hAnsi="Courier New" w:cs="Courier New" w:hint="default"/>
      </w:rPr>
    </w:lvl>
    <w:lvl w:ilvl="2" w:tplc="0C090005" w:tentative="1">
      <w:start w:val="1"/>
      <w:numFmt w:val="bullet"/>
      <w:lvlText w:val=""/>
      <w:lvlJc w:val="left"/>
      <w:pPr>
        <w:ind w:left="3438" w:hanging="360"/>
      </w:pPr>
      <w:rPr>
        <w:rFonts w:ascii="Wingdings" w:hAnsi="Wingdings" w:hint="default"/>
      </w:rPr>
    </w:lvl>
    <w:lvl w:ilvl="3" w:tplc="0C090001" w:tentative="1">
      <w:start w:val="1"/>
      <w:numFmt w:val="bullet"/>
      <w:lvlText w:val=""/>
      <w:lvlJc w:val="left"/>
      <w:pPr>
        <w:ind w:left="4158" w:hanging="360"/>
      </w:pPr>
      <w:rPr>
        <w:rFonts w:ascii="Symbol" w:hAnsi="Symbol" w:hint="default"/>
      </w:rPr>
    </w:lvl>
    <w:lvl w:ilvl="4" w:tplc="0C090003" w:tentative="1">
      <w:start w:val="1"/>
      <w:numFmt w:val="bullet"/>
      <w:lvlText w:val="o"/>
      <w:lvlJc w:val="left"/>
      <w:pPr>
        <w:ind w:left="4878" w:hanging="360"/>
      </w:pPr>
      <w:rPr>
        <w:rFonts w:ascii="Courier New" w:hAnsi="Courier New" w:cs="Courier New" w:hint="default"/>
      </w:rPr>
    </w:lvl>
    <w:lvl w:ilvl="5" w:tplc="0C090005" w:tentative="1">
      <w:start w:val="1"/>
      <w:numFmt w:val="bullet"/>
      <w:lvlText w:val=""/>
      <w:lvlJc w:val="left"/>
      <w:pPr>
        <w:ind w:left="5598" w:hanging="360"/>
      </w:pPr>
      <w:rPr>
        <w:rFonts w:ascii="Wingdings" w:hAnsi="Wingdings" w:hint="default"/>
      </w:rPr>
    </w:lvl>
    <w:lvl w:ilvl="6" w:tplc="0C090001" w:tentative="1">
      <w:start w:val="1"/>
      <w:numFmt w:val="bullet"/>
      <w:lvlText w:val=""/>
      <w:lvlJc w:val="left"/>
      <w:pPr>
        <w:ind w:left="6318" w:hanging="360"/>
      </w:pPr>
      <w:rPr>
        <w:rFonts w:ascii="Symbol" w:hAnsi="Symbol" w:hint="default"/>
      </w:rPr>
    </w:lvl>
    <w:lvl w:ilvl="7" w:tplc="0C090003" w:tentative="1">
      <w:start w:val="1"/>
      <w:numFmt w:val="bullet"/>
      <w:lvlText w:val="o"/>
      <w:lvlJc w:val="left"/>
      <w:pPr>
        <w:ind w:left="7038" w:hanging="360"/>
      </w:pPr>
      <w:rPr>
        <w:rFonts w:ascii="Courier New" w:hAnsi="Courier New" w:cs="Courier New" w:hint="default"/>
      </w:rPr>
    </w:lvl>
    <w:lvl w:ilvl="8" w:tplc="0C090005" w:tentative="1">
      <w:start w:val="1"/>
      <w:numFmt w:val="bullet"/>
      <w:lvlText w:val=""/>
      <w:lvlJc w:val="left"/>
      <w:pPr>
        <w:ind w:left="7758" w:hanging="360"/>
      </w:pPr>
      <w:rPr>
        <w:rFonts w:ascii="Wingdings" w:hAnsi="Wingdings" w:hint="default"/>
      </w:rPr>
    </w:lvl>
  </w:abstractNum>
  <w:abstractNum w:abstractNumId="17" w15:restartNumberingAfterBreak="0">
    <w:nsid w:val="690A6E8C"/>
    <w:multiLevelType w:val="hybridMultilevel"/>
    <w:tmpl w:val="420AEF2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E3C31EB"/>
    <w:multiLevelType w:val="multilevel"/>
    <w:tmpl w:val="73EC85AC"/>
    <w:lvl w:ilvl="0">
      <w:start w:val="1"/>
      <w:numFmt w:val="decimal"/>
      <w:lvlText w:val="%1"/>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555ABD"/>
    <w:multiLevelType w:val="hybridMultilevel"/>
    <w:tmpl w:val="8EB41B0E"/>
    <w:lvl w:ilvl="0" w:tplc="5A9A5E18">
      <w:start w:val="1"/>
      <w:numFmt w:val="bullet"/>
      <w:lvlText w:val="•"/>
      <w:lvlJc w:val="left"/>
      <w:pPr>
        <w:tabs>
          <w:tab w:val="num" w:pos="720"/>
        </w:tabs>
        <w:ind w:left="720" w:hanging="360"/>
      </w:pPr>
      <w:rPr>
        <w:rFonts w:ascii="Arial" w:hAnsi="Arial" w:hint="default"/>
      </w:rPr>
    </w:lvl>
    <w:lvl w:ilvl="1" w:tplc="1DE64F66" w:tentative="1">
      <w:start w:val="1"/>
      <w:numFmt w:val="bullet"/>
      <w:lvlText w:val="•"/>
      <w:lvlJc w:val="left"/>
      <w:pPr>
        <w:tabs>
          <w:tab w:val="num" w:pos="1440"/>
        </w:tabs>
        <w:ind w:left="1440" w:hanging="360"/>
      </w:pPr>
      <w:rPr>
        <w:rFonts w:ascii="Arial" w:hAnsi="Arial" w:hint="default"/>
      </w:rPr>
    </w:lvl>
    <w:lvl w:ilvl="2" w:tplc="6D721872" w:tentative="1">
      <w:start w:val="1"/>
      <w:numFmt w:val="bullet"/>
      <w:lvlText w:val="•"/>
      <w:lvlJc w:val="left"/>
      <w:pPr>
        <w:tabs>
          <w:tab w:val="num" w:pos="2160"/>
        </w:tabs>
        <w:ind w:left="2160" w:hanging="360"/>
      </w:pPr>
      <w:rPr>
        <w:rFonts w:ascii="Arial" w:hAnsi="Arial" w:hint="default"/>
      </w:rPr>
    </w:lvl>
    <w:lvl w:ilvl="3" w:tplc="32CAB764" w:tentative="1">
      <w:start w:val="1"/>
      <w:numFmt w:val="bullet"/>
      <w:lvlText w:val="•"/>
      <w:lvlJc w:val="left"/>
      <w:pPr>
        <w:tabs>
          <w:tab w:val="num" w:pos="2880"/>
        </w:tabs>
        <w:ind w:left="2880" w:hanging="360"/>
      </w:pPr>
      <w:rPr>
        <w:rFonts w:ascii="Arial" w:hAnsi="Arial" w:hint="default"/>
      </w:rPr>
    </w:lvl>
    <w:lvl w:ilvl="4" w:tplc="30CA28FA" w:tentative="1">
      <w:start w:val="1"/>
      <w:numFmt w:val="bullet"/>
      <w:lvlText w:val="•"/>
      <w:lvlJc w:val="left"/>
      <w:pPr>
        <w:tabs>
          <w:tab w:val="num" w:pos="3600"/>
        </w:tabs>
        <w:ind w:left="3600" w:hanging="360"/>
      </w:pPr>
      <w:rPr>
        <w:rFonts w:ascii="Arial" w:hAnsi="Arial" w:hint="default"/>
      </w:rPr>
    </w:lvl>
    <w:lvl w:ilvl="5" w:tplc="6282A3CA" w:tentative="1">
      <w:start w:val="1"/>
      <w:numFmt w:val="bullet"/>
      <w:lvlText w:val="•"/>
      <w:lvlJc w:val="left"/>
      <w:pPr>
        <w:tabs>
          <w:tab w:val="num" w:pos="4320"/>
        </w:tabs>
        <w:ind w:left="4320" w:hanging="360"/>
      </w:pPr>
      <w:rPr>
        <w:rFonts w:ascii="Arial" w:hAnsi="Arial" w:hint="default"/>
      </w:rPr>
    </w:lvl>
    <w:lvl w:ilvl="6" w:tplc="20F817C8" w:tentative="1">
      <w:start w:val="1"/>
      <w:numFmt w:val="bullet"/>
      <w:lvlText w:val="•"/>
      <w:lvlJc w:val="left"/>
      <w:pPr>
        <w:tabs>
          <w:tab w:val="num" w:pos="5040"/>
        </w:tabs>
        <w:ind w:left="5040" w:hanging="360"/>
      </w:pPr>
      <w:rPr>
        <w:rFonts w:ascii="Arial" w:hAnsi="Arial" w:hint="default"/>
      </w:rPr>
    </w:lvl>
    <w:lvl w:ilvl="7" w:tplc="C7A0B9D6" w:tentative="1">
      <w:start w:val="1"/>
      <w:numFmt w:val="bullet"/>
      <w:lvlText w:val="•"/>
      <w:lvlJc w:val="left"/>
      <w:pPr>
        <w:tabs>
          <w:tab w:val="num" w:pos="5760"/>
        </w:tabs>
        <w:ind w:left="5760" w:hanging="360"/>
      </w:pPr>
      <w:rPr>
        <w:rFonts w:ascii="Arial" w:hAnsi="Arial" w:hint="default"/>
      </w:rPr>
    </w:lvl>
    <w:lvl w:ilvl="8" w:tplc="F38C0C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F00FED"/>
    <w:multiLevelType w:val="multilevel"/>
    <w:tmpl w:val="BF0E1E7A"/>
    <w:lvl w:ilvl="0">
      <w:start w:val="1"/>
      <w:numFmt w:val="decimal"/>
      <w:lvlText w:val="%1"/>
      <w:lvlJc w:val="left"/>
      <w:pPr>
        <w:ind w:left="720" w:hanging="720"/>
      </w:pPr>
      <w:rPr>
        <w:rFonts w:hint="default"/>
        <w:b/>
      </w:rPr>
    </w:lvl>
    <w:lvl w:ilvl="1">
      <w:start w:val="1"/>
      <w:numFmt w:val="lowerRoman"/>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14"/>
  </w:num>
  <w:num w:numId="4">
    <w:abstractNumId w:val="0"/>
  </w:num>
  <w:num w:numId="5">
    <w:abstractNumId w:val="15"/>
  </w:num>
  <w:num w:numId="6">
    <w:abstractNumId w:val="16"/>
  </w:num>
  <w:num w:numId="7">
    <w:abstractNumId w:val="13"/>
  </w:num>
  <w:num w:numId="8">
    <w:abstractNumId w:val="6"/>
  </w:num>
  <w:num w:numId="9">
    <w:abstractNumId w:val="11"/>
  </w:num>
  <w:num w:numId="10">
    <w:abstractNumId w:val="7"/>
  </w:num>
  <w:num w:numId="11">
    <w:abstractNumId w:val="10"/>
  </w:num>
  <w:num w:numId="12">
    <w:abstractNumId w:val="20"/>
  </w:num>
  <w:num w:numId="13">
    <w:abstractNumId w:val="1"/>
  </w:num>
  <w:num w:numId="14">
    <w:abstractNumId w:val="17"/>
  </w:num>
  <w:num w:numId="15">
    <w:abstractNumId w:val="3"/>
  </w:num>
  <w:num w:numId="16">
    <w:abstractNumId w:val="2"/>
  </w:num>
  <w:num w:numId="17">
    <w:abstractNumId w:val="5"/>
  </w:num>
  <w:num w:numId="18">
    <w:abstractNumId w:val="8"/>
  </w:num>
  <w:num w:numId="19">
    <w:abstractNumId w:val="4"/>
  </w:num>
  <w:num w:numId="20">
    <w:abstractNumId w:val="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9"/>
  </w:num>
  <w:num w:numId="24">
    <w:abstractNumId w:val="18"/>
  </w:num>
  <w:num w:numId="25">
    <w:abstractNumId w:val="21"/>
  </w:num>
  <w:num w:numId="26">
    <w:abstractNumId w:val="21"/>
  </w:num>
  <w:num w:numId="27">
    <w:abstractNumId w:val="21"/>
  </w:num>
  <w:num w:numId="28">
    <w:abstractNumId w:val="21"/>
  </w:num>
  <w:num w:numId="29">
    <w:abstractNumId w:val="21"/>
  </w:num>
  <w:num w:numId="3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9FA"/>
    <w:rsid w:val="0000110B"/>
    <w:rsid w:val="00001CE2"/>
    <w:rsid w:val="00003499"/>
    <w:rsid w:val="000039B7"/>
    <w:rsid w:val="0000639A"/>
    <w:rsid w:val="000066D4"/>
    <w:rsid w:val="0001060B"/>
    <w:rsid w:val="0001283E"/>
    <w:rsid w:val="00013247"/>
    <w:rsid w:val="00015886"/>
    <w:rsid w:val="000162EF"/>
    <w:rsid w:val="000207C9"/>
    <w:rsid w:val="0002225F"/>
    <w:rsid w:val="00022B9D"/>
    <w:rsid w:val="00022BCB"/>
    <w:rsid w:val="00023763"/>
    <w:rsid w:val="00024980"/>
    <w:rsid w:val="00024AF5"/>
    <w:rsid w:val="00025C1B"/>
    <w:rsid w:val="000274B8"/>
    <w:rsid w:val="00027770"/>
    <w:rsid w:val="000315FB"/>
    <w:rsid w:val="00031DFE"/>
    <w:rsid w:val="000327A8"/>
    <w:rsid w:val="00033863"/>
    <w:rsid w:val="0003386C"/>
    <w:rsid w:val="00034A63"/>
    <w:rsid w:val="00035DC0"/>
    <w:rsid w:val="00036829"/>
    <w:rsid w:val="0004052A"/>
    <w:rsid w:val="00040895"/>
    <w:rsid w:val="00041496"/>
    <w:rsid w:val="00042ACB"/>
    <w:rsid w:val="00042CEF"/>
    <w:rsid w:val="000435EE"/>
    <w:rsid w:val="00043C37"/>
    <w:rsid w:val="00044A95"/>
    <w:rsid w:val="00044BB8"/>
    <w:rsid w:val="00045017"/>
    <w:rsid w:val="000452A5"/>
    <w:rsid w:val="00045A2B"/>
    <w:rsid w:val="000464FE"/>
    <w:rsid w:val="0004683B"/>
    <w:rsid w:val="0004698F"/>
    <w:rsid w:val="00046A96"/>
    <w:rsid w:val="00047D54"/>
    <w:rsid w:val="000528BB"/>
    <w:rsid w:val="00052A04"/>
    <w:rsid w:val="00053551"/>
    <w:rsid w:val="000539D0"/>
    <w:rsid w:val="00054621"/>
    <w:rsid w:val="000546D7"/>
    <w:rsid w:val="00054DEC"/>
    <w:rsid w:val="00056ECF"/>
    <w:rsid w:val="0006030F"/>
    <w:rsid w:val="000604DF"/>
    <w:rsid w:val="000622DF"/>
    <w:rsid w:val="0006333B"/>
    <w:rsid w:val="000653B5"/>
    <w:rsid w:val="00066360"/>
    <w:rsid w:val="00066AF8"/>
    <w:rsid w:val="0006783D"/>
    <w:rsid w:val="00067CAF"/>
    <w:rsid w:val="00070877"/>
    <w:rsid w:val="00071248"/>
    <w:rsid w:val="00071FD9"/>
    <w:rsid w:val="000720B9"/>
    <w:rsid w:val="000737F7"/>
    <w:rsid w:val="00074639"/>
    <w:rsid w:val="00074D4B"/>
    <w:rsid w:val="0007672F"/>
    <w:rsid w:val="00076B54"/>
    <w:rsid w:val="0007724C"/>
    <w:rsid w:val="000774F0"/>
    <w:rsid w:val="00077582"/>
    <w:rsid w:val="00077BEF"/>
    <w:rsid w:val="00080909"/>
    <w:rsid w:val="000812CA"/>
    <w:rsid w:val="00081E63"/>
    <w:rsid w:val="0008258D"/>
    <w:rsid w:val="00082CFC"/>
    <w:rsid w:val="0008372C"/>
    <w:rsid w:val="00083AD6"/>
    <w:rsid w:val="00083E99"/>
    <w:rsid w:val="00084B5E"/>
    <w:rsid w:val="00084FA8"/>
    <w:rsid w:val="000856C5"/>
    <w:rsid w:val="00085C31"/>
    <w:rsid w:val="00086091"/>
    <w:rsid w:val="000873CC"/>
    <w:rsid w:val="00087B03"/>
    <w:rsid w:val="00087CD8"/>
    <w:rsid w:val="00087D37"/>
    <w:rsid w:val="00087DE0"/>
    <w:rsid w:val="000902D9"/>
    <w:rsid w:val="00090C7E"/>
    <w:rsid w:val="000917A7"/>
    <w:rsid w:val="0009244E"/>
    <w:rsid w:val="00092600"/>
    <w:rsid w:val="0009262B"/>
    <w:rsid w:val="00093310"/>
    <w:rsid w:val="00093B8E"/>
    <w:rsid w:val="0009445C"/>
    <w:rsid w:val="00094DCD"/>
    <w:rsid w:val="00095200"/>
    <w:rsid w:val="00095FC1"/>
    <w:rsid w:val="00095FD7"/>
    <w:rsid w:val="00095FE5"/>
    <w:rsid w:val="00096284"/>
    <w:rsid w:val="00096664"/>
    <w:rsid w:val="000A091F"/>
    <w:rsid w:val="000A1BC0"/>
    <w:rsid w:val="000A3958"/>
    <w:rsid w:val="000A3CCF"/>
    <w:rsid w:val="000A4A7B"/>
    <w:rsid w:val="000A6039"/>
    <w:rsid w:val="000A7453"/>
    <w:rsid w:val="000A7D08"/>
    <w:rsid w:val="000B0121"/>
    <w:rsid w:val="000B01BB"/>
    <w:rsid w:val="000B0670"/>
    <w:rsid w:val="000B0E75"/>
    <w:rsid w:val="000B2D78"/>
    <w:rsid w:val="000B2DCB"/>
    <w:rsid w:val="000B5353"/>
    <w:rsid w:val="000B562F"/>
    <w:rsid w:val="000B5CE0"/>
    <w:rsid w:val="000B6CAC"/>
    <w:rsid w:val="000B7612"/>
    <w:rsid w:val="000B78AE"/>
    <w:rsid w:val="000C0DBA"/>
    <w:rsid w:val="000C1954"/>
    <w:rsid w:val="000C3A6D"/>
    <w:rsid w:val="000C3DF9"/>
    <w:rsid w:val="000C4417"/>
    <w:rsid w:val="000C4889"/>
    <w:rsid w:val="000C4D01"/>
    <w:rsid w:val="000C5B4B"/>
    <w:rsid w:val="000C6605"/>
    <w:rsid w:val="000C6713"/>
    <w:rsid w:val="000D0F29"/>
    <w:rsid w:val="000D1BFC"/>
    <w:rsid w:val="000D1D5D"/>
    <w:rsid w:val="000D270D"/>
    <w:rsid w:val="000D281A"/>
    <w:rsid w:val="000D2848"/>
    <w:rsid w:val="000D326A"/>
    <w:rsid w:val="000D3E0B"/>
    <w:rsid w:val="000D51FB"/>
    <w:rsid w:val="000D6259"/>
    <w:rsid w:val="000D64F9"/>
    <w:rsid w:val="000E0640"/>
    <w:rsid w:val="000E0F9A"/>
    <w:rsid w:val="000E135D"/>
    <w:rsid w:val="000E1613"/>
    <w:rsid w:val="000E1D51"/>
    <w:rsid w:val="000E2FEE"/>
    <w:rsid w:val="000E4763"/>
    <w:rsid w:val="000E4845"/>
    <w:rsid w:val="000E4D44"/>
    <w:rsid w:val="000E5421"/>
    <w:rsid w:val="000E5721"/>
    <w:rsid w:val="000E5CE1"/>
    <w:rsid w:val="000E5E40"/>
    <w:rsid w:val="000E6673"/>
    <w:rsid w:val="000F00BA"/>
    <w:rsid w:val="000F23E2"/>
    <w:rsid w:val="000F316A"/>
    <w:rsid w:val="000F3C74"/>
    <w:rsid w:val="000F4BA3"/>
    <w:rsid w:val="000F4BB8"/>
    <w:rsid w:val="000F4D23"/>
    <w:rsid w:val="000F4FA9"/>
    <w:rsid w:val="000F53FB"/>
    <w:rsid w:val="000F5BDA"/>
    <w:rsid w:val="000F5CE0"/>
    <w:rsid w:val="000F7127"/>
    <w:rsid w:val="000F7781"/>
    <w:rsid w:val="000F7B54"/>
    <w:rsid w:val="0010050F"/>
    <w:rsid w:val="00100F8A"/>
    <w:rsid w:val="001018AD"/>
    <w:rsid w:val="00101DEF"/>
    <w:rsid w:val="0010425E"/>
    <w:rsid w:val="0010452E"/>
    <w:rsid w:val="00105693"/>
    <w:rsid w:val="00105AE2"/>
    <w:rsid w:val="001060C6"/>
    <w:rsid w:val="00106B80"/>
    <w:rsid w:val="0010764F"/>
    <w:rsid w:val="0011032E"/>
    <w:rsid w:val="0011072A"/>
    <w:rsid w:val="001119E6"/>
    <w:rsid w:val="0011348B"/>
    <w:rsid w:val="00113D1D"/>
    <w:rsid w:val="00114E31"/>
    <w:rsid w:val="00115982"/>
    <w:rsid w:val="00116C53"/>
    <w:rsid w:val="0012026D"/>
    <w:rsid w:val="00120621"/>
    <w:rsid w:val="00121003"/>
    <w:rsid w:val="00121799"/>
    <w:rsid w:val="00121FC6"/>
    <w:rsid w:val="001221D8"/>
    <w:rsid w:val="001222FC"/>
    <w:rsid w:val="001228E7"/>
    <w:rsid w:val="00123902"/>
    <w:rsid w:val="00124148"/>
    <w:rsid w:val="00124A51"/>
    <w:rsid w:val="00125139"/>
    <w:rsid w:val="00125B74"/>
    <w:rsid w:val="00126277"/>
    <w:rsid w:val="00126621"/>
    <w:rsid w:val="00126A9F"/>
    <w:rsid w:val="00126B1D"/>
    <w:rsid w:val="00127B27"/>
    <w:rsid w:val="001301E9"/>
    <w:rsid w:val="00130251"/>
    <w:rsid w:val="00131526"/>
    <w:rsid w:val="00131D82"/>
    <w:rsid w:val="00131DE3"/>
    <w:rsid w:val="00132B22"/>
    <w:rsid w:val="00133D36"/>
    <w:rsid w:val="00133D74"/>
    <w:rsid w:val="00137645"/>
    <w:rsid w:val="0014015A"/>
    <w:rsid w:val="00140E99"/>
    <w:rsid w:val="001415A8"/>
    <w:rsid w:val="00141F5D"/>
    <w:rsid w:val="001423FE"/>
    <w:rsid w:val="001437CF"/>
    <w:rsid w:val="00143F67"/>
    <w:rsid w:val="00144A76"/>
    <w:rsid w:val="00145540"/>
    <w:rsid w:val="001456B0"/>
    <w:rsid w:val="001517CB"/>
    <w:rsid w:val="001531C9"/>
    <w:rsid w:val="00153367"/>
    <w:rsid w:val="00153A50"/>
    <w:rsid w:val="001563EA"/>
    <w:rsid w:val="00156F8F"/>
    <w:rsid w:val="00157130"/>
    <w:rsid w:val="001576B1"/>
    <w:rsid w:val="0016047B"/>
    <w:rsid w:val="00160A4C"/>
    <w:rsid w:val="0016159E"/>
    <w:rsid w:val="001616A2"/>
    <w:rsid w:val="00161856"/>
    <w:rsid w:val="00162913"/>
    <w:rsid w:val="00163C2E"/>
    <w:rsid w:val="00163EFF"/>
    <w:rsid w:val="00163F66"/>
    <w:rsid w:val="00164DBF"/>
    <w:rsid w:val="00166157"/>
    <w:rsid w:val="001661FB"/>
    <w:rsid w:val="001671A0"/>
    <w:rsid w:val="0016767F"/>
    <w:rsid w:val="00167A12"/>
    <w:rsid w:val="00167CB8"/>
    <w:rsid w:val="0017012F"/>
    <w:rsid w:val="0017073A"/>
    <w:rsid w:val="00171957"/>
    <w:rsid w:val="00172756"/>
    <w:rsid w:val="00173109"/>
    <w:rsid w:val="00173264"/>
    <w:rsid w:val="00173342"/>
    <w:rsid w:val="00173565"/>
    <w:rsid w:val="00173B07"/>
    <w:rsid w:val="001751FA"/>
    <w:rsid w:val="001818F5"/>
    <w:rsid w:val="00181D9C"/>
    <w:rsid w:val="00184B0E"/>
    <w:rsid w:val="00185E09"/>
    <w:rsid w:val="0018752F"/>
    <w:rsid w:val="001875A8"/>
    <w:rsid w:val="00187794"/>
    <w:rsid w:val="00191040"/>
    <w:rsid w:val="001913A0"/>
    <w:rsid w:val="00191BD6"/>
    <w:rsid w:val="00192348"/>
    <w:rsid w:val="001923D4"/>
    <w:rsid w:val="00192941"/>
    <w:rsid w:val="00193838"/>
    <w:rsid w:val="00194AD8"/>
    <w:rsid w:val="00194C4F"/>
    <w:rsid w:val="00195222"/>
    <w:rsid w:val="00195A56"/>
    <w:rsid w:val="001975D8"/>
    <w:rsid w:val="001A13BA"/>
    <w:rsid w:val="001A178E"/>
    <w:rsid w:val="001A252D"/>
    <w:rsid w:val="001A3055"/>
    <w:rsid w:val="001A35F2"/>
    <w:rsid w:val="001A3B69"/>
    <w:rsid w:val="001A43FA"/>
    <w:rsid w:val="001A4617"/>
    <w:rsid w:val="001A46D7"/>
    <w:rsid w:val="001A47C5"/>
    <w:rsid w:val="001A5789"/>
    <w:rsid w:val="001A59FB"/>
    <w:rsid w:val="001A5E9E"/>
    <w:rsid w:val="001A6354"/>
    <w:rsid w:val="001A6366"/>
    <w:rsid w:val="001A7AE8"/>
    <w:rsid w:val="001A7D25"/>
    <w:rsid w:val="001A7E54"/>
    <w:rsid w:val="001B0743"/>
    <w:rsid w:val="001B204E"/>
    <w:rsid w:val="001B2372"/>
    <w:rsid w:val="001B276D"/>
    <w:rsid w:val="001B3443"/>
    <w:rsid w:val="001B3549"/>
    <w:rsid w:val="001B45B5"/>
    <w:rsid w:val="001B4D20"/>
    <w:rsid w:val="001C15DF"/>
    <w:rsid w:val="001C186B"/>
    <w:rsid w:val="001C2091"/>
    <w:rsid w:val="001C23DF"/>
    <w:rsid w:val="001C2A9B"/>
    <w:rsid w:val="001C4299"/>
    <w:rsid w:val="001C4874"/>
    <w:rsid w:val="001C53B3"/>
    <w:rsid w:val="001C5F94"/>
    <w:rsid w:val="001C6E3B"/>
    <w:rsid w:val="001C6E66"/>
    <w:rsid w:val="001C7FC2"/>
    <w:rsid w:val="001D0B25"/>
    <w:rsid w:val="001D1100"/>
    <w:rsid w:val="001D1391"/>
    <w:rsid w:val="001D25D7"/>
    <w:rsid w:val="001D3B59"/>
    <w:rsid w:val="001D48AA"/>
    <w:rsid w:val="001D4A3B"/>
    <w:rsid w:val="001D50B2"/>
    <w:rsid w:val="001D54C8"/>
    <w:rsid w:val="001D6114"/>
    <w:rsid w:val="001D6718"/>
    <w:rsid w:val="001D7645"/>
    <w:rsid w:val="001E026C"/>
    <w:rsid w:val="001E0EF8"/>
    <w:rsid w:val="001E0F7C"/>
    <w:rsid w:val="001E1E86"/>
    <w:rsid w:val="001E238E"/>
    <w:rsid w:val="001E2483"/>
    <w:rsid w:val="001E2B1E"/>
    <w:rsid w:val="001E2CFF"/>
    <w:rsid w:val="001E2F1C"/>
    <w:rsid w:val="001E2F24"/>
    <w:rsid w:val="001E30D4"/>
    <w:rsid w:val="001E34DF"/>
    <w:rsid w:val="001E52EB"/>
    <w:rsid w:val="001E5EBF"/>
    <w:rsid w:val="001E61D2"/>
    <w:rsid w:val="001E73CC"/>
    <w:rsid w:val="001E740C"/>
    <w:rsid w:val="001E778A"/>
    <w:rsid w:val="001F10BD"/>
    <w:rsid w:val="001F1235"/>
    <w:rsid w:val="001F1ACC"/>
    <w:rsid w:val="001F1CB3"/>
    <w:rsid w:val="001F38B5"/>
    <w:rsid w:val="001F4081"/>
    <w:rsid w:val="001F6FAC"/>
    <w:rsid w:val="001F7361"/>
    <w:rsid w:val="00200BD9"/>
    <w:rsid w:val="002011B0"/>
    <w:rsid w:val="0020229E"/>
    <w:rsid w:val="00202F81"/>
    <w:rsid w:val="00203181"/>
    <w:rsid w:val="00203215"/>
    <w:rsid w:val="00203272"/>
    <w:rsid w:val="002035DE"/>
    <w:rsid w:val="00203783"/>
    <w:rsid w:val="0020385F"/>
    <w:rsid w:val="00203DBD"/>
    <w:rsid w:val="002068A0"/>
    <w:rsid w:val="00207021"/>
    <w:rsid w:val="00207199"/>
    <w:rsid w:val="0020732F"/>
    <w:rsid w:val="00207D00"/>
    <w:rsid w:val="002105C1"/>
    <w:rsid w:val="00210A5A"/>
    <w:rsid w:val="00211914"/>
    <w:rsid w:val="002127A3"/>
    <w:rsid w:val="00212A44"/>
    <w:rsid w:val="00213E24"/>
    <w:rsid w:val="00213EF5"/>
    <w:rsid w:val="002149EA"/>
    <w:rsid w:val="00214B02"/>
    <w:rsid w:val="002156DD"/>
    <w:rsid w:val="00215BFA"/>
    <w:rsid w:val="00215F28"/>
    <w:rsid w:val="002169E0"/>
    <w:rsid w:val="00216BF5"/>
    <w:rsid w:val="0022126C"/>
    <w:rsid w:val="00223B49"/>
    <w:rsid w:val="00223D5A"/>
    <w:rsid w:val="00224DD4"/>
    <w:rsid w:val="002270C6"/>
    <w:rsid w:val="0022753E"/>
    <w:rsid w:val="002278A0"/>
    <w:rsid w:val="002309CC"/>
    <w:rsid w:val="0023209F"/>
    <w:rsid w:val="002328F3"/>
    <w:rsid w:val="00232F66"/>
    <w:rsid w:val="00233C01"/>
    <w:rsid w:val="0023413C"/>
    <w:rsid w:val="002346F0"/>
    <w:rsid w:val="00235761"/>
    <w:rsid w:val="0023629D"/>
    <w:rsid w:val="002370E7"/>
    <w:rsid w:val="00237255"/>
    <w:rsid w:val="00237668"/>
    <w:rsid w:val="00240E17"/>
    <w:rsid w:val="002411B6"/>
    <w:rsid w:val="00241AE3"/>
    <w:rsid w:val="0024228B"/>
    <w:rsid w:val="002424AF"/>
    <w:rsid w:val="00242CFB"/>
    <w:rsid w:val="002439DC"/>
    <w:rsid w:val="00243EB0"/>
    <w:rsid w:val="002441D2"/>
    <w:rsid w:val="00244523"/>
    <w:rsid w:val="00244D83"/>
    <w:rsid w:val="00244DC8"/>
    <w:rsid w:val="002456E8"/>
    <w:rsid w:val="002458BA"/>
    <w:rsid w:val="00245CE9"/>
    <w:rsid w:val="00245DAE"/>
    <w:rsid w:val="0024636C"/>
    <w:rsid w:val="002467A9"/>
    <w:rsid w:val="00247787"/>
    <w:rsid w:val="00247925"/>
    <w:rsid w:val="002502D1"/>
    <w:rsid w:val="002504AB"/>
    <w:rsid w:val="00251006"/>
    <w:rsid w:val="002524D5"/>
    <w:rsid w:val="002526AC"/>
    <w:rsid w:val="00253B1D"/>
    <w:rsid w:val="00253DAC"/>
    <w:rsid w:val="00254484"/>
    <w:rsid w:val="00254738"/>
    <w:rsid w:val="00254DCF"/>
    <w:rsid w:val="0025534B"/>
    <w:rsid w:val="00255952"/>
    <w:rsid w:val="00255999"/>
    <w:rsid w:val="00255BB7"/>
    <w:rsid w:val="002564D0"/>
    <w:rsid w:val="0025673A"/>
    <w:rsid w:val="00256F2A"/>
    <w:rsid w:val="00257541"/>
    <w:rsid w:val="00257A39"/>
    <w:rsid w:val="00257AC4"/>
    <w:rsid w:val="00261EEF"/>
    <w:rsid w:val="0026200C"/>
    <w:rsid w:val="00262262"/>
    <w:rsid w:val="00262A1A"/>
    <w:rsid w:val="00262A87"/>
    <w:rsid w:val="00264D09"/>
    <w:rsid w:val="00264D26"/>
    <w:rsid w:val="0026608F"/>
    <w:rsid w:val="00267642"/>
    <w:rsid w:val="00267AEA"/>
    <w:rsid w:val="00270079"/>
    <w:rsid w:val="002700E6"/>
    <w:rsid w:val="00270D22"/>
    <w:rsid w:val="0027294B"/>
    <w:rsid w:val="00273491"/>
    <w:rsid w:val="0027385C"/>
    <w:rsid w:val="00273EB4"/>
    <w:rsid w:val="00274682"/>
    <w:rsid w:val="002754F3"/>
    <w:rsid w:val="002757E2"/>
    <w:rsid w:val="00275C5A"/>
    <w:rsid w:val="002760FC"/>
    <w:rsid w:val="00281014"/>
    <w:rsid w:val="00281FFC"/>
    <w:rsid w:val="002834A0"/>
    <w:rsid w:val="002834B5"/>
    <w:rsid w:val="002860B4"/>
    <w:rsid w:val="0028665D"/>
    <w:rsid w:val="00286D56"/>
    <w:rsid w:val="00286F96"/>
    <w:rsid w:val="00290F5A"/>
    <w:rsid w:val="0029159B"/>
    <w:rsid w:val="00292DC1"/>
    <w:rsid w:val="00292E50"/>
    <w:rsid w:val="00294A66"/>
    <w:rsid w:val="00294D2B"/>
    <w:rsid w:val="00294F98"/>
    <w:rsid w:val="00295D2E"/>
    <w:rsid w:val="002973C6"/>
    <w:rsid w:val="002975AE"/>
    <w:rsid w:val="002978F8"/>
    <w:rsid w:val="002A009D"/>
    <w:rsid w:val="002A04AD"/>
    <w:rsid w:val="002A11FE"/>
    <w:rsid w:val="002A14AB"/>
    <w:rsid w:val="002A2ADE"/>
    <w:rsid w:val="002A2F50"/>
    <w:rsid w:val="002A35B9"/>
    <w:rsid w:val="002A4B6E"/>
    <w:rsid w:val="002A6971"/>
    <w:rsid w:val="002B0003"/>
    <w:rsid w:val="002B05A1"/>
    <w:rsid w:val="002B09A4"/>
    <w:rsid w:val="002B0BB8"/>
    <w:rsid w:val="002B0DE8"/>
    <w:rsid w:val="002B1C1F"/>
    <w:rsid w:val="002B3E22"/>
    <w:rsid w:val="002B432F"/>
    <w:rsid w:val="002B521F"/>
    <w:rsid w:val="002B62B3"/>
    <w:rsid w:val="002B665B"/>
    <w:rsid w:val="002B6754"/>
    <w:rsid w:val="002B6AC5"/>
    <w:rsid w:val="002B6CCE"/>
    <w:rsid w:val="002B75B1"/>
    <w:rsid w:val="002C0698"/>
    <w:rsid w:val="002C2510"/>
    <w:rsid w:val="002C2775"/>
    <w:rsid w:val="002C27C1"/>
    <w:rsid w:val="002C5099"/>
    <w:rsid w:val="002C5889"/>
    <w:rsid w:val="002C71CE"/>
    <w:rsid w:val="002C73D9"/>
    <w:rsid w:val="002C7CB7"/>
    <w:rsid w:val="002D08F8"/>
    <w:rsid w:val="002D135E"/>
    <w:rsid w:val="002D14F0"/>
    <w:rsid w:val="002D2D2F"/>
    <w:rsid w:val="002D577C"/>
    <w:rsid w:val="002E0BA8"/>
    <w:rsid w:val="002E1071"/>
    <w:rsid w:val="002E15B9"/>
    <w:rsid w:val="002E2158"/>
    <w:rsid w:val="002E3DDC"/>
    <w:rsid w:val="002E4F02"/>
    <w:rsid w:val="002E598E"/>
    <w:rsid w:val="002E6A15"/>
    <w:rsid w:val="002E6C17"/>
    <w:rsid w:val="002E7722"/>
    <w:rsid w:val="002F07BA"/>
    <w:rsid w:val="002F0A5E"/>
    <w:rsid w:val="002F0DA9"/>
    <w:rsid w:val="002F1014"/>
    <w:rsid w:val="002F1072"/>
    <w:rsid w:val="002F2026"/>
    <w:rsid w:val="002F27AF"/>
    <w:rsid w:val="002F2E84"/>
    <w:rsid w:val="002F3442"/>
    <w:rsid w:val="002F42C7"/>
    <w:rsid w:val="002F643C"/>
    <w:rsid w:val="002F71C0"/>
    <w:rsid w:val="002F74F1"/>
    <w:rsid w:val="002F7A42"/>
    <w:rsid w:val="00301017"/>
    <w:rsid w:val="0030155F"/>
    <w:rsid w:val="00301C64"/>
    <w:rsid w:val="00303E9D"/>
    <w:rsid w:val="0030587B"/>
    <w:rsid w:val="003063D0"/>
    <w:rsid w:val="00306461"/>
    <w:rsid w:val="003068AA"/>
    <w:rsid w:val="00306D98"/>
    <w:rsid w:val="003076B2"/>
    <w:rsid w:val="0030786C"/>
    <w:rsid w:val="00307A21"/>
    <w:rsid w:val="00307D57"/>
    <w:rsid w:val="0031031A"/>
    <w:rsid w:val="003104C8"/>
    <w:rsid w:val="00310981"/>
    <w:rsid w:val="00310A78"/>
    <w:rsid w:val="00310A7C"/>
    <w:rsid w:val="00311446"/>
    <w:rsid w:val="00311D61"/>
    <w:rsid w:val="00311DB9"/>
    <w:rsid w:val="003124D9"/>
    <w:rsid w:val="003124FE"/>
    <w:rsid w:val="00312594"/>
    <w:rsid w:val="003135CB"/>
    <w:rsid w:val="00315498"/>
    <w:rsid w:val="003156F1"/>
    <w:rsid w:val="00316474"/>
    <w:rsid w:val="00316E2D"/>
    <w:rsid w:val="003215C2"/>
    <w:rsid w:val="00322107"/>
    <w:rsid w:val="00322145"/>
    <w:rsid w:val="00322355"/>
    <w:rsid w:val="00322846"/>
    <w:rsid w:val="00322D7B"/>
    <w:rsid w:val="00324F78"/>
    <w:rsid w:val="003250C6"/>
    <w:rsid w:val="003252AC"/>
    <w:rsid w:val="00325D4C"/>
    <w:rsid w:val="00326CEF"/>
    <w:rsid w:val="00326DA7"/>
    <w:rsid w:val="003270E4"/>
    <w:rsid w:val="003276A9"/>
    <w:rsid w:val="00330DAA"/>
    <w:rsid w:val="00330F5C"/>
    <w:rsid w:val="00330FA0"/>
    <w:rsid w:val="00331049"/>
    <w:rsid w:val="00333811"/>
    <w:rsid w:val="00334469"/>
    <w:rsid w:val="003344CE"/>
    <w:rsid w:val="003366C9"/>
    <w:rsid w:val="00336D75"/>
    <w:rsid w:val="00336EDD"/>
    <w:rsid w:val="003371B0"/>
    <w:rsid w:val="00337382"/>
    <w:rsid w:val="00337B15"/>
    <w:rsid w:val="003407D0"/>
    <w:rsid w:val="00340DF1"/>
    <w:rsid w:val="003421B5"/>
    <w:rsid w:val="00342565"/>
    <w:rsid w:val="003427A0"/>
    <w:rsid w:val="00342970"/>
    <w:rsid w:val="00342CD1"/>
    <w:rsid w:val="0034477F"/>
    <w:rsid w:val="00344DC4"/>
    <w:rsid w:val="003453B8"/>
    <w:rsid w:val="0034588E"/>
    <w:rsid w:val="00345AA5"/>
    <w:rsid w:val="0034656C"/>
    <w:rsid w:val="00347C46"/>
    <w:rsid w:val="003517F9"/>
    <w:rsid w:val="00351BA9"/>
    <w:rsid w:val="003523DB"/>
    <w:rsid w:val="003539F5"/>
    <w:rsid w:val="00354F64"/>
    <w:rsid w:val="0035504F"/>
    <w:rsid w:val="003553CE"/>
    <w:rsid w:val="00355EBE"/>
    <w:rsid w:val="0035620E"/>
    <w:rsid w:val="00357495"/>
    <w:rsid w:val="00360345"/>
    <w:rsid w:val="0036073E"/>
    <w:rsid w:val="00360EB3"/>
    <w:rsid w:val="00361A05"/>
    <w:rsid w:val="00362269"/>
    <w:rsid w:val="003624C4"/>
    <w:rsid w:val="00362793"/>
    <w:rsid w:val="003632AD"/>
    <w:rsid w:val="0036390D"/>
    <w:rsid w:val="0036395D"/>
    <w:rsid w:val="00363B00"/>
    <w:rsid w:val="003648AE"/>
    <w:rsid w:val="00364D8C"/>
    <w:rsid w:val="003654AC"/>
    <w:rsid w:val="00365CFE"/>
    <w:rsid w:val="0036725B"/>
    <w:rsid w:val="00367559"/>
    <w:rsid w:val="00370FA5"/>
    <w:rsid w:val="003710CF"/>
    <w:rsid w:val="003728A7"/>
    <w:rsid w:val="00372E95"/>
    <w:rsid w:val="0037358A"/>
    <w:rsid w:val="00373C78"/>
    <w:rsid w:val="003750F6"/>
    <w:rsid w:val="003760FC"/>
    <w:rsid w:val="00376111"/>
    <w:rsid w:val="003769B9"/>
    <w:rsid w:val="00377C8D"/>
    <w:rsid w:val="00381954"/>
    <w:rsid w:val="0038291A"/>
    <w:rsid w:val="00382BBA"/>
    <w:rsid w:val="0038365C"/>
    <w:rsid w:val="0038369B"/>
    <w:rsid w:val="00383B78"/>
    <w:rsid w:val="00384299"/>
    <w:rsid w:val="00385404"/>
    <w:rsid w:val="00385A9D"/>
    <w:rsid w:val="0038780A"/>
    <w:rsid w:val="0039024C"/>
    <w:rsid w:val="003902B1"/>
    <w:rsid w:val="00390369"/>
    <w:rsid w:val="00390CE0"/>
    <w:rsid w:val="00390DCB"/>
    <w:rsid w:val="00391582"/>
    <w:rsid w:val="0039179C"/>
    <w:rsid w:val="00391F86"/>
    <w:rsid w:val="003935D7"/>
    <w:rsid w:val="003943D4"/>
    <w:rsid w:val="0039513F"/>
    <w:rsid w:val="003953E8"/>
    <w:rsid w:val="00395E42"/>
    <w:rsid w:val="00396896"/>
    <w:rsid w:val="00396FD0"/>
    <w:rsid w:val="003972A9"/>
    <w:rsid w:val="0039764F"/>
    <w:rsid w:val="00397761"/>
    <w:rsid w:val="00397F39"/>
    <w:rsid w:val="003A0B59"/>
    <w:rsid w:val="003A1A7A"/>
    <w:rsid w:val="003A2392"/>
    <w:rsid w:val="003A2831"/>
    <w:rsid w:val="003A3CB6"/>
    <w:rsid w:val="003A3ED1"/>
    <w:rsid w:val="003A44DB"/>
    <w:rsid w:val="003A5FF4"/>
    <w:rsid w:val="003B255C"/>
    <w:rsid w:val="003B2905"/>
    <w:rsid w:val="003B2F08"/>
    <w:rsid w:val="003B316A"/>
    <w:rsid w:val="003B37CB"/>
    <w:rsid w:val="003B3971"/>
    <w:rsid w:val="003B55D1"/>
    <w:rsid w:val="003B5B61"/>
    <w:rsid w:val="003B5DD8"/>
    <w:rsid w:val="003C1654"/>
    <w:rsid w:val="003C2B33"/>
    <w:rsid w:val="003C3686"/>
    <w:rsid w:val="003C5542"/>
    <w:rsid w:val="003C6364"/>
    <w:rsid w:val="003C6B0D"/>
    <w:rsid w:val="003C7D19"/>
    <w:rsid w:val="003C7D2F"/>
    <w:rsid w:val="003D1828"/>
    <w:rsid w:val="003D1B31"/>
    <w:rsid w:val="003D1DE4"/>
    <w:rsid w:val="003D1E9A"/>
    <w:rsid w:val="003D211D"/>
    <w:rsid w:val="003D2422"/>
    <w:rsid w:val="003D39A1"/>
    <w:rsid w:val="003D3FBF"/>
    <w:rsid w:val="003D4A30"/>
    <w:rsid w:val="003D6801"/>
    <w:rsid w:val="003D6A4B"/>
    <w:rsid w:val="003D7452"/>
    <w:rsid w:val="003D79BB"/>
    <w:rsid w:val="003D7C98"/>
    <w:rsid w:val="003D7D9D"/>
    <w:rsid w:val="003E02D4"/>
    <w:rsid w:val="003E0543"/>
    <w:rsid w:val="003E05D1"/>
    <w:rsid w:val="003E250D"/>
    <w:rsid w:val="003E39EB"/>
    <w:rsid w:val="003E6293"/>
    <w:rsid w:val="003E749E"/>
    <w:rsid w:val="003F0A02"/>
    <w:rsid w:val="003F3BF1"/>
    <w:rsid w:val="003F4156"/>
    <w:rsid w:val="003F5671"/>
    <w:rsid w:val="003F5ADF"/>
    <w:rsid w:val="003F626E"/>
    <w:rsid w:val="003F6526"/>
    <w:rsid w:val="003F7ADE"/>
    <w:rsid w:val="00400B29"/>
    <w:rsid w:val="0040321A"/>
    <w:rsid w:val="004037CA"/>
    <w:rsid w:val="00404A64"/>
    <w:rsid w:val="00404BAE"/>
    <w:rsid w:val="0040504B"/>
    <w:rsid w:val="004059F4"/>
    <w:rsid w:val="00407FE5"/>
    <w:rsid w:val="004101B0"/>
    <w:rsid w:val="00410252"/>
    <w:rsid w:val="00410326"/>
    <w:rsid w:val="00410708"/>
    <w:rsid w:val="00410EC7"/>
    <w:rsid w:val="00410FCB"/>
    <w:rsid w:val="0041119A"/>
    <w:rsid w:val="00411B39"/>
    <w:rsid w:val="004127A7"/>
    <w:rsid w:val="004135D4"/>
    <w:rsid w:val="00413A1E"/>
    <w:rsid w:val="00414476"/>
    <w:rsid w:val="00414C2E"/>
    <w:rsid w:val="004151CF"/>
    <w:rsid w:val="00416364"/>
    <w:rsid w:val="004179B0"/>
    <w:rsid w:val="00420215"/>
    <w:rsid w:val="0042047F"/>
    <w:rsid w:val="00420705"/>
    <w:rsid w:val="00420AA6"/>
    <w:rsid w:val="00420B9F"/>
    <w:rsid w:val="00421392"/>
    <w:rsid w:val="0042192C"/>
    <w:rsid w:val="00422260"/>
    <w:rsid w:val="00422D07"/>
    <w:rsid w:val="00422D34"/>
    <w:rsid w:val="0042413F"/>
    <w:rsid w:val="0042498E"/>
    <w:rsid w:val="00424B8E"/>
    <w:rsid w:val="00424E0C"/>
    <w:rsid w:val="00426B16"/>
    <w:rsid w:val="00427541"/>
    <w:rsid w:val="004314EC"/>
    <w:rsid w:val="004319F8"/>
    <w:rsid w:val="00431E55"/>
    <w:rsid w:val="004321F6"/>
    <w:rsid w:val="0043296E"/>
    <w:rsid w:val="00433044"/>
    <w:rsid w:val="00433264"/>
    <w:rsid w:val="004332D8"/>
    <w:rsid w:val="00433948"/>
    <w:rsid w:val="00434088"/>
    <w:rsid w:val="004361AF"/>
    <w:rsid w:val="004366F4"/>
    <w:rsid w:val="004375B9"/>
    <w:rsid w:val="004401B1"/>
    <w:rsid w:val="004428D0"/>
    <w:rsid w:val="00442B48"/>
    <w:rsid w:val="00443355"/>
    <w:rsid w:val="00444185"/>
    <w:rsid w:val="004443A7"/>
    <w:rsid w:val="0044442C"/>
    <w:rsid w:val="00444C65"/>
    <w:rsid w:val="00444FBA"/>
    <w:rsid w:val="00445941"/>
    <w:rsid w:val="00445B62"/>
    <w:rsid w:val="004464EB"/>
    <w:rsid w:val="00447D26"/>
    <w:rsid w:val="00447DFC"/>
    <w:rsid w:val="00450226"/>
    <w:rsid w:val="004503B7"/>
    <w:rsid w:val="00451025"/>
    <w:rsid w:val="00451A3F"/>
    <w:rsid w:val="00454180"/>
    <w:rsid w:val="00454BE8"/>
    <w:rsid w:val="00455D45"/>
    <w:rsid w:val="00456C75"/>
    <w:rsid w:val="004574CA"/>
    <w:rsid w:val="004638A3"/>
    <w:rsid w:val="00464595"/>
    <w:rsid w:val="004646EC"/>
    <w:rsid w:val="004658B5"/>
    <w:rsid w:val="00465C34"/>
    <w:rsid w:val="00466260"/>
    <w:rsid w:val="004670D7"/>
    <w:rsid w:val="0046729B"/>
    <w:rsid w:val="00467A17"/>
    <w:rsid w:val="0047081F"/>
    <w:rsid w:val="00471EA5"/>
    <w:rsid w:val="00472A79"/>
    <w:rsid w:val="004739AE"/>
    <w:rsid w:val="00473D6C"/>
    <w:rsid w:val="00473F19"/>
    <w:rsid w:val="00475C1C"/>
    <w:rsid w:val="00475E22"/>
    <w:rsid w:val="00475F05"/>
    <w:rsid w:val="00477E1E"/>
    <w:rsid w:val="0048088E"/>
    <w:rsid w:val="00480F2B"/>
    <w:rsid w:val="00481532"/>
    <w:rsid w:val="00481619"/>
    <w:rsid w:val="004821AC"/>
    <w:rsid w:val="00482264"/>
    <w:rsid w:val="00482720"/>
    <w:rsid w:val="004832BC"/>
    <w:rsid w:val="004835E7"/>
    <w:rsid w:val="00484187"/>
    <w:rsid w:val="00484383"/>
    <w:rsid w:val="00484488"/>
    <w:rsid w:val="00486357"/>
    <w:rsid w:val="004867E2"/>
    <w:rsid w:val="00486B2B"/>
    <w:rsid w:val="004904E4"/>
    <w:rsid w:val="00490B17"/>
    <w:rsid w:val="00491B3A"/>
    <w:rsid w:val="00492CFD"/>
    <w:rsid w:val="0049320A"/>
    <w:rsid w:val="00494207"/>
    <w:rsid w:val="004944B3"/>
    <w:rsid w:val="00494DD5"/>
    <w:rsid w:val="00495D7C"/>
    <w:rsid w:val="004962D2"/>
    <w:rsid w:val="004A067B"/>
    <w:rsid w:val="004A0DA1"/>
    <w:rsid w:val="004A13D6"/>
    <w:rsid w:val="004A15BA"/>
    <w:rsid w:val="004A1FF9"/>
    <w:rsid w:val="004A2995"/>
    <w:rsid w:val="004A52E9"/>
    <w:rsid w:val="004A6040"/>
    <w:rsid w:val="004A61EE"/>
    <w:rsid w:val="004A6597"/>
    <w:rsid w:val="004A6DC8"/>
    <w:rsid w:val="004A6F0E"/>
    <w:rsid w:val="004A7848"/>
    <w:rsid w:val="004B1CB4"/>
    <w:rsid w:val="004B2F18"/>
    <w:rsid w:val="004B365A"/>
    <w:rsid w:val="004B3DDB"/>
    <w:rsid w:val="004B44FD"/>
    <w:rsid w:val="004B4C38"/>
    <w:rsid w:val="004B57C3"/>
    <w:rsid w:val="004B5CFC"/>
    <w:rsid w:val="004B6F79"/>
    <w:rsid w:val="004B76C6"/>
    <w:rsid w:val="004B774D"/>
    <w:rsid w:val="004B7F2E"/>
    <w:rsid w:val="004C13B5"/>
    <w:rsid w:val="004C1A1D"/>
    <w:rsid w:val="004C1AED"/>
    <w:rsid w:val="004C1D42"/>
    <w:rsid w:val="004C2624"/>
    <w:rsid w:val="004C3FA4"/>
    <w:rsid w:val="004C4608"/>
    <w:rsid w:val="004C4AED"/>
    <w:rsid w:val="004C56C9"/>
    <w:rsid w:val="004D2C2D"/>
    <w:rsid w:val="004D4072"/>
    <w:rsid w:val="004D449B"/>
    <w:rsid w:val="004D5AFC"/>
    <w:rsid w:val="004D6426"/>
    <w:rsid w:val="004D69B5"/>
    <w:rsid w:val="004D7227"/>
    <w:rsid w:val="004D7FD0"/>
    <w:rsid w:val="004E0087"/>
    <w:rsid w:val="004E0E7F"/>
    <w:rsid w:val="004E0EB8"/>
    <w:rsid w:val="004E0EF3"/>
    <w:rsid w:val="004E1238"/>
    <w:rsid w:val="004E18E9"/>
    <w:rsid w:val="004E2ADC"/>
    <w:rsid w:val="004E3335"/>
    <w:rsid w:val="004E37C9"/>
    <w:rsid w:val="004E43B2"/>
    <w:rsid w:val="004E48E2"/>
    <w:rsid w:val="004E4CFC"/>
    <w:rsid w:val="004F004C"/>
    <w:rsid w:val="004F0706"/>
    <w:rsid w:val="004F1D02"/>
    <w:rsid w:val="004F1DAF"/>
    <w:rsid w:val="004F1E04"/>
    <w:rsid w:val="004F2679"/>
    <w:rsid w:val="004F2DB6"/>
    <w:rsid w:val="004F2F21"/>
    <w:rsid w:val="004F3DE5"/>
    <w:rsid w:val="004F44A8"/>
    <w:rsid w:val="004F6913"/>
    <w:rsid w:val="004F7747"/>
    <w:rsid w:val="004F7865"/>
    <w:rsid w:val="0050174E"/>
    <w:rsid w:val="00501854"/>
    <w:rsid w:val="0050219B"/>
    <w:rsid w:val="00503F17"/>
    <w:rsid w:val="00503FA7"/>
    <w:rsid w:val="00504A92"/>
    <w:rsid w:val="0050637B"/>
    <w:rsid w:val="0050690C"/>
    <w:rsid w:val="00506928"/>
    <w:rsid w:val="00506DF7"/>
    <w:rsid w:val="00507381"/>
    <w:rsid w:val="005077EF"/>
    <w:rsid w:val="00507AAC"/>
    <w:rsid w:val="00507DA0"/>
    <w:rsid w:val="00507E18"/>
    <w:rsid w:val="00511AD5"/>
    <w:rsid w:val="00511DC7"/>
    <w:rsid w:val="00511E03"/>
    <w:rsid w:val="005134C3"/>
    <w:rsid w:val="005142C5"/>
    <w:rsid w:val="00514440"/>
    <w:rsid w:val="00514A77"/>
    <w:rsid w:val="0051501B"/>
    <w:rsid w:val="005152B5"/>
    <w:rsid w:val="00515D4A"/>
    <w:rsid w:val="00520EB6"/>
    <w:rsid w:val="0052123C"/>
    <w:rsid w:val="00521319"/>
    <w:rsid w:val="00521998"/>
    <w:rsid w:val="00522BC8"/>
    <w:rsid w:val="00523495"/>
    <w:rsid w:val="00523670"/>
    <w:rsid w:val="00523C28"/>
    <w:rsid w:val="005247AF"/>
    <w:rsid w:val="00524C11"/>
    <w:rsid w:val="0052535A"/>
    <w:rsid w:val="005268D8"/>
    <w:rsid w:val="005277C3"/>
    <w:rsid w:val="00527A7E"/>
    <w:rsid w:val="00527CC0"/>
    <w:rsid w:val="0053176B"/>
    <w:rsid w:val="005321AC"/>
    <w:rsid w:val="005322BB"/>
    <w:rsid w:val="0053353C"/>
    <w:rsid w:val="00534490"/>
    <w:rsid w:val="0053481A"/>
    <w:rsid w:val="0053511C"/>
    <w:rsid w:val="00536F42"/>
    <w:rsid w:val="00537182"/>
    <w:rsid w:val="00540914"/>
    <w:rsid w:val="00540D2D"/>
    <w:rsid w:val="00541EDD"/>
    <w:rsid w:val="0054267F"/>
    <w:rsid w:val="00542743"/>
    <w:rsid w:val="00542B6D"/>
    <w:rsid w:val="00542C2D"/>
    <w:rsid w:val="005436FD"/>
    <w:rsid w:val="005442F1"/>
    <w:rsid w:val="0054504E"/>
    <w:rsid w:val="00545711"/>
    <w:rsid w:val="005457CA"/>
    <w:rsid w:val="00545C77"/>
    <w:rsid w:val="0054746F"/>
    <w:rsid w:val="005478BD"/>
    <w:rsid w:val="0054796B"/>
    <w:rsid w:val="005479E3"/>
    <w:rsid w:val="00550957"/>
    <w:rsid w:val="0055174D"/>
    <w:rsid w:val="00551985"/>
    <w:rsid w:val="00552BD3"/>
    <w:rsid w:val="0055304D"/>
    <w:rsid w:val="005532A0"/>
    <w:rsid w:val="00553F2B"/>
    <w:rsid w:val="00554EEA"/>
    <w:rsid w:val="00555109"/>
    <w:rsid w:val="00556097"/>
    <w:rsid w:val="00556748"/>
    <w:rsid w:val="00556B35"/>
    <w:rsid w:val="0055741A"/>
    <w:rsid w:val="005601AD"/>
    <w:rsid w:val="005602F3"/>
    <w:rsid w:val="0056063D"/>
    <w:rsid w:val="00560E32"/>
    <w:rsid w:val="005611B7"/>
    <w:rsid w:val="005618D4"/>
    <w:rsid w:val="00561AA8"/>
    <w:rsid w:val="00561DF2"/>
    <w:rsid w:val="00562C8C"/>
    <w:rsid w:val="00565DF0"/>
    <w:rsid w:val="0056696F"/>
    <w:rsid w:val="00566F09"/>
    <w:rsid w:val="00567077"/>
    <w:rsid w:val="00567551"/>
    <w:rsid w:val="00572269"/>
    <w:rsid w:val="0057244A"/>
    <w:rsid w:val="00572F26"/>
    <w:rsid w:val="00573B05"/>
    <w:rsid w:val="005741F9"/>
    <w:rsid w:val="005750C5"/>
    <w:rsid w:val="005752DE"/>
    <w:rsid w:val="00575D8D"/>
    <w:rsid w:val="0057635B"/>
    <w:rsid w:val="00576972"/>
    <w:rsid w:val="0058134F"/>
    <w:rsid w:val="00583699"/>
    <w:rsid w:val="0058370D"/>
    <w:rsid w:val="00583844"/>
    <w:rsid w:val="00585447"/>
    <w:rsid w:val="00585CDD"/>
    <w:rsid w:val="00587058"/>
    <w:rsid w:val="00590808"/>
    <w:rsid w:val="00591379"/>
    <w:rsid w:val="00591957"/>
    <w:rsid w:val="00591FE5"/>
    <w:rsid w:val="00592878"/>
    <w:rsid w:val="00594EEA"/>
    <w:rsid w:val="00595FBB"/>
    <w:rsid w:val="005962E1"/>
    <w:rsid w:val="00597849"/>
    <w:rsid w:val="00597BF9"/>
    <w:rsid w:val="005A1018"/>
    <w:rsid w:val="005A15AE"/>
    <w:rsid w:val="005A28DA"/>
    <w:rsid w:val="005A2D51"/>
    <w:rsid w:val="005A309A"/>
    <w:rsid w:val="005A373D"/>
    <w:rsid w:val="005A38A3"/>
    <w:rsid w:val="005A4693"/>
    <w:rsid w:val="005A5EE9"/>
    <w:rsid w:val="005B022F"/>
    <w:rsid w:val="005B0B58"/>
    <w:rsid w:val="005B3B0F"/>
    <w:rsid w:val="005B4E53"/>
    <w:rsid w:val="005B5187"/>
    <w:rsid w:val="005B52D7"/>
    <w:rsid w:val="005B5857"/>
    <w:rsid w:val="005B6779"/>
    <w:rsid w:val="005C03BD"/>
    <w:rsid w:val="005C0493"/>
    <w:rsid w:val="005C09DC"/>
    <w:rsid w:val="005C0CDC"/>
    <w:rsid w:val="005C0D49"/>
    <w:rsid w:val="005C1B83"/>
    <w:rsid w:val="005C2008"/>
    <w:rsid w:val="005C25FF"/>
    <w:rsid w:val="005C2D55"/>
    <w:rsid w:val="005C346B"/>
    <w:rsid w:val="005C3853"/>
    <w:rsid w:val="005C4574"/>
    <w:rsid w:val="005C6242"/>
    <w:rsid w:val="005C77EA"/>
    <w:rsid w:val="005C7A86"/>
    <w:rsid w:val="005D044D"/>
    <w:rsid w:val="005D0ABD"/>
    <w:rsid w:val="005D1798"/>
    <w:rsid w:val="005D18AD"/>
    <w:rsid w:val="005D2081"/>
    <w:rsid w:val="005D26B4"/>
    <w:rsid w:val="005D45A6"/>
    <w:rsid w:val="005D48C3"/>
    <w:rsid w:val="005D57C7"/>
    <w:rsid w:val="005D641A"/>
    <w:rsid w:val="005D6623"/>
    <w:rsid w:val="005D721A"/>
    <w:rsid w:val="005D7D47"/>
    <w:rsid w:val="005D7DB9"/>
    <w:rsid w:val="005E1127"/>
    <w:rsid w:val="005E1E8D"/>
    <w:rsid w:val="005E2407"/>
    <w:rsid w:val="005E6586"/>
    <w:rsid w:val="005E6CBC"/>
    <w:rsid w:val="005E72FF"/>
    <w:rsid w:val="005E73C0"/>
    <w:rsid w:val="005E75D2"/>
    <w:rsid w:val="005F1148"/>
    <w:rsid w:val="005F2706"/>
    <w:rsid w:val="005F358B"/>
    <w:rsid w:val="005F5130"/>
    <w:rsid w:val="005F55EE"/>
    <w:rsid w:val="005F65F9"/>
    <w:rsid w:val="005F667F"/>
    <w:rsid w:val="005F6A8F"/>
    <w:rsid w:val="005F6B08"/>
    <w:rsid w:val="005F6BB7"/>
    <w:rsid w:val="005F7588"/>
    <w:rsid w:val="005F7A8A"/>
    <w:rsid w:val="006031C2"/>
    <w:rsid w:val="00603DB9"/>
    <w:rsid w:val="00603F02"/>
    <w:rsid w:val="006065AE"/>
    <w:rsid w:val="00606FBA"/>
    <w:rsid w:val="00607669"/>
    <w:rsid w:val="006076F4"/>
    <w:rsid w:val="00607AFD"/>
    <w:rsid w:val="00612ACE"/>
    <w:rsid w:val="00612F97"/>
    <w:rsid w:val="0061345D"/>
    <w:rsid w:val="00613535"/>
    <w:rsid w:val="00613692"/>
    <w:rsid w:val="0061549B"/>
    <w:rsid w:val="00616802"/>
    <w:rsid w:val="0061711E"/>
    <w:rsid w:val="0061793A"/>
    <w:rsid w:val="00617D2A"/>
    <w:rsid w:val="00617E12"/>
    <w:rsid w:val="0062046B"/>
    <w:rsid w:val="00620C25"/>
    <w:rsid w:val="00620D4E"/>
    <w:rsid w:val="00621477"/>
    <w:rsid w:val="00621ADA"/>
    <w:rsid w:val="00623B52"/>
    <w:rsid w:val="00623F7B"/>
    <w:rsid w:val="00625A99"/>
    <w:rsid w:val="006314D8"/>
    <w:rsid w:val="0063158F"/>
    <w:rsid w:val="00631D6B"/>
    <w:rsid w:val="00632183"/>
    <w:rsid w:val="0063242C"/>
    <w:rsid w:val="00632B74"/>
    <w:rsid w:val="006330A1"/>
    <w:rsid w:val="0063387C"/>
    <w:rsid w:val="00633F96"/>
    <w:rsid w:val="0063412E"/>
    <w:rsid w:val="0063479F"/>
    <w:rsid w:val="006353F0"/>
    <w:rsid w:val="006357B5"/>
    <w:rsid w:val="006364A1"/>
    <w:rsid w:val="0063678E"/>
    <w:rsid w:val="00636E68"/>
    <w:rsid w:val="00637B07"/>
    <w:rsid w:val="00637BFD"/>
    <w:rsid w:val="00640E3B"/>
    <w:rsid w:val="00641C4E"/>
    <w:rsid w:val="00641FB3"/>
    <w:rsid w:val="0064257C"/>
    <w:rsid w:val="00642FB9"/>
    <w:rsid w:val="0064360D"/>
    <w:rsid w:val="0064434C"/>
    <w:rsid w:val="006447F7"/>
    <w:rsid w:val="00644DCA"/>
    <w:rsid w:val="006453C1"/>
    <w:rsid w:val="006471CC"/>
    <w:rsid w:val="00647A29"/>
    <w:rsid w:val="0065079F"/>
    <w:rsid w:val="006516DB"/>
    <w:rsid w:val="00651963"/>
    <w:rsid w:val="0065275B"/>
    <w:rsid w:val="00652A28"/>
    <w:rsid w:val="00653075"/>
    <w:rsid w:val="0065379F"/>
    <w:rsid w:val="00653F2E"/>
    <w:rsid w:val="00653F6D"/>
    <w:rsid w:val="00655178"/>
    <w:rsid w:val="00656188"/>
    <w:rsid w:val="0065715A"/>
    <w:rsid w:val="006610F1"/>
    <w:rsid w:val="00661C6B"/>
    <w:rsid w:val="00662481"/>
    <w:rsid w:val="00662917"/>
    <w:rsid w:val="00662D77"/>
    <w:rsid w:val="00663064"/>
    <w:rsid w:val="00663885"/>
    <w:rsid w:val="00663E7C"/>
    <w:rsid w:val="00665E91"/>
    <w:rsid w:val="00665F07"/>
    <w:rsid w:val="00670949"/>
    <w:rsid w:val="00670C20"/>
    <w:rsid w:val="00670C84"/>
    <w:rsid w:val="00671004"/>
    <w:rsid w:val="00671CA6"/>
    <w:rsid w:val="00672646"/>
    <w:rsid w:val="0067414A"/>
    <w:rsid w:val="00674902"/>
    <w:rsid w:val="00674E42"/>
    <w:rsid w:val="0067541A"/>
    <w:rsid w:val="00676329"/>
    <w:rsid w:val="006813F8"/>
    <w:rsid w:val="00682112"/>
    <w:rsid w:val="00682BA6"/>
    <w:rsid w:val="00683122"/>
    <w:rsid w:val="00683192"/>
    <w:rsid w:val="00685658"/>
    <w:rsid w:val="00685BE9"/>
    <w:rsid w:val="00686957"/>
    <w:rsid w:val="006872BA"/>
    <w:rsid w:val="00690795"/>
    <w:rsid w:val="00690BAF"/>
    <w:rsid w:val="00691248"/>
    <w:rsid w:val="006913F2"/>
    <w:rsid w:val="00691648"/>
    <w:rsid w:val="006917D7"/>
    <w:rsid w:val="00691AC4"/>
    <w:rsid w:val="00693257"/>
    <w:rsid w:val="0069378C"/>
    <w:rsid w:val="00693CF4"/>
    <w:rsid w:val="0069434C"/>
    <w:rsid w:val="00694BD8"/>
    <w:rsid w:val="00694DED"/>
    <w:rsid w:val="00694F44"/>
    <w:rsid w:val="00695A21"/>
    <w:rsid w:val="00696F51"/>
    <w:rsid w:val="006979A5"/>
    <w:rsid w:val="006A0271"/>
    <w:rsid w:val="006A0507"/>
    <w:rsid w:val="006A158A"/>
    <w:rsid w:val="006A16A7"/>
    <w:rsid w:val="006A1981"/>
    <w:rsid w:val="006A576F"/>
    <w:rsid w:val="006A6B99"/>
    <w:rsid w:val="006A6DD7"/>
    <w:rsid w:val="006A7E5F"/>
    <w:rsid w:val="006B069C"/>
    <w:rsid w:val="006B0ABC"/>
    <w:rsid w:val="006B0B97"/>
    <w:rsid w:val="006B14DC"/>
    <w:rsid w:val="006B261B"/>
    <w:rsid w:val="006B26DC"/>
    <w:rsid w:val="006B2C90"/>
    <w:rsid w:val="006B35E6"/>
    <w:rsid w:val="006B40B7"/>
    <w:rsid w:val="006B465A"/>
    <w:rsid w:val="006B5EF0"/>
    <w:rsid w:val="006B6DD0"/>
    <w:rsid w:val="006C0399"/>
    <w:rsid w:val="006C0DDB"/>
    <w:rsid w:val="006C2A8E"/>
    <w:rsid w:val="006C3255"/>
    <w:rsid w:val="006C3F26"/>
    <w:rsid w:val="006C7BCB"/>
    <w:rsid w:val="006D0833"/>
    <w:rsid w:val="006D0A90"/>
    <w:rsid w:val="006D0D17"/>
    <w:rsid w:val="006D12AB"/>
    <w:rsid w:val="006D3C7D"/>
    <w:rsid w:val="006D4659"/>
    <w:rsid w:val="006D5264"/>
    <w:rsid w:val="006D5D5F"/>
    <w:rsid w:val="006D68FB"/>
    <w:rsid w:val="006E2868"/>
    <w:rsid w:val="006E31DF"/>
    <w:rsid w:val="006E3652"/>
    <w:rsid w:val="006E3B5C"/>
    <w:rsid w:val="006E4302"/>
    <w:rsid w:val="006E494A"/>
    <w:rsid w:val="006E4BC3"/>
    <w:rsid w:val="006E6827"/>
    <w:rsid w:val="006F067B"/>
    <w:rsid w:val="006F306C"/>
    <w:rsid w:val="006F4837"/>
    <w:rsid w:val="006F63A5"/>
    <w:rsid w:val="006F7A49"/>
    <w:rsid w:val="0070142B"/>
    <w:rsid w:val="00702074"/>
    <w:rsid w:val="0070276E"/>
    <w:rsid w:val="00702F8F"/>
    <w:rsid w:val="00703929"/>
    <w:rsid w:val="00703981"/>
    <w:rsid w:val="00703FCE"/>
    <w:rsid w:val="00704ABE"/>
    <w:rsid w:val="007058FA"/>
    <w:rsid w:val="00706928"/>
    <w:rsid w:val="0070731A"/>
    <w:rsid w:val="007079FC"/>
    <w:rsid w:val="00711A36"/>
    <w:rsid w:val="0071236B"/>
    <w:rsid w:val="00712B10"/>
    <w:rsid w:val="00713C97"/>
    <w:rsid w:val="007142DF"/>
    <w:rsid w:val="00714B40"/>
    <w:rsid w:val="00714C26"/>
    <w:rsid w:val="0071529C"/>
    <w:rsid w:val="007152B5"/>
    <w:rsid w:val="00715EB3"/>
    <w:rsid w:val="007170DA"/>
    <w:rsid w:val="007172AD"/>
    <w:rsid w:val="007179C2"/>
    <w:rsid w:val="007205A1"/>
    <w:rsid w:val="00720801"/>
    <w:rsid w:val="00722B1B"/>
    <w:rsid w:val="0072416F"/>
    <w:rsid w:val="007270E9"/>
    <w:rsid w:val="00727669"/>
    <w:rsid w:val="00727C94"/>
    <w:rsid w:val="0073103F"/>
    <w:rsid w:val="00731B0A"/>
    <w:rsid w:val="00731EAE"/>
    <w:rsid w:val="00733073"/>
    <w:rsid w:val="007339F6"/>
    <w:rsid w:val="00735018"/>
    <w:rsid w:val="00735033"/>
    <w:rsid w:val="00735328"/>
    <w:rsid w:val="007357A5"/>
    <w:rsid w:val="00735D49"/>
    <w:rsid w:val="0073685B"/>
    <w:rsid w:val="007372F6"/>
    <w:rsid w:val="00737C42"/>
    <w:rsid w:val="00737C49"/>
    <w:rsid w:val="0074114A"/>
    <w:rsid w:val="0074261F"/>
    <w:rsid w:val="007434E8"/>
    <w:rsid w:val="007449BF"/>
    <w:rsid w:val="0074691C"/>
    <w:rsid w:val="00746ABC"/>
    <w:rsid w:val="00746B55"/>
    <w:rsid w:val="00746BC0"/>
    <w:rsid w:val="007475F6"/>
    <w:rsid w:val="00747694"/>
    <w:rsid w:val="007502FA"/>
    <w:rsid w:val="00750DF6"/>
    <w:rsid w:val="007510B4"/>
    <w:rsid w:val="00751E84"/>
    <w:rsid w:val="00752142"/>
    <w:rsid w:val="007523F9"/>
    <w:rsid w:val="0075357E"/>
    <w:rsid w:val="0075417B"/>
    <w:rsid w:val="00754B08"/>
    <w:rsid w:val="007552D2"/>
    <w:rsid w:val="0075715D"/>
    <w:rsid w:val="007573E8"/>
    <w:rsid w:val="00760014"/>
    <w:rsid w:val="00760310"/>
    <w:rsid w:val="00760C4E"/>
    <w:rsid w:val="00760F9E"/>
    <w:rsid w:val="007627BE"/>
    <w:rsid w:val="00763C8E"/>
    <w:rsid w:val="00763FD6"/>
    <w:rsid w:val="00764F03"/>
    <w:rsid w:val="00765428"/>
    <w:rsid w:val="00765514"/>
    <w:rsid w:val="00765B1A"/>
    <w:rsid w:val="00765CF2"/>
    <w:rsid w:val="00766724"/>
    <w:rsid w:val="00766868"/>
    <w:rsid w:val="00767FCC"/>
    <w:rsid w:val="00771416"/>
    <w:rsid w:val="00771697"/>
    <w:rsid w:val="00771FA5"/>
    <w:rsid w:val="00772EBA"/>
    <w:rsid w:val="00774D0F"/>
    <w:rsid w:val="00777335"/>
    <w:rsid w:val="00777CBE"/>
    <w:rsid w:val="00777E50"/>
    <w:rsid w:val="00780301"/>
    <w:rsid w:val="0078167D"/>
    <w:rsid w:val="00781744"/>
    <w:rsid w:val="00781D28"/>
    <w:rsid w:val="007827AF"/>
    <w:rsid w:val="007843F2"/>
    <w:rsid w:val="007848E5"/>
    <w:rsid w:val="00785A9F"/>
    <w:rsid w:val="00786418"/>
    <w:rsid w:val="007873FA"/>
    <w:rsid w:val="00791423"/>
    <w:rsid w:val="007925DF"/>
    <w:rsid w:val="0079277C"/>
    <w:rsid w:val="00793B95"/>
    <w:rsid w:val="00793C8C"/>
    <w:rsid w:val="00793E83"/>
    <w:rsid w:val="00796043"/>
    <w:rsid w:val="007A00E3"/>
    <w:rsid w:val="007A07E0"/>
    <w:rsid w:val="007A08AA"/>
    <w:rsid w:val="007A0A12"/>
    <w:rsid w:val="007A0B02"/>
    <w:rsid w:val="007A132D"/>
    <w:rsid w:val="007A1345"/>
    <w:rsid w:val="007A2DDB"/>
    <w:rsid w:val="007A3413"/>
    <w:rsid w:val="007A5BB8"/>
    <w:rsid w:val="007A5EA9"/>
    <w:rsid w:val="007A5F00"/>
    <w:rsid w:val="007A64EE"/>
    <w:rsid w:val="007A70BA"/>
    <w:rsid w:val="007A7613"/>
    <w:rsid w:val="007B0D68"/>
    <w:rsid w:val="007B251D"/>
    <w:rsid w:val="007B3FF7"/>
    <w:rsid w:val="007B4F58"/>
    <w:rsid w:val="007B528D"/>
    <w:rsid w:val="007B563C"/>
    <w:rsid w:val="007B567B"/>
    <w:rsid w:val="007B581B"/>
    <w:rsid w:val="007B5C85"/>
    <w:rsid w:val="007B63CA"/>
    <w:rsid w:val="007B77D1"/>
    <w:rsid w:val="007B794D"/>
    <w:rsid w:val="007B79CF"/>
    <w:rsid w:val="007C07C7"/>
    <w:rsid w:val="007C1B21"/>
    <w:rsid w:val="007C1CD9"/>
    <w:rsid w:val="007C32EF"/>
    <w:rsid w:val="007C361D"/>
    <w:rsid w:val="007C40F9"/>
    <w:rsid w:val="007C4309"/>
    <w:rsid w:val="007C4B84"/>
    <w:rsid w:val="007C6898"/>
    <w:rsid w:val="007C70FF"/>
    <w:rsid w:val="007C7579"/>
    <w:rsid w:val="007C7C25"/>
    <w:rsid w:val="007C7C67"/>
    <w:rsid w:val="007D004F"/>
    <w:rsid w:val="007D0131"/>
    <w:rsid w:val="007D0B38"/>
    <w:rsid w:val="007D0CD5"/>
    <w:rsid w:val="007D1DD0"/>
    <w:rsid w:val="007D2FF0"/>
    <w:rsid w:val="007D2FFE"/>
    <w:rsid w:val="007D5440"/>
    <w:rsid w:val="007D69EB"/>
    <w:rsid w:val="007D6B80"/>
    <w:rsid w:val="007D70E6"/>
    <w:rsid w:val="007D7EE2"/>
    <w:rsid w:val="007E05C7"/>
    <w:rsid w:val="007E0841"/>
    <w:rsid w:val="007E128F"/>
    <w:rsid w:val="007E2548"/>
    <w:rsid w:val="007E4E83"/>
    <w:rsid w:val="007E6B0A"/>
    <w:rsid w:val="007E7DDD"/>
    <w:rsid w:val="007F0153"/>
    <w:rsid w:val="007F1017"/>
    <w:rsid w:val="007F4137"/>
    <w:rsid w:val="007F4A3F"/>
    <w:rsid w:val="007F4A61"/>
    <w:rsid w:val="007F4A8D"/>
    <w:rsid w:val="007F5255"/>
    <w:rsid w:val="007F56CC"/>
    <w:rsid w:val="007F61C2"/>
    <w:rsid w:val="007F7C90"/>
    <w:rsid w:val="0080047F"/>
    <w:rsid w:val="00801272"/>
    <w:rsid w:val="00801645"/>
    <w:rsid w:val="008039EB"/>
    <w:rsid w:val="00805142"/>
    <w:rsid w:val="00805CD1"/>
    <w:rsid w:val="00805FCE"/>
    <w:rsid w:val="00806512"/>
    <w:rsid w:val="00807A8B"/>
    <w:rsid w:val="0081095A"/>
    <w:rsid w:val="00811383"/>
    <w:rsid w:val="00812149"/>
    <w:rsid w:val="0081260E"/>
    <w:rsid w:val="00812666"/>
    <w:rsid w:val="00812970"/>
    <w:rsid w:val="0081297D"/>
    <w:rsid w:val="00812CAC"/>
    <w:rsid w:val="00813349"/>
    <w:rsid w:val="00814337"/>
    <w:rsid w:val="0081515C"/>
    <w:rsid w:val="008156F8"/>
    <w:rsid w:val="00816361"/>
    <w:rsid w:val="00816580"/>
    <w:rsid w:val="008166EF"/>
    <w:rsid w:val="00816EA9"/>
    <w:rsid w:val="00816FEF"/>
    <w:rsid w:val="00817442"/>
    <w:rsid w:val="00817C8A"/>
    <w:rsid w:val="00820A8C"/>
    <w:rsid w:val="00821165"/>
    <w:rsid w:val="008215FB"/>
    <w:rsid w:val="00823174"/>
    <w:rsid w:val="0082445E"/>
    <w:rsid w:val="00825751"/>
    <w:rsid w:val="008264EB"/>
    <w:rsid w:val="00826693"/>
    <w:rsid w:val="008317F6"/>
    <w:rsid w:val="00832DDE"/>
    <w:rsid w:val="00833B05"/>
    <w:rsid w:val="00834AC4"/>
    <w:rsid w:val="008362B4"/>
    <w:rsid w:val="0083784A"/>
    <w:rsid w:val="00840CA2"/>
    <w:rsid w:val="00842489"/>
    <w:rsid w:val="0084308C"/>
    <w:rsid w:val="0084374F"/>
    <w:rsid w:val="00843B2E"/>
    <w:rsid w:val="00843C62"/>
    <w:rsid w:val="00843CF6"/>
    <w:rsid w:val="00843D34"/>
    <w:rsid w:val="0084408D"/>
    <w:rsid w:val="00844715"/>
    <w:rsid w:val="00844A22"/>
    <w:rsid w:val="00846204"/>
    <w:rsid w:val="00847703"/>
    <w:rsid w:val="00847DF5"/>
    <w:rsid w:val="00847FB7"/>
    <w:rsid w:val="0085090A"/>
    <w:rsid w:val="008511F6"/>
    <w:rsid w:val="0085124A"/>
    <w:rsid w:val="0085309D"/>
    <w:rsid w:val="00855EE5"/>
    <w:rsid w:val="008566AF"/>
    <w:rsid w:val="00856897"/>
    <w:rsid w:val="00856E9A"/>
    <w:rsid w:val="008601E4"/>
    <w:rsid w:val="00860655"/>
    <w:rsid w:val="0086075D"/>
    <w:rsid w:val="00860A45"/>
    <w:rsid w:val="00861875"/>
    <w:rsid w:val="00861A07"/>
    <w:rsid w:val="00862502"/>
    <w:rsid w:val="00862CC1"/>
    <w:rsid w:val="00862EB4"/>
    <w:rsid w:val="00862F16"/>
    <w:rsid w:val="0086432E"/>
    <w:rsid w:val="008651EB"/>
    <w:rsid w:val="008660D4"/>
    <w:rsid w:val="00871FA9"/>
    <w:rsid w:val="0087224C"/>
    <w:rsid w:val="008728E9"/>
    <w:rsid w:val="00873959"/>
    <w:rsid w:val="008742A4"/>
    <w:rsid w:val="00874B45"/>
    <w:rsid w:val="008763D7"/>
    <w:rsid w:val="008776E2"/>
    <w:rsid w:val="008779CB"/>
    <w:rsid w:val="008807D9"/>
    <w:rsid w:val="00882874"/>
    <w:rsid w:val="00882E3C"/>
    <w:rsid w:val="00883787"/>
    <w:rsid w:val="008855E4"/>
    <w:rsid w:val="00885634"/>
    <w:rsid w:val="008857A2"/>
    <w:rsid w:val="00886612"/>
    <w:rsid w:val="00886CD2"/>
    <w:rsid w:val="008919FD"/>
    <w:rsid w:val="00891E6F"/>
    <w:rsid w:val="0089275D"/>
    <w:rsid w:val="00892A36"/>
    <w:rsid w:val="00893239"/>
    <w:rsid w:val="008939D6"/>
    <w:rsid w:val="008939EE"/>
    <w:rsid w:val="00893CDC"/>
    <w:rsid w:val="00894489"/>
    <w:rsid w:val="00895A80"/>
    <w:rsid w:val="008963A5"/>
    <w:rsid w:val="00896D5D"/>
    <w:rsid w:val="0089737B"/>
    <w:rsid w:val="00897C96"/>
    <w:rsid w:val="008A1DFB"/>
    <w:rsid w:val="008A2A9D"/>
    <w:rsid w:val="008A3210"/>
    <w:rsid w:val="008A3363"/>
    <w:rsid w:val="008A3371"/>
    <w:rsid w:val="008A3C3E"/>
    <w:rsid w:val="008A4C88"/>
    <w:rsid w:val="008A510C"/>
    <w:rsid w:val="008A5957"/>
    <w:rsid w:val="008A5A09"/>
    <w:rsid w:val="008A79DE"/>
    <w:rsid w:val="008A7F7B"/>
    <w:rsid w:val="008B0904"/>
    <w:rsid w:val="008B1757"/>
    <w:rsid w:val="008B2229"/>
    <w:rsid w:val="008B3813"/>
    <w:rsid w:val="008B38D5"/>
    <w:rsid w:val="008B4AF5"/>
    <w:rsid w:val="008B4F78"/>
    <w:rsid w:val="008B7992"/>
    <w:rsid w:val="008B7AB8"/>
    <w:rsid w:val="008B7D7E"/>
    <w:rsid w:val="008C18E7"/>
    <w:rsid w:val="008C302A"/>
    <w:rsid w:val="008C3A48"/>
    <w:rsid w:val="008C4021"/>
    <w:rsid w:val="008C4A36"/>
    <w:rsid w:val="008C517B"/>
    <w:rsid w:val="008C53DB"/>
    <w:rsid w:val="008C5610"/>
    <w:rsid w:val="008C5739"/>
    <w:rsid w:val="008C5E7E"/>
    <w:rsid w:val="008C7ECB"/>
    <w:rsid w:val="008C7FC2"/>
    <w:rsid w:val="008D0B31"/>
    <w:rsid w:val="008D1742"/>
    <w:rsid w:val="008D3B86"/>
    <w:rsid w:val="008D4755"/>
    <w:rsid w:val="008D4C3D"/>
    <w:rsid w:val="008D743C"/>
    <w:rsid w:val="008D75C8"/>
    <w:rsid w:val="008E0D3C"/>
    <w:rsid w:val="008E1B9E"/>
    <w:rsid w:val="008E1C02"/>
    <w:rsid w:val="008E1D1C"/>
    <w:rsid w:val="008E21B7"/>
    <w:rsid w:val="008E4CB3"/>
    <w:rsid w:val="008E55AB"/>
    <w:rsid w:val="008E5EDC"/>
    <w:rsid w:val="008F120A"/>
    <w:rsid w:val="008F1723"/>
    <w:rsid w:val="008F19D8"/>
    <w:rsid w:val="008F1F3D"/>
    <w:rsid w:val="008F27E0"/>
    <w:rsid w:val="008F299E"/>
    <w:rsid w:val="008F341C"/>
    <w:rsid w:val="008F352C"/>
    <w:rsid w:val="008F48EB"/>
    <w:rsid w:val="008F4F0B"/>
    <w:rsid w:val="008F5836"/>
    <w:rsid w:val="008F6BBC"/>
    <w:rsid w:val="008F6CE3"/>
    <w:rsid w:val="009039C7"/>
    <w:rsid w:val="009046C4"/>
    <w:rsid w:val="009048F0"/>
    <w:rsid w:val="0090561E"/>
    <w:rsid w:val="009060D6"/>
    <w:rsid w:val="009062A5"/>
    <w:rsid w:val="00906367"/>
    <w:rsid w:val="009069B2"/>
    <w:rsid w:val="00906CFA"/>
    <w:rsid w:val="00907344"/>
    <w:rsid w:val="009100A2"/>
    <w:rsid w:val="009107FE"/>
    <w:rsid w:val="00910FA7"/>
    <w:rsid w:val="00911272"/>
    <w:rsid w:val="009122E8"/>
    <w:rsid w:val="00913491"/>
    <w:rsid w:val="009135D6"/>
    <w:rsid w:val="00914C77"/>
    <w:rsid w:val="009153B3"/>
    <w:rsid w:val="00917D71"/>
    <w:rsid w:val="00920462"/>
    <w:rsid w:val="00920CEE"/>
    <w:rsid w:val="009218F9"/>
    <w:rsid w:val="00921ACB"/>
    <w:rsid w:val="009224AF"/>
    <w:rsid w:val="0092369B"/>
    <w:rsid w:val="00923DCF"/>
    <w:rsid w:val="00924229"/>
    <w:rsid w:val="009251EF"/>
    <w:rsid w:val="00925A91"/>
    <w:rsid w:val="00926195"/>
    <w:rsid w:val="00926DA6"/>
    <w:rsid w:val="00931AAA"/>
    <w:rsid w:val="00931D1D"/>
    <w:rsid w:val="0093220A"/>
    <w:rsid w:val="00933741"/>
    <w:rsid w:val="00933D41"/>
    <w:rsid w:val="00934988"/>
    <w:rsid w:val="0093672D"/>
    <w:rsid w:val="00937089"/>
    <w:rsid w:val="009377A0"/>
    <w:rsid w:val="00942055"/>
    <w:rsid w:val="00944F8A"/>
    <w:rsid w:val="0094556A"/>
    <w:rsid w:val="009510A2"/>
    <w:rsid w:val="00952FA4"/>
    <w:rsid w:val="00952FC3"/>
    <w:rsid w:val="00953257"/>
    <w:rsid w:val="00954518"/>
    <w:rsid w:val="0095474C"/>
    <w:rsid w:val="00954E2D"/>
    <w:rsid w:val="00954EA6"/>
    <w:rsid w:val="009558BE"/>
    <w:rsid w:val="00957F41"/>
    <w:rsid w:val="00960152"/>
    <w:rsid w:val="00961961"/>
    <w:rsid w:val="00961D3A"/>
    <w:rsid w:val="00962637"/>
    <w:rsid w:val="00962C62"/>
    <w:rsid w:val="00962CB9"/>
    <w:rsid w:val="00962DA8"/>
    <w:rsid w:val="00963373"/>
    <w:rsid w:val="00964312"/>
    <w:rsid w:val="0096451B"/>
    <w:rsid w:val="00964E59"/>
    <w:rsid w:val="00965B8A"/>
    <w:rsid w:val="00967C85"/>
    <w:rsid w:val="00970304"/>
    <w:rsid w:val="0097071F"/>
    <w:rsid w:val="009709EE"/>
    <w:rsid w:val="009717AC"/>
    <w:rsid w:val="00971E1C"/>
    <w:rsid w:val="00971F3B"/>
    <w:rsid w:val="00972E50"/>
    <w:rsid w:val="009751C1"/>
    <w:rsid w:val="00977DAA"/>
    <w:rsid w:val="00977FF7"/>
    <w:rsid w:val="00980FBC"/>
    <w:rsid w:val="009811F1"/>
    <w:rsid w:val="00982295"/>
    <w:rsid w:val="009828FD"/>
    <w:rsid w:val="0098295A"/>
    <w:rsid w:val="00982A60"/>
    <w:rsid w:val="00982CB8"/>
    <w:rsid w:val="009830E6"/>
    <w:rsid w:val="00983E57"/>
    <w:rsid w:val="00985790"/>
    <w:rsid w:val="00985DE2"/>
    <w:rsid w:val="00985E8F"/>
    <w:rsid w:val="0098675D"/>
    <w:rsid w:val="00986F7E"/>
    <w:rsid w:val="00987596"/>
    <w:rsid w:val="00990FD2"/>
    <w:rsid w:val="00991689"/>
    <w:rsid w:val="00992353"/>
    <w:rsid w:val="009926E0"/>
    <w:rsid w:val="00993380"/>
    <w:rsid w:val="0099451E"/>
    <w:rsid w:val="009946E5"/>
    <w:rsid w:val="00995B20"/>
    <w:rsid w:val="00996B1A"/>
    <w:rsid w:val="00997B6D"/>
    <w:rsid w:val="009A04CD"/>
    <w:rsid w:val="009A0976"/>
    <w:rsid w:val="009A0C6F"/>
    <w:rsid w:val="009A0FF3"/>
    <w:rsid w:val="009A2280"/>
    <w:rsid w:val="009A2B9D"/>
    <w:rsid w:val="009A2DCC"/>
    <w:rsid w:val="009A387D"/>
    <w:rsid w:val="009A4306"/>
    <w:rsid w:val="009A5ABC"/>
    <w:rsid w:val="009A62A7"/>
    <w:rsid w:val="009A65E6"/>
    <w:rsid w:val="009A755E"/>
    <w:rsid w:val="009A77C0"/>
    <w:rsid w:val="009A7855"/>
    <w:rsid w:val="009A7F10"/>
    <w:rsid w:val="009B0583"/>
    <w:rsid w:val="009B0684"/>
    <w:rsid w:val="009B0BBB"/>
    <w:rsid w:val="009B2AC1"/>
    <w:rsid w:val="009B3D62"/>
    <w:rsid w:val="009B3E26"/>
    <w:rsid w:val="009B4DC6"/>
    <w:rsid w:val="009B4FF8"/>
    <w:rsid w:val="009B6985"/>
    <w:rsid w:val="009B6DC4"/>
    <w:rsid w:val="009C09BE"/>
    <w:rsid w:val="009C1CB1"/>
    <w:rsid w:val="009C31C0"/>
    <w:rsid w:val="009C3706"/>
    <w:rsid w:val="009C3A3A"/>
    <w:rsid w:val="009C6CEA"/>
    <w:rsid w:val="009C7B85"/>
    <w:rsid w:val="009C7BE9"/>
    <w:rsid w:val="009C7E5D"/>
    <w:rsid w:val="009C7E68"/>
    <w:rsid w:val="009D0254"/>
    <w:rsid w:val="009D13B3"/>
    <w:rsid w:val="009D15AF"/>
    <w:rsid w:val="009D16B9"/>
    <w:rsid w:val="009D1A64"/>
    <w:rsid w:val="009D23F6"/>
    <w:rsid w:val="009D3584"/>
    <w:rsid w:val="009D4D73"/>
    <w:rsid w:val="009D561D"/>
    <w:rsid w:val="009D5B91"/>
    <w:rsid w:val="009D6D99"/>
    <w:rsid w:val="009D792E"/>
    <w:rsid w:val="009D7F05"/>
    <w:rsid w:val="009E0DFE"/>
    <w:rsid w:val="009E10E1"/>
    <w:rsid w:val="009E1FE0"/>
    <w:rsid w:val="009E28B9"/>
    <w:rsid w:val="009E31F6"/>
    <w:rsid w:val="009E3396"/>
    <w:rsid w:val="009E42C1"/>
    <w:rsid w:val="009E4C07"/>
    <w:rsid w:val="009E4DB2"/>
    <w:rsid w:val="009E7AA6"/>
    <w:rsid w:val="009F0FD9"/>
    <w:rsid w:val="009F1D24"/>
    <w:rsid w:val="009F36C7"/>
    <w:rsid w:val="009F3791"/>
    <w:rsid w:val="009F4386"/>
    <w:rsid w:val="009F5C6E"/>
    <w:rsid w:val="009F6659"/>
    <w:rsid w:val="009F686D"/>
    <w:rsid w:val="009F7F1F"/>
    <w:rsid w:val="00A0001B"/>
    <w:rsid w:val="00A0011C"/>
    <w:rsid w:val="00A00FAB"/>
    <w:rsid w:val="00A01184"/>
    <w:rsid w:val="00A019D5"/>
    <w:rsid w:val="00A01D65"/>
    <w:rsid w:val="00A037C2"/>
    <w:rsid w:val="00A03D43"/>
    <w:rsid w:val="00A04380"/>
    <w:rsid w:val="00A05472"/>
    <w:rsid w:val="00A05676"/>
    <w:rsid w:val="00A05C32"/>
    <w:rsid w:val="00A0653F"/>
    <w:rsid w:val="00A06745"/>
    <w:rsid w:val="00A06E61"/>
    <w:rsid w:val="00A10EEE"/>
    <w:rsid w:val="00A11CD0"/>
    <w:rsid w:val="00A13948"/>
    <w:rsid w:val="00A13F24"/>
    <w:rsid w:val="00A147A6"/>
    <w:rsid w:val="00A14B74"/>
    <w:rsid w:val="00A150BA"/>
    <w:rsid w:val="00A1555B"/>
    <w:rsid w:val="00A1558C"/>
    <w:rsid w:val="00A155C5"/>
    <w:rsid w:val="00A155C7"/>
    <w:rsid w:val="00A16187"/>
    <w:rsid w:val="00A16AD8"/>
    <w:rsid w:val="00A2124E"/>
    <w:rsid w:val="00A21C95"/>
    <w:rsid w:val="00A21CF3"/>
    <w:rsid w:val="00A24813"/>
    <w:rsid w:val="00A24AA0"/>
    <w:rsid w:val="00A25CBF"/>
    <w:rsid w:val="00A266B6"/>
    <w:rsid w:val="00A26E7D"/>
    <w:rsid w:val="00A277A2"/>
    <w:rsid w:val="00A27AEC"/>
    <w:rsid w:val="00A302E3"/>
    <w:rsid w:val="00A30537"/>
    <w:rsid w:val="00A30C20"/>
    <w:rsid w:val="00A320DB"/>
    <w:rsid w:val="00A32A09"/>
    <w:rsid w:val="00A34534"/>
    <w:rsid w:val="00A34CA8"/>
    <w:rsid w:val="00A35D16"/>
    <w:rsid w:val="00A36739"/>
    <w:rsid w:val="00A36A0D"/>
    <w:rsid w:val="00A37543"/>
    <w:rsid w:val="00A37BCD"/>
    <w:rsid w:val="00A37C80"/>
    <w:rsid w:val="00A401FD"/>
    <w:rsid w:val="00A41689"/>
    <w:rsid w:val="00A42592"/>
    <w:rsid w:val="00A436FC"/>
    <w:rsid w:val="00A437F6"/>
    <w:rsid w:val="00A43C59"/>
    <w:rsid w:val="00A44208"/>
    <w:rsid w:val="00A46667"/>
    <w:rsid w:val="00A46900"/>
    <w:rsid w:val="00A469D7"/>
    <w:rsid w:val="00A47CD3"/>
    <w:rsid w:val="00A50A66"/>
    <w:rsid w:val="00A50ECD"/>
    <w:rsid w:val="00A50F80"/>
    <w:rsid w:val="00A51729"/>
    <w:rsid w:val="00A51861"/>
    <w:rsid w:val="00A518F3"/>
    <w:rsid w:val="00A524EE"/>
    <w:rsid w:val="00A52729"/>
    <w:rsid w:val="00A53675"/>
    <w:rsid w:val="00A55279"/>
    <w:rsid w:val="00A564D7"/>
    <w:rsid w:val="00A56B6A"/>
    <w:rsid w:val="00A56C85"/>
    <w:rsid w:val="00A57385"/>
    <w:rsid w:val="00A578DC"/>
    <w:rsid w:val="00A57D32"/>
    <w:rsid w:val="00A60A67"/>
    <w:rsid w:val="00A618D9"/>
    <w:rsid w:val="00A63120"/>
    <w:rsid w:val="00A640E2"/>
    <w:rsid w:val="00A64D65"/>
    <w:rsid w:val="00A65178"/>
    <w:rsid w:val="00A6668E"/>
    <w:rsid w:val="00A6725B"/>
    <w:rsid w:val="00A70605"/>
    <w:rsid w:val="00A71D1A"/>
    <w:rsid w:val="00A73068"/>
    <w:rsid w:val="00A73134"/>
    <w:rsid w:val="00A74514"/>
    <w:rsid w:val="00A76001"/>
    <w:rsid w:val="00A7655E"/>
    <w:rsid w:val="00A7662C"/>
    <w:rsid w:val="00A774EB"/>
    <w:rsid w:val="00A777B2"/>
    <w:rsid w:val="00A80003"/>
    <w:rsid w:val="00A803E0"/>
    <w:rsid w:val="00A80689"/>
    <w:rsid w:val="00A80A66"/>
    <w:rsid w:val="00A81FDE"/>
    <w:rsid w:val="00A825D4"/>
    <w:rsid w:val="00A8269E"/>
    <w:rsid w:val="00A828F6"/>
    <w:rsid w:val="00A82B73"/>
    <w:rsid w:val="00A82D48"/>
    <w:rsid w:val="00A83E6A"/>
    <w:rsid w:val="00A84AA6"/>
    <w:rsid w:val="00A857F8"/>
    <w:rsid w:val="00A86C6F"/>
    <w:rsid w:val="00A86E8B"/>
    <w:rsid w:val="00A87164"/>
    <w:rsid w:val="00A8717C"/>
    <w:rsid w:val="00A87E33"/>
    <w:rsid w:val="00A90195"/>
    <w:rsid w:val="00A91D22"/>
    <w:rsid w:val="00A925C5"/>
    <w:rsid w:val="00A93072"/>
    <w:rsid w:val="00A933DF"/>
    <w:rsid w:val="00A938BD"/>
    <w:rsid w:val="00A93953"/>
    <w:rsid w:val="00A94BFD"/>
    <w:rsid w:val="00A959D8"/>
    <w:rsid w:val="00A9619C"/>
    <w:rsid w:val="00A96525"/>
    <w:rsid w:val="00AA0288"/>
    <w:rsid w:val="00AA113D"/>
    <w:rsid w:val="00AA6BD5"/>
    <w:rsid w:val="00AA6BD8"/>
    <w:rsid w:val="00AA6C7D"/>
    <w:rsid w:val="00AA7FD6"/>
    <w:rsid w:val="00AB042A"/>
    <w:rsid w:val="00AB0594"/>
    <w:rsid w:val="00AB12CC"/>
    <w:rsid w:val="00AB19EF"/>
    <w:rsid w:val="00AB228F"/>
    <w:rsid w:val="00AB280D"/>
    <w:rsid w:val="00AB2BE5"/>
    <w:rsid w:val="00AB2D34"/>
    <w:rsid w:val="00AB321E"/>
    <w:rsid w:val="00AB3430"/>
    <w:rsid w:val="00AB37B9"/>
    <w:rsid w:val="00AB3FCE"/>
    <w:rsid w:val="00AB4AD1"/>
    <w:rsid w:val="00AB5E07"/>
    <w:rsid w:val="00AB671A"/>
    <w:rsid w:val="00AB6A78"/>
    <w:rsid w:val="00AB7CFA"/>
    <w:rsid w:val="00AC0FC6"/>
    <w:rsid w:val="00AC15AA"/>
    <w:rsid w:val="00AC252B"/>
    <w:rsid w:val="00AC3665"/>
    <w:rsid w:val="00AC3DEC"/>
    <w:rsid w:val="00AC4A8A"/>
    <w:rsid w:val="00AC5B48"/>
    <w:rsid w:val="00AC5C22"/>
    <w:rsid w:val="00AD0AF8"/>
    <w:rsid w:val="00AD1450"/>
    <w:rsid w:val="00AD2258"/>
    <w:rsid w:val="00AD4CEE"/>
    <w:rsid w:val="00AD59FF"/>
    <w:rsid w:val="00AD6502"/>
    <w:rsid w:val="00AD77F0"/>
    <w:rsid w:val="00AE0695"/>
    <w:rsid w:val="00AE0855"/>
    <w:rsid w:val="00AE0DF6"/>
    <w:rsid w:val="00AE1474"/>
    <w:rsid w:val="00AE247B"/>
    <w:rsid w:val="00AE26D5"/>
    <w:rsid w:val="00AE3E7E"/>
    <w:rsid w:val="00AE4668"/>
    <w:rsid w:val="00AE5996"/>
    <w:rsid w:val="00AE6C6A"/>
    <w:rsid w:val="00AE7A1B"/>
    <w:rsid w:val="00AF0102"/>
    <w:rsid w:val="00AF05D6"/>
    <w:rsid w:val="00AF1168"/>
    <w:rsid w:val="00AF126C"/>
    <w:rsid w:val="00AF1315"/>
    <w:rsid w:val="00AF19BF"/>
    <w:rsid w:val="00AF19C1"/>
    <w:rsid w:val="00AF2DC3"/>
    <w:rsid w:val="00AF3101"/>
    <w:rsid w:val="00B00665"/>
    <w:rsid w:val="00B00A5C"/>
    <w:rsid w:val="00B033E5"/>
    <w:rsid w:val="00B03A63"/>
    <w:rsid w:val="00B03DF7"/>
    <w:rsid w:val="00B04E76"/>
    <w:rsid w:val="00B05536"/>
    <w:rsid w:val="00B062A3"/>
    <w:rsid w:val="00B10BC9"/>
    <w:rsid w:val="00B11912"/>
    <w:rsid w:val="00B15823"/>
    <w:rsid w:val="00B15EAD"/>
    <w:rsid w:val="00B201A4"/>
    <w:rsid w:val="00B201D1"/>
    <w:rsid w:val="00B20858"/>
    <w:rsid w:val="00B20B84"/>
    <w:rsid w:val="00B211C8"/>
    <w:rsid w:val="00B213A6"/>
    <w:rsid w:val="00B21872"/>
    <w:rsid w:val="00B235B0"/>
    <w:rsid w:val="00B24DF6"/>
    <w:rsid w:val="00B30972"/>
    <w:rsid w:val="00B31D73"/>
    <w:rsid w:val="00B3204F"/>
    <w:rsid w:val="00B332E7"/>
    <w:rsid w:val="00B33927"/>
    <w:rsid w:val="00B34FE2"/>
    <w:rsid w:val="00B35166"/>
    <w:rsid w:val="00B357D8"/>
    <w:rsid w:val="00B35F76"/>
    <w:rsid w:val="00B360F4"/>
    <w:rsid w:val="00B36A00"/>
    <w:rsid w:val="00B37A04"/>
    <w:rsid w:val="00B37BFC"/>
    <w:rsid w:val="00B40358"/>
    <w:rsid w:val="00B40F16"/>
    <w:rsid w:val="00B41286"/>
    <w:rsid w:val="00B41614"/>
    <w:rsid w:val="00B42851"/>
    <w:rsid w:val="00B42F80"/>
    <w:rsid w:val="00B4329A"/>
    <w:rsid w:val="00B435CB"/>
    <w:rsid w:val="00B435DC"/>
    <w:rsid w:val="00B505C8"/>
    <w:rsid w:val="00B50DB8"/>
    <w:rsid w:val="00B50F64"/>
    <w:rsid w:val="00B52379"/>
    <w:rsid w:val="00B53266"/>
    <w:rsid w:val="00B53654"/>
    <w:rsid w:val="00B53905"/>
    <w:rsid w:val="00B53C51"/>
    <w:rsid w:val="00B54B5B"/>
    <w:rsid w:val="00B5562E"/>
    <w:rsid w:val="00B55D65"/>
    <w:rsid w:val="00B56F44"/>
    <w:rsid w:val="00B57000"/>
    <w:rsid w:val="00B57077"/>
    <w:rsid w:val="00B572C3"/>
    <w:rsid w:val="00B60939"/>
    <w:rsid w:val="00B60AFD"/>
    <w:rsid w:val="00B61347"/>
    <w:rsid w:val="00B62715"/>
    <w:rsid w:val="00B64BEF"/>
    <w:rsid w:val="00B64DD0"/>
    <w:rsid w:val="00B65611"/>
    <w:rsid w:val="00B65A83"/>
    <w:rsid w:val="00B669FA"/>
    <w:rsid w:val="00B673EC"/>
    <w:rsid w:val="00B70E8E"/>
    <w:rsid w:val="00B725FD"/>
    <w:rsid w:val="00B73058"/>
    <w:rsid w:val="00B75080"/>
    <w:rsid w:val="00B76C92"/>
    <w:rsid w:val="00B7739E"/>
    <w:rsid w:val="00B7743F"/>
    <w:rsid w:val="00B80C9F"/>
    <w:rsid w:val="00B8161A"/>
    <w:rsid w:val="00B818A4"/>
    <w:rsid w:val="00B81BFE"/>
    <w:rsid w:val="00B82EFE"/>
    <w:rsid w:val="00B8313A"/>
    <w:rsid w:val="00B84117"/>
    <w:rsid w:val="00B84A8F"/>
    <w:rsid w:val="00B858F0"/>
    <w:rsid w:val="00B85AA2"/>
    <w:rsid w:val="00B8647B"/>
    <w:rsid w:val="00B8649C"/>
    <w:rsid w:val="00B8695D"/>
    <w:rsid w:val="00B86F57"/>
    <w:rsid w:val="00B872C3"/>
    <w:rsid w:val="00B87F0A"/>
    <w:rsid w:val="00B92D0B"/>
    <w:rsid w:val="00B9474E"/>
    <w:rsid w:val="00B94945"/>
    <w:rsid w:val="00B94DD6"/>
    <w:rsid w:val="00B95B03"/>
    <w:rsid w:val="00BA1701"/>
    <w:rsid w:val="00BA1901"/>
    <w:rsid w:val="00BA1A8A"/>
    <w:rsid w:val="00BA1BF1"/>
    <w:rsid w:val="00BA2020"/>
    <w:rsid w:val="00BA322D"/>
    <w:rsid w:val="00BA355E"/>
    <w:rsid w:val="00BA4D0A"/>
    <w:rsid w:val="00BA5C94"/>
    <w:rsid w:val="00BA63FA"/>
    <w:rsid w:val="00BA69F3"/>
    <w:rsid w:val="00BA7440"/>
    <w:rsid w:val="00BB00B3"/>
    <w:rsid w:val="00BB0634"/>
    <w:rsid w:val="00BB0BDD"/>
    <w:rsid w:val="00BB176C"/>
    <w:rsid w:val="00BB2198"/>
    <w:rsid w:val="00BB2A73"/>
    <w:rsid w:val="00BB3A45"/>
    <w:rsid w:val="00BB3D0E"/>
    <w:rsid w:val="00BB3E61"/>
    <w:rsid w:val="00BB44F2"/>
    <w:rsid w:val="00BB458D"/>
    <w:rsid w:val="00BB4ACC"/>
    <w:rsid w:val="00BB57B5"/>
    <w:rsid w:val="00BB5821"/>
    <w:rsid w:val="00BB703E"/>
    <w:rsid w:val="00BB732D"/>
    <w:rsid w:val="00BB7405"/>
    <w:rsid w:val="00BB7A22"/>
    <w:rsid w:val="00BC04B1"/>
    <w:rsid w:val="00BC058D"/>
    <w:rsid w:val="00BC076D"/>
    <w:rsid w:val="00BC3631"/>
    <w:rsid w:val="00BC48A1"/>
    <w:rsid w:val="00BC5723"/>
    <w:rsid w:val="00BC591F"/>
    <w:rsid w:val="00BC5AE9"/>
    <w:rsid w:val="00BC7D6D"/>
    <w:rsid w:val="00BD144E"/>
    <w:rsid w:val="00BD2108"/>
    <w:rsid w:val="00BD5715"/>
    <w:rsid w:val="00BD68A3"/>
    <w:rsid w:val="00BD6938"/>
    <w:rsid w:val="00BD6CF3"/>
    <w:rsid w:val="00BE0D34"/>
    <w:rsid w:val="00BE0ECA"/>
    <w:rsid w:val="00BE1D61"/>
    <w:rsid w:val="00BE2180"/>
    <w:rsid w:val="00BE21F2"/>
    <w:rsid w:val="00BE2891"/>
    <w:rsid w:val="00BE2B33"/>
    <w:rsid w:val="00BE4275"/>
    <w:rsid w:val="00BE5C6B"/>
    <w:rsid w:val="00BE72F3"/>
    <w:rsid w:val="00BE73E4"/>
    <w:rsid w:val="00BF06AE"/>
    <w:rsid w:val="00BF0F95"/>
    <w:rsid w:val="00BF16CC"/>
    <w:rsid w:val="00BF1922"/>
    <w:rsid w:val="00BF2433"/>
    <w:rsid w:val="00BF55EA"/>
    <w:rsid w:val="00BF61C9"/>
    <w:rsid w:val="00BF688D"/>
    <w:rsid w:val="00BF6C94"/>
    <w:rsid w:val="00BF6DFF"/>
    <w:rsid w:val="00BF7012"/>
    <w:rsid w:val="00C00424"/>
    <w:rsid w:val="00C005D5"/>
    <w:rsid w:val="00C015D2"/>
    <w:rsid w:val="00C02C97"/>
    <w:rsid w:val="00C02DD3"/>
    <w:rsid w:val="00C05806"/>
    <w:rsid w:val="00C05CC8"/>
    <w:rsid w:val="00C061C2"/>
    <w:rsid w:val="00C1108A"/>
    <w:rsid w:val="00C11230"/>
    <w:rsid w:val="00C1179F"/>
    <w:rsid w:val="00C1196A"/>
    <w:rsid w:val="00C11AE3"/>
    <w:rsid w:val="00C12054"/>
    <w:rsid w:val="00C126DD"/>
    <w:rsid w:val="00C12C14"/>
    <w:rsid w:val="00C13B7D"/>
    <w:rsid w:val="00C159AE"/>
    <w:rsid w:val="00C15F04"/>
    <w:rsid w:val="00C179B3"/>
    <w:rsid w:val="00C17A5F"/>
    <w:rsid w:val="00C17C33"/>
    <w:rsid w:val="00C17E3F"/>
    <w:rsid w:val="00C200AA"/>
    <w:rsid w:val="00C2052D"/>
    <w:rsid w:val="00C2053E"/>
    <w:rsid w:val="00C234BA"/>
    <w:rsid w:val="00C237ED"/>
    <w:rsid w:val="00C24632"/>
    <w:rsid w:val="00C24A99"/>
    <w:rsid w:val="00C252C0"/>
    <w:rsid w:val="00C25418"/>
    <w:rsid w:val="00C25D9C"/>
    <w:rsid w:val="00C2654A"/>
    <w:rsid w:val="00C2778B"/>
    <w:rsid w:val="00C30C73"/>
    <w:rsid w:val="00C311AE"/>
    <w:rsid w:val="00C31286"/>
    <w:rsid w:val="00C31649"/>
    <w:rsid w:val="00C33FFF"/>
    <w:rsid w:val="00C3434C"/>
    <w:rsid w:val="00C34FEA"/>
    <w:rsid w:val="00C36000"/>
    <w:rsid w:val="00C40385"/>
    <w:rsid w:val="00C41768"/>
    <w:rsid w:val="00C41D09"/>
    <w:rsid w:val="00C43853"/>
    <w:rsid w:val="00C43C9B"/>
    <w:rsid w:val="00C43E00"/>
    <w:rsid w:val="00C43F17"/>
    <w:rsid w:val="00C444F8"/>
    <w:rsid w:val="00C44CCB"/>
    <w:rsid w:val="00C475AA"/>
    <w:rsid w:val="00C53C98"/>
    <w:rsid w:val="00C54827"/>
    <w:rsid w:val="00C55204"/>
    <w:rsid w:val="00C5523A"/>
    <w:rsid w:val="00C5583A"/>
    <w:rsid w:val="00C56572"/>
    <w:rsid w:val="00C56FCF"/>
    <w:rsid w:val="00C57B6C"/>
    <w:rsid w:val="00C57DD7"/>
    <w:rsid w:val="00C6020B"/>
    <w:rsid w:val="00C6117E"/>
    <w:rsid w:val="00C6163B"/>
    <w:rsid w:val="00C628A6"/>
    <w:rsid w:val="00C629F8"/>
    <w:rsid w:val="00C641AE"/>
    <w:rsid w:val="00C64306"/>
    <w:rsid w:val="00C64344"/>
    <w:rsid w:val="00C64434"/>
    <w:rsid w:val="00C6459D"/>
    <w:rsid w:val="00C65108"/>
    <w:rsid w:val="00C6516A"/>
    <w:rsid w:val="00C65576"/>
    <w:rsid w:val="00C66165"/>
    <w:rsid w:val="00C66BEA"/>
    <w:rsid w:val="00C676A3"/>
    <w:rsid w:val="00C679D4"/>
    <w:rsid w:val="00C67A92"/>
    <w:rsid w:val="00C7060A"/>
    <w:rsid w:val="00C70746"/>
    <w:rsid w:val="00C70F6C"/>
    <w:rsid w:val="00C7151A"/>
    <w:rsid w:val="00C7165D"/>
    <w:rsid w:val="00C717E3"/>
    <w:rsid w:val="00C71F60"/>
    <w:rsid w:val="00C72241"/>
    <w:rsid w:val="00C750C8"/>
    <w:rsid w:val="00C7560F"/>
    <w:rsid w:val="00C770BE"/>
    <w:rsid w:val="00C7789D"/>
    <w:rsid w:val="00C77A5C"/>
    <w:rsid w:val="00C77B50"/>
    <w:rsid w:val="00C77E69"/>
    <w:rsid w:val="00C77E9D"/>
    <w:rsid w:val="00C80504"/>
    <w:rsid w:val="00C8092F"/>
    <w:rsid w:val="00C80A0E"/>
    <w:rsid w:val="00C81015"/>
    <w:rsid w:val="00C811AD"/>
    <w:rsid w:val="00C820C3"/>
    <w:rsid w:val="00C8213F"/>
    <w:rsid w:val="00C85154"/>
    <w:rsid w:val="00C85BAD"/>
    <w:rsid w:val="00C8600B"/>
    <w:rsid w:val="00C86A46"/>
    <w:rsid w:val="00C8797A"/>
    <w:rsid w:val="00C87B2B"/>
    <w:rsid w:val="00C87D77"/>
    <w:rsid w:val="00C90098"/>
    <w:rsid w:val="00C900B8"/>
    <w:rsid w:val="00C908A8"/>
    <w:rsid w:val="00C90C71"/>
    <w:rsid w:val="00C90E3F"/>
    <w:rsid w:val="00C91FD1"/>
    <w:rsid w:val="00C931CF"/>
    <w:rsid w:val="00C935A4"/>
    <w:rsid w:val="00C938CF"/>
    <w:rsid w:val="00C93D35"/>
    <w:rsid w:val="00C93E1A"/>
    <w:rsid w:val="00C94053"/>
    <w:rsid w:val="00C94EEA"/>
    <w:rsid w:val="00C95135"/>
    <w:rsid w:val="00C9624D"/>
    <w:rsid w:val="00C969DA"/>
    <w:rsid w:val="00C97AAE"/>
    <w:rsid w:val="00C97C6B"/>
    <w:rsid w:val="00CA1D13"/>
    <w:rsid w:val="00CA2C77"/>
    <w:rsid w:val="00CA444F"/>
    <w:rsid w:val="00CA5245"/>
    <w:rsid w:val="00CA55DF"/>
    <w:rsid w:val="00CA5F2E"/>
    <w:rsid w:val="00CA6B15"/>
    <w:rsid w:val="00CA71F4"/>
    <w:rsid w:val="00CA7B09"/>
    <w:rsid w:val="00CA7C0E"/>
    <w:rsid w:val="00CB12A5"/>
    <w:rsid w:val="00CB1CAC"/>
    <w:rsid w:val="00CB2E18"/>
    <w:rsid w:val="00CB2EE2"/>
    <w:rsid w:val="00CB2F2A"/>
    <w:rsid w:val="00CB435F"/>
    <w:rsid w:val="00CB5B1A"/>
    <w:rsid w:val="00CB64A7"/>
    <w:rsid w:val="00CB6B22"/>
    <w:rsid w:val="00CB7770"/>
    <w:rsid w:val="00CB79C1"/>
    <w:rsid w:val="00CB7A61"/>
    <w:rsid w:val="00CB7F5F"/>
    <w:rsid w:val="00CC114B"/>
    <w:rsid w:val="00CC127E"/>
    <w:rsid w:val="00CC1B39"/>
    <w:rsid w:val="00CC28B4"/>
    <w:rsid w:val="00CC31F3"/>
    <w:rsid w:val="00CC3537"/>
    <w:rsid w:val="00CC35EA"/>
    <w:rsid w:val="00CC3848"/>
    <w:rsid w:val="00CC4929"/>
    <w:rsid w:val="00CC4B78"/>
    <w:rsid w:val="00CC61EC"/>
    <w:rsid w:val="00CC67FF"/>
    <w:rsid w:val="00CC710D"/>
    <w:rsid w:val="00CC77C3"/>
    <w:rsid w:val="00CD1A89"/>
    <w:rsid w:val="00CD3F77"/>
    <w:rsid w:val="00CD5219"/>
    <w:rsid w:val="00CD5B36"/>
    <w:rsid w:val="00CD61EC"/>
    <w:rsid w:val="00CD6A6E"/>
    <w:rsid w:val="00CD6A9E"/>
    <w:rsid w:val="00CD6ADC"/>
    <w:rsid w:val="00CD7193"/>
    <w:rsid w:val="00CD73D0"/>
    <w:rsid w:val="00CE0ACB"/>
    <w:rsid w:val="00CE38C8"/>
    <w:rsid w:val="00CE4C6D"/>
    <w:rsid w:val="00CE6274"/>
    <w:rsid w:val="00CE77B6"/>
    <w:rsid w:val="00CF0471"/>
    <w:rsid w:val="00CF180F"/>
    <w:rsid w:val="00CF1E46"/>
    <w:rsid w:val="00CF23EB"/>
    <w:rsid w:val="00CF2B8D"/>
    <w:rsid w:val="00CF3E72"/>
    <w:rsid w:val="00CF3FEC"/>
    <w:rsid w:val="00CF456B"/>
    <w:rsid w:val="00CF49B2"/>
    <w:rsid w:val="00CF5A22"/>
    <w:rsid w:val="00CF610A"/>
    <w:rsid w:val="00CF6550"/>
    <w:rsid w:val="00CF79F4"/>
    <w:rsid w:val="00D00310"/>
    <w:rsid w:val="00D01066"/>
    <w:rsid w:val="00D0262E"/>
    <w:rsid w:val="00D031E8"/>
    <w:rsid w:val="00D04B4C"/>
    <w:rsid w:val="00D05AB9"/>
    <w:rsid w:val="00D05C61"/>
    <w:rsid w:val="00D05E3D"/>
    <w:rsid w:val="00D06139"/>
    <w:rsid w:val="00D07C11"/>
    <w:rsid w:val="00D10B23"/>
    <w:rsid w:val="00D110BD"/>
    <w:rsid w:val="00D11359"/>
    <w:rsid w:val="00D11AE9"/>
    <w:rsid w:val="00D13351"/>
    <w:rsid w:val="00D13675"/>
    <w:rsid w:val="00D13743"/>
    <w:rsid w:val="00D141E1"/>
    <w:rsid w:val="00D14898"/>
    <w:rsid w:val="00D15314"/>
    <w:rsid w:val="00D154E8"/>
    <w:rsid w:val="00D15E60"/>
    <w:rsid w:val="00D16CD3"/>
    <w:rsid w:val="00D17D6C"/>
    <w:rsid w:val="00D2155B"/>
    <w:rsid w:val="00D21B17"/>
    <w:rsid w:val="00D2209F"/>
    <w:rsid w:val="00D230E6"/>
    <w:rsid w:val="00D23D11"/>
    <w:rsid w:val="00D244B6"/>
    <w:rsid w:val="00D25B83"/>
    <w:rsid w:val="00D266E9"/>
    <w:rsid w:val="00D2754D"/>
    <w:rsid w:val="00D277C9"/>
    <w:rsid w:val="00D27B27"/>
    <w:rsid w:val="00D303D9"/>
    <w:rsid w:val="00D314E8"/>
    <w:rsid w:val="00D32033"/>
    <w:rsid w:val="00D330A8"/>
    <w:rsid w:val="00D33BE9"/>
    <w:rsid w:val="00D33F93"/>
    <w:rsid w:val="00D357FF"/>
    <w:rsid w:val="00D35817"/>
    <w:rsid w:val="00D35AD1"/>
    <w:rsid w:val="00D35E04"/>
    <w:rsid w:val="00D3678D"/>
    <w:rsid w:val="00D41CBE"/>
    <w:rsid w:val="00D424C7"/>
    <w:rsid w:val="00D43B2A"/>
    <w:rsid w:val="00D43D83"/>
    <w:rsid w:val="00D44A18"/>
    <w:rsid w:val="00D45AE7"/>
    <w:rsid w:val="00D45EA5"/>
    <w:rsid w:val="00D4600D"/>
    <w:rsid w:val="00D463A3"/>
    <w:rsid w:val="00D47575"/>
    <w:rsid w:val="00D47E1C"/>
    <w:rsid w:val="00D47F16"/>
    <w:rsid w:val="00D51806"/>
    <w:rsid w:val="00D5243B"/>
    <w:rsid w:val="00D532A3"/>
    <w:rsid w:val="00D533EC"/>
    <w:rsid w:val="00D538A5"/>
    <w:rsid w:val="00D53F1D"/>
    <w:rsid w:val="00D55D52"/>
    <w:rsid w:val="00D56647"/>
    <w:rsid w:val="00D56A95"/>
    <w:rsid w:val="00D57CD4"/>
    <w:rsid w:val="00D60906"/>
    <w:rsid w:val="00D6136E"/>
    <w:rsid w:val="00D6247D"/>
    <w:rsid w:val="00D632C5"/>
    <w:rsid w:val="00D63634"/>
    <w:rsid w:val="00D66051"/>
    <w:rsid w:val="00D671CC"/>
    <w:rsid w:val="00D703D7"/>
    <w:rsid w:val="00D70F16"/>
    <w:rsid w:val="00D70F9A"/>
    <w:rsid w:val="00D72877"/>
    <w:rsid w:val="00D72C51"/>
    <w:rsid w:val="00D72F57"/>
    <w:rsid w:val="00D7373E"/>
    <w:rsid w:val="00D75F65"/>
    <w:rsid w:val="00D76095"/>
    <w:rsid w:val="00D76470"/>
    <w:rsid w:val="00D76A44"/>
    <w:rsid w:val="00D77F46"/>
    <w:rsid w:val="00D80B7A"/>
    <w:rsid w:val="00D815EF"/>
    <w:rsid w:val="00D81F26"/>
    <w:rsid w:val="00D83702"/>
    <w:rsid w:val="00D84A93"/>
    <w:rsid w:val="00D84FD9"/>
    <w:rsid w:val="00D8570B"/>
    <w:rsid w:val="00D86231"/>
    <w:rsid w:val="00D86966"/>
    <w:rsid w:val="00D8705F"/>
    <w:rsid w:val="00D8754A"/>
    <w:rsid w:val="00D875AC"/>
    <w:rsid w:val="00D90384"/>
    <w:rsid w:val="00D91923"/>
    <w:rsid w:val="00D91B3B"/>
    <w:rsid w:val="00D92B2D"/>
    <w:rsid w:val="00D934BB"/>
    <w:rsid w:val="00D93753"/>
    <w:rsid w:val="00D94217"/>
    <w:rsid w:val="00D958F8"/>
    <w:rsid w:val="00D96151"/>
    <w:rsid w:val="00D9635D"/>
    <w:rsid w:val="00D96BFE"/>
    <w:rsid w:val="00D96E59"/>
    <w:rsid w:val="00DA21C7"/>
    <w:rsid w:val="00DA2E65"/>
    <w:rsid w:val="00DA3167"/>
    <w:rsid w:val="00DA45F0"/>
    <w:rsid w:val="00DA4DC3"/>
    <w:rsid w:val="00DA5D07"/>
    <w:rsid w:val="00DA63A9"/>
    <w:rsid w:val="00DA63D4"/>
    <w:rsid w:val="00DA68BB"/>
    <w:rsid w:val="00DA7156"/>
    <w:rsid w:val="00DA77A5"/>
    <w:rsid w:val="00DB07C5"/>
    <w:rsid w:val="00DB17D3"/>
    <w:rsid w:val="00DB267F"/>
    <w:rsid w:val="00DB3432"/>
    <w:rsid w:val="00DB3DBF"/>
    <w:rsid w:val="00DB3DC1"/>
    <w:rsid w:val="00DB44DD"/>
    <w:rsid w:val="00DB4726"/>
    <w:rsid w:val="00DB484F"/>
    <w:rsid w:val="00DB6028"/>
    <w:rsid w:val="00DC04F6"/>
    <w:rsid w:val="00DC0690"/>
    <w:rsid w:val="00DC0D6F"/>
    <w:rsid w:val="00DC1433"/>
    <w:rsid w:val="00DC1D65"/>
    <w:rsid w:val="00DC1DD4"/>
    <w:rsid w:val="00DC1FDC"/>
    <w:rsid w:val="00DC3A3F"/>
    <w:rsid w:val="00DC3B96"/>
    <w:rsid w:val="00DC3C57"/>
    <w:rsid w:val="00DC4E80"/>
    <w:rsid w:val="00DC5501"/>
    <w:rsid w:val="00DC5522"/>
    <w:rsid w:val="00DC6C8B"/>
    <w:rsid w:val="00DC7154"/>
    <w:rsid w:val="00DC71F7"/>
    <w:rsid w:val="00DC7E8A"/>
    <w:rsid w:val="00DD04A9"/>
    <w:rsid w:val="00DD0F78"/>
    <w:rsid w:val="00DD273C"/>
    <w:rsid w:val="00DD3B7F"/>
    <w:rsid w:val="00DD3C2F"/>
    <w:rsid w:val="00DD3F28"/>
    <w:rsid w:val="00DD4321"/>
    <w:rsid w:val="00DD4537"/>
    <w:rsid w:val="00DD4E15"/>
    <w:rsid w:val="00DD64E9"/>
    <w:rsid w:val="00DD6B18"/>
    <w:rsid w:val="00DE0471"/>
    <w:rsid w:val="00DE0637"/>
    <w:rsid w:val="00DE0F35"/>
    <w:rsid w:val="00DE13E8"/>
    <w:rsid w:val="00DE2304"/>
    <w:rsid w:val="00DE3138"/>
    <w:rsid w:val="00DE3759"/>
    <w:rsid w:val="00DE37F8"/>
    <w:rsid w:val="00DE4FCB"/>
    <w:rsid w:val="00DE5D07"/>
    <w:rsid w:val="00DE72A7"/>
    <w:rsid w:val="00DE7536"/>
    <w:rsid w:val="00DE7832"/>
    <w:rsid w:val="00DE7CD7"/>
    <w:rsid w:val="00DF032D"/>
    <w:rsid w:val="00DF0597"/>
    <w:rsid w:val="00DF18FC"/>
    <w:rsid w:val="00DF4A68"/>
    <w:rsid w:val="00DF59D7"/>
    <w:rsid w:val="00DF5D2B"/>
    <w:rsid w:val="00DF5D88"/>
    <w:rsid w:val="00DF6129"/>
    <w:rsid w:val="00DF64DD"/>
    <w:rsid w:val="00DF7406"/>
    <w:rsid w:val="00E002D8"/>
    <w:rsid w:val="00E0038C"/>
    <w:rsid w:val="00E00E8E"/>
    <w:rsid w:val="00E01B73"/>
    <w:rsid w:val="00E05630"/>
    <w:rsid w:val="00E059F0"/>
    <w:rsid w:val="00E05CCB"/>
    <w:rsid w:val="00E06DBB"/>
    <w:rsid w:val="00E07040"/>
    <w:rsid w:val="00E0762B"/>
    <w:rsid w:val="00E10149"/>
    <w:rsid w:val="00E10694"/>
    <w:rsid w:val="00E11340"/>
    <w:rsid w:val="00E122A1"/>
    <w:rsid w:val="00E12A4E"/>
    <w:rsid w:val="00E12DB9"/>
    <w:rsid w:val="00E13591"/>
    <w:rsid w:val="00E14983"/>
    <w:rsid w:val="00E14FB1"/>
    <w:rsid w:val="00E154F0"/>
    <w:rsid w:val="00E16372"/>
    <w:rsid w:val="00E16859"/>
    <w:rsid w:val="00E17865"/>
    <w:rsid w:val="00E203E4"/>
    <w:rsid w:val="00E20B3A"/>
    <w:rsid w:val="00E20E4D"/>
    <w:rsid w:val="00E20ED6"/>
    <w:rsid w:val="00E21358"/>
    <w:rsid w:val="00E2249B"/>
    <w:rsid w:val="00E228C6"/>
    <w:rsid w:val="00E22962"/>
    <w:rsid w:val="00E22A0D"/>
    <w:rsid w:val="00E23088"/>
    <w:rsid w:val="00E23191"/>
    <w:rsid w:val="00E23A81"/>
    <w:rsid w:val="00E244F6"/>
    <w:rsid w:val="00E2771E"/>
    <w:rsid w:val="00E30014"/>
    <w:rsid w:val="00E31172"/>
    <w:rsid w:val="00E311EF"/>
    <w:rsid w:val="00E313D1"/>
    <w:rsid w:val="00E32180"/>
    <w:rsid w:val="00E32D0C"/>
    <w:rsid w:val="00E32DDF"/>
    <w:rsid w:val="00E33B3A"/>
    <w:rsid w:val="00E34948"/>
    <w:rsid w:val="00E35623"/>
    <w:rsid w:val="00E35B11"/>
    <w:rsid w:val="00E3607F"/>
    <w:rsid w:val="00E36E2A"/>
    <w:rsid w:val="00E3748D"/>
    <w:rsid w:val="00E37569"/>
    <w:rsid w:val="00E37E69"/>
    <w:rsid w:val="00E401B2"/>
    <w:rsid w:val="00E41E30"/>
    <w:rsid w:val="00E41F96"/>
    <w:rsid w:val="00E4212F"/>
    <w:rsid w:val="00E424CE"/>
    <w:rsid w:val="00E42F73"/>
    <w:rsid w:val="00E434C0"/>
    <w:rsid w:val="00E43D70"/>
    <w:rsid w:val="00E44341"/>
    <w:rsid w:val="00E44D60"/>
    <w:rsid w:val="00E45C56"/>
    <w:rsid w:val="00E466F3"/>
    <w:rsid w:val="00E46FD4"/>
    <w:rsid w:val="00E47B2C"/>
    <w:rsid w:val="00E47D32"/>
    <w:rsid w:val="00E47D5B"/>
    <w:rsid w:val="00E47E32"/>
    <w:rsid w:val="00E50440"/>
    <w:rsid w:val="00E508F5"/>
    <w:rsid w:val="00E51560"/>
    <w:rsid w:val="00E539BC"/>
    <w:rsid w:val="00E53FC8"/>
    <w:rsid w:val="00E54347"/>
    <w:rsid w:val="00E55424"/>
    <w:rsid w:val="00E55915"/>
    <w:rsid w:val="00E55BB5"/>
    <w:rsid w:val="00E563E5"/>
    <w:rsid w:val="00E569C7"/>
    <w:rsid w:val="00E578F8"/>
    <w:rsid w:val="00E60054"/>
    <w:rsid w:val="00E60622"/>
    <w:rsid w:val="00E61334"/>
    <w:rsid w:val="00E62198"/>
    <w:rsid w:val="00E629A2"/>
    <w:rsid w:val="00E658D8"/>
    <w:rsid w:val="00E65E79"/>
    <w:rsid w:val="00E6632D"/>
    <w:rsid w:val="00E66AF4"/>
    <w:rsid w:val="00E66BA2"/>
    <w:rsid w:val="00E67416"/>
    <w:rsid w:val="00E70B4F"/>
    <w:rsid w:val="00E718B6"/>
    <w:rsid w:val="00E71F47"/>
    <w:rsid w:val="00E723BA"/>
    <w:rsid w:val="00E73581"/>
    <w:rsid w:val="00E74898"/>
    <w:rsid w:val="00E751CA"/>
    <w:rsid w:val="00E760D8"/>
    <w:rsid w:val="00E812DD"/>
    <w:rsid w:val="00E8174C"/>
    <w:rsid w:val="00E81C02"/>
    <w:rsid w:val="00E833F7"/>
    <w:rsid w:val="00E83BDF"/>
    <w:rsid w:val="00E85C94"/>
    <w:rsid w:val="00E87A1D"/>
    <w:rsid w:val="00E9094A"/>
    <w:rsid w:val="00E91D35"/>
    <w:rsid w:val="00E926A5"/>
    <w:rsid w:val="00E92F59"/>
    <w:rsid w:val="00E95CB3"/>
    <w:rsid w:val="00E961B1"/>
    <w:rsid w:val="00E96361"/>
    <w:rsid w:val="00E9638F"/>
    <w:rsid w:val="00E97B20"/>
    <w:rsid w:val="00EA001F"/>
    <w:rsid w:val="00EA05E0"/>
    <w:rsid w:val="00EA17C3"/>
    <w:rsid w:val="00EA1A3A"/>
    <w:rsid w:val="00EA1D54"/>
    <w:rsid w:val="00EA1D69"/>
    <w:rsid w:val="00EA2CAA"/>
    <w:rsid w:val="00EA3284"/>
    <w:rsid w:val="00EA3864"/>
    <w:rsid w:val="00EA4CA3"/>
    <w:rsid w:val="00EA611C"/>
    <w:rsid w:val="00EA7909"/>
    <w:rsid w:val="00EA7F1C"/>
    <w:rsid w:val="00EB076A"/>
    <w:rsid w:val="00EB15B6"/>
    <w:rsid w:val="00EB367F"/>
    <w:rsid w:val="00EB3D06"/>
    <w:rsid w:val="00EB40F8"/>
    <w:rsid w:val="00EB435B"/>
    <w:rsid w:val="00EB4916"/>
    <w:rsid w:val="00EB534D"/>
    <w:rsid w:val="00EB629D"/>
    <w:rsid w:val="00EB77A6"/>
    <w:rsid w:val="00EB78FA"/>
    <w:rsid w:val="00EC00C9"/>
    <w:rsid w:val="00EC037E"/>
    <w:rsid w:val="00EC0CC5"/>
    <w:rsid w:val="00EC0DD9"/>
    <w:rsid w:val="00EC1690"/>
    <w:rsid w:val="00EC1977"/>
    <w:rsid w:val="00EC2649"/>
    <w:rsid w:val="00EC31ED"/>
    <w:rsid w:val="00EC3696"/>
    <w:rsid w:val="00EC3B7E"/>
    <w:rsid w:val="00EC4562"/>
    <w:rsid w:val="00EC4A01"/>
    <w:rsid w:val="00EC5836"/>
    <w:rsid w:val="00EC651B"/>
    <w:rsid w:val="00EC688C"/>
    <w:rsid w:val="00EC6D4C"/>
    <w:rsid w:val="00ED26D1"/>
    <w:rsid w:val="00ED2EF5"/>
    <w:rsid w:val="00ED3843"/>
    <w:rsid w:val="00ED57EA"/>
    <w:rsid w:val="00ED5BD4"/>
    <w:rsid w:val="00ED5DFA"/>
    <w:rsid w:val="00ED668B"/>
    <w:rsid w:val="00ED7DFB"/>
    <w:rsid w:val="00EE0097"/>
    <w:rsid w:val="00EE07D3"/>
    <w:rsid w:val="00EE11C8"/>
    <w:rsid w:val="00EE1899"/>
    <w:rsid w:val="00EE1996"/>
    <w:rsid w:val="00EE1C01"/>
    <w:rsid w:val="00EE22AF"/>
    <w:rsid w:val="00EE58BF"/>
    <w:rsid w:val="00EE5FD5"/>
    <w:rsid w:val="00EE73B3"/>
    <w:rsid w:val="00EF0171"/>
    <w:rsid w:val="00EF0984"/>
    <w:rsid w:val="00EF1B25"/>
    <w:rsid w:val="00EF1DA0"/>
    <w:rsid w:val="00EF277A"/>
    <w:rsid w:val="00EF35E2"/>
    <w:rsid w:val="00EF4747"/>
    <w:rsid w:val="00EF477F"/>
    <w:rsid w:val="00EF4BF8"/>
    <w:rsid w:val="00EF6BE3"/>
    <w:rsid w:val="00EF6DBC"/>
    <w:rsid w:val="00F01A3D"/>
    <w:rsid w:val="00F0219F"/>
    <w:rsid w:val="00F02253"/>
    <w:rsid w:val="00F0318A"/>
    <w:rsid w:val="00F03C2E"/>
    <w:rsid w:val="00F04A66"/>
    <w:rsid w:val="00F04B4B"/>
    <w:rsid w:val="00F0516C"/>
    <w:rsid w:val="00F0539A"/>
    <w:rsid w:val="00F05E79"/>
    <w:rsid w:val="00F067A2"/>
    <w:rsid w:val="00F07466"/>
    <w:rsid w:val="00F07B9E"/>
    <w:rsid w:val="00F1116F"/>
    <w:rsid w:val="00F1263A"/>
    <w:rsid w:val="00F12EFF"/>
    <w:rsid w:val="00F12FE3"/>
    <w:rsid w:val="00F14F93"/>
    <w:rsid w:val="00F15B77"/>
    <w:rsid w:val="00F16808"/>
    <w:rsid w:val="00F17421"/>
    <w:rsid w:val="00F17FB0"/>
    <w:rsid w:val="00F20B58"/>
    <w:rsid w:val="00F21257"/>
    <w:rsid w:val="00F22396"/>
    <w:rsid w:val="00F22559"/>
    <w:rsid w:val="00F228A0"/>
    <w:rsid w:val="00F22AFA"/>
    <w:rsid w:val="00F24837"/>
    <w:rsid w:val="00F2575F"/>
    <w:rsid w:val="00F25C0E"/>
    <w:rsid w:val="00F26A55"/>
    <w:rsid w:val="00F26C76"/>
    <w:rsid w:val="00F27544"/>
    <w:rsid w:val="00F27565"/>
    <w:rsid w:val="00F3021A"/>
    <w:rsid w:val="00F30A62"/>
    <w:rsid w:val="00F310D4"/>
    <w:rsid w:val="00F31D5A"/>
    <w:rsid w:val="00F32339"/>
    <w:rsid w:val="00F32343"/>
    <w:rsid w:val="00F32A87"/>
    <w:rsid w:val="00F33975"/>
    <w:rsid w:val="00F33DE9"/>
    <w:rsid w:val="00F35E6D"/>
    <w:rsid w:val="00F36158"/>
    <w:rsid w:val="00F3619A"/>
    <w:rsid w:val="00F3764C"/>
    <w:rsid w:val="00F4000B"/>
    <w:rsid w:val="00F40AAA"/>
    <w:rsid w:val="00F40BA7"/>
    <w:rsid w:val="00F40F9D"/>
    <w:rsid w:val="00F41ACD"/>
    <w:rsid w:val="00F43439"/>
    <w:rsid w:val="00F4508E"/>
    <w:rsid w:val="00F46A27"/>
    <w:rsid w:val="00F46CB6"/>
    <w:rsid w:val="00F472F4"/>
    <w:rsid w:val="00F4756D"/>
    <w:rsid w:val="00F47DE8"/>
    <w:rsid w:val="00F50395"/>
    <w:rsid w:val="00F50476"/>
    <w:rsid w:val="00F51BE5"/>
    <w:rsid w:val="00F51C88"/>
    <w:rsid w:val="00F52979"/>
    <w:rsid w:val="00F542C1"/>
    <w:rsid w:val="00F55E73"/>
    <w:rsid w:val="00F55EDA"/>
    <w:rsid w:val="00F56C80"/>
    <w:rsid w:val="00F57609"/>
    <w:rsid w:val="00F60092"/>
    <w:rsid w:val="00F60D2C"/>
    <w:rsid w:val="00F61C18"/>
    <w:rsid w:val="00F63005"/>
    <w:rsid w:val="00F65F4B"/>
    <w:rsid w:val="00F67339"/>
    <w:rsid w:val="00F67A69"/>
    <w:rsid w:val="00F67BBE"/>
    <w:rsid w:val="00F7025A"/>
    <w:rsid w:val="00F70BFF"/>
    <w:rsid w:val="00F70C11"/>
    <w:rsid w:val="00F70C9D"/>
    <w:rsid w:val="00F71746"/>
    <w:rsid w:val="00F74540"/>
    <w:rsid w:val="00F74CD9"/>
    <w:rsid w:val="00F76519"/>
    <w:rsid w:val="00F80A7B"/>
    <w:rsid w:val="00F80C50"/>
    <w:rsid w:val="00F80E5D"/>
    <w:rsid w:val="00F81E78"/>
    <w:rsid w:val="00F8253D"/>
    <w:rsid w:val="00F82C90"/>
    <w:rsid w:val="00F8420B"/>
    <w:rsid w:val="00F84653"/>
    <w:rsid w:val="00F851CE"/>
    <w:rsid w:val="00F85FDC"/>
    <w:rsid w:val="00F902F2"/>
    <w:rsid w:val="00F91219"/>
    <w:rsid w:val="00F91451"/>
    <w:rsid w:val="00F9159A"/>
    <w:rsid w:val="00F91751"/>
    <w:rsid w:val="00F92444"/>
    <w:rsid w:val="00F9393E"/>
    <w:rsid w:val="00F9415C"/>
    <w:rsid w:val="00F95461"/>
    <w:rsid w:val="00F96FD0"/>
    <w:rsid w:val="00F97A78"/>
    <w:rsid w:val="00F97DD0"/>
    <w:rsid w:val="00FA0B20"/>
    <w:rsid w:val="00FA1BD0"/>
    <w:rsid w:val="00FA24E7"/>
    <w:rsid w:val="00FA2891"/>
    <w:rsid w:val="00FA2A16"/>
    <w:rsid w:val="00FA3B6D"/>
    <w:rsid w:val="00FA3BCE"/>
    <w:rsid w:val="00FA5EE6"/>
    <w:rsid w:val="00FA6507"/>
    <w:rsid w:val="00FA7005"/>
    <w:rsid w:val="00FA7956"/>
    <w:rsid w:val="00FB011B"/>
    <w:rsid w:val="00FB0E4C"/>
    <w:rsid w:val="00FB2AFF"/>
    <w:rsid w:val="00FB2FCB"/>
    <w:rsid w:val="00FB31D8"/>
    <w:rsid w:val="00FB3AC0"/>
    <w:rsid w:val="00FB3AC8"/>
    <w:rsid w:val="00FB3D7F"/>
    <w:rsid w:val="00FB51F0"/>
    <w:rsid w:val="00FB6C7F"/>
    <w:rsid w:val="00FB7C55"/>
    <w:rsid w:val="00FC1074"/>
    <w:rsid w:val="00FC1884"/>
    <w:rsid w:val="00FC2D87"/>
    <w:rsid w:val="00FC371D"/>
    <w:rsid w:val="00FC4A33"/>
    <w:rsid w:val="00FC4BBD"/>
    <w:rsid w:val="00FC50B0"/>
    <w:rsid w:val="00FC5CA4"/>
    <w:rsid w:val="00FC5F0B"/>
    <w:rsid w:val="00FC6ECC"/>
    <w:rsid w:val="00FD1034"/>
    <w:rsid w:val="00FD2100"/>
    <w:rsid w:val="00FD2DDF"/>
    <w:rsid w:val="00FD3838"/>
    <w:rsid w:val="00FD436C"/>
    <w:rsid w:val="00FD446D"/>
    <w:rsid w:val="00FD476B"/>
    <w:rsid w:val="00FD4F2C"/>
    <w:rsid w:val="00FD59E0"/>
    <w:rsid w:val="00FD6344"/>
    <w:rsid w:val="00FD6394"/>
    <w:rsid w:val="00FD775E"/>
    <w:rsid w:val="00FE0307"/>
    <w:rsid w:val="00FE0E6C"/>
    <w:rsid w:val="00FE1CDC"/>
    <w:rsid w:val="00FE20A5"/>
    <w:rsid w:val="00FE6B95"/>
    <w:rsid w:val="00FE70C3"/>
    <w:rsid w:val="00FF138C"/>
    <w:rsid w:val="00FF2AD9"/>
    <w:rsid w:val="00FF34D7"/>
    <w:rsid w:val="00FF359F"/>
    <w:rsid w:val="00FF3DCF"/>
    <w:rsid w:val="00FF3FEB"/>
    <w:rsid w:val="00FF4150"/>
    <w:rsid w:val="00FF492C"/>
    <w:rsid w:val="00FF4A21"/>
    <w:rsid w:val="00FF5AA3"/>
    <w:rsid w:val="00FF5AD8"/>
    <w:rsid w:val="00FF6CCB"/>
    <w:rsid w:val="00FF7846"/>
    <w:rsid w:val="00FF7F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2B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5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PBACcaption">
    <w:name w:val="PBAC caption"/>
    <w:basedOn w:val="Normal"/>
    <w:link w:val="PBACcaptionChar"/>
    <w:qFormat/>
    <w:rsid w:val="00422D07"/>
    <w:pPr>
      <w:jc w:val="left"/>
    </w:pPr>
    <w:rPr>
      <w:rFonts w:ascii="Sabon" w:eastAsiaTheme="minorHAnsi" w:hAnsi="Sabon"/>
      <w:b/>
      <w:sz w:val="22"/>
      <w:szCs w:val="22"/>
      <w:lang w:eastAsia="en-US"/>
    </w:rPr>
  </w:style>
  <w:style w:type="character" w:customStyle="1" w:styleId="PBACcaptionChar">
    <w:name w:val="PBAC caption Char"/>
    <w:basedOn w:val="DefaultParagraphFont"/>
    <w:link w:val="PBACcaption"/>
    <w:rsid w:val="00422D07"/>
    <w:rPr>
      <w:rFonts w:ascii="Sabon" w:eastAsiaTheme="minorHAnsi" w:hAnsi="Sabon" w:cs="Arial"/>
      <w:b/>
      <w:sz w:val="22"/>
      <w:szCs w:val="22"/>
      <w:lang w:eastAsia="en-US"/>
    </w:rPr>
  </w:style>
  <w:style w:type="character" w:customStyle="1" w:styleId="NoSpacingChar">
    <w:name w:val="No Spacing Char"/>
    <w:aliases w:val="PBAC Table Footnote Char"/>
    <w:basedOn w:val="DefaultParagraphFont"/>
    <w:link w:val="NoSpacing"/>
    <w:rsid w:val="00422D07"/>
    <w:rPr>
      <w:rFonts w:ascii="Arial" w:hAnsi="Arial" w:cs="Arial"/>
      <w:snapToGrid w:val="0"/>
      <w:sz w:val="22"/>
      <w:lang w:eastAsia="en-US"/>
    </w:rPr>
  </w:style>
  <w:style w:type="character" w:styleId="PlaceholderText">
    <w:name w:val="Placeholder Text"/>
    <w:basedOn w:val="DefaultParagraphFont"/>
    <w:uiPriority w:val="99"/>
    <w:semiHidden/>
    <w:rsid w:val="00737C49"/>
    <w:rPr>
      <w:color w:val="808080"/>
    </w:rPr>
  </w:style>
  <w:style w:type="paragraph" w:customStyle="1" w:styleId="PBACTableText">
    <w:name w:val="PBAC Table Text"/>
    <w:basedOn w:val="Normal"/>
    <w:link w:val="PBACTableTextChar"/>
    <w:qFormat/>
    <w:rsid w:val="00747694"/>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747694"/>
    <w:rPr>
      <w:rFonts w:ascii="Arial Narrow" w:hAnsi="Arial Narrow"/>
      <w:lang w:eastAsia="en-US"/>
    </w:rPr>
  </w:style>
  <w:style w:type="paragraph" w:customStyle="1" w:styleId="PBACbullet">
    <w:name w:val="PBAC bullet"/>
    <w:basedOn w:val="ListParagraph"/>
    <w:link w:val="PBACbulletChar"/>
    <w:qFormat/>
    <w:rsid w:val="00747694"/>
    <w:pPr>
      <w:numPr>
        <w:numId w:val="5"/>
      </w:numPr>
      <w:spacing w:after="160"/>
      <w:contextualSpacing/>
      <w:jc w:val="left"/>
    </w:pPr>
    <w:rPr>
      <w:rFonts w:ascii="Sabon" w:eastAsiaTheme="minorHAnsi" w:hAnsi="Sabon"/>
      <w:snapToGrid/>
      <w:sz w:val="22"/>
      <w:lang w:eastAsia="en-US"/>
    </w:rPr>
  </w:style>
  <w:style w:type="character" w:customStyle="1" w:styleId="PBACbulletChar">
    <w:name w:val="PBAC bullet Char"/>
    <w:basedOn w:val="ListParagraphChar"/>
    <w:link w:val="PBACbullet"/>
    <w:rsid w:val="00747694"/>
    <w:rPr>
      <w:rFonts w:ascii="Sabon" w:eastAsiaTheme="minorHAnsi" w:hAnsi="Sabon" w:cs="Arial"/>
      <w:snapToGrid/>
      <w:sz w:val="22"/>
      <w:szCs w:val="24"/>
      <w:lang w:eastAsia="en-US"/>
    </w:rPr>
  </w:style>
  <w:style w:type="paragraph" w:styleId="FootnoteText">
    <w:name w:val="footnote text"/>
    <w:basedOn w:val="Normal"/>
    <w:link w:val="FootnoteTextChar"/>
    <w:semiHidden/>
    <w:unhideWhenUsed/>
    <w:rsid w:val="00F22396"/>
    <w:rPr>
      <w:sz w:val="20"/>
      <w:szCs w:val="20"/>
    </w:rPr>
  </w:style>
  <w:style w:type="character" w:customStyle="1" w:styleId="FootnoteTextChar">
    <w:name w:val="Footnote Text Char"/>
    <w:basedOn w:val="DefaultParagraphFont"/>
    <w:link w:val="FootnoteText"/>
    <w:semiHidden/>
    <w:rsid w:val="00F22396"/>
    <w:rPr>
      <w:rFonts w:ascii="Calibri" w:hAnsi="Calibri" w:cs="Arial"/>
    </w:rPr>
  </w:style>
  <w:style w:type="character" w:styleId="FootnoteReference">
    <w:name w:val="footnote reference"/>
    <w:basedOn w:val="DefaultParagraphFont"/>
    <w:semiHidden/>
    <w:unhideWhenUsed/>
    <w:rsid w:val="00F22396"/>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86966"/>
    <w:pPr>
      <w:spacing w:after="160" w:line="240" w:lineRule="exact"/>
      <w:jc w:val="left"/>
    </w:pPr>
    <w:rPr>
      <w:rFonts w:ascii="Verdana" w:eastAsia="MS Mincho" w:hAnsi="Verdana" w:cs="Verdana"/>
      <w:sz w:val="20"/>
      <w:szCs w:val="20"/>
      <w:lang w:val="en-US" w:eastAsia="en-US"/>
    </w:rPr>
  </w:style>
  <w:style w:type="paragraph" w:customStyle="1" w:styleId="ExecSumBodyText">
    <w:name w:val="Exec Sum Body Text"/>
    <w:basedOn w:val="Normal"/>
    <w:link w:val="ExecSumBodyTextChar"/>
    <w:qFormat/>
    <w:rsid w:val="00161856"/>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161856"/>
    <w:rPr>
      <w:rFonts w:asciiTheme="minorHAnsi" w:hAnsiTheme="minorHAnsi" w:cs="Arial"/>
      <w:snapToGrid w:val="0"/>
      <w:sz w:val="24"/>
      <w:szCs w:val="24"/>
    </w:rPr>
  </w:style>
  <w:style w:type="paragraph" w:customStyle="1" w:styleId="Bodytextitalics">
    <w:name w:val="Body text italics"/>
    <w:basedOn w:val="BodyText"/>
    <w:qFormat/>
    <w:rsid w:val="00C811AD"/>
    <w:pPr>
      <w:spacing w:after="120"/>
      <w:jc w:val="both"/>
    </w:pPr>
    <w:rPr>
      <w:rFonts w:asciiTheme="minorHAnsi" w:eastAsiaTheme="minorHAnsi" w:hAnsiTheme="minorHAnsi"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0628127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1667117">
      <w:bodyDiv w:val="1"/>
      <w:marLeft w:val="0"/>
      <w:marRight w:val="0"/>
      <w:marTop w:val="0"/>
      <w:marBottom w:val="0"/>
      <w:divBdr>
        <w:top w:val="none" w:sz="0" w:space="0" w:color="auto"/>
        <w:left w:val="none" w:sz="0" w:space="0" w:color="auto"/>
        <w:bottom w:val="none" w:sz="0" w:space="0" w:color="auto"/>
        <w:right w:val="none" w:sz="0" w:space="0" w:color="auto"/>
      </w:divBdr>
    </w:div>
    <w:div w:id="497578339">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1">
          <w:marLeft w:val="144"/>
          <w:marRight w:val="0"/>
          <w:marTop w:val="240"/>
          <w:marBottom w:val="40"/>
          <w:divBdr>
            <w:top w:val="none" w:sz="0" w:space="0" w:color="auto"/>
            <w:left w:val="none" w:sz="0" w:space="0" w:color="auto"/>
            <w:bottom w:val="none" w:sz="0" w:space="0" w:color="auto"/>
            <w:right w:val="none" w:sz="0" w:space="0" w:color="auto"/>
          </w:divBdr>
        </w:div>
      </w:divsChild>
    </w:div>
    <w:div w:id="519853589">
      <w:bodyDiv w:val="1"/>
      <w:marLeft w:val="0"/>
      <w:marRight w:val="0"/>
      <w:marTop w:val="0"/>
      <w:marBottom w:val="0"/>
      <w:divBdr>
        <w:top w:val="none" w:sz="0" w:space="0" w:color="auto"/>
        <w:left w:val="none" w:sz="0" w:space="0" w:color="auto"/>
        <w:bottom w:val="none" w:sz="0" w:space="0" w:color="auto"/>
        <w:right w:val="none" w:sz="0" w:space="0" w:color="auto"/>
      </w:divBdr>
    </w:div>
    <w:div w:id="562712946">
      <w:bodyDiv w:val="1"/>
      <w:marLeft w:val="0"/>
      <w:marRight w:val="0"/>
      <w:marTop w:val="0"/>
      <w:marBottom w:val="0"/>
      <w:divBdr>
        <w:top w:val="none" w:sz="0" w:space="0" w:color="auto"/>
        <w:left w:val="none" w:sz="0" w:space="0" w:color="auto"/>
        <w:bottom w:val="none" w:sz="0" w:space="0" w:color="auto"/>
        <w:right w:val="none" w:sz="0" w:space="0" w:color="auto"/>
      </w:divBdr>
    </w:div>
    <w:div w:id="867063946">
      <w:bodyDiv w:val="1"/>
      <w:marLeft w:val="0"/>
      <w:marRight w:val="0"/>
      <w:marTop w:val="0"/>
      <w:marBottom w:val="0"/>
      <w:divBdr>
        <w:top w:val="none" w:sz="0" w:space="0" w:color="auto"/>
        <w:left w:val="none" w:sz="0" w:space="0" w:color="auto"/>
        <w:bottom w:val="none" w:sz="0" w:space="0" w:color="auto"/>
        <w:right w:val="none" w:sz="0" w:space="0" w:color="auto"/>
      </w:divBdr>
    </w:div>
    <w:div w:id="104185660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0210">
      <w:bodyDiv w:val="1"/>
      <w:marLeft w:val="0"/>
      <w:marRight w:val="0"/>
      <w:marTop w:val="0"/>
      <w:marBottom w:val="0"/>
      <w:divBdr>
        <w:top w:val="none" w:sz="0" w:space="0" w:color="auto"/>
        <w:left w:val="none" w:sz="0" w:space="0" w:color="auto"/>
        <w:bottom w:val="none" w:sz="0" w:space="0" w:color="auto"/>
        <w:right w:val="none" w:sz="0" w:space="0" w:color="auto"/>
      </w:divBdr>
    </w:div>
    <w:div w:id="1418401460">
      <w:bodyDiv w:val="1"/>
      <w:marLeft w:val="0"/>
      <w:marRight w:val="0"/>
      <w:marTop w:val="0"/>
      <w:marBottom w:val="0"/>
      <w:divBdr>
        <w:top w:val="none" w:sz="0" w:space="0" w:color="auto"/>
        <w:left w:val="none" w:sz="0" w:space="0" w:color="auto"/>
        <w:bottom w:val="none" w:sz="0" w:space="0" w:color="auto"/>
        <w:right w:val="none" w:sz="0" w:space="0" w:color="auto"/>
      </w:divBdr>
    </w:div>
    <w:div w:id="1484152149">
      <w:bodyDiv w:val="1"/>
      <w:marLeft w:val="0"/>
      <w:marRight w:val="0"/>
      <w:marTop w:val="0"/>
      <w:marBottom w:val="0"/>
      <w:divBdr>
        <w:top w:val="none" w:sz="0" w:space="0" w:color="auto"/>
        <w:left w:val="none" w:sz="0" w:space="0" w:color="auto"/>
        <w:bottom w:val="none" w:sz="0" w:space="0" w:color="auto"/>
        <w:right w:val="none" w:sz="0" w:space="0" w:color="auto"/>
      </w:divBdr>
    </w:div>
    <w:div w:id="1535146017">
      <w:bodyDiv w:val="1"/>
      <w:marLeft w:val="0"/>
      <w:marRight w:val="0"/>
      <w:marTop w:val="0"/>
      <w:marBottom w:val="0"/>
      <w:divBdr>
        <w:top w:val="none" w:sz="0" w:space="0" w:color="auto"/>
        <w:left w:val="none" w:sz="0" w:space="0" w:color="auto"/>
        <w:bottom w:val="none" w:sz="0" w:space="0" w:color="auto"/>
        <w:right w:val="none" w:sz="0" w:space="0" w:color="auto"/>
      </w:divBdr>
    </w:div>
    <w:div w:id="1564218070">
      <w:bodyDiv w:val="1"/>
      <w:marLeft w:val="0"/>
      <w:marRight w:val="0"/>
      <w:marTop w:val="0"/>
      <w:marBottom w:val="0"/>
      <w:divBdr>
        <w:top w:val="none" w:sz="0" w:space="0" w:color="auto"/>
        <w:left w:val="none" w:sz="0" w:space="0" w:color="auto"/>
        <w:bottom w:val="none" w:sz="0" w:space="0" w:color="auto"/>
        <w:right w:val="none" w:sz="0" w:space="0" w:color="auto"/>
      </w:divBdr>
    </w:div>
    <w:div w:id="1733382560">
      <w:bodyDiv w:val="1"/>
      <w:marLeft w:val="0"/>
      <w:marRight w:val="0"/>
      <w:marTop w:val="0"/>
      <w:marBottom w:val="0"/>
      <w:divBdr>
        <w:top w:val="none" w:sz="0" w:space="0" w:color="auto"/>
        <w:left w:val="none" w:sz="0" w:space="0" w:color="auto"/>
        <w:bottom w:val="none" w:sz="0" w:space="0" w:color="auto"/>
        <w:right w:val="none" w:sz="0" w:space="0" w:color="auto"/>
      </w:divBdr>
    </w:div>
    <w:div w:id="1870412909">
      <w:bodyDiv w:val="1"/>
      <w:marLeft w:val="0"/>
      <w:marRight w:val="0"/>
      <w:marTop w:val="0"/>
      <w:marBottom w:val="0"/>
      <w:divBdr>
        <w:top w:val="none" w:sz="0" w:space="0" w:color="auto"/>
        <w:left w:val="none" w:sz="0" w:space="0" w:color="auto"/>
        <w:bottom w:val="none" w:sz="0" w:space="0" w:color="auto"/>
        <w:right w:val="none" w:sz="0" w:space="0" w:color="auto"/>
      </w:divBdr>
    </w:div>
    <w:div w:id="187750365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D6D8-2F90-4AC1-837D-8B986941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8279</Words>
  <Characters>48423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2020-10-23T02:30:00Z</dcterms:created>
  <dcterms:modified xsi:type="dcterms:W3CDTF">2020-10-23T02:32:00Z</dcterms:modified>
</cp:coreProperties>
</file>